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3A9B" w14:textId="5FC1DB39" w:rsidR="00F03CD4" w:rsidRPr="0040534B" w:rsidRDefault="00F03CD4" w:rsidP="000C4C75">
      <w:pPr>
        <w:pStyle w:val="1-MainHeading"/>
        <w:ind w:left="851" w:hanging="851"/>
      </w:pPr>
      <w:bookmarkStart w:id="0" w:name="_Toc135214001"/>
      <w:bookmarkStart w:id="1" w:name="_Toc107927642"/>
      <w:bookmarkStart w:id="2" w:name="_Toc107927647"/>
      <w:bookmarkStart w:id="3" w:name="_Toc380746195"/>
      <w:bookmarkStart w:id="4" w:name="_Toc380746321"/>
      <w:bookmarkStart w:id="5" w:name="_Toc380746602"/>
      <w:r w:rsidRPr="0040534B">
        <w:t>5.01</w:t>
      </w:r>
      <w:r w:rsidRPr="0040534B">
        <w:tab/>
        <w:t>ATOGEPANT,</w:t>
      </w:r>
      <w:r w:rsidRPr="0040534B">
        <w:br/>
      </w:r>
      <w:r w:rsidR="003E5F11" w:rsidRPr="0040534B">
        <w:t xml:space="preserve">Tablet </w:t>
      </w:r>
      <w:r w:rsidRPr="0040534B">
        <w:t>60</w:t>
      </w:r>
      <w:r w:rsidR="00AA047E" w:rsidRPr="0040534B">
        <w:t xml:space="preserve"> </w:t>
      </w:r>
      <w:r w:rsidRPr="0040534B">
        <w:t>mg,</w:t>
      </w:r>
      <w:r w:rsidRPr="0040534B">
        <w:br/>
        <w:t>Aquipta</w:t>
      </w:r>
      <w:r w:rsidRPr="0040534B">
        <w:rPr>
          <w:vertAlign w:val="superscript"/>
        </w:rPr>
        <w:t>®</w:t>
      </w:r>
      <w:r w:rsidRPr="0040534B">
        <w:t>,</w:t>
      </w:r>
      <w:r w:rsidRPr="0040534B">
        <w:br/>
        <w:t>Allergan Australia Pty Ltd</w:t>
      </w:r>
      <w:bookmarkEnd w:id="0"/>
      <w:r w:rsidRPr="0040534B">
        <w:t xml:space="preserve"> </w:t>
      </w:r>
    </w:p>
    <w:p w14:paraId="2DC7D38F" w14:textId="77777777" w:rsidR="00F03CD4" w:rsidRPr="0040534B" w:rsidRDefault="00F03CD4" w:rsidP="000C27B2">
      <w:pPr>
        <w:pStyle w:val="2-SectionHeading"/>
      </w:pPr>
      <w:bookmarkStart w:id="6" w:name="_Toc135214003"/>
      <w:r w:rsidRPr="0040534B">
        <w:t>Purpose of submission</w:t>
      </w:r>
      <w:bookmarkEnd w:id="6"/>
    </w:p>
    <w:p w14:paraId="660BE858" w14:textId="77777777" w:rsidR="00F03CD4" w:rsidRPr="0040534B" w:rsidRDefault="00F03CD4" w:rsidP="00F03CD4">
      <w:pPr>
        <w:pStyle w:val="3-BodyText"/>
      </w:pPr>
      <w:r w:rsidRPr="0040534B">
        <w:t xml:space="preserve">The Category 2 submission requested a General Schedule Authority Required (STREAMLINED) listing for atogepant for the prophylaxis of adults with chronic or high frequency episodic migraine (HFEM) who have experienced an inadequate response, intolerance or a contraindication to at least three prophylactic migraine medications. </w:t>
      </w:r>
    </w:p>
    <w:p w14:paraId="71DD582D" w14:textId="0CE87731" w:rsidR="00F03CD4" w:rsidRPr="0040534B" w:rsidRDefault="00F03CD4" w:rsidP="00F03CD4">
      <w:pPr>
        <w:pStyle w:val="3-BodyText"/>
      </w:pPr>
      <w:r w:rsidRPr="0040534B">
        <w:t xml:space="preserve">Listing was requested on the basis of a cost-minimisation approach </w:t>
      </w:r>
      <w:r w:rsidR="00041933" w:rsidRPr="0040534B">
        <w:t xml:space="preserve">(CMA) </w:t>
      </w:r>
      <w:r w:rsidRPr="0040534B">
        <w:t xml:space="preserve">versus galcanezumab. </w:t>
      </w:r>
    </w:p>
    <w:p w14:paraId="538C98E1" w14:textId="22D33774" w:rsidR="00F03CD4" w:rsidRPr="0040534B" w:rsidRDefault="00F03CD4" w:rsidP="00F03CD4">
      <w:pPr>
        <w:pStyle w:val="TableFigureHeading"/>
        <w:rPr>
          <w:rStyle w:val="CommentReference"/>
          <w:b/>
          <w:szCs w:val="24"/>
        </w:rPr>
      </w:pPr>
      <w:bookmarkStart w:id="7" w:name="_Ref134032804"/>
      <w:r w:rsidRPr="0040534B">
        <w:t xml:space="preserve">Table </w:t>
      </w:r>
      <w:r w:rsidR="001968FD">
        <w:fldChar w:fldCharType="begin" w:fldLock="1"/>
      </w:r>
      <w:r w:rsidR="001968FD">
        <w:instrText xml:space="preserve"> SEQ Table \* ARABIC </w:instrText>
      </w:r>
      <w:r w:rsidR="001968FD">
        <w:fldChar w:fldCharType="separate"/>
      </w:r>
      <w:r w:rsidR="004E201F">
        <w:rPr>
          <w:noProof/>
        </w:rPr>
        <w:t>1</w:t>
      </w:r>
      <w:r w:rsidR="001968FD">
        <w:rPr>
          <w:noProof/>
        </w:rPr>
        <w:fldChar w:fldCharType="end"/>
      </w:r>
      <w:bookmarkEnd w:id="7"/>
      <w:r w:rsidRPr="0040534B">
        <w:t>:</w:t>
      </w:r>
      <w:r w:rsidRPr="0040534B">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36"/>
        <w:gridCol w:w="7581"/>
      </w:tblGrid>
      <w:tr w:rsidR="00F03CD4" w:rsidRPr="0040534B" w14:paraId="4CFC4DF3" w14:textId="77777777" w:rsidTr="00B434C6">
        <w:trPr>
          <w:cantSplit/>
          <w:tblHeader/>
        </w:trPr>
        <w:tc>
          <w:tcPr>
            <w:tcW w:w="796" w:type="pct"/>
            <w:shd w:val="clear" w:color="auto" w:fill="auto"/>
          </w:tcPr>
          <w:p w14:paraId="53D1C42E" w14:textId="77777777" w:rsidR="00F03CD4" w:rsidRPr="0040534B" w:rsidRDefault="00F03CD4" w:rsidP="00AE0C79">
            <w:pPr>
              <w:pStyle w:val="In-tableHeading"/>
              <w:jc w:val="center"/>
              <w:rPr>
                <w:szCs w:val="20"/>
                <w:lang w:val="en-AU"/>
              </w:rPr>
            </w:pPr>
            <w:r w:rsidRPr="0040534B">
              <w:rPr>
                <w:lang w:val="en-AU"/>
              </w:rPr>
              <w:t>Component</w:t>
            </w:r>
          </w:p>
        </w:tc>
        <w:tc>
          <w:tcPr>
            <w:tcW w:w="4204" w:type="pct"/>
            <w:shd w:val="clear" w:color="auto" w:fill="auto"/>
          </w:tcPr>
          <w:p w14:paraId="31600DC0" w14:textId="77777777" w:rsidR="00F03CD4" w:rsidRPr="0040534B" w:rsidRDefault="00F03CD4" w:rsidP="00AE0C79">
            <w:pPr>
              <w:pStyle w:val="In-tableHeading"/>
              <w:jc w:val="center"/>
              <w:rPr>
                <w:lang w:val="en-AU"/>
              </w:rPr>
            </w:pPr>
            <w:r w:rsidRPr="0040534B">
              <w:rPr>
                <w:lang w:val="en-AU"/>
              </w:rPr>
              <w:t>Description</w:t>
            </w:r>
          </w:p>
        </w:tc>
      </w:tr>
      <w:tr w:rsidR="00F03CD4" w:rsidRPr="0040534B" w14:paraId="407171C2" w14:textId="77777777" w:rsidTr="00B434C6">
        <w:trPr>
          <w:cantSplit/>
        </w:trPr>
        <w:tc>
          <w:tcPr>
            <w:tcW w:w="796" w:type="pct"/>
            <w:shd w:val="clear" w:color="auto" w:fill="auto"/>
          </w:tcPr>
          <w:p w14:paraId="06473CE5" w14:textId="77777777" w:rsidR="00F03CD4" w:rsidRPr="0040534B" w:rsidRDefault="00F03CD4" w:rsidP="00AE0C79">
            <w:pPr>
              <w:pStyle w:val="TableText0"/>
            </w:pPr>
            <w:r w:rsidRPr="0040534B">
              <w:t>Population</w:t>
            </w:r>
          </w:p>
        </w:tc>
        <w:tc>
          <w:tcPr>
            <w:tcW w:w="4204" w:type="pct"/>
            <w:shd w:val="clear" w:color="auto" w:fill="auto"/>
            <w:vAlign w:val="center"/>
          </w:tcPr>
          <w:p w14:paraId="75F7D9F5" w14:textId="77777777" w:rsidR="00F03CD4" w:rsidRPr="0040534B" w:rsidRDefault="00F03CD4" w:rsidP="00AE0C79">
            <w:pPr>
              <w:pStyle w:val="TableText0"/>
              <w:rPr>
                <w:szCs w:val="20"/>
              </w:rPr>
            </w:pPr>
            <w:r w:rsidRPr="0040534B">
              <w:t>Patients who have experienced at least 8 days of migraine headache days per month, over a period of at least 6 months, and have an inadequate response, intolerance, or a contraindication to at least three prophylactic migraine medications.</w:t>
            </w:r>
          </w:p>
        </w:tc>
      </w:tr>
      <w:tr w:rsidR="00F03CD4" w:rsidRPr="0040534B" w14:paraId="29EF9CD7" w14:textId="77777777" w:rsidTr="00B434C6">
        <w:trPr>
          <w:cantSplit/>
        </w:trPr>
        <w:tc>
          <w:tcPr>
            <w:tcW w:w="796" w:type="pct"/>
            <w:shd w:val="clear" w:color="auto" w:fill="auto"/>
          </w:tcPr>
          <w:p w14:paraId="5B25ECBA" w14:textId="77777777" w:rsidR="00F03CD4" w:rsidRPr="0040534B" w:rsidRDefault="00F03CD4" w:rsidP="00AE0C79">
            <w:pPr>
              <w:pStyle w:val="TableText0"/>
            </w:pPr>
            <w:r w:rsidRPr="0040534B">
              <w:t>Intervention</w:t>
            </w:r>
          </w:p>
        </w:tc>
        <w:tc>
          <w:tcPr>
            <w:tcW w:w="4204" w:type="pct"/>
            <w:shd w:val="clear" w:color="auto" w:fill="auto"/>
            <w:vAlign w:val="center"/>
          </w:tcPr>
          <w:p w14:paraId="58F77FD3" w14:textId="0A8D8FE5" w:rsidR="00F03CD4" w:rsidRPr="0040534B" w:rsidRDefault="00F03CD4" w:rsidP="00AE0C79">
            <w:pPr>
              <w:pStyle w:val="TableText0"/>
            </w:pPr>
            <w:r w:rsidRPr="0040534B">
              <w:t>Atogepant 60</w:t>
            </w:r>
            <w:r w:rsidR="00B434C6" w:rsidRPr="0040534B">
              <w:t xml:space="preserve"> </w:t>
            </w:r>
            <w:r w:rsidRPr="0040534B">
              <w:t>mg once daily administered orally</w:t>
            </w:r>
          </w:p>
        </w:tc>
      </w:tr>
      <w:tr w:rsidR="00F03CD4" w:rsidRPr="0040534B" w14:paraId="3A911735" w14:textId="77777777" w:rsidTr="00B434C6">
        <w:trPr>
          <w:cantSplit/>
        </w:trPr>
        <w:tc>
          <w:tcPr>
            <w:tcW w:w="796" w:type="pct"/>
            <w:shd w:val="clear" w:color="auto" w:fill="auto"/>
          </w:tcPr>
          <w:p w14:paraId="6860C01E" w14:textId="77777777" w:rsidR="00F03CD4" w:rsidRPr="0040534B" w:rsidRDefault="00F03CD4" w:rsidP="00AE0C79">
            <w:pPr>
              <w:pStyle w:val="TableText0"/>
            </w:pPr>
            <w:r w:rsidRPr="0040534B">
              <w:t>Comparator</w:t>
            </w:r>
          </w:p>
        </w:tc>
        <w:tc>
          <w:tcPr>
            <w:tcW w:w="4204" w:type="pct"/>
            <w:shd w:val="clear" w:color="auto" w:fill="auto"/>
            <w:vAlign w:val="center"/>
          </w:tcPr>
          <w:p w14:paraId="62B71AD5" w14:textId="7CF11319" w:rsidR="00F03CD4" w:rsidRPr="0040534B" w:rsidRDefault="00F03CD4" w:rsidP="006045A2">
            <w:pPr>
              <w:pStyle w:val="TableText0"/>
              <w:numPr>
                <w:ilvl w:val="0"/>
                <w:numId w:val="7"/>
              </w:numPr>
            </w:pPr>
            <w:r w:rsidRPr="0040534B">
              <w:t>Galcanezumab 240</w:t>
            </w:r>
            <w:r w:rsidR="00E34A5B" w:rsidRPr="0040534B">
              <w:t xml:space="preserve"> </w:t>
            </w:r>
            <w:r w:rsidRPr="0040534B">
              <w:t>mg loading dose followed by 120</w:t>
            </w:r>
            <w:r w:rsidR="00E34A5B" w:rsidRPr="0040534B">
              <w:t xml:space="preserve"> </w:t>
            </w:r>
            <w:r w:rsidRPr="0040534B">
              <w:t>mg monthly administered via subcutaneous injection and;</w:t>
            </w:r>
          </w:p>
          <w:p w14:paraId="258D58B6" w14:textId="26204F71" w:rsidR="00F03CD4" w:rsidRPr="0040534B" w:rsidRDefault="00F03CD4" w:rsidP="006045A2">
            <w:pPr>
              <w:pStyle w:val="TableText0"/>
              <w:numPr>
                <w:ilvl w:val="0"/>
                <w:numId w:val="7"/>
              </w:numPr>
            </w:pPr>
            <w:r w:rsidRPr="0040534B">
              <w:t>Fremanezumab 225</w:t>
            </w:r>
            <w:r w:rsidR="00E34A5B" w:rsidRPr="0040534B">
              <w:t xml:space="preserve"> </w:t>
            </w:r>
            <w:r w:rsidRPr="0040534B">
              <w:t>mg monthly administered via subcutaneous injection</w:t>
            </w:r>
          </w:p>
        </w:tc>
      </w:tr>
      <w:tr w:rsidR="00F03CD4" w:rsidRPr="0040534B" w14:paraId="6FADF96E" w14:textId="77777777" w:rsidTr="00B434C6">
        <w:trPr>
          <w:cantSplit/>
        </w:trPr>
        <w:tc>
          <w:tcPr>
            <w:tcW w:w="796" w:type="pct"/>
            <w:shd w:val="clear" w:color="auto" w:fill="auto"/>
          </w:tcPr>
          <w:p w14:paraId="6B3424F7" w14:textId="77777777" w:rsidR="00F03CD4" w:rsidRPr="0040534B" w:rsidRDefault="00F03CD4" w:rsidP="00AE0C79">
            <w:pPr>
              <w:pStyle w:val="TableText0"/>
            </w:pPr>
            <w:r w:rsidRPr="0040534B">
              <w:t>Outcomes</w:t>
            </w:r>
          </w:p>
        </w:tc>
        <w:tc>
          <w:tcPr>
            <w:tcW w:w="4204" w:type="pct"/>
            <w:shd w:val="clear" w:color="auto" w:fill="auto"/>
            <w:vAlign w:val="center"/>
          </w:tcPr>
          <w:p w14:paraId="4A7B1A55" w14:textId="77777777" w:rsidR="00F03CD4" w:rsidRPr="0040534B" w:rsidRDefault="00F03CD4" w:rsidP="00AE0C79">
            <w:pPr>
              <w:pStyle w:val="TableText0"/>
              <w:rPr>
                <w:rFonts w:eastAsia="Times New Roman" w:cs="Arial"/>
                <w:bCs w:val="0"/>
                <w:snapToGrid w:val="0"/>
                <w:color w:val="0066FF"/>
                <w:szCs w:val="20"/>
              </w:rPr>
            </w:pPr>
            <w:r w:rsidRPr="0040534B">
              <w:t>Reduction in monthly migraine headache days, ≥50% reduction in monthly migraine headache days</w:t>
            </w:r>
          </w:p>
        </w:tc>
      </w:tr>
      <w:tr w:rsidR="00F03CD4" w:rsidRPr="0040534B" w14:paraId="2A40FD93" w14:textId="77777777" w:rsidTr="00B434C6">
        <w:trPr>
          <w:cantSplit/>
        </w:trPr>
        <w:tc>
          <w:tcPr>
            <w:tcW w:w="796" w:type="pct"/>
            <w:shd w:val="clear" w:color="auto" w:fill="auto"/>
          </w:tcPr>
          <w:p w14:paraId="0046E6E7" w14:textId="77777777" w:rsidR="00F03CD4" w:rsidRPr="0040534B" w:rsidRDefault="00F03CD4" w:rsidP="00AE0C79">
            <w:pPr>
              <w:pStyle w:val="TableText0"/>
            </w:pPr>
            <w:r w:rsidRPr="0040534B">
              <w:t>Clinical claim</w:t>
            </w:r>
          </w:p>
        </w:tc>
        <w:tc>
          <w:tcPr>
            <w:tcW w:w="4204" w:type="pct"/>
            <w:shd w:val="clear" w:color="auto" w:fill="auto"/>
            <w:vAlign w:val="center"/>
          </w:tcPr>
          <w:p w14:paraId="3B14DBCC" w14:textId="77777777" w:rsidR="00F03CD4" w:rsidRPr="0040534B" w:rsidRDefault="00F03CD4" w:rsidP="00AE0C79">
            <w:pPr>
              <w:pStyle w:val="TableText0"/>
              <w:rPr>
                <w:rFonts w:eastAsia="Times New Roman" w:cs="Arial"/>
                <w:bCs w:val="0"/>
                <w:snapToGrid w:val="0"/>
                <w:color w:val="0066FF"/>
                <w:szCs w:val="20"/>
              </w:rPr>
            </w:pPr>
            <w:r w:rsidRPr="0040534B">
              <w:t>Atogepant is non-inferior in terms of efficacy and safety to galcanezumab and fremanezumab.</w:t>
            </w:r>
          </w:p>
        </w:tc>
      </w:tr>
    </w:tbl>
    <w:p w14:paraId="0C345E03" w14:textId="357E0F05" w:rsidR="00F03CD4" w:rsidRPr="0040534B" w:rsidRDefault="00F03CD4" w:rsidP="006F04A7">
      <w:pPr>
        <w:pStyle w:val="FooterTableFigure"/>
        <w:spacing w:after="0"/>
      </w:pPr>
      <w:r w:rsidRPr="0040534B">
        <w:t>Source: Table 1-2, p5 of the submission.</w:t>
      </w:r>
    </w:p>
    <w:p w14:paraId="50075C73" w14:textId="77777777" w:rsidR="00F03CD4" w:rsidRPr="0040534B" w:rsidRDefault="00F03CD4" w:rsidP="00F03CD4">
      <w:pPr>
        <w:pStyle w:val="2-SectionHeading"/>
      </w:pPr>
      <w:bookmarkStart w:id="8" w:name="_Toc135214004"/>
      <w:r w:rsidRPr="0040534B">
        <w:t>Background</w:t>
      </w:r>
      <w:bookmarkEnd w:id="8"/>
    </w:p>
    <w:p w14:paraId="45728CEE" w14:textId="77777777" w:rsidR="00F03CD4" w:rsidRPr="0040534B" w:rsidRDefault="00F03CD4" w:rsidP="00F03CD4">
      <w:pPr>
        <w:pStyle w:val="4-SubsectionHeading"/>
      </w:pPr>
      <w:bookmarkStart w:id="9" w:name="_Toc22897638"/>
      <w:bookmarkStart w:id="10" w:name="_Toc135214005"/>
      <w:r w:rsidRPr="0040534B">
        <w:t>Registration status</w:t>
      </w:r>
      <w:bookmarkEnd w:id="9"/>
      <w:bookmarkEnd w:id="10"/>
    </w:p>
    <w:p w14:paraId="5695688B" w14:textId="0B448446" w:rsidR="00F03CD4" w:rsidRPr="0040534B" w:rsidRDefault="00F03CD4" w:rsidP="00F03CD4">
      <w:pPr>
        <w:pStyle w:val="3-BodyText"/>
      </w:pPr>
      <w:r w:rsidRPr="0040534B">
        <w:t xml:space="preserve">The submission was made under the TGA/PBAC Parallel Process. Atogepant was </w:t>
      </w:r>
      <w:r w:rsidR="00F8324F" w:rsidRPr="0040534B">
        <w:t xml:space="preserve">recommended for registration at the June ACM meeting for the </w:t>
      </w:r>
      <w:r w:rsidRPr="0040534B">
        <w:t xml:space="preserve">following indication: ‘prophylaxis of migraine in adults who have at least 4 migraine days per month’. </w:t>
      </w:r>
    </w:p>
    <w:p w14:paraId="55EA824E" w14:textId="77777777" w:rsidR="00F03CD4" w:rsidRPr="0040534B" w:rsidRDefault="00F03CD4" w:rsidP="00F03CD4">
      <w:pPr>
        <w:pStyle w:val="4-SubsectionHeading"/>
      </w:pPr>
      <w:bookmarkStart w:id="11" w:name="_Toc22897639"/>
      <w:bookmarkStart w:id="12" w:name="_Toc135214006"/>
      <w:bookmarkStart w:id="13" w:name="_Hlk112059474"/>
      <w:r w:rsidRPr="0040534B">
        <w:t>Previous PBAC consideration</w:t>
      </w:r>
      <w:bookmarkEnd w:id="11"/>
      <w:bookmarkEnd w:id="12"/>
    </w:p>
    <w:bookmarkEnd w:id="13"/>
    <w:p w14:paraId="2095BB69" w14:textId="77777777" w:rsidR="00F03CD4" w:rsidRPr="0040534B" w:rsidRDefault="00F03CD4" w:rsidP="00F03CD4">
      <w:pPr>
        <w:pStyle w:val="3-BodyText"/>
      </w:pPr>
      <w:r w:rsidRPr="0040534B">
        <w:t>Atogepant has not been previously considered by the PBAC.</w:t>
      </w:r>
    </w:p>
    <w:p w14:paraId="2B437327" w14:textId="77777777" w:rsidR="00F03CD4" w:rsidRPr="0040534B" w:rsidRDefault="00F03CD4" w:rsidP="00F03CD4">
      <w:pPr>
        <w:pStyle w:val="3-BodyText"/>
      </w:pPr>
      <w:r w:rsidRPr="0040534B">
        <w:t>Galcanezumab and fremanezumab are currently listed on the PBS as treatment for chronic migraine, defined as ‘an average of 15 or more headache days per month, with at least 8 days of migraine, over a period of at least 6 months, prior to commencement of treatment’, in patients who have experienced an inadequate response, intolerance or a contraindication to at least three prophylactic migraine medications prior to commencement of treatment.</w:t>
      </w:r>
    </w:p>
    <w:p w14:paraId="66737043" w14:textId="1438E1CC" w:rsidR="00F478FB" w:rsidRPr="0040534B" w:rsidRDefault="00E34A5B" w:rsidP="00F478FB">
      <w:pPr>
        <w:pStyle w:val="3-BodyText"/>
      </w:pPr>
      <w:r w:rsidRPr="0040534B">
        <w:lastRenderedPageBreak/>
        <w:t>In March 2022, t</w:t>
      </w:r>
      <w:r w:rsidR="00F03CD4" w:rsidRPr="0040534B">
        <w:t xml:space="preserve">he PBAC recommended that the chronic migraine indication </w:t>
      </w:r>
      <w:r w:rsidRPr="0040534B">
        <w:t xml:space="preserve">for galcanezumab </w:t>
      </w:r>
      <w:r w:rsidR="00F03CD4" w:rsidRPr="0040534B">
        <w:t xml:space="preserve">should be </w:t>
      </w:r>
      <w:r w:rsidRPr="0040534B">
        <w:t xml:space="preserve">expanded </w:t>
      </w:r>
      <w:r w:rsidR="00F03CD4" w:rsidRPr="0040534B">
        <w:t xml:space="preserve">to treatment-resistant migraine, </w:t>
      </w:r>
      <w:r w:rsidRPr="0040534B">
        <w:t xml:space="preserve">which encompassed </w:t>
      </w:r>
      <w:r w:rsidR="00F03CD4" w:rsidRPr="0040534B">
        <w:t xml:space="preserve">both chronic and HFEM in a single indication, with the clinical criteria for initiation amended to ‘at least 8 days of migraine headache days per month, over a period of at least 6 months, prior to commencement of treatment’ (paragraph 7.1, galcanezumab </w:t>
      </w:r>
      <w:r w:rsidR="00FC4C1F">
        <w:t>Public Summary Document (</w:t>
      </w:r>
      <w:r w:rsidR="00F03CD4" w:rsidRPr="0040534B">
        <w:t>PSD</w:t>
      </w:r>
      <w:r w:rsidR="00FC4C1F">
        <w:t>)</w:t>
      </w:r>
      <w:r w:rsidR="00F03CD4" w:rsidRPr="0040534B">
        <w:t>, March 2022 PBAC meeting).</w:t>
      </w:r>
      <w:r w:rsidRPr="0040534B">
        <w:t xml:space="preserve"> </w:t>
      </w:r>
      <w:r w:rsidR="00041933" w:rsidRPr="0040534B">
        <w:t>The PBAC recommended that same changes to the restriction of fremanezumab in November 2022</w:t>
      </w:r>
      <w:r w:rsidR="000B64B1" w:rsidRPr="0040534B">
        <w:t xml:space="preserve"> (paragraph 7.1, fremanezumab PSD, November 2022 PBAC meeting)</w:t>
      </w:r>
      <w:r w:rsidR="00041933" w:rsidRPr="0040534B">
        <w:t>.</w:t>
      </w:r>
      <w:r w:rsidR="00F478FB" w:rsidRPr="0040534B">
        <w:t xml:space="preserve"> </w:t>
      </w:r>
      <w:r w:rsidR="00DB02D4" w:rsidRPr="0040534B">
        <w:t xml:space="preserve">The ESC recalled the PBAC had previously considered galcanezumab and fremanezumab would be cost effective for the HFEM population at a price no higher than the effective price in chronic migraine (paragraph 7.1, fremanezumab PSD, November 2022 PBAC meeting). </w:t>
      </w:r>
      <w:r w:rsidR="00F8324F" w:rsidRPr="0040534B">
        <w:t>Neither</w:t>
      </w:r>
      <w:r w:rsidR="00DB02D4" w:rsidRPr="0040534B">
        <w:t xml:space="preserve"> galcanezumab </w:t>
      </w:r>
      <w:r w:rsidR="00F8324F" w:rsidRPr="0040534B">
        <w:t xml:space="preserve">nor </w:t>
      </w:r>
      <w:r w:rsidR="00DB02D4" w:rsidRPr="0040534B">
        <w:t xml:space="preserve">fremanezumab </w:t>
      </w:r>
      <w:r w:rsidR="00B71C75" w:rsidRPr="0040534B">
        <w:t>were listed</w:t>
      </w:r>
      <w:r w:rsidR="00DB02D4" w:rsidRPr="0040534B">
        <w:t xml:space="preserve"> on the PBS for the expanded indication that includes HFEM</w:t>
      </w:r>
      <w:r w:rsidR="00F8324F" w:rsidRPr="0040534B">
        <w:t xml:space="preserve"> at the time of the July 2023 PBAC meeting</w:t>
      </w:r>
      <w:r w:rsidR="00DB02D4" w:rsidRPr="0040534B">
        <w:t>.</w:t>
      </w:r>
    </w:p>
    <w:p w14:paraId="459390C1" w14:textId="2F805F3C" w:rsidR="00F03CD4" w:rsidRPr="0040534B" w:rsidRDefault="00F03CD4" w:rsidP="00F03CD4">
      <w:pPr>
        <w:pStyle w:val="3-BodyText"/>
        <w:rPr>
          <w:i/>
          <w:iCs/>
        </w:rPr>
      </w:pPr>
      <w:r w:rsidRPr="0040534B">
        <w:t>This submission sought reimbursement for atogepant under the amended clinical criteria (i.e., chronic and HFEM), on the assumption that galcanezumab and fremanezumab will be listed on the PBS for this broader population.</w:t>
      </w:r>
      <w:r w:rsidR="00DB02D4" w:rsidRPr="0040534B">
        <w:t xml:space="preserve"> </w:t>
      </w:r>
    </w:p>
    <w:p w14:paraId="30ED0A9D" w14:textId="62837167" w:rsidR="00F03CD4" w:rsidRPr="0040534B" w:rsidRDefault="00F03CD4" w:rsidP="00F03CD4">
      <w:pPr>
        <w:pStyle w:val="3-BodyText"/>
        <w:rPr>
          <w:i/>
          <w:iCs/>
        </w:rPr>
      </w:pPr>
      <w:r w:rsidRPr="0040534B">
        <w:t xml:space="preserve">Rimegepant, an oral calcitonin gene-related peptide (CGRP) receptor antagonist, </w:t>
      </w:r>
      <w:r w:rsidR="00EB5F6C">
        <w:t xml:space="preserve"> was also </w:t>
      </w:r>
      <w:r w:rsidRPr="0040534B">
        <w:t xml:space="preserve">considered by the PBAC at the July 2023 meeting for the treatment of adults with </w:t>
      </w:r>
      <w:r w:rsidR="00E34A5B" w:rsidRPr="0040534B">
        <w:t xml:space="preserve">acute </w:t>
      </w:r>
      <w:r w:rsidRPr="0040534B">
        <w:t>migraine who have not responded adequately, are intolerant or contraindicated to treatment with at least two triptans.</w:t>
      </w:r>
    </w:p>
    <w:p w14:paraId="2E1E5A92" w14:textId="771E8681" w:rsidR="006045A2" w:rsidRPr="0040534B" w:rsidRDefault="006045A2" w:rsidP="006045A2">
      <w:pPr>
        <w:pStyle w:val="3-BodyText"/>
        <w:numPr>
          <w:ilvl w:val="0"/>
          <w:numId w:val="0"/>
        </w:numPr>
        <w:ind w:left="720"/>
        <w:rPr>
          <w:i/>
          <w:iCs/>
        </w:rPr>
      </w:pPr>
      <w:r w:rsidRPr="0040534B">
        <w:rPr>
          <w:i/>
          <w:iCs/>
        </w:rPr>
        <w:t>For more detail on PBAC’s view, see section 7 PBAC outcome.</w:t>
      </w:r>
    </w:p>
    <w:p w14:paraId="10BCEE92" w14:textId="77777777" w:rsidR="00F03CD4" w:rsidRPr="0040534B" w:rsidRDefault="00F03CD4" w:rsidP="00233388">
      <w:pPr>
        <w:pStyle w:val="2-SectionHeading"/>
        <w:keepNext w:val="0"/>
      </w:pPr>
      <w:bookmarkStart w:id="14" w:name="_Toc107902078"/>
      <w:bookmarkStart w:id="15" w:name="_Toc135214007"/>
      <w:bookmarkEnd w:id="14"/>
      <w:r w:rsidRPr="0040534B">
        <w:t>Requested listing</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2061"/>
        <w:gridCol w:w="812"/>
        <w:gridCol w:w="812"/>
        <w:gridCol w:w="812"/>
        <w:gridCol w:w="1832"/>
      </w:tblGrid>
      <w:tr w:rsidR="00F03CD4" w:rsidRPr="0040534B" w14:paraId="46104737" w14:textId="77777777" w:rsidTr="00C124DD">
        <w:trPr>
          <w:cantSplit/>
          <w:trHeight w:val="20"/>
        </w:trPr>
        <w:tc>
          <w:tcPr>
            <w:tcW w:w="1491" w:type="pct"/>
            <w:vAlign w:val="center"/>
          </w:tcPr>
          <w:p w14:paraId="3B192018" w14:textId="77777777" w:rsidR="00F03CD4" w:rsidRPr="0040534B" w:rsidRDefault="00F03CD4" w:rsidP="00233388">
            <w:pPr>
              <w:keepLines/>
              <w:jc w:val="center"/>
              <w:rPr>
                <w:rFonts w:ascii="Arial Narrow" w:hAnsi="Arial Narrow"/>
                <w:b/>
                <w:bCs/>
                <w:sz w:val="20"/>
                <w:szCs w:val="20"/>
              </w:rPr>
            </w:pPr>
            <w:bookmarkStart w:id="16" w:name="_Hlk104809055"/>
            <w:r w:rsidRPr="0040534B">
              <w:rPr>
                <w:rFonts w:ascii="Arial Narrow" w:hAnsi="Arial Narrow"/>
                <w:b/>
                <w:bCs/>
                <w:sz w:val="20"/>
                <w:szCs w:val="20"/>
              </w:rPr>
              <w:t>MEDICINAL PRODUCT</w:t>
            </w:r>
          </w:p>
          <w:p w14:paraId="4DF11661" w14:textId="77777777" w:rsidR="00F03CD4" w:rsidRPr="0040534B" w:rsidRDefault="00F03CD4" w:rsidP="00233388">
            <w:pPr>
              <w:keepLines/>
              <w:jc w:val="center"/>
              <w:rPr>
                <w:rFonts w:ascii="Arial Narrow" w:hAnsi="Arial Narrow"/>
                <w:b/>
                <w:sz w:val="20"/>
                <w:szCs w:val="20"/>
              </w:rPr>
            </w:pPr>
            <w:r w:rsidRPr="0040534B">
              <w:rPr>
                <w:rFonts w:ascii="Arial Narrow" w:hAnsi="Arial Narrow"/>
                <w:b/>
                <w:bCs/>
                <w:sz w:val="20"/>
                <w:szCs w:val="20"/>
              </w:rPr>
              <w:t>medicinal product pack</w:t>
            </w:r>
          </w:p>
        </w:tc>
        <w:tc>
          <w:tcPr>
            <w:tcW w:w="1143" w:type="pct"/>
            <w:vAlign w:val="center"/>
          </w:tcPr>
          <w:p w14:paraId="34F46307" w14:textId="77777777" w:rsidR="00F03CD4" w:rsidRPr="0040534B" w:rsidRDefault="00F03CD4" w:rsidP="00233388">
            <w:pPr>
              <w:pStyle w:val="TableText0"/>
              <w:keepNext w:val="0"/>
              <w:jc w:val="center"/>
              <w:rPr>
                <w:b/>
                <w:bCs w:val="0"/>
                <w:szCs w:val="20"/>
              </w:rPr>
            </w:pPr>
            <w:r w:rsidRPr="0040534B">
              <w:rPr>
                <w:b/>
                <w:bCs w:val="0"/>
                <w:snapToGrid w:val="0"/>
              </w:rPr>
              <w:t>Dispensed Price for Max. Qty</w:t>
            </w:r>
          </w:p>
        </w:tc>
        <w:tc>
          <w:tcPr>
            <w:tcW w:w="450" w:type="pct"/>
            <w:vAlign w:val="center"/>
          </w:tcPr>
          <w:p w14:paraId="1E87CA94" w14:textId="77777777" w:rsidR="00F03CD4" w:rsidRPr="0040534B" w:rsidRDefault="00F03CD4" w:rsidP="00233388">
            <w:pPr>
              <w:keepLines/>
              <w:jc w:val="center"/>
              <w:rPr>
                <w:rFonts w:ascii="Arial Narrow" w:hAnsi="Arial Narrow"/>
                <w:b/>
                <w:sz w:val="20"/>
                <w:szCs w:val="20"/>
              </w:rPr>
            </w:pPr>
            <w:r w:rsidRPr="0040534B">
              <w:rPr>
                <w:rFonts w:ascii="Arial Narrow" w:hAnsi="Arial Narrow"/>
                <w:b/>
                <w:sz w:val="20"/>
                <w:szCs w:val="20"/>
              </w:rPr>
              <w:t>Max. qty packs</w:t>
            </w:r>
          </w:p>
        </w:tc>
        <w:tc>
          <w:tcPr>
            <w:tcW w:w="450" w:type="pct"/>
            <w:vAlign w:val="center"/>
          </w:tcPr>
          <w:p w14:paraId="5A734ABC" w14:textId="77777777" w:rsidR="00F03CD4" w:rsidRPr="0040534B" w:rsidRDefault="00F03CD4" w:rsidP="00233388">
            <w:pPr>
              <w:keepLines/>
              <w:jc w:val="center"/>
              <w:rPr>
                <w:rFonts w:ascii="Arial Narrow" w:hAnsi="Arial Narrow"/>
                <w:b/>
                <w:sz w:val="20"/>
                <w:szCs w:val="20"/>
              </w:rPr>
            </w:pPr>
            <w:r w:rsidRPr="0040534B">
              <w:rPr>
                <w:rFonts w:ascii="Arial Narrow" w:hAnsi="Arial Narrow"/>
                <w:b/>
                <w:sz w:val="20"/>
                <w:szCs w:val="20"/>
              </w:rPr>
              <w:t>Max. qty units</w:t>
            </w:r>
          </w:p>
        </w:tc>
        <w:tc>
          <w:tcPr>
            <w:tcW w:w="450" w:type="pct"/>
            <w:vAlign w:val="center"/>
          </w:tcPr>
          <w:p w14:paraId="1406E644" w14:textId="77777777" w:rsidR="00F03CD4" w:rsidRPr="0040534B" w:rsidRDefault="00F03CD4" w:rsidP="00233388">
            <w:pPr>
              <w:keepLines/>
              <w:jc w:val="center"/>
              <w:rPr>
                <w:rFonts w:ascii="Arial Narrow" w:hAnsi="Arial Narrow"/>
                <w:b/>
                <w:sz w:val="20"/>
                <w:szCs w:val="20"/>
              </w:rPr>
            </w:pPr>
            <w:r w:rsidRPr="0040534B">
              <w:rPr>
                <w:rFonts w:ascii="Arial Narrow" w:hAnsi="Arial Narrow"/>
                <w:b/>
                <w:sz w:val="20"/>
                <w:szCs w:val="20"/>
              </w:rPr>
              <w:t>№.of</w:t>
            </w:r>
          </w:p>
          <w:p w14:paraId="67BC7B9E" w14:textId="77777777" w:rsidR="00F03CD4" w:rsidRPr="0040534B" w:rsidRDefault="00F03CD4" w:rsidP="00233388">
            <w:pPr>
              <w:keepLines/>
              <w:jc w:val="center"/>
              <w:rPr>
                <w:rFonts w:ascii="Arial Narrow" w:hAnsi="Arial Narrow"/>
                <w:b/>
                <w:sz w:val="20"/>
                <w:szCs w:val="20"/>
              </w:rPr>
            </w:pPr>
            <w:r w:rsidRPr="0040534B">
              <w:rPr>
                <w:rFonts w:ascii="Arial Narrow" w:hAnsi="Arial Narrow"/>
                <w:b/>
                <w:sz w:val="20"/>
                <w:szCs w:val="20"/>
              </w:rPr>
              <w:t>Rpts</w:t>
            </w:r>
          </w:p>
        </w:tc>
        <w:tc>
          <w:tcPr>
            <w:tcW w:w="1016" w:type="pct"/>
            <w:vAlign w:val="center"/>
          </w:tcPr>
          <w:p w14:paraId="44DF5016" w14:textId="77777777" w:rsidR="00F03CD4" w:rsidRPr="0040534B" w:rsidRDefault="00F03CD4" w:rsidP="00233388">
            <w:pPr>
              <w:keepLines/>
              <w:jc w:val="center"/>
              <w:rPr>
                <w:rFonts w:ascii="Arial Narrow" w:hAnsi="Arial Narrow"/>
                <w:b/>
                <w:sz w:val="20"/>
                <w:szCs w:val="20"/>
              </w:rPr>
            </w:pPr>
            <w:r w:rsidRPr="0040534B">
              <w:rPr>
                <w:rFonts w:ascii="Arial Narrow" w:hAnsi="Arial Narrow"/>
                <w:b/>
                <w:sz w:val="20"/>
                <w:szCs w:val="20"/>
              </w:rPr>
              <w:t>Available brands</w:t>
            </w:r>
          </w:p>
        </w:tc>
      </w:tr>
      <w:tr w:rsidR="00F03CD4" w:rsidRPr="0040534B" w14:paraId="130808C0" w14:textId="77777777" w:rsidTr="00C124DD">
        <w:trPr>
          <w:cantSplit/>
          <w:trHeight w:val="20"/>
        </w:trPr>
        <w:tc>
          <w:tcPr>
            <w:tcW w:w="5000" w:type="pct"/>
            <w:gridSpan w:val="6"/>
            <w:vAlign w:val="center"/>
          </w:tcPr>
          <w:p w14:paraId="7988E00B" w14:textId="77777777" w:rsidR="00F03CD4" w:rsidRPr="0040534B" w:rsidRDefault="00F03CD4" w:rsidP="00233388">
            <w:pPr>
              <w:pStyle w:val="TableText0"/>
              <w:keepNext w:val="0"/>
              <w:rPr>
                <w:rFonts w:cs="Arial"/>
                <w:szCs w:val="20"/>
              </w:rPr>
            </w:pPr>
            <w:r w:rsidRPr="0040534B">
              <w:t>ATOGEPANT</w:t>
            </w:r>
            <w:r w:rsidRPr="0040534B">
              <w:rPr>
                <w:rFonts w:cs="Arial"/>
                <w:color w:val="0066FF"/>
                <w:szCs w:val="20"/>
              </w:rPr>
              <w:t xml:space="preserve"> </w:t>
            </w:r>
          </w:p>
        </w:tc>
      </w:tr>
      <w:tr w:rsidR="00F03CD4" w:rsidRPr="0040534B" w14:paraId="781F0211" w14:textId="77777777" w:rsidTr="00C124DD">
        <w:trPr>
          <w:cantSplit/>
          <w:trHeight w:val="20"/>
        </w:trPr>
        <w:tc>
          <w:tcPr>
            <w:tcW w:w="5000" w:type="pct"/>
            <w:gridSpan w:val="6"/>
            <w:vAlign w:val="center"/>
          </w:tcPr>
          <w:p w14:paraId="36445FE1" w14:textId="77777777" w:rsidR="00F03CD4" w:rsidRPr="0040534B" w:rsidRDefault="00F03CD4" w:rsidP="00233388">
            <w:pPr>
              <w:pStyle w:val="TableText0"/>
              <w:keepNext w:val="0"/>
            </w:pPr>
            <w:r w:rsidRPr="0040534B">
              <w:t>Initial treatment</w:t>
            </w:r>
          </w:p>
        </w:tc>
      </w:tr>
      <w:tr w:rsidR="00F03CD4" w:rsidRPr="0040534B" w14:paraId="29A9201D" w14:textId="77777777" w:rsidTr="00C124DD">
        <w:trPr>
          <w:cantSplit/>
          <w:trHeight w:val="20"/>
        </w:trPr>
        <w:tc>
          <w:tcPr>
            <w:tcW w:w="1491" w:type="pct"/>
            <w:vAlign w:val="center"/>
          </w:tcPr>
          <w:p w14:paraId="589F4361" w14:textId="77777777" w:rsidR="00F03CD4" w:rsidRPr="0040534B" w:rsidRDefault="00F03CD4" w:rsidP="00233388">
            <w:pPr>
              <w:keepLines/>
              <w:rPr>
                <w:rFonts w:ascii="Arial Narrow" w:hAnsi="Arial Narrow"/>
                <w:color w:val="0066FF"/>
                <w:sz w:val="20"/>
                <w:szCs w:val="20"/>
              </w:rPr>
            </w:pPr>
            <w:r w:rsidRPr="0040534B">
              <w:rPr>
                <w:rFonts w:ascii="Arial Narrow" w:hAnsi="Arial Narrow"/>
                <w:sz w:val="20"/>
                <w:szCs w:val="20"/>
              </w:rPr>
              <w:t xml:space="preserve">atogepant 60 mg tablet, 28 </w:t>
            </w:r>
          </w:p>
        </w:tc>
        <w:tc>
          <w:tcPr>
            <w:tcW w:w="1143" w:type="pct"/>
          </w:tcPr>
          <w:p w14:paraId="70E8CE28" w14:textId="77777777" w:rsidR="00F03CD4" w:rsidRPr="0040534B" w:rsidRDefault="00F03CD4" w:rsidP="00233388">
            <w:pPr>
              <w:pStyle w:val="TableText0"/>
              <w:keepNext w:val="0"/>
              <w:keepLines/>
              <w:jc w:val="center"/>
            </w:pPr>
            <w:r w:rsidRPr="0040534B">
              <w:t>$682.26 published price</w:t>
            </w:r>
          </w:p>
          <w:p w14:paraId="2E39C048" w14:textId="77777777" w:rsidR="00F03CD4" w:rsidRPr="0040534B" w:rsidRDefault="00F03CD4" w:rsidP="00233388">
            <w:pPr>
              <w:pStyle w:val="TableText0"/>
              <w:keepNext w:val="0"/>
              <w:jc w:val="center"/>
              <w:rPr>
                <w:szCs w:val="20"/>
              </w:rPr>
            </w:pPr>
            <w:r w:rsidRPr="0040534B">
              <w:t>$</w:t>
            </w:r>
            <w:r w:rsidRPr="0040534B">
              <w:rPr>
                <w:vertAlign w:val="superscript"/>
              </w:rPr>
              <w:t>a</w:t>
            </w:r>
            <w:r w:rsidRPr="0040534B">
              <w:t xml:space="preserve"> effective price</w:t>
            </w:r>
          </w:p>
        </w:tc>
        <w:tc>
          <w:tcPr>
            <w:tcW w:w="450" w:type="pct"/>
            <w:vAlign w:val="center"/>
          </w:tcPr>
          <w:p w14:paraId="7892456C" w14:textId="77777777" w:rsidR="00F03CD4" w:rsidRPr="0040534B" w:rsidRDefault="00F03CD4" w:rsidP="00233388">
            <w:pPr>
              <w:keepLines/>
              <w:jc w:val="center"/>
              <w:rPr>
                <w:rFonts w:ascii="Arial Narrow" w:hAnsi="Arial Narrow"/>
                <w:sz w:val="20"/>
                <w:szCs w:val="20"/>
              </w:rPr>
            </w:pPr>
            <w:r w:rsidRPr="0040534B">
              <w:rPr>
                <w:rFonts w:ascii="Arial Narrow" w:hAnsi="Arial Narrow"/>
                <w:sz w:val="20"/>
              </w:rPr>
              <w:t>1</w:t>
            </w:r>
          </w:p>
        </w:tc>
        <w:tc>
          <w:tcPr>
            <w:tcW w:w="450" w:type="pct"/>
            <w:vAlign w:val="center"/>
          </w:tcPr>
          <w:p w14:paraId="1E7E3413" w14:textId="77777777" w:rsidR="00F03CD4" w:rsidRPr="0040534B" w:rsidRDefault="00F03CD4" w:rsidP="00233388">
            <w:pPr>
              <w:keepLines/>
              <w:jc w:val="center"/>
              <w:rPr>
                <w:rFonts w:ascii="Arial Narrow" w:hAnsi="Arial Narrow"/>
                <w:sz w:val="20"/>
                <w:szCs w:val="20"/>
              </w:rPr>
            </w:pPr>
            <w:r w:rsidRPr="0040534B">
              <w:rPr>
                <w:rFonts w:ascii="Arial Narrow" w:hAnsi="Arial Narrow"/>
                <w:sz w:val="20"/>
                <w:szCs w:val="20"/>
              </w:rPr>
              <w:t>28</w:t>
            </w:r>
          </w:p>
        </w:tc>
        <w:tc>
          <w:tcPr>
            <w:tcW w:w="450" w:type="pct"/>
            <w:vAlign w:val="center"/>
          </w:tcPr>
          <w:p w14:paraId="6AA08FD8" w14:textId="77777777" w:rsidR="00F03CD4" w:rsidRPr="0040534B" w:rsidRDefault="00F03CD4" w:rsidP="00233388">
            <w:pPr>
              <w:keepLines/>
              <w:jc w:val="center"/>
              <w:rPr>
                <w:rFonts w:ascii="Arial Narrow" w:hAnsi="Arial Narrow"/>
                <w:sz w:val="20"/>
                <w:szCs w:val="20"/>
              </w:rPr>
            </w:pPr>
            <w:r w:rsidRPr="0040534B">
              <w:rPr>
                <w:rFonts w:ascii="Arial Narrow" w:hAnsi="Arial Narrow"/>
                <w:sz w:val="20"/>
              </w:rPr>
              <w:t>2</w:t>
            </w:r>
          </w:p>
        </w:tc>
        <w:tc>
          <w:tcPr>
            <w:tcW w:w="1016" w:type="pct"/>
            <w:vAlign w:val="center"/>
          </w:tcPr>
          <w:p w14:paraId="2CBB5498" w14:textId="77777777" w:rsidR="00F03CD4" w:rsidRPr="0040534B" w:rsidRDefault="00F03CD4" w:rsidP="00233388">
            <w:pPr>
              <w:keepLines/>
              <w:rPr>
                <w:rFonts w:ascii="Arial Narrow" w:hAnsi="Arial Narrow"/>
                <w:color w:val="0066FF"/>
                <w:sz w:val="20"/>
                <w:szCs w:val="20"/>
              </w:rPr>
            </w:pPr>
            <w:r w:rsidRPr="0040534B">
              <w:rPr>
                <w:rFonts w:ascii="Arial Narrow" w:hAnsi="Arial Narrow"/>
                <w:sz w:val="20"/>
                <w:szCs w:val="20"/>
              </w:rPr>
              <w:t>Aquipta</w:t>
            </w:r>
          </w:p>
        </w:tc>
      </w:tr>
      <w:tr w:rsidR="00F03CD4" w:rsidRPr="0040534B" w14:paraId="6F086BDD" w14:textId="77777777" w:rsidTr="00C124DD">
        <w:trPr>
          <w:cantSplit/>
          <w:trHeight w:val="20"/>
        </w:trPr>
        <w:tc>
          <w:tcPr>
            <w:tcW w:w="5000" w:type="pct"/>
            <w:gridSpan w:val="6"/>
            <w:vAlign w:val="center"/>
          </w:tcPr>
          <w:p w14:paraId="5841CAA8" w14:textId="77777777" w:rsidR="00F03CD4" w:rsidRPr="0040534B" w:rsidRDefault="00F03CD4" w:rsidP="00233388">
            <w:pPr>
              <w:keepLines/>
              <w:rPr>
                <w:rFonts w:ascii="Arial Narrow" w:hAnsi="Arial Narrow"/>
                <w:sz w:val="20"/>
                <w:szCs w:val="20"/>
              </w:rPr>
            </w:pPr>
            <w:r w:rsidRPr="0040534B">
              <w:rPr>
                <w:rFonts w:ascii="Arial Narrow" w:hAnsi="Arial Narrow"/>
                <w:sz w:val="20"/>
                <w:szCs w:val="20"/>
              </w:rPr>
              <w:t>Continuing treatment</w:t>
            </w:r>
          </w:p>
        </w:tc>
      </w:tr>
      <w:tr w:rsidR="00F03CD4" w:rsidRPr="0040534B" w14:paraId="1B0AD549" w14:textId="77777777" w:rsidTr="00C124DD">
        <w:trPr>
          <w:cantSplit/>
          <w:trHeight w:val="20"/>
        </w:trPr>
        <w:tc>
          <w:tcPr>
            <w:tcW w:w="1491" w:type="pct"/>
            <w:vAlign w:val="center"/>
          </w:tcPr>
          <w:p w14:paraId="311EFF83" w14:textId="77777777" w:rsidR="00F03CD4" w:rsidRPr="0040534B" w:rsidRDefault="00F03CD4" w:rsidP="00233388">
            <w:pPr>
              <w:keepLines/>
              <w:rPr>
                <w:rFonts w:ascii="Arial Narrow" w:hAnsi="Arial Narrow"/>
                <w:color w:val="0066FF"/>
                <w:sz w:val="20"/>
                <w:szCs w:val="20"/>
              </w:rPr>
            </w:pPr>
            <w:r w:rsidRPr="0040534B">
              <w:rPr>
                <w:rFonts w:ascii="Arial Narrow" w:hAnsi="Arial Narrow"/>
                <w:sz w:val="20"/>
                <w:szCs w:val="20"/>
              </w:rPr>
              <w:t>atogepant 60 mg tablet, 28</w:t>
            </w:r>
          </w:p>
        </w:tc>
        <w:tc>
          <w:tcPr>
            <w:tcW w:w="1143" w:type="pct"/>
          </w:tcPr>
          <w:p w14:paraId="0D3D12BE" w14:textId="77777777" w:rsidR="00F03CD4" w:rsidRPr="0040534B" w:rsidRDefault="00F03CD4" w:rsidP="00233388">
            <w:pPr>
              <w:pStyle w:val="TableText0"/>
              <w:keepNext w:val="0"/>
              <w:keepLines/>
              <w:jc w:val="center"/>
            </w:pPr>
            <w:r w:rsidRPr="0040534B">
              <w:t>$682.26 published price</w:t>
            </w:r>
          </w:p>
          <w:p w14:paraId="7B04C7CE" w14:textId="77777777" w:rsidR="00F03CD4" w:rsidRPr="0040534B" w:rsidRDefault="00F03CD4" w:rsidP="00233388">
            <w:pPr>
              <w:pStyle w:val="TableText0"/>
              <w:keepNext w:val="0"/>
              <w:jc w:val="center"/>
              <w:rPr>
                <w:szCs w:val="20"/>
              </w:rPr>
            </w:pPr>
            <w:r w:rsidRPr="0040534B">
              <w:t>$</w:t>
            </w:r>
            <w:r w:rsidRPr="0040534B">
              <w:rPr>
                <w:vertAlign w:val="superscript"/>
              </w:rPr>
              <w:t>a</w:t>
            </w:r>
            <w:r w:rsidRPr="0040534B">
              <w:t xml:space="preserve"> effective price</w:t>
            </w:r>
          </w:p>
        </w:tc>
        <w:tc>
          <w:tcPr>
            <w:tcW w:w="450" w:type="pct"/>
            <w:vAlign w:val="center"/>
          </w:tcPr>
          <w:p w14:paraId="0172204D" w14:textId="77777777" w:rsidR="00F03CD4" w:rsidRPr="0040534B" w:rsidRDefault="00F03CD4" w:rsidP="00233388">
            <w:pPr>
              <w:keepLines/>
              <w:jc w:val="center"/>
              <w:rPr>
                <w:rFonts w:ascii="Arial Narrow" w:hAnsi="Arial Narrow"/>
                <w:sz w:val="20"/>
                <w:szCs w:val="20"/>
              </w:rPr>
            </w:pPr>
            <w:r w:rsidRPr="0040534B">
              <w:rPr>
                <w:rFonts w:ascii="Arial Narrow" w:hAnsi="Arial Narrow"/>
                <w:sz w:val="20"/>
              </w:rPr>
              <w:t>1</w:t>
            </w:r>
          </w:p>
        </w:tc>
        <w:tc>
          <w:tcPr>
            <w:tcW w:w="450" w:type="pct"/>
            <w:vAlign w:val="center"/>
          </w:tcPr>
          <w:p w14:paraId="124DE432" w14:textId="77777777" w:rsidR="00F03CD4" w:rsidRPr="0040534B" w:rsidRDefault="00F03CD4" w:rsidP="00233388">
            <w:pPr>
              <w:keepLines/>
              <w:jc w:val="center"/>
              <w:rPr>
                <w:rFonts w:ascii="Arial Narrow" w:hAnsi="Arial Narrow"/>
                <w:sz w:val="20"/>
                <w:szCs w:val="20"/>
              </w:rPr>
            </w:pPr>
            <w:r w:rsidRPr="0040534B">
              <w:rPr>
                <w:rFonts w:ascii="Arial Narrow" w:hAnsi="Arial Narrow"/>
                <w:sz w:val="20"/>
              </w:rPr>
              <w:t>28</w:t>
            </w:r>
          </w:p>
        </w:tc>
        <w:tc>
          <w:tcPr>
            <w:tcW w:w="450" w:type="pct"/>
            <w:vAlign w:val="center"/>
          </w:tcPr>
          <w:p w14:paraId="51380ACF" w14:textId="77777777" w:rsidR="00F03CD4" w:rsidRPr="0040534B" w:rsidRDefault="00F03CD4" w:rsidP="00233388">
            <w:pPr>
              <w:keepLines/>
              <w:jc w:val="center"/>
              <w:rPr>
                <w:rFonts w:ascii="Arial Narrow" w:hAnsi="Arial Narrow"/>
                <w:sz w:val="20"/>
                <w:szCs w:val="20"/>
              </w:rPr>
            </w:pPr>
            <w:r w:rsidRPr="0040534B">
              <w:rPr>
                <w:rFonts w:ascii="Arial Narrow" w:hAnsi="Arial Narrow"/>
                <w:sz w:val="20"/>
                <w:szCs w:val="20"/>
              </w:rPr>
              <w:t>5</w:t>
            </w:r>
          </w:p>
        </w:tc>
        <w:tc>
          <w:tcPr>
            <w:tcW w:w="1016" w:type="pct"/>
            <w:vAlign w:val="center"/>
          </w:tcPr>
          <w:p w14:paraId="6E0398D3" w14:textId="77777777" w:rsidR="00F03CD4" w:rsidRPr="0040534B" w:rsidRDefault="00F03CD4" w:rsidP="00233388">
            <w:pPr>
              <w:keepLines/>
              <w:rPr>
                <w:rFonts w:ascii="Arial Narrow" w:hAnsi="Arial Narrow"/>
                <w:color w:val="0066FF"/>
                <w:sz w:val="20"/>
                <w:szCs w:val="20"/>
              </w:rPr>
            </w:pPr>
            <w:r w:rsidRPr="0040534B">
              <w:rPr>
                <w:rFonts w:ascii="Arial Narrow" w:hAnsi="Arial Narrow"/>
                <w:sz w:val="20"/>
                <w:szCs w:val="20"/>
              </w:rPr>
              <w:t>Aquipta</w:t>
            </w:r>
          </w:p>
        </w:tc>
      </w:tr>
    </w:tbl>
    <w:p w14:paraId="158C7343" w14:textId="2B3B6D38" w:rsidR="00540297" w:rsidRPr="0040534B" w:rsidRDefault="00F03CD4" w:rsidP="00233388">
      <w:pPr>
        <w:pStyle w:val="TableFooter"/>
        <w:keepLines/>
      </w:pPr>
      <w:bookmarkStart w:id="17" w:name="_Hlk104809082"/>
      <w:bookmarkEnd w:id="16"/>
      <w:r w:rsidRPr="0040534B">
        <w:rPr>
          <w:vertAlign w:val="superscript"/>
        </w:rPr>
        <w:t>a</w:t>
      </w:r>
      <w:r w:rsidRPr="0040534B">
        <w:t xml:space="preserve"> The submission proposed that the effective price be calculated using the method outlined in Section 3 following a positive PBAC recommendation and sharing of the confidential effective price of the comparator (galcanezumab).</w:t>
      </w:r>
    </w:p>
    <w:p w14:paraId="0412EF92" w14:textId="77777777" w:rsidR="00233388" w:rsidRPr="0040534B" w:rsidRDefault="00233388" w:rsidP="00233388">
      <w:pPr>
        <w:pStyle w:val="TableFoote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F03CD4" w:rsidRPr="0040534B" w14:paraId="4709C567" w14:textId="77777777" w:rsidTr="00C124DD">
        <w:trPr>
          <w:cantSplit/>
          <w:trHeight w:val="20"/>
        </w:trPr>
        <w:tc>
          <w:tcPr>
            <w:tcW w:w="5000" w:type="pct"/>
          </w:tcPr>
          <w:p w14:paraId="1A9AFDDD" w14:textId="77777777" w:rsidR="00F03CD4" w:rsidRPr="0040534B" w:rsidRDefault="00F03CD4" w:rsidP="00233388">
            <w:pPr>
              <w:pStyle w:val="TableText0"/>
              <w:keepNext w:val="0"/>
              <w:keepLines/>
            </w:pPr>
            <w:bookmarkStart w:id="18" w:name="_Hlk104809470"/>
            <w:bookmarkEnd w:id="17"/>
            <w:r w:rsidRPr="0040534B">
              <w:rPr>
                <w:b/>
              </w:rPr>
              <w:t xml:space="preserve">Category / Program: </w:t>
            </w:r>
            <w:r w:rsidRPr="0040534B">
              <w:rPr>
                <w:bCs w:val="0"/>
              </w:rPr>
              <w:t>General Schedule</w:t>
            </w:r>
          </w:p>
        </w:tc>
      </w:tr>
      <w:tr w:rsidR="00F03CD4" w:rsidRPr="0040534B" w14:paraId="1CE5E375" w14:textId="77777777" w:rsidTr="00C124DD">
        <w:trPr>
          <w:cantSplit/>
          <w:trHeight w:val="20"/>
        </w:trPr>
        <w:tc>
          <w:tcPr>
            <w:tcW w:w="5000" w:type="pct"/>
          </w:tcPr>
          <w:p w14:paraId="5CE6CA25" w14:textId="77777777" w:rsidR="00F03CD4" w:rsidRPr="0040534B" w:rsidRDefault="00F03CD4" w:rsidP="00233388">
            <w:pPr>
              <w:pStyle w:val="TableText0"/>
              <w:keepNext w:val="0"/>
              <w:keepLines/>
              <w:rPr>
                <w:b/>
              </w:rPr>
            </w:pPr>
            <w:r w:rsidRPr="0040534B">
              <w:rPr>
                <w:b/>
              </w:rPr>
              <w:t xml:space="preserve">Prescriber type: </w:t>
            </w:r>
            <w:r w:rsidRPr="0040534B">
              <w:fldChar w:fldCharType="begin" w:fldLock="1">
                <w:ffData>
                  <w:name w:val="Check1"/>
                  <w:enabled/>
                  <w:calcOnExit w:val="0"/>
                  <w:checkBox>
                    <w:sizeAuto/>
                    <w:default w:val="0"/>
                  </w:checkBox>
                </w:ffData>
              </w:fldChar>
            </w:r>
            <w:r w:rsidRPr="0040534B">
              <w:instrText xml:space="preserve"> FORMCHECKBOX </w:instrText>
            </w:r>
            <w:r w:rsidR="001968FD">
              <w:fldChar w:fldCharType="separate"/>
            </w:r>
            <w:r w:rsidRPr="0040534B">
              <w:fldChar w:fldCharType="end"/>
            </w:r>
            <w:r w:rsidRPr="0040534B">
              <w:t xml:space="preserve">Dental </w:t>
            </w:r>
            <w:r w:rsidRPr="0040534B">
              <w:fldChar w:fldCharType="begin" w:fldLock="1">
                <w:ffData>
                  <w:name w:val=""/>
                  <w:enabled/>
                  <w:calcOnExit w:val="0"/>
                  <w:checkBox>
                    <w:sizeAuto/>
                    <w:default w:val="1"/>
                  </w:checkBox>
                </w:ffData>
              </w:fldChar>
            </w:r>
            <w:r w:rsidRPr="0040534B">
              <w:instrText xml:space="preserve"> FORMCHECKBOX </w:instrText>
            </w:r>
            <w:r w:rsidR="001968FD">
              <w:fldChar w:fldCharType="separate"/>
            </w:r>
            <w:r w:rsidRPr="0040534B">
              <w:fldChar w:fldCharType="end"/>
            </w:r>
            <w:r w:rsidRPr="0040534B">
              <w:t xml:space="preserve">Medical Practitioners </w:t>
            </w:r>
            <w:r w:rsidRPr="0040534B">
              <w:fldChar w:fldCharType="begin" w:fldLock="1">
                <w:ffData>
                  <w:name w:val="Check3"/>
                  <w:enabled/>
                  <w:calcOnExit w:val="0"/>
                  <w:checkBox>
                    <w:sizeAuto/>
                    <w:default w:val="0"/>
                  </w:checkBox>
                </w:ffData>
              </w:fldChar>
            </w:r>
            <w:r w:rsidRPr="0040534B">
              <w:instrText xml:space="preserve"> FORMCHECKBOX </w:instrText>
            </w:r>
            <w:r w:rsidR="001968FD">
              <w:fldChar w:fldCharType="separate"/>
            </w:r>
            <w:r w:rsidRPr="0040534B">
              <w:fldChar w:fldCharType="end"/>
            </w:r>
            <w:r w:rsidRPr="0040534B">
              <w:t xml:space="preserve">Nurse practitioners </w:t>
            </w:r>
            <w:r w:rsidRPr="0040534B">
              <w:fldChar w:fldCharType="begin" w:fldLock="1">
                <w:ffData>
                  <w:name w:val=""/>
                  <w:enabled/>
                  <w:calcOnExit w:val="0"/>
                  <w:checkBox>
                    <w:sizeAuto/>
                    <w:default w:val="0"/>
                  </w:checkBox>
                </w:ffData>
              </w:fldChar>
            </w:r>
            <w:r w:rsidRPr="0040534B">
              <w:instrText xml:space="preserve"> FORMCHECKBOX </w:instrText>
            </w:r>
            <w:r w:rsidR="001968FD">
              <w:fldChar w:fldCharType="separate"/>
            </w:r>
            <w:r w:rsidRPr="0040534B">
              <w:fldChar w:fldCharType="end"/>
            </w:r>
            <w:r w:rsidRPr="0040534B">
              <w:t xml:space="preserve">Optometrists </w:t>
            </w:r>
            <w:r w:rsidRPr="0040534B">
              <w:fldChar w:fldCharType="begin" w:fldLock="1">
                <w:ffData>
                  <w:name w:val="Check5"/>
                  <w:enabled/>
                  <w:calcOnExit w:val="0"/>
                  <w:checkBox>
                    <w:sizeAuto/>
                    <w:default w:val="0"/>
                  </w:checkBox>
                </w:ffData>
              </w:fldChar>
            </w:r>
            <w:r w:rsidRPr="0040534B">
              <w:instrText xml:space="preserve"> FORMCHECKBOX </w:instrText>
            </w:r>
            <w:r w:rsidR="001968FD">
              <w:fldChar w:fldCharType="separate"/>
            </w:r>
            <w:r w:rsidRPr="0040534B">
              <w:fldChar w:fldCharType="end"/>
            </w:r>
          </w:p>
        </w:tc>
      </w:tr>
      <w:tr w:rsidR="00F03CD4" w:rsidRPr="0040534B" w14:paraId="3881B34C" w14:textId="77777777" w:rsidTr="00C124DD">
        <w:trPr>
          <w:cantSplit/>
          <w:trHeight w:val="20"/>
        </w:trPr>
        <w:tc>
          <w:tcPr>
            <w:tcW w:w="5000" w:type="pct"/>
          </w:tcPr>
          <w:p w14:paraId="3A53B634" w14:textId="77777777" w:rsidR="00F03CD4" w:rsidRPr="0040534B" w:rsidRDefault="00F03CD4" w:rsidP="00233388">
            <w:pPr>
              <w:pStyle w:val="TableText0"/>
              <w:keepNext w:val="0"/>
              <w:keepLines/>
              <w:rPr>
                <w:rFonts w:eastAsia="Times New Roman"/>
              </w:rPr>
            </w:pPr>
            <w:r w:rsidRPr="0040534B">
              <w:rPr>
                <w:b/>
              </w:rPr>
              <w:t xml:space="preserve">Restriction type: </w:t>
            </w:r>
            <w:r w:rsidRPr="0040534B">
              <w:rPr>
                <w:rFonts w:eastAsia="Times New Roman"/>
              </w:rPr>
              <w:fldChar w:fldCharType="begin" w:fldLock="1">
                <w:ffData>
                  <w:name w:val=""/>
                  <w:enabled/>
                  <w:calcOnExit w:val="0"/>
                  <w:checkBox>
                    <w:sizeAuto/>
                    <w:default w:val="1"/>
                  </w:checkBox>
                </w:ffData>
              </w:fldChar>
            </w:r>
            <w:r w:rsidRPr="0040534B">
              <w:rPr>
                <w:rFonts w:eastAsia="Times New Roman"/>
              </w:rPr>
              <w:instrText xml:space="preserve"> FORMCHECKBOX </w:instrText>
            </w:r>
            <w:r w:rsidR="001968FD">
              <w:rPr>
                <w:rFonts w:eastAsia="Times New Roman"/>
              </w:rPr>
            </w:r>
            <w:r w:rsidR="001968FD">
              <w:rPr>
                <w:rFonts w:eastAsia="Times New Roman"/>
              </w:rPr>
              <w:fldChar w:fldCharType="separate"/>
            </w:r>
            <w:r w:rsidRPr="0040534B">
              <w:rPr>
                <w:rFonts w:eastAsia="Times New Roman"/>
              </w:rPr>
              <w:fldChar w:fldCharType="end"/>
            </w:r>
            <w:r w:rsidRPr="0040534B">
              <w:rPr>
                <w:rFonts w:eastAsia="Times New Roman"/>
              </w:rPr>
              <w:t xml:space="preserve">Authority Required (STREAMLINED) </w:t>
            </w:r>
          </w:p>
        </w:tc>
      </w:tr>
      <w:tr w:rsidR="00F03CD4" w:rsidRPr="0040534B" w14:paraId="34564B39" w14:textId="77777777" w:rsidTr="00C124DD">
        <w:trPr>
          <w:cantSplit/>
          <w:trHeight w:val="20"/>
        </w:trPr>
        <w:tc>
          <w:tcPr>
            <w:tcW w:w="5000" w:type="pct"/>
            <w:vAlign w:val="center"/>
          </w:tcPr>
          <w:p w14:paraId="62C82C3F" w14:textId="77777777" w:rsidR="00F03CD4" w:rsidRPr="0040534B" w:rsidRDefault="00F03CD4" w:rsidP="00233388">
            <w:pPr>
              <w:pStyle w:val="TableText0"/>
              <w:keepNext w:val="0"/>
              <w:keepLines/>
              <w:rPr>
                <w:b/>
              </w:rPr>
            </w:pPr>
            <w:r w:rsidRPr="0040534B">
              <w:rPr>
                <w:b/>
              </w:rPr>
              <w:t xml:space="preserve">Severity: </w:t>
            </w:r>
            <w:r w:rsidRPr="0040534B">
              <w:rPr>
                <w:bCs w:val="0"/>
              </w:rPr>
              <w:t>Treatment-resistant</w:t>
            </w:r>
          </w:p>
        </w:tc>
      </w:tr>
      <w:tr w:rsidR="00F03CD4" w:rsidRPr="0040534B" w14:paraId="5F10385A" w14:textId="77777777" w:rsidTr="00C124DD">
        <w:trPr>
          <w:cantSplit/>
          <w:trHeight w:val="20"/>
        </w:trPr>
        <w:tc>
          <w:tcPr>
            <w:tcW w:w="5000" w:type="pct"/>
            <w:vAlign w:val="center"/>
          </w:tcPr>
          <w:p w14:paraId="6D90977B" w14:textId="77777777" w:rsidR="00F03CD4" w:rsidRPr="0040534B" w:rsidRDefault="00F03CD4" w:rsidP="00233388">
            <w:pPr>
              <w:pStyle w:val="TableText0"/>
              <w:keepNext w:val="0"/>
              <w:keepLines/>
              <w:rPr>
                <w:b/>
              </w:rPr>
            </w:pPr>
            <w:r w:rsidRPr="0040534B">
              <w:rPr>
                <w:b/>
              </w:rPr>
              <w:t xml:space="preserve">Condition: </w:t>
            </w:r>
            <w:r w:rsidRPr="0040534B">
              <w:rPr>
                <w:bCs w:val="0"/>
              </w:rPr>
              <w:t>Migraine</w:t>
            </w:r>
          </w:p>
        </w:tc>
      </w:tr>
      <w:tr w:rsidR="00F03CD4" w:rsidRPr="0040534B" w14:paraId="432E3C8F" w14:textId="77777777" w:rsidTr="00C124DD">
        <w:trPr>
          <w:cantSplit/>
          <w:trHeight w:val="20"/>
        </w:trPr>
        <w:tc>
          <w:tcPr>
            <w:tcW w:w="5000" w:type="pct"/>
            <w:vAlign w:val="center"/>
            <w:hideMark/>
          </w:tcPr>
          <w:p w14:paraId="0C4EB97A" w14:textId="77777777" w:rsidR="00F03CD4" w:rsidRPr="0040534B" w:rsidRDefault="00F03CD4" w:rsidP="00233388">
            <w:pPr>
              <w:pStyle w:val="TableText0"/>
              <w:keepNext w:val="0"/>
              <w:keepLines/>
            </w:pPr>
            <w:r w:rsidRPr="0040534B">
              <w:rPr>
                <w:b/>
              </w:rPr>
              <w:t>Indication:</w:t>
            </w:r>
            <w:r w:rsidRPr="0040534B">
              <w:t xml:space="preserve"> Treatment-resistant migraine</w:t>
            </w:r>
          </w:p>
        </w:tc>
      </w:tr>
      <w:tr w:rsidR="00F03CD4" w:rsidRPr="0040534B" w14:paraId="348269E1" w14:textId="77777777" w:rsidTr="00C124DD">
        <w:trPr>
          <w:cantSplit/>
          <w:trHeight w:val="20"/>
        </w:trPr>
        <w:tc>
          <w:tcPr>
            <w:tcW w:w="5000" w:type="pct"/>
            <w:vAlign w:val="center"/>
            <w:hideMark/>
          </w:tcPr>
          <w:p w14:paraId="5FD61F7A" w14:textId="77777777" w:rsidR="00F03CD4" w:rsidRPr="0040534B" w:rsidRDefault="00F03CD4" w:rsidP="00233388">
            <w:pPr>
              <w:pStyle w:val="TableText0"/>
              <w:keepNext w:val="0"/>
              <w:keepLines/>
            </w:pPr>
            <w:r w:rsidRPr="0040534B">
              <w:rPr>
                <w:b/>
              </w:rPr>
              <w:t>Treatment Phase:</w:t>
            </w:r>
            <w:r w:rsidRPr="0040534B">
              <w:t xml:space="preserve"> Initial treatment 1 (new patient)</w:t>
            </w:r>
          </w:p>
        </w:tc>
      </w:tr>
      <w:tr w:rsidR="00F03CD4" w:rsidRPr="0040534B" w14:paraId="432882FB" w14:textId="2C071BD5" w:rsidTr="00E34A5B">
        <w:trPr>
          <w:cantSplit/>
          <w:trHeight w:val="20"/>
        </w:trPr>
        <w:tc>
          <w:tcPr>
            <w:tcW w:w="5000" w:type="pct"/>
            <w:vAlign w:val="center"/>
          </w:tcPr>
          <w:p w14:paraId="38662F11" w14:textId="1559AB23" w:rsidR="00F03CD4" w:rsidRPr="0040534B" w:rsidRDefault="00F03CD4" w:rsidP="00233388">
            <w:pPr>
              <w:pStyle w:val="TableText0"/>
              <w:keepNext w:val="0"/>
              <w:keepLines/>
            </w:pPr>
          </w:p>
        </w:tc>
      </w:tr>
      <w:tr w:rsidR="00F03CD4" w:rsidRPr="0040534B" w14:paraId="1A84887A" w14:textId="77777777" w:rsidTr="00C124DD">
        <w:trPr>
          <w:cantSplit/>
          <w:trHeight w:val="20"/>
        </w:trPr>
        <w:tc>
          <w:tcPr>
            <w:tcW w:w="5000" w:type="pct"/>
            <w:vAlign w:val="center"/>
            <w:hideMark/>
          </w:tcPr>
          <w:p w14:paraId="0435AEEE" w14:textId="77777777" w:rsidR="00F03CD4" w:rsidRPr="0040534B" w:rsidRDefault="00F03CD4" w:rsidP="00233388">
            <w:pPr>
              <w:pStyle w:val="TableText0"/>
              <w:keepNext w:val="0"/>
              <w:keepLines/>
            </w:pPr>
            <w:r w:rsidRPr="0040534B">
              <w:rPr>
                <w:b/>
              </w:rPr>
              <w:lastRenderedPageBreak/>
              <w:t>Clinical criteria:</w:t>
            </w:r>
          </w:p>
        </w:tc>
      </w:tr>
      <w:tr w:rsidR="00F03CD4" w:rsidRPr="0040534B" w14:paraId="311F9B0B" w14:textId="77777777" w:rsidTr="00C124DD">
        <w:trPr>
          <w:cantSplit/>
          <w:trHeight w:val="20"/>
        </w:trPr>
        <w:tc>
          <w:tcPr>
            <w:tcW w:w="5000" w:type="pct"/>
            <w:vAlign w:val="center"/>
            <w:hideMark/>
          </w:tcPr>
          <w:p w14:paraId="697463A5" w14:textId="77777777" w:rsidR="00F03CD4" w:rsidRPr="0040534B" w:rsidRDefault="00F03CD4" w:rsidP="00233388">
            <w:pPr>
              <w:pStyle w:val="TableText0"/>
              <w:keepNext w:val="0"/>
              <w:keepLines/>
              <w:rPr>
                <w:color w:val="0066FF"/>
              </w:rPr>
            </w:pPr>
            <w:r w:rsidRPr="0040534B">
              <w:t>Patient must have experienced, at least 8 days of migraine headache days per month, over a period of at least 6 months, prior to commencement of treatment with this drug for this condition</w:t>
            </w:r>
          </w:p>
        </w:tc>
      </w:tr>
      <w:tr w:rsidR="00F03CD4" w:rsidRPr="0040534B" w14:paraId="1DF5EE2E" w14:textId="77777777" w:rsidTr="00C124DD">
        <w:trPr>
          <w:cantSplit/>
          <w:trHeight w:val="20"/>
        </w:trPr>
        <w:tc>
          <w:tcPr>
            <w:tcW w:w="5000" w:type="pct"/>
            <w:vAlign w:val="center"/>
          </w:tcPr>
          <w:p w14:paraId="248BB044" w14:textId="77777777" w:rsidR="00F03CD4" w:rsidRPr="0040534B" w:rsidRDefault="00F03CD4" w:rsidP="00233388">
            <w:pPr>
              <w:pStyle w:val="TableText0"/>
              <w:keepNext w:val="0"/>
              <w:keepLines/>
            </w:pPr>
            <w:r w:rsidRPr="0040534B">
              <w:rPr>
                <w:b/>
                <w:bCs w:val="0"/>
              </w:rPr>
              <w:t>AND</w:t>
            </w:r>
          </w:p>
        </w:tc>
      </w:tr>
      <w:tr w:rsidR="00F03CD4" w:rsidRPr="0040534B" w14:paraId="0741A30E" w14:textId="77777777" w:rsidTr="00C124DD">
        <w:trPr>
          <w:cantSplit/>
          <w:trHeight w:val="20"/>
        </w:trPr>
        <w:tc>
          <w:tcPr>
            <w:tcW w:w="5000" w:type="pct"/>
            <w:vAlign w:val="center"/>
          </w:tcPr>
          <w:p w14:paraId="7EBF2D81" w14:textId="77777777" w:rsidR="00F03CD4" w:rsidRPr="0040534B" w:rsidRDefault="00F03CD4" w:rsidP="00233388">
            <w:pPr>
              <w:pStyle w:val="TableText0"/>
              <w:keepNext w:val="0"/>
              <w:keepLines/>
            </w:pPr>
            <w:r w:rsidRPr="0040534B">
              <w:rPr>
                <w:b/>
              </w:rPr>
              <w:t>Clinical criteria:</w:t>
            </w:r>
          </w:p>
        </w:tc>
      </w:tr>
      <w:tr w:rsidR="00F03CD4" w:rsidRPr="0040534B" w14:paraId="6728F74B" w14:textId="77777777" w:rsidTr="00C124DD">
        <w:trPr>
          <w:cantSplit/>
          <w:trHeight w:val="20"/>
        </w:trPr>
        <w:tc>
          <w:tcPr>
            <w:tcW w:w="5000" w:type="pct"/>
            <w:vAlign w:val="center"/>
          </w:tcPr>
          <w:p w14:paraId="7C1906DB" w14:textId="77777777" w:rsidR="00F03CD4" w:rsidRPr="0040534B" w:rsidRDefault="00F03CD4" w:rsidP="00233388">
            <w:pPr>
              <w:pStyle w:val="TableText0"/>
              <w:keepNext w:val="0"/>
              <w:keepLines/>
            </w:pPr>
            <w:r w:rsidRPr="0040534B">
              <w:t>Patient must have experienced an inadequate response, intolerance or a contraindication to at least three prophylactic migraine medications prior to commencement of treatment with this drug for this condition</w:t>
            </w:r>
          </w:p>
        </w:tc>
      </w:tr>
      <w:tr w:rsidR="00F03CD4" w:rsidRPr="0040534B" w14:paraId="0E465614" w14:textId="77777777" w:rsidTr="00C124DD">
        <w:trPr>
          <w:cantSplit/>
          <w:trHeight w:val="20"/>
        </w:trPr>
        <w:tc>
          <w:tcPr>
            <w:tcW w:w="5000" w:type="pct"/>
            <w:vAlign w:val="center"/>
          </w:tcPr>
          <w:p w14:paraId="29A3DC47" w14:textId="77777777" w:rsidR="00F03CD4" w:rsidRPr="0040534B" w:rsidRDefault="00F03CD4" w:rsidP="00233388">
            <w:pPr>
              <w:pStyle w:val="TableText0"/>
              <w:keepNext w:val="0"/>
              <w:keepLines/>
            </w:pPr>
            <w:r w:rsidRPr="0040534B">
              <w:rPr>
                <w:b/>
              </w:rPr>
              <w:t>AND</w:t>
            </w:r>
          </w:p>
        </w:tc>
      </w:tr>
      <w:tr w:rsidR="00F03CD4" w:rsidRPr="0040534B" w14:paraId="132E219C" w14:textId="77777777" w:rsidTr="00C124DD">
        <w:trPr>
          <w:cantSplit/>
          <w:trHeight w:val="20"/>
        </w:trPr>
        <w:tc>
          <w:tcPr>
            <w:tcW w:w="5000" w:type="pct"/>
            <w:vAlign w:val="center"/>
          </w:tcPr>
          <w:p w14:paraId="3B60FF47" w14:textId="77777777" w:rsidR="00F03CD4" w:rsidRPr="0040534B" w:rsidRDefault="00F03CD4" w:rsidP="00233388">
            <w:pPr>
              <w:pStyle w:val="TableText0"/>
              <w:keepNext w:val="0"/>
              <w:keepLines/>
            </w:pPr>
            <w:r w:rsidRPr="0040534B">
              <w:rPr>
                <w:b/>
              </w:rPr>
              <w:t>Clinical criteria:</w:t>
            </w:r>
          </w:p>
        </w:tc>
      </w:tr>
      <w:tr w:rsidR="00F03CD4" w:rsidRPr="0040534B" w14:paraId="0F9526A7" w14:textId="77777777" w:rsidTr="00C124DD">
        <w:trPr>
          <w:cantSplit/>
          <w:trHeight w:val="20"/>
        </w:trPr>
        <w:tc>
          <w:tcPr>
            <w:tcW w:w="5000" w:type="pct"/>
            <w:vAlign w:val="center"/>
          </w:tcPr>
          <w:p w14:paraId="6BCC16D7" w14:textId="77777777" w:rsidR="00F03CD4" w:rsidRPr="0040534B" w:rsidRDefault="00F03CD4" w:rsidP="00233388">
            <w:pPr>
              <w:pStyle w:val="TableText0"/>
              <w:keepNext w:val="0"/>
              <w:keepLines/>
            </w:pPr>
            <w:r w:rsidRPr="0040534B">
              <w:t>Patient must be appropriately managed by his or her practitioner for medication overuse headache, prior to initiation of treatment with this drug</w:t>
            </w:r>
          </w:p>
        </w:tc>
      </w:tr>
      <w:tr w:rsidR="00F03CD4" w:rsidRPr="0040534B" w14:paraId="438ED07E" w14:textId="77777777" w:rsidTr="00C124DD">
        <w:trPr>
          <w:cantSplit/>
          <w:trHeight w:val="20"/>
        </w:trPr>
        <w:tc>
          <w:tcPr>
            <w:tcW w:w="5000" w:type="pct"/>
            <w:vAlign w:val="center"/>
            <w:hideMark/>
          </w:tcPr>
          <w:p w14:paraId="67F8818C" w14:textId="77777777" w:rsidR="00F03CD4" w:rsidRPr="0040534B" w:rsidRDefault="00F03CD4" w:rsidP="00233388">
            <w:pPr>
              <w:pStyle w:val="TableText0"/>
              <w:keepNext w:val="0"/>
              <w:keepLines/>
            </w:pPr>
            <w:r w:rsidRPr="0040534B">
              <w:rPr>
                <w:b/>
              </w:rPr>
              <w:t>Treatment criteria:</w:t>
            </w:r>
          </w:p>
        </w:tc>
      </w:tr>
      <w:tr w:rsidR="00F03CD4" w:rsidRPr="0040534B" w14:paraId="58A83A7A" w14:textId="77777777" w:rsidTr="00C124DD">
        <w:trPr>
          <w:cantSplit/>
          <w:trHeight w:val="20"/>
        </w:trPr>
        <w:tc>
          <w:tcPr>
            <w:tcW w:w="5000" w:type="pct"/>
            <w:vAlign w:val="center"/>
            <w:hideMark/>
          </w:tcPr>
          <w:p w14:paraId="58E15C8C" w14:textId="77777777" w:rsidR="00F03CD4" w:rsidRPr="0040534B" w:rsidRDefault="00F03CD4" w:rsidP="00233388">
            <w:pPr>
              <w:pStyle w:val="TableText0"/>
              <w:keepNext w:val="0"/>
              <w:keepLines/>
              <w:rPr>
                <w:i/>
                <w:iCs/>
              </w:rPr>
            </w:pPr>
            <w:r w:rsidRPr="0040534B">
              <w:t>Must be treated by a neurologist</w:t>
            </w:r>
          </w:p>
        </w:tc>
      </w:tr>
      <w:tr w:rsidR="00F03CD4" w:rsidRPr="0040534B" w14:paraId="2D6C2B7E" w14:textId="77777777" w:rsidTr="00C124DD">
        <w:trPr>
          <w:cantSplit/>
          <w:trHeight w:val="20"/>
        </w:trPr>
        <w:tc>
          <w:tcPr>
            <w:tcW w:w="5000" w:type="pct"/>
            <w:vAlign w:val="center"/>
          </w:tcPr>
          <w:p w14:paraId="48D84F6F" w14:textId="77777777" w:rsidR="00F03CD4" w:rsidRPr="0040534B" w:rsidRDefault="00F03CD4" w:rsidP="00233388">
            <w:pPr>
              <w:pStyle w:val="TableText0"/>
              <w:keepNext w:val="0"/>
              <w:keepLines/>
            </w:pPr>
            <w:r w:rsidRPr="0040534B">
              <w:rPr>
                <w:b/>
                <w:bCs w:val="0"/>
              </w:rPr>
              <w:t>AND</w:t>
            </w:r>
          </w:p>
        </w:tc>
      </w:tr>
      <w:tr w:rsidR="00F03CD4" w:rsidRPr="0040534B" w14:paraId="45735235" w14:textId="77777777" w:rsidTr="00C124DD">
        <w:trPr>
          <w:cantSplit/>
          <w:trHeight w:val="20"/>
        </w:trPr>
        <w:tc>
          <w:tcPr>
            <w:tcW w:w="5000" w:type="pct"/>
            <w:vAlign w:val="center"/>
          </w:tcPr>
          <w:p w14:paraId="29CD5645" w14:textId="77777777" w:rsidR="00F03CD4" w:rsidRPr="0040534B" w:rsidRDefault="00F03CD4" w:rsidP="00233388">
            <w:pPr>
              <w:pStyle w:val="TableText0"/>
              <w:keepNext w:val="0"/>
              <w:keepLines/>
            </w:pPr>
            <w:r w:rsidRPr="0040534B">
              <w:rPr>
                <w:b/>
              </w:rPr>
              <w:t>Treatment criteria:</w:t>
            </w:r>
          </w:p>
        </w:tc>
      </w:tr>
      <w:tr w:rsidR="00F03CD4" w:rsidRPr="0040534B" w14:paraId="62177CE8" w14:textId="77777777" w:rsidTr="00C124DD">
        <w:trPr>
          <w:cantSplit/>
          <w:trHeight w:val="20"/>
        </w:trPr>
        <w:tc>
          <w:tcPr>
            <w:tcW w:w="5000" w:type="pct"/>
            <w:vAlign w:val="center"/>
          </w:tcPr>
          <w:p w14:paraId="74259D7B" w14:textId="77777777" w:rsidR="00F03CD4" w:rsidRPr="0040534B" w:rsidRDefault="00F03CD4" w:rsidP="00233388">
            <w:pPr>
              <w:pStyle w:val="TableText0"/>
              <w:keepNext w:val="0"/>
              <w:keepLines/>
            </w:pPr>
            <w:r w:rsidRPr="0040534B">
              <w:t>Patient must not be undergoing concurrent treatment with the following PBS benefits: (i) botulinum toxin type A listed for this PBS indication, (ii) another drug in the same pharmacological class as this drug listed for this PBS indication</w:t>
            </w:r>
          </w:p>
        </w:tc>
      </w:tr>
      <w:tr w:rsidR="00F03CD4" w:rsidRPr="0040534B" w14:paraId="6B94BB85" w14:textId="77777777" w:rsidTr="00C124DD">
        <w:trPr>
          <w:cantSplit/>
          <w:trHeight w:val="20"/>
        </w:trPr>
        <w:tc>
          <w:tcPr>
            <w:tcW w:w="5000" w:type="pct"/>
            <w:vAlign w:val="center"/>
            <w:hideMark/>
          </w:tcPr>
          <w:p w14:paraId="3A1FA89F" w14:textId="77777777" w:rsidR="00F03CD4" w:rsidRPr="0040534B" w:rsidRDefault="00F03CD4" w:rsidP="00233388">
            <w:pPr>
              <w:pStyle w:val="TableText0"/>
              <w:keepNext w:val="0"/>
              <w:keepLines/>
            </w:pPr>
            <w:r w:rsidRPr="0040534B">
              <w:rPr>
                <w:b/>
              </w:rPr>
              <w:t>Population criteria:</w:t>
            </w:r>
          </w:p>
        </w:tc>
      </w:tr>
      <w:tr w:rsidR="00F03CD4" w:rsidRPr="0040534B" w14:paraId="1F4A823A" w14:textId="77777777" w:rsidTr="00C124DD">
        <w:trPr>
          <w:cantSplit/>
          <w:trHeight w:val="20"/>
        </w:trPr>
        <w:tc>
          <w:tcPr>
            <w:tcW w:w="5000" w:type="pct"/>
            <w:vAlign w:val="center"/>
          </w:tcPr>
          <w:p w14:paraId="43EABC67" w14:textId="77777777" w:rsidR="00F03CD4" w:rsidRPr="0040534B" w:rsidRDefault="00F03CD4" w:rsidP="00233388">
            <w:pPr>
              <w:pStyle w:val="TableText0"/>
              <w:keepNext w:val="0"/>
              <w:keepLines/>
              <w:rPr>
                <w:color w:val="0066FF"/>
              </w:rPr>
            </w:pPr>
            <w:r w:rsidRPr="0040534B">
              <w:t>Patient must be aged 18 years or older</w:t>
            </w:r>
          </w:p>
        </w:tc>
      </w:tr>
      <w:tr w:rsidR="00F03CD4" w:rsidRPr="0040534B" w14:paraId="7A6A38DE" w14:textId="77777777" w:rsidTr="00C124DD">
        <w:trPr>
          <w:cantSplit/>
          <w:trHeight w:val="20"/>
        </w:trPr>
        <w:tc>
          <w:tcPr>
            <w:tcW w:w="5000" w:type="pct"/>
            <w:vAlign w:val="center"/>
            <w:hideMark/>
          </w:tcPr>
          <w:p w14:paraId="0872B780" w14:textId="77777777" w:rsidR="00F03CD4" w:rsidRPr="0040534B" w:rsidRDefault="00F03CD4" w:rsidP="00233388">
            <w:pPr>
              <w:pStyle w:val="TableText0"/>
              <w:keepNext w:val="0"/>
              <w:keepLines/>
              <w:rPr>
                <w:bCs w:val="0"/>
                <w:color w:val="0066FF"/>
              </w:rPr>
            </w:pPr>
            <w:r w:rsidRPr="0040534B">
              <w:rPr>
                <w:b/>
              </w:rPr>
              <w:t xml:space="preserve">Prescribing Instructions: </w:t>
            </w:r>
          </w:p>
          <w:p w14:paraId="33F66777" w14:textId="77777777" w:rsidR="00F03CD4" w:rsidRPr="0040534B" w:rsidRDefault="00F03CD4" w:rsidP="00233388">
            <w:pPr>
              <w:pStyle w:val="TableText0"/>
              <w:keepNext w:val="0"/>
              <w:keepLines/>
              <w:rPr>
                <w:bCs w:val="0"/>
              </w:rPr>
            </w:pPr>
            <w:r w:rsidRPr="0040534B">
              <w:rPr>
                <w:bCs w:val="0"/>
              </w:rPr>
              <w:t>Prophylactic migraine medications are propranolol, amitriptyline, pizotifen, candesartan, verapamil, nortriptyline, sodium valproate or topiramate.</w:t>
            </w:r>
          </w:p>
          <w:p w14:paraId="0EEC2264" w14:textId="77777777" w:rsidR="00F03CD4" w:rsidRPr="0040534B" w:rsidRDefault="00F03CD4" w:rsidP="00233388">
            <w:pPr>
              <w:pStyle w:val="TableText0"/>
              <w:keepNext w:val="0"/>
              <w:keepLines/>
              <w:rPr>
                <w:bCs w:val="0"/>
              </w:rPr>
            </w:pPr>
            <w:r w:rsidRPr="0040534B">
              <w:rPr>
                <w:bCs w:val="0"/>
              </w:rPr>
              <w:t>AND</w:t>
            </w:r>
          </w:p>
          <w:p w14:paraId="13F007DC" w14:textId="77777777" w:rsidR="00F03CD4" w:rsidRPr="0040534B" w:rsidRDefault="00F03CD4" w:rsidP="00233388">
            <w:pPr>
              <w:pStyle w:val="TableText0"/>
              <w:keepNext w:val="0"/>
              <w:keepLines/>
            </w:pPr>
            <w:r w:rsidRPr="0040534B">
              <w:rPr>
                <w:bCs w:val="0"/>
              </w:rPr>
              <w:t>Patient must have the number of migraine headache days per month documented in their medical records.</w:t>
            </w:r>
          </w:p>
        </w:tc>
      </w:tr>
      <w:bookmarkEnd w:id="18"/>
    </w:tbl>
    <w:p w14:paraId="58149475" w14:textId="77777777" w:rsidR="00F03CD4" w:rsidRPr="0040534B" w:rsidRDefault="00F03CD4" w:rsidP="002333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F03CD4" w:rsidRPr="0040534B" w14:paraId="3FAB3228" w14:textId="77777777" w:rsidTr="00C124DD">
        <w:trPr>
          <w:cantSplit/>
          <w:trHeight w:val="20"/>
        </w:trPr>
        <w:tc>
          <w:tcPr>
            <w:tcW w:w="5000" w:type="pct"/>
          </w:tcPr>
          <w:p w14:paraId="2890376E" w14:textId="77777777" w:rsidR="00F03CD4" w:rsidRPr="0040534B" w:rsidRDefault="00F03CD4" w:rsidP="004844B8">
            <w:pPr>
              <w:pStyle w:val="TableText0"/>
              <w:keepNext w:val="0"/>
            </w:pPr>
            <w:r w:rsidRPr="0040534B">
              <w:rPr>
                <w:b/>
              </w:rPr>
              <w:t xml:space="preserve">Category / Program: </w:t>
            </w:r>
            <w:r w:rsidRPr="0040534B">
              <w:t>General Schedule</w:t>
            </w:r>
          </w:p>
        </w:tc>
      </w:tr>
      <w:tr w:rsidR="00F03CD4" w:rsidRPr="0040534B" w14:paraId="6972298C" w14:textId="77777777" w:rsidTr="00C124DD">
        <w:trPr>
          <w:cantSplit/>
          <w:trHeight w:val="20"/>
        </w:trPr>
        <w:tc>
          <w:tcPr>
            <w:tcW w:w="5000" w:type="pct"/>
          </w:tcPr>
          <w:p w14:paraId="25AFEF0A" w14:textId="77777777" w:rsidR="00F03CD4" w:rsidRPr="0040534B" w:rsidRDefault="00F03CD4" w:rsidP="004844B8">
            <w:pPr>
              <w:pStyle w:val="TableText0"/>
              <w:keepNext w:val="0"/>
              <w:rPr>
                <w:b/>
              </w:rPr>
            </w:pPr>
            <w:r w:rsidRPr="0040534B">
              <w:rPr>
                <w:b/>
              </w:rPr>
              <w:t xml:space="preserve">Prescriber type: </w:t>
            </w:r>
            <w:r w:rsidRPr="0040534B">
              <w:fldChar w:fldCharType="begin" w:fldLock="1">
                <w:ffData>
                  <w:name w:val="Check1"/>
                  <w:enabled/>
                  <w:calcOnExit w:val="0"/>
                  <w:checkBox>
                    <w:sizeAuto/>
                    <w:default w:val="0"/>
                  </w:checkBox>
                </w:ffData>
              </w:fldChar>
            </w:r>
            <w:r w:rsidRPr="0040534B">
              <w:instrText xml:space="preserve"> FORMCHECKBOX </w:instrText>
            </w:r>
            <w:r w:rsidR="001968FD">
              <w:fldChar w:fldCharType="separate"/>
            </w:r>
            <w:r w:rsidRPr="0040534B">
              <w:fldChar w:fldCharType="end"/>
            </w:r>
            <w:r w:rsidRPr="0040534B">
              <w:t xml:space="preserve">Dental </w:t>
            </w:r>
            <w:r w:rsidRPr="0040534B">
              <w:fldChar w:fldCharType="begin" w:fldLock="1">
                <w:ffData>
                  <w:name w:val=""/>
                  <w:enabled/>
                  <w:calcOnExit w:val="0"/>
                  <w:checkBox>
                    <w:sizeAuto/>
                    <w:default w:val="1"/>
                  </w:checkBox>
                </w:ffData>
              </w:fldChar>
            </w:r>
            <w:r w:rsidRPr="0040534B">
              <w:instrText xml:space="preserve"> FORMCHECKBOX </w:instrText>
            </w:r>
            <w:r w:rsidR="001968FD">
              <w:fldChar w:fldCharType="separate"/>
            </w:r>
            <w:r w:rsidRPr="0040534B">
              <w:fldChar w:fldCharType="end"/>
            </w:r>
            <w:r w:rsidRPr="0040534B">
              <w:t xml:space="preserve">Medical Practitioners </w:t>
            </w:r>
            <w:r w:rsidRPr="0040534B">
              <w:fldChar w:fldCharType="begin" w:fldLock="1">
                <w:ffData>
                  <w:name w:val="Check3"/>
                  <w:enabled/>
                  <w:calcOnExit w:val="0"/>
                  <w:checkBox>
                    <w:sizeAuto/>
                    <w:default w:val="0"/>
                  </w:checkBox>
                </w:ffData>
              </w:fldChar>
            </w:r>
            <w:r w:rsidRPr="0040534B">
              <w:instrText xml:space="preserve"> FORMCHECKBOX </w:instrText>
            </w:r>
            <w:r w:rsidR="001968FD">
              <w:fldChar w:fldCharType="separate"/>
            </w:r>
            <w:r w:rsidRPr="0040534B">
              <w:fldChar w:fldCharType="end"/>
            </w:r>
            <w:r w:rsidRPr="0040534B">
              <w:t xml:space="preserve">Nurse practitioners </w:t>
            </w:r>
            <w:r w:rsidRPr="0040534B">
              <w:fldChar w:fldCharType="begin" w:fldLock="1">
                <w:ffData>
                  <w:name w:val=""/>
                  <w:enabled/>
                  <w:calcOnExit w:val="0"/>
                  <w:checkBox>
                    <w:sizeAuto/>
                    <w:default w:val="0"/>
                  </w:checkBox>
                </w:ffData>
              </w:fldChar>
            </w:r>
            <w:r w:rsidRPr="0040534B">
              <w:instrText xml:space="preserve"> FORMCHECKBOX </w:instrText>
            </w:r>
            <w:r w:rsidR="001968FD">
              <w:fldChar w:fldCharType="separate"/>
            </w:r>
            <w:r w:rsidRPr="0040534B">
              <w:fldChar w:fldCharType="end"/>
            </w:r>
            <w:r w:rsidRPr="0040534B">
              <w:t xml:space="preserve">Optometrists </w:t>
            </w:r>
            <w:r w:rsidRPr="0040534B">
              <w:fldChar w:fldCharType="begin" w:fldLock="1">
                <w:ffData>
                  <w:name w:val="Check5"/>
                  <w:enabled/>
                  <w:calcOnExit w:val="0"/>
                  <w:checkBox>
                    <w:sizeAuto/>
                    <w:default w:val="0"/>
                  </w:checkBox>
                </w:ffData>
              </w:fldChar>
            </w:r>
            <w:r w:rsidRPr="0040534B">
              <w:instrText xml:space="preserve"> FORMCHECKBOX </w:instrText>
            </w:r>
            <w:r w:rsidR="001968FD">
              <w:fldChar w:fldCharType="separate"/>
            </w:r>
            <w:r w:rsidRPr="0040534B">
              <w:fldChar w:fldCharType="end"/>
            </w:r>
          </w:p>
        </w:tc>
      </w:tr>
      <w:tr w:rsidR="00F03CD4" w:rsidRPr="0040534B" w14:paraId="29DBAB25" w14:textId="77777777" w:rsidTr="00C124DD">
        <w:trPr>
          <w:cantSplit/>
          <w:trHeight w:val="20"/>
        </w:trPr>
        <w:tc>
          <w:tcPr>
            <w:tcW w:w="5000" w:type="pct"/>
          </w:tcPr>
          <w:p w14:paraId="5BB0D4AC" w14:textId="77777777" w:rsidR="00F03CD4" w:rsidRPr="0040534B" w:rsidRDefault="00F03CD4" w:rsidP="004844B8">
            <w:pPr>
              <w:pStyle w:val="TableText0"/>
              <w:keepNext w:val="0"/>
              <w:rPr>
                <w:rFonts w:eastAsia="Times New Roman"/>
              </w:rPr>
            </w:pPr>
            <w:r w:rsidRPr="0040534B">
              <w:rPr>
                <w:b/>
              </w:rPr>
              <w:t xml:space="preserve">Restriction type: </w:t>
            </w:r>
            <w:r w:rsidRPr="0040534B">
              <w:rPr>
                <w:rFonts w:eastAsia="Times New Roman"/>
              </w:rPr>
              <w:fldChar w:fldCharType="begin" w:fldLock="1">
                <w:ffData>
                  <w:name w:val=""/>
                  <w:enabled/>
                  <w:calcOnExit w:val="0"/>
                  <w:checkBox>
                    <w:sizeAuto/>
                    <w:default w:val="1"/>
                  </w:checkBox>
                </w:ffData>
              </w:fldChar>
            </w:r>
            <w:r w:rsidRPr="0040534B">
              <w:rPr>
                <w:rFonts w:eastAsia="Times New Roman"/>
              </w:rPr>
              <w:instrText xml:space="preserve"> FORMCHECKBOX </w:instrText>
            </w:r>
            <w:r w:rsidR="001968FD">
              <w:rPr>
                <w:rFonts w:eastAsia="Times New Roman"/>
              </w:rPr>
            </w:r>
            <w:r w:rsidR="001968FD">
              <w:rPr>
                <w:rFonts w:eastAsia="Times New Roman"/>
              </w:rPr>
              <w:fldChar w:fldCharType="separate"/>
            </w:r>
            <w:r w:rsidRPr="0040534B">
              <w:rPr>
                <w:rFonts w:eastAsia="Times New Roman"/>
              </w:rPr>
              <w:fldChar w:fldCharType="end"/>
            </w:r>
            <w:r w:rsidRPr="0040534B">
              <w:rPr>
                <w:rFonts w:eastAsia="Times New Roman"/>
              </w:rPr>
              <w:t xml:space="preserve">Authority Required (STREAMLINED) </w:t>
            </w:r>
          </w:p>
        </w:tc>
      </w:tr>
      <w:tr w:rsidR="00F03CD4" w:rsidRPr="0040534B" w14:paraId="478E7D18" w14:textId="77777777" w:rsidTr="00C124DD">
        <w:trPr>
          <w:cantSplit/>
          <w:trHeight w:val="20"/>
        </w:trPr>
        <w:tc>
          <w:tcPr>
            <w:tcW w:w="5000" w:type="pct"/>
            <w:vAlign w:val="center"/>
          </w:tcPr>
          <w:p w14:paraId="6B416A0E" w14:textId="77777777" w:rsidR="00F03CD4" w:rsidRPr="0040534B" w:rsidRDefault="00F03CD4" w:rsidP="004844B8">
            <w:pPr>
              <w:pStyle w:val="TableText0"/>
              <w:keepNext w:val="0"/>
              <w:rPr>
                <w:b/>
              </w:rPr>
            </w:pPr>
            <w:r w:rsidRPr="0040534B">
              <w:rPr>
                <w:b/>
              </w:rPr>
              <w:t xml:space="preserve">Severity: </w:t>
            </w:r>
            <w:r w:rsidRPr="0040534B">
              <w:rPr>
                <w:bCs w:val="0"/>
              </w:rPr>
              <w:t>Treatment-resistant</w:t>
            </w:r>
          </w:p>
        </w:tc>
      </w:tr>
      <w:tr w:rsidR="00F03CD4" w:rsidRPr="0040534B" w14:paraId="02CF6A0B" w14:textId="77777777" w:rsidTr="00C124DD">
        <w:trPr>
          <w:cantSplit/>
          <w:trHeight w:val="20"/>
        </w:trPr>
        <w:tc>
          <w:tcPr>
            <w:tcW w:w="5000" w:type="pct"/>
            <w:vAlign w:val="center"/>
          </w:tcPr>
          <w:p w14:paraId="4061CBAC" w14:textId="77777777" w:rsidR="00F03CD4" w:rsidRPr="0040534B" w:rsidRDefault="00F03CD4" w:rsidP="004844B8">
            <w:pPr>
              <w:pStyle w:val="TableText0"/>
              <w:keepNext w:val="0"/>
              <w:rPr>
                <w:b/>
              </w:rPr>
            </w:pPr>
            <w:r w:rsidRPr="0040534B">
              <w:rPr>
                <w:b/>
              </w:rPr>
              <w:t xml:space="preserve">Condition: </w:t>
            </w:r>
            <w:r w:rsidRPr="0040534B">
              <w:rPr>
                <w:bCs w:val="0"/>
              </w:rPr>
              <w:t>Migraine</w:t>
            </w:r>
            <w:r w:rsidRPr="0040534B">
              <w:rPr>
                <w:color w:val="0066FF"/>
              </w:rPr>
              <w:t xml:space="preserve"> </w:t>
            </w:r>
          </w:p>
        </w:tc>
      </w:tr>
      <w:tr w:rsidR="00F03CD4" w:rsidRPr="0040534B" w14:paraId="7B48D268" w14:textId="77777777" w:rsidTr="00C124DD">
        <w:trPr>
          <w:cantSplit/>
          <w:trHeight w:val="20"/>
        </w:trPr>
        <w:tc>
          <w:tcPr>
            <w:tcW w:w="5000" w:type="pct"/>
            <w:vAlign w:val="center"/>
            <w:hideMark/>
          </w:tcPr>
          <w:p w14:paraId="6A23D254" w14:textId="77777777" w:rsidR="00F03CD4" w:rsidRPr="0040534B" w:rsidRDefault="00F03CD4" w:rsidP="004844B8">
            <w:pPr>
              <w:pStyle w:val="TableText0"/>
              <w:keepNext w:val="0"/>
            </w:pPr>
            <w:r w:rsidRPr="0040534B">
              <w:rPr>
                <w:b/>
              </w:rPr>
              <w:t>Indication:</w:t>
            </w:r>
            <w:r w:rsidRPr="0040534B">
              <w:t xml:space="preserve"> Treatment-resistant migraine</w:t>
            </w:r>
          </w:p>
        </w:tc>
      </w:tr>
      <w:tr w:rsidR="00F03CD4" w:rsidRPr="0040534B" w14:paraId="6E264CAC" w14:textId="77777777" w:rsidTr="00C124DD">
        <w:trPr>
          <w:cantSplit/>
          <w:trHeight w:val="20"/>
        </w:trPr>
        <w:tc>
          <w:tcPr>
            <w:tcW w:w="5000" w:type="pct"/>
            <w:vAlign w:val="center"/>
            <w:hideMark/>
          </w:tcPr>
          <w:p w14:paraId="33BCD439" w14:textId="77777777" w:rsidR="00F03CD4" w:rsidRPr="0040534B" w:rsidRDefault="00F03CD4" w:rsidP="004844B8">
            <w:pPr>
              <w:pStyle w:val="TableText0"/>
              <w:keepNext w:val="0"/>
            </w:pPr>
            <w:r w:rsidRPr="0040534B">
              <w:rPr>
                <w:b/>
              </w:rPr>
              <w:t>Treatment Phase:</w:t>
            </w:r>
            <w:r w:rsidRPr="0040534B">
              <w:t xml:space="preserve"> </w:t>
            </w:r>
            <w:r w:rsidRPr="0040534B">
              <w:rPr>
                <w:bCs w:val="0"/>
              </w:rPr>
              <w:t>Continuing treatment</w:t>
            </w:r>
          </w:p>
        </w:tc>
      </w:tr>
      <w:tr w:rsidR="00F03CD4" w:rsidRPr="0040534B" w14:paraId="2B4E1F9F" w14:textId="77777777" w:rsidTr="00C124DD">
        <w:trPr>
          <w:cantSplit/>
          <w:trHeight w:val="20"/>
        </w:trPr>
        <w:tc>
          <w:tcPr>
            <w:tcW w:w="5000" w:type="pct"/>
            <w:vAlign w:val="center"/>
            <w:hideMark/>
          </w:tcPr>
          <w:p w14:paraId="4E5844A4" w14:textId="77777777" w:rsidR="00F03CD4" w:rsidRPr="0040534B" w:rsidRDefault="00F03CD4" w:rsidP="004844B8">
            <w:pPr>
              <w:pStyle w:val="TableText0"/>
              <w:keepNext w:val="0"/>
            </w:pPr>
            <w:r w:rsidRPr="0040534B">
              <w:rPr>
                <w:b/>
              </w:rPr>
              <w:t>Clinical criteria:</w:t>
            </w:r>
          </w:p>
        </w:tc>
      </w:tr>
      <w:tr w:rsidR="00F03CD4" w:rsidRPr="0040534B" w14:paraId="3413DB83" w14:textId="77777777" w:rsidTr="00C124DD">
        <w:trPr>
          <w:cantSplit/>
          <w:trHeight w:val="20"/>
        </w:trPr>
        <w:tc>
          <w:tcPr>
            <w:tcW w:w="5000" w:type="pct"/>
            <w:vAlign w:val="center"/>
            <w:hideMark/>
          </w:tcPr>
          <w:p w14:paraId="6F1FDAA5" w14:textId="77777777" w:rsidR="00F03CD4" w:rsidRPr="0040534B" w:rsidRDefault="00F03CD4" w:rsidP="004844B8">
            <w:pPr>
              <w:pStyle w:val="TableText0"/>
              <w:keepNext w:val="0"/>
            </w:pPr>
            <w:r w:rsidRPr="0040534B">
              <w:t>Patient must have previously received PBS-subsidised treatment with this drug for this condition</w:t>
            </w:r>
          </w:p>
        </w:tc>
      </w:tr>
      <w:tr w:rsidR="00F03CD4" w:rsidRPr="0040534B" w14:paraId="365E5312" w14:textId="77777777" w:rsidTr="00C124DD">
        <w:trPr>
          <w:cantSplit/>
          <w:trHeight w:val="20"/>
        </w:trPr>
        <w:tc>
          <w:tcPr>
            <w:tcW w:w="5000" w:type="pct"/>
            <w:vAlign w:val="center"/>
            <w:hideMark/>
          </w:tcPr>
          <w:p w14:paraId="78D8F5E5" w14:textId="77777777" w:rsidR="00F03CD4" w:rsidRPr="0040534B" w:rsidRDefault="00F03CD4" w:rsidP="004844B8">
            <w:pPr>
              <w:pStyle w:val="TableText0"/>
              <w:keepNext w:val="0"/>
            </w:pPr>
            <w:r w:rsidRPr="0040534B">
              <w:rPr>
                <w:b/>
              </w:rPr>
              <w:t>AND</w:t>
            </w:r>
          </w:p>
        </w:tc>
      </w:tr>
      <w:tr w:rsidR="00F03CD4" w:rsidRPr="0040534B" w14:paraId="7B8C8830" w14:textId="77777777" w:rsidTr="00C124DD">
        <w:trPr>
          <w:cantSplit/>
          <w:trHeight w:val="20"/>
        </w:trPr>
        <w:tc>
          <w:tcPr>
            <w:tcW w:w="5000" w:type="pct"/>
            <w:vAlign w:val="center"/>
            <w:hideMark/>
          </w:tcPr>
          <w:p w14:paraId="5BA59D33" w14:textId="77777777" w:rsidR="00F03CD4" w:rsidRPr="0040534B" w:rsidRDefault="00F03CD4" w:rsidP="004844B8">
            <w:pPr>
              <w:pStyle w:val="TableText0"/>
              <w:keepNext w:val="0"/>
            </w:pPr>
            <w:r w:rsidRPr="0040534B">
              <w:rPr>
                <w:b/>
              </w:rPr>
              <w:t>Clinical criteria:</w:t>
            </w:r>
          </w:p>
        </w:tc>
      </w:tr>
      <w:tr w:rsidR="00F03CD4" w:rsidRPr="0040534B" w14:paraId="2943C88D" w14:textId="77777777" w:rsidTr="00C124DD">
        <w:trPr>
          <w:cantSplit/>
          <w:trHeight w:val="20"/>
        </w:trPr>
        <w:tc>
          <w:tcPr>
            <w:tcW w:w="5000" w:type="pct"/>
            <w:vAlign w:val="center"/>
            <w:hideMark/>
          </w:tcPr>
          <w:p w14:paraId="59519165" w14:textId="77777777" w:rsidR="00F03CD4" w:rsidRPr="0040534B" w:rsidRDefault="00F03CD4" w:rsidP="004844B8">
            <w:pPr>
              <w:pStyle w:val="TableText0"/>
              <w:keepNext w:val="0"/>
              <w:rPr>
                <w:color w:val="0066FF"/>
              </w:rPr>
            </w:pPr>
            <w:r w:rsidRPr="0040534B">
              <w:t>Patient must have achieved and maintained a 50% or greater reduction from baseline in the number of migraine headache days per month</w:t>
            </w:r>
          </w:p>
        </w:tc>
      </w:tr>
      <w:tr w:rsidR="00F03CD4" w:rsidRPr="0040534B" w14:paraId="2A754F64" w14:textId="77777777" w:rsidTr="00C124DD">
        <w:trPr>
          <w:cantSplit/>
          <w:trHeight w:val="20"/>
        </w:trPr>
        <w:tc>
          <w:tcPr>
            <w:tcW w:w="5000" w:type="pct"/>
            <w:vAlign w:val="center"/>
          </w:tcPr>
          <w:p w14:paraId="2871A28A" w14:textId="77777777" w:rsidR="00F03CD4" w:rsidRPr="0040534B" w:rsidRDefault="00F03CD4" w:rsidP="004844B8">
            <w:pPr>
              <w:pStyle w:val="TableText0"/>
              <w:keepNext w:val="0"/>
              <w:rPr>
                <w:b/>
                <w:bCs w:val="0"/>
                <w:color w:val="0066FF"/>
              </w:rPr>
            </w:pPr>
            <w:r w:rsidRPr="0040534B">
              <w:rPr>
                <w:b/>
                <w:bCs w:val="0"/>
              </w:rPr>
              <w:t>AND</w:t>
            </w:r>
          </w:p>
        </w:tc>
      </w:tr>
      <w:tr w:rsidR="00F03CD4" w:rsidRPr="0040534B" w14:paraId="76E3B97E" w14:textId="77777777" w:rsidTr="00C124DD">
        <w:trPr>
          <w:cantSplit/>
          <w:trHeight w:val="20"/>
        </w:trPr>
        <w:tc>
          <w:tcPr>
            <w:tcW w:w="5000" w:type="pct"/>
            <w:vAlign w:val="center"/>
          </w:tcPr>
          <w:p w14:paraId="71737F33" w14:textId="77777777" w:rsidR="00F03CD4" w:rsidRPr="0040534B" w:rsidRDefault="00F03CD4" w:rsidP="004844B8">
            <w:pPr>
              <w:pStyle w:val="TableText0"/>
              <w:keepNext w:val="0"/>
              <w:rPr>
                <w:color w:val="0066FF"/>
              </w:rPr>
            </w:pPr>
            <w:r w:rsidRPr="0040534B">
              <w:rPr>
                <w:b/>
              </w:rPr>
              <w:t>Clinical criteria:</w:t>
            </w:r>
          </w:p>
        </w:tc>
      </w:tr>
      <w:tr w:rsidR="00F03CD4" w:rsidRPr="0040534B" w14:paraId="2C66B66B" w14:textId="77777777" w:rsidTr="00C124DD">
        <w:trPr>
          <w:cantSplit/>
          <w:trHeight w:val="20"/>
        </w:trPr>
        <w:tc>
          <w:tcPr>
            <w:tcW w:w="5000" w:type="pct"/>
            <w:vAlign w:val="center"/>
          </w:tcPr>
          <w:p w14:paraId="194FFB41" w14:textId="77777777" w:rsidR="00F03CD4" w:rsidRPr="0040534B" w:rsidRDefault="00F03CD4" w:rsidP="004844B8">
            <w:pPr>
              <w:pStyle w:val="TableText0"/>
              <w:keepNext w:val="0"/>
              <w:rPr>
                <w:color w:val="0066FF"/>
              </w:rPr>
            </w:pPr>
            <w:r w:rsidRPr="0040534B">
              <w:t>Patient must continue to be appropriately managed for medication overuse headache</w:t>
            </w:r>
          </w:p>
        </w:tc>
      </w:tr>
      <w:tr w:rsidR="00F03CD4" w:rsidRPr="0040534B" w14:paraId="38B97D5A" w14:textId="77777777" w:rsidTr="00C124DD">
        <w:trPr>
          <w:cantSplit/>
          <w:trHeight w:val="20"/>
        </w:trPr>
        <w:tc>
          <w:tcPr>
            <w:tcW w:w="5000" w:type="pct"/>
            <w:vAlign w:val="center"/>
            <w:hideMark/>
          </w:tcPr>
          <w:p w14:paraId="7B70FD7C" w14:textId="77777777" w:rsidR="00F03CD4" w:rsidRPr="0040534B" w:rsidRDefault="00F03CD4" w:rsidP="004844B8">
            <w:pPr>
              <w:pStyle w:val="TableText0"/>
              <w:keepNext w:val="0"/>
            </w:pPr>
            <w:r w:rsidRPr="0040534B">
              <w:rPr>
                <w:b/>
              </w:rPr>
              <w:t>Treatment criteria:</w:t>
            </w:r>
          </w:p>
        </w:tc>
      </w:tr>
      <w:tr w:rsidR="00F03CD4" w:rsidRPr="0040534B" w14:paraId="1823D64F" w14:textId="77777777" w:rsidTr="00C124DD">
        <w:trPr>
          <w:cantSplit/>
          <w:trHeight w:val="20"/>
        </w:trPr>
        <w:tc>
          <w:tcPr>
            <w:tcW w:w="5000" w:type="pct"/>
            <w:vAlign w:val="center"/>
            <w:hideMark/>
          </w:tcPr>
          <w:p w14:paraId="3F0AB08D" w14:textId="77777777" w:rsidR="00F03CD4" w:rsidRPr="0040534B" w:rsidRDefault="00F03CD4" w:rsidP="004844B8">
            <w:pPr>
              <w:pStyle w:val="TableText0"/>
              <w:keepNext w:val="0"/>
              <w:rPr>
                <w:i/>
                <w:iCs/>
              </w:rPr>
            </w:pPr>
            <w:r w:rsidRPr="0040534B">
              <w:t>Must be treated by a neurologist</w:t>
            </w:r>
          </w:p>
        </w:tc>
      </w:tr>
      <w:tr w:rsidR="00F03CD4" w:rsidRPr="0040534B" w14:paraId="2D5258B9" w14:textId="77777777" w:rsidTr="00C124DD">
        <w:trPr>
          <w:cantSplit/>
          <w:trHeight w:val="20"/>
        </w:trPr>
        <w:tc>
          <w:tcPr>
            <w:tcW w:w="5000" w:type="pct"/>
            <w:vAlign w:val="center"/>
          </w:tcPr>
          <w:p w14:paraId="31E15A4F" w14:textId="77777777" w:rsidR="00F03CD4" w:rsidRPr="0040534B" w:rsidRDefault="00F03CD4" w:rsidP="004844B8">
            <w:pPr>
              <w:pStyle w:val="TableText0"/>
              <w:keepNext w:val="0"/>
              <w:rPr>
                <w:color w:val="0066FF"/>
              </w:rPr>
            </w:pPr>
            <w:r w:rsidRPr="0040534B">
              <w:rPr>
                <w:b/>
                <w:bCs w:val="0"/>
              </w:rPr>
              <w:t>AND</w:t>
            </w:r>
          </w:p>
        </w:tc>
      </w:tr>
      <w:tr w:rsidR="00F03CD4" w:rsidRPr="0040534B" w14:paraId="07319D8D" w14:textId="77777777" w:rsidTr="00C124DD">
        <w:trPr>
          <w:cantSplit/>
          <w:trHeight w:val="20"/>
        </w:trPr>
        <w:tc>
          <w:tcPr>
            <w:tcW w:w="5000" w:type="pct"/>
            <w:vAlign w:val="center"/>
          </w:tcPr>
          <w:p w14:paraId="4B228ABF" w14:textId="77777777" w:rsidR="00F03CD4" w:rsidRPr="0040534B" w:rsidRDefault="00F03CD4" w:rsidP="004844B8">
            <w:pPr>
              <w:pStyle w:val="TableText0"/>
              <w:keepNext w:val="0"/>
              <w:rPr>
                <w:color w:val="0066FF"/>
              </w:rPr>
            </w:pPr>
            <w:r w:rsidRPr="0040534B">
              <w:rPr>
                <w:b/>
              </w:rPr>
              <w:t>Treatment criteria:</w:t>
            </w:r>
          </w:p>
        </w:tc>
      </w:tr>
      <w:tr w:rsidR="00F03CD4" w:rsidRPr="0040534B" w14:paraId="682E1205" w14:textId="77777777" w:rsidTr="00C124DD">
        <w:trPr>
          <w:cantSplit/>
          <w:trHeight w:val="20"/>
        </w:trPr>
        <w:tc>
          <w:tcPr>
            <w:tcW w:w="5000" w:type="pct"/>
            <w:vAlign w:val="center"/>
          </w:tcPr>
          <w:p w14:paraId="1575EDBC" w14:textId="77777777" w:rsidR="00F03CD4" w:rsidRPr="0040534B" w:rsidRDefault="00F03CD4" w:rsidP="004844B8">
            <w:pPr>
              <w:pStyle w:val="TableText0"/>
              <w:keepNext w:val="0"/>
              <w:rPr>
                <w:color w:val="0066FF"/>
              </w:rPr>
            </w:pPr>
            <w:r w:rsidRPr="0040534B">
              <w:t>Patient must not be undergoing concurrent treatment with the following PBS benefits: (i) botulinum toxin type A listed for this PBS indication, (ii) another drug in the same pharmacological class as this drug listed for this PBS indication</w:t>
            </w:r>
          </w:p>
        </w:tc>
      </w:tr>
      <w:tr w:rsidR="00F03CD4" w:rsidRPr="0040534B" w14:paraId="3702737D" w14:textId="77777777" w:rsidTr="00C124DD">
        <w:trPr>
          <w:cantSplit/>
          <w:trHeight w:val="20"/>
        </w:trPr>
        <w:tc>
          <w:tcPr>
            <w:tcW w:w="5000" w:type="pct"/>
            <w:vAlign w:val="center"/>
            <w:hideMark/>
          </w:tcPr>
          <w:p w14:paraId="4A764A05" w14:textId="77777777" w:rsidR="00F03CD4" w:rsidRPr="0040534B" w:rsidRDefault="00F03CD4" w:rsidP="004844B8">
            <w:pPr>
              <w:pStyle w:val="TableText0"/>
              <w:keepNext w:val="0"/>
            </w:pPr>
            <w:r w:rsidRPr="0040534B">
              <w:rPr>
                <w:b/>
              </w:rPr>
              <w:t>Population criteria:</w:t>
            </w:r>
          </w:p>
        </w:tc>
      </w:tr>
      <w:tr w:rsidR="00F03CD4" w:rsidRPr="0040534B" w14:paraId="726F95B2" w14:textId="77777777" w:rsidTr="00C124DD">
        <w:trPr>
          <w:cantSplit/>
          <w:trHeight w:val="20"/>
        </w:trPr>
        <w:tc>
          <w:tcPr>
            <w:tcW w:w="5000" w:type="pct"/>
            <w:vAlign w:val="center"/>
          </w:tcPr>
          <w:p w14:paraId="74155BCC" w14:textId="77777777" w:rsidR="00F03CD4" w:rsidRPr="0040534B" w:rsidRDefault="00F03CD4" w:rsidP="004844B8">
            <w:pPr>
              <w:pStyle w:val="TableText0"/>
              <w:keepNext w:val="0"/>
              <w:rPr>
                <w:color w:val="0066FF"/>
              </w:rPr>
            </w:pPr>
            <w:r w:rsidRPr="0040534B">
              <w:lastRenderedPageBreak/>
              <w:t>Patient must be aged 18 years or older</w:t>
            </w:r>
          </w:p>
        </w:tc>
      </w:tr>
      <w:tr w:rsidR="00F03CD4" w:rsidRPr="0040534B" w14:paraId="7E20329A" w14:textId="77777777" w:rsidTr="00C124DD">
        <w:trPr>
          <w:cantSplit/>
          <w:trHeight w:val="20"/>
        </w:trPr>
        <w:tc>
          <w:tcPr>
            <w:tcW w:w="5000" w:type="pct"/>
            <w:vAlign w:val="center"/>
            <w:hideMark/>
          </w:tcPr>
          <w:p w14:paraId="3DCEBFC8" w14:textId="77777777" w:rsidR="00F03CD4" w:rsidRPr="0040534B" w:rsidRDefault="00F03CD4" w:rsidP="004844B8">
            <w:pPr>
              <w:pStyle w:val="TableText0"/>
              <w:keepNext w:val="0"/>
              <w:rPr>
                <w:b/>
              </w:rPr>
            </w:pPr>
            <w:r w:rsidRPr="0040534B">
              <w:rPr>
                <w:b/>
              </w:rPr>
              <w:t xml:space="preserve">Prescribing Instructions: </w:t>
            </w:r>
          </w:p>
          <w:p w14:paraId="3FA027B5" w14:textId="77777777" w:rsidR="00F03CD4" w:rsidRPr="0040534B" w:rsidRDefault="00F03CD4" w:rsidP="004844B8">
            <w:pPr>
              <w:pStyle w:val="TableText0"/>
              <w:keepNext w:val="0"/>
            </w:pPr>
            <w:r w:rsidRPr="0040534B">
              <w:rPr>
                <w:bCs w:val="0"/>
              </w:rPr>
              <w:t>Patient must have the number of migraine days per month documented in their medical records.</w:t>
            </w:r>
          </w:p>
        </w:tc>
      </w:tr>
    </w:tbl>
    <w:p w14:paraId="1B6E285C" w14:textId="5F4B2D03" w:rsidR="00F03CD4" w:rsidRPr="0040534B" w:rsidRDefault="00F03CD4" w:rsidP="00F03CD4">
      <w:pPr>
        <w:pStyle w:val="ExecSumBodyText"/>
        <w:numPr>
          <w:ilvl w:val="1"/>
          <w:numId w:val="4"/>
        </w:numPr>
      </w:pPr>
      <w:bookmarkStart w:id="19" w:name="_Hlk133440903"/>
      <w:r w:rsidRPr="0040534B">
        <w:t>A Special Pricing Agreement (SPA) was requested for atogepant</w:t>
      </w:r>
      <w:r w:rsidR="00365599" w:rsidRPr="0040534B">
        <w:t>, with</w:t>
      </w:r>
      <w:r w:rsidRPr="0040534B">
        <w:t xml:space="preserve"> </w:t>
      </w:r>
      <w:r w:rsidR="00365599" w:rsidRPr="0040534B">
        <w:t>t</w:t>
      </w:r>
      <w:r w:rsidRPr="0040534B">
        <w:t xml:space="preserve">he effective approved ex-manufacturer price (AEMP) </w:t>
      </w:r>
      <w:r w:rsidR="00365599" w:rsidRPr="0040534B">
        <w:t xml:space="preserve">to </w:t>
      </w:r>
      <w:r w:rsidRPr="0040534B">
        <w:t xml:space="preserve">be calculated using </w:t>
      </w:r>
      <w:r w:rsidR="00365599" w:rsidRPr="0040534B">
        <w:t xml:space="preserve">the proposed </w:t>
      </w:r>
      <w:r w:rsidR="00041933" w:rsidRPr="0040534B">
        <w:t>CMA</w:t>
      </w:r>
      <w:r w:rsidRPr="0040534B">
        <w:t xml:space="preserve"> and the effective price of galcanezumab.</w:t>
      </w:r>
    </w:p>
    <w:p w14:paraId="6C0F12AF" w14:textId="5452A336" w:rsidR="00F03CD4" w:rsidRPr="0040534B" w:rsidRDefault="00F03CD4" w:rsidP="00F03CD4">
      <w:pPr>
        <w:pStyle w:val="ExecSumBodyText"/>
        <w:numPr>
          <w:ilvl w:val="1"/>
          <w:numId w:val="4"/>
        </w:numPr>
      </w:pPr>
      <w:bookmarkStart w:id="20" w:name="_Hlk134022119"/>
      <w:r w:rsidRPr="0040534B">
        <w:t>The submission did not propose a grandfathering restriction</w:t>
      </w:r>
      <w:r w:rsidR="00251DFE" w:rsidRPr="0040534B">
        <w:t>, but it was noted that the proposed initial treatment restriction would allow patients receiving non-PBS subsidised atogepant to commence PBS-subsidised treatment</w:t>
      </w:r>
      <w:r w:rsidRPr="0040534B">
        <w:t>.</w:t>
      </w:r>
    </w:p>
    <w:bookmarkEnd w:id="20"/>
    <w:p w14:paraId="194CA56F" w14:textId="262CF51C" w:rsidR="00F03CD4" w:rsidRPr="0040534B" w:rsidRDefault="00F03CD4" w:rsidP="00F03CD4">
      <w:pPr>
        <w:pStyle w:val="ExecSumBodyText"/>
        <w:numPr>
          <w:ilvl w:val="1"/>
          <w:numId w:val="4"/>
        </w:numPr>
      </w:pPr>
      <w:r w:rsidRPr="0040534B">
        <w:t xml:space="preserve">The proposed restrictions were narrower than the draft TGA indication, which required patients to have at least four migraine days per month and did not require patients to have failed or be contraindicated to any prophylactic/preventive medications. </w:t>
      </w:r>
    </w:p>
    <w:bookmarkEnd w:id="19"/>
    <w:p w14:paraId="2C734F7E" w14:textId="678EFA38" w:rsidR="00F03CD4" w:rsidRPr="0040534B" w:rsidRDefault="00F03CD4" w:rsidP="00F03CD4">
      <w:pPr>
        <w:pStyle w:val="ExecSumBodyText"/>
        <w:numPr>
          <w:ilvl w:val="1"/>
          <w:numId w:val="4"/>
        </w:numPr>
      </w:pPr>
      <w:r w:rsidRPr="0040534B">
        <w:t xml:space="preserve">The proposed restrictions were not consistent with the </w:t>
      </w:r>
      <w:r w:rsidR="00CB56D9" w:rsidRPr="0040534B">
        <w:t xml:space="preserve">clinical </w:t>
      </w:r>
      <w:r w:rsidRPr="0040534B">
        <w:t>evidence, which included participants with episodic migraine who experience between four and seven migraine headache days and participants with chronic or episodic migraine who had failed less than three preventive medicines.</w:t>
      </w:r>
    </w:p>
    <w:p w14:paraId="5483C374" w14:textId="378350B9" w:rsidR="006045A2" w:rsidRPr="0040534B" w:rsidRDefault="00CB56D9" w:rsidP="006045A2">
      <w:pPr>
        <w:pStyle w:val="ExecSumBodyText"/>
        <w:numPr>
          <w:ilvl w:val="1"/>
          <w:numId w:val="4"/>
        </w:numPr>
      </w:pPr>
      <w:r w:rsidRPr="0040534B">
        <w:t xml:space="preserve">The ESC noted that the draft Product Information also included a 10 mg dose which was recommended for patients who use strong CYP3A4 or OATP inhibitors or have severe renal impairment. </w:t>
      </w:r>
    </w:p>
    <w:p w14:paraId="3AA347C3" w14:textId="0343A0FD" w:rsidR="006045A2" w:rsidRPr="0040534B" w:rsidRDefault="006045A2" w:rsidP="006045A2">
      <w:pPr>
        <w:pStyle w:val="ExecSumBodyText"/>
        <w:ind w:firstLine="0"/>
        <w:rPr>
          <w:i/>
          <w:iCs/>
        </w:rPr>
      </w:pPr>
      <w:r w:rsidRPr="0040534B">
        <w:rPr>
          <w:i/>
          <w:iCs/>
        </w:rPr>
        <w:t>For more detail on PBAC’s view, see section 7 PBAC outcome.</w:t>
      </w:r>
    </w:p>
    <w:p w14:paraId="5EBD6924" w14:textId="020CF9F9" w:rsidR="00F03CD4" w:rsidRPr="0040534B" w:rsidDel="00195452" w:rsidRDefault="00F03CD4" w:rsidP="00F03CD4">
      <w:pPr>
        <w:pStyle w:val="2-SectionHeading"/>
      </w:pPr>
      <w:bookmarkStart w:id="21" w:name="_Toc135214008"/>
      <w:r w:rsidRPr="0040534B" w:rsidDel="00195452">
        <w:t>Population and disease</w:t>
      </w:r>
      <w:bookmarkEnd w:id="21"/>
    </w:p>
    <w:p w14:paraId="23777826" w14:textId="797C1109" w:rsidR="00F03CD4" w:rsidRPr="0040534B" w:rsidRDefault="00F03CD4" w:rsidP="00F03CD4">
      <w:pPr>
        <w:pStyle w:val="3-BodyText"/>
      </w:pPr>
      <w:r w:rsidRPr="0040534B">
        <w:t>A migraine is characteri</w:t>
      </w:r>
      <w:r w:rsidR="00B624B5" w:rsidRPr="0040534B">
        <w:t>s</w:t>
      </w:r>
      <w:r w:rsidRPr="0040534B">
        <w:t>ed by moderate to severe attacks of unilateral pulsating head pain, associated with photophobia, phonophobia, nausea and/or vomiting, typically lasting four to 72 hours.</w:t>
      </w:r>
      <w:r w:rsidRPr="0040534B">
        <w:rPr>
          <w:rStyle w:val="FootnoteReference"/>
        </w:rPr>
        <w:footnoteReference w:id="1"/>
      </w:r>
      <w:r w:rsidRPr="0040534B">
        <w:t xml:space="preserve"> Classification of migraine disease activity is typically performed based on The International Classification of Headache Disorders 3rd Edition (ICHD-3).</w:t>
      </w:r>
      <w:r w:rsidRPr="0040534B">
        <w:rPr>
          <w:vertAlign w:val="superscript"/>
        </w:rPr>
        <w:t>3</w:t>
      </w:r>
      <w:r w:rsidRPr="0040534B">
        <w:t xml:space="preserve"> Migraine is typically classified as occurring with or without aura.</w:t>
      </w:r>
    </w:p>
    <w:p w14:paraId="39491D20" w14:textId="70DC9CB4" w:rsidR="00F03CD4" w:rsidRPr="0040534B" w:rsidRDefault="00F03CD4" w:rsidP="00F03CD4">
      <w:pPr>
        <w:pStyle w:val="3-BodyText"/>
      </w:pPr>
      <w:r w:rsidRPr="0040534B">
        <w:t xml:space="preserve">Migraine can be further </w:t>
      </w:r>
      <w:r w:rsidR="00EE0D4F" w:rsidRPr="0040534B">
        <w:t xml:space="preserve">defined as </w:t>
      </w:r>
      <w:r w:rsidRPr="0040534B">
        <w:t xml:space="preserve">chronic or episodic migraine. The ICHD-3 defined chronic migraine as 15 or more headache days per month with at least eight days meeting the criteria for migraine with or without aura. The ICHD-3 did not specifically define episodic migraine; however, other studies defined episodic migraine as those with migraine who have 14 or fewer headache days per month. Episodic migraine can be further </w:t>
      </w:r>
      <w:r w:rsidR="00EE0D4F" w:rsidRPr="0040534B">
        <w:t xml:space="preserve">defined as </w:t>
      </w:r>
      <w:r w:rsidRPr="0040534B">
        <w:t xml:space="preserve">low-frequency episodic migraine and HFEM. </w:t>
      </w:r>
    </w:p>
    <w:p w14:paraId="26BF5DF0" w14:textId="7C0BC805" w:rsidR="00F03CD4" w:rsidRPr="0040534B" w:rsidRDefault="00F03CD4" w:rsidP="00F03CD4">
      <w:pPr>
        <w:pStyle w:val="3-BodyText"/>
      </w:pPr>
      <w:r w:rsidRPr="0040534B">
        <w:t xml:space="preserve">Migraine can be diagnosed by a general practitioner. Patients who have failed to respond to a therapeutic trial of multiple preventive medications and have a </w:t>
      </w:r>
      <w:r w:rsidRPr="0040534B">
        <w:lastRenderedPageBreak/>
        <w:t xml:space="preserve">significant burden of symptoms or comorbid medication-overuse headaches, or patients for whom the diagnosis is uncertain, should be referred for shared management with a neurologist with expertise in headache or a tertiary headache clinic. Patients such as these are often managed collaboratively by their neurologists and general practitioners; however, only neurologists can prescribe </w:t>
      </w:r>
      <w:r w:rsidR="00EE0D4F" w:rsidRPr="0040534B">
        <w:t xml:space="preserve">PBS-subsidised </w:t>
      </w:r>
      <w:r w:rsidRPr="0040534B">
        <w:t>botulinum toxin type A or CGRP inhibitors.</w:t>
      </w:r>
    </w:p>
    <w:p w14:paraId="1683942F" w14:textId="36EF41A6" w:rsidR="00F03CD4" w:rsidRPr="0040534B" w:rsidRDefault="00F03CD4" w:rsidP="00F03CD4">
      <w:pPr>
        <w:pStyle w:val="3-BodyText"/>
      </w:pPr>
      <w:r w:rsidRPr="0040534B">
        <w:t>To be eligible for</w:t>
      </w:r>
      <w:r w:rsidR="00EE0D4F" w:rsidRPr="0040534B">
        <w:t xml:space="preserve"> PBS-subsidised</w:t>
      </w:r>
      <w:r w:rsidRPr="0040534B">
        <w:t xml:space="preserve"> </w:t>
      </w:r>
      <w:r w:rsidR="0021556D" w:rsidRPr="0040534B">
        <w:t>botulinum toxin type A or CGRP inhibitors</w:t>
      </w:r>
      <w:r w:rsidRPr="0040534B">
        <w:t>, patients must have failed to achieve an adequate response to at least three prior preventive migraine medications (e.g., propranolol, amitriptyline, pizotifen, candesartan, verapamil, nortriptyline, sodium valproate or topiramate). Once commenced on therapy, a patient must achieve and maintain a 50% or greater reduction from baseline in the number of migraine days per month after a specified period of time (12 weeks for CGRP inhibitors, 24 weeks for botulinum toxin type A) in order to be eligible for continuing PBS-subsidised treatment.</w:t>
      </w:r>
    </w:p>
    <w:p w14:paraId="50D89A4D" w14:textId="756FFF7E" w:rsidR="00F03CD4" w:rsidRPr="0040534B" w:rsidRDefault="00F03CD4" w:rsidP="00F03CD4">
      <w:pPr>
        <w:pStyle w:val="3-BodyText"/>
      </w:pPr>
      <w:r w:rsidRPr="0040534B">
        <w:t>The submission proposed that atogepant be added as a therapy option for patients with chronic migraine and HFEM.</w:t>
      </w:r>
    </w:p>
    <w:p w14:paraId="38C237CD" w14:textId="5D8E5A7A" w:rsidR="00F478FB" w:rsidRPr="0040534B" w:rsidRDefault="00F478FB" w:rsidP="00F478FB">
      <w:pPr>
        <w:pStyle w:val="Caption"/>
        <w:jc w:val="left"/>
      </w:pPr>
      <w:r w:rsidRPr="0040534B">
        <w:t xml:space="preserve">Figure </w:t>
      </w:r>
      <w:r w:rsidR="001968FD">
        <w:fldChar w:fldCharType="begin" w:fldLock="1"/>
      </w:r>
      <w:r w:rsidR="001968FD">
        <w:instrText xml:space="preserve"> SEQ Figure \* ARABIC </w:instrText>
      </w:r>
      <w:r w:rsidR="001968FD">
        <w:fldChar w:fldCharType="separate"/>
      </w:r>
      <w:r w:rsidR="004E201F">
        <w:rPr>
          <w:noProof/>
        </w:rPr>
        <w:t>1</w:t>
      </w:r>
      <w:r w:rsidR="001968FD">
        <w:rPr>
          <w:noProof/>
        </w:rPr>
        <w:fldChar w:fldCharType="end"/>
      </w:r>
      <w:r w:rsidRPr="0040534B">
        <w:t>: Proposed treatment algorithm for atogepant</w:t>
      </w:r>
      <w:r w:rsidRPr="0040534B">
        <w:rPr>
          <w:noProof/>
        </w:rPr>
        <w:drawing>
          <wp:inline distT="0" distB="0" distL="0" distR="0" wp14:anchorId="0DE377A9" wp14:editId="25A4C657">
            <wp:extent cx="5731263" cy="3301807"/>
            <wp:effectExtent l="0" t="0" r="3175" b="0"/>
            <wp:docPr id="9" name="Picture 9" descr="Figure 1: Proposed treatment algorithm for atoge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Proposed treatment algorithm for atogep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7218" cy="3305237"/>
                    </a:xfrm>
                    <a:prstGeom prst="rect">
                      <a:avLst/>
                    </a:prstGeom>
                    <a:noFill/>
                  </pic:spPr>
                </pic:pic>
              </a:graphicData>
            </a:graphic>
          </wp:inline>
        </w:drawing>
      </w:r>
    </w:p>
    <w:p w14:paraId="700BE77F" w14:textId="77777777" w:rsidR="00F478FB" w:rsidRPr="0040534B" w:rsidRDefault="00F478FB" w:rsidP="00F478FB">
      <w:pPr>
        <w:pStyle w:val="FooterTableFigure"/>
      </w:pPr>
      <w:r w:rsidRPr="0040534B">
        <w:t>Source: Figure 1-3, p15 of the submission.</w:t>
      </w:r>
    </w:p>
    <w:p w14:paraId="13BCF4C4" w14:textId="732231BF" w:rsidR="00F478FB" w:rsidRPr="0040534B" w:rsidRDefault="00F478FB" w:rsidP="00F478FB">
      <w:pPr>
        <w:pStyle w:val="FooterTableFigure"/>
      </w:pPr>
      <w:r w:rsidRPr="0040534B">
        <w:t xml:space="preserve">HFEM = </w:t>
      </w:r>
      <w:r w:rsidR="00B434C6" w:rsidRPr="0040534B">
        <w:t>h</w:t>
      </w:r>
      <w:r w:rsidRPr="0040534B">
        <w:t>igh frequency episodic migraine.</w:t>
      </w:r>
    </w:p>
    <w:p w14:paraId="20A463E7" w14:textId="23613252" w:rsidR="00F03CD4" w:rsidRPr="0040534B" w:rsidRDefault="00F03CD4" w:rsidP="002B3477">
      <w:pPr>
        <w:pStyle w:val="3-BodyText"/>
      </w:pPr>
      <w:r w:rsidRPr="0040534B">
        <w:t xml:space="preserve">The submission noted that patients who do not meet the continuation criteria are currently </w:t>
      </w:r>
      <w:r w:rsidR="00EE0D4F" w:rsidRPr="0040534B">
        <w:t xml:space="preserve">able </w:t>
      </w:r>
      <w:r w:rsidRPr="0040534B">
        <w:t xml:space="preserve">to initiate an alternative PBS treatment. The submission claimed that the availability of atogepant with its alternative mechanism of action and </w:t>
      </w:r>
      <w:r w:rsidR="00E34A5B" w:rsidRPr="0040534B">
        <w:t>oral administration</w:t>
      </w:r>
      <w:r w:rsidRPr="0040534B">
        <w:t xml:space="preserve"> would lead to an increase in the amount of treatment sequencing that occurs compared with current practice. Additionally, the submission claimed that </w:t>
      </w:r>
      <w:r w:rsidRPr="0040534B">
        <w:lastRenderedPageBreak/>
        <w:t xml:space="preserve">eligible patients currently unsuitable for injections or needle phobic may seek treatment with atogepant if it listed on the PBS. </w:t>
      </w:r>
    </w:p>
    <w:p w14:paraId="3B5122AF" w14:textId="77777777" w:rsidR="006045A2" w:rsidRPr="0040534B" w:rsidRDefault="00F03CD4" w:rsidP="006045A2">
      <w:pPr>
        <w:pStyle w:val="3-BodyText"/>
      </w:pPr>
      <w:r w:rsidRPr="0040534B">
        <w:t xml:space="preserve">Atogepant is an orally administered, CGRP receptor antagonist. Atogepant competes with CGRP for occupancy at these receptors, preventing the actions of CGRP and its ability to induce and perpetuate migraine headache pain. </w:t>
      </w:r>
    </w:p>
    <w:p w14:paraId="143AEEC1" w14:textId="0F2FE42C" w:rsidR="006045A2" w:rsidRPr="0040534B" w:rsidRDefault="006045A2" w:rsidP="006045A2">
      <w:pPr>
        <w:pStyle w:val="3-BodyText"/>
        <w:numPr>
          <w:ilvl w:val="0"/>
          <w:numId w:val="0"/>
        </w:numPr>
        <w:ind w:left="720"/>
        <w:rPr>
          <w:i/>
          <w:iCs/>
        </w:rPr>
      </w:pPr>
      <w:r w:rsidRPr="0040534B">
        <w:rPr>
          <w:i/>
          <w:iCs/>
        </w:rPr>
        <w:t>For more detail on PBAC’s view, see section 7 PBAC outcome.</w:t>
      </w:r>
    </w:p>
    <w:p w14:paraId="5C1C40A1" w14:textId="77777777" w:rsidR="00F03CD4" w:rsidRPr="0040534B" w:rsidRDefault="00F03CD4" w:rsidP="00F03CD4">
      <w:pPr>
        <w:pStyle w:val="2-SectionHeading"/>
      </w:pPr>
      <w:bookmarkStart w:id="22" w:name="_Toc135214009"/>
      <w:r w:rsidRPr="0040534B">
        <w:t>Comparator</w:t>
      </w:r>
      <w:bookmarkEnd w:id="22"/>
    </w:p>
    <w:p w14:paraId="42E84EC8" w14:textId="337DDE81" w:rsidR="00F03CD4" w:rsidRPr="0040534B" w:rsidRDefault="00F03CD4" w:rsidP="00F03CD4">
      <w:pPr>
        <w:pStyle w:val="3-BodyText"/>
        <w:rPr>
          <w:snapToGrid/>
        </w:rPr>
      </w:pPr>
      <w:r w:rsidRPr="0040534B">
        <w:rPr>
          <w:snapToGrid/>
        </w:rPr>
        <w:t xml:space="preserve">The submission nominated galcanezumab and fremanezumab as the comparators for atogepant. The main arguments provided in support of this nomination were that they are the only PBS listed CGRP inhibitors for chronic migraine, with both recommended </w:t>
      </w:r>
      <w:r w:rsidR="002103F2" w:rsidRPr="0040534B">
        <w:rPr>
          <w:snapToGrid/>
        </w:rPr>
        <w:t xml:space="preserve">for PBS listing </w:t>
      </w:r>
      <w:r w:rsidRPr="0040534B">
        <w:rPr>
          <w:snapToGrid/>
        </w:rPr>
        <w:t>for the HFEM population. The submission noted that there is a difference in the mechanism of action w</w:t>
      </w:r>
      <w:r w:rsidR="00EE0D4F" w:rsidRPr="0040534B">
        <w:rPr>
          <w:snapToGrid/>
        </w:rPr>
        <w:t>ith</w:t>
      </w:r>
      <w:r w:rsidRPr="0040534B">
        <w:rPr>
          <w:snapToGrid/>
        </w:rPr>
        <w:t xml:space="preserve"> galcanezumab and fremanezumab molecules bin</w:t>
      </w:r>
      <w:r w:rsidR="00EE0D4F" w:rsidRPr="0040534B">
        <w:rPr>
          <w:snapToGrid/>
        </w:rPr>
        <w:t>ding</w:t>
      </w:r>
      <w:r w:rsidRPr="0040534B">
        <w:rPr>
          <w:snapToGrid/>
        </w:rPr>
        <w:t xml:space="preserve"> to the CGRP peptide and atogepant bind</w:t>
      </w:r>
      <w:r w:rsidR="00EE0D4F" w:rsidRPr="0040534B">
        <w:rPr>
          <w:snapToGrid/>
        </w:rPr>
        <w:t>ing</w:t>
      </w:r>
      <w:r w:rsidRPr="0040534B">
        <w:rPr>
          <w:snapToGrid/>
        </w:rPr>
        <w:t xml:space="preserve"> to the CGRP receptor. The </w:t>
      </w:r>
      <w:r w:rsidR="00CB56D9" w:rsidRPr="0040534B">
        <w:rPr>
          <w:snapToGrid/>
        </w:rPr>
        <w:t xml:space="preserve">ESC considered that the </w:t>
      </w:r>
      <w:r w:rsidRPr="0040534B">
        <w:rPr>
          <w:snapToGrid/>
        </w:rPr>
        <w:t xml:space="preserve">proposed comparators were appropriate. </w:t>
      </w:r>
    </w:p>
    <w:p w14:paraId="652336E1" w14:textId="3FC9C0E3" w:rsidR="00F03CD4" w:rsidRPr="0040534B" w:rsidRDefault="00F03CD4" w:rsidP="00F03CD4">
      <w:pPr>
        <w:pStyle w:val="3-BodyText"/>
        <w:rPr>
          <w:snapToGrid/>
        </w:rPr>
      </w:pPr>
      <w:r w:rsidRPr="0040534B">
        <w:rPr>
          <w:snapToGrid/>
        </w:rPr>
        <w:t xml:space="preserve">The submission noted that eptinezumab was recommended for listing </w:t>
      </w:r>
      <w:r w:rsidR="00EE0D4F" w:rsidRPr="0040534B">
        <w:rPr>
          <w:snapToGrid/>
        </w:rPr>
        <w:t>for</w:t>
      </w:r>
      <w:r w:rsidRPr="0040534B">
        <w:rPr>
          <w:snapToGrid/>
        </w:rPr>
        <w:t xml:space="preserve"> the chronic migraine indication in July 2022</w:t>
      </w:r>
      <w:r w:rsidR="00E34A5B" w:rsidRPr="0040534B">
        <w:rPr>
          <w:snapToGrid/>
        </w:rPr>
        <w:t xml:space="preserve"> but is not </w:t>
      </w:r>
      <w:r w:rsidR="00341998" w:rsidRPr="0040534B">
        <w:rPr>
          <w:snapToGrid/>
        </w:rPr>
        <w:t xml:space="preserve">currently </w:t>
      </w:r>
      <w:r w:rsidR="00E34A5B" w:rsidRPr="0040534B">
        <w:rPr>
          <w:snapToGrid/>
        </w:rPr>
        <w:t>listed on the PBS</w:t>
      </w:r>
      <w:r w:rsidRPr="0040534B">
        <w:rPr>
          <w:snapToGrid/>
        </w:rPr>
        <w:t xml:space="preserve">. The submission excluded eptinezumab as a comparator stating its uptake by general practitioners would be limited since it is administered as an intravenous infusion. Eptinezumab is an anti-CGRP antibody and was recommended on the basis of a cost-minimisation approach versus galcanezumab and fremanezumab. </w:t>
      </w:r>
      <w:bookmarkStart w:id="23" w:name="_Hlk133442973"/>
      <w:r w:rsidRPr="0040534B">
        <w:rPr>
          <w:snapToGrid/>
        </w:rPr>
        <w:t>Eptinezumab could be considered a near market comparator for atogepant.</w:t>
      </w:r>
      <w:bookmarkEnd w:id="23"/>
    </w:p>
    <w:p w14:paraId="31C115B2" w14:textId="77777777" w:rsidR="00F8324F" w:rsidRPr="0040534B" w:rsidRDefault="00F03CD4" w:rsidP="00F8324F">
      <w:pPr>
        <w:pStyle w:val="3-BodyText"/>
      </w:pPr>
      <w:bookmarkStart w:id="24" w:name="_Ref107305379"/>
      <w:r w:rsidRPr="0040534B">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satisfied, it must make a statement to this effect.</w:t>
      </w:r>
      <w:bookmarkEnd w:id="24"/>
      <w:r w:rsidRPr="0040534B">
        <w:t xml:space="preserve"> </w:t>
      </w:r>
      <w:bookmarkStart w:id="25" w:name="_Ref134435913"/>
      <w:bookmarkStart w:id="26" w:name="_Ref107305381"/>
    </w:p>
    <w:p w14:paraId="5BF1FA39" w14:textId="5F5DEFB0" w:rsidR="006045A2" w:rsidRPr="0040534B" w:rsidRDefault="00F03CD4" w:rsidP="00F8324F">
      <w:pPr>
        <w:pStyle w:val="3-BodyText"/>
      </w:pPr>
      <w:r w:rsidRPr="0040534B">
        <w:t>For the requested population, the following PBS-listed medicines may be considered alternative therapies because they could be replaced in practice:</w:t>
      </w:r>
      <w:r w:rsidR="00B624B5" w:rsidRPr="0040534B">
        <w:t xml:space="preserve"> galcanezumab,</w:t>
      </w:r>
      <w:r w:rsidRPr="0040534B">
        <w:t xml:space="preserve"> fremanezumab </w:t>
      </w:r>
      <w:r w:rsidR="006F04A7" w:rsidRPr="0040534B">
        <w:t xml:space="preserve">in chronic migraine (and HFEM, should they be listed on the PBS for this indication </w:t>
      </w:r>
      <w:r w:rsidRPr="0040534B">
        <w:t xml:space="preserve">and eptinezumab </w:t>
      </w:r>
      <w:r w:rsidR="006F04A7" w:rsidRPr="0040534B">
        <w:t xml:space="preserve">in chronic migraine </w:t>
      </w:r>
      <w:r w:rsidR="004C0864" w:rsidRPr="0040534B">
        <w:t xml:space="preserve">should </w:t>
      </w:r>
      <w:r w:rsidR="006F04A7" w:rsidRPr="0040534B">
        <w:t xml:space="preserve">it </w:t>
      </w:r>
      <w:r w:rsidR="004C0864" w:rsidRPr="0040534B">
        <w:t xml:space="preserve">be </w:t>
      </w:r>
      <w:r w:rsidR="002B3477" w:rsidRPr="0040534B">
        <w:t>listed on the</w:t>
      </w:r>
      <w:r w:rsidR="004C0864" w:rsidRPr="0040534B">
        <w:t xml:space="preserve"> PBS</w:t>
      </w:r>
      <w:r w:rsidRPr="0040534B">
        <w:t xml:space="preserve">). </w:t>
      </w:r>
      <w:bookmarkEnd w:id="25"/>
      <w:bookmarkEnd w:id="26"/>
    </w:p>
    <w:p w14:paraId="19E58699" w14:textId="426ED088" w:rsidR="001968FD" w:rsidRDefault="006045A2" w:rsidP="006045A2">
      <w:pPr>
        <w:pStyle w:val="3-BodyText"/>
        <w:numPr>
          <w:ilvl w:val="0"/>
          <w:numId w:val="0"/>
        </w:numPr>
        <w:ind w:left="720"/>
        <w:rPr>
          <w:i/>
          <w:iCs/>
        </w:rPr>
      </w:pPr>
      <w:r w:rsidRPr="0040534B">
        <w:rPr>
          <w:i/>
          <w:iCs/>
        </w:rPr>
        <w:t>For more detail on PBAC’s view, see section 7 PBAC outcome.</w:t>
      </w:r>
    </w:p>
    <w:p w14:paraId="3042D8F5" w14:textId="77777777" w:rsidR="001968FD" w:rsidRDefault="001968FD">
      <w:pPr>
        <w:jc w:val="left"/>
        <w:rPr>
          <w:rFonts w:asciiTheme="minorHAnsi" w:hAnsiTheme="minorHAnsi"/>
          <w:i/>
          <w:iCs/>
          <w:snapToGrid w:val="0"/>
        </w:rPr>
      </w:pPr>
      <w:r>
        <w:rPr>
          <w:i/>
          <w:iCs/>
        </w:rPr>
        <w:br w:type="page"/>
      </w:r>
    </w:p>
    <w:p w14:paraId="15696504" w14:textId="77777777" w:rsidR="00F03CD4" w:rsidRPr="0040534B" w:rsidRDefault="00F03CD4" w:rsidP="00F03CD4">
      <w:pPr>
        <w:pStyle w:val="2-SectionHeading"/>
      </w:pPr>
      <w:bookmarkStart w:id="27" w:name="_Toc135214010"/>
      <w:bookmarkStart w:id="28" w:name="_Toc22897640"/>
      <w:r w:rsidRPr="0040534B">
        <w:t>Consideration of the evidence</w:t>
      </w:r>
      <w:bookmarkEnd w:id="27"/>
    </w:p>
    <w:p w14:paraId="5DD5F748" w14:textId="77777777" w:rsidR="006045A2" w:rsidRPr="0040534B" w:rsidRDefault="006045A2" w:rsidP="008400C6">
      <w:pPr>
        <w:pStyle w:val="4-SubsectionHeading"/>
      </w:pPr>
      <w:bookmarkStart w:id="29" w:name="_Hlk76375935"/>
      <w:bookmarkStart w:id="30" w:name="_Toc135214011"/>
      <w:r w:rsidRPr="0040534B">
        <w:t>Sponsor hearing</w:t>
      </w:r>
    </w:p>
    <w:p w14:paraId="0C40A620" w14:textId="64F5BA19" w:rsidR="006045A2" w:rsidRPr="0040534B" w:rsidRDefault="006045A2" w:rsidP="00F8324F">
      <w:pPr>
        <w:widowControl w:val="0"/>
        <w:numPr>
          <w:ilvl w:val="1"/>
          <w:numId w:val="4"/>
        </w:numPr>
        <w:spacing w:after="120"/>
        <w:rPr>
          <w:rFonts w:cs="Calibri"/>
          <w:bCs/>
          <w:snapToGrid w:val="0"/>
        </w:rPr>
      </w:pPr>
      <w:r w:rsidRPr="0040534B">
        <w:rPr>
          <w:rFonts w:cs="Calibri"/>
          <w:bCs/>
          <w:snapToGrid w:val="0"/>
        </w:rPr>
        <w:t>There was no hearing for this item.</w:t>
      </w:r>
    </w:p>
    <w:p w14:paraId="2731DFE9" w14:textId="77777777" w:rsidR="006045A2" w:rsidRPr="0040534B" w:rsidRDefault="006045A2" w:rsidP="008400C6">
      <w:pPr>
        <w:pStyle w:val="4-SubsectionHeading"/>
      </w:pPr>
      <w:r w:rsidRPr="0040534B">
        <w:lastRenderedPageBreak/>
        <w:t>Consumer comments</w:t>
      </w:r>
    </w:p>
    <w:p w14:paraId="3F67AFA8" w14:textId="014C3A4C" w:rsidR="006045A2" w:rsidRPr="0040534B" w:rsidRDefault="006045A2" w:rsidP="006045A2">
      <w:pPr>
        <w:widowControl w:val="0"/>
        <w:numPr>
          <w:ilvl w:val="1"/>
          <w:numId w:val="4"/>
        </w:numPr>
        <w:spacing w:after="120"/>
        <w:rPr>
          <w:rFonts w:asciiTheme="minorHAnsi" w:hAnsiTheme="minorHAnsi"/>
          <w:bCs/>
          <w:snapToGrid w:val="0"/>
        </w:rPr>
      </w:pPr>
      <w:bookmarkStart w:id="31" w:name="_Hlk76382618"/>
      <w:r w:rsidRPr="0040534B">
        <w:rPr>
          <w:rFonts w:asciiTheme="minorHAnsi" w:hAnsiTheme="minorHAnsi"/>
          <w:bCs/>
          <w:snapToGrid w:val="0"/>
        </w:rPr>
        <w:t>The PBAC noted and welcomed the input from individuals (4</w:t>
      </w:r>
      <w:r w:rsidR="008400C6" w:rsidRPr="0040534B">
        <w:rPr>
          <w:rFonts w:asciiTheme="minorHAnsi" w:hAnsiTheme="minorHAnsi"/>
          <w:bCs/>
          <w:snapToGrid w:val="0"/>
        </w:rPr>
        <w:t>3</w:t>
      </w:r>
      <w:r w:rsidRPr="0040534B">
        <w:rPr>
          <w:rFonts w:asciiTheme="minorHAnsi" w:hAnsiTheme="minorHAnsi"/>
          <w:bCs/>
          <w:snapToGrid w:val="0"/>
        </w:rPr>
        <w:t xml:space="preserve">), health care </w:t>
      </w:r>
      <w:r w:rsidR="00603DE9" w:rsidRPr="0040534B">
        <w:rPr>
          <w:rFonts w:asciiTheme="minorHAnsi" w:hAnsiTheme="minorHAnsi"/>
          <w:bCs/>
          <w:snapToGrid w:val="0"/>
        </w:rPr>
        <w:t xml:space="preserve">professionals </w:t>
      </w:r>
      <w:r w:rsidRPr="0040534B">
        <w:rPr>
          <w:rFonts w:asciiTheme="minorHAnsi" w:hAnsiTheme="minorHAnsi"/>
          <w:bCs/>
          <w:snapToGrid w:val="0"/>
        </w:rPr>
        <w:t>and organisations (</w:t>
      </w:r>
      <w:r w:rsidR="008400C6" w:rsidRPr="0040534B">
        <w:rPr>
          <w:rFonts w:asciiTheme="minorHAnsi" w:hAnsiTheme="minorHAnsi"/>
          <w:bCs/>
          <w:snapToGrid w:val="0"/>
        </w:rPr>
        <w:t>3</w:t>
      </w:r>
      <w:r w:rsidRPr="0040534B">
        <w:rPr>
          <w:rFonts w:asciiTheme="minorHAnsi" w:hAnsiTheme="minorHAnsi"/>
          <w:bCs/>
          <w:snapToGrid w:val="0"/>
        </w:rPr>
        <w:t>) via the Consumer Comments facility on the PBS website</w:t>
      </w:r>
      <w:r w:rsidR="0040534B">
        <w:rPr>
          <w:rFonts w:asciiTheme="minorHAnsi" w:hAnsiTheme="minorHAnsi"/>
          <w:bCs/>
          <w:snapToGrid w:val="0"/>
        </w:rPr>
        <w:t xml:space="preserve">. </w:t>
      </w:r>
      <w:r w:rsidRPr="0040534B">
        <w:rPr>
          <w:rFonts w:asciiTheme="minorHAnsi" w:hAnsiTheme="minorHAnsi"/>
          <w:bCs/>
          <w:snapToGrid w:val="0"/>
        </w:rPr>
        <w:t xml:space="preserve">The comments </w:t>
      </w:r>
      <w:r w:rsidR="008400C6" w:rsidRPr="0040534B">
        <w:rPr>
          <w:rFonts w:asciiTheme="minorHAnsi" w:hAnsiTheme="minorHAnsi"/>
          <w:bCs/>
          <w:snapToGrid w:val="0"/>
        </w:rPr>
        <w:t xml:space="preserve">from individuals and the consumer organisations, Migraine &amp; Headache Australia and the Australian and New Zealand Headache Society, strongly supported the submission. </w:t>
      </w:r>
      <w:bookmarkStart w:id="32" w:name="_Hlk140667895"/>
      <w:r w:rsidR="008400C6" w:rsidRPr="0040534B">
        <w:rPr>
          <w:rFonts w:asciiTheme="minorHAnsi" w:hAnsiTheme="minorHAnsi"/>
          <w:bCs/>
          <w:snapToGrid w:val="0"/>
        </w:rPr>
        <w:t xml:space="preserve">They </w:t>
      </w:r>
      <w:r w:rsidRPr="0040534B">
        <w:rPr>
          <w:rFonts w:asciiTheme="minorHAnsi" w:hAnsiTheme="minorHAnsi"/>
          <w:bCs/>
          <w:snapToGrid w:val="0"/>
        </w:rPr>
        <w:t xml:space="preserve">described </w:t>
      </w:r>
      <w:r w:rsidR="008400C6" w:rsidRPr="0040534B">
        <w:rPr>
          <w:rFonts w:asciiTheme="minorHAnsi" w:hAnsiTheme="minorHAnsi"/>
          <w:bCs/>
          <w:snapToGrid w:val="0"/>
        </w:rPr>
        <w:t xml:space="preserve">the need for new and effective oral migraine treatments, the potential benefits of atogepant in preventing migraine pain and frequency and the decreased likelihood of side effects. The comments also described the effects of migraines on quality of life, including the debilitating effect of migraines and a decreased ability to work, study and socialise. </w:t>
      </w:r>
      <w:bookmarkEnd w:id="32"/>
    </w:p>
    <w:p w14:paraId="756AA352" w14:textId="08E778C5" w:rsidR="006045A2" w:rsidRPr="0040534B" w:rsidRDefault="006045A2" w:rsidP="008400C6">
      <w:pPr>
        <w:widowControl w:val="0"/>
        <w:numPr>
          <w:ilvl w:val="1"/>
          <w:numId w:val="4"/>
        </w:numPr>
        <w:spacing w:after="120"/>
        <w:rPr>
          <w:rFonts w:asciiTheme="minorHAnsi" w:hAnsiTheme="minorHAnsi"/>
          <w:bCs/>
          <w:snapToGrid w:val="0"/>
        </w:rPr>
      </w:pPr>
      <w:bookmarkStart w:id="33" w:name="_Hlk140668007"/>
      <w:r w:rsidRPr="0040534B">
        <w:rPr>
          <w:rFonts w:asciiTheme="minorHAnsi" w:hAnsiTheme="minorHAnsi"/>
          <w:bCs/>
          <w:snapToGrid w:val="0"/>
        </w:rPr>
        <w:t xml:space="preserve">The PBAC noted the advice received from </w:t>
      </w:r>
      <w:r w:rsidR="008400C6" w:rsidRPr="0040534B">
        <w:rPr>
          <w:rFonts w:asciiTheme="minorHAnsi" w:hAnsiTheme="minorHAnsi"/>
          <w:bCs/>
          <w:snapToGrid w:val="0"/>
        </w:rPr>
        <w:t>Migraine Australia</w:t>
      </w:r>
      <w:r w:rsidRPr="0040534B">
        <w:rPr>
          <w:rFonts w:asciiTheme="minorHAnsi" w:hAnsiTheme="minorHAnsi"/>
          <w:bCs/>
          <w:snapToGrid w:val="0"/>
        </w:rPr>
        <w:t xml:space="preserve"> </w:t>
      </w:r>
      <w:r w:rsidR="008400C6" w:rsidRPr="0040534B">
        <w:rPr>
          <w:rFonts w:asciiTheme="minorHAnsi" w:hAnsiTheme="minorHAnsi"/>
          <w:bCs/>
          <w:snapToGrid w:val="0"/>
        </w:rPr>
        <w:t xml:space="preserve">which </w:t>
      </w:r>
      <w:r w:rsidR="00F8324F" w:rsidRPr="0040534B">
        <w:rPr>
          <w:rFonts w:asciiTheme="minorHAnsi" w:hAnsiTheme="minorHAnsi"/>
          <w:bCs/>
          <w:snapToGrid w:val="0"/>
        </w:rPr>
        <w:t xml:space="preserve">provided a detailed description of </w:t>
      </w:r>
      <w:r w:rsidR="008400C6" w:rsidRPr="0040534B">
        <w:rPr>
          <w:rFonts w:asciiTheme="minorHAnsi" w:hAnsiTheme="minorHAnsi"/>
          <w:bCs/>
          <w:snapToGrid w:val="0"/>
        </w:rPr>
        <w:t xml:space="preserve">the impact of migraine and the available therapies. The advice also highlighted the importance of the availability of alternate </w:t>
      </w:r>
      <w:r w:rsidR="00F8324F" w:rsidRPr="0040534B">
        <w:rPr>
          <w:rFonts w:asciiTheme="minorHAnsi" w:hAnsiTheme="minorHAnsi"/>
          <w:bCs/>
          <w:snapToGrid w:val="0"/>
        </w:rPr>
        <w:t xml:space="preserve">and oral </w:t>
      </w:r>
      <w:r w:rsidR="008400C6" w:rsidRPr="0040534B">
        <w:rPr>
          <w:rFonts w:asciiTheme="minorHAnsi" w:hAnsiTheme="minorHAnsi"/>
          <w:bCs/>
          <w:snapToGrid w:val="0"/>
        </w:rPr>
        <w:t>options</w:t>
      </w:r>
      <w:r w:rsidR="00F8324F" w:rsidRPr="0040534B">
        <w:rPr>
          <w:rFonts w:asciiTheme="minorHAnsi" w:hAnsiTheme="minorHAnsi"/>
          <w:bCs/>
          <w:snapToGrid w:val="0"/>
        </w:rPr>
        <w:t xml:space="preserve"> for migraine prophylaxis and </w:t>
      </w:r>
      <w:r w:rsidR="0098625A" w:rsidRPr="0040534B">
        <w:rPr>
          <w:rFonts w:asciiTheme="minorHAnsi" w:hAnsiTheme="minorHAnsi"/>
          <w:bCs/>
          <w:snapToGrid w:val="0"/>
        </w:rPr>
        <w:t xml:space="preserve">clarified </w:t>
      </w:r>
      <w:r w:rsidRPr="0040534B">
        <w:rPr>
          <w:rFonts w:asciiTheme="minorHAnsi" w:hAnsiTheme="minorHAnsi"/>
          <w:bCs/>
          <w:snapToGrid w:val="0"/>
        </w:rPr>
        <w:t xml:space="preserve">the likely use of </w:t>
      </w:r>
      <w:r w:rsidR="00F8324F" w:rsidRPr="0040534B">
        <w:rPr>
          <w:rFonts w:asciiTheme="minorHAnsi" w:hAnsiTheme="minorHAnsi"/>
          <w:bCs/>
          <w:snapToGrid w:val="0"/>
        </w:rPr>
        <w:t>atogepant</w:t>
      </w:r>
      <w:r w:rsidRPr="0040534B">
        <w:rPr>
          <w:rFonts w:asciiTheme="minorHAnsi" w:hAnsiTheme="minorHAnsi"/>
          <w:bCs/>
          <w:snapToGrid w:val="0"/>
        </w:rPr>
        <w:t xml:space="preserve"> in clinical practice</w:t>
      </w:r>
      <w:r w:rsidR="0040534B">
        <w:rPr>
          <w:rFonts w:asciiTheme="minorHAnsi" w:hAnsiTheme="minorHAnsi"/>
          <w:bCs/>
          <w:snapToGrid w:val="0"/>
        </w:rPr>
        <w:t xml:space="preserve">. </w:t>
      </w:r>
      <w:r w:rsidRPr="0040534B">
        <w:rPr>
          <w:rFonts w:asciiTheme="minorHAnsi" w:hAnsiTheme="minorHAnsi"/>
          <w:bCs/>
          <w:snapToGrid w:val="0"/>
        </w:rPr>
        <w:t xml:space="preserve">The PBAC specifically noted the advice that the use of </w:t>
      </w:r>
      <w:r w:rsidR="00F8324F" w:rsidRPr="0040534B">
        <w:rPr>
          <w:rFonts w:asciiTheme="minorHAnsi" w:hAnsiTheme="minorHAnsi"/>
          <w:bCs/>
          <w:snapToGrid w:val="0"/>
        </w:rPr>
        <w:t>atogepant</w:t>
      </w:r>
      <w:r w:rsidRPr="0040534B">
        <w:rPr>
          <w:rFonts w:asciiTheme="minorHAnsi" w:hAnsiTheme="minorHAnsi"/>
          <w:bCs/>
          <w:snapToGrid w:val="0"/>
        </w:rPr>
        <w:t xml:space="preserve"> may </w:t>
      </w:r>
      <w:r w:rsidR="00F8324F" w:rsidRPr="0040534B">
        <w:rPr>
          <w:rFonts w:asciiTheme="minorHAnsi" w:hAnsiTheme="minorHAnsi"/>
          <w:bCs/>
          <w:snapToGrid w:val="0"/>
        </w:rPr>
        <w:t xml:space="preserve">improve the quality of life of migraine sufferers. </w:t>
      </w:r>
      <w:bookmarkEnd w:id="29"/>
      <w:bookmarkEnd w:id="31"/>
      <w:r w:rsidR="00987646">
        <w:t>T</w:t>
      </w:r>
      <w:r w:rsidR="00987646" w:rsidRPr="00987646">
        <w:rPr>
          <w:rFonts w:asciiTheme="minorHAnsi" w:hAnsiTheme="minorHAnsi"/>
          <w:bCs/>
          <w:snapToGrid w:val="0"/>
        </w:rPr>
        <w:t>he PBAC noted that this advice was supportive of the need for new migraine treatments</w:t>
      </w:r>
    </w:p>
    <w:bookmarkEnd w:id="33"/>
    <w:p w14:paraId="0754FE3B" w14:textId="77777777" w:rsidR="00F03CD4" w:rsidRPr="0040534B" w:rsidRDefault="00F03CD4" w:rsidP="00F03CD4">
      <w:pPr>
        <w:pStyle w:val="4-SubsectionHeading"/>
      </w:pPr>
      <w:r w:rsidRPr="0040534B">
        <w:t>Clinical trials</w:t>
      </w:r>
      <w:bookmarkEnd w:id="28"/>
      <w:bookmarkEnd w:id="30"/>
    </w:p>
    <w:p w14:paraId="62A9E49D" w14:textId="314E28BF" w:rsidR="00F03CD4" w:rsidRPr="0040534B" w:rsidRDefault="00F03CD4" w:rsidP="00F03CD4">
      <w:pPr>
        <w:pStyle w:val="3-BodyText"/>
      </w:pPr>
      <w:r w:rsidRPr="0040534B">
        <w:t>No head-to-head trials were available comparing atogepant to galcanezumab or fremanezumab for chronic or episodic migraine. The submission was based on 14 clinical trials consisting of 16 trial populations (of which six were included for chronic migraine and ten for episodic migraine).</w:t>
      </w:r>
      <w:r w:rsidR="00B4502F" w:rsidRPr="0040534B">
        <w:t xml:space="preserve"> An independent search using the submission’s search terms located several potentially relevant trials. The atogepant </w:t>
      </w:r>
      <w:r w:rsidR="00C420F1" w:rsidRPr="0040534B">
        <w:t>ELEVATE</w:t>
      </w:r>
      <w:r w:rsidR="00D272A3" w:rsidRPr="0040534B">
        <w:t xml:space="preserve"> </w:t>
      </w:r>
      <w:r w:rsidR="00B4502F" w:rsidRPr="0040534B">
        <w:t xml:space="preserve">trial </w:t>
      </w:r>
      <w:r w:rsidR="00603DE9" w:rsidRPr="0040534B">
        <w:t xml:space="preserve">(NCT04740827; available only as a conference abstract) </w:t>
      </w:r>
      <w:r w:rsidR="00B4502F" w:rsidRPr="0040534B">
        <w:t>may be of particular interest as it compared atogepant 60 mg to placebo in participants with episodic migraine who have previously failed two to four classes of oral preventive treatments.</w:t>
      </w:r>
      <w:r w:rsidR="00C420F1" w:rsidRPr="0040534B">
        <w:t xml:space="preserve"> </w:t>
      </w:r>
      <w:r w:rsidR="00CB56D9" w:rsidRPr="0040534B">
        <w:t xml:space="preserve">The </w:t>
      </w:r>
      <w:r w:rsidR="00FC4C1F">
        <w:t>Pre-Sub-Committee Response (</w:t>
      </w:r>
      <w:r w:rsidR="00CB56D9" w:rsidRPr="0040534B">
        <w:t>PSCR</w:t>
      </w:r>
      <w:r w:rsidR="00FC4C1F">
        <w:t>)</w:t>
      </w:r>
      <w:r w:rsidR="00CB56D9" w:rsidRPr="0040534B">
        <w:t xml:space="preserve"> noted that the ELEVATE abstract was published after lodgement of the submission and stated that the data from the trial supported the efficacy and safety claims made in the submission.</w:t>
      </w:r>
    </w:p>
    <w:p w14:paraId="34847619" w14:textId="0C28E989" w:rsidR="00B7539C" w:rsidRPr="0040534B" w:rsidRDefault="00B7539C" w:rsidP="00B7539C">
      <w:pPr>
        <w:pStyle w:val="3-BodyText"/>
      </w:pPr>
      <w:r w:rsidRPr="0040534B">
        <w:t xml:space="preserve">The atogepant trials listed below compared atogepant 60 mg once daily to placebo, the galcanezumab trials compared galcanezumab 120 mg monthly to placebo, and the fremanezumab trials compared fremanezumab 675 mg every three months or 225 mg monthly to placebo. Many of the trials included additional arms that were not part of the application for PBS listing or not currently PBS listed (e.g., atogepant 30 mg once daily arm in the PROGRESS trial; galcanezumab 240 mg arm in the REGAIN trial). Results for medicine doses unrelated to this submission were not presented. </w:t>
      </w:r>
    </w:p>
    <w:p w14:paraId="2AB44A4E" w14:textId="36747BD8" w:rsidR="00F03CD4" w:rsidRPr="0040534B" w:rsidRDefault="00F03CD4" w:rsidP="00F03CD4">
      <w:pPr>
        <w:pStyle w:val="3-BodyText"/>
      </w:pPr>
      <w:r w:rsidRPr="0040534B">
        <w:t>For the chronic migraine population (k=4</w:t>
      </w:r>
      <w:r w:rsidR="00B7539C" w:rsidRPr="0040534B">
        <w:t>,)</w:t>
      </w:r>
      <w:r w:rsidRPr="0040534B">
        <w:t>):</w:t>
      </w:r>
    </w:p>
    <w:p w14:paraId="6193620F" w14:textId="0314C6AF" w:rsidR="00F03CD4" w:rsidRPr="0040534B" w:rsidRDefault="00F03CD4" w:rsidP="006045A2">
      <w:pPr>
        <w:pStyle w:val="3-BodyText"/>
        <w:numPr>
          <w:ilvl w:val="0"/>
          <w:numId w:val="10"/>
        </w:numPr>
      </w:pPr>
      <w:r w:rsidRPr="0040534B">
        <w:t>One randomised controlled trial of atogepant versus placebo in participants who had failed four or fewer preventive medications (two with different mechanisms of action (MoA)): PROGRESS.</w:t>
      </w:r>
    </w:p>
    <w:p w14:paraId="6E25BD7A" w14:textId="4F16CBB0" w:rsidR="00F03CD4" w:rsidRPr="0040534B" w:rsidRDefault="00F03CD4" w:rsidP="006045A2">
      <w:pPr>
        <w:pStyle w:val="3-BodyText"/>
        <w:numPr>
          <w:ilvl w:val="0"/>
          <w:numId w:val="10"/>
        </w:numPr>
      </w:pPr>
      <w:r w:rsidRPr="0040534B">
        <w:lastRenderedPageBreak/>
        <w:t>One randomised controlled trial of galcanezumab versus placebo in participants who had failed three or fewer preventive medication classes: REGAIN.</w:t>
      </w:r>
    </w:p>
    <w:p w14:paraId="4AA02DC9" w14:textId="38910DE9" w:rsidR="00D272A3" w:rsidRPr="0040534B" w:rsidRDefault="00F03CD4" w:rsidP="006045A2">
      <w:pPr>
        <w:pStyle w:val="3-BodyText"/>
        <w:numPr>
          <w:ilvl w:val="0"/>
          <w:numId w:val="10"/>
        </w:numPr>
      </w:pPr>
      <w:r w:rsidRPr="0040534B">
        <w:t>Two randomised controlled trials of fremanezumab versus placebo in participants who had failed one or fewer preventive medication clusters: HALO-CM</w:t>
      </w:r>
      <w:r w:rsidR="00E71468" w:rsidRPr="0040534B">
        <w:t xml:space="preserve"> </w:t>
      </w:r>
      <w:r w:rsidRPr="0040534B">
        <w:t>and NCT03303079.</w:t>
      </w:r>
    </w:p>
    <w:p w14:paraId="726A3541" w14:textId="2FCF6E80" w:rsidR="00F03CD4" w:rsidRPr="0040534B" w:rsidRDefault="00F03CD4" w:rsidP="00F03CD4">
      <w:pPr>
        <w:pStyle w:val="3-BodyText"/>
      </w:pPr>
      <w:r w:rsidRPr="0040534B">
        <w:t>For the episodic migraine population (k=8):</w:t>
      </w:r>
    </w:p>
    <w:p w14:paraId="6F89E75C" w14:textId="6D3B1407" w:rsidR="00F03CD4" w:rsidRPr="0040534B" w:rsidRDefault="00F03CD4" w:rsidP="006045A2">
      <w:pPr>
        <w:pStyle w:val="3-BodyText"/>
        <w:numPr>
          <w:ilvl w:val="0"/>
          <w:numId w:val="11"/>
        </w:numPr>
      </w:pPr>
      <w:r w:rsidRPr="0040534B">
        <w:t>One randomised controlled trial of atogepant versus placebo in participants who had failed three or fewer preventive medications (two with different MoA): ADVANCE.</w:t>
      </w:r>
    </w:p>
    <w:p w14:paraId="187DB23B" w14:textId="43CEE995" w:rsidR="00F03CD4" w:rsidRPr="0040534B" w:rsidRDefault="00F03CD4" w:rsidP="006045A2">
      <w:pPr>
        <w:pStyle w:val="3-BodyText"/>
        <w:numPr>
          <w:ilvl w:val="0"/>
          <w:numId w:val="11"/>
        </w:numPr>
      </w:pPr>
      <w:r w:rsidRPr="0040534B">
        <w:t xml:space="preserve">One randomised controlled trial of atogepant versus placebo in participants who had failed two or fewer preventive medications with different MoA: </w:t>
      </w:r>
      <w:r w:rsidR="00E01D5E" w:rsidRPr="0040534B">
        <w:t>NCT02848326</w:t>
      </w:r>
      <w:r w:rsidRPr="0040534B">
        <w:t>.</w:t>
      </w:r>
    </w:p>
    <w:p w14:paraId="292B3403" w14:textId="73E3E519" w:rsidR="00F03CD4" w:rsidRPr="0040534B" w:rsidRDefault="00F03CD4" w:rsidP="006045A2">
      <w:pPr>
        <w:pStyle w:val="3-BodyText"/>
        <w:numPr>
          <w:ilvl w:val="0"/>
          <w:numId w:val="11"/>
        </w:numPr>
      </w:pPr>
      <w:r w:rsidRPr="0040534B">
        <w:t>Three randomised controlled trials of galcanezumab versus placebo in participants who had failed two or fewer preventive medication classes: EVOLVE-1, EVOLVE-2</w:t>
      </w:r>
      <w:r w:rsidR="00E71468" w:rsidRPr="0040534B">
        <w:t>,</w:t>
      </w:r>
      <w:r w:rsidRPr="0040534B">
        <w:t xml:space="preserve"> PERSIST . </w:t>
      </w:r>
    </w:p>
    <w:p w14:paraId="797721DD" w14:textId="620BF5C3" w:rsidR="00F03CD4" w:rsidRPr="0040534B" w:rsidRDefault="00F03CD4" w:rsidP="006045A2">
      <w:pPr>
        <w:pStyle w:val="3-BodyText"/>
        <w:numPr>
          <w:ilvl w:val="0"/>
          <w:numId w:val="11"/>
        </w:numPr>
      </w:pPr>
      <w:r w:rsidRPr="0040534B">
        <w:t xml:space="preserve">One randomised controlled trial of galcanezumab versus placebo in participants who had failed two or fewer adequately dosed preventive treatments: NCT02959177. </w:t>
      </w:r>
    </w:p>
    <w:p w14:paraId="6A5B2620" w14:textId="551A4C75" w:rsidR="00F03CD4" w:rsidRPr="0040534B" w:rsidRDefault="00F03CD4" w:rsidP="006045A2">
      <w:pPr>
        <w:pStyle w:val="3-BodyText"/>
        <w:numPr>
          <w:ilvl w:val="0"/>
          <w:numId w:val="11"/>
        </w:numPr>
      </w:pPr>
      <w:r w:rsidRPr="0040534B">
        <w:t>Two randomised controlled trials of fremanezumab versus placebo in participants who had failed one or fewer preventive medication clusters: HALO-EM and NCT03303092.</w:t>
      </w:r>
      <w:r w:rsidR="007802CB" w:rsidRPr="0040534B">
        <w:t xml:space="preserve"> </w:t>
      </w:r>
    </w:p>
    <w:p w14:paraId="45D289CB" w14:textId="08D8E679" w:rsidR="00F03CD4" w:rsidRPr="0040534B" w:rsidRDefault="00F03CD4" w:rsidP="00F03CD4">
      <w:pPr>
        <w:pStyle w:val="3-BodyText"/>
      </w:pPr>
      <w:r w:rsidRPr="0040534B">
        <w:t>For both episodic and chronic migraine populations (k=2):</w:t>
      </w:r>
    </w:p>
    <w:p w14:paraId="38FD075D" w14:textId="040E6323" w:rsidR="00F03CD4" w:rsidRPr="0040534B" w:rsidRDefault="00F03CD4" w:rsidP="006045A2">
      <w:pPr>
        <w:pStyle w:val="3-BodyText"/>
        <w:numPr>
          <w:ilvl w:val="0"/>
          <w:numId w:val="12"/>
        </w:numPr>
      </w:pPr>
      <w:r w:rsidRPr="0040534B">
        <w:t>One randomised controlled trial of galcanezumab versus placebo in participants who had failed two to four preventive medications: CONQUER.</w:t>
      </w:r>
    </w:p>
    <w:p w14:paraId="5E1053B9" w14:textId="18E3C790" w:rsidR="00F03CD4" w:rsidRPr="0040534B" w:rsidRDefault="00F03CD4" w:rsidP="006045A2">
      <w:pPr>
        <w:pStyle w:val="3-BodyText"/>
        <w:numPr>
          <w:ilvl w:val="0"/>
          <w:numId w:val="12"/>
        </w:numPr>
        <w:rPr>
          <w:color w:val="0066FF"/>
        </w:rPr>
      </w:pPr>
      <w:r w:rsidRPr="0040534B">
        <w:t>One randomised controlled trial of fremanezumab versus placebo in participants who had failed two to four preventive medications: FOCUS.</w:t>
      </w:r>
    </w:p>
    <w:p w14:paraId="3368D15A" w14:textId="01DA4D7B" w:rsidR="00F03CD4" w:rsidRPr="0040534B" w:rsidRDefault="00DB02D4" w:rsidP="00F03CD4">
      <w:pPr>
        <w:pStyle w:val="3-BodyText"/>
      </w:pPr>
      <w:bookmarkStart w:id="34" w:name="_Hlk134030063"/>
      <w:r w:rsidRPr="0040534B">
        <w:t>The trials differed in the number of prior preventive migraine treatments participants were required to have</w:t>
      </w:r>
      <w:r w:rsidR="007802CB" w:rsidRPr="0040534B">
        <w:t xml:space="preserve"> </w:t>
      </w:r>
      <w:r w:rsidRPr="0040534B">
        <w:t>trialled</w:t>
      </w:r>
      <w:r w:rsidR="0040534B">
        <w:t xml:space="preserve">. </w:t>
      </w:r>
      <w:r w:rsidRPr="0040534B">
        <w:t xml:space="preserve">Additionally, there were differences between </w:t>
      </w:r>
      <w:r w:rsidR="00AB38D4" w:rsidRPr="0040534B">
        <w:t xml:space="preserve">the trials in terms of how the number of prior treatments were </w:t>
      </w:r>
      <w:r w:rsidR="00F03CD4" w:rsidRPr="0040534B">
        <w:t xml:space="preserve">considered </w:t>
      </w:r>
      <w:r w:rsidR="00AB38D4" w:rsidRPr="0040534B">
        <w:t xml:space="preserve">i.e. </w:t>
      </w:r>
      <w:r w:rsidR="00F03CD4" w:rsidRPr="0040534B">
        <w:t xml:space="preserve">mechanisms of action, class or clusters of treatments, </w:t>
      </w:r>
      <w:r w:rsidRPr="0040534B">
        <w:t xml:space="preserve">which made </w:t>
      </w:r>
      <w:r w:rsidR="00F03CD4" w:rsidRPr="0040534B">
        <w:t xml:space="preserve">it difficult to determine how many participants in each trial would be eligible or ineligible for treatment </w:t>
      </w:r>
      <w:r w:rsidR="00AB38D4" w:rsidRPr="0040534B">
        <w:t xml:space="preserve">with atogepant </w:t>
      </w:r>
      <w:r w:rsidR="00F03CD4" w:rsidRPr="0040534B">
        <w:t xml:space="preserve">under the proposed PBS listing. </w:t>
      </w:r>
      <w:bookmarkEnd w:id="34"/>
    </w:p>
    <w:p w14:paraId="06E8204C" w14:textId="339C82C6" w:rsidR="00F03CD4" w:rsidRPr="0040534B" w:rsidRDefault="00F03CD4" w:rsidP="00F03CD4">
      <w:pPr>
        <w:pStyle w:val="3-BodyText"/>
      </w:pPr>
      <w:r w:rsidRPr="0040534B">
        <w:t>The atogepant study 3101-302-002 (NCT03700320</w:t>
      </w:r>
      <w:r w:rsidR="00041933" w:rsidRPr="0040534B">
        <w:t>; not listed above</w:t>
      </w:r>
      <w:r w:rsidRPr="0040534B">
        <w:t xml:space="preserve">) was </w:t>
      </w:r>
      <w:r w:rsidR="007C003B" w:rsidRPr="0040534B">
        <w:t>not included in the</w:t>
      </w:r>
      <w:r w:rsidRPr="0040534B">
        <w:t xml:space="preserve"> efficacy analysis for episodic migraine </w:t>
      </w:r>
      <w:r w:rsidR="007C003B" w:rsidRPr="0040534B">
        <w:t>as it did not measure comparative effectiveness; however, it</w:t>
      </w:r>
      <w:r w:rsidRPr="0040534B">
        <w:t xml:space="preserve"> was included as supporting evidence </w:t>
      </w:r>
      <w:r w:rsidR="00041933" w:rsidRPr="0040534B">
        <w:t xml:space="preserve">for </w:t>
      </w:r>
      <w:r w:rsidRPr="0040534B">
        <w:t xml:space="preserve">safety. </w:t>
      </w:r>
    </w:p>
    <w:p w14:paraId="73317C3A" w14:textId="0201CC4D" w:rsidR="00F478FB" w:rsidRPr="0040534B" w:rsidRDefault="00DC6BCA" w:rsidP="00F03CD4">
      <w:pPr>
        <w:pStyle w:val="3-BodyText"/>
      </w:pPr>
      <w:r w:rsidRPr="0040534B">
        <w:t xml:space="preserve">The PBAC has not previously considered evidence from the atogepant trials, the galcanezumab PERSIST and NCT02959177 trials for episodic migraine, the </w:t>
      </w:r>
      <w:r w:rsidRPr="0040534B">
        <w:lastRenderedPageBreak/>
        <w:t xml:space="preserve">fremanezumab NCT023303079 trial for chronic migraine or the HALO-EM and NCT03303092 trials for episodic migraine. Some of these trials </w:t>
      </w:r>
      <w:r w:rsidR="00CB56D9" w:rsidRPr="0040534B">
        <w:t>were</w:t>
      </w:r>
      <w:r w:rsidRPr="0040534B">
        <w:t xml:space="preserve"> published after </w:t>
      </w:r>
      <w:r w:rsidR="00F478FB" w:rsidRPr="0040534B">
        <w:t>consideration</w:t>
      </w:r>
      <w:r w:rsidRPr="0040534B">
        <w:t xml:space="preserve"> of previous PBAC submissions, </w:t>
      </w:r>
      <w:r w:rsidR="00CB56D9" w:rsidRPr="0040534B">
        <w:t xml:space="preserve">whereas </w:t>
      </w:r>
      <w:r w:rsidRPr="0040534B">
        <w:t xml:space="preserve">others </w:t>
      </w:r>
      <w:r w:rsidR="00CB56D9" w:rsidRPr="0040534B">
        <w:t>were</w:t>
      </w:r>
      <w:r w:rsidRPr="0040534B">
        <w:t xml:space="preserve"> excluded because the eligibility criteria (number of prior preventive treatments failed) did not align with the proposed PBS restriction.</w:t>
      </w:r>
      <w:r w:rsidR="00E01D5E" w:rsidRPr="0040534B">
        <w:rPr>
          <w:i/>
          <w:iCs/>
        </w:rPr>
        <w:t xml:space="preserve"> </w:t>
      </w:r>
    </w:p>
    <w:p w14:paraId="1A075927" w14:textId="0C0D3409" w:rsidR="00603DE9" w:rsidRPr="0040534B" w:rsidRDefault="00603DE9" w:rsidP="00F03CD4">
      <w:pPr>
        <w:pStyle w:val="3-BodyText"/>
      </w:pPr>
      <w:r w:rsidRPr="0040534B">
        <w:t>When the CONQUER and FOCUS trials were presented for HFEM, subgroup analyses of participants with HFEM and participants with HFEM who had failed three or more prior therapies were presented as well as the whole trial populations (paragraph 6.24, galcanezumab (episodic migraine) PSD, November 2020 PBAC meeting; paragraphs 6.18 and 6.23, fremanezumab</w:t>
      </w:r>
      <w:r w:rsidR="00B71C75" w:rsidRPr="0040534B">
        <w:t xml:space="preserve"> </w:t>
      </w:r>
      <w:r w:rsidRPr="0040534B">
        <w:t>PSD, November 2022 PABC meeting)</w:t>
      </w:r>
    </w:p>
    <w:p w14:paraId="122BACE6" w14:textId="2E3C3F6C" w:rsidR="00F03CD4" w:rsidRPr="0040534B" w:rsidRDefault="00F03CD4" w:rsidP="00F03CD4">
      <w:pPr>
        <w:pStyle w:val="3-BodyText"/>
      </w:pPr>
      <w:r w:rsidRPr="0040534B">
        <w:t xml:space="preserve">The submission presented the results of pre-specified subgroup analyses from the atogepant PROGRESS trial for chronic migraine (age group, sex, race, body mass index (BMI), baseline migraine headache days, current and prior preventive migraine exposure). The submission presented limited results of subgroup analyses from the atogepant ADVANCE trial for episodic migraine (prior preventive migraine exposure). </w:t>
      </w:r>
      <w:bookmarkStart w:id="35" w:name="_Hlk134023218"/>
      <w:r w:rsidRPr="0040534B">
        <w:t>The clinical claim relied on these subgroup analyses to support the claims that patient characteristics and prior preventive migraine medication use were not treatment effect modifiers and thus</w:t>
      </w:r>
      <w:r w:rsidR="00E34A5B" w:rsidRPr="0040534B">
        <w:t>,</w:t>
      </w:r>
      <w:r w:rsidRPr="0040534B">
        <w:t xml:space="preserve"> mitigate transitivity issues in the indirect treatment comparisons.</w:t>
      </w:r>
      <w:bookmarkEnd w:id="35"/>
      <w:r w:rsidR="008A0EB8" w:rsidRPr="0040534B">
        <w:t xml:space="preserve"> </w:t>
      </w:r>
    </w:p>
    <w:p w14:paraId="3094AA41" w14:textId="5859D226" w:rsidR="00F03CD4" w:rsidRPr="0040534B" w:rsidRDefault="00F03CD4" w:rsidP="00F03CD4">
      <w:pPr>
        <w:pStyle w:val="3-BodyText"/>
      </w:pPr>
      <w:r w:rsidRPr="0040534B">
        <w:t xml:space="preserve">The submission stated that </w:t>
      </w:r>
      <w:r w:rsidR="00CB56D9" w:rsidRPr="0040534B">
        <w:t xml:space="preserve">for the PROGRESS trial, </w:t>
      </w:r>
      <w:r w:rsidRPr="0040534B">
        <w:t xml:space="preserve">the subgroup analysis for participants </w:t>
      </w:r>
      <w:r w:rsidR="00041933" w:rsidRPr="0040534B">
        <w:t xml:space="preserve">who had not responded to </w:t>
      </w:r>
      <w:r w:rsidRPr="0040534B">
        <w:t>three or more preventive medications with different mechanisms of action was not presented as there were less than five participants within that subgroup. The submission did not provide subgroup analys</w:t>
      </w:r>
      <w:r w:rsidR="00F478FB" w:rsidRPr="0040534B">
        <w:t>e</w:t>
      </w:r>
      <w:r w:rsidRPr="0040534B">
        <w:t>s to align the atogepant trials with the proposed PBS listing (patients experiencing at least eight migraine headache days per month who have experienced an inadequate response, intolerance, or a contraindication to at least three preventive migraine medications prior to commencement of treatment with atogepant, galcanezumab, or fremanezumab).</w:t>
      </w:r>
    </w:p>
    <w:p w14:paraId="39973D0E" w14:textId="4C3DD0A9" w:rsidR="00DB02D4" w:rsidRPr="0040534B" w:rsidRDefault="00DB02D4" w:rsidP="00DB02D4">
      <w:pPr>
        <w:pStyle w:val="3-BodyText"/>
      </w:pPr>
      <w:r w:rsidRPr="0040534B">
        <w:t>The submission presented four indirect comparisons comparing atogepant with galcanezumab and fremanezumab for chronic and episodic migraine using the Bucher method and placebo as the common reference group. This evidence was presented to support the claim of non-inferior effectiveness.</w:t>
      </w:r>
    </w:p>
    <w:p w14:paraId="06A86375" w14:textId="2D30858A" w:rsidR="00F03CD4" w:rsidRPr="0040534B" w:rsidRDefault="00F03CD4" w:rsidP="00F03CD4">
      <w:pPr>
        <w:pStyle w:val="3-BodyText"/>
      </w:pPr>
      <w:r w:rsidRPr="0040534B">
        <w:t xml:space="preserve">The submission </w:t>
      </w:r>
      <w:r w:rsidR="00DB02D4" w:rsidRPr="0040534B">
        <w:t xml:space="preserve">also </w:t>
      </w:r>
      <w:r w:rsidRPr="0040534B">
        <w:t>presented the following meta-analyses of the primary and key secondary endpoints of the trials by CRGP inhibitor for both chronic and episodic migraine:</w:t>
      </w:r>
    </w:p>
    <w:p w14:paraId="04FC377B" w14:textId="397FBB60" w:rsidR="00F03CD4" w:rsidRPr="0040534B" w:rsidRDefault="00F03CD4" w:rsidP="006045A2">
      <w:pPr>
        <w:pStyle w:val="3-BodyText"/>
        <w:numPr>
          <w:ilvl w:val="0"/>
          <w:numId w:val="13"/>
        </w:numPr>
      </w:pPr>
      <w:r w:rsidRPr="0040534B">
        <w:t xml:space="preserve">Primary endpoint (change from baseline in mean monthly migraine days) for the whole </w:t>
      </w:r>
      <w:r w:rsidR="00DB02D4" w:rsidRPr="0040534B">
        <w:t xml:space="preserve">trial </w:t>
      </w:r>
      <w:r w:rsidRPr="0040534B">
        <w:t>populations.</w:t>
      </w:r>
    </w:p>
    <w:p w14:paraId="5AE91118" w14:textId="77777777" w:rsidR="00F03CD4" w:rsidRPr="0040534B" w:rsidRDefault="00F03CD4" w:rsidP="006045A2">
      <w:pPr>
        <w:pStyle w:val="3-BodyText"/>
        <w:numPr>
          <w:ilvl w:val="0"/>
          <w:numId w:val="13"/>
        </w:numPr>
      </w:pPr>
      <w:r w:rsidRPr="0040534B">
        <w:t>Primary endpoint (change from baseline in mean monthly migraine days) for the chronic migraine trial populations or subpopulations only, or episodic migraine trial populations or subpopulations only.</w:t>
      </w:r>
    </w:p>
    <w:p w14:paraId="3A41B463" w14:textId="41AA4085" w:rsidR="00F03CD4" w:rsidRPr="0040534B" w:rsidRDefault="00F03CD4" w:rsidP="006045A2">
      <w:pPr>
        <w:pStyle w:val="3-BodyText"/>
        <w:numPr>
          <w:ilvl w:val="0"/>
          <w:numId w:val="13"/>
        </w:numPr>
      </w:pPr>
      <w:r w:rsidRPr="0040534B">
        <w:lastRenderedPageBreak/>
        <w:t xml:space="preserve">Key secondary endpoint (≥50% reduction in monthly migraine) for the whole </w:t>
      </w:r>
      <w:r w:rsidR="00DB02D4" w:rsidRPr="0040534B">
        <w:t xml:space="preserve">trial </w:t>
      </w:r>
      <w:r w:rsidRPr="0040534B">
        <w:t>populations.</w:t>
      </w:r>
    </w:p>
    <w:p w14:paraId="1630D1E2" w14:textId="3D6F693B" w:rsidR="00DC6BCA" w:rsidRPr="0040534B" w:rsidRDefault="00DC6BCA" w:rsidP="00F03CD4">
      <w:pPr>
        <w:pStyle w:val="3-BodyText"/>
      </w:pPr>
      <w:r w:rsidRPr="0040534B">
        <w:t xml:space="preserve">The results of the meta-analyses were presented to </w:t>
      </w:r>
      <w:r w:rsidR="007509C0" w:rsidRPr="0040534B">
        <w:t>support</w:t>
      </w:r>
      <w:r w:rsidRPr="0040534B">
        <w:t xml:space="preserve"> a </w:t>
      </w:r>
      <w:r w:rsidR="007509C0" w:rsidRPr="0040534B">
        <w:t xml:space="preserve">claim of a </w:t>
      </w:r>
      <w:r w:rsidRPr="0040534B">
        <w:t>class effect across CGRP inhibitors. The presence of a class effect</w:t>
      </w:r>
      <w:r w:rsidR="000215F2" w:rsidRPr="0040534B">
        <w:t xml:space="preserve"> does not necessarily support a claim of non-inferiority</w:t>
      </w:r>
      <w:r w:rsidR="00396D9B" w:rsidRPr="0040534B">
        <w:t xml:space="preserve"> (as discussed in paragraph </w:t>
      </w:r>
      <w:r w:rsidR="007C1A84" w:rsidRPr="0040534B">
        <w:fldChar w:fldCharType="begin" w:fldLock="1"/>
      </w:r>
      <w:r w:rsidR="007C1A84" w:rsidRPr="0040534B">
        <w:instrText xml:space="preserve"> REF _Ref138064312 \r \h  \* MERGEFORMAT </w:instrText>
      </w:r>
      <w:r w:rsidR="007C1A84" w:rsidRPr="0040534B">
        <w:fldChar w:fldCharType="separate"/>
      </w:r>
      <w:r w:rsidR="004E201F">
        <w:t>6.37</w:t>
      </w:r>
      <w:r w:rsidR="007C1A84" w:rsidRPr="0040534B">
        <w:fldChar w:fldCharType="end"/>
      </w:r>
      <w:r w:rsidR="00396D9B" w:rsidRPr="0040534B">
        <w:t>)</w:t>
      </w:r>
      <w:r w:rsidR="000215F2" w:rsidRPr="0040534B">
        <w:t xml:space="preserve">. </w:t>
      </w:r>
    </w:p>
    <w:p w14:paraId="09D929C4" w14:textId="77777777" w:rsidR="00F03CD4" w:rsidRPr="0040534B" w:rsidRDefault="00F03CD4" w:rsidP="00F03CD4">
      <w:pPr>
        <w:pStyle w:val="3-BodyText"/>
      </w:pPr>
      <w:r w:rsidRPr="0040534B">
        <w:rPr>
          <w:snapToGrid/>
        </w:rPr>
        <w:t>Details of the trials presented in the submission are provided in the table below.</w:t>
      </w:r>
    </w:p>
    <w:p w14:paraId="6B23FC06" w14:textId="482E8890" w:rsidR="00F03CD4" w:rsidRPr="0040534B" w:rsidRDefault="00F03CD4" w:rsidP="004844B8">
      <w:pPr>
        <w:jc w:val="left"/>
        <w:rPr>
          <w:rStyle w:val="CommentReference"/>
          <w:b w:val="0"/>
          <w:szCs w:val="24"/>
        </w:rPr>
      </w:pPr>
      <w:bookmarkStart w:id="36" w:name="_Ref104803956"/>
      <w:r w:rsidRPr="004844B8">
        <w:rPr>
          <w:rStyle w:val="CommentReference"/>
          <w:szCs w:val="24"/>
        </w:rPr>
        <w:t xml:space="preserve">Table </w:t>
      </w:r>
      <w:r w:rsidR="000C4C75" w:rsidRPr="004844B8">
        <w:rPr>
          <w:rStyle w:val="CommentReference"/>
          <w:szCs w:val="24"/>
        </w:rPr>
        <w:fldChar w:fldCharType="begin" w:fldLock="1"/>
      </w:r>
      <w:r w:rsidR="000C4C75" w:rsidRPr="004844B8">
        <w:rPr>
          <w:rStyle w:val="CommentReference"/>
          <w:szCs w:val="24"/>
        </w:rPr>
        <w:instrText xml:space="preserve"> SEQ Table \* ARABIC </w:instrText>
      </w:r>
      <w:r w:rsidR="000C4C75" w:rsidRPr="004844B8">
        <w:rPr>
          <w:rStyle w:val="CommentReference"/>
          <w:szCs w:val="24"/>
        </w:rPr>
        <w:fldChar w:fldCharType="separate"/>
      </w:r>
      <w:r w:rsidR="004E201F" w:rsidRPr="004844B8">
        <w:rPr>
          <w:rStyle w:val="CommentReference"/>
          <w:szCs w:val="24"/>
        </w:rPr>
        <w:t>2</w:t>
      </w:r>
      <w:r w:rsidR="000C4C75" w:rsidRPr="004844B8">
        <w:rPr>
          <w:rStyle w:val="CommentReference"/>
          <w:szCs w:val="24"/>
        </w:rPr>
        <w:fldChar w:fldCharType="end"/>
      </w:r>
      <w:bookmarkEnd w:id="36"/>
      <w:r w:rsidRPr="004844B8">
        <w:rPr>
          <w:rStyle w:val="CommentReference"/>
          <w:szCs w:val="24"/>
        </w:rPr>
        <w:t>:</w:t>
      </w:r>
      <w:r w:rsidRPr="0040534B">
        <w:rPr>
          <w:rStyle w:val="CommentReference"/>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F03CD4" w:rsidRPr="0040534B" w14:paraId="2E895128" w14:textId="77777777" w:rsidTr="00C124DD">
        <w:trPr>
          <w:tblHeader/>
        </w:trPr>
        <w:tc>
          <w:tcPr>
            <w:tcW w:w="796" w:type="pct"/>
            <w:vAlign w:val="center"/>
          </w:tcPr>
          <w:p w14:paraId="5E885861" w14:textId="77777777" w:rsidR="00F03CD4" w:rsidRPr="0040534B" w:rsidRDefault="00F03CD4" w:rsidP="00AE0C79">
            <w:pPr>
              <w:pStyle w:val="In-tableHeading"/>
              <w:keepNext w:val="0"/>
              <w:jc w:val="center"/>
              <w:rPr>
                <w:lang w:val="en-AU"/>
              </w:rPr>
            </w:pPr>
            <w:r w:rsidRPr="0040534B">
              <w:rPr>
                <w:lang w:val="en-AU"/>
              </w:rPr>
              <w:t>Trial ID</w:t>
            </w:r>
          </w:p>
        </w:tc>
        <w:tc>
          <w:tcPr>
            <w:tcW w:w="3027" w:type="pct"/>
            <w:vAlign w:val="center"/>
          </w:tcPr>
          <w:p w14:paraId="2FB37827" w14:textId="77777777" w:rsidR="00F03CD4" w:rsidRPr="0040534B" w:rsidRDefault="00F03CD4" w:rsidP="00AE0C79">
            <w:pPr>
              <w:pStyle w:val="In-tableHeading"/>
              <w:keepNext w:val="0"/>
              <w:jc w:val="center"/>
              <w:rPr>
                <w:lang w:val="en-AU"/>
              </w:rPr>
            </w:pPr>
            <w:r w:rsidRPr="0040534B">
              <w:rPr>
                <w:lang w:val="en-AU"/>
              </w:rPr>
              <w:t>Protocol title/ Publication title</w:t>
            </w:r>
          </w:p>
        </w:tc>
        <w:tc>
          <w:tcPr>
            <w:tcW w:w="1177" w:type="pct"/>
            <w:vAlign w:val="center"/>
          </w:tcPr>
          <w:p w14:paraId="13152DC3" w14:textId="77777777" w:rsidR="00F03CD4" w:rsidRPr="0040534B" w:rsidRDefault="00F03CD4" w:rsidP="00AE0C79">
            <w:pPr>
              <w:pStyle w:val="In-tableHeading"/>
              <w:keepNext w:val="0"/>
              <w:jc w:val="center"/>
              <w:rPr>
                <w:lang w:val="en-AU"/>
              </w:rPr>
            </w:pPr>
            <w:r w:rsidRPr="0040534B">
              <w:rPr>
                <w:lang w:val="en-AU"/>
              </w:rPr>
              <w:t>Publication citation</w:t>
            </w:r>
          </w:p>
        </w:tc>
      </w:tr>
      <w:tr w:rsidR="00F03CD4" w:rsidRPr="0040534B" w14:paraId="13AD2133" w14:textId="77777777" w:rsidTr="00C124DD">
        <w:tc>
          <w:tcPr>
            <w:tcW w:w="5000" w:type="pct"/>
            <w:gridSpan w:val="3"/>
            <w:vAlign w:val="center"/>
          </w:tcPr>
          <w:p w14:paraId="64FB31AA" w14:textId="77777777" w:rsidR="00F03CD4" w:rsidRPr="0040534B" w:rsidRDefault="00F03CD4" w:rsidP="00AE0C79">
            <w:pPr>
              <w:pStyle w:val="In-tableHeading"/>
              <w:keepNext w:val="0"/>
              <w:rPr>
                <w:lang w:val="en-AU"/>
              </w:rPr>
            </w:pPr>
            <w:r w:rsidRPr="0040534B">
              <w:rPr>
                <w:lang w:val="en-AU"/>
              </w:rPr>
              <w:t>Atogepant versus placebo</w:t>
            </w:r>
          </w:p>
        </w:tc>
      </w:tr>
      <w:tr w:rsidR="00F03CD4" w:rsidRPr="0040534B" w14:paraId="5B2E6920" w14:textId="77777777" w:rsidTr="00C124DD">
        <w:tc>
          <w:tcPr>
            <w:tcW w:w="5000" w:type="pct"/>
            <w:gridSpan w:val="3"/>
            <w:vAlign w:val="center"/>
          </w:tcPr>
          <w:p w14:paraId="73DF5E37" w14:textId="77777777" w:rsidR="00F03CD4" w:rsidRPr="0040534B" w:rsidRDefault="00F03CD4" w:rsidP="00AE0C79">
            <w:pPr>
              <w:pStyle w:val="In-tableHeading"/>
              <w:keepNext w:val="0"/>
              <w:rPr>
                <w:lang w:val="en-AU"/>
              </w:rPr>
            </w:pPr>
            <w:r w:rsidRPr="0040534B">
              <w:rPr>
                <w:lang w:val="en-AU"/>
              </w:rPr>
              <w:t>Chronic Migraine</w:t>
            </w:r>
          </w:p>
        </w:tc>
      </w:tr>
      <w:tr w:rsidR="00F03CD4" w:rsidRPr="0040534B" w14:paraId="48F18DC1" w14:textId="77777777" w:rsidTr="00B434C6">
        <w:trPr>
          <w:trHeight w:val="598"/>
        </w:trPr>
        <w:tc>
          <w:tcPr>
            <w:tcW w:w="796" w:type="pct"/>
            <w:tcBorders>
              <w:bottom w:val="nil"/>
            </w:tcBorders>
            <w:vAlign w:val="center"/>
          </w:tcPr>
          <w:p w14:paraId="1E83E84A" w14:textId="77777777" w:rsidR="00F03CD4" w:rsidRPr="0040534B" w:rsidRDefault="00F03CD4" w:rsidP="00AE0C79">
            <w:pPr>
              <w:pStyle w:val="TableText0"/>
              <w:keepNext w:val="0"/>
            </w:pPr>
            <w:r w:rsidRPr="0040534B">
              <w:t>PROGRESS</w:t>
            </w:r>
          </w:p>
          <w:p w14:paraId="4573156E" w14:textId="77777777" w:rsidR="00F03CD4" w:rsidRPr="0040534B" w:rsidRDefault="00F03CD4" w:rsidP="00AE0C79">
            <w:pPr>
              <w:pStyle w:val="TableText0"/>
              <w:keepNext w:val="0"/>
            </w:pPr>
            <w:r w:rsidRPr="0040534B">
              <w:t>3101-303-002</w:t>
            </w:r>
          </w:p>
          <w:p w14:paraId="6B09FFCA" w14:textId="77777777" w:rsidR="00F03CD4" w:rsidRPr="0040534B" w:rsidRDefault="00F03CD4" w:rsidP="00AE0C79">
            <w:pPr>
              <w:pStyle w:val="TableText0"/>
              <w:keepNext w:val="0"/>
            </w:pPr>
            <w:r w:rsidRPr="0040534B">
              <w:t>NCT03855137</w:t>
            </w:r>
          </w:p>
        </w:tc>
        <w:tc>
          <w:tcPr>
            <w:tcW w:w="3027" w:type="pct"/>
            <w:tcBorders>
              <w:bottom w:val="nil"/>
            </w:tcBorders>
            <w:vAlign w:val="center"/>
          </w:tcPr>
          <w:p w14:paraId="79A6D89F" w14:textId="77777777" w:rsidR="00F03CD4" w:rsidRPr="0040534B" w:rsidRDefault="00F03CD4" w:rsidP="00AE0C79">
            <w:pPr>
              <w:pStyle w:val="TableText0"/>
              <w:keepNext w:val="0"/>
              <w:rPr>
                <w:szCs w:val="18"/>
              </w:rPr>
            </w:pPr>
            <w:r w:rsidRPr="0040534B">
              <w:rPr>
                <w:szCs w:val="18"/>
              </w:rPr>
              <w:t>A Phase 3, Multicenter, Randomized, Double-Blind, Placebo-controlled, Parallel-group Study to Evaluate the Efficacy, Safety, and Tolerability of Atogepant for the Prevention of Chronic Migraine (PROGRESS).</w:t>
            </w:r>
          </w:p>
        </w:tc>
        <w:tc>
          <w:tcPr>
            <w:tcW w:w="1177" w:type="pct"/>
            <w:tcBorders>
              <w:bottom w:val="nil"/>
            </w:tcBorders>
          </w:tcPr>
          <w:p w14:paraId="10D14FDD" w14:textId="77777777" w:rsidR="00F03CD4" w:rsidRPr="0040534B" w:rsidRDefault="00F03CD4" w:rsidP="00B434C6">
            <w:pPr>
              <w:pStyle w:val="TableText0"/>
              <w:keepNext w:val="0"/>
            </w:pPr>
            <w:r w:rsidRPr="0040534B">
              <w:t>April 2022</w:t>
            </w:r>
          </w:p>
        </w:tc>
      </w:tr>
      <w:tr w:rsidR="00F03CD4" w:rsidRPr="0040534B" w14:paraId="77F863DB" w14:textId="77777777" w:rsidTr="00C124DD">
        <w:trPr>
          <w:trHeight w:val="227"/>
        </w:trPr>
        <w:tc>
          <w:tcPr>
            <w:tcW w:w="5000" w:type="pct"/>
            <w:gridSpan w:val="3"/>
            <w:tcBorders>
              <w:bottom w:val="single" w:sz="4" w:space="0" w:color="auto"/>
            </w:tcBorders>
            <w:vAlign w:val="center"/>
          </w:tcPr>
          <w:p w14:paraId="75D7EEFD" w14:textId="77777777" w:rsidR="00F03CD4" w:rsidRPr="0040534B" w:rsidRDefault="00F03CD4" w:rsidP="00AE0C79">
            <w:pPr>
              <w:pStyle w:val="TableText0"/>
              <w:keepNext w:val="0"/>
              <w:rPr>
                <w:b/>
                <w:bCs w:val="0"/>
              </w:rPr>
            </w:pPr>
            <w:r w:rsidRPr="0040534B">
              <w:rPr>
                <w:b/>
                <w:bCs w:val="0"/>
              </w:rPr>
              <w:t>Episodic migraine</w:t>
            </w:r>
          </w:p>
        </w:tc>
      </w:tr>
      <w:tr w:rsidR="00F03CD4" w:rsidRPr="0040534B" w14:paraId="07E33BEC" w14:textId="77777777" w:rsidTr="00B434C6">
        <w:trPr>
          <w:trHeight w:val="227"/>
        </w:trPr>
        <w:tc>
          <w:tcPr>
            <w:tcW w:w="796" w:type="pct"/>
            <w:tcBorders>
              <w:bottom w:val="nil"/>
            </w:tcBorders>
          </w:tcPr>
          <w:p w14:paraId="3D0475BB" w14:textId="77777777" w:rsidR="00B434C6" w:rsidRPr="0040534B" w:rsidRDefault="00B434C6" w:rsidP="00B434C6">
            <w:pPr>
              <w:pStyle w:val="TableText0"/>
            </w:pPr>
            <w:r w:rsidRPr="0040534B">
              <w:t>ADVANCE</w:t>
            </w:r>
          </w:p>
          <w:p w14:paraId="6F256557" w14:textId="77777777" w:rsidR="00B434C6" w:rsidRPr="0040534B" w:rsidRDefault="00B434C6" w:rsidP="00B434C6">
            <w:pPr>
              <w:pStyle w:val="TableText0"/>
            </w:pPr>
            <w:r w:rsidRPr="0040534B">
              <w:t>3101-301-002</w:t>
            </w:r>
          </w:p>
          <w:p w14:paraId="0F1BC3D2" w14:textId="08ADB5B7" w:rsidR="00F03CD4" w:rsidRPr="0040534B" w:rsidRDefault="00B434C6" w:rsidP="00B434C6">
            <w:pPr>
              <w:pStyle w:val="TableText0"/>
              <w:keepNext w:val="0"/>
            </w:pPr>
            <w:r w:rsidRPr="0040534B">
              <w:t>NCT03777059</w:t>
            </w:r>
          </w:p>
        </w:tc>
        <w:tc>
          <w:tcPr>
            <w:tcW w:w="3027" w:type="pct"/>
            <w:tcBorders>
              <w:bottom w:val="nil"/>
            </w:tcBorders>
          </w:tcPr>
          <w:p w14:paraId="3733FB1F" w14:textId="77777777" w:rsidR="00F03CD4" w:rsidRPr="0040534B" w:rsidRDefault="00F03CD4" w:rsidP="00B434C6">
            <w:pPr>
              <w:pStyle w:val="TableText0"/>
              <w:keepNext w:val="0"/>
              <w:rPr>
                <w:szCs w:val="18"/>
              </w:rPr>
            </w:pPr>
            <w:r w:rsidRPr="0040534B">
              <w:rPr>
                <w:szCs w:val="18"/>
              </w:rPr>
              <w:t>A Phase 3, Multicenter, Randomized, Double-Blind, Placebo-controlled, Parallel-group Study to Evaluate the Efficacy, Safety, and Tolerability of Oral Atogepant for the Prevention of Migraine in Participants With Episodic Migraine (ADVANCE).</w:t>
            </w:r>
          </w:p>
        </w:tc>
        <w:tc>
          <w:tcPr>
            <w:tcW w:w="1177" w:type="pct"/>
            <w:tcBorders>
              <w:bottom w:val="nil"/>
            </w:tcBorders>
          </w:tcPr>
          <w:p w14:paraId="6035B811" w14:textId="77777777" w:rsidR="00F03CD4" w:rsidRPr="0040534B" w:rsidRDefault="00F03CD4" w:rsidP="00B434C6">
            <w:pPr>
              <w:pStyle w:val="TableText0"/>
              <w:keepNext w:val="0"/>
            </w:pPr>
            <w:r w:rsidRPr="0040534B">
              <w:t>October 2020</w:t>
            </w:r>
          </w:p>
        </w:tc>
      </w:tr>
      <w:tr w:rsidR="00F03CD4" w:rsidRPr="0040534B" w14:paraId="05393230" w14:textId="77777777" w:rsidTr="00B434C6">
        <w:trPr>
          <w:trHeight w:val="227"/>
        </w:trPr>
        <w:tc>
          <w:tcPr>
            <w:tcW w:w="796" w:type="pct"/>
            <w:tcBorders>
              <w:top w:val="nil"/>
              <w:bottom w:val="nil"/>
            </w:tcBorders>
          </w:tcPr>
          <w:p w14:paraId="7703CBFF" w14:textId="7621B5BE" w:rsidR="00F03CD4" w:rsidRPr="0040534B" w:rsidRDefault="00F03CD4" w:rsidP="00B434C6">
            <w:pPr>
              <w:pStyle w:val="TableText0"/>
              <w:keepNext w:val="0"/>
            </w:pPr>
          </w:p>
        </w:tc>
        <w:tc>
          <w:tcPr>
            <w:tcW w:w="3027" w:type="pct"/>
            <w:tcBorders>
              <w:top w:val="nil"/>
              <w:bottom w:val="nil"/>
            </w:tcBorders>
          </w:tcPr>
          <w:p w14:paraId="539BA51D" w14:textId="77777777" w:rsidR="00B434C6" w:rsidRPr="0040534B" w:rsidRDefault="00B434C6" w:rsidP="00B434C6">
            <w:pPr>
              <w:pStyle w:val="TableText0"/>
              <w:keepNext w:val="0"/>
              <w:rPr>
                <w:szCs w:val="18"/>
              </w:rPr>
            </w:pPr>
          </w:p>
          <w:p w14:paraId="67B5FDA1" w14:textId="2179AAD6" w:rsidR="00F03CD4" w:rsidRPr="0040534B" w:rsidRDefault="00F03CD4" w:rsidP="00B434C6">
            <w:pPr>
              <w:pStyle w:val="TableText0"/>
              <w:keepNext w:val="0"/>
              <w:rPr>
                <w:szCs w:val="18"/>
              </w:rPr>
            </w:pPr>
            <w:r w:rsidRPr="0040534B">
              <w:rPr>
                <w:szCs w:val="18"/>
              </w:rPr>
              <w:t>Ailani J, Lipton RB, Goadsby PJ et al. ADVANCE Study Group. Atogepant for the Preventive Treatment of Migraine</w:t>
            </w:r>
          </w:p>
        </w:tc>
        <w:tc>
          <w:tcPr>
            <w:tcW w:w="1177" w:type="pct"/>
            <w:tcBorders>
              <w:top w:val="nil"/>
              <w:bottom w:val="nil"/>
            </w:tcBorders>
          </w:tcPr>
          <w:p w14:paraId="284D1A38" w14:textId="77777777" w:rsidR="00B434C6" w:rsidRPr="0040534B" w:rsidRDefault="00B434C6" w:rsidP="00B434C6">
            <w:pPr>
              <w:pStyle w:val="TableText0"/>
              <w:keepNext w:val="0"/>
              <w:rPr>
                <w:i/>
                <w:iCs/>
              </w:rPr>
            </w:pPr>
          </w:p>
          <w:p w14:paraId="4BCFFD67" w14:textId="151A2D6B" w:rsidR="00F03CD4" w:rsidRPr="0040534B" w:rsidRDefault="00F03CD4" w:rsidP="00B434C6">
            <w:pPr>
              <w:pStyle w:val="TableText0"/>
              <w:keepNext w:val="0"/>
            </w:pPr>
            <w:r w:rsidRPr="0040534B">
              <w:rPr>
                <w:i/>
                <w:iCs/>
              </w:rPr>
              <w:t>NEJM</w:t>
            </w:r>
            <w:r w:rsidRPr="0040534B">
              <w:t xml:space="preserve"> 19 Aug 2021; 385(8): 695-706.</w:t>
            </w:r>
          </w:p>
        </w:tc>
      </w:tr>
      <w:tr w:rsidR="00F03CD4" w:rsidRPr="0040534B" w14:paraId="79DE0D35" w14:textId="77777777" w:rsidTr="00B434C6">
        <w:trPr>
          <w:trHeight w:val="227"/>
        </w:trPr>
        <w:tc>
          <w:tcPr>
            <w:tcW w:w="796" w:type="pct"/>
            <w:tcBorders>
              <w:top w:val="nil"/>
              <w:bottom w:val="nil"/>
            </w:tcBorders>
            <w:vAlign w:val="center"/>
          </w:tcPr>
          <w:p w14:paraId="7E46FFC6" w14:textId="77777777" w:rsidR="00F03CD4" w:rsidRPr="0040534B" w:rsidRDefault="00F03CD4" w:rsidP="00AE0C79">
            <w:pPr>
              <w:pStyle w:val="TableText0"/>
            </w:pPr>
          </w:p>
        </w:tc>
        <w:tc>
          <w:tcPr>
            <w:tcW w:w="3027" w:type="pct"/>
            <w:tcBorders>
              <w:top w:val="nil"/>
              <w:bottom w:val="nil"/>
            </w:tcBorders>
          </w:tcPr>
          <w:p w14:paraId="0D64E7A6" w14:textId="77777777" w:rsidR="00B434C6" w:rsidRPr="0040534B" w:rsidRDefault="00B434C6" w:rsidP="00B434C6">
            <w:pPr>
              <w:pStyle w:val="TableText0"/>
              <w:keepNext w:val="0"/>
              <w:rPr>
                <w:szCs w:val="18"/>
              </w:rPr>
            </w:pPr>
          </w:p>
          <w:p w14:paraId="04CF52CF" w14:textId="30F3A099" w:rsidR="00F03CD4" w:rsidRPr="0040534B" w:rsidRDefault="00F03CD4" w:rsidP="00B434C6">
            <w:pPr>
              <w:pStyle w:val="TableText0"/>
              <w:keepNext w:val="0"/>
              <w:rPr>
                <w:szCs w:val="18"/>
              </w:rPr>
            </w:pPr>
            <w:r w:rsidRPr="0040534B">
              <w:rPr>
                <w:szCs w:val="18"/>
              </w:rPr>
              <w:t>Schwedt TJ, Lipton RB, Ailani J et al. Time course of efficacy of atogepant for the preventive treatment of migraine: Results from the randomized, double-blind ADVANCE trial</w:t>
            </w:r>
          </w:p>
        </w:tc>
        <w:tc>
          <w:tcPr>
            <w:tcW w:w="1177" w:type="pct"/>
            <w:tcBorders>
              <w:top w:val="nil"/>
              <w:bottom w:val="nil"/>
            </w:tcBorders>
          </w:tcPr>
          <w:p w14:paraId="69503A57" w14:textId="77777777" w:rsidR="00B434C6" w:rsidRPr="0040534B" w:rsidRDefault="00B434C6" w:rsidP="00B434C6">
            <w:pPr>
              <w:pStyle w:val="TableText0"/>
              <w:keepNext w:val="0"/>
              <w:rPr>
                <w:i/>
                <w:iCs/>
              </w:rPr>
            </w:pPr>
          </w:p>
          <w:p w14:paraId="20A876B0" w14:textId="73178B84" w:rsidR="00F03CD4" w:rsidRPr="0040534B" w:rsidRDefault="00F03CD4" w:rsidP="00B434C6">
            <w:pPr>
              <w:pStyle w:val="TableText0"/>
              <w:keepNext w:val="0"/>
              <w:rPr>
                <w:i/>
                <w:iCs/>
              </w:rPr>
            </w:pPr>
            <w:r w:rsidRPr="0040534B">
              <w:rPr>
                <w:i/>
                <w:iCs/>
              </w:rPr>
              <w:t xml:space="preserve">Cephalalgia </w:t>
            </w:r>
            <w:r w:rsidRPr="0040534B">
              <w:t>Jan 2022; 42(1): 3-11.</w:t>
            </w:r>
          </w:p>
        </w:tc>
      </w:tr>
      <w:tr w:rsidR="00F03CD4" w:rsidRPr="0040534B" w14:paraId="46469406" w14:textId="77777777" w:rsidTr="00B434C6">
        <w:trPr>
          <w:trHeight w:val="227"/>
        </w:trPr>
        <w:tc>
          <w:tcPr>
            <w:tcW w:w="796" w:type="pct"/>
            <w:tcBorders>
              <w:top w:val="nil"/>
              <w:bottom w:val="single" w:sz="4" w:space="0" w:color="auto"/>
            </w:tcBorders>
            <w:vAlign w:val="center"/>
          </w:tcPr>
          <w:p w14:paraId="56ADB133" w14:textId="77777777" w:rsidR="00F03CD4" w:rsidRPr="0040534B" w:rsidRDefault="00F03CD4" w:rsidP="00AE0C79">
            <w:pPr>
              <w:pStyle w:val="TableText0"/>
              <w:keepNext w:val="0"/>
            </w:pPr>
          </w:p>
        </w:tc>
        <w:tc>
          <w:tcPr>
            <w:tcW w:w="3027" w:type="pct"/>
            <w:tcBorders>
              <w:top w:val="nil"/>
              <w:bottom w:val="single" w:sz="4" w:space="0" w:color="auto"/>
            </w:tcBorders>
          </w:tcPr>
          <w:p w14:paraId="003437FB" w14:textId="77777777" w:rsidR="00B434C6" w:rsidRPr="0040534B" w:rsidRDefault="00B434C6" w:rsidP="00B434C6">
            <w:pPr>
              <w:pStyle w:val="TableText0"/>
              <w:keepNext w:val="0"/>
              <w:rPr>
                <w:szCs w:val="18"/>
              </w:rPr>
            </w:pPr>
          </w:p>
          <w:p w14:paraId="6073D09C" w14:textId="45DB1151" w:rsidR="00F03CD4" w:rsidRPr="0040534B" w:rsidRDefault="00F03CD4" w:rsidP="00B434C6">
            <w:pPr>
              <w:pStyle w:val="TableText0"/>
              <w:keepNext w:val="0"/>
              <w:rPr>
                <w:szCs w:val="18"/>
              </w:rPr>
            </w:pPr>
            <w:r w:rsidRPr="0040534B">
              <w:rPr>
                <w:szCs w:val="18"/>
              </w:rPr>
              <w:t>Lipton RB, Pozo-Rosich P, Blumenfeld AM et al. Rates of Response to Atogepant for Migraine Prophylaxis Among Adults: A Secondary Analysis of a Randomized Clinical Trial</w:t>
            </w:r>
          </w:p>
        </w:tc>
        <w:tc>
          <w:tcPr>
            <w:tcW w:w="1177" w:type="pct"/>
            <w:tcBorders>
              <w:top w:val="nil"/>
              <w:bottom w:val="single" w:sz="4" w:space="0" w:color="auto"/>
            </w:tcBorders>
          </w:tcPr>
          <w:p w14:paraId="330FA242" w14:textId="77777777" w:rsidR="00B434C6" w:rsidRPr="0040534B" w:rsidRDefault="00B434C6" w:rsidP="00B434C6">
            <w:pPr>
              <w:pStyle w:val="TableText0"/>
              <w:keepNext w:val="0"/>
              <w:rPr>
                <w:i/>
                <w:iCs/>
              </w:rPr>
            </w:pPr>
          </w:p>
          <w:p w14:paraId="5616DDC4" w14:textId="6E544CB5" w:rsidR="00F03CD4" w:rsidRPr="0040534B" w:rsidRDefault="00F03CD4" w:rsidP="00B434C6">
            <w:pPr>
              <w:pStyle w:val="TableText0"/>
              <w:keepNext w:val="0"/>
            </w:pPr>
            <w:r w:rsidRPr="0040534B">
              <w:rPr>
                <w:i/>
                <w:iCs/>
              </w:rPr>
              <w:t>Journal of American Medical Association Network Open</w:t>
            </w:r>
            <w:r w:rsidRPr="0040534B">
              <w:t xml:space="preserve"> Jun 2022; 5(6): e2215499.</w:t>
            </w:r>
          </w:p>
        </w:tc>
      </w:tr>
      <w:tr w:rsidR="00F03CD4" w:rsidRPr="0040534B" w14:paraId="63E0CF3C" w14:textId="77777777" w:rsidTr="00B434C6">
        <w:trPr>
          <w:trHeight w:val="227"/>
        </w:trPr>
        <w:tc>
          <w:tcPr>
            <w:tcW w:w="796" w:type="pct"/>
            <w:tcBorders>
              <w:top w:val="single" w:sz="4" w:space="0" w:color="auto"/>
              <w:bottom w:val="nil"/>
            </w:tcBorders>
          </w:tcPr>
          <w:p w14:paraId="1CA992A2" w14:textId="77777777" w:rsidR="00F03CD4" w:rsidRPr="0040534B" w:rsidRDefault="00F03CD4" w:rsidP="00B434C6">
            <w:pPr>
              <w:pStyle w:val="TableText0"/>
              <w:keepNext w:val="0"/>
            </w:pPr>
            <w:r w:rsidRPr="0040534B">
              <w:t>NCT02848326</w:t>
            </w:r>
          </w:p>
        </w:tc>
        <w:tc>
          <w:tcPr>
            <w:tcW w:w="3027" w:type="pct"/>
            <w:tcBorders>
              <w:top w:val="single" w:sz="4" w:space="0" w:color="auto"/>
              <w:bottom w:val="nil"/>
            </w:tcBorders>
          </w:tcPr>
          <w:p w14:paraId="4E8AFC5F" w14:textId="77777777" w:rsidR="00F03CD4" w:rsidRPr="0040534B" w:rsidRDefault="00F03CD4" w:rsidP="00B434C6">
            <w:pPr>
              <w:pStyle w:val="TableText0"/>
              <w:keepNext w:val="0"/>
              <w:rPr>
                <w:szCs w:val="18"/>
              </w:rPr>
            </w:pPr>
            <w:r w:rsidRPr="0040534B">
              <w:rPr>
                <w:szCs w:val="18"/>
              </w:rPr>
              <w:t>A Phase 2/3, Multicenter, Randomized, Double-Blind, Placebo Controlled, Parallel-Group Study To Evaluate The Efficacy, Safety, And Tolerability Of Multiple Dosing Regimens Of Oral AGN-241689 In Episodic Migraine Prevention</w:t>
            </w:r>
          </w:p>
          <w:p w14:paraId="306B0C45" w14:textId="064635CF" w:rsidR="00B434C6" w:rsidRPr="0040534B" w:rsidRDefault="00B434C6" w:rsidP="00B434C6">
            <w:pPr>
              <w:pStyle w:val="TableText0"/>
              <w:keepNext w:val="0"/>
              <w:rPr>
                <w:szCs w:val="18"/>
              </w:rPr>
            </w:pPr>
          </w:p>
        </w:tc>
        <w:tc>
          <w:tcPr>
            <w:tcW w:w="1177" w:type="pct"/>
            <w:tcBorders>
              <w:top w:val="single" w:sz="4" w:space="0" w:color="auto"/>
              <w:bottom w:val="nil"/>
            </w:tcBorders>
          </w:tcPr>
          <w:p w14:paraId="15C28E7B" w14:textId="77777777" w:rsidR="00F03CD4" w:rsidRPr="0040534B" w:rsidRDefault="00F03CD4" w:rsidP="00B434C6">
            <w:pPr>
              <w:pStyle w:val="TableText0"/>
              <w:keepNext w:val="0"/>
            </w:pPr>
            <w:r w:rsidRPr="0040534B">
              <w:t>August 2019</w:t>
            </w:r>
          </w:p>
        </w:tc>
      </w:tr>
      <w:tr w:rsidR="00F03CD4" w:rsidRPr="0040534B" w14:paraId="000644D3" w14:textId="77777777" w:rsidTr="00B434C6">
        <w:trPr>
          <w:trHeight w:val="227"/>
        </w:trPr>
        <w:tc>
          <w:tcPr>
            <w:tcW w:w="796" w:type="pct"/>
            <w:tcBorders>
              <w:top w:val="nil"/>
              <w:bottom w:val="nil"/>
            </w:tcBorders>
            <w:vAlign w:val="center"/>
          </w:tcPr>
          <w:p w14:paraId="427B26BC" w14:textId="77777777" w:rsidR="00F03CD4" w:rsidRPr="0040534B" w:rsidRDefault="00F03CD4" w:rsidP="00AE0C79">
            <w:pPr>
              <w:pStyle w:val="TableText0"/>
              <w:keepNext w:val="0"/>
            </w:pPr>
          </w:p>
        </w:tc>
        <w:tc>
          <w:tcPr>
            <w:tcW w:w="3027" w:type="pct"/>
            <w:tcBorders>
              <w:top w:val="nil"/>
              <w:bottom w:val="nil"/>
            </w:tcBorders>
          </w:tcPr>
          <w:p w14:paraId="0989D065" w14:textId="77777777" w:rsidR="00F03CD4" w:rsidRPr="0040534B" w:rsidRDefault="00F03CD4" w:rsidP="00B434C6">
            <w:pPr>
              <w:pStyle w:val="TableText0"/>
              <w:keepNext w:val="0"/>
              <w:rPr>
                <w:szCs w:val="18"/>
              </w:rPr>
            </w:pPr>
            <w:r w:rsidRPr="0040534B">
              <w:rPr>
                <w:szCs w:val="18"/>
              </w:rPr>
              <w:t>Goadsby PJ, Dodick DW, Ailani J et al. Safety, tolerability, and efficacy of orally administered atogepant for the prevention of episodic migraine in adults: a double-blind, randomised phase 2b/3 trial</w:t>
            </w:r>
          </w:p>
        </w:tc>
        <w:tc>
          <w:tcPr>
            <w:tcW w:w="1177" w:type="pct"/>
            <w:tcBorders>
              <w:top w:val="nil"/>
              <w:bottom w:val="nil"/>
            </w:tcBorders>
          </w:tcPr>
          <w:p w14:paraId="070C5ADB" w14:textId="77777777" w:rsidR="00F03CD4" w:rsidRPr="0040534B" w:rsidRDefault="00F03CD4" w:rsidP="00B434C6">
            <w:pPr>
              <w:pStyle w:val="TableText0"/>
              <w:keepNext w:val="0"/>
            </w:pPr>
            <w:r w:rsidRPr="0040534B">
              <w:rPr>
                <w:i/>
                <w:iCs/>
              </w:rPr>
              <w:t>Lancet Neurology</w:t>
            </w:r>
            <w:r w:rsidRPr="0040534B">
              <w:t xml:space="preserve"> Sep 2020; 19(9): 727-737.</w:t>
            </w:r>
          </w:p>
        </w:tc>
      </w:tr>
      <w:tr w:rsidR="00F03CD4" w:rsidRPr="0040534B" w14:paraId="70AA83D2" w14:textId="77777777" w:rsidTr="00C124DD">
        <w:trPr>
          <w:trHeight w:val="184"/>
        </w:trPr>
        <w:tc>
          <w:tcPr>
            <w:tcW w:w="5000" w:type="pct"/>
            <w:gridSpan w:val="3"/>
            <w:tcBorders>
              <w:bottom w:val="single" w:sz="4" w:space="0" w:color="auto"/>
            </w:tcBorders>
            <w:vAlign w:val="center"/>
          </w:tcPr>
          <w:p w14:paraId="0B8B0E26" w14:textId="77777777" w:rsidR="00F03CD4" w:rsidRPr="0040534B" w:rsidRDefault="00F03CD4" w:rsidP="00AE0C79">
            <w:pPr>
              <w:pStyle w:val="TableText0"/>
              <w:keepNext w:val="0"/>
              <w:rPr>
                <w:b/>
                <w:bCs w:val="0"/>
              </w:rPr>
            </w:pPr>
            <w:r w:rsidRPr="0040534B">
              <w:rPr>
                <w:b/>
                <w:bCs w:val="0"/>
              </w:rPr>
              <w:t>Galcanezumab versus placebo</w:t>
            </w:r>
          </w:p>
        </w:tc>
      </w:tr>
      <w:tr w:rsidR="00F03CD4" w:rsidRPr="0040534B" w14:paraId="28D2886E" w14:textId="77777777" w:rsidTr="00C124DD">
        <w:trPr>
          <w:trHeight w:val="184"/>
        </w:trPr>
        <w:tc>
          <w:tcPr>
            <w:tcW w:w="5000" w:type="pct"/>
            <w:gridSpan w:val="3"/>
            <w:tcBorders>
              <w:bottom w:val="single" w:sz="4" w:space="0" w:color="auto"/>
            </w:tcBorders>
            <w:vAlign w:val="center"/>
          </w:tcPr>
          <w:p w14:paraId="589009BD" w14:textId="77777777" w:rsidR="00F03CD4" w:rsidRPr="0040534B" w:rsidRDefault="00F03CD4" w:rsidP="00AE0C79">
            <w:pPr>
              <w:pStyle w:val="TableText0"/>
              <w:keepNext w:val="0"/>
              <w:rPr>
                <w:b/>
                <w:bCs w:val="0"/>
              </w:rPr>
            </w:pPr>
            <w:r w:rsidRPr="0040534B">
              <w:rPr>
                <w:b/>
                <w:bCs w:val="0"/>
              </w:rPr>
              <w:t>Chronic migraine</w:t>
            </w:r>
          </w:p>
        </w:tc>
      </w:tr>
      <w:tr w:rsidR="00F03CD4" w:rsidRPr="0040534B" w14:paraId="7C0EE71B" w14:textId="77777777" w:rsidTr="00B434C6">
        <w:trPr>
          <w:trHeight w:val="184"/>
        </w:trPr>
        <w:tc>
          <w:tcPr>
            <w:tcW w:w="796" w:type="pct"/>
            <w:tcBorders>
              <w:bottom w:val="nil"/>
            </w:tcBorders>
          </w:tcPr>
          <w:p w14:paraId="2EC572B4" w14:textId="77777777" w:rsidR="00B434C6" w:rsidRPr="0040534B" w:rsidRDefault="00B434C6" w:rsidP="00B434C6">
            <w:pPr>
              <w:pStyle w:val="TableText0"/>
              <w:keepNext w:val="0"/>
            </w:pPr>
            <w:r w:rsidRPr="0040534B">
              <w:t>REGAIN</w:t>
            </w:r>
          </w:p>
          <w:p w14:paraId="2FC8A599" w14:textId="67CE2C85" w:rsidR="00F03CD4" w:rsidRPr="0040534B" w:rsidRDefault="00B434C6" w:rsidP="00B434C6">
            <w:pPr>
              <w:pStyle w:val="TableText0"/>
              <w:keepNext w:val="0"/>
            </w:pPr>
            <w:r w:rsidRPr="0040534B">
              <w:t>NCT02614261</w:t>
            </w:r>
          </w:p>
        </w:tc>
        <w:tc>
          <w:tcPr>
            <w:tcW w:w="3027" w:type="pct"/>
            <w:tcBorders>
              <w:bottom w:val="nil"/>
            </w:tcBorders>
            <w:vAlign w:val="center"/>
          </w:tcPr>
          <w:p w14:paraId="464132C5" w14:textId="77777777" w:rsidR="00F03CD4" w:rsidRPr="0040534B" w:rsidRDefault="00F03CD4" w:rsidP="00AE0C79">
            <w:pPr>
              <w:pStyle w:val="TableText0"/>
              <w:keepNext w:val="0"/>
            </w:pPr>
            <w:r w:rsidRPr="0040534B">
              <w:t>Detke HC, Goadsby PJ, Wang S et al. Galcanezumab in chronic migraine The randomized, double-blind, placebo-controlled REGAIN study</w:t>
            </w:r>
          </w:p>
          <w:p w14:paraId="3F85BCEB" w14:textId="4500AEDD" w:rsidR="00B434C6" w:rsidRPr="0040534B" w:rsidRDefault="00B434C6" w:rsidP="00AE0C79">
            <w:pPr>
              <w:pStyle w:val="TableText0"/>
              <w:keepNext w:val="0"/>
            </w:pPr>
          </w:p>
        </w:tc>
        <w:tc>
          <w:tcPr>
            <w:tcW w:w="1177" w:type="pct"/>
            <w:tcBorders>
              <w:bottom w:val="nil"/>
            </w:tcBorders>
          </w:tcPr>
          <w:p w14:paraId="08AD5126" w14:textId="77777777" w:rsidR="00F03CD4" w:rsidRPr="0040534B" w:rsidRDefault="00F03CD4" w:rsidP="00B434C6">
            <w:pPr>
              <w:pStyle w:val="TableText0"/>
              <w:keepNext w:val="0"/>
            </w:pPr>
            <w:r w:rsidRPr="0040534B">
              <w:rPr>
                <w:i/>
                <w:iCs/>
              </w:rPr>
              <w:t>Neurology</w:t>
            </w:r>
            <w:r w:rsidRPr="0040534B">
              <w:t xml:space="preserve"> December 11 2018; 91(24): 2211-2221.</w:t>
            </w:r>
          </w:p>
        </w:tc>
      </w:tr>
      <w:tr w:rsidR="00F03CD4" w:rsidRPr="0040534B" w14:paraId="3EB2D40F" w14:textId="77777777" w:rsidTr="00B434C6">
        <w:trPr>
          <w:trHeight w:val="184"/>
        </w:trPr>
        <w:tc>
          <w:tcPr>
            <w:tcW w:w="796" w:type="pct"/>
            <w:tcBorders>
              <w:top w:val="nil"/>
              <w:bottom w:val="nil"/>
            </w:tcBorders>
            <w:vAlign w:val="center"/>
          </w:tcPr>
          <w:p w14:paraId="62C501E0" w14:textId="77777777" w:rsidR="00F03CD4" w:rsidRPr="0040534B" w:rsidRDefault="00F03CD4" w:rsidP="00AE0C79">
            <w:pPr>
              <w:pStyle w:val="TableText0"/>
              <w:keepNext w:val="0"/>
            </w:pPr>
          </w:p>
        </w:tc>
        <w:tc>
          <w:tcPr>
            <w:tcW w:w="3027" w:type="pct"/>
            <w:tcBorders>
              <w:top w:val="nil"/>
              <w:bottom w:val="nil"/>
            </w:tcBorders>
            <w:vAlign w:val="center"/>
          </w:tcPr>
          <w:p w14:paraId="06972128" w14:textId="48EE0247" w:rsidR="00F03CD4" w:rsidRPr="0040534B" w:rsidRDefault="00F03CD4" w:rsidP="00AE0C79">
            <w:pPr>
              <w:pStyle w:val="TableText0"/>
              <w:keepNext w:val="0"/>
            </w:pPr>
            <w:r w:rsidRPr="0040534B">
              <w:t>Ruff DD, Ford JH, Tockhorn-Heidenreich A et al. Efficacy of galcanezumab in patients with chronic migraine and a history of preventive treatment failure</w:t>
            </w:r>
          </w:p>
          <w:p w14:paraId="3AE5CD03" w14:textId="4353F2D1" w:rsidR="00B434C6" w:rsidRPr="0040534B" w:rsidRDefault="00B434C6" w:rsidP="00AE0C79">
            <w:pPr>
              <w:pStyle w:val="TableText0"/>
              <w:keepNext w:val="0"/>
            </w:pPr>
          </w:p>
        </w:tc>
        <w:tc>
          <w:tcPr>
            <w:tcW w:w="1177" w:type="pct"/>
            <w:tcBorders>
              <w:top w:val="nil"/>
              <w:bottom w:val="nil"/>
            </w:tcBorders>
          </w:tcPr>
          <w:p w14:paraId="1CF6AF61" w14:textId="77777777" w:rsidR="00F03CD4" w:rsidRPr="0040534B" w:rsidRDefault="00F03CD4" w:rsidP="00B434C6">
            <w:pPr>
              <w:pStyle w:val="TableText0"/>
              <w:keepNext w:val="0"/>
            </w:pPr>
            <w:r w:rsidRPr="0040534B">
              <w:rPr>
                <w:i/>
                <w:iCs/>
              </w:rPr>
              <w:t>Cephalalgia</w:t>
            </w:r>
            <w:r w:rsidRPr="0040534B">
              <w:t xml:space="preserve"> July 2019; 39(8): 931-944.</w:t>
            </w:r>
          </w:p>
        </w:tc>
      </w:tr>
      <w:tr w:rsidR="00F03CD4" w:rsidRPr="0040534B" w14:paraId="344437E3" w14:textId="77777777" w:rsidTr="00C02BFD">
        <w:trPr>
          <w:trHeight w:val="184"/>
        </w:trPr>
        <w:tc>
          <w:tcPr>
            <w:tcW w:w="796" w:type="pct"/>
            <w:tcBorders>
              <w:top w:val="nil"/>
              <w:bottom w:val="nil"/>
            </w:tcBorders>
            <w:vAlign w:val="center"/>
          </w:tcPr>
          <w:p w14:paraId="1C10BC38" w14:textId="60A5F194" w:rsidR="00F03CD4" w:rsidRPr="0040534B" w:rsidRDefault="00F03CD4" w:rsidP="00AE0C79">
            <w:pPr>
              <w:pStyle w:val="TableText0"/>
              <w:keepNext w:val="0"/>
            </w:pPr>
          </w:p>
        </w:tc>
        <w:tc>
          <w:tcPr>
            <w:tcW w:w="3027" w:type="pct"/>
            <w:tcBorders>
              <w:top w:val="nil"/>
              <w:bottom w:val="nil"/>
            </w:tcBorders>
            <w:vAlign w:val="center"/>
          </w:tcPr>
          <w:p w14:paraId="18913726" w14:textId="77777777" w:rsidR="00F03CD4" w:rsidRPr="0040534B" w:rsidRDefault="00F03CD4" w:rsidP="00AE0C79">
            <w:pPr>
              <w:pStyle w:val="TableText0"/>
              <w:keepNext w:val="0"/>
            </w:pPr>
            <w:r w:rsidRPr="0040534B">
              <w:t>Ford J, Tassorelli C, Leroux E et al. Changes in patient functioning and disability: results from a phase 3, double-blind, randomized, placebo-controlled clinical trial evaluating galcanezumab for chronic migraine prevention (REGAIN)</w:t>
            </w:r>
          </w:p>
          <w:p w14:paraId="49116E02" w14:textId="6EDFBE37" w:rsidR="00B434C6" w:rsidRPr="0040534B" w:rsidRDefault="00B434C6" w:rsidP="00AE0C79">
            <w:pPr>
              <w:pStyle w:val="TableText0"/>
              <w:keepNext w:val="0"/>
            </w:pPr>
          </w:p>
        </w:tc>
        <w:tc>
          <w:tcPr>
            <w:tcW w:w="1177" w:type="pct"/>
            <w:tcBorders>
              <w:top w:val="nil"/>
              <w:bottom w:val="nil"/>
            </w:tcBorders>
          </w:tcPr>
          <w:p w14:paraId="3CB62F60" w14:textId="77777777" w:rsidR="00F03CD4" w:rsidRPr="0040534B" w:rsidRDefault="00F03CD4" w:rsidP="00B434C6">
            <w:pPr>
              <w:pStyle w:val="TableText0"/>
              <w:keepNext w:val="0"/>
            </w:pPr>
            <w:r w:rsidRPr="0040534B">
              <w:rPr>
                <w:i/>
                <w:iCs/>
              </w:rPr>
              <w:t>Quality of Life Research</w:t>
            </w:r>
            <w:r w:rsidRPr="0040534B">
              <w:t xml:space="preserve"> Jan 2021; 30(1): 105-115.</w:t>
            </w:r>
          </w:p>
        </w:tc>
      </w:tr>
      <w:tr w:rsidR="00F03CD4" w:rsidRPr="0040534B" w14:paraId="06C07CC3" w14:textId="77777777" w:rsidTr="00C02BFD">
        <w:trPr>
          <w:trHeight w:val="184"/>
        </w:trPr>
        <w:tc>
          <w:tcPr>
            <w:tcW w:w="796" w:type="pct"/>
            <w:tcBorders>
              <w:top w:val="nil"/>
              <w:bottom w:val="single" w:sz="4" w:space="0" w:color="auto"/>
            </w:tcBorders>
            <w:vAlign w:val="center"/>
          </w:tcPr>
          <w:p w14:paraId="3820DA47" w14:textId="77777777" w:rsidR="00F03CD4" w:rsidRPr="0040534B" w:rsidRDefault="00F03CD4" w:rsidP="00AE0C79">
            <w:pPr>
              <w:pStyle w:val="TableText0"/>
              <w:keepNext w:val="0"/>
            </w:pPr>
          </w:p>
        </w:tc>
        <w:tc>
          <w:tcPr>
            <w:tcW w:w="3027" w:type="pct"/>
            <w:tcBorders>
              <w:top w:val="nil"/>
              <w:bottom w:val="single" w:sz="4" w:space="0" w:color="auto"/>
            </w:tcBorders>
            <w:vAlign w:val="center"/>
          </w:tcPr>
          <w:p w14:paraId="3571AFAC" w14:textId="77777777" w:rsidR="00F03CD4" w:rsidRPr="0040534B" w:rsidRDefault="00F03CD4" w:rsidP="00AE0C79">
            <w:pPr>
              <w:pStyle w:val="TableText0"/>
              <w:keepNext w:val="0"/>
            </w:pPr>
            <w:r w:rsidRPr="0040534B">
              <w:t>Tobin JA, Joshi S, Ford JH et al. Reductions in acute medication use and healthcare resource utilization in patients with chronic migraine: a secondary analysis of a phase 3, randomized, double-blind, placebo-controlled study of galcanezumab with open-label extension (REGAIN)</w:t>
            </w:r>
          </w:p>
          <w:p w14:paraId="5F62B553" w14:textId="15FD6754" w:rsidR="00B434C6" w:rsidRPr="0040534B" w:rsidRDefault="00B434C6" w:rsidP="00AE0C79">
            <w:pPr>
              <w:pStyle w:val="TableText0"/>
              <w:keepNext w:val="0"/>
            </w:pPr>
          </w:p>
        </w:tc>
        <w:tc>
          <w:tcPr>
            <w:tcW w:w="1177" w:type="pct"/>
            <w:tcBorders>
              <w:top w:val="nil"/>
              <w:bottom w:val="single" w:sz="4" w:space="0" w:color="auto"/>
            </w:tcBorders>
          </w:tcPr>
          <w:p w14:paraId="68D321B1" w14:textId="77777777" w:rsidR="00F03CD4" w:rsidRPr="0040534B" w:rsidRDefault="00F03CD4" w:rsidP="00B434C6">
            <w:pPr>
              <w:pStyle w:val="TableText0"/>
              <w:keepNext w:val="0"/>
            </w:pPr>
            <w:r w:rsidRPr="0040534B">
              <w:rPr>
                <w:i/>
                <w:iCs/>
              </w:rPr>
              <w:t>Journal of Medical Economics</w:t>
            </w:r>
            <w:r w:rsidRPr="0040534B">
              <w:t xml:space="preserve"> Jan-Dec 2022; 25(1): 1030-1038.</w:t>
            </w:r>
          </w:p>
        </w:tc>
      </w:tr>
      <w:tr w:rsidR="00F03CD4" w:rsidRPr="0040534B" w14:paraId="0C7CDACF" w14:textId="77777777" w:rsidTr="00C02BFD">
        <w:trPr>
          <w:trHeight w:val="184"/>
        </w:trPr>
        <w:tc>
          <w:tcPr>
            <w:tcW w:w="796" w:type="pct"/>
            <w:tcBorders>
              <w:top w:val="single" w:sz="4" w:space="0" w:color="auto"/>
              <w:bottom w:val="single" w:sz="4" w:space="0" w:color="auto"/>
            </w:tcBorders>
            <w:vAlign w:val="center"/>
          </w:tcPr>
          <w:p w14:paraId="217F092D" w14:textId="77777777" w:rsidR="00F03CD4" w:rsidRPr="0040534B" w:rsidRDefault="00F03CD4" w:rsidP="00AE0C79">
            <w:pPr>
              <w:pStyle w:val="TableText0"/>
              <w:keepNext w:val="0"/>
            </w:pPr>
          </w:p>
        </w:tc>
        <w:tc>
          <w:tcPr>
            <w:tcW w:w="3027" w:type="pct"/>
            <w:tcBorders>
              <w:top w:val="single" w:sz="4" w:space="0" w:color="auto"/>
              <w:bottom w:val="single" w:sz="4" w:space="0" w:color="auto"/>
            </w:tcBorders>
            <w:vAlign w:val="center"/>
          </w:tcPr>
          <w:p w14:paraId="218FD000" w14:textId="77777777" w:rsidR="00F03CD4" w:rsidRPr="0040534B" w:rsidRDefault="00F03CD4" w:rsidP="00AE0C79">
            <w:pPr>
              <w:pStyle w:val="TableText0"/>
              <w:keepNext w:val="0"/>
            </w:pPr>
            <w:r w:rsidRPr="0040534B">
              <w:t>Pozo-Rosich P, Detke HC, Wang S et al. Long-term treatment with galcanezumab in patients with chronic migraine: results from the open-label extension of the REGAIN study</w:t>
            </w:r>
          </w:p>
        </w:tc>
        <w:tc>
          <w:tcPr>
            <w:tcW w:w="1177" w:type="pct"/>
            <w:tcBorders>
              <w:top w:val="single" w:sz="4" w:space="0" w:color="auto"/>
              <w:bottom w:val="single" w:sz="4" w:space="0" w:color="auto"/>
            </w:tcBorders>
          </w:tcPr>
          <w:p w14:paraId="252B62DF" w14:textId="77777777" w:rsidR="00F03CD4" w:rsidRPr="0040534B" w:rsidRDefault="00F03CD4" w:rsidP="00B434C6">
            <w:pPr>
              <w:pStyle w:val="TableText0"/>
              <w:keepNext w:val="0"/>
            </w:pPr>
            <w:r w:rsidRPr="0040534B">
              <w:rPr>
                <w:i/>
                <w:iCs/>
              </w:rPr>
              <w:t>Current Medical Research Opinion</w:t>
            </w:r>
            <w:r w:rsidRPr="0040534B">
              <w:t xml:space="preserve"> May 2022; 38(5): 731-742.</w:t>
            </w:r>
          </w:p>
        </w:tc>
      </w:tr>
      <w:tr w:rsidR="00F03CD4" w:rsidRPr="0040534B" w14:paraId="183221F2" w14:textId="77777777" w:rsidTr="00C124DD">
        <w:trPr>
          <w:trHeight w:val="184"/>
        </w:trPr>
        <w:tc>
          <w:tcPr>
            <w:tcW w:w="5000" w:type="pct"/>
            <w:gridSpan w:val="3"/>
            <w:tcBorders>
              <w:top w:val="nil"/>
              <w:bottom w:val="single" w:sz="4" w:space="0" w:color="auto"/>
            </w:tcBorders>
            <w:vAlign w:val="center"/>
          </w:tcPr>
          <w:p w14:paraId="2CE2E9DA" w14:textId="77777777" w:rsidR="00F03CD4" w:rsidRPr="0040534B" w:rsidRDefault="00F03CD4" w:rsidP="00AE0C79">
            <w:pPr>
              <w:pStyle w:val="TableText0"/>
              <w:keepNext w:val="0"/>
              <w:rPr>
                <w:b/>
                <w:bCs w:val="0"/>
              </w:rPr>
            </w:pPr>
            <w:r w:rsidRPr="0040534B">
              <w:rPr>
                <w:b/>
                <w:bCs w:val="0"/>
              </w:rPr>
              <w:t>Episodic migraine</w:t>
            </w:r>
          </w:p>
        </w:tc>
      </w:tr>
      <w:tr w:rsidR="00F03CD4" w:rsidRPr="0040534B" w14:paraId="6AA54170" w14:textId="77777777" w:rsidTr="00B434C6">
        <w:trPr>
          <w:trHeight w:val="184"/>
        </w:trPr>
        <w:tc>
          <w:tcPr>
            <w:tcW w:w="796" w:type="pct"/>
            <w:tcBorders>
              <w:top w:val="nil"/>
              <w:bottom w:val="single" w:sz="4" w:space="0" w:color="auto"/>
            </w:tcBorders>
          </w:tcPr>
          <w:p w14:paraId="564CFAE8" w14:textId="77777777" w:rsidR="00F03CD4" w:rsidRPr="0040534B" w:rsidRDefault="00F03CD4" w:rsidP="00B434C6">
            <w:pPr>
              <w:pStyle w:val="TableText0"/>
            </w:pPr>
            <w:r w:rsidRPr="0040534B">
              <w:t>EVOLVE-1</w:t>
            </w:r>
          </w:p>
          <w:p w14:paraId="624286BF" w14:textId="77777777" w:rsidR="00F03CD4" w:rsidRPr="0040534B" w:rsidRDefault="00F03CD4" w:rsidP="00B434C6">
            <w:pPr>
              <w:pStyle w:val="TableText0"/>
              <w:keepNext w:val="0"/>
            </w:pPr>
            <w:r w:rsidRPr="0040534B">
              <w:t>NCT02614183</w:t>
            </w:r>
          </w:p>
        </w:tc>
        <w:tc>
          <w:tcPr>
            <w:tcW w:w="3027" w:type="pct"/>
            <w:tcBorders>
              <w:top w:val="nil"/>
              <w:bottom w:val="single" w:sz="4" w:space="0" w:color="auto"/>
            </w:tcBorders>
            <w:vAlign w:val="center"/>
          </w:tcPr>
          <w:p w14:paraId="2D383FE1" w14:textId="77777777" w:rsidR="00F03CD4" w:rsidRPr="0040534B" w:rsidRDefault="00F03CD4" w:rsidP="00AE0C79">
            <w:pPr>
              <w:pStyle w:val="TableText0"/>
              <w:keepNext w:val="0"/>
            </w:pPr>
            <w:r w:rsidRPr="0040534B">
              <w:t>Stauffer VL, Dodick DW, Zhang Q et al. Evaluation of Galcanezumab for the Prevention of Episodic Migraine The EVOLVE-1 Randomized Clinical Trial</w:t>
            </w:r>
          </w:p>
        </w:tc>
        <w:tc>
          <w:tcPr>
            <w:tcW w:w="1177" w:type="pct"/>
            <w:tcBorders>
              <w:top w:val="nil"/>
              <w:bottom w:val="single" w:sz="4" w:space="0" w:color="auto"/>
            </w:tcBorders>
          </w:tcPr>
          <w:p w14:paraId="61F76331" w14:textId="77777777" w:rsidR="00F03CD4" w:rsidRPr="0040534B" w:rsidRDefault="00F03CD4" w:rsidP="00B434C6">
            <w:pPr>
              <w:pStyle w:val="TableText0"/>
              <w:keepNext w:val="0"/>
              <w:rPr>
                <w:i/>
                <w:iCs/>
              </w:rPr>
            </w:pPr>
            <w:r w:rsidRPr="0040534B">
              <w:rPr>
                <w:i/>
                <w:iCs/>
              </w:rPr>
              <w:t xml:space="preserve">JAMA Neurology </w:t>
            </w:r>
            <w:r w:rsidRPr="0040534B">
              <w:t>2018; 75(9): 1080-1088.</w:t>
            </w:r>
          </w:p>
        </w:tc>
      </w:tr>
      <w:tr w:rsidR="00F03CD4" w:rsidRPr="0040534B" w14:paraId="41CB86DD" w14:textId="77777777" w:rsidTr="00B434C6">
        <w:trPr>
          <w:trHeight w:val="184"/>
        </w:trPr>
        <w:tc>
          <w:tcPr>
            <w:tcW w:w="796" w:type="pct"/>
            <w:tcBorders>
              <w:top w:val="nil"/>
              <w:bottom w:val="single" w:sz="4" w:space="0" w:color="auto"/>
            </w:tcBorders>
          </w:tcPr>
          <w:p w14:paraId="60CC6271" w14:textId="77777777" w:rsidR="00F03CD4" w:rsidRPr="0040534B" w:rsidRDefault="00F03CD4" w:rsidP="00B434C6">
            <w:pPr>
              <w:pStyle w:val="TableText0"/>
            </w:pPr>
            <w:r w:rsidRPr="0040534B">
              <w:t>EVOLVE-2</w:t>
            </w:r>
          </w:p>
          <w:p w14:paraId="1BE97374" w14:textId="77777777" w:rsidR="00F03CD4" w:rsidRPr="0040534B" w:rsidRDefault="00F03CD4" w:rsidP="00B434C6">
            <w:pPr>
              <w:pStyle w:val="TableText0"/>
              <w:keepNext w:val="0"/>
            </w:pPr>
            <w:r w:rsidRPr="0040534B">
              <w:t>NCT02614196</w:t>
            </w:r>
          </w:p>
        </w:tc>
        <w:tc>
          <w:tcPr>
            <w:tcW w:w="3027" w:type="pct"/>
            <w:tcBorders>
              <w:top w:val="nil"/>
              <w:bottom w:val="single" w:sz="4" w:space="0" w:color="auto"/>
            </w:tcBorders>
            <w:vAlign w:val="center"/>
          </w:tcPr>
          <w:p w14:paraId="65FED9EB" w14:textId="77777777" w:rsidR="00F03CD4" w:rsidRPr="0040534B" w:rsidRDefault="00F03CD4" w:rsidP="00AE0C79">
            <w:pPr>
              <w:pStyle w:val="TableText0"/>
              <w:keepNext w:val="0"/>
            </w:pPr>
            <w:r w:rsidRPr="0040534B">
              <w:t>Skljarevski V, Matharu M, Millen BA et al. Efficacy and safety of galcanezumab for the prevention of episodic migraine: Results of the EVOLVE-2 Phase 3 randomized controlled clinical trial</w:t>
            </w:r>
          </w:p>
        </w:tc>
        <w:tc>
          <w:tcPr>
            <w:tcW w:w="1177" w:type="pct"/>
            <w:tcBorders>
              <w:top w:val="nil"/>
              <w:bottom w:val="single" w:sz="4" w:space="0" w:color="auto"/>
            </w:tcBorders>
          </w:tcPr>
          <w:p w14:paraId="7CFAEFB9" w14:textId="77777777" w:rsidR="00F03CD4" w:rsidRPr="0040534B" w:rsidRDefault="00F03CD4" w:rsidP="00B434C6">
            <w:pPr>
              <w:pStyle w:val="TableText0"/>
              <w:keepNext w:val="0"/>
              <w:rPr>
                <w:i/>
                <w:iCs/>
              </w:rPr>
            </w:pPr>
            <w:r w:rsidRPr="0040534B">
              <w:rPr>
                <w:i/>
                <w:iCs/>
              </w:rPr>
              <w:t>Cephalalgia An International Journal of Headache</w:t>
            </w:r>
            <w:r w:rsidRPr="0040534B">
              <w:t xml:space="preserve"> 2018; 38(8): 1442-1454</w:t>
            </w:r>
            <w:r w:rsidRPr="0040534B">
              <w:rPr>
                <w:i/>
                <w:iCs/>
              </w:rPr>
              <w:t>.</w:t>
            </w:r>
          </w:p>
        </w:tc>
      </w:tr>
      <w:tr w:rsidR="00F03CD4" w:rsidRPr="0040534B" w14:paraId="73598E80" w14:textId="77777777" w:rsidTr="00B434C6">
        <w:trPr>
          <w:trHeight w:val="184"/>
        </w:trPr>
        <w:tc>
          <w:tcPr>
            <w:tcW w:w="796" w:type="pct"/>
            <w:tcBorders>
              <w:top w:val="nil"/>
              <w:bottom w:val="single" w:sz="4" w:space="0" w:color="auto"/>
            </w:tcBorders>
          </w:tcPr>
          <w:p w14:paraId="3801B376" w14:textId="77777777" w:rsidR="00F03CD4" w:rsidRPr="0040534B" w:rsidRDefault="00F03CD4" w:rsidP="00B434C6">
            <w:pPr>
              <w:pStyle w:val="TableText0"/>
            </w:pPr>
            <w:r w:rsidRPr="0040534B">
              <w:t>PERSIST</w:t>
            </w:r>
          </w:p>
          <w:p w14:paraId="344E9447" w14:textId="77777777" w:rsidR="00F03CD4" w:rsidRPr="0040534B" w:rsidRDefault="00F03CD4" w:rsidP="00B434C6">
            <w:pPr>
              <w:pStyle w:val="TableText0"/>
              <w:keepNext w:val="0"/>
            </w:pPr>
            <w:r w:rsidRPr="0040534B">
              <w:t>NCT03963232</w:t>
            </w:r>
          </w:p>
        </w:tc>
        <w:tc>
          <w:tcPr>
            <w:tcW w:w="3027" w:type="pct"/>
            <w:tcBorders>
              <w:top w:val="nil"/>
              <w:bottom w:val="single" w:sz="4" w:space="0" w:color="auto"/>
            </w:tcBorders>
            <w:vAlign w:val="center"/>
          </w:tcPr>
          <w:p w14:paraId="459B3C89" w14:textId="77777777" w:rsidR="00F03CD4" w:rsidRPr="0040534B" w:rsidRDefault="00F03CD4" w:rsidP="00AE0C79">
            <w:pPr>
              <w:pStyle w:val="TableText0"/>
              <w:keepNext w:val="0"/>
            </w:pPr>
            <w:r w:rsidRPr="0040534B">
              <w:t>Hu B, Li G, Li X et al. Galcanezumab in episodic migraine: the phase 3, randomized, double-blind, placebo-controlled PERSIST study</w:t>
            </w:r>
          </w:p>
        </w:tc>
        <w:tc>
          <w:tcPr>
            <w:tcW w:w="1177" w:type="pct"/>
            <w:tcBorders>
              <w:top w:val="nil"/>
              <w:bottom w:val="single" w:sz="4" w:space="0" w:color="auto"/>
            </w:tcBorders>
          </w:tcPr>
          <w:p w14:paraId="6F6E3E51" w14:textId="77777777" w:rsidR="00F03CD4" w:rsidRPr="0040534B" w:rsidRDefault="00F03CD4" w:rsidP="00B434C6">
            <w:pPr>
              <w:pStyle w:val="TableText0"/>
              <w:keepNext w:val="0"/>
              <w:rPr>
                <w:i/>
                <w:iCs/>
              </w:rPr>
            </w:pPr>
            <w:r w:rsidRPr="0040534B">
              <w:rPr>
                <w:i/>
                <w:iCs/>
              </w:rPr>
              <w:t>Journal of Headache and Pain</w:t>
            </w:r>
            <w:r w:rsidRPr="0040534B">
              <w:t xml:space="preserve"> Jul 2022; 23(1): 90.</w:t>
            </w:r>
          </w:p>
        </w:tc>
      </w:tr>
      <w:tr w:rsidR="00F03CD4" w:rsidRPr="0040534B" w14:paraId="0E89C0A9" w14:textId="77777777" w:rsidTr="00B434C6">
        <w:trPr>
          <w:trHeight w:val="184"/>
        </w:trPr>
        <w:tc>
          <w:tcPr>
            <w:tcW w:w="796" w:type="pct"/>
            <w:tcBorders>
              <w:top w:val="single" w:sz="4" w:space="0" w:color="auto"/>
              <w:bottom w:val="nil"/>
            </w:tcBorders>
          </w:tcPr>
          <w:p w14:paraId="4DBCC60D" w14:textId="77777777" w:rsidR="00F03CD4" w:rsidRPr="0040534B" w:rsidRDefault="00F03CD4" w:rsidP="00B434C6">
            <w:pPr>
              <w:pStyle w:val="TableText0"/>
              <w:keepNext w:val="0"/>
            </w:pPr>
            <w:r w:rsidRPr="0040534B">
              <w:t>NCT02959177</w:t>
            </w:r>
          </w:p>
        </w:tc>
        <w:tc>
          <w:tcPr>
            <w:tcW w:w="3027" w:type="pct"/>
            <w:tcBorders>
              <w:top w:val="single" w:sz="4" w:space="0" w:color="auto"/>
              <w:bottom w:val="nil"/>
            </w:tcBorders>
            <w:vAlign w:val="center"/>
          </w:tcPr>
          <w:p w14:paraId="61212D52" w14:textId="77777777" w:rsidR="00F03CD4" w:rsidRPr="0040534B" w:rsidRDefault="00F03CD4" w:rsidP="00AE0C79">
            <w:pPr>
              <w:pStyle w:val="TableText0"/>
              <w:keepNext w:val="0"/>
            </w:pPr>
            <w:r w:rsidRPr="0040534B">
              <w:t>Sakai F, Ozeki A, Skljarevski V. Efficacy and safety of galcanezumab for prevention of migraine headache in Japanese patients with episodic migraine: A phase 2 randomized controlled clinical trial</w:t>
            </w:r>
          </w:p>
          <w:p w14:paraId="5E06BCCF" w14:textId="5931A8AF" w:rsidR="00B434C6" w:rsidRPr="0040534B" w:rsidRDefault="00B434C6" w:rsidP="00AE0C79">
            <w:pPr>
              <w:pStyle w:val="TableText0"/>
              <w:keepNext w:val="0"/>
            </w:pPr>
          </w:p>
        </w:tc>
        <w:tc>
          <w:tcPr>
            <w:tcW w:w="1177" w:type="pct"/>
            <w:tcBorders>
              <w:top w:val="single" w:sz="4" w:space="0" w:color="auto"/>
              <w:bottom w:val="nil"/>
            </w:tcBorders>
          </w:tcPr>
          <w:p w14:paraId="4386341B" w14:textId="77777777" w:rsidR="00F03CD4" w:rsidRPr="0040534B" w:rsidRDefault="00F03CD4" w:rsidP="00B434C6">
            <w:pPr>
              <w:pStyle w:val="TableText0"/>
              <w:keepNext w:val="0"/>
              <w:rPr>
                <w:i/>
                <w:iCs/>
              </w:rPr>
            </w:pPr>
            <w:r w:rsidRPr="0040534B">
              <w:rPr>
                <w:i/>
                <w:iCs/>
              </w:rPr>
              <w:t xml:space="preserve">Cephalalgia Reports, </w:t>
            </w:r>
            <w:r w:rsidRPr="0040534B">
              <w:t>2020; 3: 1-10.</w:t>
            </w:r>
          </w:p>
        </w:tc>
      </w:tr>
      <w:tr w:rsidR="00F03CD4" w:rsidRPr="0040534B" w14:paraId="6B4EC4F1" w14:textId="77777777" w:rsidTr="00B434C6">
        <w:trPr>
          <w:trHeight w:val="184"/>
        </w:trPr>
        <w:tc>
          <w:tcPr>
            <w:tcW w:w="796" w:type="pct"/>
            <w:tcBorders>
              <w:top w:val="nil"/>
              <w:bottom w:val="single" w:sz="4" w:space="0" w:color="auto"/>
            </w:tcBorders>
            <w:vAlign w:val="center"/>
          </w:tcPr>
          <w:p w14:paraId="55B0C67F" w14:textId="77777777" w:rsidR="00F03CD4" w:rsidRPr="0040534B" w:rsidRDefault="00F03CD4" w:rsidP="00AE0C79">
            <w:pPr>
              <w:pStyle w:val="TableText0"/>
              <w:keepNext w:val="0"/>
            </w:pPr>
          </w:p>
        </w:tc>
        <w:tc>
          <w:tcPr>
            <w:tcW w:w="3027" w:type="pct"/>
            <w:tcBorders>
              <w:top w:val="nil"/>
              <w:bottom w:val="single" w:sz="4" w:space="0" w:color="auto"/>
            </w:tcBorders>
            <w:vAlign w:val="center"/>
          </w:tcPr>
          <w:p w14:paraId="79BBCB54" w14:textId="77777777" w:rsidR="00F03CD4" w:rsidRPr="0040534B" w:rsidRDefault="00F03CD4" w:rsidP="00AE0C79">
            <w:pPr>
              <w:pStyle w:val="TableText0"/>
              <w:keepNext w:val="0"/>
            </w:pPr>
            <w:r w:rsidRPr="0040534B">
              <w:t>Igarashi H, Shibata M, Ozeki A et al. Early Onset and Maintenance Effect of Galcanezumab in Japanese Patients with Episodic Migraine</w:t>
            </w:r>
          </w:p>
        </w:tc>
        <w:tc>
          <w:tcPr>
            <w:tcW w:w="1177" w:type="pct"/>
            <w:tcBorders>
              <w:top w:val="nil"/>
              <w:bottom w:val="single" w:sz="4" w:space="0" w:color="auto"/>
            </w:tcBorders>
          </w:tcPr>
          <w:p w14:paraId="34744383" w14:textId="77777777" w:rsidR="00F03CD4" w:rsidRPr="0040534B" w:rsidRDefault="00F03CD4" w:rsidP="00B434C6">
            <w:pPr>
              <w:pStyle w:val="TableText0"/>
              <w:keepNext w:val="0"/>
              <w:rPr>
                <w:i/>
                <w:iCs/>
              </w:rPr>
            </w:pPr>
            <w:r w:rsidRPr="0040534B">
              <w:rPr>
                <w:i/>
                <w:iCs/>
              </w:rPr>
              <w:t xml:space="preserve">Journal of Pain Research </w:t>
            </w:r>
            <w:r w:rsidRPr="0040534B">
              <w:t>Nov 2021; 14: 3555-3564.</w:t>
            </w:r>
          </w:p>
        </w:tc>
      </w:tr>
      <w:tr w:rsidR="00F03CD4" w:rsidRPr="0040534B" w14:paraId="64A28712" w14:textId="77777777" w:rsidTr="00C124DD">
        <w:trPr>
          <w:trHeight w:val="184"/>
        </w:trPr>
        <w:tc>
          <w:tcPr>
            <w:tcW w:w="5000" w:type="pct"/>
            <w:gridSpan w:val="3"/>
            <w:tcBorders>
              <w:bottom w:val="single" w:sz="4" w:space="0" w:color="auto"/>
            </w:tcBorders>
            <w:vAlign w:val="center"/>
          </w:tcPr>
          <w:p w14:paraId="47E62EE9" w14:textId="77777777" w:rsidR="00F03CD4" w:rsidRPr="0040534B" w:rsidRDefault="00F03CD4" w:rsidP="00AE0C79">
            <w:pPr>
              <w:pStyle w:val="TableText0"/>
              <w:keepNext w:val="0"/>
              <w:rPr>
                <w:b/>
                <w:bCs w:val="0"/>
              </w:rPr>
            </w:pPr>
            <w:r w:rsidRPr="0040534B">
              <w:rPr>
                <w:b/>
                <w:bCs w:val="0"/>
              </w:rPr>
              <w:t>Chronic and episodic migraine</w:t>
            </w:r>
          </w:p>
        </w:tc>
      </w:tr>
      <w:tr w:rsidR="00B434C6" w:rsidRPr="0040534B" w14:paraId="2F4F87ED" w14:textId="77777777" w:rsidTr="00B434C6">
        <w:tc>
          <w:tcPr>
            <w:tcW w:w="796" w:type="pct"/>
            <w:tcBorders>
              <w:bottom w:val="nil"/>
            </w:tcBorders>
          </w:tcPr>
          <w:p w14:paraId="3713867C" w14:textId="77777777" w:rsidR="00B434C6" w:rsidRPr="0040534B" w:rsidRDefault="00B434C6" w:rsidP="00B434C6">
            <w:pPr>
              <w:pStyle w:val="TableText0"/>
              <w:keepNext w:val="0"/>
            </w:pPr>
            <w:r w:rsidRPr="0040534B">
              <w:t>CONQUER</w:t>
            </w:r>
          </w:p>
          <w:p w14:paraId="4A24A2FE" w14:textId="031B2069" w:rsidR="00B434C6" w:rsidRPr="0040534B" w:rsidRDefault="00B434C6" w:rsidP="00B434C6">
            <w:pPr>
              <w:pStyle w:val="TableText0"/>
              <w:keepNext w:val="0"/>
            </w:pPr>
            <w:r w:rsidRPr="0040534B">
              <w:t>NCT03559257</w:t>
            </w:r>
          </w:p>
        </w:tc>
        <w:tc>
          <w:tcPr>
            <w:tcW w:w="3027" w:type="pct"/>
            <w:tcBorders>
              <w:bottom w:val="nil"/>
            </w:tcBorders>
            <w:vAlign w:val="center"/>
          </w:tcPr>
          <w:p w14:paraId="7A8DC1DD" w14:textId="77777777" w:rsidR="00B434C6" w:rsidRPr="0040534B" w:rsidRDefault="00B434C6" w:rsidP="00B434C6">
            <w:pPr>
              <w:pStyle w:val="TableText0"/>
              <w:keepNext w:val="0"/>
            </w:pPr>
            <w:r w:rsidRPr="0040534B">
              <w:rPr>
                <w:szCs w:val="18"/>
              </w:rPr>
              <w:t>Mulleners WM, Kim B-K, Lainez MJA et al. Safety and efficacy of galcanezumab in patients for whom previous migraine preventive medication from two to four categories had failed (CONQUER): a multicentre, randomised, double-blind, placebo-controlled, phase 3b trial</w:t>
            </w:r>
          </w:p>
        </w:tc>
        <w:tc>
          <w:tcPr>
            <w:tcW w:w="1177" w:type="pct"/>
            <w:tcBorders>
              <w:bottom w:val="nil"/>
            </w:tcBorders>
          </w:tcPr>
          <w:p w14:paraId="2B532217" w14:textId="77777777" w:rsidR="00B434C6" w:rsidRPr="0040534B" w:rsidRDefault="00B434C6" w:rsidP="00B434C6">
            <w:pPr>
              <w:pStyle w:val="TableText0"/>
              <w:keepNext w:val="0"/>
            </w:pPr>
            <w:r w:rsidRPr="0040534B">
              <w:rPr>
                <w:i/>
                <w:iCs/>
              </w:rPr>
              <w:t>Lancet Neurology</w:t>
            </w:r>
            <w:r w:rsidRPr="0040534B">
              <w:t xml:space="preserve"> 2020; 19: 814-25.</w:t>
            </w:r>
          </w:p>
        </w:tc>
      </w:tr>
      <w:tr w:rsidR="00B434C6" w:rsidRPr="0040534B" w14:paraId="65A53A71" w14:textId="77777777" w:rsidTr="00B434C6">
        <w:tc>
          <w:tcPr>
            <w:tcW w:w="796" w:type="pct"/>
            <w:tcBorders>
              <w:top w:val="nil"/>
              <w:bottom w:val="nil"/>
            </w:tcBorders>
            <w:vAlign w:val="center"/>
          </w:tcPr>
          <w:p w14:paraId="191E5216" w14:textId="77777777" w:rsidR="00B434C6" w:rsidRPr="0040534B" w:rsidRDefault="00B434C6" w:rsidP="00B434C6">
            <w:pPr>
              <w:pStyle w:val="TableText0"/>
              <w:keepNext w:val="0"/>
            </w:pPr>
          </w:p>
        </w:tc>
        <w:tc>
          <w:tcPr>
            <w:tcW w:w="3027" w:type="pct"/>
            <w:tcBorders>
              <w:top w:val="nil"/>
              <w:bottom w:val="nil"/>
            </w:tcBorders>
            <w:vAlign w:val="center"/>
          </w:tcPr>
          <w:p w14:paraId="3B3FD84E" w14:textId="77777777" w:rsidR="00B434C6" w:rsidRPr="0040534B" w:rsidRDefault="00B434C6" w:rsidP="00B434C6">
            <w:pPr>
              <w:pStyle w:val="TableText0"/>
              <w:keepNext w:val="0"/>
              <w:rPr>
                <w:szCs w:val="18"/>
              </w:rPr>
            </w:pPr>
            <w:r w:rsidRPr="0040534B">
              <w:rPr>
                <w:szCs w:val="18"/>
              </w:rPr>
              <w:t>Kuruppu DK, Tobin J, Dong Y et al. Efficacy of galcanezumab in patients with migraine who did not benefit from commonly prescribed preventive treatments</w:t>
            </w:r>
          </w:p>
        </w:tc>
        <w:tc>
          <w:tcPr>
            <w:tcW w:w="1177" w:type="pct"/>
            <w:tcBorders>
              <w:top w:val="nil"/>
              <w:bottom w:val="nil"/>
            </w:tcBorders>
          </w:tcPr>
          <w:p w14:paraId="1B59F8A9" w14:textId="77777777" w:rsidR="00B434C6" w:rsidRPr="0040534B" w:rsidRDefault="00B434C6" w:rsidP="00B434C6">
            <w:pPr>
              <w:pStyle w:val="TableText0"/>
              <w:keepNext w:val="0"/>
            </w:pPr>
            <w:r w:rsidRPr="0040534B">
              <w:rPr>
                <w:i/>
                <w:iCs/>
              </w:rPr>
              <w:t>BMC Neurology</w:t>
            </w:r>
            <w:r w:rsidRPr="0040534B">
              <w:t xml:space="preserve"> April 2021; 21(1): 175.</w:t>
            </w:r>
          </w:p>
        </w:tc>
      </w:tr>
      <w:tr w:rsidR="00B434C6" w:rsidRPr="0040534B" w14:paraId="4623D38C" w14:textId="77777777" w:rsidTr="00B434C6">
        <w:tc>
          <w:tcPr>
            <w:tcW w:w="796" w:type="pct"/>
            <w:tcBorders>
              <w:top w:val="nil"/>
              <w:bottom w:val="nil"/>
            </w:tcBorders>
            <w:vAlign w:val="center"/>
          </w:tcPr>
          <w:p w14:paraId="0EBFF318" w14:textId="77777777" w:rsidR="00B434C6" w:rsidRPr="0040534B" w:rsidRDefault="00B434C6" w:rsidP="00B434C6">
            <w:pPr>
              <w:pStyle w:val="TableText0"/>
              <w:keepNext w:val="0"/>
            </w:pPr>
          </w:p>
        </w:tc>
        <w:tc>
          <w:tcPr>
            <w:tcW w:w="3027" w:type="pct"/>
            <w:tcBorders>
              <w:top w:val="nil"/>
              <w:bottom w:val="nil"/>
            </w:tcBorders>
            <w:vAlign w:val="center"/>
          </w:tcPr>
          <w:p w14:paraId="22F03BAA" w14:textId="77777777" w:rsidR="00B434C6" w:rsidRPr="0040534B" w:rsidRDefault="00B434C6" w:rsidP="00B434C6">
            <w:pPr>
              <w:pStyle w:val="TableText0"/>
              <w:keepNext w:val="0"/>
              <w:rPr>
                <w:szCs w:val="18"/>
              </w:rPr>
            </w:pPr>
            <w:r w:rsidRPr="0040534B">
              <w:rPr>
                <w:szCs w:val="18"/>
              </w:rPr>
              <w:t>Schwedt TJ, Kuruppu DK, Dong Y et al. Early onset of effect following galcanezumab treatment in patients with previous preventive medication failures</w:t>
            </w:r>
          </w:p>
          <w:p w14:paraId="74DDA4BA" w14:textId="2261F492" w:rsidR="00B434C6" w:rsidRPr="0040534B" w:rsidRDefault="00B434C6" w:rsidP="00B434C6">
            <w:pPr>
              <w:pStyle w:val="TableText0"/>
              <w:keepNext w:val="0"/>
              <w:rPr>
                <w:szCs w:val="18"/>
              </w:rPr>
            </w:pPr>
          </w:p>
        </w:tc>
        <w:tc>
          <w:tcPr>
            <w:tcW w:w="1177" w:type="pct"/>
            <w:tcBorders>
              <w:top w:val="nil"/>
              <w:bottom w:val="nil"/>
            </w:tcBorders>
          </w:tcPr>
          <w:p w14:paraId="76055892" w14:textId="77777777" w:rsidR="00B434C6" w:rsidRPr="0040534B" w:rsidRDefault="00B434C6" w:rsidP="00B434C6">
            <w:pPr>
              <w:pStyle w:val="TableText0"/>
              <w:keepNext w:val="0"/>
              <w:rPr>
                <w:i/>
              </w:rPr>
            </w:pPr>
            <w:r w:rsidRPr="0040534B">
              <w:rPr>
                <w:i/>
              </w:rPr>
              <w:t>Journal of Headache and Pain</w:t>
            </w:r>
            <w:r w:rsidRPr="0040534B">
              <w:rPr>
                <w:iCs/>
              </w:rPr>
              <w:t xml:space="preserve"> March 2021; 22(1):15.</w:t>
            </w:r>
          </w:p>
        </w:tc>
      </w:tr>
      <w:tr w:rsidR="00B434C6" w:rsidRPr="0040534B" w14:paraId="0E8175C2" w14:textId="77777777" w:rsidTr="00B434C6">
        <w:tc>
          <w:tcPr>
            <w:tcW w:w="796" w:type="pct"/>
            <w:tcBorders>
              <w:top w:val="nil"/>
              <w:bottom w:val="nil"/>
            </w:tcBorders>
            <w:vAlign w:val="center"/>
          </w:tcPr>
          <w:p w14:paraId="6DBA54BB" w14:textId="05BC42F9" w:rsidR="00B434C6" w:rsidRPr="0040534B" w:rsidRDefault="00B434C6" w:rsidP="00B434C6">
            <w:pPr>
              <w:pStyle w:val="TableText0"/>
              <w:keepNext w:val="0"/>
            </w:pPr>
          </w:p>
        </w:tc>
        <w:tc>
          <w:tcPr>
            <w:tcW w:w="3027" w:type="pct"/>
            <w:tcBorders>
              <w:top w:val="nil"/>
              <w:bottom w:val="nil"/>
            </w:tcBorders>
            <w:vAlign w:val="center"/>
          </w:tcPr>
          <w:p w14:paraId="7433BFEB" w14:textId="77777777" w:rsidR="00B434C6" w:rsidRPr="0040534B" w:rsidRDefault="00B434C6" w:rsidP="00B434C6">
            <w:pPr>
              <w:pStyle w:val="TableText0"/>
              <w:keepNext w:val="0"/>
              <w:rPr>
                <w:szCs w:val="18"/>
              </w:rPr>
            </w:pPr>
            <w:r w:rsidRPr="0040534B">
              <w:rPr>
                <w:szCs w:val="18"/>
              </w:rPr>
              <w:t>Reuter U, Lucas C, Dolezil D et al. Galcanezumab in Patients with Multiple Previous Migraine Preventive Medication Category Failures: Results from the Open-Label Period of the CONQUER Trial</w:t>
            </w:r>
          </w:p>
          <w:p w14:paraId="2051844B" w14:textId="752DAC31" w:rsidR="00B434C6" w:rsidRPr="0040534B" w:rsidRDefault="00B434C6" w:rsidP="00B434C6">
            <w:pPr>
              <w:pStyle w:val="TableText0"/>
              <w:keepNext w:val="0"/>
              <w:rPr>
                <w:szCs w:val="18"/>
              </w:rPr>
            </w:pPr>
          </w:p>
        </w:tc>
        <w:tc>
          <w:tcPr>
            <w:tcW w:w="1177" w:type="pct"/>
            <w:tcBorders>
              <w:top w:val="nil"/>
              <w:bottom w:val="nil"/>
            </w:tcBorders>
          </w:tcPr>
          <w:p w14:paraId="724CFC8C" w14:textId="77777777" w:rsidR="00B434C6" w:rsidRPr="0040534B" w:rsidRDefault="00B434C6" w:rsidP="00B434C6">
            <w:pPr>
              <w:pStyle w:val="TableText0"/>
              <w:keepNext w:val="0"/>
            </w:pPr>
            <w:r w:rsidRPr="0040534B">
              <w:rPr>
                <w:i/>
                <w:iCs/>
              </w:rPr>
              <w:t>Advanced Therapies</w:t>
            </w:r>
            <w:r w:rsidRPr="0040534B">
              <w:t xml:space="preserve"> Nov 2021; 38(11): 5465-5483.</w:t>
            </w:r>
          </w:p>
        </w:tc>
      </w:tr>
      <w:tr w:rsidR="00B434C6" w:rsidRPr="0040534B" w14:paraId="0448AC9A" w14:textId="77777777" w:rsidTr="00B434C6">
        <w:tc>
          <w:tcPr>
            <w:tcW w:w="796" w:type="pct"/>
            <w:tcBorders>
              <w:top w:val="nil"/>
              <w:bottom w:val="nil"/>
            </w:tcBorders>
            <w:vAlign w:val="center"/>
          </w:tcPr>
          <w:p w14:paraId="178F405D" w14:textId="77777777" w:rsidR="00B434C6" w:rsidRPr="0040534B" w:rsidRDefault="00B434C6" w:rsidP="00B434C6">
            <w:pPr>
              <w:pStyle w:val="TableText0"/>
              <w:keepNext w:val="0"/>
            </w:pPr>
          </w:p>
        </w:tc>
        <w:tc>
          <w:tcPr>
            <w:tcW w:w="3027" w:type="pct"/>
            <w:tcBorders>
              <w:top w:val="nil"/>
              <w:bottom w:val="nil"/>
            </w:tcBorders>
            <w:vAlign w:val="center"/>
          </w:tcPr>
          <w:p w14:paraId="1615C3E9" w14:textId="77777777" w:rsidR="00B434C6" w:rsidRPr="0040534B" w:rsidRDefault="00B434C6" w:rsidP="00B434C6">
            <w:pPr>
              <w:pStyle w:val="TableText0"/>
              <w:keepNext w:val="0"/>
              <w:rPr>
                <w:szCs w:val="18"/>
              </w:rPr>
            </w:pPr>
            <w:r w:rsidRPr="0040534B">
              <w:rPr>
                <w:szCs w:val="18"/>
              </w:rPr>
              <w:t>Okonkwo R, Tockhorn-Heidenreich A, Stroud C et al. Efficacy of galcanezumab in patients with migraine and history of failure to 3-4 preventive medication categories: subgroup analysis from CONQUER study</w:t>
            </w:r>
          </w:p>
          <w:p w14:paraId="6DA4DBB1" w14:textId="00569EC6" w:rsidR="00B434C6" w:rsidRPr="0040534B" w:rsidRDefault="00B434C6" w:rsidP="00B434C6">
            <w:pPr>
              <w:pStyle w:val="TableText0"/>
              <w:keepNext w:val="0"/>
              <w:rPr>
                <w:szCs w:val="18"/>
              </w:rPr>
            </w:pPr>
          </w:p>
        </w:tc>
        <w:tc>
          <w:tcPr>
            <w:tcW w:w="1177" w:type="pct"/>
            <w:tcBorders>
              <w:top w:val="nil"/>
              <w:bottom w:val="nil"/>
            </w:tcBorders>
          </w:tcPr>
          <w:p w14:paraId="688D0012" w14:textId="77777777" w:rsidR="00B434C6" w:rsidRPr="0040534B" w:rsidRDefault="00B434C6" w:rsidP="00B434C6">
            <w:pPr>
              <w:pStyle w:val="TableText0"/>
              <w:keepNext w:val="0"/>
            </w:pPr>
            <w:r w:rsidRPr="0040534B">
              <w:rPr>
                <w:i/>
                <w:iCs/>
              </w:rPr>
              <w:t>Journal of Headache and Pain</w:t>
            </w:r>
            <w:r w:rsidRPr="0040534B">
              <w:t xml:space="preserve"> Sep 2021; 22(1): 113.</w:t>
            </w:r>
          </w:p>
        </w:tc>
      </w:tr>
      <w:tr w:rsidR="00B434C6" w:rsidRPr="0040534B" w14:paraId="46D6916E" w14:textId="77777777" w:rsidTr="00B434C6">
        <w:tc>
          <w:tcPr>
            <w:tcW w:w="796" w:type="pct"/>
            <w:tcBorders>
              <w:top w:val="nil"/>
              <w:bottom w:val="nil"/>
            </w:tcBorders>
            <w:vAlign w:val="center"/>
          </w:tcPr>
          <w:p w14:paraId="73123F4C" w14:textId="77777777" w:rsidR="00B434C6" w:rsidRPr="0040534B" w:rsidRDefault="00B434C6" w:rsidP="00B434C6">
            <w:pPr>
              <w:pStyle w:val="TableText0"/>
              <w:keepNext w:val="0"/>
            </w:pPr>
          </w:p>
        </w:tc>
        <w:tc>
          <w:tcPr>
            <w:tcW w:w="3027" w:type="pct"/>
            <w:tcBorders>
              <w:top w:val="nil"/>
              <w:bottom w:val="nil"/>
            </w:tcBorders>
            <w:vAlign w:val="center"/>
          </w:tcPr>
          <w:p w14:paraId="72C21C15" w14:textId="77777777" w:rsidR="00B434C6" w:rsidRPr="0040534B" w:rsidRDefault="00B434C6" w:rsidP="00B434C6">
            <w:pPr>
              <w:pStyle w:val="TableText0"/>
              <w:keepNext w:val="0"/>
              <w:rPr>
                <w:szCs w:val="18"/>
              </w:rPr>
            </w:pPr>
            <w:r w:rsidRPr="0040534B">
              <w:rPr>
                <w:szCs w:val="18"/>
              </w:rPr>
              <w:t>Stauffer VL, Wang S, Voulgaropoulos M et al. Effect of Galcanezumab Following Treatment Cessation in Patients With Migraine: Results From 2 Randomized Phase 3 Trials</w:t>
            </w:r>
          </w:p>
          <w:p w14:paraId="1E133F06" w14:textId="5C097B0A" w:rsidR="00B434C6" w:rsidRPr="0040534B" w:rsidRDefault="00B434C6" w:rsidP="00B434C6">
            <w:pPr>
              <w:pStyle w:val="TableText0"/>
              <w:keepNext w:val="0"/>
              <w:rPr>
                <w:szCs w:val="18"/>
              </w:rPr>
            </w:pPr>
          </w:p>
        </w:tc>
        <w:tc>
          <w:tcPr>
            <w:tcW w:w="1177" w:type="pct"/>
            <w:tcBorders>
              <w:top w:val="nil"/>
              <w:bottom w:val="nil"/>
            </w:tcBorders>
          </w:tcPr>
          <w:p w14:paraId="636578C2" w14:textId="77777777" w:rsidR="00B434C6" w:rsidRPr="0040534B" w:rsidRDefault="00B434C6" w:rsidP="00B434C6">
            <w:pPr>
              <w:pStyle w:val="TableText0"/>
              <w:keepNext w:val="0"/>
            </w:pPr>
            <w:r w:rsidRPr="0040534B">
              <w:rPr>
                <w:i/>
                <w:iCs/>
              </w:rPr>
              <w:t>Headache</w:t>
            </w:r>
            <w:r w:rsidRPr="0040534B">
              <w:t xml:space="preserve"> Jun 2019; 59(6): 834-847.</w:t>
            </w:r>
          </w:p>
        </w:tc>
      </w:tr>
      <w:tr w:rsidR="00B434C6" w:rsidRPr="0040534B" w14:paraId="17462567" w14:textId="77777777" w:rsidTr="00C02BFD">
        <w:tc>
          <w:tcPr>
            <w:tcW w:w="796" w:type="pct"/>
            <w:tcBorders>
              <w:top w:val="nil"/>
              <w:bottom w:val="nil"/>
            </w:tcBorders>
            <w:vAlign w:val="center"/>
          </w:tcPr>
          <w:p w14:paraId="3095F278" w14:textId="77777777" w:rsidR="00B434C6" w:rsidRPr="0040534B" w:rsidRDefault="00B434C6" w:rsidP="00B434C6">
            <w:pPr>
              <w:pStyle w:val="TableText0"/>
              <w:keepNext w:val="0"/>
            </w:pPr>
          </w:p>
        </w:tc>
        <w:tc>
          <w:tcPr>
            <w:tcW w:w="3027" w:type="pct"/>
            <w:tcBorders>
              <w:top w:val="nil"/>
              <w:bottom w:val="nil"/>
            </w:tcBorders>
            <w:vAlign w:val="center"/>
          </w:tcPr>
          <w:p w14:paraId="203505CE" w14:textId="77777777" w:rsidR="00B434C6" w:rsidRPr="0040534B" w:rsidRDefault="00B434C6" w:rsidP="00B434C6">
            <w:pPr>
              <w:pStyle w:val="TableText0"/>
              <w:keepNext w:val="0"/>
              <w:rPr>
                <w:szCs w:val="18"/>
              </w:rPr>
            </w:pPr>
            <w:r w:rsidRPr="0040534B">
              <w:rPr>
                <w:szCs w:val="18"/>
              </w:rPr>
              <w:t>Tepper SJ, Ailani J, Ford JH et al. Effects of Galcanezumab on Health-Related Quality of Life and Disability in Patients with Previous Failure of 2-4 Migraine Preventive Medication Categories: Results from a Phase IIIb Randomized, Placebo-Controlled, Multicenter Clinical Trial (CONQUER)</w:t>
            </w:r>
          </w:p>
          <w:p w14:paraId="0383A057" w14:textId="1BBC41CD" w:rsidR="00B434C6" w:rsidRPr="0040534B" w:rsidRDefault="00B434C6" w:rsidP="00B434C6">
            <w:pPr>
              <w:pStyle w:val="TableText0"/>
              <w:keepNext w:val="0"/>
              <w:rPr>
                <w:szCs w:val="18"/>
              </w:rPr>
            </w:pPr>
          </w:p>
        </w:tc>
        <w:tc>
          <w:tcPr>
            <w:tcW w:w="1177" w:type="pct"/>
            <w:tcBorders>
              <w:top w:val="nil"/>
              <w:bottom w:val="nil"/>
            </w:tcBorders>
          </w:tcPr>
          <w:p w14:paraId="6BAAECAA" w14:textId="77777777" w:rsidR="00B434C6" w:rsidRPr="0040534B" w:rsidRDefault="00B434C6" w:rsidP="00B434C6">
            <w:pPr>
              <w:pStyle w:val="TableText0"/>
              <w:keepNext w:val="0"/>
            </w:pPr>
            <w:r w:rsidRPr="0040534B">
              <w:rPr>
                <w:i/>
                <w:iCs/>
              </w:rPr>
              <w:t>Clinical Drug Investigation</w:t>
            </w:r>
            <w:r w:rsidRPr="0040534B">
              <w:t xml:space="preserve"> Mar 2022; 42(3): 263-275.</w:t>
            </w:r>
          </w:p>
        </w:tc>
      </w:tr>
      <w:tr w:rsidR="00B434C6" w:rsidRPr="0040534B" w14:paraId="77E0CA21" w14:textId="77777777" w:rsidTr="00C02BFD">
        <w:tc>
          <w:tcPr>
            <w:tcW w:w="796" w:type="pct"/>
            <w:tcBorders>
              <w:top w:val="nil"/>
              <w:bottom w:val="single" w:sz="4" w:space="0" w:color="auto"/>
            </w:tcBorders>
            <w:vAlign w:val="center"/>
          </w:tcPr>
          <w:p w14:paraId="7915ACC4" w14:textId="77777777" w:rsidR="00B434C6" w:rsidRPr="0040534B" w:rsidRDefault="00B434C6" w:rsidP="00B434C6">
            <w:pPr>
              <w:pStyle w:val="TableText0"/>
              <w:keepNext w:val="0"/>
            </w:pPr>
          </w:p>
        </w:tc>
        <w:tc>
          <w:tcPr>
            <w:tcW w:w="3027" w:type="pct"/>
            <w:tcBorders>
              <w:top w:val="nil"/>
              <w:bottom w:val="single" w:sz="4" w:space="0" w:color="auto"/>
            </w:tcBorders>
            <w:vAlign w:val="center"/>
          </w:tcPr>
          <w:p w14:paraId="4F91DEED" w14:textId="77777777" w:rsidR="00B434C6" w:rsidRPr="0040534B" w:rsidRDefault="00B434C6" w:rsidP="00B434C6">
            <w:pPr>
              <w:pStyle w:val="TableText0"/>
              <w:keepNext w:val="0"/>
              <w:rPr>
                <w:szCs w:val="18"/>
              </w:rPr>
            </w:pPr>
            <w:r w:rsidRPr="0040534B">
              <w:rPr>
                <w:szCs w:val="18"/>
              </w:rPr>
              <w:t>Ambrosini A, Estemalik E, Pascual J et al. Changes in acute headache medication use and health care resource utilization: Results from a randomized, double-blind, placebo-controlled clinical trial evaluating galcanezumab in adults with treatment-resistant migraine (CONQUER)</w:t>
            </w:r>
          </w:p>
        </w:tc>
        <w:tc>
          <w:tcPr>
            <w:tcW w:w="1177" w:type="pct"/>
            <w:tcBorders>
              <w:top w:val="nil"/>
              <w:bottom w:val="single" w:sz="4" w:space="0" w:color="auto"/>
            </w:tcBorders>
          </w:tcPr>
          <w:p w14:paraId="2A221087" w14:textId="77777777" w:rsidR="00B434C6" w:rsidRPr="0040534B" w:rsidRDefault="00B434C6" w:rsidP="00B434C6">
            <w:pPr>
              <w:pStyle w:val="TableText0"/>
              <w:keepNext w:val="0"/>
            </w:pPr>
            <w:r w:rsidRPr="0040534B">
              <w:rPr>
                <w:i/>
                <w:iCs/>
              </w:rPr>
              <w:t>Journal of Managed Care and Specialty Pharmacy</w:t>
            </w:r>
            <w:r w:rsidRPr="0040534B">
              <w:t xml:space="preserve"> Jun 2022; 28(6): 645-656.</w:t>
            </w:r>
          </w:p>
        </w:tc>
      </w:tr>
      <w:tr w:rsidR="00B434C6" w:rsidRPr="0040534B" w14:paraId="64CF716D" w14:textId="77777777" w:rsidTr="00C124DD">
        <w:tc>
          <w:tcPr>
            <w:tcW w:w="5000" w:type="pct"/>
            <w:gridSpan w:val="3"/>
            <w:tcBorders>
              <w:bottom w:val="nil"/>
            </w:tcBorders>
            <w:vAlign w:val="center"/>
          </w:tcPr>
          <w:p w14:paraId="05B751F2" w14:textId="77777777" w:rsidR="00B434C6" w:rsidRPr="0040534B" w:rsidRDefault="00B434C6" w:rsidP="00C02BFD">
            <w:pPr>
              <w:pStyle w:val="TableText0"/>
              <w:keepLines/>
              <w:rPr>
                <w:b/>
                <w:bCs w:val="0"/>
              </w:rPr>
            </w:pPr>
            <w:r w:rsidRPr="0040534B">
              <w:rPr>
                <w:b/>
                <w:bCs w:val="0"/>
              </w:rPr>
              <w:t>Fremanezumab versus placebo</w:t>
            </w:r>
          </w:p>
        </w:tc>
      </w:tr>
      <w:tr w:rsidR="00B434C6" w:rsidRPr="0040534B" w14:paraId="68402C5D" w14:textId="77777777" w:rsidTr="00C124DD">
        <w:tc>
          <w:tcPr>
            <w:tcW w:w="5000" w:type="pct"/>
            <w:gridSpan w:val="3"/>
            <w:tcBorders>
              <w:bottom w:val="single" w:sz="4" w:space="0" w:color="auto"/>
            </w:tcBorders>
            <w:vAlign w:val="center"/>
          </w:tcPr>
          <w:p w14:paraId="053F4B80" w14:textId="77777777" w:rsidR="00B434C6" w:rsidRPr="0040534B" w:rsidRDefault="00B434C6" w:rsidP="00C02BFD">
            <w:pPr>
              <w:pStyle w:val="TableText0"/>
              <w:keepLines/>
              <w:rPr>
                <w:b/>
                <w:bCs w:val="0"/>
              </w:rPr>
            </w:pPr>
            <w:r w:rsidRPr="0040534B">
              <w:rPr>
                <w:b/>
                <w:bCs w:val="0"/>
              </w:rPr>
              <w:t>Chronic migraine</w:t>
            </w:r>
          </w:p>
        </w:tc>
      </w:tr>
      <w:tr w:rsidR="00B434C6" w:rsidRPr="0040534B" w14:paraId="05B3BC6E" w14:textId="77777777" w:rsidTr="00B434C6">
        <w:tc>
          <w:tcPr>
            <w:tcW w:w="796" w:type="pct"/>
            <w:tcBorders>
              <w:bottom w:val="nil"/>
            </w:tcBorders>
          </w:tcPr>
          <w:p w14:paraId="494511EF" w14:textId="77777777" w:rsidR="00B434C6" w:rsidRPr="0040534B" w:rsidRDefault="00B434C6" w:rsidP="00C02BFD">
            <w:pPr>
              <w:pStyle w:val="TableText0"/>
              <w:keepLines/>
            </w:pPr>
            <w:r w:rsidRPr="0040534B">
              <w:t>HALO-CM</w:t>
            </w:r>
          </w:p>
          <w:p w14:paraId="00F2D4D7" w14:textId="79CDD8DC" w:rsidR="00B434C6" w:rsidRPr="0040534B" w:rsidRDefault="00B434C6" w:rsidP="00C02BFD">
            <w:pPr>
              <w:pStyle w:val="TableText0"/>
              <w:keepLines/>
            </w:pPr>
            <w:r w:rsidRPr="0040534B">
              <w:t>NCT02621931</w:t>
            </w:r>
          </w:p>
        </w:tc>
        <w:tc>
          <w:tcPr>
            <w:tcW w:w="3027" w:type="pct"/>
            <w:tcBorders>
              <w:bottom w:val="nil"/>
            </w:tcBorders>
            <w:vAlign w:val="center"/>
          </w:tcPr>
          <w:p w14:paraId="1BD39B43" w14:textId="77777777" w:rsidR="00B434C6" w:rsidRPr="0040534B" w:rsidRDefault="00B434C6" w:rsidP="00C02BFD">
            <w:pPr>
              <w:pStyle w:val="TableText0"/>
              <w:keepLines/>
              <w:rPr>
                <w:szCs w:val="18"/>
              </w:rPr>
            </w:pPr>
            <w:r w:rsidRPr="0040534B">
              <w:rPr>
                <w:szCs w:val="18"/>
              </w:rPr>
              <w:t>Silberstein SD, Dodick DW, Marcelo EB et al. Fremanezumab for the Preventive Treatment of Chronic Migraine</w:t>
            </w:r>
          </w:p>
          <w:p w14:paraId="7EDBE28A" w14:textId="2D2C6962" w:rsidR="00B434C6" w:rsidRPr="0040534B" w:rsidRDefault="00B434C6" w:rsidP="00C02BFD">
            <w:pPr>
              <w:pStyle w:val="TableText0"/>
              <w:keepLines/>
              <w:rPr>
                <w:szCs w:val="18"/>
              </w:rPr>
            </w:pPr>
          </w:p>
        </w:tc>
        <w:tc>
          <w:tcPr>
            <w:tcW w:w="1177" w:type="pct"/>
            <w:tcBorders>
              <w:bottom w:val="nil"/>
            </w:tcBorders>
          </w:tcPr>
          <w:p w14:paraId="548ECF4E" w14:textId="77777777" w:rsidR="00B434C6" w:rsidRPr="0040534B" w:rsidRDefault="00B434C6" w:rsidP="00C02BFD">
            <w:pPr>
              <w:pStyle w:val="TableText0"/>
              <w:keepLines/>
            </w:pPr>
            <w:r w:rsidRPr="0040534B">
              <w:rPr>
                <w:i/>
                <w:iCs/>
              </w:rPr>
              <w:t>NEJM</w:t>
            </w:r>
            <w:r w:rsidRPr="0040534B">
              <w:t xml:space="preserve"> 2017; 377: 2113-2122.</w:t>
            </w:r>
          </w:p>
        </w:tc>
      </w:tr>
      <w:tr w:rsidR="00B434C6" w:rsidRPr="0040534B" w14:paraId="5146869A" w14:textId="77777777" w:rsidTr="00B434C6">
        <w:tc>
          <w:tcPr>
            <w:tcW w:w="796" w:type="pct"/>
            <w:tcBorders>
              <w:top w:val="nil"/>
              <w:bottom w:val="nil"/>
            </w:tcBorders>
            <w:vAlign w:val="center"/>
          </w:tcPr>
          <w:p w14:paraId="39712B4D" w14:textId="67A372E0" w:rsidR="00B434C6" w:rsidRPr="0040534B" w:rsidRDefault="00B434C6" w:rsidP="00C02BFD">
            <w:pPr>
              <w:pStyle w:val="TableText0"/>
              <w:keepLines/>
            </w:pPr>
          </w:p>
        </w:tc>
        <w:tc>
          <w:tcPr>
            <w:tcW w:w="3027" w:type="pct"/>
            <w:tcBorders>
              <w:top w:val="nil"/>
              <w:bottom w:val="nil"/>
            </w:tcBorders>
            <w:vAlign w:val="center"/>
          </w:tcPr>
          <w:p w14:paraId="0BB70C97" w14:textId="77777777" w:rsidR="00B434C6" w:rsidRPr="0040534B" w:rsidRDefault="00B434C6" w:rsidP="00C02BFD">
            <w:pPr>
              <w:pStyle w:val="TableText0"/>
              <w:keepLines/>
              <w:rPr>
                <w:szCs w:val="18"/>
              </w:rPr>
            </w:pPr>
            <w:r w:rsidRPr="0040534B">
              <w:rPr>
                <w:szCs w:val="18"/>
              </w:rPr>
              <w:t>Lipton RB, Cohen JM, Galic M et al. Effects of fremanezumab in patients with chronic migraine and comorbid depression: Subgroup analysis of the randomized HALO CM study</w:t>
            </w:r>
          </w:p>
          <w:p w14:paraId="4596F374" w14:textId="1FF817D5" w:rsidR="00B434C6" w:rsidRPr="0040534B" w:rsidRDefault="00B434C6" w:rsidP="00C02BFD">
            <w:pPr>
              <w:pStyle w:val="TableText0"/>
              <w:keepLines/>
              <w:rPr>
                <w:szCs w:val="18"/>
              </w:rPr>
            </w:pPr>
          </w:p>
        </w:tc>
        <w:tc>
          <w:tcPr>
            <w:tcW w:w="1177" w:type="pct"/>
            <w:tcBorders>
              <w:top w:val="nil"/>
              <w:bottom w:val="nil"/>
            </w:tcBorders>
          </w:tcPr>
          <w:p w14:paraId="4B0671BF" w14:textId="77777777" w:rsidR="00B434C6" w:rsidRPr="0040534B" w:rsidRDefault="00B434C6" w:rsidP="00C02BFD">
            <w:pPr>
              <w:pStyle w:val="TableText0"/>
              <w:keepLines/>
            </w:pPr>
            <w:r w:rsidRPr="0040534B">
              <w:rPr>
                <w:i/>
                <w:iCs/>
              </w:rPr>
              <w:t>Headache</w:t>
            </w:r>
            <w:r w:rsidRPr="0040534B">
              <w:t xml:space="preserve"> Apr 2021; 61(4): 662-672.</w:t>
            </w:r>
          </w:p>
        </w:tc>
      </w:tr>
      <w:tr w:rsidR="00B434C6" w:rsidRPr="0040534B" w14:paraId="504D6EE5" w14:textId="77777777" w:rsidTr="00B434C6">
        <w:tc>
          <w:tcPr>
            <w:tcW w:w="796" w:type="pct"/>
            <w:tcBorders>
              <w:top w:val="nil"/>
              <w:bottom w:val="nil"/>
            </w:tcBorders>
            <w:vAlign w:val="center"/>
          </w:tcPr>
          <w:p w14:paraId="19A69019" w14:textId="77777777" w:rsidR="00B434C6" w:rsidRPr="0040534B" w:rsidRDefault="00B434C6" w:rsidP="00C02BFD">
            <w:pPr>
              <w:pStyle w:val="TableText0"/>
              <w:keepLines/>
            </w:pPr>
          </w:p>
        </w:tc>
        <w:tc>
          <w:tcPr>
            <w:tcW w:w="3027" w:type="pct"/>
            <w:tcBorders>
              <w:top w:val="nil"/>
              <w:bottom w:val="nil"/>
            </w:tcBorders>
            <w:vAlign w:val="center"/>
          </w:tcPr>
          <w:p w14:paraId="011DD17E" w14:textId="77777777" w:rsidR="00B434C6" w:rsidRPr="0040534B" w:rsidRDefault="00B434C6" w:rsidP="00C02BFD">
            <w:pPr>
              <w:pStyle w:val="TableText0"/>
              <w:keepLines/>
              <w:rPr>
                <w:szCs w:val="18"/>
              </w:rPr>
            </w:pPr>
            <w:r w:rsidRPr="0040534B">
              <w:rPr>
                <w:szCs w:val="18"/>
              </w:rPr>
              <w:t>Lipton RB, Cohen JM, Gandhi SK et al. Effect of fremanezumab on quality of life and productivity in patients with chronic migraine</w:t>
            </w:r>
          </w:p>
          <w:p w14:paraId="25F2D3DE" w14:textId="086AB7E7" w:rsidR="00B434C6" w:rsidRPr="0040534B" w:rsidRDefault="00B434C6" w:rsidP="00C02BFD">
            <w:pPr>
              <w:pStyle w:val="TableText0"/>
              <w:keepLines/>
              <w:rPr>
                <w:szCs w:val="18"/>
              </w:rPr>
            </w:pPr>
          </w:p>
        </w:tc>
        <w:tc>
          <w:tcPr>
            <w:tcW w:w="1177" w:type="pct"/>
            <w:tcBorders>
              <w:top w:val="nil"/>
              <w:bottom w:val="nil"/>
            </w:tcBorders>
          </w:tcPr>
          <w:p w14:paraId="6FB6BBBF" w14:textId="77777777" w:rsidR="00B434C6" w:rsidRPr="0040534B" w:rsidRDefault="00B434C6" w:rsidP="00C02BFD">
            <w:pPr>
              <w:pStyle w:val="TableText0"/>
              <w:keepLines/>
            </w:pPr>
            <w:r w:rsidRPr="0040534B">
              <w:rPr>
                <w:i/>
                <w:iCs/>
              </w:rPr>
              <w:t>Neurology</w:t>
            </w:r>
            <w:r w:rsidRPr="0040534B">
              <w:t xml:space="preserve"> Aug 2020; 95(7): e878-e888.</w:t>
            </w:r>
          </w:p>
        </w:tc>
      </w:tr>
      <w:tr w:rsidR="00B434C6" w:rsidRPr="0040534B" w14:paraId="36A09BE4" w14:textId="77777777" w:rsidTr="00B434C6">
        <w:tc>
          <w:tcPr>
            <w:tcW w:w="796" w:type="pct"/>
            <w:tcBorders>
              <w:top w:val="nil"/>
              <w:bottom w:val="single" w:sz="4" w:space="0" w:color="auto"/>
            </w:tcBorders>
            <w:vAlign w:val="center"/>
          </w:tcPr>
          <w:p w14:paraId="45A41F3B" w14:textId="77777777" w:rsidR="00B434C6" w:rsidRPr="0040534B" w:rsidRDefault="00B434C6" w:rsidP="00C02BFD">
            <w:pPr>
              <w:pStyle w:val="TableText0"/>
              <w:keepLines/>
            </w:pPr>
          </w:p>
        </w:tc>
        <w:tc>
          <w:tcPr>
            <w:tcW w:w="3027" w:type="pct"/>
            <w:tcBorders>
              <w:top w:val="nil"/>
              <w:bottom w:val="single" w:sz="4" w:space="0" w:color="auto"/>
            </w:tcBorders>
            <w:vAlign w:val="center"/>
          </w:tcPr>
          <w:p w14:paraId="444F04AF" w14:textId="77777777" w:rsidR="00B434C6" w:rsidRPr="0040534B" w:rsidRDefault="00B434C6" w:rsidP="00C02BFD">
            <w:pPr>
              <w:pStyle w:val="TableText0"/>
              <w:keepLines/>
              <w:rPr>
                <w:szCs w:val="18"/>
              </w:rPr>
            </w:pPr>
            <w:r w:rsidRPr="0040534B">
              <w:rPr>
                <w:szCs w:val="18"/>
              </w:rPr>
              <w:t>Goadsby PJ, Silberstein SD, Yeung PP et al. Long-term safety, tolerability, and efficacy of fremanezumab in migraine: A randomized study</w:t>
            </w:r>
          </w:p>
        </w:tc>
        <w:tc>
          <w:tcPr>
            <w:tcW w:w="1177" w:type="pct"/>
            <w:tcBorders>
              <w:top w:val="nil"/>
              <w:bottom w:val="single" w:sz="4" w:space="0" w:color="auto"/>
            </w:tcBorders>
          </w:tcPr>
          <w:p w14:paraId="267376C8" w14:textId="77777777" w:rsidR="00B434C6" w:rsidRPr="0040534B" w:rsidRDefault="00B434C6" w:rsidP="00C02BFD">
            <w:pPr>
              <w:pStyle w:val="TableText0"/>
              <w:keepLines/>
            </w:pPr>
            <w:r w:rsidRPr="0040534B">
              <w:rPr>
                <w:i/>
                <w:iCs/>
              </w:rPr>
              <w:t>Neurology</w:t>
            </w:r>
            <w:r w:rsidRPr="0040534B">
              <w:t xml:space="preserve"> Nov 2020; 95(18): e2487-e2499.</w:t>
            </w:r>
          </w:p>
        </w:tc>
      </w:tr>
      <w:tr w:rsidR="00B434C6" w:rsidRPr="0040534B" w14:paraId="792024E8" w14:textId="77777777" w:rsidTr="00B434C6">
        <w:tc>
          <w:tcPr>
            <w:tcW w:w="796" w:type="pct"/>
            <w:tcBorders>
              <w:top w:val="single" w:sz="4" w:space="0" w:color="auto"/>
              <w:bottom w:val="nil"/>
            </w:tcBorders>
          </w:tcPr>
          <w:p w14:paraId="4A894D5F" w14:textId="77777777" w:rsidR="00B434C6" w:rsidRPr="0040534B" w:rsidRDefault="00B434C6" w:rsidP="00B434C6">
            <w:pPr>
              <w:pStyle w:val="TableText0"/>
              <w:keepNext w:val="0"/>
            </w:pPr>
            <w:r w:rsidRPr="0040534B">
              <w:t>NCT03303079</w:t>
            </w:r>
          </w:p>
        </w:tc>
        <w:tc>
          <w:tcPr>
            <w:tcW w:w="3027" w:type="pct"/>
            <w:tcBorders>
              <w:top w:val="single" w:sz="4" w:space="0" w:color="auto"/>
              <w:bottom w:val="nil"/>
            </w:tcBorders>
          </w:tcPr>
          <w:p w14:paraId="106A23A9" w14:textId="77777777" w:rsidR="00B434C6" w:rsidRPr="0040534B" w:rsidRDefault="00B434C6" w:rsidP="00B434C6">
            <w:pPr>
              <w:pStyle w:val="TableText0"/>
              <w:keepNext w:val="0"/>
              <w:rPr>
                <w:szCs w:val="18"/>
              </w:rPr>
            </w:pPr>
            <w:r w:rsidRPr="0040534B">
              <w:rPr>
                <w:szCs w:val="18"/>
              </w:rPr>
              <w:t>Sakai F, Suzuki N, Kim BK et al. Efficacy and safety of fremanezumab for chronic migraine prevention: Multicenter, randomized, double-blind, placebo-controlled, parallel-group trial in Japanese and Korean patients</w:t>
            </w:r>
          </w:p>
        </w:tc>
        <w:tc>
          <w:tcPr>
            <w:tcW w:w="1177" w:type="pct"/>
            <w:tcBorders>
              <w:top w:val="single" w:sz="4" w:space="0" w:color="auto"/>
              <w:bottom w:val="nil"/>
            </w:tcBorders>
          </w:tcPr>
          <w:p w14:paraId="52E6BE52" w14:textId="77777777" w:rsidR="00B434C6" w:rsidRPr="0040534B" w:rsidRDefault="00B434C6" w:rsidP="00B434C6">
            <w:pPr>
              <w:pStyle w:val="TableText0"/>
              <w:keepNext w:val="0"/>
            </w:pPr>
            <w:r w:rsidRPr="0040534B">
              <w:rPr>
                <w:i/>
                <w:iCs/>
              </w:rPr>
              <w:t>Headache</w:t>
            </w:r>
            <w:r w:rsidRPr="0040534B">
              <w:t xml:space="preserve"> Jul 2021; 61(7): 1092-1101.</w:t>
            </w:r>
          </w:p>
        </w:tc>
      </w:tr>
      <w:tr w:rsidR="00B434C6" w:rsidRPr="0040534B" w14:paraId="3F9C0A3F" w14:textId="77777777" w:rsidTr="00C124DD">
        <w:tc>
          <w:tcPr>
            <w:tcW w:w="5000" w:type="pct"/>
            <w:gridSpan w:val="3"/>
            <w:tcBorders>
              <w:bottom w:val="single" w:sz="4" w:space="0" w:color="auto"/>
            </w:tcBorders>
            <w:vAlign w:val="center"/>
          </w:tcPr>
          <w:p w14:paraId="6134BF4E" w14:textId="77777777" w:rsidR="00B434C6" w:rsidRPr="0040534B" w:rsidRDefault="00B434C6" w:rsidP="00B434C6">
            <w:pPr>
              <w:pStyle w:val="TableText0"/>
              <w:keepNext w:val="0"/>
              <w:rPr>
                <w:b/>
                <w:bCs w:val="0"/>
              </w:rPr>
            </w:pPr>
            <w:r w:rsidRPr="0040534B">
              <w:rPr>
                <w:b/>
                <w:bCs w:val="0"/>
              </w:rPr>
              <w:t>Episodic migraine</w:t>
            </w:r>
          </w:p>
        </w:tc>
      </w:tr>
      <w:tr w:rsidR="00B434C6" w:rsidRPr="0040534B" w14:paraId="1F76FB71" w14:textId="77777777" w:rsidTr="00B434C6">
        <w:tc>
          <w:tcPr>
            <w:tcW w:w="796" w:type="pct"/>
            <w:tcBorders>
              <w:bottom w:val="nil"/>
            </w:tcBorders>
          </w:tcPr>
          <w:p w14:paraId="6041F6D7" w14:textId="77777777" w:rsidR="00B434C6" w:rsidRPr="0040534B" w:rsidRDefault="00B434C6" w:rsidP="00B434C6">
            <w:pPr>
              <w:pStyle w:val="TableText0"/>
            </w:pPr>
            <w:r w:rsidRPr="0040534B">
              <w:t>HALO-EM</w:t>
            </w:r>
          </w:p>
          <w:p w14:paraId="5DA77BC8" w14:textId="77777777" w:rsidR="00B434C6" w:rsidRPr="0040534B" w:rsidRDefault="00B434C6" w:rsidP="00B434C6">
            <w:pPr>
              <w:pStyle w:val="TableText0"/>
              <w:keepNext w:val="0"/>
            </w:pPr>
            <w:r w:rsidRPr="0040534B">
              <w:t>NCT02629861</w:t>
            </w:r>
          </w:p>
        </w:tc>
        <w:tc>
          <w:tcPr>
            <w:tcW w:w="3027" w:type="pct"/>
            <w:tcBorders>
              <w:bottom w:val="nil"/>
            </w:tcBorders>
            <w:vAlign w:val="center"/>
          </w:tcPr>
          <w:p w14:paraId="0EE801C1" w14:textId="77777777" w:rsidR="00B434C6" w:rsidRPr="0040534B" w:rsidRDefault="00B434C6" w:rsidP="00B434C6">
            <w:pPr>
              <w:pStyle w:val="TableText0"/>
              <w:keepNext w:val="0"/>
              <w:rPr>
                <w:szCs w:val="18"/>
              </w:rPr>
            </w:pPr>
            <w:r w:rsidRPr="0040534B">
              <w:rPr>
                <w:szCs w:val="18"/>
              </w:rPr>
              <w:t>Dodick DW, Silberstein SD, Bigal ME et al. Effect of Fremanezumab Compared With Placebo for Prevention of Episodic Migraine A Randomized Clinical Trial</w:t>
            </w:r>
          </w:p>
          <w:p w14:paraId="7D449426" w14:textId="6905645C" w:rsidR="00B434C6" w:rsidRPr="0040534B" w:rsidRDefault="00B434C6" w:rsidP="00B434C6">
            <w:pPr>
              <w:pStyle w:val="TableText0"/>
              <w:keepNext w:val="0"/>
              <w:rPr>
                <w:szCs w:val="18"/>
              </w:rPr>
            </w:pPr>
          </w:p>
        </w:tc>
        <w:tc>
          <w:tcPr>
            <w:tcW w:w="1177" w:type="pct"/>
            <w:tcBorders>
              <w:bottom w:val="nil"/>
            </w:tcBorders>
          </w:tcPr>
          <w:p w14:paraId="4AF4769B" w14:textId="77777777" w:rsidR="00B434C6" w:rsidRPr="0040534B" w:rsidRDefault="00B434C6" w:rsidP="00B434C6">
            <w:pPr>
              <w:pStyle w:val="TableText0"/>
              <w:keepNext w:val="0"/>
            </w:pPr>
            <w:r w:rsidRPr="0040534B">
              <w:rPr>
                <w:i/>
                <w:iCs/>
              </w:rPr>
              <w:t>JAMA</w:t>
            </w:r>
            <w:r w:rsidRPr="0040534B">
              <w:t xml:space="preserve"> 2018; 319: 1999-2008.</w:t>
            </w:r>
          </w:p>
        </w:tc>
      </w:tr>
      <w:tr w:rsidR="00B434C6" w:rsidRPr="0040534B" w14:paraId="49859B7A" w14:textId="77777777" w:rsidTr="00B434C6">
        <w:tc>
          <w:tcPr>
            <w:tcW w:w="796" w:type="pct"/>
            <w:tcBorders>
              <w:top w:val="nil"/>
              <w:bottom w:val="single" w:sz="4" w:space="0" w:color="auto"/>
            </w:tcBorders>
            <w:vAlign w:val="center"/>
          </w:tcPr>
          <w:p w14:paraId="3298DD71" w14:textId="77777777" w:rsidR="00B434C6" w:rsidRPr="0040534B" w:rsidRDefault="00B434C6" w:rsidP="00B434C6">
            <w:pPr>
              <w:pStyle w:val="TableText0"/>
            </w:pPr>
          </w:p>
        </w:tc>
        <w:tc>
          <w:tcPr>
            <w:tcW w:w="3027" w:type="pct"/>
            <w:tcBorders>
              <w:top w:val="nil"/>
              <w:bottom w:val="single" w:sz="4" w:space="0" w:color="auto"/>
            </w:tcBorders>
            <w:vAlign w:val="center"/>
          </w:tcPr>
          <w:p w14:paraId="2D740527" w14:textId="77777777" w:rsidR="00B434C6" w:rsidRPr="0040534B" w:rsidRDefault="00B434C6" w:rsidP="00B434C6">
            <w:pPr>
              <w:pStyle w:val="TableText0"/>
              <w:keepNext w:val="0"/>
              <w:rPr>
                <w:szCs w:val="18"/>
              </w:rPr>
            </w:pPr>
            <w:r w:rsidRPr="0040534B">
              <w:rPr>
                <w:szCs w:val="18"/>
              </w:rPr>
              <w:t>Brandes JL, Kudrow D, Yeung PP et al. Effects of fremanezumab on the use of acute headache medication and associated symptoms of migraine in patients with episodic migraine</w:t>
            </w:r>
          </w:p>
        </w:tc>
        <w:tc>
          <w:tcPr>
            <w:tcW w:w="1177" w:type="pct"/>
            <w:tcBorders>
              <w:top w:val="nil"/>
              <w:bottom w:val="single" w:sz="4" w:space="0" w:color="auto"/>
            </w:tcBorders>
          </w:tcPr>
          <w:p w14:paraId="56F67F7C" w14:textId="77777777" w:rsidR="00B434C6" w:rsidRPr="0040534B" w:rsidRDefault="00B434C6" w:rsidP="00B434C6">
            <w:pPr>
              <w:pStyle w:val="TableText0"/>
              <w:keepNext w:val="0"/>
            </w:pPr>
            <w:r w:rsidRPr="0040534B">
              <w:rPr>
                <w:i/>
                <w:iCs/>
              </w:rPr>
              <w:t>Cephalalgia</w:t>
            </w:r>
            <w:r w:rsidRPr="0040534B">
              <w:t xml:space="preserve"> Apr 2020; 40(5): 470-477.</w:t>
            </w:r>
          </w:p>
        </w:tc>
      </w:tr>
      <w:tr w:rsidR="00B434C6" w:rsidRPr="0040534B" w14:paraId="2A5E6D41" w14:textId="77777777" w:rsidTr="00B434C6">
        <w:tc>
          <w:tcPr>
            <w:tcW w:w="796" w:type="pct"/>
            <w:tcBorders>
              <w:top w:val="single" w:sz="4" w:space="0" w:color="auto"/>
              <w:bottom w:val="nil"/>
            </w:tcBorders>
          </w:tcPr>
          <w:p w14:paraId="25AA7296" w14:textId="77777777" w:rsidR="00B434C6" w:rsidRPr="0040534B" w:rsidRDefault="00B434C6" w:rsidP="00B434C6">
            <w:pPr>
              <w:pStyle w:val="TableText0"/>
              <w:keepNext w:val="0"/>
            </w:pPr>
            <w:r w:rsidRPr="0040534B">
              <w:t>NCT03303092</w:t>
            </w:r>
          </w:p>
        </w:tc>
        <w:tc>
          <w:tcPr>
            <w:tcW w:w="3027" w:type="pct"/>
            <w:tcBorders>
              <w:top w:val="single" w:sz="4" w:space="0" w:color="auto"/>
              <w:bottom w:val="nil"/>
            </w:tcBorders>
          </w:tcPr>
          <w:p w14:paraId="16FAA11D" w14:textId="77777777" w:rsidR="00B434C6" w:rsidRPr="0040534B" w:rsidRDefault="00B434C6" w:rsidP="00B434C6">
            <w:pPr>
              <w:pStyle w:val="TableText0"/>
              <w:keepNext w:val="0"/>
              <w:rPr>
                <w:szCs w:val="18"/>
              </w:rPr>
            </w:pPr>
            <w:r w:rsidRPr="0040534B">
              <w:rPr>
                <w:szCs w:val="18"/>
              </w:rPr>
              <w:t>Sakai F, Suzuki N, Kim BK et al. Efficacy and safety of fremanezumab for episodic migraine prevention: Multicenter, randomized, double-blind, placebo-controlled, parallel-group trial in Japanese and Korean patients</w:t>
            </w:r>
          </w:p>
        </w:tc>
        <w:tc>
          <w:tcPr>
            <w:tcW w:w="1177" w:type="pct"/>
            <w:tcBorders>
              <w:top w:val="single" w:sz="4" w:space="0" w:color="auto"/>
              <w:bottom w:val="nil"/>
            </w:tcBorders>
          </w:tcPr>
          <w:p w14:paraId="280386FD" w14:textId="77777777" w:rsidR="00B434C6" w:rsidRPr="0040534B" w:rsidRDefault="00B434C6" w:rsidP="00B434C6">
            <w:pPr>
              <w:pStyle w:val="TableText0"/>
              <w:keepNext w:val="0"/>
            </w:pPr>
            <w:r w:rsidRPr="0040534B">
              <w:rPr>
                <w:i/>
                <w:iCs/>
              </w:rPr>
              <w:t>Headache</w:t>
            </w:r>
            <w:r w:rsidRPr="0040534B">
              <w:t xml:space="preserve"> Jul 2021; 61(7): 1102-1111.</w:t>
            </w:r>
          </w:p>
        </w:tc>
      </w:tr>
      <w:tr w:rsidR="00B434C6" w:rsidRPr="0040534B" w14:paraId="19B5CB30" w14:textId="77777777" w:rsidTr="00C124DD">
        <w:tc>
          <w:tcPr>
            <w:tcW w:w="5000" w:type="pct"/>
            <w:gridSpan w:val="3"/>
            <w:tcBorders>
              <w:bottom w:val="single" w:sz="4" w:space="0" w:color="auto"/>
            </w:tcBorders>
            <w:vAlign w:val="center"/>
          </w:tcPr>
          <w:p w14:paraId="03922C2F" w14:textId="77777777" w:rsidR="00B434C6" w:rsidRPr="0040534B" w:rsidRDefault="00B434C6" w:rsidP="00B434C6">
            <w:pPr>
              <w:pStyle w:val="TableText0"/>
              <w:keepNext w:val="0"/>
              <w:rPr>
                <w:b/>
                <w:bCs w:val="0"/>
              </w:rPr>
            </w:pPr>
            <w:r w:rsidRPr="0040534B">
              <w:rPr>
                <w:b/>
                <w:bCs w:val="0"/>
              </w:rPr>
              <w:t>Chronic and episodic migraine</w:t>
            </w:r>
          </w:p>
        </w:tc>
      </w:tr>
      <w:tr w:rsidR="00B434C6" w:rsidRPr="0040534B" w14:paraId="4B5DFA99" w14:textId="77777777" w:rsidTr="00B434C6">
        <w:tc>
          <w:tcPr>
            <w:tcW w:w="796" w:type="pct"/>
            <w:tcBorders>
              <w:bottom w:val="nil"/>
            </w:tcBorders>
          </w:tcPr>
          <w:p w14:paraId="1AF1DB95" w14:textId="77777777" w:rsidR="00B434C6" w:rsidRPr="0040534B" w:rsidRDefault="00B434C6" w:rsidP="00B434C6">
            <w:pPr>
              <w:pStyle w:val="TableText0"/>
              <w:keepNext w:val="0"/>
            </w:pPr>
            <w:r w:rsidRPr="0040534B">
              <w:t>FOCUS</w:t>
            </w:r>
          </w:p>
          <w:p w14:paraId="6E40A82F" w14:textId="4B81AD9B" w:rsidR="00B434C6" w:rsidRPr="0040534B" w:rsidRDefault="00B434C6" w:rsidP="00B434C6">
            <w:pPr>
              <w:pStyle w:val="TableText0"/>
              <w:keepNext w:val="0"/>
            </w:pPr>
            <w:r w:rsidRPr="0040534B">
              <w:t>NCT03308968</w:t>
            </w:r>
          </w:p>
        </w:tc>
        <w:tc>
          <w:tcPr>
            <w:tcW w:w="3027" w:type="pct"/>
            <w:tcBorders>
              <w:bottom w:val="nil"/>
            </w:tcBorders>
            <w:vAlign w:val="center"/>
          </w:tcPr>
          <w:p w14:paraId="6401102C" w14:textId="77777777" w:rsidR="00B434C6" w:rsidRPr="0040534B" w:rsidRDefault="00B434C6" w:rsidP="00B434C6">
            <w:pPr>
              <w:pStyle w:val="TableText0"/>
              <w:keepNext w:val="0"/>
              <w:rPr>
                <w:szCs w:val="18"/>
              </w:rPr>
            </w:pPr>
            <w:r w:rsidRPr="0040534B">
              <w:rPr>
                <w:szCs w:val="18"/>
              </w:rPr>
              <w:t>Ferrari MD, Diener HC, Xiaoping N et al. Fremanezumab versus placebo for migraine prevention in patients with documented failure to up to four migraine preventive medication classes (FOCUS): a randomised, double-blind, placebo-controlled, phase 3b trial</w:t>
            </w:r>
          </w:p>
          <w:p w14:paraId="4180F24F" w14:textId="759804E7" w:rsidR="00B434C6" w:rsidRPr="0040534B" w:rsidRDefault="00B434C6" w:rsidP="00B434C6">
            <w:pPr>
              <w:pStyle w:val="TableText0"/>
              <w:keepNext w:val="0"/>
            </w:pPr>
          </w:p>
        </w:tc>
        <w:tc>
          <w:tcPr>
            <w:tcW w:w="1177" w:type="pct"/>
            <w:tcBorders>
              <w:bottom w:val="nil"/>
            </w:tcBorders>
          </w:tcPr>
          <w:p w14:paraId="0ADC9572" w14:textId="77777777" w:rsidR="00B434C6" w:rsidRPr="0040534B" w:rsidRDefault="00B434C6" w:rsidP="00B434C6">
            <w:pPr>
              <w:pStyle w:val="TableText0"/>
              <w:keepNext w:val="0"/>
            </w:pPr>
            <w:r w:rsidRPr="0040534B">
              <w:rPr>
                <w:i/>
                <w:iCs/>
              </w:rPr>
              <w:t>The Lancet</w:t>
            </w:r>
            <w:r w:rsidRPr="0040534B">
              <w:t xml:space="preserve"> 2019; 394: 1030-40.</w:t>
            </w:r>
          </w:p>
        </w:tc>
      </w:tr>
      <w:tr w:rsidR="00B434C6" w:rsidRPr="0040534B" w14:paraId="45B69920" w14:textId="77777777" w:rsidTr="00B434C6">
        <w:tc>
          <w:tcPr>
            <w:tcW w:w="796" w:type="pct"/>
            <w:tcBorders>
              <w:top w:val="nil"/>
              <w:bottom w:val="nil"/>
            </w:tcBorders>
            <w:vAlign w:val="center"/>
          </w:tcPr>
          <w:p w14:paraId="6F63A4A8" w14:textId="77777777" w:rsidR="00B434C6" w:rsidRPr="0040534B" w:rsidRDefault="00B434C6" w:rsidP="00B434C6">
            <w:pPr>
              <w:pStyle w:val="TableText0"/>
              <w:keepNext w:val="0"/>
            </w:pPr>
          </w:p>
        </w:tc>
        <w:tc>
          <w:tcPr>
            <w:tcW w:w="3027" w:type="pct"/>
            <w:tcBorders>
              <w:top w:val="nil"/>
              <w:bottom w:val="nil"/>
            </w:tcBorders>
            <w:vAlign w:val="center"/>
          </w:tcPr>
          <w:p w14:paraId="1209C8EE" w14:textId="77777777" w:rsidR="00B434C6" w:rsidRPr="0040534B" w:rsidRDefault="00B434C6" w:rsidP="00B434C6">
            <w:pPr>
              <w:pStyle w:val="TableText0"/>
              <w:keepNext w:val="0"/>
              <w:rPr>
                <w:szCs w:val="18"/>
              </w:rPr>
            </w:pPr>
            <w:r w:rsidRPr="0040534B">
              <w:rPr>
                <w:szCs w:val="18"/>
              </w:rPr>
              <w:t>Ashina M, Cohen JM, Galic M et al. Efficacy and safety of fremanezumab in patients with episodic and chronic migraine with documented inadequate response to 2 to 4 classes of migraine preventive medications over 6</w:t>
            </w:r>
            <w:r w:rsidRPr="0040534B">
              <w:rPr>
                <w:rFonts w:ascii="Arial" w:hAnsi="Arial" w:cs="Arial"/>
                <w:szCs w:val="18"/>
              </w:rPr>
              <w:t> </w:t>
            </w:r>
            <w:r w:rsidRPr="0040534B">
              <w:rPr>
                <w:szCs w:val="18"/>
              </w:rPr>
              <w:t>months of treatment in the phase 3b FOCUS study</w:t>
            </w:r>
          </w:p>
          <w:p w14:paraId="5CB0C282" w14:textId="17D64460" w:rsidR="00B434C6" w:rsidRPr="0040534B" w:rsidRDefault="00B434C6" w:rsidP="00B434C6">
            <w:pPr>
              <w:pStyle w:val="TableText0"/>
              <w:keepNext w:val="0"/>
              <w:rPr>
                <w:szCs w:val="18"/>
              </w:rPr>
            </w:pPr>
          </w:p>
        </w:tc>
        <w:tc>
          <w:tcPr>
            <w:tcW w:w="1177" w:type="pct"/>
            <w:tcBorders>
              <w:top w:val="nil"/>
              <w:bottom w:val="nil"/>
            </w:tcBorders>
          </w:tcPr>
          <w:p w14:paraId="0422CA46" w14:textId="77777777" w:rsidR="00B434C6" w:rsidRPr="0040534B" w:rsidRDefault="00B434C6" w:rsidP="00B434C6">
            <w:pPr>
              <w:pStyle w:val="TableText0"/>
              <w:keepNext w:val="0"/>
            </w:pPr>
            <w:r w:rsidRPr="0040534B">
              <w:rPr>
                <w:i/>
                <w:iCs/>
              </w:rPr>
              <w:t>Journal of Headache and Pain</w:t>
            </w:r>
            <w:r w:rsidRPr="0040534B">
              <w:t xml:space="preserve"> 10 July 2022; 22: 68.</w:t>
            </w:r>
          </w:p>
        </w:tc>
      </w:tr>
      <w:tr w:rsidR="00B434C6" w:rsidRPr="0040534B" w14:paraId="361C0705" w14:textId="77777777" w:rsidTr="00B434C6">
        <w:tc>
          <w:tcPr>
            <w:tcW w:w="796" w:type="pct"/>
            <w:tcBorders>
              <w:top w:val="nil"/>
              <w:bottom w:val="nil"/>
            </w:tcBorders>
            <w:vAlign w:val="center"/>
          </w:tcPr>
          <w:p w14:paraId="408F81F5" w14:textId="79ED52A5" w:rsidR="00B434C6" w:rsidRPr="0040534B" w:rsidRDefault="00B434C6" w:rsidP="00B434C6">
            <w:pPr>
              <w:pStyle w:val="TableText0"/>
              <w:keepNext w:val="0"/>
            </w:pPr>
          </w:p>
        </w:tc>
        <w:tc>
          <w:tcPr>
            <w:tcW w:w="3027" w:type="pct"/>
            <w:tcBorders>
              <w:top w:val="nil"/>
              <w:bottom w:val="nil"/>
            </w:tcBorders>
            <w:vAlign w:val="center"/>
          </w:tcPr>
          <w:p w14:paraId="45D5039E" w14:textId="77777777" w:rsidR="00B434C6" w:rsidRPr="0040534B" w:rsidRDefault="00B434C6" w:rsidP="00B434C6">
            <w:pPr>
              <w:pStyle w:val="TableText0"/>
              <w:keepNext w:val="0"/>
              <w:rPr>
                <w:szCs w:val="18"/>
              </w:rPr>
            </w:pPr>
            <w:r w:rsidRPr="0040534B">
              <w:rPr>
                <w:szCs w:val="18"/>
              </w:rPr>
              <w:t>Spierings ELH, Ning X, Ramirez Campos V et al. Improvements in quality of life and work productivity with up to 6 months of fremanezumab treatment in patients with episodic and chronic migraine and documented inadequate response to 2 to 4 classes of migraine-preventive medications in the phase 3b FOCUS study</w:t>
            </w:r>
          </w:p>
          <w:p w14:paraId="5C795AF6" w14:textId="1C6E12D4" w:rsidR="00B434C6" w:rsidRPr="0040534B" w:rsidRDefault="00B434C6" w:rsidP="00B434C6">
            <w:pPr>
              <w:pStyle w:val="TableText0"/>
              <w:keepNext w:val="0"/>
              <w:rPr>
                <w:szCs w:val="18"/>
              </w:rPr>
            </w:pPr>
          </w:p>
        </w:tc>
        <w:tc>
          <w:tcPr>
            <w:tcW w:w="1177" w:type="pct"/>
            <w:tcBorders>
              <w:top w:val="nil"/>
              <w:bottom w:val="nil"/>
            </w:tcBorders>
          </w:tcPr>
          <w:p w14:paraId="36A369BB" w14:textId="77777777" w:rsidR="00B434C6" w:rsidRPr="0040534B" w:rsidRDefault="00B434C6" w:rsidP="00B434C6">
            <w:pPr>
              <w:pStyle w:val="TableText0"/>
              <w:keepNext w:val="0"/>
              <w:rPr>
                <w:i/>
                <w:iCs/>
              </w:rPr>
            </w:pPr>
            <w:r w:rsidRPr="0040534B">
              <w:rPr>
                <w:i/>
                <w:iCs/>
              </w:rPr>
              <w:t>Headache</w:t>
            </w:r>
            <w:r w:rsidRPr="0040534B">
              <w:t xml:space="preserve"> Oct 2021</w:t>
            </w:r>
            <w:r w:rsidRPr="0040534B">
              <w:rPr>
                <w:i/>
                <w:iCs/>
              </w:rPr>
              <w:t>; 61: 1376-1386.</w:t>
            </w:r>
          </w:p>
        </w:tc>
      </w:tr>
      <w:tr w:rsidR="00B434C6" w:rsidRPr="0040534B" w14:paraId="65BBFB49" w14:textId="77777777" w:rsidTr="00F27A86">
        <w:tc>
          <w:tcPr>
            <w:tcW w:w="796" w:type="pct"/>
            <w:tcBorders>
              <w:top w:val="nil"/>
              <w:bottom w:val="nil"/>
            </w:tcBorders>
            <w:vAlign w:val="center"/>
          </w:tcPr>
          <w:p w14:paraId="6C462DB8" w14:textId="77777777" w:rsidR="00B434C6" w:rsidRPr="0040534B" w:rsidRDefault="00B434C6" w:rsidP="00B434C6">
            <w:pPr>
              <w:pStyle w:val="TableText0"/>
              <w:keepNext w:val="0"/>
            </w:pPr>
          </w:p>
        </w:tc>
        <w:tc>
          <w:tcPr>
            <w:tcW w:w="3027" w:type="pct"/>
            <w:tcBorders>
              <w:top w:val="nil"/>
              <w:bottom w:val="nil"/>
            </w:tcBorders>
            <w:vAlign w:val="center"/>
          </w:tcPr>
          <w:p w14:paraId="350CBC2A" w14:textId="77777777" w:rsidR="00B434C6" w:rsidRPr="0040534B" w:rsidRDefault="00B434C6" w:rsidP="00B434C6">
            <w:pPr>
              <w:pStyle w:val="TableText0"/>
              <w:keepNext w:val="0"/>
              <w:rPr>
                <w:szCs w:val="18"/>
              </w:rPr>
            </w:pPr>
            <w:r w:rsidRPr="0040534B">
              <w:rPr>
                <w:szCs w:val="18"/>
              </w:rPr>
              <w:t>Pazdera L, Cohen JM, Ning X et al. Fremanezumab for the Preventive Treatment of Migraine: Subgroup Analysis by Number of Prior Preventive Treatments with Inadequate Response</w:t>
            </w:r>
          </w:p>
          <w:p w14:paraId="5B54E30E" w14:textId="17F88B82" w:rsidR="00B434C6" w:rsidRPr="0040534B" w:rsidRDefault="00B434C6" w:rsidP="00B434C6">
            <w:pPr>
              <w:pStyle w:val="TableText0"/>
              <w:keepNext w:val="0"/>
              <w:rPr>
                <w:szCs w:val="18"/>
              </w:rPr>
            </w:pPr>
          </w:p>
        </w:tc>
        <w:tc>
          <w:tcPr>
            <w:tcW w:w="1177" w:type="pct"/>
            <w:tcBorders>
              <w:top w:val="nil"/>
              <w:bottom w:val="nil"/>
            </w:tcBorders>
          </w:tcPr>
          <w:p w14:paraId="629769A0" w14:textId="77777777" w:rsidR="00B434C6" w:rsidRPr="0040534B" w:rsidRDefault="00B434C6" w:rsidP="00B434C6">
            <w:pPr>
              <w:pStyle w:val="TableText0"/>
              <w:keepNext w:val="0"/>
              <w:rPr>
                <w:i/>
                <w:iCs/>
              </w:rPr>
            </w:pPr>
            <w:r w:rsidRPr="0040534B">
              <w:rPr>
                <w:i/>
                <w:iCs/>
              </w:rPr>
              <w:t>Cephalalgia</w:t>
            </w:r>
            <w:r w:rsidRPr="0040534B">
              <w:t xml:space="preserve"> Sep 2021; 41: 1075-1088.</w:t>
            </w:r>
          </w:p>
        </w:tc>
      </w:tr>
      <w:tr w:rsidR="00B434C6" w:rsidRPr="0040534B" w14:paraId="5FD005DD" w14:textId="77777777" w:rsidTr="00F27A86">
        <w:tc>
          <w:tcPr>
            <w:tcW w:w="796" w:type="pct"/>
            <w:tcBorders>
              <w:top w:val="nil"/>
              <w:bottom w:val="single" w:sz="4" w:space="0" w:color="auto"/>
            </w:tcBorders>
            <w:vAlign w:val="center"/>
          </w:tcPr>
          <w:p w14:paraId="77A40964" w14:textId="77777777" w:rsidR="00B434C6" w:rsidRPr="0040534B" w:rsidRDefault="00B434C6" w:rsidP="00B434C6">
            <w:pPr>
              <w:pStyle w:val="TableText0"/>
              <w:keepNext w:val="0"/>
            </w:pPr>
          </w:p>
        </w:tc>
        <w:tc>
          <w:tcPr>
            <w:tcW w:w="3027" w:type="pct"/>
            <w:tcBorders>
              <w:top w:val="nil"/>
              <w:bottom w:val="single" w:sz="4" w:space="0" w:color="auto"/>
            </w:tcBorders>
            <w:vAlign w:val="center"/>
          </w:tcPr>
          <w:p w14:paraId="1968A81A" w14:textId="77777777" w:rsidR="00B434C6" w:rsidRPr="0040534B" w:rsidRDefault="00B434C6" w:rsidP="00B434C6">
            <w:pPr>
              <w:pStyle w:val="TableText0"/>
              <w:keepNext w:val="0"/>
              <w:rPr>
                <w:szCs w:val="18"/>
              </w:rPr>
            </w:pPr>
            <w:r w:rsidRPr="0040534B">
              <w:rPr>
                <w:szCs w:val="18"/>
              </w:rPr>
              <w:t>Spierings ELH, Kärppä M, Ning X et al. Efficacy and safety of fremanezumab in patients with migraine and inadequate response to prior preventive treatment: subgroup analyses by country of a randomized, placebo-controlled trial</w:t>
            </w:r>
          </w:p>
          <w:p w14:paraId="6B09346A" w14:textId="449B6B1A" w:rsidR="00B434C6" w:rsidRPr="0040534B" w:rsidRDefault="00B434C6" w:rsidP="00B434C6">
            <w:pPr>
              <w:pStyle w:val="TableText0"/>
              <w:keepNext w:val="0"/>
              <w:rPr>
                <w:szCs w:val="18"/>
              </w:rPr>
            </w:pPr>
          </w:p>
        </w:tc>
        <w:tc>
          <w:tcPr>
            <w:tcW w:w="1177" w:type="pct"/>
            <w:tcBorders>
              <w:top w:val="nil"/>
              <w:bottom w:val="single" w:sz="4" w:space="0" w:color="auto"/>
            </w:tcBorders>
          </w:tcPr>
          <w:p w14:paraId="5B2CC6B5" w14:textId="77777777" w:rsidR="00B434C6" w:rsidRPr="0040534B" w:rsidRDefault="00B434C6" w:rsidP="00B434C6">
            <w:pPr>
              <w:pStyle w:val="TableText0"/>
              <w:keepNext w:val="0"/>
              <w:rPr>
                <w:i/>
                <w:iCs/>
              </w:rPr>
            </w:pPr>
            <w:r w:rsidRPr="0040534B">
              <w:rPr>
                <w:i/>
                <w:iCs/>
              </w:rPr>
              <w:t>Journal of Headache and Pain</w:t>
            </w:r>
            <w:r w:rsidRPr="0040534B">
              <w:t xml:space="preserve"> Apr 2021; 22(1): 26.</w:t>
            </w:r>
          </w:p>
        </w:tc>
      </w:tr>
      <w:tr w:rsidR="00B434C6" w:rsidRPr="0040534B" w14:paraId="74126ADD" w14:textId="77777777" w:rsidTr="00F27A86">
        <w:tc>
          <w:tcPr>
            <w:tcW w:w="796" w:type="pct"/>
            <w:tcBorders>
              <w:top w:val="single" w:sz="4" w:space="0" w:color="auto"/>
              <w:bottom w:val="nil"/>
            </w:tcBorders>
            <w:vAlign w:val="center"/>
          </w:tcPr>
          <w:p w14:paraId="4A7DCFA5" w14:textId="77777777" w:rsidR="00B434C6" w:rsidRPr="0040534B" w:rsidRDefault="00B434C6" w:rsidP="00B434C6">
            <w:pPr>
              <w:pStyle w:val="TableText0"/>
              <w:keepNext w:val="0"/>
            </w:pPr>
          </w:p>
        </w:tc>
        <w:tc>
          <w:tcPr>
            <w:tcW w:w="3027" w:type="pct"/>
            <w:tcBorders>
              <w:top w:val="single" w:sz="4" w:space="0" w:color="auto"/>
              <w:bottom w:val="nil"/>
            </w:tcBorders>
            <w:vAlign w:val="center"/>
          </w:tcPr>
          <w:p w14:paraId="7953E8DD" w14:textId="77777777" w:rsidR="00B434C6" w:rsidRPr="0040534B" w:rsidRDefault="00B434C6" w:rsidP="00B434C6">
            <w:pPr>
              <w:pStyle w:val="TableText0"/>
              <w:keepNext w:val="0"/>
              <w:rPr>
                <w:szCs w:val="18"/>
              </w:rPr>
            </w:pPr>
            <w:r w:rsidRPr="0040534B">
              <w:rPr>
                <w:szCs w:val="18"/>
              </w:rPr>
              <w:t>MaassenVanDenBrink A, Terwindt GM, Cohen JM et al. Impact of age and sex on the efficacy of fremanezumab in patients with difficult-to-treat migraine: results of the randomized, placebo-controlled, phase 3b FOCUS study</w:t>
            </w:r>
          </w:p>
          <w:p w14:paraId="5793B70B" w14:textId="5F05B740" w:rsidR="00B434C6" w:rsidRPr="0040534B" w:rsidRDefault="00B434C6" w:rsidP="00B434C6">
            <w:pPr>
              <w:pStyle w:val="TableText0"/>
              <w:keepNext w:val="0"/>
              <w:rPr>
                <w:szCs w:val="18"/>
              </w:rPr>
            </w:pPr>
          </w:p>
        </w:tc>
        <w:tc>
          <w:tcPr>
            <w:tcW w:w="1177" w:type="pct"/>
            <w:tcBorders>
              <w:top w:val="single" w:sz="4" w:space="0" w:color="auto"/>
              <w:bottom w:val="nil"/>
            </w:tcBorders>
          </w:tcPr>
          <w:p w14:paraId="58E2137C" w14:textId="77777777" w:rsidR="00B434C6" w:rsidRPr="0040534B" w:rsidRDefault="00B434C6" w:rsidP="00B434C6">
            <w:pPr>
              <w:pStyle w:val="TableText0"/>
              <w:keepNext w:val="0"/>
              <w:rPr>
                <w:i/>
                <w:iCs/>
              </w:rPr>
            </w:pPr>
            <w:r w:rsidRPr="0040534B">
              <w:rPr>
                <w:i/>
                <w:iCs/>
              </w:rPr>
              <w:t>Journal of Headache and Pain</w:t>
            </w:r>
            <w:r w:rsidRPr="0040534B">
              <w:t xml:space="preserve"> Dec 2021; 22(1): 152.</w:t>
            </w:r>
          </w:p>
        </w:tc>
      </w:tr>
      <w:tr w:rsidR="00B434C6" w:rsidRPr="0040534B" w14:paraId="5633309F" w14:textId="77777777" w:rsidTr="00B434C6">
        <w:tc>
          <w:tcPr>
            <w:tcW w:w="796" w:type="pct"/>
            <w:tcBorders>
              <w:top w:val="nil"/>
              <w:bottom w:val="single" w:sz="4" w:space="0" w:color="auto"/>
            </w:tcBorders>
            <w:vAlign w:val="center"/>
          </w:tcPr>
          <w:p w14:paraId="019A92EE" w14:textId="77777777" w:rsidR="00B434C6" w:rsidRPr="0040534B" w:rsidRDefault="00B434C6" w:rsidP="00B434C6">
            <w:pPr>
              <w:pStyle w:val="TableText0"/>
              <w:keepNext w:val="0"/>
            </w:pPr>
          </w:p>
        </w:tc>
        <w:tc>
          <w:tcPr>
            <w:tcW w:w="3027" w:type="pct"/>
            <w:tcBorders>
              <w:top w:val="nil"/>
              <w:bottom w:val="single" w:sz="4" w:space="0" w:color="auto"/>
            </w:tcBorders>
            <w:vAlign w:val="center"/>
          </w:tcPr>
          <w:p w14:paraId="220364A4" w14:textId="77777777" w:rsidR="00B434C6" w:rsidRPr="0040534B" w:rsidRDefault="00B434C6" w:rsidP="00B434C6">
            <w:pPr>
              <w:pStyle w:val="TableText0"/>
              <w:keepNext w:val="0"/>
              <w:rPr>
                <w:szCs w:val="18"/>
              </w:rPr>
            </w:pPr>
            <w:r w:rsidRPr="0040534B">
              <w:rPr>
                <w:szCs w:val="18"/>
              </w:rPr>
              <w:t>Lampl C, Rapoport AM, Cohen JM et al. Efficacy and quality-of-life improvements with fremanezumab treatment in patients with difficult-to-treat migraine with associated neurological dysfunction</w:t>
            </w:r>
          </w:p>
        </w:tc>
        <w:tc>
          <w:tcPr>
            <w:tcW w:w="1177" w:type="pct"/>
            <w:tcBorders>
              <w:top w:val="nil"/>
              <w:bottom w:val="single" w:sz="4" w:space="0" w:color="auto"/>
            </w:tcBorders>
          </w:tcPr>
          <w:p w14:paraId="7738B98C" w14:textId="77777777" w:rsidR="00B434C6" w:rsidRPr="0040534B" w:rsidRDefault="00B434C6" w:rsidP="00B434C6">
            <w:pPr>
              <w:pStyle w:val="TableText0"/>
              <w:keepNext w:val="0"/>
            </w:pPr>
            <w:r w:rsidRPr="0040534B">
              <w:rPr>
                <w:i/>
                <w:iCs/>
              </w:rPr>
              <w:t>European Journal of Neurology</w:t>
            </w:r>
            <w:r w:rsidRPr="0040534B">
              <w:t xml:space="preserve"> Jul 2022; 29(7): 2129-2137.</w:t>
            </w:r>
          </w:p>
        </w:tc>
      </w:tr>
    </w:tbl>
    <w:p w14:paraId="04DD36A1" w14:textId="77777777" w:rsidR="00F03CD4" w:rsidRPr="0040534B" w:rsidRDefault="00F03CD4" w:rsidP="00F03CD4">
      <w:pPr>
        <w:pStyle w:val="FooterTableFigure"/>
        <w:rPr>
          <w:sz w:val="20"/>
        </w:rPr>
      </w:pPr>
      <w:r w:rsidRPr="0040534B">
        <w:t>Source: Tables 2-3 and 2-4, pp29-33 of the submission.</w:t>
      </w:r>
    </w:p>
    <w:p w14:paraId="3585836C" w14:textId="77777777" w:rsidR="00F03CD4" w:rsidRPr="0040534B" w:rsidRDefault="00F03CD4" w:rsidP="00F03CD4">
      <w:pPr>
        <w:pStyle w:val="3-BodyText"/>
        <w:rPr>
          <w:color w:val="0066FF"/>
        </w:rPr>
      </w:pPr>
      <w:r w:rsidRPr="0040534B">
        <w:t>The key features of the included evidence for chronic migraine are summarised in the table below.</w:t>
      </w:r>
    </w:p>
    <w:p w14:paraId="5E0FA445" w14:textId="1E8D0FC2" w:rsidR="00F03CD4" w:rsidRPr="0040534B" w:rsidRDefault="00F03CD4" w:rsidP="00F03CD4">
      <w:pPr>
        <w:pStyle w:val="TableFigureHeading"/>
        <w:rPr>
          <w:rStyle w:val="CommentReference"/>
          <w:b/>
          <w:bCs w:val="0"/>
        </w:rPr>
      </w:pPr>
      <w:bookmarkStart w:id="37" w:name="_Ref133578919"/>
      <w:r w:rsidRPr="0040534B">
        <w:rPr>
          <w:rStyle w:val="CommentReference"/>
          <w:b/>
          <w:bCs w:val="0"/>
        </w:rPr>
        <w:t xml:space="preserve">Table </w:t>
      </w:r>
      <w:r w:rsidRPr="0040534B">
        <w:rPr>
          <w:rStyle w:val="CommentReference"/>
          <w:b/>
          <w:bCs w:val="0"/>
        </w:rPr>
        <w:fldChar w:fldCharType="begin" w:fldLock="1"/>
      </w:r>
      <w:r w:rsidRPr="0040534B">
        <w:rPr>
          <w:rStyle w:val="CommentReference"/>
          <w:b/>
          <w:bCs w:val="0"/>
        </w:rPr>
        <w:instrText xml:space="preserve"> SEQ Table \* ARABIC </w:instrText>
      </w:r>
      <w:r w:rsidRPr="0040534B">
        <w:rPr>
          <w:rStyle w:val="CommentReference"/>
          <w:b/>
          <w:bCs w:val="0"/>
        </w:rPr>
        <w:fldChar w:fldCharType="separate"/>
      </w:r>
      <w:r w:rsidR="004E201F">
        <w:rPr>
          <w:rStyle w:val="CommentReference"/>
          <w:b/>
          <w:bCs w:val="0"/>
          <w:noProof/>
        </w:rPr>
        <w:t>3</w:t>
      </w:r>
      <w:r w:rsidRPr="0040534B">
        <w:rPr>
          <w:rStyle w:val="CommentReference"/>
          <w:b/>
          <w:bCs w:val="0"/>
        </w:rPr>
        <w:fldChar w:fldCharType="end"/>
      </w:r>
      <w:bookmarkEnd w:id="37"/>
      <w:r w:rsidRPr="0040534B">
        <w:rPr>
          <w:rStyle w:val="CommentReference"/>
          <w:b/>
          <w:bCs w:val="0"/>
        </w:rPr>
        <w:t>: Key features of the included evidence – indirect comparison (chronic migraine)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66"/>
        <w:gridCol w:w="851"/>
        <w:gridCol w:w="711"/>
        <w:gridCol w:w="3116"/>
        <w:gridCol w:w="2644"/>
      </w:tblGrid>
      <w:tr w:rsidR="00F03CD4" w:rsidRPr="0040534B" w14:paraId="51D5496B" w14:textId="77777777" w:rsidTr="00C124DD">
        <w:trPr>
          <w:tblHeader/>
        </w:trPr>
        <w:tc>
          <w:tcPr>
            <w:tcW w:w="626" w:type="pct"/>
            <w:shd w:val="clear" w:color="auto" w:fill="auto"/>
            <w:vAlign w:val="center"/>
          </w:tcPr>
          <w:p w14:paraId="191DC356" w14:textId="77777777" w:rsidR="00F03CD4" w:rsidRPr="0040534B" w:rsidRDefault="00F03CD4" w:rsidP="00AE0C79">
            <w:pPr>
              <w:pStyle w:val="In-tableHeading"/>
              <w:jc w:val="center"/>
              <w:rPr>
                <w:lang w:val="en-AU"/>
              </w:rPr>
            </w:pPr>
            <w:r w:rsidRPr="0040534B">
              <w:rPr>
                <w:lang w:val="en-AU"/>
              </w:rPr>
              <w:t>Trial</w:t>
            </w:r>
          </w:p>
        </w:tc>
        <w:tc>
          <w:tcPr>
            <w:tcW w:w="314" w:type="pct"/>
            <w:shd w:val="clear" w:color="auto" w:fill="auto"/>
            <w:vAlign w:val="center"/>
          </w:tcPr>
          <w:p w14:paraId="25DB6CAC" w14:textId="77777777" w:rsidR="00F03CD4" w:rsidRPr="0040534B" w:rsidRDefault="00F03CD4" w:rsidP="00AE0C79">
            <w:pPr>
              <w:pStyle w:val="In-tableHeading"/>
              <w:jc w:val="center"/>
              <w:rPr>
                <w:lang w:val="en-AU"/>
              </w:rPr>
            </w:pPr>
            <w:r w:rsidRPr="0040534B">
              <w:rPr>
                <w:lang w:val="en-AU"/>
              </w:rPr>
              <w:t>n</w:t>
            </w:r>
            <w:r w:rsidRPr="0040534B">
              <w:rPr>
                <w:vertAlign w:val="superscript"/>
                <w:lang w:val="en-AU"/>
              </w:rPr>
              <w:t>a</w:t>
            </w:r>
          </w:p>
        </w:tc>
        <w:tc>
          <w:tcPr>
            <w:tcW w:w="472" w:type="pct"/>
            <w:shd w:val="clear" w:color="auto" w:fill="auto"/>
            <w:vAlign w:val="center"/>
          </w:tcPr>
          <w:p w14:paraId="6DE4BF53" w14:textId="77777777" w:rsidR="00F03CD4" w:rsidRPr="0040534B" w:rsidRDefault="00F03CD4" w:rsidP="00AE0C79">
            <w:pPr>
              <w:pStyle w:val="In-tableHeading"/>
              <w:jc w:val="center"/>
              <w:rPr>
                <w:lang w:val="en-AU"/>
              </w:rPr>
            </w:pPr>
            <w:r w:rsidRPr="0040534B">
              <w:rPr>
                <w:lang w:val="en-AU"/>
              </w:rPr>
              <w:t>Design/ duration</w:t>
            </w:r>
          </w:p>
        </w:tc>
        <w:tc>
          <w:tcPr>
            <w:tcW w:w="394" w:type="pct"/>
            <w:shd w:val="clear" w:color="auto" w:fill="auto"/>
            <w:vAlign w:val="center"/>
          </w:tcPr>
          <w:p w14:paraId="7B8CBFDF" w14:textId="77777777" w:rsidR="00F03CD4" w:rsidRPr="0040534B" w:rsidRDefault="00F03CD4" w:rsidP="00AE0C79">
            <w:pPr>
              <w:pStyle w:val="In-tableHeading"/>
              <w:jc w:val="center"/>
              <w:rPr>
                <w:lang w:val="en-AU"/>
              </w:rPr>
            </w:pPr>
            <w:r w:rsidRPr="0040534B">
              <w:rPr>
                <w:lang w:val="en-AU"/>
              </w:rPr>
              <w:t>Risk of bias</w:t>
            </w:r>
          </w:p>
        </w:tc>
        <w:tc>
          <w:tcPr>
            <w:tcW w:w="1728" w:type="pct"/>
            <w:shd w:val="clear" w:color="auto" w:fill="auto"/>
            <w:vAlign w:val="center"/>
          </w:tcPr>
          <w:p w14:paraId="61A9BD6E" w14:textId="77777777" w:rsidR="00F03CD4" w:rsidRPr="0040534B" w:rsidRDefault="00F03CD4" w:rsidP="00AE0C79">
            <w:pPr>
              <w:pStyle w:val="In-tableHeading"/>
              <w:jc w:val="center"/>
              <w:rPr>
                <w:lang w:val="en-AU"/>
              </w:rPr>
            </w:pPr>
            <w:r w:rsidRPr="0040534B">
              <w:rPr>
                <w:lang w:val="en-AU"/>
              </w:rPr>
              <w:t>Patient population</w:t>
            </w:r>
          </w:p>
        </w:tc>
        <w:tc>
          <w:tcPr>
            <w:tcW w:w="1466" w:type="pct"/>
            <w:shd w:val="clear" w:color="auto" w:fill="auto"/>
            <w:vAlign w:val="center"/>
          </w:tcPr>
          <w:p w14:paraId="47D502B2" w14:textId="77777777" w:rsidR="00F03CD4" w:rsidRPr="0040534B" w:rsidRDefault="00F03CD4" w:rsidP="00AE0C79">
            <w:pPr>
              <w:pStyle w:val="In-tableHeading"/>
              <w:jc w:val="center"/>
              <w:rPr>
                <w:lang w:val="en-AU"/>
              </w:rPr>
            </w:pPr>
            <w:r w:rsidRPr="0040534B">
              <w:rPr>
                <w:lang w:val="en-AU"/>
              </w:rPr>
              <w:t>Outcomes</w:t>
            </w:r>
          </w:p>
        </w:tc>
      </w:tr>
      <w:tr w:rsidR="00F03CD4" w:rsidRPr="0040534B" w14:paraId="6EDDA825" w14:textId="77777777" w:rsidTr="00C124DD">
        <w:tc>
          <w:tcPr>
            <w:tcW w:w="5000" w:type="pct"/>
            <w:gridSpan w:val="6"/>
            <w:shd w:val="clear" w:color="auto" w:fill="auto"/>
            <w:vAlign w:val="center"/>
          </w:tcPr>
          <w:p w14:paraId="7E6E7724" w14:textId="77777777" w:rsidR="00F03CD4" w:rsidRPr="0040534B" w:rsidRDefault="00F03CD4" w:rsidP="00AE0C79">
            <w:pPr>
              <w:pStyle w:val="In-tableHeading"/>
              <w:rPr>
                <w:lang w:val="en-AU"/>
              </w:rPr>
            </w:pPr>
            <w:r w:rsidRPr="0040534B">
              <w:rPr>
                <w:lang w:val="en-AU"/>
              </w:rPr>
              <w:t>Atogepant vs. placebo</w:t>
            </w:r>
          </w:p>
        </w:tc>
      </w:tr>
      <w:tr w:rsidR="00F03CD4" w:rsidRPr="0040534B" w14:paraId="4C4121B8" w14:textId="77777777" w:rsidTr="00C124DD">
        <w:tc>
          <w:tcPr>
            <w:tcW w:w="626" w:type="pct"/>
            <w:shd w:val="clear" w:color="auto" w:fill="auto"/>
            <w:vAlign w:val="center"/>
          </w:tcPr>
          <w:p w14:paraId="48888E40" w14:textId="77777777" w:rsidR="00F03CD4" w:rsidRPr="0040534B" w:rsidRDefault="00F03CD4" w:rsidP="00AE0C79">
            <w:pPr>
              <w:pStyle w:val="TableText0"/>
            </w:pPr>
            <w:r w:rsidRPr="0040534B">
              <w:t>PROGRESS</w:t>
            </w:r>
          </w:p>
        </w:tc>
        <w:tc>
          <w:tcPr>
            <w:tcW w:w="314" w:type="pct"/>
            <w:shd w:val="clear" w:color="auto" w:fill="auto"/>
            <w:vAlign w:val="center"/>
          </w:tcPr>
          <w:p w14:paraId="39C5FC00" w14:textId="77777777" w:rsidR="00F03CD4" w:rsidRPr="0040534B" w:rsidRDefault="00F03CD4" w:rsidP="00AE0C79">
            <w:pPr>
              <w:pStyle w:val="TableText0"/>
              <w:jc w:val="center"/>
            </w:pPr>
            <w:r w:rsidRPr="0040534B">
              <w:rPr>
                <w:rFonts w:eastAsia="Calibri" w:cs="Arial"/>
                <w:kern w:val="24"/>
                <w:szCs w:val="20"/>
              </w:rPr>
              <w:t>521</w:t>
            </w:r>
          </w:p>
        </w:tc>
        <w:tc>
          <w:tcPr>
            <w:tcW w:w="472" w:type="pct"/>
            <w:shd w:val="clear" w:color="auto" w:fill="FFFFFF"/>
            <w:vAlign w:val="center"/>
          </w:tcPr>
          <w:p w14:paraId="7B61622A" w14:textId="77777777" w:rsidR="00F03CD4" w:rsidRPr="0040534B" w:rsidRDefault="00F03CD4" w:rsidP="00AE0C79">
            <w:pPr>
              <w:pStyle w:val="TableText0"/>
              <w:rPr>
                <w:rFonts w:eastAsia="Calibri" w:cs="Arial"/>
                <w:kern w:val="24"/>
                <w:szCs w:val="20"/>
              </w:rPr>
            </w:pPr>
            <w:r w:rsidRPr="0040534B">
              <w:rPr>
                <w:rFonts w:eastAsia="Calibri" w:cs="Arial"/>
                <w:kern w:val="24"/>
                <w:szCs w:val="20"/>
              </w:rPr>
              <w:t xml:space="preserve">R, DB, MC </w:t>
            </w:r>
          </w:p>
          <w:p w14:paraId="61FFE11D" w14:textId="30A40CCB" w:rsidR="00F03CD4" w:rsidRPr="0040534B" w:rsidRDefault="00F03CD4" w:rsidP="00AE0C79">
            <w:pPr>
              <w:pStyle w:val="TableText0"/>
            </w:pPr>
            <w:r w:rsidRPr="0040534B">
              <w:rPr>
                <w:rFonts w:eastAsia="Calibri" w:cs="Arial"/>
                <w:kern w:val="24"/>
                <w:szCs w:val="20"/>
              </w:rPr>
              <w:t>12 w</w:t>
            </w:r>
            <w:r w:rsidR="00B434C6" w:rsidRPr="0040534B">
              <w:rPr>
                <w:rFonts w:eastAsia="Calibri" w:cs="Arial"/>
                <w:kern w:val="24"/>
                <w:szCs w:val="20"/>
              </w:rPr>
              <w:t>ee</w:t>
            </w:r>
            <w:r w:rsidRPr="0040534B">
              <w:rPr>
                <w:rFonts w:eastAsia="Calibri" w:cs="Arial"/>
                <w:kern w:val="24"/>
                <w:szCs w:val="20"/>
              </w:rPr>
              <w:t>ks</w:t>
            </w:r>
          </w:p>
        </w:tc>
        <w:tc>
          <w:tcPr>
            <w:tcW w:w="394" w:type="pct"/>
            <w:shd w:val="clear" w:color="auto" w:fill="FFFFFF"/>
            <w:vAlign w:val="center"/>
          </w:tcPr>
          <w:p w14:paraId="306BF91E" w14:textId="77777777" w:rsidR="00F03CD4" w:rsidRPr="0040534B" w:rsidRDefault="00F03CD4" w:rsidP="00AE0C79">
            <w:pPr>
              <w:pStyle w:val="TableText0"/>
            </w:pPr>
            <w:r w:rsidRPr="0040534B">
              <w:rPr>
                <w:rFonts w:eastAsia="Calibri" w:cs="Arial"/>
                <w:kern w:val="24"/>
                <w:szCs w:val="20"/>
              </w:rPr>
              <w:t>Low</w:t>
            </w:r>
          </w:p>
        </w:tc>
        <w:tc>
          <w:tcPr>
            <w:tcW w:w="1728" w:type="pct"/>
            <w:shd w:val="clear" w:color="auto" w:fill="FFFFFF"/>
            <w:vAlign w:val="center"/>
          </w:tcPr>
          <w:p w14:paraId="3940B6BC" w14:textId="77777777" w:rsidR="00F03CD4" w:rsidRPr="0040534B" w:rsidRDefault="00F03CD4" w:rsidP="00AE0C79">
            <w:pPr>
              <w:pStyle w:val="TableText0"/>
            </w:pPr>
            <w:r w:rsidRPr="0040534B">
              <w:rPr>
                <w:rFonts w:eastAsia="Calibri" w:cs="Arial"/>
                <w:kern w:val="24"/>
                <w:szCs w:val="20"/>
              </w:rPr>
              <w:t>Failed ≤4 preventive medications (2 with different MoA), no concomitant preventive medications</w:t>
            </w:r>
          </w:p>
        </w:tc>
        <w:tc>
          <w:tcPr>
            <w:tcW w:w="1466" w:type="pct"/>
            <w:shd w:val="clear" w:color="auto" w:fill="auto"/>
            <w:vAlign w:val="center"/>
          </w:tcPr>
          <w:p w14:paraId="02AF250A" w14:textId="77777777" w:rsidR="00F03CD4" w:rsidRPr="0040534B" w:rsidRDefault="00F03CD4" w:rsidP="00AE0C79">
            <w:pPr>
              <w:pStyle w:val="TableText0"/>
            </w:pPr>
            <w:r w:rsidRPr="0040534B">
              <w:t>1˚: Change from baseline in mean monthly migraine days</w:t>
            </w:r>
          </w:p>
          <w:p w14:paraId="142CA2D6" w14:textId="77777777" w:rsidR="00F03CD4" w:rsidRPr="0040534B" w:rsidRDefault="00F03CD4" w:rsidP="00AE0C79">
            <w:pPr>
              <w:pStyle w:val="TableText0"/>
            </w:pPr>
            <w:r w:rsidRPr="0040534B">
              <w:t>2˚: ≥50% reduction from baseline in mean monthly migraine days;</w:t>
            </w:r>
          </w:p>
          <w:p w14:paraId="0F6FBA0C" w14:textId="77777777" w:rsidR="00F03CD4" w:rsidRPr="0040534B" w:rsidRDefault="00F03CD4" w:rsidP="00AE0C79">
            <w:pPr>
              <w:pStyle w:val="TableText0"/>
            </w:pPr>
            <w:r w:rsidRPr="0040534B">
              <w:t>Other clinical assessments; QoL, Safety</w:t>
            </w:r>
            <w:r w:rsidRPr="0040534B">
              <w:rPr>
                <w:rFonts w:ascii="Calibri" w:eastAsia="Times New Roman" w:hAnsi="Calibri" w:cs="Arial"/>
                <w:bCs w:val="0"/>
                <w:sz w:val="24"/>
              </w:rPr>
              <w:t xml:space="preserve"> </w:t>
            </w:r>
          </w:p>
        </w:tc>
      </w:tr>
      <w:tr w:rsidR="00F03CD4" w:rsidRPr="0040534B" w14:paraId="0E103CB9" w14:textId="77777777" w:rsidTr="00C124DD">
        <w:tc>
          <w:tcPr>
            <w:tcW w:w="5000" w:type="pct"/>
            <w:gridSpan w:val="6"/>
            <w:tcBorders>
              <w:bottom w:val="single" w:sz="4" w:space="0" w:color="auto"/>
            </w:tcBorders>
            <w:shd w:val="clear" w:color="auto" w:fill="auto"/>
            <w:vAlign w:val="center"/>
          </w:tcPr>
          <w:p w14:paraId="79B774FE" w14:textId="77777777" w:rsidR="00F03CD4" w:rsidRPr="0040534B" w:rsidRDefault="00F03CD4" w:rsidP="00AE0C79">
            <w:pPr>
              <w:pStyle w:val="In-tableHeading"/>
              <w:rPr>
                <w:lang w:val="en-AU"/>
              </w:rPr>
            </w:pPr>
            <w:r w:rsidRPr="0040534B">
              <w:rPr>
                <w:lang w:val="en-AU"/>
              </w:rPr>
              <w:t>Galcanezumab vs. placebo</w:t>
            </w:r>
          </w:p>
        </w:tc>
      </w:tr>
      <w:tr w:rsidR="00F03CD4" w:rsidRPr="0040534B" w14:paraId="39E71FD6" w14:textId="77777777" w:rsidTr="00C124DD">
        <w:tc>
          <w:tcPr>
            <w:tcW w:w="626" w:type="pct"/>
            <w:tcBorders>
              <w:top w:val="single" w:sz="4" w:space="0" w:color="auto"/>
              <w:bottom w:val="single" w:sz="4" w:space="0" w:color="auto"/>
              <w:right w:val="single" w:sz="4" w:space="0" w:color="auto"/>
            </w:tcBorders>
            <w:shd w:val="clear" w:color="auto" w:fill="auto"/>
            <w:vAlign w:val="center"/>
          </w:tcPr>
          <w:p w14:paraId="1FF62FD8" w14:textId="77777777" w:rsidR="00F03CD4" w:rsidRPr="0040534B" w:rsidRDefault="00F03CD4" w:rsidP="00AE0C79">
            <w:pPr>
              <w:pStyle w:val="TableText0"/>
            </w:pPr>
            <w:r w:rsidRPr="0040534B">
              <w:t>REGAIN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2963282" w14:textId="77777777" w:rsidR="00F03CD4" w:rsidRPr="0040534B" w:rsidRDefault="00F03CD4" w:rsidP="00AE0C79">
            <w:pPr>
              <w:pStyle w:val="TableText0"/>
              <w:jc w:val="center"/>
            </w:pPr>
            <w:r w:rsidRPr="0040534B">
              <w:t>838</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171C722E" w14:textId="77777777" w:rsidR="00F03CD4" w:rsidRPr="0040534B" w:rsidRDefault="00F03CD4" w:rsidP="00AE0C79">
            <w:pPr>
              <w:pStyle w:val="TableText0"/>
            </w:pPr>
            <w:r w:rsidRPr="0040534B">
              <w:t xml:space="preserve">R, DB, MC </w:t>
            </w:r>
          </w:p>
          <w:p w14:paraId="39551718" w14:textId="17253173" w:rsidR="00F03CD4" w:rsidRPr="0040534B" w:rsidRDefault="00F03CD4" w:rsidP="00AE0C79">
            <w:pPr>
              <w:pStyle w:val="TableText0"/>
            </w:pPr>
            <w:r w:rsidRPr="0040534B">
              <w:t>3 mo</w:t>
            </w:r>
            <w:r w:rsidR="00B434C6" w:rsidRPr="0040534B">
              <w:t>nths</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1063B908" w14:textId="77777777" w:rsidR="00F03CD4" w:rsidRPr="0040534B" w:rsidRDefault="00F03CD4" w:rsidP="00AE0C79">
            <w:pPr>
              <w:pStyle w:val="TableText0"/>
            </w:pPr>
            <w:r w:rsidRPr="0040534B">
              <w:t>Low</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5CBE1C0E" w14:textId="77777777" w:rsidR="00F03CD4" w:rsidRPr="0040534B" w:rsidRDefault="00F03CD4" w:rsidP="00AE0C79">
            <w:pPr>
              <w:pStyle w:val="TableText0"/>
            </w:pPr>
            <w:r w:rsidRPr="0040534B">
              <w:t>Failed ≤3 preventive medication classes</w:t>
            </w:r>
          </w:p>
        </w:tc>
        <w:tc>
          <w:tcPr>
            <w:tcW w:w="1466" w:type="pct"/>
            <w:tcBorders>
              <w:top w:val="single" w:sz="4" w:space="0" w:color="auto"/>
              <w:left w:val="single" w:sz="4" w:space="0" w:color="auto"/>
              <w:bottom w:val="single" w:sz="4" w:space="0" w:color="auto"/>
            </w:tcBorders>
            <w:shd w:val="clear" w:color="auto" w:fill="auto"/>
            <w:vAlign w:val="center"/>
          </w:tcPr>
          <w:p w14:paraId="04472F1D" w14:textId="77777777" w:rsidR="00F03CD4" w:rsidRPr="0040534B" w:rsidRDefault="00F03CD4" w:rsidP="00AE0C79">
            <w:pPr>
              <w:pStyle w:val="TableText0"/>
            </w:pPr>
            <w:r w:rsidRPr="0040534B">
              <w:t>Same as PROGRESS</w:t>
            </w:r>
          </w:p>
        </w:tc>
      </w:tr>
      <w:tr w:rsidR="00F03CD4" w:rsidRPr="0040534B" w14:paraId="0B98AD17" w14:textId="77777777" w:rsidTr="00C124DD">
        <w:tc>
          <w:tcPr>
            <w:tcW w:w="626" w:type="pct"/>
            <w:tcBorders>
              <w:top w:val="single" w:sz="4" w:space="0" w:color="auto"/>
              <w:bottom w:val="single" w:sz="4" w:space="0" w:color="auto"/>
              <w:right w:val="single" w:sz="4" w:space="0" w:color="auto"/>
            </w:tcBorders>
            <w:shd w:val="clear" w:color="auto" w:fill="auto"/>
            <w:vAlign w:val="center"/>
          </w:tcPr>
          <w:p w14:paraId="72BD2656" w14:textId="77777777" w:rsidR="00F03CD4" w:rsidRPr="0040534B" w:rsidRDefault="00F03CD4" w:rsidP="00AE0C79">
            <w:pPr>
              <w:pStyle w:val="TableText0"/>
            </w:pPr>
            <w:r w:rsidRPr="0040534B">
              <w:t>CONQUER</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74AA06" w14:textId="77777777" w:rsidR="00F03CD4" w:rsidRPr="0040534B" w:rsidRDefault="00F03CD4" w:rsidP="00AE0C79">
            <w:pPr>
              <w:pStyle w:val="TableText0"/>
              <w:jc w:val="center"/>
            </w:pPr>
            <w:r w:rsidRPr="0040534B">
              <w:t>463</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5FABA0E3" w14:textId="77777777" w:rsidR="00F03CD4" w:rsidRPr="0040534B" w:rsidRDefault="00F03CD4" w:rsidP="00AE0C79">
            <w:pPr>
              <w:pStyle w:val="TableText0"/>
            </w:pPr>
            <w:r w:rsidRPr="0040534B">
              <w:t xml:space="preserve">R, DB, MC </w:t>
            </w:r>
          </w:p>
          <w:p w14:paraId="56481634" w14:textId="5CCBF6C6" w:rsidR="00F03CD4" w:rsidRPr="0040534B" w:rsidRDefault="00F03CD4" w:rsidP="00AE0C79">
            <w:pPr>
              <w:pStyle w:val="TableText0"/>
            </w:pPr>
            <w:r w:rsidRPr="0040534B">
              <w:t>3 mo</w:t>
            </w:r>
            <w:r w:rsidR="00B434C6" w:rsidRPr="0040534B">
              <w:t>nths</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2688BEC1" w14:textId="77777777" w:rsidR="00F03CD4" w:rsidRPr="0040534B" w:rsidRDefault="00F03CD4" w:rsidP="00AE0C79">
            <w:pPr>
              <w:pStyle w:val="TableText0"/>
            </w:pPr>
            <w:r w:rsidRPr="0040534B">
              <w:t>Low</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670AC13C" w14:textId="77777777" w:rsidR="00F03CD4" w:rsidRPr="0040534B" w:rsidRDefault="00F03CD4" w:rsidP="00AE0C79">
            <w:pPr>
              <w:pStyle w:val="TableText0"/>
            </w:pPr>
            <w:r w:rsidRPr="0040534B">
              <w:t>CM and EM, failed 2 to 4 preventive medications, no concomitant preventive medications</w:t>
            </w:r>
          </w:p>
        </w:tc>
        <w:tc>
          <w:tcPr>
            <w:tcW w:w="1466" w:type="pct"/>
            <w:tcBorders>
              <w:top w:val="single" w:sz="4" w:space="0" w:color="auto"/>
              <w:left w:val="single" w:sz="4" w:space="0" w:color="auto"/>
              <w:bottom w:val="single" w:sz="4" w:space="0" w:color="auto"/>
            </w:tcBorders>
            <w:shd w:val="clear" w:color="auto" w:fill="auto"/>
            <w:vAlign w:val="center"/>
          </w:tcPr>
          <w:p w14:paraId="22A413CF" w14:textId="77777777" w:rsidR="00F03CD4" w:rsidRPr="0040534B" w:rsidRDefault="00F03CD4" w:rsidP="00AE0C79">
            <w:pPr>
              <w:pStyle w:val="TableText0"/>
            </w:pPr>
            <w:r w:rsidRPr="0040534B">
              <w:t>Same as PROGRESS</w:t>
            </w:r>
          </w:p>
        </w:tc>
      </w:tr>
      <w:tr w:rsidR="00F03CD4" w:rsidRPr="0040534B" w14:paraId="26C3DCFD" w14:textId="77777777" w:rsidTr="00C124DD">
        <w:tc>
          <w:tcPr>
            <w:tcW w:w="626" w:type="pct"/>
            <w:tcBorders>
              <w:top w:val="single" w:sz="4" w:space="0" w:color="auto"/>
              <w:bottom w:val="single" w:sz="4" w:space="0" w:color="auto"/>
              <w:right w:val="single" w:sz="4" w:space="0" w:color="auto"/>
            </w:tcBorders>
            <w:shd w:val="clear" w:color="auto" w:fill="auto"/>
            <w:vAlign w:val="center"/>
          </w:tcPr>
          <w:p w14:paraId="7B350A5E" w14:textId="77777777" w:rsidR="00F03CD4" w:rsidRPr="0040534B" w:rsidRDefault="00F03CD4" w:rsidP="00AE0C79">
            <w:pPr>
              <w:pStyle w:val="TableText0"/>
            </w:pPr>
            <w:r w:rsidRPr="0040534B">
              <w:t>Meta-analysis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DBAF23" w14:textId="77777777" w:rsidR="00F03CD4" w:rsidRPr="0040534B" w:rsidRDefault="00F03CD4" w:rsidP="00AE0C79">
            <w:pPr>
              <w:pStyle w:val="TableText0"/>
              <w:jc w:val="center"/>
            </w:pPr>
            <w:r w:rsidRPr="0040534B">
              <w:t>1,273</w:t>
            </w:r>
          </w:p>
        </w:tc>
        <w:tc>
          <w:tcPr>
            <w:tcW w:w="4060" w:type="pct"/>
            <w:gridSpan w:val="4"/>
            <w:tcBorders>
              <w:top w:val="single" w:sz="4" w:space="0" w:color="auto"/>
              <w:left w:val="single" w:sz="4" w:space="0" w:color="auto"/>
              <w:bottom w:val="single" w:sz="4" w:space="0" w:color="auto"/>
            </w:tcBorders>
            <w:shd w:val="clear" w:color="auto" w:fill="FFFFFF"/>
            <w:vAlign w:val="center"/>
          </w:tcPr>
          <w:p w14:paraId="52DA9646" w14:textId="77777777" w:rsidR="00F03CD4" w:rsidRPr="0040534B" w:rsidRDefault="00F03CD4" w:rsidP="00AE0C79">
            <w:pPr>
              <w:pStyle w:val="TableText0"/>
            </w:pPr>
            <w:r w:rsidRPr="0040534B">
              <w:rPr>
                <w:bCs w:val="0"/>
              </w:rPr>
              <w:t>(1</w:t>
            </w:r>
            <w:r w:rsidRPr="0040534B">
              <w:t>) Included REGAIN and CONQUER whole trial populations (2) included REGAIN and CONQUER and CM populations/subpopulations only</w:t>
            </w:r>
          </w:p>
        </w:tc>
      </w:tr>
      <w:tr w:rsidR="00F03CD4" w:rsidRPr="0040534B" w14:paraId="2FDA8BCA" w14:textId="77777777" w:rsidTr="00C124DD">
        <w:tc>
          <w:tcPr>
            <w:tcW w:w="5000" w:type="pct"/>
            <w:gridSpan w:val="6"/>
            <w:tcBorders>
              <w:top w:val="single" w:sz="4" w:space="0" w:color="auto"/>
            </w:tcBorders>
            <w:shd w:val="clear" w:color="auto" w:fill="auto"/>
            <w:vAlign w:val="center"/>
          </w:tcPr>
          <w:p w14:paraId="43019C6B" w14:textId="77777777" w:rsidR="00F03CD4" w:rsidRPr="0040534B" w:rsidRDefault="00F03CD4" w:rsidP="00AE0C79">
            <w:pPr>
              <w:pStyle w:val="TableText0"/>
              <w:rPr>
                <w:b/>
                <w:bCs w:val="0"/>
              </w:rPr>
            </w:pPr>
            <w:r w:rsidRPr="0040534B">
              <w:rPr>
                <w:b/>
                <w:bCs w:val="0"/>
              </w:rPr>
              <w:t>Fremanezumab vs. placebo</w:t>
            </w:r>
          </w:p>
        </w:tc>
      </w:tr>
      <w:tr w:rsidR="00F03CD4" w:rsidRPr="0040534B" w14:paraId="77746FF3" w14:textId="77777777" w:rsidTr="00C124DD">
        <w:tc>
          <w:tcPr>
            <w:tcW w:w="626" w:type="pct"/>
            <w:tcBorders>
              <w:right w:val="single" w:sz="4" w:space="0" w:color="auto"/>
            </w:tcBorders>
            <w:shd w:val="clear" w:color="auto" w:fill="auto"/>
            <w:vAlign w:val="center"/>
          </w:tcPr>
          <w:p w14:paraId="6E3192D5" w14:textId="77777777" w:rsidR="00F03CD4" w:rsidRPr="0040534B" w:rsidRDefault="00F03CD4" w:rsidP="00AE0C79">
            <w:pPr>
              <w:pStyle w:val="TableText0"/>
            </w:pPr>
            <w:r w:rsidRPr="0040534B">
              <w:t>FOCUS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DAD608" w14:textId="77777777" w:rsidR="00F03CD4" w:rsidRPr="0040534B" w:rsidRDefault="00F03CD4" w:rsidP="00AE0C79">
            <w:pPr>
              <w:pStyle w:val="TableText0"/>
              <w:jc w:val="center"/>
            </w:pPr>
            <w:r w:rsidRPr="0040534B">
              <w:t>838</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C51FD66" w14:textId="77777777" w:rsidR="00F03CD4" w:rsidRPr="0040534B" w:rsidRDefault="00F03CD4" w:rsidP="00AE0C79">
            <w:pPr>
              <w:pStyle w:val="TableText0"/>
            </w:pPr>
            <w:r w:rsidRPr="0040534B">
              <w:t xml:space="preserve">R, DB, MC </w:t>
            </w:r>
          </w:p>
          <w:p w14:paraId="6072FBB5" w14:textId="4805213C" w:rsidR="00F03CD4" w:rsidRPr="0040534B" w:rsidRDefault="00F03CD4" w:rsidP="00AE0C79">
            <w:pPr>
              <w:pStyle w:val="TableText0"/>
            </w:pPr>
            <w:r w:rsidRPr="0040534B">
              <w:t>12 w</w:t>
            </w:r>
            <w:r w:rsidR="00B434C6" w:rsidRPr="0040534B">
              <w:t>ee</w:t>
            </w:r>
            <w:r w:rsidRPr="0040534B">
              <w:t>ks</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362F3DCC" w14:textId="77777777" w:rsidR="00F03CD4" w:rsidRPr="0040534B" w:rsidRDefault="00F03CD4" w:rsidP="00AE0C79">
            <w:pPr>
              <w:pStyle w:val="TableText0"/>
            </w:pPr>
            <w:r w:rsidRPr="0040534B">
              <w:t>Low</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4D629C4A" w14:textId="77777777" w:rsidR="00F03CD4" w:rsidRPr="0040534B" w:rsidRDefault="00F03CD4" w:rsidP="00AE0C79">
            <w:pPr>
              <w:pStyle w:val="TableText0"/>
            </w:pPr>
            <w:r w:rsidRPr="0040534B">
              <w:t>CM and EM, failed 2 to 4 preventive medications, no concomitant triptans or ergots</w:t>
            </w:r>
          </w:p>
        </w:tc>
        <w:tc>
          <w:tcPr>
            <w:tcW w:w="1466" w:type="pct"/>
            <w:tcBorders>
              <w:top w:val="single" w:sz="4" w:space="0" w:color="auto"/>
              <w:left w:val="single" w:sz="4" w:space="0" w:color="auto"/>
              <w:bottom w:val="single" w:sz="4" w:space="0" w:color="auto"/>
            </w:tcBorders>
            <w:shd w:val="clear" w:color="auto" w:fill="auto"/>
            <w:vAlign w:val="center"/>
          </w:tcPr>
          <w:p w14:paraId="5B12B346" w14:textId="77777777" w:rsidR="00F03CD4" w:rsidRPr="0040534B" w:rsidRDefault="00F03CD4" w:rsidP="00AE0C79">
            <w:pPr>
              <w:pStyle w:val="TableText0"/>
            </w:pPr>
            <w:r w:rsidRPr="0040534B">
              <w:t>Same as PROGRESS</w:t>
            </w:r>
          </w:p>
        </w:tc>
      </w:tr>
      <w:tr w:rsidR="00F03CD4" w:rsidRPr="0040534B" w14:paraId="4A8E9E6A" w14:textId="77777777" w:rsidTr="00C124DD">
        <w:tc>
          <w:tcPr>
            <w:tcW w:w="626" w:type="pct"/>
            <w:tcBorders>
              <w:right w:val="single" w:sz="4" w:space="0" w:color="auto"/>
            </w:tcBorders>
            <w:shd w:val="clear" w:color="auto" w:fill="auto"/>
            <w:vAlign w:val="center"/>
          </w:tcPr>
          <w:p w14:paraId="48F7B038" w14:textId="77777777" w:rsidR="00F03CD4" w:rsidRPr="0040534B" w:rsidRDefault="00F03CD4" w:rsidP="00AE0C79">
            <w:pPr>
              <w:pStyle w:val="TableText0"/>
            </w:pPr>
            <w:r w:rsidRPr="0040534B">
              <w:t>HALO-CM</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02065" w14:textId="77777777" w:rsidR="00F03CD4" w:rsidRPr="0040534B" w:rsidRDefault="00F03CD4" w:rsidP="00AE0C79">
            <w:pPr>
              <w:pStyle w:val="TableText0"/>
              <w:jc w:val="center"/>
            </w:pPr>
            <w:r w:rsidRPr="0040534B">
              <w:t>1,130</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0E57AA8C" w14:textId="77777777" w:rsidR="00F03CD4" w:rsidRPr="0040534B" w:rsidRDefault="00F03CD4" w:rsidP="00AE0C79">
            <w:pPr>
              <w:pStyle w:val="TableText0"/>
            </w:pPr>
            <w:r w:rsidRPr="0040534B">
              <w:t xml:space="preserve">R, DB, MC </w:t>
            </w:r>
          </w:p>
          <w:p w14:paraId="543666E5" w14:textId="221D9D03" w:rsidR="00F03CD4" w:rsidRPr="0040534B" w:rsidRDefault="00F03CD4" w:rsidP="00AE0C79">
            <w:pPr>
              <w:pStyle w:val="TableText0"/>
            </w:pPr>
            <w:r w:rsidRPr="0040534B">
              <w:t>12 w</w:t>
            </w:r>
            <w:r w:rsidR="00B434C6" w:rsidRPr="0040534B">
              <w:t>ee</w:t>
            </w:r>
            <w:r w:rsidRPr="0040534B">
              <w:t>ks</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46163536" w14:textId="77777777" w:rsidR="00F03CD4" w:rsidRPr="0040534B" w:rsidRDefault="00F03CD4" w:rsidP="00AE0C79">
            <w:pPr>
              <w:pStyle w:val="TableText0"/>
            </w:pPr>
            <w:r w:rsidRPr="0040534B">
              <w:t>Low</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5D04202C" w14:textId="77777777" w:rsidR="00F03CD4" w:rsidRPr="0040534B" w:rsidRDefault="00F03CD4" w:rsidP="00AE0C79">
            <w:pPr>
              <w:pStyle w:val="TableText0"/>
            </w:pPr>
            <w:r w:rsidRPr="0040534B">
              <w:t>Failed ≤1 preventive medication cluster, up to one concomitant preventive medication</w:t>
            </w:r>
          </w:p>
        </w:tc>
        <w:tc>
          <w:tcPr>
            <w:tcW w:w="1466" w:type="pct"/>
            <w:vMerge w:val="restart"/>
            <w:tcBorders>
              <w:top w:val="single" w:sz="4" w:space="0" w:color="auto"/>
              <w:left w:val="single" w:sz="4" w:space="0" w:color="auto"/>
            </w:tcBorders>
            <w:shd w:val="clear" w:color="auto" w:fill="auto"/>
            <w:vAlign w:val="center"/>
          </w:tcPr>
          <w:p w14:paraId="025323BC" w14:textId="77777777" w:rsidR="00F03CD4" w:rsidRPr="0040534B" w:rsidRDefault="00F03CD4" w:rsidP="00AE0C79">
            <w:pPr>
              <w:pStyle w:val="TableText0"/>
            </w:pPr>
            <w:r w:rsidRPr="0040534B">
              <w:t>1˚: Change from baseline in mean monthly headache days</w:t>
            </w:r>
            <w:r w:rsidRPr="0040534B">
              <w:br/>
              <w:t>2˚: Change from baseline in mean monthly migraine days; Other clinical assessments; QoL, Safety</w:t>
            </w:r>
            <w:r w:rsidRPr="0040534B">
              <w:rPr>
                <w:rFonts w:ascii="Calibri" w:eastAsia="Times New Roman" w:hAnsi="Calibri" w:cs="Arial"/>
                <w:bCs w:val="0"/>
                <w:sz w:val="24"/>
              </w:rPr>
              <w:t xml:space="preserve"> </w:t>
            </w:r>
          </w:p>
        </w:tc>
      </w:tr>
      <w:tr w:rsidR="00F03CD4" w:rsidRPr="0040534B" w14:paraId="5B4B7D1D" w14:textId="77777777" w:rsidTr="00C124DD">
        <w:tc>
          <w:tcPr>
            <w:tcW w:w="626" w:type="pct"/>
            <w:tcBorders>
              <w:right w:val="single" w:sz="4" w:space="0" w:color="auto"/>
            </w:tcBorders>
            <w:shd w:val="clear" w:color="auto" w:fill="auto"/>
            <w:vAlign w:val="center"/>
          </w:tcPr>
          <w:p w14:paraId="5C602E69" w14:textId="77777777" w:rsidR="00F03CD4" w:rsidRPr="0040534B" w:rsidRDefault="00F03CD4" w:rsidP="00AE0C79">
            <w:pPr>
              <w:pStyle w:val="TableText0"/>
            </w:pPr>
            <w:r w:rsidRPr="0040534B">
              <w:t>NCT03303079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E1642F" w14:textId="77777777" w:rsidR="00F03CD4" w:rsidRPr="0040534B" w:rsidRDefault="00F03CD4" w:rsidP="00AE0C79">
            <w:pPr>
              <w:pStyle w:val="TableText0"/>
              <w:jc w:val="center"/>
            </w:pPr>
            <w:r w:rsidRPr="0040534B">
              <w:t>571</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11CD4A73" w14:textId="77777777" w:rsidR="00F03CD4" w:rsidRPr="0040534B" w:rsidRDefault="00F03CD4" w:rsidP="00AE0C79">
            <w:pPr>
              <w:pStyle w:val="TableText0"/>
            </w:pPr>
            <w:r w:rsidRPr="0040534B">
              <w:t xml:space="preserve">R, DB, MC </w:t>
            </w:r>
          </w:p>
          <w:p w14:paraId="0BADDC7F" w14:textId="2FAA71D4" w:rsidR="00F03CD4" w:rsidRPr="0040534B" w:rsidRDefault="00F03CD4" w:rsidP="00AE0C79">
            <w:pPr>
              <w:pStyle w:val="TableText0"/>
            </w:pPr>
            <w:r w:rsidRPr="0040534B">
              <w:t>12 w</w:t>
            </w:r>
            <w:r w:rsidR="00B434C6" w:rsidRPr="0040534B">
              <w:t>ee</w:t>
            </w:r>
            <w:r w:rsidRPr="0040534B">
              <w:t>ks</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27F0A8E3" w14:textId="77777777" w:rsidR="00F03CD4" w:rsidRPr="0040534B" w:rsidRDefault="00F03CD4" w:rsidP="00AE0C79">
            <w:pPr>
              <w:pStyle w:val="TableText0"/>
            </w:pPr>
            <w:r w:rsidRPr="0040534B">
              <w:t>Low</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14:paraId="568BE182" w14:textId="77777777" w:rsidR="00F03CD4" w:rsidRPr="0040534B" w:rsidRDefault="00F03CD4" w:rsidP="00AE0C79">
            <w:pPr>
              <w:pStyle w:val="TableText0"/>
            </w:pPr>
            <w:r w:rsidRPr="0040534B">
              <w:t xml:space="preserve">Failed ≤1 preventive medication cluster, concomitant treatment not discussed in submission </w:t>
            </w:r>
          </w:p>
        </w:tc>
        <w:tc>
          <w:tcPr>
            <w:tcW w:w="1466" w:type="pct"/>
            <w:vMerge/>
            <w:tcBorders>
              <w:left w:val="single" w:sz="4" w:space="0" w:color="auto"/>
            </w:tcBorders>
            <w:shd w:val="clear" w:color="auto" w:fill="auto"/>
            <w:vAlign w:val="center"/>
          </w:tcPr>
          <w:p w14:paraId="4F571849" w14:textId="77777777" w:rsidR="00F03CD4" w:rsidRPr="0040534B" w:rsidRDefault="00F03CD4" w:rsidP="00AE0C79">
            <w:pPr>
              <w:pStyle w:val="TableText0"/>
            </w:pPr>
          </w:p>
        </w:tc>
      </w:tr>
      <w:tr w:rsidR="00F03CD4" w:rsidRPr="0040534B" w14:paraId="53F4BBD9" w14:textId="77777777" w:rsidTr="00C124DD">
        <w:tc>
          <w:tcPr>
            <w:tcW w:w="626" w:type="pct"/>
            <w:tcBorders>
              <w:right w:val="single" w:sz="4" w:space="0" w:color="auto"/>
            </w:tcBorders>
            <w:shd w:val="clear" w:color="auto" w:fill="auto"/>
            <w:vAlign w:val="center"/>
          </w:tcPr>
          <w:p w14:paraId="7A0B9E25" w14:textId="77777777" w:rsidR="00F03CD4" w:rsidRPr="0040534B" w:rsidRDefault="00F03CD4" w:rsidP="00AE0C79">
            <w:pPr>
              <w:pStyle w:val="TableText0"/>
            </w:pPr>
            <w:r w:rsidRPr="0040534B">
              <w:t>Meta-analysis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BEDEC3" w14:textId="77777777" w:rsidR="00F03CD4" w:rsidRPr="0040534B" w:rsidRDefault="00F03CD4" w:rsidP="00AE0C79">
            <w:pPr>
              <w:pStyle w:val="TableText0"/>
              <w:jc w:val="center"/>
            </w:pPr>
            <w:r w:rsidRPr="0040534B">
              <w:t>845</w:t>
            </w:r>
          </w:p>
        </w:tc>
        <w:tc>
          <w:tcPr>
            <w:tcW w:w="4060" w:type="pct"/>
            <w:gridSpan w:val="4"/>
            <w:tcBorders>
              <w:top w:val="single" w:sz="4" w:space="0" w:color="auto"/>
              <w:left w:val="single" w:sz="4" w:space="0" w:color="auto"/>
              <w:bottom w:val="single" w:sz="4" w:space="0" w:color="auto"/>
            </w:tcBorders>
            <w:shd w:val="clear" w:color="auto" w:fill="FFFFFF"/>
            <w:vAlign w:val="center"/>
          </w:tcPr>
          <w:p w14:paraId="7774B946" w14:textId="77777777" w:rsidR="00F03CD4" w:rsidRPr="0040534B" w:rsidRDefault="00F03CD4" w:rsidP="00AE0C79">
            <w:pPr>
              <w:pStyle w:val="TableText0"/>
            </w:pPr>
            <w:r w:rsidRPr="0040534B">
              <w:rPr>
                <w:bCs w:val="0"/>
              </w:rPr>
              <w:t>(1</w:t>
            </w:r>
            <w:r w:rsidRPr="0040534B">
              <w:t>) Included FOCUS, HALO-CM and NCT03303079 whole trial populations (2) included FOCUS, HALO-CM and NCT03303079 and CM populations/subpopulation only; (3) sensitivity analyses removed the FOCUS trial to reduce heterogeneity.</w:t>
            </w:r>
          </w:p>
        </w:tc>
      </w:tr>
    </w:tbl>
    <w:p w14:paraId="6ED752C3" w14:textId="2FC5BE50" w:rsidR="00F03CD4" w:rsidRPr="0040534B" w:rsidRDefault="00F03CD4" w:rsidP="00F03CD4">
      <w:pPr>
        <w:pStyle w:val="TableFigureFooter"/>
      </w:pPr>
      <w:r w:rsidRPr="0040534B">
        <w:t>Source: Tables 2-6, 2-8 &amp; 2-16, pp</w:t>
      </w:r>
      <w:r w:rsidR="000215F2" w:rsidRPr="0040534B">
        <w:t xml:space="preserve">37, </w:t>
      </w:r>
      <w:r w:rsidRPr="0040534B">
        <w:t>39-43, 50-51 &amp; 75 of the submission; Figure 2-7, p120 of the submission; Attachment 2.5 of the submission.</w:t>
      </w:r>
    </w:p>
    <w:p w14:paraId="558F085C" w14:textId="5AD115D9" w:rsidR="00F03CD4" w:rsidRPr="0040534B" w:rsidRDefault="00F03CD4" w:rsidP="00F03CD4">
      <w:pPr>
        <w:pStyle w:val="TableFigureFooter"/>
      </w:pPr>
      <w:r w:rsidRPr="0040534B">
        <w:t>1˚ = primary; 2˚ = secondary; CM = chronic migraine; DB = double blind; EM = episodic migraine; MC = multi-centre; MoA = mechanism of action; QoL = quality of life; R = randomised</w:t>
      </w:r>
    </w:p>
    <w:p w14:paraId="6B40A5A2" w14:textId="77777777" w:rsidR="00F03CD4" w:rsidRPr="0040534B" w:rsidRDefault="00F03CD4" w:rsidP="00F03CD4">
      <w:pPr>
        <w:pStyle w:val="TableFigureFooter"/>
        <w:rPr>
          <w:szCs w:val="18"/>
        </w:rPr>
      </w:pPr>
      <w:r w:rsidRPr="0040534B">
        <w:rPr>
          <w:vertAlign w:val="superscript"/>
        </w:rPr>
        <w:t>a</w:t>
      </w:r>
      <w:r w:rsidRPr="0040534B">
        <w:t xml:space="preserve"> number of participants in the trial arms relevant to the submission, not necessarily the total number of trial participants</w:t>
      </w:r>
    </w:p>
    <w:p w14:paraId="2A1F2D7E" w14:textId="77777777" w:rsidR="00F03CD4" w:rsidRPr="0040534B" w:rsidRDefault="00F03CD4" w:rsidP="00F03CD4">
      <w:pPr>
        <w:pStyle w:val="3-BodyText"/>
        <w:rPr>
          <w:color w:val="0066FF"/>
        </w:rPr>
      </w:pPr>
      <w:r w:rsidRPr="0040534B">
        <w:lastRenderedPageBreak/>
        <w:t>The key features of the included evidence for episodic migraine are summarised in the table below. Episodic migraine was consistently defined as a migraine headache with or without aura occurring on 4-14 days per month in all trials.</w:t>
      </w:r>
    </w:p>
    <w:p w14:paraId="0920F525" w14:textId="70AA8BDE" w:rsidR="00F03CD4" w:rsidRPr="0040534B" w:rsidRDefault="00F03CD4" w:rsidP="00F03CD4">
      <w:pPr>
        <w:pStyle w:val="TableFigureHeading"/>
        <w:rPr>
          <w:rStyle w:val="CommentReference"/>
          <w:b/>
          <w:bCs w:val="0"/>
        </w:rPr>
      </w:pPr>
      <w:bookmarkStart w:id="38" w:name="_Ref133578941"/>
      <w:bookmarkStart w:id="39" w:name="_Hlk138060321"/>
      <w:r w:rsidRPr="0040534B">
        <w:rPr>
          <w:rStyle w:val="CommentReference"/>
          <w:b/>
          <w:bCs w:val="0"/>
        </w:rPr>
        <w:t xml:space="preserve">Table </w:t>
      </w:r>
      <w:r w:rsidRPr="0040534B">
        <w:rPr>
          <w:rStyle w:val="CommentReference"/>
          <w:b/>
          <w:bCs w:val="0"/>
        </w:rPr>
        <w:fldChar w:fldCharType="begin" w:fldLock="1"/>
      </w:r>
      <w:r w:rsidRPr="0040534B">
        <w:rPr>
          <w:rStyle w:val="CommentReference"/>
          <w:b/>
          <w:bCs w:val="0"/>
        </w:rPr>
        <w:instrText xml:space="preserve"> SEQ Table \* ARABIC </w:instrText>
      </w:r>
      <w:r w:rsidRPr="0040534B">
        <w:rPr>
          <w:rStyle w:val="CommentReference"/>
          <w:b/>
          <w:bCs w:val="0"/>
        </w:rPr>
        <w:fldChar w:fldCharType="separate"/>
      </w:r>
      <w:r w:rsidR="004E201F">
        <w:rPr>
          <w:rStyle w:val="CommentReference"/>
          <w:b/>
          <w:bCs w:val="0"/>
          <w:noProof/>
        </w:rPr>
        <w:t>4</w:t>
      </w:r>
      <w:r w:rsidRPr="0040534B">
        <w:rPr>
          <w:rStyle w:val="CommentReference"/>
          <w:b/>
          <w:bCs w:val="0"/>
        </w:rPr>
        <w:fldChar w:fldCharType="end"/>
      </w:r>
      <w:bookmarkEnd w:id="38"/>
      <w:r w:rsidRPr="0040534B">
        <w:rPr>
          <w:rStyle w:val="CommentReference"/>
          <w:b/>
          <w:bCs w:val="0"/>
        </w:rPr>
        <w:t>: Key features of the included evidence – indirect comparison (episodic migraine)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570"/>
        <w:gridCol w:w="851"/>
        <w:gridCol w:w="709"/>
        <w:gridCol w:w="2977"/>
        <w:gridCol w:w="2784"/>
      </w:tblGrid>
      <w:tr w:rsidR="00F03CD4" w:rsidRPr="0040534B" w14:paraId="1CCB9D95" w14:textId="77777777" w:rsidTr="00C124DD">
        <w:trPr>
          <w:tblHeader/>
        </w:trPr>
        <w:tc>
          <w:tcPr>
            <w:tcW w:w="624" w:type="pct"/>
            <w:shd w:val="clear" w:color="auto" w:fill="auto"/>
            <w:vAlign w:val="center"/>
          </w:tcPr>
          <w:p w14:paraId="50695306" w14:textId="77777777" w:rsidR="00F03CD4" w:rsidRPr="0040534B" w:rsidRDefault="00F03CD4" w:rsidP="00AE0C79">
            <w:pPr>
              <w:pStyle w:val="In-tableHeading"/>
              <w:jc w:val="center"/>
              <w:rPr>
                <w:lang w:val="en-AU"/>
              </w:rPr>
            </w:pPr>
            <w:r w:rsidRPr="0040534B">
              <w:rPr>
                <w:lang w:val="en-AU"/>
              </w:rPr>
              <w:t>Trial</w:t>
            </w:r>
          </w:p>
        </w:tc>
        <w:tc>
          <w:tcPr>
            <w:tcW w:w="316" w:type="pct"/>
            <w:shd w:val="clear" w:color="auto" w:fill="auto"/>
            <w:vAlign w:val="center"/>
          </w:tcPr>
          <w:p w14:paraId="73A2EB10" w14:textId="77777777" w:rsidR="00F03CD4" w:rsidRPr="0040534B" w:rsidRDefault="00F03CD4" w:rsidP="00AE0C79">
            <w:pPr>
              <w:pStyle w:val="In-tableHeading"/>
              <w:jc w:val="center"/>
              <w:rPr>
                <w:lang w:val="en-AU"/>
              </w:rPr>
            </w:pPr>
            <w:r w:rsidRPr="0040534B">
              <w:rPr>
                <w:lang w:val="en-AU"/>
              </w:rPr>
              <w:t>n</w:t>
            </w:r>
            <w:r w:rsidRPr="0040534B">
              <w:rPr>
                <w:vertAlign w:val="superscript"/>
                <w:lang w:val="en-AU"/>
              </w:rPr>
              <w:t>a</w:t>
            </w:r>
          </w:p>
        </w:tc>
        <w:tc>
          <w:tcPr>
            <w:tcW w:w="472" w:type="pct"/>
            <w:shd w:val="clear" w:color="auto" w:fill="auto"/>
            <w:vAlign w:val="center"/>
          </w:tcPr>
          <w:p w14:paraId="4C20B581" w14:textId="77777777" w:rsidR="00F03CD4" w:rsidRPr="0040534B" w:rsidRDefault="00F03CD4" w:rsidP="00AE0C79">
            <w:pPr>
              <w:pStyle w:val="In-tableHeading"/>
              <w:jc w:val="center"/>
              <w:rPr>
                <w:lang w:val="en-AU"/>
              </w:rPr>
            </w:pPr>
            <w:r w:rsidRPr="0040534B">
              <w:rPr>
                <w:lang w:val="en-AU"/>
              </w:rPr>
              <w:t>Design/ duration</w:t>
            </w:r>
          </w:p>
        </w:tc>
        <w:tc>
          <w:tcPr>
            <w:tcW w:w="393" w:type="pct"/>
            <w:shd w:val="clear" w:color="auto" w:fill="auto"/>
            <w:vAlign w:val="center"/>
          </w:tcPr>
          <w:p w14:paraId="1DDFF6E6" w14:textId="77777777" w:rsidR="00F03CD4" w:rsidRPr="0040534B" w:rsidRDefault="00F03CD4" w:rsidP="00AE0C79">
            <w:pPr>
              <w:pStyle w:val="In-tableHeading"/>
              <w:jc w:val="center"/>
              <w:rPr>
                <w:lang w:val="en-AU"/>
              </w:rPr>
            </w:pPr>
            <w:r w:rsidRPr="0040534B">
              <w:rPr>
                <w:lang w:val="en-AU"/>
              </w:rPr>
              <w:t>Risk of bias</w:t>
            </w:r>
          </w:p>
        </w:tc>
        <w:tc>
          <w:tcPr>
            <w:tcW w:w="1651" w:type="pct"/>
            <w:shd w:val="clear" w:color="auto" w:fill="auto"/>
            <w:vAlign w:val="center"/>
          </w:tcPr>
          <w:p w14:paraId="340F91A6" w14:textId="77777777" w:rsidR="00F03CD4" w:rsidRPr="0040534B" w:rsidRDefault="00F03CD4" w:rsidP="00AE0C79">
            <w:pPr>
              <w:pStyle w:val="In-tableHeading"/>
              <w:jc w:val="center"/>
              <w:rPr>
                <w:lang w:val="en-AU"/>
              </w:rPr>
            </w:pPr>
            <w:r w:rsidRPr="0040534B">
              <w:rPr>
                <w:lang w:val="en-AU"/>
              </w:rPr>
              <w:t>Patient population</w:t>
            </w:r>
          </w:p>
        </w:tc>
        <w:tc>
          <w:tcPr>
            <w:tcW w:w="1544" w:type="pct"/>
            <w:shd w:val="clear" w:color="auto" w:fill="auto"/>
            <w:vAlign w:val="center"/>
          </w:tcPr>
          <w:p w14:paraId="54535AB4" w14:textId="77777777" w:rsidR="00F03CD4" w:rsidRPr="0040534B" w:rsidRDefault="00F03CD4" w:rsidP="00AE0C79">
            <w:pPr>
              <w:pStyle w:val="In-tableHeading"/>
              <w:jc w:val="center"/>
              <w:rPr>
                <w:lang w:val="en-AU"/>
              </w:rPr>
            </w:pPr>
            <w:r w:rsidRPr="0040534B">
              <w:rPr>
                <w:lang w:val="en-AU"/>
              </w:rPr>
              <w:t>Outcomes</w:t>
            </w:r>
          </w:p>
        </w:tc>
      </w:tr>
      <w:tr w:rsidR="00F03CD4" w:rsidRPr="0040534B" w14:paraId="406625AA" w14:textId="77777777" w:rsidTr="00C124DD">
        <w:tc>
          <w:tcPr>
            <w:tcW w:w="5000" w:type="pct"/>
            <w:gridSpan w:val="6"/>
            <w:tcBorders>
              <w:bottom w:val="single" w:sz="4" w:space="0" w:color="auto"/>
            </w:tcBorders>
            <w:shd w:val="clear" w:color="auto" w:fill="auto"/>
            <w:vAlign w:val="center"/>
          </w:tcPr>
          <w:p w14:paraId="4A693013" w14:textId="77777777" w:rsidR="00F03CD4" w:rsidRPr="0040534B" w:rsidRDefault="00F03CD4" w:rsidP="00AE0C79">
            <w:pPr>
              <w:pStyle w:val="In-tableHeading"/>
              <w:rPr>
                <w:lang w:val="en-AU"/>
              </w:rPr>
            </w:pPr>
            <w:r w:rsidRPr="0040534B">
              <w:rPr>
                <w:lang w:val="en-AU"/>
              </w:rPr>
              <w:t>Atogepant vs. placebo</w:t>
            </w:r>
          </w:p>
        </w:tc>
      </w:tr>
      <w:tr w:rsidR="00F03CD4" w:rsidRPr="0040534B" w14:paraId="35F0F9E5"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29BFBFA7" w14:textId="77777777" w:rsidR="00F03CD4" w:rsidRPr="0040534B" w:rsidRDefault="00F03CD4" w:rsidP="00AE0C79">
            <w:pPr>
              <w:pStyle w:val="TableText0"/>
            </w:pPr>
            <w:r w:rsidRPr="0040534B">
              <w:t>ADVANCE</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C283BCA" w14:textId="77777777" w:rsidR="00F03CD4" w:rsidRPr="0040534B" w:rsidRDefault="00F03CD4" w:rsidP="00AE0C79">
            <w:pPr>
              <w:pStyle w:val="TableText0"/>
              <w:jc w:val="center"/>
            </w:pPr>
            <w:r w:rsidRPr="0040534B">
              <w:t>458</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6E8A9137" w14:textId="77777777" w:rsidR="00F03CD4" w:rsidRPr="0040534B" w:rsidRDefault="00F03CD4" w:rsidP="00AE0C79">
            <w:pPr>
              <w:pStyle w:val="TableText0"/>
            </w:pPr>
            <w:r w:rsidRPr="0040534B">
              <w:t xml:space="preserve">R, DB, MC </w:t>
            </w:r>
          </w:p>
          <w:p w14:paraId="54F1ED34" w14:textId="0C2C1C11" w:rsidR="00F03CD4" w:rsidRPr="0040534B" w:rsidRDefault="00F03CD4" w:rsidP="00AE0C79">
            <w:pPr>
              <w:pStyle w:val="TableText0"/>
            </w:pPr>
            <w:r w:rsidRPr="0040534B">
              <w:t>12 w</w:t>
            </w:r>
            <w:r w:rsidR="006F04A7" w:rsidRPr="0040534B">
              <w:t>ee</w:t>
            </w:r>
            <w:r w:rsidRPr="0040534B">
              <w:t>ks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025D867"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26EBD291" w14:textId="77777777" w:rsidR="00F03CD4" w:rsidRPr="0040534B" w:rsidRDefault="00F03CD4" w:rsidP="00AE0C79">
            <w:pPr>
              <w:pStyle w:val="TableText0"/>
            </w:pPr>
            <w:r w:rsidRPr="0040534B">
              <w:t>Failed ≤4 preventive medications (2 different MoA), no concomitant preventive medications</w:t>
            </w:r>
          </w:p>
        </w:tc>
        <w:tc>
          <w:tcPr>
            <w:tcW w:w="1544" w:type="pct"/>
            <w:tcBorders>
              <w:top w:val="single" w:sz="4" w:space="0" w:color="auto"/>
              <w:left w:val="single" w:sz="4" w:space="0" w:color="auto"/>
              <w:bottom w:val="single" w:sz="4" w:space="0" w:color="auto"/>
            </w:tcBorders>
            <w:shd w:val="clear" w:color="auto" w:fill="auto"/>
            <w:vAlign w:val="center"/>
          </w:tcPr>
          <w:p w14:paraId="3FF9D4C6" w14:textId="77777777" w:rsidR="00F03CD4" w:rsidRPr="0040534B" w:rsidRDefault="00F03CD4" w:rsidP="00AE0C79">
            <w:pPr>
              <w:pStyle w:val="TableText0"/>
            </w:pPr>
            <w:r w:rsidRPr="0040534B">
              <w:t>1˚: Change from baseline in mean monthly migraine days</w:t>
            </w:r>
          </w:p>
          <w:p w14:paraId="6E64906F" w14:textId="77777777" w:rsidR="00F03CD4" w:rsidRPr="0040534B" w:rsidRDefault="00F03CD4" w:rsidP="00AE0C79">
            <w:pPr>
              <w:pStyle w:val="TableText0"/>
            </w:pPr>
            <w:r w:rsidRPr="0040534B">
              <w:t>2˚: ≥50% reduction from baseline in mean monthly migraine days;</w:t>
            </w:r>
          </w:p>
          <w:p w14:paraId="2305F0BB" w14:textId="77777777" w:rsidR="00F03CD4" w:rsidRPr="0040534B" w:rsidRDefault="00F03CD4" w:rsidP="00AE0C79">
            <w:pPr>
              <w:pStyle w:val="TableText0"/>
            </w:pPr>
            <w:r w:rsidRPr="0040534B">
              <w:t xml:space="preserve">Other clinical assessments; QoL, Safety </w:t>
            </w:r>
          </w:p>
        </w:tc>
      </w:tr>
      <w:tr w:rsidR="00F03CD4" w:rsidRPr="0040534B" w14:paraId="28BF1424"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78AF965D" w14:textId="26E158D5" w:rsidR="00F03CD4" w:rsidRPr="0040534B" w:rsidRDefault="00E01D5E" w:rsidP="00AE0C79">
            <w:pPr>
              <w:pStyle w:val="TableText0"/>
            </w:pPr>
            <w:r w:rsidRPr="0040534B">
              <w:t>NCT02848326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285544" w14:textId="77777777" w:rsidR="00F03CD4" w:rsidRPr="0040534B" w:rsidRDefault="00F03CD4" w:rsidP="00AE0C79">
            <w:pPr>
              <w:pStyle w:val="TableText0"/>
              <w:jc w:val="center"/>
            </w:pPr>
            <w:r w:rsidRPr="0040534B">
              <w:t>373</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3D5BBF56" w14:textId="77777777" w:rsidR="00F03CD4" w:rsidRPr="0040534B" w:rsidRDefault="00F03CD4" w:rsidP="00AE0C79">
            <w:pPr>
              <w:pStyle w:val="TableText0"/>
            </w:pPr>
            <w:r w:rsidRPr="0040534B">
              <w:t xml:space="preserve">R, DB, MC </w:t>
            </w:r>
          </w:p>
          <w:p w14:paraId="03C8117A" w14:textId="34D9688B" w:rsidR="00F03CD4" w:rsidRPr="0040534B" w:rsidRDefault="00F03CD4" w:rsidP="00AE0C79">
            <w:pPr>
              <w:pStyle w:val="TableText0"/>
            </w:pPr>
            <w:r w:rsidRPr="0040534B">
              <w:t>12 w</w:t>
            </w:r>
            <w:r w:rsidR="006F04A7" w:rsidRPr="0040534B">
              <w:t>ee</w:t>
            </w:r>
            <w:r w:rsidRPr="0040534B">
              <w:t>ks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D532786"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6A200DFA" w14:textId="77777777" w:rsidR="00F03CD4" w:rsidRPr="0040534B" w:rsidRDefault="00F03CD4" w:rsidP="00AE0C79">
            <w:pPr>
              <w:pStyle w:val="TableText0"/>
            </w:pPr>
            <w:r w:rsidRPr="0040534B">
              <w:t>Failed ≤2 preventive medications with different MoA, no concomitant preventive medications</w:t>
            </w:r>
          </w:p>
        </w:tc>
        <w:tc>
          <w:tcPr>
            <w:tcW w:w="1544" w:type="pct"/>
            <w:tcBorders>
              <w:top w:val="single" w:sz="4" w:space="0" w:color="auto"/>
              <w:left w:val="single" w:sz="4" w:space="0" w:color="auto"/>
              <w:bottom w:val="single" w:sz="4" w:space="0" w:color="auto"/>
            </w:tcBorders>
            <w:shd w:val="clear" w:color="auto" w:fill="auto"/>
            <w:vAlign w:val="center"/>
          </w:tcPr>
          <w:p w14:paraId="6AC528E7" w14:textId="77777777" w:rsidR="00F03CD4" w:rsidRPr="0040534B" w:rsidRDefault="00F03CD4" w:rsidP="00AE0C79">
            <w:pPr>
              <w:pStyle w:val="TableText0"/>
            </w:pPr>
            <w:r w:rsidRPr="0040534B">
              <w:t>Same as ADVANCE</w:t>
            </w:r>
          </w:p>
        </w:tc>
      </w:tr>
      <w:tr w:rsidR="00F03CD4" w:rsidRPr="0040534B" w14:paraId="549B4EA6" w14:textId="77777777" w:rsidTr="00C124DD">
        <w:tc>
          <w:tcPr>
            <w:tcW w:w="624" w:type="pct"/>
            <w:tcBorders>
              <w:top w:val="single" w:sz="4" w:space="0" w:color="auto"/>
            </w:tcBorders>
            <w:shd w:val="clear" w:color="auto" w:fill="auto"/>
            <w:vAlign w:val="center"/>
          </w:tcPr>
          <w:p w14:paraId="4574640C" w14:textId="77777777" w:rsidR="00F03CD4" w:rsidRPr="0040534B" w:rsidRDefault="00F03CD4" w:rsidP="00AE0C79">
            <w:pPr>
              <w:pStyle w:val="TableText0"/>
            </w:pPr>
            <w:r w:rsidRPr="0040534B">
              <w:t>Meta-analysis</w:t>
            </w:r>
          </w:p>
        </w:tc>
        <w:tc>
          <w:tcPr>
            <w:tcW w:w="316" w:type="pct"/>
            <w:tcBorders>
              <w:top w:val="single" w:sz="4" w:space="0" w:color="auto"/>
            </w:tcBorders>
            <w:shd w:val="clear" w:color="auto" w:fill="auto"/>
            <w:vAlign w:val="center"/>
          </w:tcPr>
          <w:p w14:paraId="1D2EF854" w14:textId="77777777" w:rsidR="00F03CD4" w:rsidRPr="0040534B" w:rsidRDefault="00F03CD4" w:rsidP="00AE0C79">
            <w:pPr>
              <w:pStyle w:val="TableText0"/>
              <w:jc w:val="center"/>
            </w:pPr>
            <w:r w:rsidRPr="0040534B">
              <w:t>700</w:t>
            </w:r>
          </w:p>
        </w:tc>
        <w:tc>
          <w:tcPr>
            <w:tcW w:w="4060" w:type="pct"/>
            <w:gridSpan w:val="4"/>
            <w:tcBorders>
              <w:top w:val="single" w:sz="4" w:space="0" w:color="auto"/>
            </w:tcBorders>
            <w:shd w:val="clear" w:color="auto" w:fill="auto"/>
            <w:vAlign w:val="center"/>
          </w:tcPr>
          <w:p w14:paraId="2DF96B6F" w14:textId="37700690" w:rsidR="00F03CD4" w:rsidRPr="0040534B" w:rsidRDefault="00F03CD4" w:rsidP="00AE0C79">
            <w:pPr>
              <w:pStyle w:val="TableText0"/>
            </w:pPr>
            <w:r w:rsidRPr="0040534B">
              <w:rPr>
                <w:bCs w:val="0"/>
              </w:rPr>
              <w:t>(1</w:t>
            </w:r>
            <w:r w:rsidRPr="0040534B">
              <w:t xml:space="preserve">) Included ADVANCE and </w:t>
            </w:r>
            <w:r w:rsidR="00E01D5E" w:rsidRPr="0040534B">
              <w:t xml:space="preserve">NCT02848326 </w:t>
            </w:r>
            <w:r w:rsidRPr="0040534B">
              <w:t xml:space="preserve">whole trial populations (2) included ADVANCE and </w:t>
            </w:r>
            <w:r w:rsidR="00E01D5E" w:rsidRPr="0040534B">
              <w:t xml:space="preserve">NCT02848326 </w:t>
            </w:r>
            <w:r w:rsidRPr="0040534B">
              <w:t>EM populations/subpopulations only</w:t>
            </w:r>
          </w:p>
        </w:tc>
      </w:tr>
      <w:bookmarkEnd w:id="39"/>
      <w:tr w:rsidR="00F03CD4" w:rsidRPr="0040534B" w14:paraId="5C840F1C" w14:textId="77777777" w:rsidTr="00C124DD">
        <w:tc>
          <w:tcPr>
            <w:tcW w:w="5000" w:type="pct"/>
            <w:gridSpan w:val="6"/>
            <w:tcBorders>
              <w:bottom w:val="single" w:sz="4" w:space="0" w:color="auto"/>
            </w:tcBorders>
            <w:shd w:val="clear" w:color="auto" w:fill="auto"/>
            <w:vAlign w:val="center"/>
          </w:tcPr>
          <w:p w14:paraId="65252186" w14:textId="77777777" w:rsidR="00F03CD4" w:rsidRPr="0040534B" w:rsidRDefault="00F03CD4" w:rsidP="00AE0C79">
            <w:pPr>
              <w:pStyle w:val="In-tableHeading"/>
              <w:rPr>
                <w:lang w:val="en-AU"/>
              </w:rPr>
            </w:pPr>
            <w:r w:rsidRPr="0040534B">
              <w:rPr>
                <w:lang w:val="en-AU"/>
              </w:rPr>
              <w:t>Galcanezumab vs. placebo</w:t>
            </w:r>
          </w:p>
        </w:tc>
      </w:tr>
      <w:tr w:rsidR="00F03CD4" w:rsidRPr="0040534B" w14:paraId="7C0664C9"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5144818F" w14:textId="77777777" w:rsidR="00F03CD4" w:rsidRPr="0040534B" w:rsidRDefault="00F03CD4" w:rsidP="00AE0C79">
            <w:pPr>
              <w:pStyle w:val="TableText0"/>
            </w:pPr>
            <w:r w:rsidRPr="0040534B">
              <w:t>EVOLVE-1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C2B235D" w14:textId="77777777" w:rsidR="00F03CD4" w:rsidRPr="0040534B" w:rsidRDefault="00F03CD4" w:rsidP="00AE0C79">
            <w:pPr>
              <w:pStyle w:val="TableText0"/>
              <w:jc w:val="center"/>
            </w:pPr>
            <w:r w:rsidRPr="0040534B">
              <w:t>648</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DF88D83" w14:textId="3DA8800E" w:rsidR="00F03CD4" w:rsidRPr="0040534B" w:rsidRDefault="00F03CD4" w:rsidP="00AE0C79">
            <w:pPr>
              <w:pStyle w:val="TableText0"/>
            </w:pPr>
            <w:r w:rsidRPr="0040534B">
              <w:t>R, DB, MC 6 mo</w:t>
            </w:r>
            <w:r w:rsidR="006F04A7" w:rsidRPr="0040534B">
              <w:t>nths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359B58E"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1396CFB2" w14:textId="77777777" w:rsidR="00F03CD4" w:rsidRPr="0040534B" w:rsidRDefault="00F03CD4" w:rsidP="00AE0C79">
            <w:pPr>
              <w:pStyle w:val="TableText0"/>
            </w:pPr>
            <w:r w:rsidRPr="0040534B">
              <w:t>Failed ≤2 preventive medication classes, no concomitant preventive medications</w:t>
            </w:r>
          </w:p>
        </w:tc>
        <w:tc>
          <w:tcPr>
            <w:tcW w:w="1544" w:type="pct"/>
            <w:tcBorders>
              <w:top w:val="single" w:sz="4" w:space="0" w:color="auto"/>
              <w:left w:val="single" w:sz="4" w:space="0" w:color="auto"/>
              <w:bottom w:val="single" w:sz="4" w:space="0" w:color="auto"/>
            </w:tcBorders>
            <w:shd w:val="clear" w:color="auto" w:fill="auto"/>
            <w:vAlign w:val="center"/>
          </w:tcPr>
          <w:p w14:paraId="1BAAA19A" w14:textId="77777777" w:rsidR="00F03CD4" w:rsidRPr="0040534B" w:rsidRDefault="00F03CD4" w:rsidP="00AE0C79">
            <w:pPr>
              <w:pStyle w:val="TableText0"/>
            </w:pPr>
            <w:r w:rsidRPr="0040534B">
              <w:t>Same as ADVANCE</w:t>
            </w:r>
          </w:p>
        </w:tc>
      </w:tr>
      <w:tr w:rsidR="00F03CD4" w:rsidRPr="0040534B" w14:paraId="32D172DC"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1C557D0A" w14:textId="77777777" w:rsidR="00F03CD4" w:rsidRPr="0040534B" w:rsidRDefault="00F03CD4" w:rsidP="00AE0C79">
            <w:pPr>
              <w:pStyle w:val="TableText0"/>
            </w:pPr>
            <w:r w:rsidRPr="0040534B">
              <w:t>EVOLVE-2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6AAB297" w14:textId="77777777" w:rsidR="00F03CD4" w:rsidRPr="0040534B" w:rsidRDefault="00F03CD4" w:rsidP="00AE0C79">
            <w:pPr>
              <w:pStyle w:val="TableText0"/>
              <w:jc w:val="center"/>
            </w:pPr>
            <w:r w:rsidRPr="0040534B">
              <w:t>696</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D92090C" w14:textId="7642D223" w:rsidR="00F03CD4" w:rsidRPr="0040534B" w:rsidRDefault="00F03CD4" w:rsidP="00AE0C79">
            <w:pPr>
              <w:pStyle w:val="TableText0"/>
            </w:pPr>
            <w:r w:rsidRPr="0040534B">
              <w:t>R, DB, MC 6 mo</w:t>
            </w:r>
            <w:r w:rsidR="006F04A7" w:rsidRPr="0040534B">
              <w:t>nths</w:t>
            </w:r>
            <w:r w:rsidRPr="0040534B">
              <w:t xml:space="preserve"> </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671E20E"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69FA24FA" w14:textId="77777777" w:rsidR="00F03CD4" w:rsidRPr="0040534B" w:rsidRDefault="00F03CD4" w:rsidP="00AE0C79">
            <w:pPr>
              <w:pStyle w:val="TableText0"/>
            </w:pPr>
            <w:r w:rsidRPr="0040534B">
              <w:t>Same as EVOLVE-1</w:t>
            </w:r>
          </w:p>
        </w:tc>
        <w:tc>
          <w:tcPr>
            <w:tcW w:w="1544" w:type="pct"/>
            <w:tcBorders>
              <w:top w:val="single" w:sz="4" w:space="0" w:color="auto"/>
              <w:left w:val="single" w:sz="4" w:space="0" w:color="auto"/>
              <w:bottom w:val="single" w:sz="4" w:space="0" w:color="auto"/>
            </w:tcBorders>
            <w:shd w:val="clear" w:color="auto" w:fill="auto"/>
            <w:vAlign w:val="center"/>
          </w:tcPr>
          <w:p w14:paraId="3C696842" w14:textId="77777777" w:rsidR="00F03CD4" w:rsidRPr="0040534B" w:rsidRDefault="00F03CD4" w:rsidP="00AE0C79">
            <w:pPr>
              <w:pStyle w:val="TableText0"/>
            </w:pPr>
            <w:r w:rsidRPr="0040534B">
              <w:t>Same as ADVANCE</w:t>
            </w:r>
          </w:p>
        </w:tc>
      </w:tr>
      <w:tr w:rsidR="00F03CD4" w:rsidRPr="0040534B" w14:paraId="606DC101" w14:textId="77777777" w:rsidTr="00D22C5D">
        <w:tc>
          <w:tcPr>
            <w:tcW w:w="624" w:type="pct"/>
            <w:tcBorders>
              <w:top w:val="single" w:sz="4" w:space="0" w:color="auto"/>
              <w:bottom w:val="single" w:sz="4" w:space="0" w:color="auto"/>
              <w:right w:val="single" w:sz="4" w:space="0" w:color="auto"/>
            </w:tcBorders>
            <w:shd w:val="clear" w:color="auto" w:fill="auto"/>
            <w:vAlign w:val="center"/>
          </w:tcPr>
          <w:p w14:paraId="28303552" w14:textId="77777777" w:rsidR="00F03CD4" w:rsidRPr="0040534B" w:rsidRDefault="00F03CD4" w:rsidP="00AE0C79">
            <w:pPr>
              <w:pStyle w:val="TableText0"/>
            </w:pPr>
            <w:r w:rsidRPr="0040534B">
              <w:t>CONQUER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C7A44A2" w14:textId="77777777" w:rsidR="00F03CD4" w:rsidRPr="0040534B" w:rsidRDefault="00F03CD4" w:rsidP="00AE0C79">
            <w:pPr>
              <w:pStyle w:val="TableText0"/>
              <w:jc w:val="center"/>
            </w:pPr>
            <w:r w:rsidRPr="0040534B">
              <w:t>463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59A7DD62" w14:textId="2A1FE63F" w:rsidR="00F03CD4" w:rsidRPr="0040534B" w:rsidRDefault="00F03CD4" w:rsidP="00AE0C79">
            <w:pPr>
              <w:pStyle w:val="TableText0"/>
            </w:pPr>
            <w:r w:rsidRPr="0040534B">
              <w:t>R, DB, MC 3 mo</w:t>
            </w:r>
            <w:r w:rsidR="006F04A7" w:rsidRPr="0040534B">
              <w:t>nths</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7E4CCF9"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auto"/>
            <w:vAlign w:val="center"/>
          </w:tcPr>
          <w:p w14:paraId="3F98342A" w14:textId="77777777" w:rsidR="00F03CD4" w:rsidRPr="0040534B" w:rsidRDefault="00F03CD4" w:rsidP="00AE0C79">
            <w:pPr>
              <w:pStyle w:val="TableText0"/>
            </w:pPr>
            <w:r w:rsidRPr="0040534B">
              <w:t>CM and EM, failed 2 to 4 preventive medications, no concomitant preventive medications</w:t>
            </w:r>
          </w:p>
        </w:tc>
        <w:tc>
          <w:tcPr>
            <w:tcW w:w="1544" w:type="pct"/>
            <w:tcBorders>
              <w:top w:val="single" w:sz="4" w:space="0" w:color="auto"/>
              <w:left w:val="single" w:sz="4" w:space="0" w:color="auto"/>
              <w:bottom w:val="single" w:sz="4" w:space="0" w:color="auto"/>
            </w:tcBorders>
            <w:shd w:val="clear" w:color="auto" w:fill="auto"/>
            <w:vAlign w:val="center"/>
          </w:tcPr>
          <w:p w14:paraId="4D160294" w14:textId="77777777" w:rsidR="00F03CD4" w:rsidRPr="0040534B" w:rsidRDefault="00F03CD4" w:rsidP="00AE0C79">
            <w:pPr>
              <w:pStyle w:val="TableText0"/>
            </w:pPr>
            <w:r w:rsidRPr="0040534B">
              <w:t>Same as ADVANCE</w:t>
            </w:r>
          </w:p>
        </w:tc>
      </w:tr>
      <w:tr w:rsidR="00F03CD4" w:rsidRPr="0040534B" w14:paraId="7053541A"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6D922A03" w14:textId="77777777" w:rsidR="00F03CD4" w:rsidRPr="0040534B" w:rsidRDefault="00F03CD4" w:rsidP="00AE0C79">
            <w:pPr>
              <w:pStyle w:val="TableText0"/>
            </w:pPr>
            <w:r w:rsidRPr="0040534B">
              <w:t>PERSIST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62AF73" w14:textId="77777777" w:rsidR="00F03CD4" w:rsidRPr="0040534B" w:rsidRDefault="00F03CD4" w:rsidP="00AE0C79">
            <w:pPr>
              <w:pStyle w:val="TableText0"/>
              <w:jc w:val="center"/>
            </w:pPr>
            <w:r w:rsidRPr="0040534B">
              <w:t>520</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33F19A15" w14:textId="3372CA7B" w:rsidR="00F03CD4" w:rsidRPr="0040534B" w:rsidRDefault="00F03CD4" w:rsidP="00AE0C79">
            <w:pPr>
              <w:pStyle w:val="TableText0"/>
            </w:pPr>
            <w:r w:rsidRPr="0040534B">
              <w:t>R, DB, MC 6 mo</w:t>
            </w:r>
            <w:r w:rsidR="006F04A7" w:rsidRPr="0040534B">
              <w:t>nths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6B0E029"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5A945823" w14:textId="77777777" w:rsidR="00F03CD4" w:rsidRPr="0040534B" w:rsidRDefault="00F03CD4" w:rsidP="00AE0C79">
            <w:pPr>
              <w:pStyle w:val="TableText0"/>
            </w:pPr>
            <w:r w:rsidRPr="0040534B">
              <w:t>Same as EVOLVE-1</w:t>
            </w:r>
          </w:p>
        </w:tc>
        <w:tc>
          <w:tcPr>
            <w:tcW w:w="1544" w:type="pct"/>
            <w:tcBorders>
              <w:top w:val="single" w:sz="4" w:space="0" w:color="auto"/>
              <w:left w:val="single" w:sz="4" w:space="0" w:color="auto"/>
              <w:bottom w:val="single" w:sz="4" w:space="0" w:color="auto"/>
            </w:tcBorders>
            <w:shd w:val="clear" w:color="auto" w:fill="auto"/>
            <w:vAlign w:val="center"/>
          </w:tcPr>
          <w:p w14:paraId="08062F5A" w14:textId="77777777" w:rsidR="00F03CD4" w:rsidRPr="0040534B" w:rsidRDefault="00F03CD4" w:rsidP="00AE0C79">
            <w:pPr>
              <w:pStyle w:val="TableText0"/>
            </w:pPr>
            <w:r w:rsidRPr="0040534B">
              <w:t>Same as ADVANCE</w:t>
            </w:r>
          </w:p>
        </w:tc>
      </w:tr>
      <w:tr w:rsidR="00F03CD4" w:rsidRPr="0040534B" w14:paraId="169C5688"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47CE636E" w14:textId="77777777" w:rsidR="00F03CD4" w:rsidRPr="0040534B" w:rsidRDefault="00F03CD4" w:rsidP="00AE0C79">
            <w:pPr>
              <w:pStyle w:val="TableText0"/>
            </w:pPr>
            <w:r w:rsidRPr="0040534B">
              <w:t>NCT03959177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3C941B6" w14:textId="77777777" w:rsidR="00F03CD4" w:rsidRPr="0040534B" w:rsidRDefault="00F03CD4" w:rsidP="00AE0C79">
            <w:pPr>
              <w:pStyle w:val="TableText0"/>
              <w:jc w:val="center"/>
            </w:pPr>
            <w:r w:rsidRPr="0040534B">
              <w:t>345</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6AEAB948" w14:textId="09358D41" w:rsidR="00F03CD4" w:rsidRPr="0040534B" w:rsidRDefault="00F03CD4" w:rsidP="00AE0C79">
            <w:pPr>
              <w:pStyle w:val="TableText0"/>
            </w:pPr>
            <w:r w:rsidRPr="0040534B">
              <w:t>R, DB, MC 6 mo</w:t>
            </w:r>
            <w:r w:rsidR="006F04A7" w:rsidRPr="0040534B">
              <w:t>nths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9D2FB03"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3DF485AC" w14:textId="77777777" w:rsidR="00F03CD4" w:rsidRPr="0040534B" w:rsidRDefault="00F03CD4" w:rsidP="00AE0C79">
            <w:pPr>
              <w:pStyle w:val="TableText0"/>
            </w:pPr>
            <w:r w:rsidRPr="0040534B">
              <w:t>Failed ≤2 preventive medications, concomitant treatment not discussed in submission</w:t>
            </w:r>
          </w:p>
        </w:tc>
        <w:tc>
          <w:tcPr>
            <w:tcW w:w="1544" w:type="pct"/>
            <w:tcBorders>
              <w:top w:val="single" w:sz="4" w:space="0" w:color="auto"/>
              <w:left w:val="single" w:sz="4" w:space="0" w:color="auto"/>
              <w:bottom w:val="single" w:sz="4" w:space="0" w:color="auto"/>
            </w:tcBorders>
            <w:shd w:val="clear" w:color="auto" w:fill="auto"/>
            <w:vAlign w:val="center"/>
          </w:tcPr>
          <w:p w14:paraId="68B8DA51" w14:textId="77777777" w:rsidR="00F03CD4" w:rsidRPr="0040534B" w:rsidRDefault="00F03CD4" w:rsidP="00AE0C79">
            <w:pPr>
              <w:pStyle w:val="TableText0"/>
            </w:pPr>
            <w:r w:rsidRPr="0040534B">
              <w:t>Same as ADVANCE</w:t>
            </w:r>
          </w:p>
        </w:tc>
      </w:tr>
      <w:tr w:rsidR="00F03CD4" w:rsidRPr="0040534B" w14:paraId="68941691" w14:textId="77777777" w:rsidTr="00C124DD">
        <w:tc>
          <w:tcPr>
            <w:tcW w:w="624" w:type="pct"/>
            <w:tcBorders>
              <w:top w:val="single" w:sz="4" w:space="0" w:color="auto"/>
            </w:tcBorders>
            <w:shd w:val="clear" w:color="auto" w:fill="auto"/>
            <w:vAlign w:val="center"/>
          </w:tcPr>
          <w:p w14:paraId="06B0519D" w14:textId="77777777" w:rsidR="00F03CD4" w:rsidRPr="0040534B" w:rsidRDefault="00F03CD4" w:rsidP="00AE0C79">
            <w:pPr>
              <w:pStyle w:val="TableText0"/>
            </w:pPr>
            <w:r w:rsidRPr="0040534B">
              <w:t>Meta-analysis</w:t>
            </w:r>
          </w:p>
        </w:tc>
        <w:tc>
          <w:tcPr>
            <w:tcW w:w="316" w:type="pct"/>
            <w:tcBorders>
              <w:top w:val="single" w:sz="4" w:space="0" w:color="auto"/>
            </w:tcBorders>
            <w:shd w:val="clear" w:color="auto" w:fill="auto"/>
            <w:vAlign w:val="center"/>
          </w:tcPr>
          <w:p w14:paraId="35379BF9" w14:textId="77777777" w:rsidR="00F03CD4" w:rsidRPr="0040534B" w:rsidRDefault="00F03CD4" w:rsidP="00AE0C79">
            <w:pPr>
              <w:pStyle w:val="TableText0"/>
              <w:jc w:val="center"/>
            </w:pPr>
            <w:r w:rsidRPr="0040534B">
              <w:t>2,654</w:t>
            </w:r>
          </w:p>
        </w:tc>
        <w:tc>
          <w:tcPr>
            <w:tcW w:w="4060" w:type="pct"/>
            <w:gridSpan w:val="4"/>
            <w:tcBorders>
              <w:top w:val="single" w:sz="4" w:space="0" w:color="auto"/>
            </w:tcBorders>
            <w:shd w:val="clear" w:color="auto" w:fill="auto"/>
            <w:vAlign w:val="center"/>
          </w:tcPr>
          <w:p w14:paraId="3167722E" w14:textId="77777777" w:rsidR="00F03CD4" w:rsidRPr="0040534B" w:rsidRDefault="00F03CD4" w:rsidP="00AE0C79">
            <w:pPr>
              <w:pStyle w:val="TableText0"/>
            </w:pPr>
            <w:r w:rsidRPr="0040534B">
              <w:rPr>
                <w:bCs w:val="0"/>
              </w:rPr>
              <w:t>(1</w:t>
            </w:r>
            <w:r w:rsidRPr="0040534B">
              <w:t>) Included EVOLVE-1, EVOLVE-2, CONQUER, PERSIST and NCT03959177 whole trial populations (2) included EVOLVE-1, EVOLVE-2, CONQUER, PERSIST and NCT03959177 EM populations/subpopulations only</w:t>
            </w:r>
          </w:p>
        </w:tc>
      </w:tr>
      <w:tr w:rsidR="00F03CD4" w:rsidRPr="0040534B" w14:paraId="744836D2" w14:textId="77777777" w:rsidTr="00C124DD">
        <w:tc>
          <w:tcPr>
            <w:tcW w:w="5000" w:type="pct"/>
            <w:gridSpan w:val="6"/>
            <w:tcBorders>
              <w:bottom w:val="single" w:sz="4" w:space="0" w:color="auto"/>
            </w:tcBorders>
            <w:shd w:val="clear" w:color="auto" w:fill="auto"/>
            <w:vAlign w:val="center"/>
          </w:tcPr>
          <w:p w14:paraId="143299F0" w14:textId="77777777" w:rsidR="00F03CD4" w:rsidRPr="0040534B" w:rsidRDefault="00F03CD4" w:rsidP="00AE0C79">
            <w:pPr>
              <w:pStyle w:val="TableText0"/>
            </w:pPr>
            <w:r w:rsidRPr="0040534B">
              <w:rPr>
                <w:b/>
                <w:bCs w:val="0"/>
              </w:rPr>
              <w:t>Fremanezumab vs. placebo</w:t>
            </w:r>
          </w:p>
        </w:tc>
      </w:tr>
      <w:tr w:rsidR="00F03CD4" w:rsidRPr="0040534B" w14:paraId="13085123"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116BFDB1" w14:textId="77777777" w:rsidR="00F03CD4" w:rsidRPr="0040534B" w:rsidRDefault="00F03CD4" w:rsidP="00AE0C79">
            <w:pPr>
              <w:pStyle w:val="TableText0"/>
            </w:pPr>
            <w:r w:rsidRPr="0040534B">
              <w:t>HALO-EM</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6F03C40" w14:textId="77777777" w:rsidR="00F03CD4" w:rsidRPr="0040534B" w:rsidRDefault="00F03CD4" w:rsidP="00AE0C79">
            <w:pPr>
              <w:pStyle w:val="TableText0"/>
              <w:jc w:val="center"/>
            </w:pPr>
            <w:r w:rsidRPr="0040534B">
              <w:t>875</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794451FE" w14:textId="77777777" w:rsidR="00F03CD4" w:rsidRPr="0040534B" w:rsidRDefault="00F03CD4" w:rsidP="00AE0C79">
            <w:pPr>
              <w:pStyle w:val="TableText0"/>
            </w:pPr>
            <w:r w:rsidRPr="0040534B">
              <w:t xml:space="preserve">R, DB, MC </w:t>
            </w:r>
          </w:p>
          <w:p w14:paraId="4D0A6918" w14:textId="40528CCF" w:rsidR="00F03CD4" w:rsidRPr="0040534B" w:rsidRDefault="00F03CD4" w:rsidP="00AE0C79">
            <w:pPr>
              <w:pStyle w:val="TableText0"/>
            </w:pPr>
            <w:r w:rsidRPr="0040534B">
              <w:t>12 w</w:t>
            </w:r>
            <w:r w:rsidR="006F04A7" w:rsidRPr="0040534B">
              <w:t>ee</w:t>
            </w:r>
            <w:r w:rsidRPr="0040534B">
              <w:t>ks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36EA63F"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66EC8145" w14:textId="77777777" w:rsidR="00F03CD4" w:rsidRPr="0040534B" w:rsidRDefault="00F03CD4" w:rsidP="00AE0C79">
            <w:pPr>
              <w:pStyle w:val="TableText0"/>
            </w:pPr>
            <w:r w:rsidRPr="0040534B">
              <w:t>Failed ≤1 preventive medication cluster, concomitant medications permitted</w:t>
            </w:r>
          </w:p>
        </w:tc>
        <w:tc>
          <w:tcPr>
            <w:tcW w:w="1544" w:type="pct"/>
            <w:tcBorders>
              <w:top w:val="single" w:sz="4" w:space="0" w:color="auto"/>
              <w:left w:val="single" w:sz="4" w:space="0" w:color="auto"/>
              <w:bottom w:val="single" w:sz="4" w:space="0" w:color="auto"/>
            </w:tcBorders>
            <w:shd w:val="clear" w:color="auto" w:fill="auto"/>
            <w:vAlign w:val="center"/>
          </w:tcPr>
          <w:p w14:paraId="1A2831B9" w14:textId="77777777" w:rsidR="00F03CD4" w:rsidRPr="0040534B" w:rsidRDefault="00F03CD4" w:rsidP="00AE0C79">
            <w:pPr>
              <w:pStyle w:val="TableText0"/>
            </w:pPr>
            <w:r w:rsidRPr="0040534B">
              <w:t>Same as ADVANCE</w:t>
            </w:r>
          </w:p>
        </w:tc>
      </w:tr>
      <w:tr w:rsidR="00F03CD4" w:rsidRPr="0040534B" w14:paraId="5F4EAA34"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411D77C4" w14:textId="77777777" w:rsidR="00F03CD4" w:rsidRPr="0040534B" w:rsidRDefault="00F03CD4" w:rsidP="00AE0C79">
            <w:pPr>
              <w:pStyle w:val="TableText0"/>
            </w:pPr>
            <w:r w:rsidRPr="0040534B">
              <w:t>FOCUS</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288820E" w14:textId="77777777" w:rsidR="00F03CD4" w:rsidRPr="0040534B" w:rsidRDefault="00F03CD4" w:rsidP="00AE0C79">
            <w:pPr>
              <w:pStyle w:val="TableText0"/>
              <w:jc w:val="center"/>
            </w:pPr>
            <w:r w:rsidRPr="0040534B">
              <w:t>838</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69F2237B" w14:textId="77777777" w:rsidR="00F03CD4" w:rsidRPr="0040534B" w:rsidRDefault="00F03CD4" w:rsidP="00AE0C79">
            <w:pPr>
              <w:pStyle w:val="TableText0"/>
            </w:pPr>
            <w:r w:rsidRPr="0040534B">
              <w:t xml:space="preserve">R, DB, MC </w:t>
            </w:r>
          </w:p>
          <w:p w14:paraId="09482211" w14:textId="63809D96" w:rsidR="00F03CD4" w:rsidRPr="0040534B" w:rsidRDefault="00F03CD4" w:rsidP="00AE0C79">
            <w:pPr>
              <w:pStyle w:val="TableText0"/>
            </w:pPr>
            <w:r w:rsidRPr="0040534B">
              <w:t>12 w</w:t>
            </w:r>
            <w:r w:rsidR="006F04A7" w:rsidRPr="0040534B">
              <w:t>ee</w:t>
            </w:r>
            <w:r w:rsidRPr="0040534B">
              <w:t>ks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F4FADBC"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1EC8CAAF" w14:textId="77777777" w:rsidR="00F03CD4" w:rsidRPr="0040534B" w:rsidRDefault="00F03CD4" w:rsidP="00AE0C79">
            <w:pPr>
              <w:pStyle w:val="TableText0"/>
            </w:pPr>
            <w:r w:rsidRPr="0040534B">
              <w:t>CM and EM, failed 2 to 4 preventive medications, no concomitant triptans or ergots</w:t>
            </w:r>
          </w:p>
        </w:tc>
        <w:tc>
          <w:tcPr>
            <w:tcW w:w="1544" w:type="pct"/>
            <w:tcBorders>
              <w:top w:val="single" w:sz="4" w:space="0" w:color="auto"/>
              <w:left w:val="single" w:sz="4" w:space="0" w:color="auto"/>
              <w:bottom w:val="single" w:sz="4" w:space="0" w:color="auto"/>
            </w:tcBorders>
            <w:shd w:val="clear" w:color="auto" w:fill="auto"/>
            <w:vAlign w:val="center"/>
          </w:tcPr>
          <w:p w14:paraId="181456B2" w14:textId="77777777" w:rsidR="00F03CD4" w:rsidRPr="0040534B" w:rsidRDefault="00F03CD4" w:rsidP="00AE0C79">
            <w:pPr>
              <w:pStyle w:val="TableText0"/>
            </w:pPr>
            <w:r w:rsidRPr="0040534B">
              <w:t>Same as ADVANCE</w:t>
            </w:r>
          </w:p>
        </w:tc>
      </w:tr>
      <w:tr w:rsidR="00F03CD4" w:rsidRPr="0040534B" w14:paraId="4B246847" w14:textId="77777777" w:rsidTr="00C124DD">
        <w:tc>
          <w:tcPr>
            <w:tcW w:w="624" w:type="pct"/>
            <w:tcBorders>
              <w:top w:val="single" w:sz="4" w:space="0" w:color="auto"/>
              <w:bottom w:val="single" w:sz="4" w:space="0" w:color="auto"/>
              <w:right w:val="single" w:sz="4" w:space="0" w:color="auto"/>
            </w:tcBorders>
            <w:shd w:val="clear" w:color="auto" w:fill="auto"/>
            <w:vAlign w:val="center"/>
          </w:tcPr>
          <w:p w14:paraId="67E467ED" w14:textId="77777777" w:rsidR="00F03CD4" w:rsidRPr="0040534B" w:rsidRDefault="00F03CD4" w:rsidP="00AE0C79">
            <w:pPr>
              <w:pStyle w:val="TableText0"/>
            </w:pPr>
            <w:r w:rsidRPr="0040534B">
              <w:t>NCT03303092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073E389" w14:textId="77777777" w:rsidR="00F03CD4" w:rsidRPr="0040534B" w:rsidRDefault="00F03CD4" w:rsidP="00AE0C79">
            <w:pPr>
              <w:pStyle w:val="TableText0"/>
              <w:jc w:val="center"/>
            </w:pPr>
            <w:r w:rsidRPr="0040534B">
              <w:t>357</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38ECE2F3" w14:textId="77777777" w:rsidR="00F03CD4" w:rsidRPr="0040534B" w:rsidRDefault="00F03CD4" w:rsidP="00AE0C79">
            <w:pPr>
              <w:pStyle w:val="TableText0"/>
            </w:pPr>
            <w:r w:rsidRPr="0040534B">
              <w:t xml:space="preserve">R, DB, MC </w:t>
            </w:r>
          </w:p>
          <w:p w14:paraId="72CB587E" w14:textId="7081470D" w:rsidR="00F03CD4" w:rsidRPr="0040534B" w:rsidRDefault="00F03CD4" w:rsidP="00AE0C79">
            <w:pPr>
              <w:pStyle w:val="TableText0"/>
            </w:pPr>
            <w:r w:rsidRPr="0040534B">
              <w:t>12 w</w:t>
            </w:r>
            <w:r w:rsidR="006F04A7" w:rsidRPr="0040534B">
              <w:t>ee</w:t>
            </w:r>
            <w:r w:rsidRPr="0040534B">
              <w:t>ks</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E0EE044" w14:textId="77777777" w:rsidR="00F03CD4" w:rsidRPr="0040534B" w:rsidRDefault="00F03CD4" w:rsidP="00AE0C79">
            <w:pPr>
              <w:pStyle w:val="TableText0"/>
            </w:pPr>
            <w:r w:rsidRPr="0040534B">
              <w:t>Low</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1BBE92B5" w14:textId="77777777" w:rsidR="00F03CD4" w:rsidRPr="0040534B" w:rsidRDefault="00F03CD4" w:rsidP="00AE0C79">
            <w:pPr>
              <w:pStyle w:val="TableText0"/>
            </w:pPr>
            <w:r w:rsidRPr="0040534B">
              <w:t>Failed ≤1 preventive medication cluster, concomitant treatment not discussed in submission</w:t>
            </w:r>
          </w:p>
        </w:tc>
        <w:tc>
          <w:tcPr>
            <w:tcW w:w="1544" w:type="pct"/>
            <w:tcBorders>
              <w:top w:val="single" w:sz="4" w:space="0" w:color="auto"/>
              <w:left w:val="single" w:sz="4" w:space="0" w:color="auto"/>
              <w:bottom w:val="single" w:sz="4" w:space="0" w:color="auto"/>
            </w:tcBorders>
            <w:shd w:val="clear" w:color="auto" w:fill="auto"/>
            <w:vAlign w:val="center"/>
          </w:tcPr>
          <w:p w14:paraId="790EE2EC" w14:textId="77777777" w:rsidR="00F03CD4" w:rsidRPr="0040534B" w:rsidRDefault="00F03CD4" w:rsidP="00AE0C79">
            <w:pPr>
              <w:pStyle w:val="TableText0"/>
            </w:pPr>
            <w:r w:rsidRPr="0040534B">
              <w:t>Same as ADVANCE</w:t>
            </w:r>
          </w:p>
        </w:tc>
      </w:tr>
      <w:tr w:rsidR="00F03CD4" w:rsidRPr="0040534B" w14:paraId="38A495EC" w14:textId="77777777" w:rsidTr="00C124DD">
        <w:tc>
          <w:tcPr>
            <w:tcW w:w="624" w:type="pct"/>
            <w:tcBorders>
              <w:top w:val="single" w:sz="4" w:space="0" w:color="auto"/>
            </w:tcBorders>
            <w:shd w:val="clear" w:color="auto" w:fill="auto"/>
            <w:vAlign w:val="center"/>
          </w:tcPr>
          <w:p w14:paraId="4EC13F0A" w14:textId="77777777" w:rsidR="00F03CD4" w:rsidRPr="0040534B" w:rsidRDefault="00F03CD4" w:rsidP="00AE0C79">
            <w:pPr>
              <w:pStyle w:val="TableText0"/>
            </w:pPr>
            <w:r w:rsidRPr="0040534B">
              <w:t>Meta-analysis</w:t>
            </w:r>
          </w:p>
        </w:tc>
        <w:tc>
          <w:tcPr>
            <w:tcW w:w="316" w:type="pct"/>
            <w:tcBorders>
              <w:top w:val="single" w:sz="4" w:space="0" w:color="auto"/>
            </w:tcBorders>
            <w:shd w:val="clear" w:color="auto" w:fill="auto"/>
            <w:vAlign w:val="center"/>
          </w:tcPr>
          <w:p w14:paraId="669C34E7" w14:textId="77777777" w:rsidR="00F03CD4" w:rsidRPr="0040534B" w:rsidRDefault="00F03CD4" w:rsidP="00AE0C79">
            <w:pPr>
              <w:pStyle w:val="TableText0"/>
            </w:pPr>
            <w:r w:rsidRPr="0040534B">
              <w:t>1,384</w:t>
            </w:r>
          </w:p>
        </w:tc>
        <w:tc>
          <w:tcPr>
            <w:tcW w:w="4060" w:type="pct"/>
            <w:gridSpan w:val="4"/>
            <w:tcBorders>
              <w:top w:val="single" w:sz="4" w:space="0" w:color="auto"/>
            </w:tcBorders>
            <w:shd w:val="clear" w:color="auto" w:fill="auto"/>
            <w:vAlign w:val="center"/>
          </w:tcPr>
          <w:p w14:paraId="11A66CB2" w14:textId="77777777" w:rsidR="00F03CD4" w:rsidRPr="0040534B" w:rsidRDefault="00F03CD4" w:rsidP="00AE0C79">
            <w:pPr>
              <w:pStyle w:val="TableText0"/>
            </w:pPr>
            <w:r w:rsidRPr="0040534B">
              <w:rPr>
                <w:bCs w:val="0"/>
              </w:rPr>
              <w:t>(1</w:t>
            </w:r>
            <w:r w:rsidRPr="0040534B">
              <w:t>) Included HALO-EM, FOCUS and NCT03303092 whole trial populations (2) included HALO-EM, FOCUS and NCT03303092 EM populations/subpopulations only; (3) sensitivity analyses removed the FOCUS trial to reduce heterogeneity.</w:t>
            </w:r>
          </w:p>
        </w:tc>
      </w:tr>
    </w:tbl>
    <w:p w14:paraId="1D184D7D" w14:textId="77777777" w:rsidR="00F03CD4" w:rsidRPr="0040534B" w:rsidRDefault="00F03CD4" w:rsidP="00F03CD4">
      <w:pPr>
        <w:pStyle w:val="FooterTableFigure"/>
      </w:pPr>
      <w:r w:rsidRPr="0040534B">
        <w:t>Source: Tables 2-7, 2-9 &amp; 2-17, pp44-49, 52-54 &amp; 78-79 of the submission; Figure 2-13, p129 of the submission; Attachment 2.5 of the submission.</w:t>
      </w:r>
    </w:p>
    <w:p w14:paraId="48616437" w14:textId="2BB0CA9D" w:rsidR="00F03CD4" w:rsidRPr="0040534B" w:rsidRDefault="00F03CD4" w:rsidP="00F03CD4">
      <w:pPr>
        <w:pStyle w:val="FooterTableFigure"/>
      </w:pPr>
      <w:bookmarkStart w:id="40" w:name="_Toc22897641"/>
      <w:r w:rsidRPr="0040534B">
        <w:t>1˚ = primary; 2˚ = secondary; CM = chronic migraine; DB = double blind; EM = episodic migraine; MC = multi-centre; MoA = mechanism of action; QoL = quality of life; R = randomised.</w:t>
      </w:r>
    </w:p>
    <w:p w14:paraId="5B4E6779" w14:textId="77777777" w:rsidR="00F03CD4" w:rsidRPr="0040534B" w:rsidRDefault="00F03CD4" w:rsidP="00F03CD4">
      <w:pPr>
        <w:pStyle w:val="FooterTableFigure"/>
      </w:pPr>
      <w:r w:rsidRPr="0040534B">
        <w:rPr>
          <w:vertAlign w:val="superscript"/>
        </w:rPr>
        <w:t>a</w:t>
      </w:r>
      <w:r w:rsidRPr="0040534B">
        <w:t xml:space="preserve"> number of participants in the trial arms relevant to the submission, not necessarily the total number of trial participants</w:t>
      </w:r>
    </w:p>
    <w:p w14:paraId="7BBB4118" w14:textId="77777777" w:rsidR="00F03CD4" w:rsidRPr="0040534B" w:rsidRDefault="00F03CD4" w:rsidP="00F03CD4">
      <w:pPr>
        <w:pStyle w:val="3-BodyText"/>
      </w:pPr>
      <w:r w:rsidRPr="0040534B">
        <w:lastRenderedPageBreak/>
        <w:t>All the episodic migraine trials included participants with less severe disease (four to 14 migraine days per month) than the proposed PBS population (at least eight days of migraine headache per month).</w:t>
      </w:r>
    </w:p>
    <w:p w14:paraId="59BD3AF1" w14:textId="77777777" w:rsidR="00F03CD4" w:rsidRPr="0040534B" w:rsidRDefault="00F03CD4" w:rsidP="00F03CD4">
      <w:pPr>
        <w:pStyle w:val="3-BodyText"/>
      </w:pPr>
      <w:bookmarkStart w:id="41" w:name="_Ref141098133"/>
      <w:r w:rsidRPr="0040534B">
        <w:t>The key differences between the trials for chronic migraine were:</w:t>
      </w:r>
      <w:bookmarkEnd w:id="41"/>
    </w:p>
    <w:p w14:paraId="4B8B07E4" w14:textId="1C5DAD13" w:rsidR="00F03CD4" w:rsidRPr="0040534B" w:rsidRDefault="00F03CD4" w:rsidP="006045A2">
      <w:pPr>
        <w:pStyle w:val="3-BodyText"/>
        <w:numPr>
          <w:ilvl w:val="1"/>
          <w:numId w:val="16"/>
        </w:numPr>
        <w:ind w:left="993"/>
      </w:pPr>
      <w:r w:rsidRPr="0040534B">
        <w:t>The fremanezumab FOCUS trial included participants experiencing chronic and episodic migraine, with outcomes presented for the combined population</w:t>
      </w:r>
      <w:r w:rsidR="009C3DD3" w:rsidRPr="0040534B">
        <w:t xml:space="preserve"> based on published data</w:t>
      </w:r>
      <w:r w:rsidRPr="0040534B">
        <w:t>.</w:t>
      </w:r>
    </w:p>
    <w:p w14:paraId="2FBA9596" w14:textId="7CA80BD7" w:rsidR="00F03CD4" w:rsidRPr="0040534B" w:rsidRDefault="00041933" w:rsidP="006045A2">
      <w:pPr>
        <w:pStyle w:val="3-BodyText"/>
        <w:numPr>
          <w:ilvl w:val="1"/>
          <w:numId w:val="16"/>
        </w:numPr>
        <w:ind w:left="993"/>
      </w:pPr>
      <w:r w:rsidRPr="0040534B">
        <w:t>The number of p</w:t>
      </w:r>
      <w:r w:rsidR="00F03CD4" w:rsidRPr="0040534B">
        <w:t xml:space="preserve">rior </w:t>
      </w:r>
      <w:r w:rsidR="007B5B63" w:rsidRPr="0040534B">
        <w:t xml:space="preserve">prophylactic </w:t>
      </w:r>
      <w:r w:rsidR="00F03CD4" w:rsidRPr="0040534B">
        <w:t>migraine treatments</w:t>
      </w:r>
      <w:r w:rsidRPr="0040534B">
        <w:t>.</w:t>
      </w:r>
      <w:r w:rsidR="00692F66" w:rsidRPr="0040534B">
        <w:t xml:space="preserve"> The mean (SD) number of prior </w:t>
      </w:r>
      <w:r w:rsidR="007B5B63" w:rsidRPr="0040534B">
        <w:t xml:space="preserve">prophylactic </w:t>
      </w:r>
      <w:r w:rsidR="00692F66" w:rsidRPr="0040534B">
        <w:t xml:space="preserve">medications failed in the atogepant PROGRESS trial ranged between 1.5 (1.0) and 1.6 (1.0), compared with between 3.8 (1.9) and 4.0 (2.2) in the galcanezumab CONQUER trial (chronic migraine subpopulation). Mean prior </w:t>
      </w:r>
      <w:r w:rsidR="007B5B63" w:rsidRPr="0040534B">
        <w:t xml:space="preserve">prophylactic </w:t>
      </w:r>
      <w:r w:rsidR="00692F66" w:rsidRPr="0040534B">
        <w:t>medications failed was not reported for the other trials included for chronic migraine</w:t>
      </w:r>
      <w:r w:rsidR="00F03CD4" w:rsidRPr="0040534B">
        <w:t>.</w:t>
      </w:r>
    </w:p>
    <w:p w14:paraId="24097A94" w14:textId="4CF65617" w:rsidR="00F03CD4" w:rsidRPr="0040534B" w:rsidRDefault="00F03CD4" w:rsidP="006045A2">
      <w:pPr>
        <w:pStyle w:val="ListParagraph"/>
        <w:numPr>
          <w:ilvl w:val="1"/>
          <w:numId w:val="16"/>
        </w:numPr>
        <w:ind w:left="993"/>
      </w:pPr>
      <w:r w:rsidRPr="0040534B">
        <w:t xml:space="preserve">Baseline monthly migraine headache days, with participants in the fremanezumab FOCUS trial </w:t>
      </w:r>
      <w:r w:rsidR="00D476ED" w:rsidRPr="0040534B">
        <w:t>modified intention to treat (m</w:t>
      </w:r>
      <w:r w:rsidR="00692F66" w:rsidRPr="0040534B">
        <w:t>ITT</w:t>
      </w:r>
      <w:r w:rsidR="00D476ED" w:rsidRPr="0040534B">
        <w:t>)</w:t>
      </w:r>
      <w:r w:rsidR="00692F66" w:rsidRPr="0040534B">
        <w:t xml:space="preserve"> population </w:t>
      </w:r>
      <w:r w:rsidRPr="0040534B">
        <w:t>experiencing fewer migraine headache days</w:t>
      </w:r>
      <w:r w:rsidR="00265C0D" w:rsidRPr="0040534B">
        <w:t>. Mean (SD) monthly migraine headache days ranged between 14.1 (5.6) days and 14.3 (6.1) days in the FOCUS trial and 15.2 (5.0) days and 19.6 (4.6) days in the other trials included for chronic migraine</w:t>
      </w:r>
      <w:r w:rsidRPr="0040534B">
        <w:t>.</w:t>
      </w:r>
    </w:p>
    <w:p w14:paraId="2EBAF0A4" w14:textId="1BE20172" w:rsidR="00692F66" w:rsidRPr="0040534B" w:rsidRDefault="00692F66" w:rsidP="006045A2">
      <w:pPr>
        <w:pStyle w:val="3-BodyText"/>
        <w:numPr>
          <w:ilvl w:val="1"/>
          <w:numId w:val="16"/>
        </w:numPr>
        <w:ind w:left="993"/>
      </w:pPr>
      <w:r w:rsidRPr="0040534B">
        <w:t xml:space="preserve">Baseline monthly headache days, with participants in the fremanezumab FOCUS trial </w:t>
      </w:r>
      <w:r w:rsidR="00D476ED" w:rsidRPr="0040534B">
        <w:t>m</w:t>
      </w:r>
      <w:r w:rsidRPr="0040534B">
        <w:t>ITT population experiencing fewer headache days</w:t>
      </w:r>
      <w:r w:rsidR="00265C0D" w:rsidRPr="0040534B">
        <w:t>. Mean (SD) monthly headache days ranged between 12.4 (5.8) days and 12.8 (5.9) days in the FOCUS trial and 13.1 (7.2) days and 21.6 (4.1) days in the other trials included for chronic migraine</w:t>
      </w:r>
      <w:r w:rsidRPr="0040534B">
        <w:t>.</w:t>
      </w:r>
    </w:p>
    <w:p w14:paraId="45613EAB" w14:textId="62362717" w:rsidR="00692F66" w:rsidRPr="0040534B" w:rsidRDefault="00692F66" w:rsidP="006045A2">
      <w:pPr>
        <w:pStyle w:val="3-BodyText"/>
        <w:numPr>
          <w:ilvl w:val="1"/>
          <w:numId w:val="16"/>
        </w:numPr>
        <w:ind w:left="993"/>
      </w:pPr>
      <w:r w:rsidRPr="0040534B">
        <w:t>Baseline acute medication use days</w:t>
      </w:r>
      <w:r w:rsidR="00F478FB" w:rsidRPr="0040534B">
        <w:t>,</w:t>
      </w:r>
      <w:r w:rsidRPr="0040534B">
        <w:t xml:space="preserve"> with participants in the fremanezumab FOCUS trial </w:t>
      </w:r>
      <w:r w:rsidR="00D476ED" w:rsidRPr="0040534B">
        <w:t>m</w:t>
      </w:r>
      <w:r w:rsidRPr="0040534B">
        <w:t xml:space="preserve">ITT population experiencing fewer </w:t>
      </w:r>
      <w:r w:rsidR="00265C0D" w:rsidRPr="0040534B">
        <w:t>acute medication use</w:t>
      </w:r>
      <w:r w:rsidRPr="0040534B">
        <w:t xml:space="preserve"> days</w:t>
      </w:r>
      <w:r w:rsidR="00265C0D" w:rsidRPr="0040534B">
        <w:t>. Mean (SD) monthly acute medication use days ranged between 12.2 (6.0) days and 12.8 (6.2) days in the FOCUS trial and 13.0 (6.9) days and 16.4 (6.0) days in the other trials included for chronic migraine. The fremanezumab NCT03303079 trial did not report monthly acute medication use days</w:t>
      </w:r>
      <w:r w:rsidRPr="0040534B">
        <w:t>.</w:t>
      </w:r>
    </w:p>
    <w:p w14:paraId="1AB04680" w14:textId="0C132547" w:rsidR="00F03CD4" w:rsidRPr="0040534B" w:rsidRDefault="00F03CD4" w:rsidP="006045A2">
      <w:pPr>
        <w:pStyle w:val="3-BodyText"/>
        <w:numPr>
          <w:ilvl w:val="1"/>
          <w:numId w:val="16"/>
        </w:numPr>
        <w:ind w:left="993"/>
      </w:pPr>
      <w:r w:rsidRPr="0040534B">
        <w:t xml:space="preserve">Whether the TGA-approved dose was used, with participants in the fremanezumab 225 mg monthly arms of the HALO-CM, FOCUS and NCT03303079 trials receiving a loading dose. </w:t>
      </w:r>
    </w:p>
    <w:p w14:paraId="778D61F5" w14:textId="23F4184C" w:rsidR="00F03CD4" w:rsidRPr="0040534B" w:rsidRDefault="00F03CD4" w:rsidP="006045A2">
      <w:pPr>
        <w:pStyle w:val="3-BodyText"/>
        <w:numPr>
          <w:ilvl w:val="1"/>
          <w:numId w:val="16"/>
        </w:numPr>
        <w:ind w:left="993"/>
      </w:pPr>
      <w:r w:rsidRPr="0040534B">
        <w:t>Concomitant preventive migraine medication use, with participants in the atogepant PROGRESS trial receiving less concomitant preventive treatment</w:t>
      </w:r>
      <w:r w:rsidR="00265C0D" w:rsidRPr="0040534B">
        <w:t>. Between 9% and 12% of participants in the atogepant PROGRESS trial received concomitant preventive treatment compared with between 13% and 15% in the galcanezumab REGAIN trial and 20% and 22% in the fremanezumab HALO-CM trial. The galcanezumab CONQUER trial did not permit concomitant preventive treatment and the fremanezumab FOCUS trial did not permit concomitant use of triptans/ergots as a preventive treatment for migraine</w:t>
      </w:r>
      <w:r w:rsidRPr="0040534B">
        <w:t xml:space="preserve">. </w:t>
      </w:r>
    </w:p>
    <w:p w14:paraId="05F3DC75" w14:textId="628A4345" w:rsidR="00F03CD4" w:rsidRPr="0040534B" w:rsidRDefault="00F03CD4" w:rsidP="006045A2">
      <w:pPr>
        <w:pStyle w:val="3-BodyText"/>
        <w:numPr>
          <w:ilvl w:val="1"/>
          <w:numId w:val="16"/>
        </w:numPr>
        <w:ind w:left="993"/>
      </w:pPr>
      <w:r w:rsidRPr="0040534B">
        <w:lastRenderedPageBreak/>
        <w:t>Definition of a migraine day based on duration of headache, ranging from 30 minutes or more in the galcanezumab REGAIN and CONQUER trials to two hours or more in the PROGRESS trial and four consecutive hours in the fremanezumab HALO-CM, FOCUS, and NCT03303079 trials.</w:t>
      </w:r>
    </w:p>
    <w:p w14:paraId="775D3012" w14:textId="77777777" w:rsidR="00F03CD4" w:rsidRPr="0040534B" w:rsidRDefault="00F03CD4" w:rsidP="00F03CD4">
      <w:pPr>
        <w:pStyle w:val="3-BodyText"/>
      </w:pPr>
      <w:bookmarkStart w:id="42" w:name="_Ref141106266"/>
      <w:r w:rsidRPr="0040534B">
        <w:t>The key differences across the trials for episodic migraine were:</w:t>
      </w:r>
      <w:bookmarkEnd w:id="42"/>
    </w:p>
    <w:p w14:paraId="4D0A0BE3" w14:textId="54626E33" w:rsidR="00F03CD4" w:rsidRPr="0040534B" w:rsidRDefault="00F03CD4" w:rsidP="006045A2">
      <w:pPr>
        <w:pStyle w:val="3-BodyText"/>
        <w:numPr>
          <w:ilvl w:val="1"/>
          <w:numId w:val="16"/>
        </w:numPr>
        <w:ind w:left="993"/>
      </w:pPr>
      <w:r w:rsidRPr="0040534B">
        <w:t>The fremanezumab FOCUS trial included participants experiencing chronic and episodic migraine, with outcomes presented for the combined population</w:t>
      </w:r>
      <w:r w:rsidR="00265C0D" w:rsidRPr="0040534B">
        <w:t xml:space="preserve"> based on published data</w:t>
      </w:r>
      <w:r w:rsidRPr="0040534B">
        <w:t>.</w:t>
      </w:r>
    </w:p>
    <w:p w14:paraId="1576EC4B" w14:textId="60B4A46E" w:rsidR="00F03CD4" w:rsidRPr="0040534B" w:rsidRDefault="00B757B7" w:rsidP="006045A2">
      <w:pPr>
        <w:pStyle w:val="3-BodyText"/>
        <w:numPr>
          <w:ilvl w:val="1"/>
          <w:numId w:val="16"/>
        </w:numPr>
        <w:ind w:left="993"/>
      </w:pPr>
      <w:r w:rsidRPr="0040534B">
        <w:t>The percentage of pa</w:t>
      </w:r>
      <w:r w:rsidR="00D476ED" w:rsidRPr="0040534B">
        <w:t>rticipants</w:t>
      </w:r>
      <w:r w:rsidRPr="0040534B">
        <w:t xml:space="preserve"> who had failed p</w:t>
      </w:r>
      <w:r w:rsidR="00F03CD4" w:rsidRPr="0040534B">
        <w:t xml:space="preserve">rior </w:t>
      </w:r>
      <w:r w:rsidR="007B5B63" w:rsidRPr="0040534B">
        <w:t xml:space="preserve">prophylactic </w:t>
      </w:r>
      <w:r w:rsidR="00F03CD4" w:rsidRPr="0040534B">
        <w:t>migraine treatments</w:t>
      </w:r>
      <w:r w:rsidRPr="0040534B">
        <w:t>.</w:t>
      </w:r>
      <w:r w:rsidR="00F03CD4" w:rsidRPr="0040534B">
        <w:t xml:space="preserve"> </w:t>
      </w:r>
      <w:r w:rsidR="00D476ED" w:rsidRPr="0040534B">
        <w:t>Fewer p</w:t>
      </w:r>
      <w:r w:rsidR="00F03CD4" w:rsidRPr="0040534B">
        <w:t xml:space="preserve">articipants in the atogepant NCT02848326 trial and the fremanezumab HALO-EM trial </w:t>
      </w:r>
      <w:r w:rsidR="00D476ED" w:rsidRPr="0040534B">
        <w:t xml:space="preserve">had previously </w:t>
      </w:r>
      <w:r w:rsidR="00F03CD4" w:rsidRPr="0040534B">
        <w:t xml:space="preserve">failed </w:t>
      </w:r>
      <w:r w:rsidR="00D476ED" w:rsidRPr="0040534B">
        <w:t xml:space="preserve">preventive migraine </w:t>
      </w:r>
      <w:r w:rsidR="00F03CD4" w:rsidRPr="0040534B">
        <w:t>treatments</w:t>
      </w:r>
      <w:r w:rsidRPr="0040534B">
        <w:t xml:space="preserve"> (between 27% and 29% and between 18% and 22% respectively</w:t>
      </w:r>
      <w:r w:rsidR="00AB38D4" w:rsidRPr="0040534B">
        <w:t>)</w:t>
      </w:r>
      <w:r w:rsidR="00F03CD4" w:rsidRPr="0040534B">
        <w:t>.</w:t>
      </w:r>
      <w:r w:rsidRPr="0040534B">
        <w:t xml:space="preserve"> This compared with between 70% and 72% in the atogepant ADVANCE trial, 43% to 46% in the galcanezumab PERSIST trial and 100% in the galcanezumab CONQUER and fremanezumab FOCUS trials. The NCT03303092 trial did not report the percentage of participants who had received prior preventive treatment.</w:t>
      </w:r>
    </w:p>
    <w:p w14:paraId="0E53B125" w14:textId="6EC45B89" w:rsidR="00F03CD4" w:rsidRPr="0040534B" w:rsidRDefault="00F03CD4" w:rsidP="006045A2">
      <w:pPr>
        <w:pStyle w:val="3-BodyText"/>
        <w:numPr>
          <w:ilvl w:val="1"/>
          <w:numId w:val="16"/>
        </w:numPr>
        <w:ind w:left="993"/>
      </w:pPr>
      <w:r w:rsidRPr="0040534B">
        <w:t>The mean migraine illness duration, with participants in the galcanezumab PERSIST trial had a shorter migraine illness duration.</w:t>
      </w:r>
      <w:r w:rsidR="00B757B7" w:rsidRPr="0040534B">
        <w:t xml:space="preserve"> The mean (SD) migraine illness duration ranged from 12.4 (8.2) years to 12.8 (9.2) years in the PERSIST trial, compared with between 18.3 (11.4) years in of the fremanezumab NCT03303092 trial and 22.9 (13.1) years in the galcanezumab CONQUER trial (episodic migraine subpopulation).</w:t>
      </w:r>
    </w:p>
    <w:p w14:paraId="3BBF9F40" w14:textId="42D63673" w:rsidR="00F03CD4" w:rsidRPr="0040534B" w:rsidRDefault="00F03CD4" w:rsidP="006045A2">
      <w:pPr>
        <w:pStyle w:val="ListParagraph"/>
        <w:numPr>
          <w:ilvl w:val="1"/>
          <w:numId w:val="16"/>
        </w:numPr>
        <w:ind w:left="993"/>
      </w:pPr>
      <w:r w:rsidRPr="0040534B">
        <w:t xml:space="preserve">Baseline monthly migraine headache days, with participants in the fremanezumab FOCUS trial </w:t>
      </w:r>
      <w:r w:rsidR="00D476ED" w:rsidRPr="0040534B">
        <w:t>m</w:t>
      </w:r>
      <w:r w:rsidR="00B757B7" w:rsidRPr="0040534B">
        <w:t xml:space="preserve">ITT population </w:t>
      </w:r>
      <w:r w:rsidRPr="0040534B">
        <w:t>experiencing more migraine headache days.</w:t>
      </w:r>
      <w:r w:rsidR="00B757B7" w:rsidRPr="0040534B">
        <w:t xml:space="preserve"> Mean (SD) monthly migraine headache days ranged between 14.1 (5.6) days and 14.3 (6.1) days in the FOCUS trial and 6.3 (3.2) days and 9.5 (3.0) days in the other trials included for episodic migraine.</w:t>
      </w:r>
    </w:p>
    <w:p w14:paraId="414D26AD" w14:textId="2E27C59C" w:rsidR="00F03CD4" w:rsidRPr="0040534B" w:rsidRDefault="00F03CD4" w:rsidP="006045A2">
      <w:pPr>
        <w:pStyle w:val="3-BodyText"/>
        <w:numPr>
          <w:ilvl w:val="1"/>
          <w:numId w:val="16"/>
        </w:numPr>
        <w:ind w:left="993"/>
      </w:pPr>
      <w:r w:rsidRPr="0040534B">
        <w:t>Concomitant preventive migraine medication use, with participants in the fremanezumab HALO-EM and NCT03303092 trials receiving more concomitant preventive treatment.</w:t>
      </w:r>
      <w:r w:rsidR="00B757B7" w:rsidRPr="0040534B">
        <w:t xml:space="preserve"> Concomitant preventive medication use was not allowed in the atogepant ADVANCE and NCT02848326 trials, EVOLVE-1, CONQUER, PERSIST, and NCT02959177 trials, or the fremanezumab FOCUS trial but was permitted in the fremanezumab HALO-EM trial (used by between 20% and 21% of participants) and NCT03303092 trial (used by 19% to 20% of participants).</w:t>
      </w:r>
    </w:p>
    <w:p w14:paraId="4FD46381" w14:textId="107B157E" w:rsidR="00F03CD4" w:rsidRPr="0040534B" w:rsidRDefault="00F03CD4" w:rsidP="00F03CD4">
      <w:pPr>
        <w:pStyle w:val="3-BodyText"/>
      </w:pPr>
      <w:r w:rsidRPr="0040534B">
        <w:t xml:space="preserve">The submission stated that the PBAC had previously accepted a minimally clinically important difference (MCID) for a reduction in monthly migraine days of at least two days in the evaluation of fremanezumab for chronic migraine (paragraph 6.13, fremanezumab PSD, November 2019 PBAC meeting) and galcanezumab and fremanezumab as treatment for HFEM (paragraph 6.17, galcanezumab PSD, November 2020 PBAC meeting; paragraph 6.16, fremanezumab PSD, November 2022 </w:t>
      </w:r>
      <w:r w:rsidRPr="0040534B">
        <w:lastRenderedPageBreak/>
        <w:t xml:space="preserve">PBAC meeting). Based on this MCID, the submission proposed a non-inferiority margin for a reduction in monthly migraine days in patients </w:t>
      </w:r>
      <w:r w:rsidR="00104D9F" w:rsidRPr="0040534B">
        <w:t xml:space="preserve">of two days for both </w:t>
      </w:r>
      <w:r w:rsidRPr="0040534B">
        <w:t>chronic migraine and HFEM.</w:t>
      </w:r>
      <w:r w:rsidR="00265C0D" w:rsidRPr="0040534B">
        <w:t xml:space="preserve"> The submission did not present a comparison of this outcome for the HFEM population.</w:t>
      </w:r>
    </w:p>
    <w:p w14:paraId="21FA23C2" w14:textId="71DCF663" w:rsidR="00F03CD4" w:rsidRPr="0040534B" w:rsidRDefault="00F03CD4" w:rsidP="00F03CD4">
      <w:pPr>
        <w:pStyle w:val="3-BodyText"/>
      </w:pPr>
      <w:r w:rsidRPr="0040534B">
        <w:t>The submission proposed different MCID</w:t>
      </w:r>
      <w:r w:rsidR="00104D9F" w:rsidRPr="0040534B">
        <w:t>s</w:t>
      </w:r>
      <w:r w:rsidRPr="0040534B">
        <w:t xml:space="preserve"> for the patient relevant outcome </w:t>
      </w:r>
      <w:r w:rsidR="00104D9F" w:rsidRPr="0040534B">
        <w:t xml:space="preserve">of </w:t>
      </w:r>
      <w:r w:rsidRPr="0040534B">
        <w:t xml:space="preserve">headache impact test-6 (HIT-6) </w:t>
      </w:r>
      <w:r w:rsidR="00104D9F" w:rsidRPr="0040534B">
        <w:t xml:space="preserve">for </w:t>
      </w:r>
      <w:r w:rsidRPr="0040534B">
        <w:t xml:space="preserve">chronic and episodic migraine. For chronic </w:t>
      </w:r>
      <w:r w:rsidR="004920B6" w:rsidRPr="0040534B">
        <w:t>migraine,</w:t>
      </w:r>
      <w:r w:rsidRPr="0040534B">
        <w:t xml:space="preserve"> the submission proposed a MCID of -2.3 based on a study by Coeytaux (2006). For episodic </w:t>
      </w:r>
      <w:r w:rsidR="004920B6" w:rsidRPr="0040534B">
        <w:t>migraine,</w:t>
      </w:r>
      <w:r w:rsidRPr="0040534B">
        <w:t xml:space="preserve"> the submission proposed an MCID of -2.5 based on a trial by Smelt (2014). The PBAC has previously considered the MCID by Coeytaux (2006) (Section 8, Botulinum toxin type </w:t>
      </w:r>
      <w:r w:rsidR="00B71C75" w:rsidRPr="0040534B">
        <w:t>A</w:t>
      </w:r>
      <w:r w:rsidRPr="0040534B">
        <w:t xml:space="preserve"> PSD, July 2012 PBAC meeting).</w:t>
      </w:r>
    </w:p>
    <w:p w14:paraId="143A7F6E" w14:textId="77777777" w:rsidR="00F03CD4" w:rsidRPr="0040534B" w:rsidRDefault="00F03CD4" w:rsidP="00F03CD4">
      <w:pPr>
        <w:pStyle w:val="4-SubsectionHeading"/>
      </w:pPr>
      <w:bookmarkStart w:id="43" w:name="_Toc135214012"/>
      <w:r w:rsidRPr="0040534B">
        <w:t>Comparative effectiveness</w:t>
      </w:r>
      <w:bookmarkEnd w:id="40"/>
      <w:bookmarkEnd w:id="43"/>
    </w:p>
    <w:p w14:paraId="23374A0C" w14:textId="77777777" w:rsidR="00F03CD4" w:rsidRPr="0040534B" w:rsidRDefault="00F03CD4" w:rsidP="00F03CD4">
      <w:pPr>
        <w:pStyle w:val="5-SubsectionSubheading"/>
      </w:pPr>
      <w:bookmarkStart w:id="44" w:name="_Toc135214013"/>
      <w:r w:rsidRPr="0040534B">
        <w:t>Chronic migraine</w:t>
      </w:r>
      <w:bookmarkEnd w:id="44"/>
    </w:p>
    <w:p w14:paraId="1B2072D9" w14:textId="010825CC" w:rsidR="00F03CD4" w:rsidRPr="0040534B" w:rsidRDefault="00F03CD4" w:rsidP="00F03CD4">
      <w:pPr>
        <w:pStyle w:val="3-BodyText"/>
      </w:pPr>
      <w:r w:rsidRPr="0040534B">
        <w:fldChar w:fldCharType="begin" w:fldLock="1"/>
      </w:r>
      <w:r w:rsidRPr="0040534B">
        <w:instrText xml:space="preserve"> REF _Ref133584792 \h </w:instrText>
      </w:r>
      <w:r w:rsidRPr="0040534B">
        <w:fldChar w:fldCharType="separate"/>
      </w:r>
      <w:r w:rsidR="004E201F" w:rsidRPr="0040534B">
        <w:t xml:space="preserve">Table </w:t>
      </w:r>
      <w:r w:rsidR="004E201F">
        <w:rPr>
          <w:noProof/>
        </w:rPr>
        <w:t>5</w:t>
      </w:r>
      <w:r w:rsidRPr="0040534B">
        <w:fldChar w:fldCharType="end"/>
      </w:r>
      <w:r w:rsidRPr="0040534B">
        <w:t xml:space="preserve"> presents the results of the key primary and secondary continuous outcomes </w:t>
      </w:r>
      <w:r w:rsidR="00E34A5B" w:rsidRPr="0040534B">
        <w:t xml:space="preserve">for chronic migraine </w:t>
      </w:r>
      <w:r w:rsidRPr="0040534B">
        <w:t>in the atogepant PROGRESS trial.</w:t>
      </w:r>
    </w:p>
    <w:p w14:paraId="7F964113" w14:textId="520B6DD9" w:rsidR="00F03CD4" w:rsidRPr="0040534B" w:rsidRDefault="00F03CD4" w:rsidP="004844B8">
      <w:pPr>
        <w:pStyle w:val="Caption"/>
        <w:rPr>
          <w:rStyle w:val="CommentReference"/>
          <w:b/>
          <w:szCs w:val="24"/>
        </w:rPr>
      </w:pPr>
      <w:bookmarkStart w:id="45" w:name="_Ref133584792"/>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5</w:t>
      </w:r>
      <w:r w:rsidR="001968FD">
        <w:rPr>
          <w:noProof/>
        </w:rPr>
        <w:fldChar w:fldCharType="end"/>
      </w:r>
      <w:bookmarkEnd w:id="45"/>
      <w:r w:rsidRPr="0040534B">
        <w:rPr>
          <w:rStyle w:val="CommentReference"/>
          <w:b/>
          <w:szCs w:val="24"/>
        </w:rPr>
        <w:t>: Summary of key primary and secondary outcome results at 12 weeks from the atogepant PROGRESS trial (MMRM analysis): continuous data with outcome presented as change from baseline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6"/>
        <w:gridCol w:w="1728"/>
        <w:gridCol w:w="7"/>
        <w:gridCol w:w="660"/>
        <w:gridCol w:w="16"/>
        <w:gridCol w:w="676"/>
        <w:gridCol w:w="22"/>
        <w:gridCol w:w="848"/>
        <w:gridCol w:w="545"/>
        <w:gridCol w:w="759"/>
        <w:gridCol w:w="885"/>
        <w:gridCol w:w="1105"/>
        <w:gridCol w:w="654"/>
      </w:tblGrid>
      <w:tr w:rsidR="00B868D1" w:rsidRPr="0040534B" w14:paraId="5E5B777C" w14:textId="77777777" w:rsidTr="00C124DD">
        <w:trPr>
          <w:tblHeader/>
        </w:trPr>
        <w:tc>
          <w:tcPr>
            <w:tcW w:w="614" w:type="pct"/>
            <w:vMerge w:val="restart"/>
            <w:vAlign w:val="center"/>
          </w:tcPr>
          <w:p w14:paraId="424B72CF" w14:textId="77777777" w:rsidR="00F03CD4" w:rsidRPr="0040534B" w:rsidRDefault="00F03CD4" w:rsidP="004844B8">
            <w:pPr>
              <w:pStyle w:val="In-tableHeading"/>
              <w:keepLines/>
              <w:jc w:val="center"/>
              <w:rPr>
                <w:lang w:val="en-AU"/>
              </w:rPr>
            </w:pPr>
            <w:r w:rsidRPr="0040534B">
              <w:rPr>
                <w:lang w:val="en-AU"/>
              </w:rPr>
              <w:t>Trial ID</w:t>
            </w:r>
          </w:p>
        </w:tc>
        <w:tc>
          <w:tcPr>
            <w:tcW w:w="961" w:type="pct"/>
            <w:gridSpan w:val="2"/>
            <w:vMerge w:val="restart"/>
            <w:vAlign w:val="center"/>
          </w:tcPr>
          <w:p w14:paraId="6380413E" w14:textId="77777777" w:rsidR="00F03CD4" w:rsidRPr="0040534B" w:rsidRDefault="00F03CD4" w:rsidP="004844B8">
            <w:pPr>
              <w:pStyle w:val="In-tableHeading"/>
              <w:keepLines/>
              <w:jc w:val="center"/>
              <w:rPr>
                <w:iCs/>
                <w:lang w:val="en-AU"/>
              </w:rPr>
            </w:pPr>
            <w:r w:rsidRPr="0040534B">
              <w:rPr>
                <w:iCs/>
                <w:lang w:val="en-AU"/>
              </w:rPr>
              <w:t>Treatment arms</w:t>
            </w:r>
          </w:p>
        </w:tc>
        <w:tc>
          <w:tcPr>
            <w:tcW w:w="1236" w:type="pct"/>
            <w:gridSpan w:val="6"/>
            <w:vMerge w:val="restart"/>
            <w:vAlign w:val="center"/>
          </w:tcPr>
          <w:p w14:paraId="4A53E3C1" w14:textId="77777777" w:rsidR="00F03CD4" w:rsidRPr="0040534B" w:rsidRDefault="00F03CD4" w:rsidP="004844B8">
            <w:pPr>
              <w:pStyle w:val="In-tableHeading"/>
              <w:keepLines/>
              <w:jc w:val="center"/>
              <w:rPr>
                <w:lang w:val="en-AU"/>
              </w:rPr>
            </w:pPr>
            <w:r w:rsidRPr="0040534B">
              <w:rPr>
                <w:iCs/>
                <w:lang w:val="en-AU"/>
              </w:rPr>
              <w:t>Atogepant</w:t>
            </w:r>
          </w:p>
        </w:tc>
        <w:tc>
          <w:tcPr>
            <w:tcW w:w="1214" w:type="pct"/>
            <w:gridSpan w:val="3"/>
            <w:vMerge w:val="restart"/>
            <w:vAlign w:val="center"/>
          </w:tcPr>
          <w:p w14:paraId="0F55431A" w14:textId="77777777" w:rsidR="00F03CD4" w:rsidRPr="0040534B" w:rsidRDefault="00F03CD4" w:rsidP="004844B8">
            <w:pPr>
              <w:pStyle w:val="In-tableHeading"/>
              <w:keepLines/>
              <w:jc w:val="center"/>
              <w:rPr>
                <w:lang w:val="en-AU"/>
              </w:rPr>
            </w:pPr>
            <w:r w:rsidRPr="0040534B">
              <w:rPr>
                <w:iCs/>
                <w:lang w:val="en-AU"/>
              </w:rPr>
              <w:t>Placebo</w:t>
            </w:r>
          </w:p>
        </w:tc>
        <w:tc>
          <w:tcPr>
            <w:tcW w:w="976" w:type="pct"/>
            <w:gridSpan w:val="2"/>
            <w:vAlign w:val="center"/>
          </w:tcPr>
          <w:p w14:paraId="54FBE3B5" w14:textId="77777777" w:rsidR="00F03CD4" w:rsidRPr="0040534B" w:rsidRDefault="00F03CD4" w:rsidP="004844B8">
            <w:pPr>
              <w:pStyle w:val="In-tableHeading"/>
              <w:keepLines/>
              <w:jc w:val="center"/>
              <w:rPr>
                <w:iCs/>
                <w:lang w:val="en-AU"/>
              </w:rPr>
            </w:pPr>
            <w:r w:rsidRPr="0040534B">
              <w:rPr>
                <w:iCs/>
                <w:lang w:val="en-AU"/>
              </w:rPr>
              <w:t>Mean difference</w:t>
            </w:r>
          </w:p>
        </w:tc>
      </w:tr>
      <w:tr w:rsidR="00B868D1" w:rsidRPr="0040534B" w14:paraId="7176F615" w14:textId="77777777" w:rsidTr="00C124DD">
        <w:trPr>
          <w:trHeight w:val="229"/>
          <w:tblHeader/>
        </w:trPr>
        <w:tc>
          <w:tcPr>
            <w:tcW w:w="614" w:type="pct"/>
            <w:vMerge/>
            <w:vAlign w:val="center"/>
          </w:tcPr>
          <w:p w14:paraId="7603BCFD" w14:textId="77777777" w:rsidR="00F03CD4" w:rsidRPr="0040534B" w:rsidRDefault="00F03CD4" w:rsidP="004844B8">
            <w:pPr>
              <w:pStyle w:val="In-tableHeading"/>
              <w:keepLines/>
              <w:jc w:val="center"/>
              <w:rPr>
                <w:lang w:val="en-AU"/>
              </w:rPr>
            </w:pPr>
          </w:p>
        </w:tc>
        <w:tc>
          <w:tcPr>
            <w:tcW w:w="961" w:type="pct"/>
            <w:gridSpan w:val="2"/>
            <w:vMerge/>
          </w:tcPr>
          <w:p w14:paraId="08763A2A" w14:textId="77777777" w:rsidR="00F03CD4" w:rsidRPr="0040534B" w:rsidRDefault="00F03CD4" w:rsidP="004844B8">
            <w:pPr>
              <w:pStyle w:val="In-tableHeading"/>
              <w:keepLines/>
              <w:jc w:val="center"/>
              <w:rPr>
                <w:iCs/>
                <w:lang w:val="en-AU"/>
              </w:rPr>
            </w:pPr>
          </w:p>
        </w:tc>
        <w:tc>
          <w:tcPr>
            <w:tcW w:w="1236" w:type="pct"/>
            <w:gridSpan w:val="6"/>
            <w:vMerge/>
            <w:vAlign w:val="center"/>
          </w:tcPr>
          <w:p w14:paraId="3AA2014D" w14:textId="77777777" w:rsidR="00F03CD4" w:rsidRPr="0040534B" w:rsidRDefault="00F03CD4" w:rsidP="004844B8">
            <w:pPr>
              <w:pStyle w:val="In-tableHeading"/>
              <w:keepLines/>
              <w:jc w:val="center"/>
              <w:rPr>
                <w:iCs/>
                <w:lang w:val="en-AU"/>
              </w:rPr>
            </w:pPr>
          </w:p>
        </w:tc>
        <w:tc>
          <w:tcPr>
            <w:tcW w:w="1214" w:type="pct"/>
            <w:gridSpan w:val="3"/>
            <w:vMerge/>
            <w:vAlign w:val="center"/>
          </w:tcPr>
          <w:p w14:paraId="7418A89B" w14:textId="77777777" w:rsidR="00F03CD4" w:rsidRPr="0040534B" w:rsidRDefault="00F03CD4" w:rsidP="004844B8">
            <w:pPr>
              <w:pStyle w:val="In-tableHeading"/>
              <w:keepLines/>
              <w:jc w:val="center"/>
              <w:rPr>
                <w:iCs/>
                <w:lang w:val="en-AU"/>
              </w:rPr>
            </w:pPr>
          </w:p>
        </w:tc>
        <w:tc>
          <w:tcPr>
            <w:tcW w:w="613" w:type="pct"/>
            <w:vMerge w:val="restart"/>
            <w:vAlign w:val="center"/>
          </w:tcPr>
          <w:p w14:paraId="71094701" w14:textId="277F39B5" w:rsidR="00F03CD4" w:rsidRPr="0040534B" w:rsidRDefault="00F03CD4" w:rsidP="004844B8">
            <w:pPr>
              <w:pStyle w:val="In-tableHeading"/>
              <w:keepLines/>
              <w:jc w:val="center"/>
              <w:rPr>
                <w:iCs/>
                <w:lang w:val="en-AU"/>
              </w:rPr>
            </w:pPr>
            <w:r w:rsidRPr="0040534B">
              <w:rPr>
                <w:iCs/>
                <w:lang w:val="en-AU"/>
              </w:rPr>
              <w:t xml:space="preserve">LSMD </w:t>
            </w:r>
          </w:p>
          <w:p w14:paraId="0BF5E595" w14:textId="2B7EE77A" w:rsidR="00F03CD4" w:rsidRPr="0040534B" w:rsidRDefault="00F03CD4" w:rsidP="004844B8">
            <w:pPr>
              <w:pStyle w:val="In-tableHeading"/>
              <w:keepLines/>
              <w:jc w:val="center"/>
              <w:rPr>
                <w:iCs/>
                <w:lang w:val="en-AU"/>
              </w:rPr>
            </w:pPr>
            <w:r w:rsidRPr="0040534B">
              <w:rPr>
                <w:iCs/>
                <w:lang w:val="en-AU"/>
              </w:rPr>
              <w:t>(95%CI)</w:t>
            </w:r>
          </w:p>
        </w:tc>
        <w:tc>
          <w:tcPr>
            <w:tcW w:w="363" w:type="pct"/>
            <w:vMerge w:val="restart"/>
            <w:vAlign w:val="center"/>
          </w:tcPr>
          <w:p w14:paraId="73752E1D" w14:textId="77777777" w:rsidR="00F03CD4" w:rsidRPr="0040534B" w:rsidRDefault="00F03CD4" w:rsidP="004844B8">
            <w:pPr>
              <w:pStyle w:val="In-tableHeading"/>
              <w:keepLines/>
              <w:jc w:val="center"/>
              <w:rPr>
                <w:iCs/>
                <w:lang w:val="en-AU"/>
              </w:rPr>
            </w:pPr>
            <w:r w:rsidRPr="0040534B">
              <w:rPr>
                <w:iCs/>
                <w:lang w:val="en-AU"/>
              </w:rPr>
              <w:t>p-value</w:t>
            </w:r>
          </w:p>
        </w:tc>
      </w:tr>
      <w:tr w:rsidR="00B868D1" w:rsidRPr="0040534B" w14:paraId="0A25CE93" w14:textId="77777777" w:rsidTr="00C124DD">
        <w:trPr>
          <w:tblHeader/>
        </w:trPr>
        <w:tc>
          <w:tcPr>
            <w:tcW w:w="614" w:type="pct"/>
            <w:vMerge/>
            <w:vAlign w:val="center"/>
          </w:tcPr>
          <w:p w14:paraId="7BCB8507" w14:textId="77777777" w:rsidR="00F03CD4" w:rsidRPr="0040534B" w:rsidRDefault="00F03CD4" w:rsidP="004844B8">
            <w:pPr>
              <w:pStyle w:val="In-tableHeading"/>
              <w:keepLines/>
              <w:jc w:val="center"/>
              <w:rPr>
                <w:lang w:val="en-AU"/>
              </w:rPr>
            </w:pPr>
          </w:p>
        </w:tc>
        <w:tc>
          <w:tcPr>
            <w:tcW w:w="961" w:type="pct"/>
            <w:gridSpan w:val="2"/>
            <w:vMerge/>
          </w:tcPr>
          <w:p w14:paraId="49BB520E" w14:textId="77777777" w:rsidR="00F03CD4" w:rsidRPr="0040534B" w:rsidRDefault="00F03CD4" w:rsidP="004844B8">
            <w:pPr>
              <w:pStyle w:val="In-tableHeading"/>
              <w:keepLines/>
              <w:jc w:val="center"/>
              <w:rPr>
                <w:iCs/>
                <w:lang w:val="en-AU"/>
              </w:rPr>
            </w:pPr>
          </w:p>
        </w:tc>
        <w:tc>
          <w:tcPr>
            <w:tcW w:w="370" w:type="pct"/>
            <w:gridSpan w:val="2"/>
            <w:vAlign w:val="center"/>
          </w:tcPr>
          <w:p w14:paraId="3247CE4F" w14:textId="77777777" w:rsidR="00F03CD4" w:rsidRPr="0040534B" w:rsidRDefault="00F03CD4" w:rsidP="004844B8">
            <w:pPr>
              <w:pStyle w:val="In-tableHeading"/>
              <w:keepLines/>
              <w:jc w:val="center"/>
              <w:rPr>
                <w:iCs/>
                <w:lang w:val="en-AU"/>
              </w:rPr>
            </w:pPr>
            <w:r w:rsidRPr="0040534B">
              <w:rPr>
                <w:iCs/>
                <w:lang w:val="en-AU"/>
              </w:rPr>
              <w:t>N</w:t>
            </w:r>
          </w:p>
        </w:tc>
        <w:tc>
          <w:tcPr>
            <w:tcW w:w="396" w:type="pct"/>
            <w:gridSpan w:val="3"/>
            <w:shd w:val="clear" w:color="auto" w:fill="auto"/>
          </w:tcPr>
          <w:p w14:paraId="07C283C5" w14:textId="77777777" w:rsidR="00F03CD4" w:rsidRPr="0040534B" w:rsidRDefault="00F03CD4" w:rsidP="004844B8">
            <w:pPr>
              <w:pStyle w:val="In-tableHeading"/>
              <w:keepLines/>
              <w:jc w:val="center"/>
              <w:rPr>
                <w:iCs/>
                <w:lang w:val="en-AU"/>
              </w:rPr>
            </w:pPr>
            <w:r w:rsidRPr="0040534B">
              <w:rPr>
                <w:iCs/>
                <w:lang w:val="en-AU"/>
              </w:rPr>
              <w:t>Mean baseline (SD)</w:t>
            </w:r>
          </w:p>
        </w:tc>
        <w:tc>
          <w:tcPr>
            <w:tcW w:w="470" w:type="pct"/>
            <w:shd w:val="clear" w:color="auto" w:fill="auto"/>
          </w:tcPr>
          <w:p w14:paraId="4C45D297" w14:textId="77777777" w:rsidR="00F03CD4" w:rsidRPr="0040534B" w:rsidRDefault="00F03CD4" w:rsidP="004844B8">
            <w:pPr>
              <w:pStyle w:val="In-tableHeading"/>
              <w:keepLines/>
              <w:jc w:val="center"/>
              <w:rPr>
                <w:iCs/>
                <w:lang w:val="en-AU"/>
              </w:rPr>
            </w:pPr>
            <w:r w:rsidRPr="0040534B">
              <w:rPr>
                <w:iCs/>
                <w:lang w:val="en-AU"/>
              </w:rPr>
              <w:t>Mean change, LSM [SE]</w:t>
            </w:r>
          </w:p>
        </w:tc>
        <w:tc>
          <w:tcPr>
            <w:tcW w:w="302" w:type="pct"/>
            <w:shd w:val="clear" w:color="auto" w:fill="auto"/>
            <w:vAlign w:val="center"/>
          </w:tcPr>
          <w:p w14:paraId="2DACC346" w14:textId="77777777" w:rsidR="00F03CD4" w:rsidRPr="0040534B" w:rsidRDefault="00F03CD4" w:rsidP="004844B8">
            <w:pPr>
              <w:pStyle w:val="In-tableHeading"/>
              <w:keepLines/>
              <w:jc w:val="center"/>
              <w:rPr>
                <w:iCs/>
                <w:lang w:val="en-AU"/>
              </w:rPr>
            </w:pPr>
            <w:r w:rsidRPr="0040534B">
              <w:rPr>
                <w:iCs/>
                <w:lang w:val="en-AU"/>
              </w:rPr>
              <w:t>N</w:t>
            </w:r>
          </w:p>
        </w:tc>
        <w:tc>
          <w:tcPr>
            <w:tcW w:w="421" w:type="pct"/>
            <w:shd w:val="clear" w:color="auto" w:fill="auto"/>
          </w:tcPr>
          <w:p w14:paraId="57CC14CB" w14:textId="77777777" w:rsidR="00F03CD4" w:rsidRPr="0040534B" w:rsidRDefault="00F03CD4" w:rsidP="004844B8">
            <w:pPr>
              <w:pStyle w:val="In-tableHeading"/>
              <w:keepLines/>
              <w:jc w:val="center"/>
              <w:rPr>
                <w:iCs/>
                <w:lang w:val="en-AU"/>
              </w:rPr>
            </w:pPr>
            <w:r w:rsidRPr="0040534B">
              <w:rPr>
                <w:iCs/>
                <w:lang w:val="en-AU"/>
              </w:rPr>
              <w:t>Mean baseline, (SD)</w:t>
            </w:r>
          </w:p>
        </w:tc>
        <w:tc>
          <w:tcPr>
            <w:tcW w:w="491" w:type="pct"/>
            <w:shd w:val="clear" w:color="auto" w:fill="auto"/>
          </w:tcPr>
          <w:p w14:paraId="4B468AB5" w14:textId="77777777" w:rsidR="00F03CD4" w:rsidRPr="0040534B" w:rsidRDefault="00F03CD4" w:rsidP="004844B8">
            <w:pPr>
              <w:pStyle w:val="In-tableHeading"/>
              <w:keepLines/>
              <w:jc w:val="center"/>
              <w:rPr>
                <w:iCs/>
                <w:lang w:val="en-AU"/>
              </w:rPr>
            </w:pPr>
            <w:r w:rsidRPr="0040534B">
              <w:rPr>
                <w:iCs/>
                <w:lang w:val="en-AU"/>
              </w:rPr>
              <w:t>Mean change, LSM [SE]</w:t>
            </w:r>
          </w:p>
        </w:tc>
        <w:tc>
          <w:tcPr>
            <w:tcW w:w="613" w:type="pct"/>
            <w:vMerge/>
            <w:vAlign w:val="center"/>
          </w:tcPr>
          <w:p w14:paraId="6C442F39" w14:textId="77777777" w:rsidR="00F03CD4" w:rsidRPr="0040534B" w:rsidRDefault="00F03CD4" w:rsidP="004844B8">
            <w:pPr>
              <w:pStyle w:val="In-tableHeading"/>
              <w:keepLines/>
              <w:jc w:val="center"/>
              <w:rPr>
                <w:iCs/>
                <w:lang w:val="en-AU"/>
              </w:rPr>
            </w:pPr>
          </w:p>
        </w:tc>
        <w:tc>
          <w:tcPr>
            <w:tcW w:w="363" w:type="pct"/>
            <w:vMerge/>
          </w:tcPr>
          <w:p w14:paraId="0ED48603" w14:textId="77777777" w:rsidR="00F03CD4" w:rsidRPr="0040534B" w:rsidRDefault="00F03CD4" w:rsidP="004844B8">
            <w:pPr>
              <w:pStyle w:val="In-tableHeading"/>
              <w:keepLines/>
              <w:jc w:val="center"/>
              <w:rPr>
                <w:iCs/>
                <w:lang w:val="en-AU"/>
              </w:rPr>
            </w:pPr>
          </w:p>
        </w:tc>
      </w:tr>
      <w:tr w:rsidR="00B868D1" w:rsidRPr="0040534B" w14:paraId="32A56878" w14:textId="77777777" w:rsidTr="00C124DD">
        <w:tc>
          <w:tcPr>
            <w:tcW w:w="5000" w:type="pct"/>
            <w:gridSpan w:val="14"/>
          </w:tcPr>
          <w:p w14:paraId="67729AB1" w14:textId="77777777" w:rsidR="00F03CD4" w:rsidRPr="0040534B" w:rsidRDefault="00F03CD4" w:rsidP="004844B8">
            <w:pPr>
              <w:pStyle w:val="TableText0"/>
              <w:keepLines/>
              <w:rPr>
                <w:b/>
                <w:bCs w:val="0"/>
              </w:rPr>
            </w:pPr>
            <w:r w:rsidRPr="0040534B">
              <w:rPr>
                <w:b/>
                <w:bCs w:val="0"/>
              </w:rPr>
              <w:t>Change from baseline in mean m</w:t>
            </w:r>
            <w:r w:rsidRPr="0040534B">
              <w:rPr>
                <w:b/>
              </w:rPr>
              <w:t>onthly migraine</w:t>
            </w:r>
            <w:r w:rsidRPr="0040534B">
              <w:rPr>
                <w:b/>
                <w:bCs w:val="0"/>
              </w:rPr>
              <w:t xml:space="preserve"> days</w:t>
            </w:r>
          </w:p>
        </w:tc>
      </w:tr>
      <w:tr w:rsidR="00B868D1" w:rsidRPr="0040534B" w14:paraId="16B03244" w14:textId="77777777" w:rsidTr="00C124DD">
        <w:tc>
          <w:tcPr>
            <w:tcW w:w="617" w:type="pct"/>
            <w:gridSpan w:val="2"/>
            <w:vAlign w:val="center"/>
          </w:tcPr>
          <w:p w14:paraId="0EA59A37" w14:textId="77777777" w:rsidR="00F03CD4" w:rsidRPr="0040534B" w:rsidRDefault="00F03CD4" w:rsidP="004844B8">
            <w:pPr>
              <w:pStyle w:val="TableText0"/>
              <w:keepLines/>
              <w:rPr>
                <w:b/>
                <w:bCs w:val="0"/>
              </w:rPr>
            </w:pPr>
            <w:r w:rsidRPr="0040534B">
              <w:t>PROGRESS</w:t>
            </w:r>
          </w:p>
        </w:tc>
        <w:tc>
          <w:tcPr>
            <w:tcW w:w="962" w:type="pct"/>
            <w:gridSpan w:val="2"/>
            <w:vAlign w:val="center"/>
          </w:tcPr>
          <w:p w14:paraId="0219E290" w14:textId="3859AF78" w:rsidR="00F03CD4" w:rsidRPr="0040534B" w:rsidRDefault="00F03CD4" w:rsidP="004844B8">
            <w:pPr>
              <w:pStyle w:val="TableText0"/>
              <w:keepLines/>
              <w:rPr>
                <w:b/>
                <w:bCs w:val="0"/>
              </w:rPr>
            </w:pPr>
            <w:r w:rsidRPr="0040534B">
              <w:t>ATOG 60</w:t>
            </w:r>
            <w:r w:rsidR="006F04A7" w:rsidRPr="0040534B">
              <w:t xml:space="preserve"> </w:t>
            </w:r>
            <w:r w:rsidRPr="0040534B">
              <w:t>mg vs. PBO</w:t>
            </w:r>
          </w:p>
        </w:tc>
        <w:tc>
          <w:tcPr>
            <w:tcW w:w="375" w:type="pct"/>
            <w:gridSpan w:val="2"/>
            <w:vAlign w:val="center"/>
          </w:tcPr>
          <w:p w14:paraId="361552BB" w14:textId="77777777" w:rsidR="00F03CD4" w:rsidRPr="0040534B" w:rsidRDefault="00F03CD4" w:rsidP="004844B8">
            <w:pPr>
              <w:pStyle w:val="TableText0"/>
              <w:keepLines/>
              <w:jc w:val="center"/>
              <w:rPr>
                <w:b/>
                <w:bCs w:val="0"/>
              </w:rPr>
            </w:pPr>
            <w:r w:rsidRPr="0040534B">
              <w:t>256</w:t>
            </w:r>
          </w:p>
        </w:tc>
        <w:tc>
          <w:tcPr>
            <w:tcW w:w="375" w:type="pct"/>
            <w:vAlign w:val="center"/>
          </w:tcPr>
          <w:p w14:paraId="6B138E0D" w14:textId="77777777" w:rsidR="00F03CD4" w:rsidRPr="0040534B" w:rsidRDefault="00F03CD4" w:rsidP="004844B8">
            <w:pPr>
              <w:pStyle w:val="TableText0"/>
              <w:keepLines/>
              <w:jc w:val="center"/>
              <w:rPr>
                <w:b/>
                <w:bCs w:val="0"/>
              </w:rPr>
            </w:pPr>
            <w:r w:rsidRPr="0040534B">
              <w:t>19.16 (5.280)</w:t>
            </w:r>
          </w:p>
        </w:tc>
        <w:tc>
          <w:tcPr>
            <w:tcW w:w="481" w:type="pct"/>
            <w:gridSpan w:val="2"/>
            <w:vAlign w:val="center"/>
          </w:tcPr>
          <w:p w14:paraId="683D6974" w14:textId="77777777" w:rsidR="00F03CD4" w:rsidRPr="0040534B" w:rsidRDefault="00F03CD4" w:rsidP="004844B8">
            <w:pPr>
              <w:pStyle w:val="TableText0"/>
              <w:keepLines/>
              <w:jc w:val="center"/>
              <w:rPr>
                <w:b/>
                <w:bCs w:val="0"/>
              </w:rPr>
            </w:pPr>
            <w:r w:rsidRPr="0040534B">
              <w:t>-6.88 [0.406]</w:t>
            </w:r>
          </w:p>
        </w:tc>
        <w:tc>
          <w:tcPr>
            <w:tcW w:w="302" w:type="pct"/>
            <w:vAlign w:val="center"/>
          </w:tcPr>
          <w:p w14:paraId="1703742A" w14:textId="77777777" w:rsidR="00F03CD4" w:rsidRPr="0040534B" w:rsidRDefault="00F03CD4" w:rsidP="004844B8">
            <w:pPr>
              <w:pStyle w:val="TableText0"/>
              <w:keepLines/>
              <w:jc w:val="center"/>
              <w:rPr>
                <w:b/>
                <w:bCs w:val="0"/>
              </w:rPr>
            </w:pPr>
            <w:r w:rsidRPr="0040534B">
              <w:t>246</w:t>
            </w:r>
          </w:p>
        </w:tc>
        <w:tc>
          <w:tcPr>
            <w:tcW w:w="421" w:type="pct"/>
            <w:vAlign w:val="center"/>
          </w:tcPr>
          <w:p w14:paraId="7A8C2DBF" w14:textId="77777777" w:rsidR="00F03CD4" w:rsidRPr="0040534B" w:rsidRDefault="00F03CD4" w:rsidP="004844B8">
            <w:pPr>
              <w:pStyle w:val="TableText0"/>
              <w:keepLines/>
              <w:jc w:val="center"/>
              <w:rPr>
                <w:b/>
                <w:bCs w:val="0"/>
              </w:rPr>
            </w:pPr>
            <w:r w:rsidRPr="0040534B">
              <w:t>18.95 (4.775)</w:t>
            </w:r>
          </w:p>
        </w:tc>
        <w:tc>
          <w:tcPr>
            <w:tcW w:w="491" w:type="pct"/>
            <w:vAlign w:val="center"/>
          </w:tcPr>
          <w:p w14:paraId="6EC3E4F5" w14:textId="77777777" w:rsidR="00F03CD4" w:rsidRPr="0040534B" w:rsidRDefault="00F03CD4" w:rsidP="004844B8">
            <w:pPr>
              <w:pStyle w:val="TableText0"/>
              <w:keepLines/>
              <w:jc w:val="center"/>
              <w:rPr>
                <w:b/>
                <w:bCs w:val="0"/>
              </w:rPr>
            </w:pPr>
            <w:r w:rsidRPr="0040534B">
              <w:t>-5.05 [0.411]</w:t>
            </w:r>
          </w:p>
        </w:tc>
        <w:tc>
          <w:tcPr>
            <w:tcW w:w="613" w:type="pct"/>
            <w:vAlign w:val="center"/>
          </w:tcPr>
          <w:p w14:paraId="6C336C7C" w14:textId="56D5A97F" w:rsidR="00F03CD4" w:rsidRPr="0040534B" w:rsidRDefault="00F03CD4" w:rsidP="004844B8">
            <w:pPr>
              <w:pStyle w:val="TableText0"/>
              <w:keepLines/>
              <w:jc w:val="center"/>
              <w:rPr>
                <w:b/>
                <w:bCs w:val="0"/>
              </w:rPr>
            </w:pPr>
            <w:r w:rsidRPr="0040534B">
              <w:rPr>
                <w:b/>
                <w:bCs w:val="0"/>
              </w:rPr>
              <w:t xml:space="preserve">-1.82 </w:t>
            </w:r>
          </w:p>
          <w:p w14:paraId="0BD5B707" w14:textId="77777777" w:rsidR="00F03CD4" w:rsidRPr="0040534B" w:rsidRDefault="00F03CD4" w:rsidP="004844B8">
            <w:pPr>
              <w:pStyle w:val="TableText0"/>
              <w:keepLines/>
              <w:jc w:val="center"/>
              <w:rPr>
                <w:b/>
                <w:bCs w:val="0"/>
              </w:rPr>
            </w:pPr>
            <w:r w:rsidRPr="0040534B">
              <w:rPr>
                <w:b/>
                <w:bCs w:val="0"/>
              </w:rPr>
              <w:t>(-2.89, -0.75)</w:t>
            </w:r>
          </w:p>
        </w:tc>
        <w:tc>
          <w:tcPr>
            <w:tcW w:w="363" w:type="pct"/>
            <w:vAlign w:val="center"/>
          </w:tcPr>
          <w:p w14:paraId="20DB4343" w14:textId="77777777" w:rsidR="00F03CD4" w:rsidRPr="0040534B" w:rsidRDefault="00F03CD4" w:rsidP="004844B8">
            <w:pPr>
              <w:pStyle w:val="TableText0"/>
              <w:keepLines/>
              <w:jc w:val="center"/>
              <w:rPr>
                <w:b/>
                <w:bCs w:val="0"/>
              </w:rPr>
            </w:pPr>
            <w:r w:rsidRPr="0040534B">
              <w:rPr>
                <w:b/>
                <w:bCs w:val="0"/>
              </w:rPr>
              <w:t>0.0009</w:t>
            </w:r>
          </w:p>
        </w:tc>
      </w:tr>
      <w:tr w:rsidR="00B868D1" w:rsidRPr="0040534B" w14:paraId="0C7AC101" w14:textId="2FB47DA6" w:rsidTr="00C124DD">
        <w:tc>
          <w:tcPr>
            <w:tcW w:w="5000" w:type="pct"/>
            <w:gridSpan w:val="14"/>
          </w:tcPr>
          <w:p w14:paraId="008514C7" w14:textId="28CD65B3" w:rsidR="00F422A6" w:rsidRPr="0040534B" w:rsidRDefault="00F422A6" w:rsidP="004844B8">
            <w:pPr>
              <w:pStyle w:val="TableText0"/>
              <w:keepLines/>
              <w:rPr>
                <w:b/>
                <w:bCs w:val="0"/>
              </w:rPr>
            </w:pPr>
            <w:r w:rsidRPr="0040534B">
              <w:rPr>
                <w:b/>
                <w:bCs w:val="0"/>
              </w:rPr>
              <w:t>Change from baseline in mean m</w:t>
            </w:r>
            <w:r w:rsidRPr="0040534B">
              <w:rPr>
                <w:b/>
              </w:rPr>
              <w:t xml:space="preserve">onthly </w:t>
            </w:r>
            <w:r w:rsidRPr="0040534B">
              <w:rPr>
                <w:b/>
                <w:bCs w:val="0"/>
              </w:rPr>
              <w:t>h</w:t>
            </w:r>
            <w:r w:rsidRPr="0040534B">
              <w:rPr>
                <w:b/>
              </w:rPr>
              <w:t>eadache</w:t>
            </w:r>
            <w:r w:rsidRPr="0040534B">
              <w:rPr>
                <w:b/>
                <w:bCs w:val="0"/>
              </w:rPr>
              <w:t xml:space="preserve"> days</w:t>
            </w:r>
          </w:p>
        </w:tc>
      </w:tr>
      <w:tr w:rsidR="00B868D1" w:rsidRPr="0040534B" w14:paraId="2476354D" w14:textId="77777777" w:rsidTr="00C124DD">
        <w:tc>
          <w:tcPr>
            <w:tcW w:w="614" w:type="pct"/>
            <w:vAlign w:val="center"/>
          </w:tcPr>
          <w:p w14:paraId="5C4B0B5F" w14:textId="5F74332E" w:rsidR="00F422A6" w:rsidRPr="0040534B" w:rsidRDefault="00F422A6" w:rsidP="004844B8">
            <w:pPr>
              <w:pStyle w:val="TableText0"/>
              <w:keepLines/>
            </w:pPr>
            <w:r w:rsidRPr="0040534B">
              <w:t>PROGRESS</w:t>
            </w:r>
          </w:p>
        </w:tc>
        <w:tc>
          <w:tcPr>
            <w:tcW w:w="961" w:type="pct"/>
            <w:gridSpan w:val="2"/>
            <w:vAlign w:val="center"/>
          </w:tcPr>
          <w:p w14:paraId="46000FD8" w14:textId="63AD5E8A" w:rsidR="00F422A6" w:rsidRPr="0040534B" w:rsidRDefault="00F422A6" w:rsidP="004844B8">
            <w:pPr>
              <w:pStyle w:val="TableText0"/>
              <w:keepLines/>
            </w:pPr>
            <w:r w:rsidRPr="0040534B">
              <w:t>ATOG 60</w:t>
            </w:r>
            <w:r w:rsidR="006F04A7" w:rsidRPr="0040534B">
              <w:t xml:space="preserve"> </w:t>
            </w:r>
            <w:r w:rsidRPr="0040534B">
              <w:t>mg vs. PBO</w:t>
            </w:r>
          </w:p>
        </w:tc>
        <w:tc>
          <w:tcPr>
            <w:tcW w:w="370" w:type="pct"/>
            <w:gridSpan w:val="2"/>
            <w:vAlign w:val="center"/>
          </w:tcPr>
          <w:p w14:paraId="0B6CA8D7" w14:textId="6FDE160B" w:rsidR="00F422A6" w:rsidRPr="0040534B" w:rsidRDefault="00F422A6" w:rsidP="004844B8">
            <w:pPr>
              <w:pStyle w:val="TableText0"/>
              <w:keepLines/>
              <w:jc w:val="center"/>
            </w:pPr>
            <w:r w:rsidRPr="0040534B">
              <w:t>256</w:t>
            </w:r>
          </w:p>
        </w:tc>
        <w:tc>
          <w:tcPr>
            <w:tcW w:w="396" w:type="pct"/>
            <w:gridSpan w:val="3"/>
            <w:vAlign w:val="center"/>
          </w:tcPr>
          <w:p w14:paraId="4F636466" w14:textId="77777777" w:rsidR="00F422A6" w:rsidRPr="0040534B" w:rsidRDefault="00F422A6" w:rsidP="004844B8">
            <w:pPr>
              <w:pStyle w:val="TableText0"/>
              <w:keepLines/>
              <w:jc w:val="center"/>
            </w:pPr>
            <w:r w:rsidRPr="0040534B">
              <w:t>21.52</w:t>
            </w:r>
          </w:p>
          <w:p w14:paraId="6295EBA3" w14:textId="330F71E0" w:rsidR="00F422A6" w:rsidRPr="0040534B" w:rsidRDefault="00F422A6" w:rsidP="004844B8">
            <w:pPr>
              <w:pStyle w:val="TableText0"/>
              <w:keepLines/>
              <w:jc w:val="center"/>
            </w:pPr>
            <w:r w:rsidRPr="0040534B">
              <w:rPr>
                <w:i/>
                <w:iCs/>
              </w:rPr>
              <w:t>(4.319)</w:t>
            </w:r>
          </w:p>
        </w:tc>
        <w:tc>
          <w:tcPr>
            <w:tcW w:w="470" w:type="pct"/>
            <w:vAlign w:val="center"/>
          </w:tcPr>
          <w:p w14:paraId="2C7DBA83" w14:textId="292D4100" w:rsidR="00F422A6" w:rsidRPr="0040534B" w:rsidRDefault="00F422A6" w:rsidP="004844B8">
            <w:pPr>
              <w:pStyle w:val="TableText0"/>
              <w:keepLines/>
              <w:jc w:val="center"/>
            </w:pPr>
            <w:r w:rsidRPr="0040534B">
              <w:t>-7.00 [0.401]</w:t>
            </w:r>
          </w:p>
        </w:tc>
        <w:tc>
          <w:tcPr>
            <w:tcW w:w="302" w:type="pct"/>
            <w:vAlign w:val="center"/>
          </w:tcPr>
          <w:p w14:paraId="6E68F573" w14:textId="13D7E4AD" w:rsidR="00F422A6" w:rsidRPr="0040534B" w:rsidRDefault="00F422A6" w:rsidP="004844B8">
            <w:pPr>
              <w:pStyle w:val="TableText0"/>
              <w:keepLines/>
              <w:jc w:val="center"/>
            </w:pPr>
            <w:r w:rsidRPr="0040534B">
              <w:t>246</w:t>
            </w:r>
          </w:p>
        </w:tc>
        <w:tc>
          <w:tcPr>
            <w:tcW w:w="421" w:type="pct"/>
            <w:vAlign w:val="center"/>
          </w:tcPr>
          <w:p w14:paraId="4A130AAA" w14:textId="77777777" w:rsidR="00F422A6" w:rsidRPr="0040534B" w:rsidRDefault="00F422A6" w:rsidP="004844B8">
            <w:pPr>
              <w:pStyle w:val="TableText0"/>
              <w:keepLines/>
              <w:jc w:val="center"/>
            </w:pPr>
            <w:r w:rsidRPr="0040534B">
              <w:t>21.40</w:t>
            </w:r>
          </w:p>
          <w:p w14:paraId="4B9D3004" w14:textId="578D0614" w:rsidR="00F422A6" w:rsidRPr="0040534B" w:rsidRDefault="00F422A6" w:rsidP="004844B8">
            <w:pPr>
              <w:pStyle w:val="TableText0"/>
              <w:keepLines/>
              <w:jc w:val="center"/>
            </w:pPr>
            <w:r w:rsidRPr="0040534B">
              <w:rPr>
                <w:i/>
                <w:iCs/>
              </w:rPr>
              <w:t>(4.101)</w:t>
            </w:r>
          </w:p>
        </w:tc>
        <w:tc>
          <w:tcPr>
            <w:tcW w:w="491" w:type="pct"/>
            <w:vAlign w:val="center"/>
          </w:tcPr>
          <w:p w14:paraId="6847F160" w14:textId="237D56F3" w:rsidR="00F422A6" w:rsidRPr="0040534B" w:rsidRDefault="00F422A6" w:rsidP="004844B8">
            <w:pPr>
              <w:pStyle w:val="TableText0"/>
              <w:keepLines/>
              <w:jc w:val="center"/>
            </w:pPr>
            <w:r w:rsidRPr="0040534B">
              <w:t>-5.13 [0.405]</w:t>
            </w:r>
          </w:p>
        </w:tc>
        <w:tc>
          <w:tcPr>
            <w:tcW w:w="613" w:type="pct"/>
            <w:vAlign w:val="center"/>
          </w:tcPr>
          <w:p w14:paraId="5B1274C9" w14:textId="5DD457AF" w:rsidR="00F422A6" w:rsidRPr="0040534B" w:rsidRDefault="00F422A6" w:rsidP="004844B8">
            <w:pPr>
              <w:pStyle w:val="TableText0"/>
              <w:keepLines/>
              <w:jc w:val="center"/>
              <w:rPr>
                <w:b/>
                <w:bCs w:val="0"/>
              </w:rPr>
            </w:pPr>
            <w:r w:rsidRPr="0040534B">
              <w:rPr>
                <w:b/>
                <w:bCs w:val="0"/>
              </w:rPr>
              <w:t xml:space="preserve">-1.87 </w:t>
            </w:r>
          </w:p>
          <w:p w14:paraId="50BF2534" w14:textId="6E172F10" w:rsidR="00F422A6" w:rsidRPr="0040534B" w:rsidRDefault="00F422A6" w:rsidP="004844B8">
            <w:pPr>
              <w:pStyle w:val="TableText0"/>
              <w:keepLines/>
              <w:jc w:val="center"/>
              <w:rPr>
                <w:b/>
                <w:bCs w:val="0"/>
              </w:rPr>
            </w:pPr>
            <w:r w:rsidRPr="0040534B">
              <w:rPr>
                <w:b/>
                <w:bCs w:val="0"/>
              </w:rPr>
              <w:t>(-2.93, -0.81)</w:t>
            </w:r>
          </w:p>
        </w:tc>
        <w:tc>
          <w:tcPr>
            <w:tcW w:w="363" w:type="pct"/>
            <w:vAlign w:val="center"/>
          </w:tcPr>
          <w:p w14:paraId="5743251D" w14:textId="77777777" w:rsidR="00F422A6" w:rsidRPr="0040534B" w:rsidRDefault="00F422A6" w:rsidP="004844B8">
            <w:pPr>
              <w:pStyle w:val="TableText0"/>
              <w:keepLines/>
              <w:jc w:val="center"/>
              <w:rPr>
                <w:b/>
                <w:bCs w:val="0"/>
              </w:rPr>
            </w:pPr>
            <w:r w:rsidRPr="0040534B">
              <w:rPr>
                <w:b/>
                <w:bCs w:val="0"/>
              </w:rPr>
              <w:t>0.0005</w:t>
            </w:r>
          </w:p>
          <w:p w14:paraId="50032A2F" w14:textId="45F3AD0A" w:rsidR="00F422A6" w:rsidRPr="0040534B" w:rsidRDefault="00F422A6" w:rsidP="004844B8">
            <w:pPr>
              <w:pStyle w:val="TableText0"/>
              <w:keepLines/>
              <w:jc w:val="center"/>
              <w:rPr>
                <w:b/>
                <w:bCs w:val="0"/>
              </w:rPr>
            </w:pPr>
            <w:r w:rsidRPr="0040534B">
              <w:rPr>
                <w:b/>
                <w:bCs w:val="0"/>
                <w:i/>
                <w:iCs/>
              </w:rPr>
              <w:t>0.0009</w:t>
            </w:r>
          </w:p>
        </w:tc>
      </w:tr>
      <w:tr w:rsidR="00B868D1" w:rsidRPr="0040534B" w14:paraId="00B9479D" w14:textId="30423ADD" w:rsidTr="00C124DD">
        <w:tc>
          <w:tcPr>
            <w:tcW w:w="5000" w:type="pct"/>
            <w:gridSpan w:val="14"/>
          </w:tcPr>
          <w:p w14:paraId="65E797D9" w14:textId="3604D6C0" w:rsidR="00F422A6" w:rsidRPr="0040534B" w:rsidRDefault="00F422A6" w:rsidP="004844B8">
            <w:pPr>
              <w:pStyle w:val="TableText0"/>
              <w:keepLines/>
              <w:rPr>
                <w:b/>
                <w:bCs w:val="0"/>
              </w:rPr>
            </w:pPr>
            <w:r w:rsidRPr="0040534B">
              <w:rPr>
                <w:b/>
                <w:bCs w:val="0"/>
              </w:rPr>
              <w:t>Change from baseline in mean m</w:t>
            </w:r>
            <w:r w:rsidRPr="0040534B">
              <w:rPr>
                <w:b/>
              </w:rPr>
              <w:t>onthly acute medication use</w:t>
            </w:r>
            <w:r w:rsidRPr="0040534B">
              <w:rPr>
                <w:b/>
                <w:bCs w:val="0"/>
              </w:rPr>
              <w:t xml:space="preserve"> days</w:t>
            </w:r>
          </w:p>
        </w:tc>
      </w:tr>
      <w:tr w:rsidR="00B868D1" w:rsidRPr="0040534B" w14:paraId="3B9DACF2" w14:textId="77777777" w:rsidTr="00C124DD">
        <w:tc>
          <w:tcPr>
            <w:tcW w:w="614" w:type="pct"/>
            <w:vAlign w:val="center"/>
          </w:tcPr>
          <w:p w14:paraId="5EFCF51A" w14:textId="49F73A70" w:rsidR="00F422A6" w:rsidRPr="0040534B" w:rsidRDefault="00F422A6" w:rsidP="004844B8">
            <w:pPr>
              <w:pStyle w:val="TableText0"/>
              <w:keepLines/>
            </w:pPr>
            <w:r w:rsidRPr="0040534B">
              <w:t>PROGRESS</w:t>
            </w:r>
          </w:p>
        </w:tc>
        <w:tc>
          <w:tcPr>
            <w:tcW w:w="961" w:type="pct"/>
            <w:gridSpan w:val="2"/>
            <w:vAlign w:val="center"/>
          </w:tcPr>
          <w:p w14:paraId="2953C096" w14:textId="0D10CD12" w:rsidR="00F422A6" w:rsidRPr="0040534B" w:rsidRDefault="00F422A6" w:rsidP="004844B8">
            <w:pPr>
              <w:pStyle w:val="TableText0"/>
              <w:keepLines/>
            </w:pPr>
            <w:r w:rsidRPr="0040534B">
              <w:t>ATOG 60</w:t>
            </w:r>
            <w:r w:rsidR="006F04A7" w:rsidRPr="0040534B">
              <w:t xml:space="preserve"> </w:t>
            </w:r>
            <w:r w:rsidRPr="0040534B">
              <w:t>mg vs. PBO</w:t>
            </w:r>
          </w:p>
        </w:tc>
        <w:tc>
          <w:tcPr>
            <w:tcW w:w="370" w:type="pct"/>
            <w:gridSpan w:val="2"/>
            <w:vAlign w:val="center"/>
          </w:tcPr>
          <w:p w14:paraId="0D100D24" w14:textId="31E6575D" w:rsidR="00F422A6" w:rsidRPr="0040534B" w:rsidRDefault="00F422A6" w:rsidP="004844B8">
            <w:pPr>
              <w:pStyle w:val="TableText0"/>
              <w:keepLines/>
              <w:jc w:val="center"/>
            </w:pPr>
            <w:r w:rsidRPr="0040534B">
              <w:t>256</w:t>
            </w:r>
          </w:p>
        </w:tc>
        <w:tc>
          <w:tcPr>
            <w:tcW w:w="396" w:type="pct"/>
            <w:gridSpan w:val="3"/>
            <w:vAlign w:val="center"/>
          </w:tcPr>
          <w:p w14:paraId="0F784615" w14:textId="77777777" w:rsidR="00F422A6" w:rsidRPr="0040534B" w:rsidRDefault="00F422A6" w:rsidP="004844B8">
            <w:pPr>
              <w:pStyle w:val="TableText0"/>
              <w:keepLines/>
              <w:jc w:val="center"/>
            </w:pPr>
            <w:r w:rsidRPr="0040534B">
              <w:t>15.46</w:t>
            </w:r>
          </w:p>
          <w:p w14:paraId="3BD4DEF7" w14:textId="14253F04" w:rsidR="00F422A6" w:rsidRPr="0040534B" w:rsidRDefault="00F422A6" w:rsidP="004844B8">
            <w:pPr>
              <w:pStyle w:val="TableText0"/>
              <w:keepLines/>
              <w:jc w:val="center"/>
            </w:pPr>
            <w:r w:rsidRPr="0040534B">
              <w:rPr>
                <w:i/>
                <w:iCs/>
              </w:rPr>
              <w:t>(7.377)</w:t>
            </w:r>
          </w:p>
        </w:tc>
        <w:tc>
          <w:tcPr>
            <w:tcW w:w="470" w:type="pct"/>
            <w:vAlign w:val="center"/>
          </w:tcPr>
          <w:p w14:paraId="707A8F1B" w14:textId="3B08A3E2" w:rsidR="00F422A6" w:rsidRPr="0040534B" w:rsidRDefault="00F422A6" w:rsidP="004844B8">
            <w:pPr>
              <w:pStyle w:val="TableText0"/>
              <w:keepLines/>
              <w:jc w:val="center"/>
            </w:pPr>
            <w:r w:rsidRPr="0040534B">
              <w:t>-6.23 [0.386]</w:t>
            </w:r>
          </w:p>
        </w:tc>
        <w:tc>
          <w:tcPr>
            <w:tcW w:w="302" w:type="pct"/>
            <w:vAlign w:val="center"/>
          </w:tcPr>
          <w:p w14:paraId="28D0F5CC" w14:textId="3F673CC3" w:rsidR="00F422A6" w:rsidRPr="0040534B" w:rsidRDefault="00F422A6" w:rsidP="004844B8">
            <w:pPr>
              <w:pStyle w:val="TableText0"/>
              <w:keepLines/>
              <w:jc w:val="center"/>
            </w:pPr>
            <w:r w:rsidRPr="0040534B">
              <w:t>246</w:t>
            </w:r>
          </w:p>
        </w:tc>
        <w:tc>
          <w:tcPr>
            <w:tcW w:w="421" w:type="pct"/>
            <w:vAlign w:val="center"/>
          </w:tcPr>
          <w:p w14:paraId="78CF2967" w14:textId="77777777" w:rsidR="00F422A6" w:rsidRPr="0040534B" w:rsidRDefault="00F422A6" w:rsidP="004844B8">
            <w:pPr>
              <w:pStyle w:val="TableText0"/>
              <w:keepLines/>
              <w:jc w:val="center"/>
            </w:pPr>
            <w:r w:rsidRPr="0040534B">
              <w:t>15.42</w:t>
            </w:r>
          </w:p>
          <w:p w14:paraId="737257AA" w14:textId="3E743B72" w:rsidR="00F422A6" w:rsidRPr="0040534B" w:rsidRDefault="00F422A6" w:rsidP="004844B8">
            <w:pPr>
              <w:pStyle w:val="TableText0"/>
              <w:keepLines/>
              <w:jc w:val="center"/>
            </w:pPr>
            <w:r w:rsidRPr="0040534B">
              <w:rPr>
                <w:i/>
                <w:iCs/>
              </w:rPr>
              <w:t>(6.991)</w:t>
            </w:r>
          </w:p>
        </w:tc>
        <w:tc>
          <w:tcPr>
            <w:tcW w:w="491" w:type="pct"/>
            <w:vAlign w:val="center"/>
          </w:tcPr>
          <w:p w14:paraId="049A1CAF" w14:textId="42DD4552" w:rsidR="00F422A6" w:rsidRPr="0040534B" w:rsidRDefault="00F422A6" w:rsidP="004844B8">
            <w:pPr>
              <w:pStyle w:val="TableText0"/>
              <w:keepLines/>
              <w:jc w:val="center"/>
            </w:pPr>
            <w:r w:rsidRPr="0040534B">
              <w:t>-4.10 [0.392]</w:t>
            </w:r>
          </w:p>
        </w:tc>
        <w:tc>
          <w:tcPr>
            <w:tcW w:w="613" w:type="pct"/>
            <w:vAlign w:val="center"/>
          </w:tcPr>
          <w:p w14:paraId="06EB01BB" w14:textId="3634B9A7" w:rsidR="00F422A6" w:rsidRPr="0040534B" w:rsidRDefault="00F422A6" w:rsidP="004844B8">
            <w:pPr>
              <w:pStyle w:val="TableText0"/>
              <w:keepLines/>
              <w:jc w:val="center"/>
              <w:rPr>
                <w:b/>
                <w:bCs w:val="0"/>
              </w:rPr>
            </w:pPr>
            <w:r w:rsidRPr="0040534B">
              <w:rPr>
                <w:b/>
                <w:bCs w:val="0"/>
              </w:rPr>
              <w:t xml:space="preserve">-2.13 </w:t>
            </w:r>
          </w:p>
          <w:p w14:paraId="042CFA82" w14:textId="00AE1703" w:rsidR="00F422A6" w:rsidRPr="0040534B" w:rsidRDefault="00F422A6" w:rsidP="004844B8">
            <w:pPr>
              <w:pStyle w:val="TableText0"/>
              <w:keepLines/>
              <w:jc w:val="center"/>
              <w:rPr>
                <w:b/>
                <w:bCs w:val="0"/>
              </w:rPr>
            </w:pPr>
            <w:r w:rsidRPr="0040534B">
              <w:rPr>
                <w:b/>
                <w:bCs w:val="0"/>
              </w:rPr>
              <w:t>(-3.13, -1.13)</w:t>
            </w:r>
          </w:p>
        </w:tc>
        <w:tc>
          <w:tcPr>
            <w:tcW w:w="363" w:type="pct"/>
            <w:vAlign w:val="center"/>
          </w:tcPr>
          <w:p w14:paraId="1C99F972" w14:textId="77777777" w:rsidR="00F422A6" w:rsidRPr="0040534B" w:rsidRDefault="00F422A6" w:rsidP="004844B8">
            <w:pPr>
              <w:pStyle w:val="TableText0"/>
              <w:keepLines/>
              <w:jc w:val="center"/>
              <w:rPr>
                <w:b/>
                <w:bCs w:val="0"/>
              </w:rPr>
            </w:pPr>
            <w:r w:rsidRPr="0040534B">
              <w:rPr>
                <w:b/>
                <w:bCs w:val="0"/>
              </w:rPr>
              <w:t>&lt;0.0001</w:t>
            </w:r>
          </w:p>
          <w:p w14:paraId="4C92ED12" w14:textId="5A0340C6" w:rsidR="00F422A6" w:rsidRPr="0040534B" w:rsidRDefault="00F422A6" w:rsidP="004844B8">
            <w:pPr>
              <w:pStyle w:val="TableText0"/>
              <w:keepLines/>
              <w:jc w:val="center"/>
              <w:rPr>
                <w:b/>
                <w:bCs w:val="0"/>
              </w:rPr>
            </w:pPr>
            <w:r w:rsidRPr="0040534B">
              <w:rPr>
                <w:b/>
                <w:bCs w:val="0"/>
                <w:i/>
                <w:iCs/>
              </w:rPr>
              <w:t>0.0009</w:t>
            </w:r>
          </w:p>
        </w:tc>
      </w:tr>
      <w:tr w:rsidR="00B868D1" w:rsidRPr="0040534B" w14:paraId="51DAC9FD" w14:textId="77777777" w:rsidTr="00C124DD">
        <w:tc>
          <w:tcPr>
            <w:tcW w:w="5000" w:type="pct"/>
            <w:gridSpan w:val="14"/>
          </w:tcPr>
          <w:p w14:paraId="2B009EDA" w14:textId="1DC465B8" w:rsidR="00F422A6" w:rsidRPr="0040534B" w:rsidRDefault="00F422A6" w:rsidP="004844B8">
            <w:pPr>
              <w:pStyle w:val="TableText0"/>
              <w:keepLines/>
              <w:rPr>
                <w:b/>
                <w:bCs w:val="0"/>
              </w:rPr>
            </w:pPr>
            <w:r w:rsidRPr="0040534B">
              <w:rPr>
                <w:b/>
                <w:bCs w:val="0"/>
              </w:rPr>
              <w:t>Change from baseline in MSQ v2.1 RFR Score</w:t>
            </w:r>
          </w:p>
        </w:tc>
      </w:tr>
      <w:tr w:rsidR="00B868D1" w:rsidRPr="0040534B" w14:paraId="63B387E1" w14:textId="77777777" w:rsidTr="00C124DD">
        <w:tc>
          <w:tcPr>
            <w:tcW w:w="614" w:type="pct"/>
            <w:vAlign w:val="center"/>
          </w:tcPr>
          <w:p w14:paraId="5183E2F9" w14:textId="2FB42A7E" w:rsidR="00F422A6" w:rsidRPr="0040534B" w:rsidRDefault="00F422A6" w:rsidP="004844B8">
            <w:pPr>
              <w:pStyle w:val="TableText0"/>
              <w:keepLines/>
            </w:pPr>
            <w:r w:rsidRPr="0040534B">
              <w:t>PROGRESS</w:t>
            </w:r>
          </w:p>
        </w:tc>
        <w:tc>
          <w:tcPr>
            <w:tcW w:w="961" w:type="pct"/>
            <w:gridSpan w:val="2"/>
            <w:vAlign w:val="center"/>
          </w:tcPr>
          <w:p w14:paraId="4BA75228" w14:textId="5897E575" w:rsidR="00F422A6" w:rsidRPr="0040534B" w:rsidRDefault="00F422A6" w:rsidP="004844B8">
            <w:pPr>
              <w:pStyle w:val="TableText0"/>
              <w:keepLines/>
            </w:pPr>
            <w:r w:rsidRPr="0040534B">
              <w:t>ATOG 60</w:t>
            </w:r>
            <w:r w:rsidR="006F04A7" w:rsidRPr="0040534B">
              <w:t xml:space="preserve"> </w:t>
            </w:r>
            <w:r w:rsidRPr="0040534B">
              <w:t>mg vs. PBO</w:t>
            </w:r>
          </w:p>
        </w:tc>
        <w:tc>
          <w:tcPr>
            <w:tcW w:w="370" w:type="pct"/>
            <w:gridSpan w:val="2"/>
            <w:vAlign w:val="center"/>
          </w:tcPr>
          <w:p w14:paraId="6D07B15A" w14:textId="4E14002F" w:rsidR="00F422A6" w:rsidRPr="0040534B" w:rsidRDefault="00F422A6" w:rsidP="004844B8">
            <w:pPr>
              <w:pStyle w:val="TableText0"/>
              <w:keepLines/>
              <w:jc w:val="center"/>
            </w:pPr>
            <w:r w:rsidRPr="0040534B">
              <w:t>256</w:t>
            </w:r>
          </w:p>
        </w:tc>
        <w:tc>
          <w:tcPr>
            <w:tcW w:w="396" w:type="pct"/>
            <w:gridSpan w:val="3"/>
            <w:vAlign w:val="center"/>
          </w:tcPr>
          <w:p w14:paraId="5B2BCE51" w14:textId="76C4D8E0" w:rsidR="00F422A6" w:rsidRPr="0040534B" w:rsidRDefault="00F422A6" w:rsidP="004844B8">
            <w:pPr>
              <w:pStyle w:val="TableText0"/>
              <w:keepLines/>
              <w:jc w:val="center"/>
            </w:pPr>
            <w:r w:rsidRPr="0040534B">
              <w:t>43.56 (18.907)</w:t>
            </w:r>
          </w:p>
        </w:tc>
        <w:tc>
          <w:tcPr>
            <w:tcW w:w="470" w:type="pct"/>
            <w:vAlign w:val="center"/>
          </w:tcPr>
          <w:p w14:paraId="3A96E6BF" w14:textId="1F8B10AC" w:rsidR="00F422A6" w:rsidRPr="0040534B" w:rsidRDefault="00F422A6" w:rsidP="004844B8">
            <w:pPr>
              <w:pStyle w:val="TableText0"/>
              <w:keepLines/>
              <w:jc w:val="center"/>
            </w:pPr>
            <w:r w:rsidRPr="0040534B">
              <w:t>23.33 [1.365]</w:t>
            </w:r>
          </w:p>
        </w:tc>
        <w:tc>
          <w:tcPr>
            <w:tcW w:w="302" w:type="pct"/>
            <w:vAlign w:val="center"/>
          </w:tcPr>
          <w:p w14:paraId="4A1F07C0" w14:textId="0EADE232" w:rsidR="00F422A6" w:rsidRPr="0040534B" w:rsidRDefault="00F422A6" w:rsidP="004844B8">
            <w:pPr>
              <w:pStyle w:val="TableText0"/>
              <w:keepLines/>
              <w:jc w:val="center"/>
            </w:pPr>
            <w:r w:rsidRPr="0040534B">
              <w:t>246</w:t>
            </w:r>
          </w:p>
        </w:tc>
        <w:tc>
          <w:tcPr>
            <w:tcW w:w="421" w:type="pct"/>
            <w:vAlign w:val="center"/>
          </w:tcPr>
          <w:p w14:paraId="23792CD7" w14:textId="76131962" w:rsidR="00F422A6" w:rsidRPr="0040534B" w:rsidRDefault="00F422A6" w:rsidP="004844B8">
            <w:pPr>
              <w:pStyle w:val="TableText0"/>
              <w:keepLines/>
              <w:jc w:val="center"/>
            </w:pPr>
            <w:r w:rsidRPr="0040534B">
              <w:t>43.55 (19.047)</w:t>
            </w:r>
          </w:p>
        </w:tc>
        <w:tc>
          <w:tcPr>
            <w:tcW w:w="491" w:type="pct"/>
            <w:vAlign w:val="center"/>
          </w:tcPr>
          <w:p w14:paraId="7AB9F0A5" w14:textId="057426EA" w:rsidR="00F422A6" w:rsidRPr="0040534B" w:rsidRDefault="00F422A6" w:rsidP="004844B8">
            <w:pPr>
              <w:pStyle w:val="TableText0"/>
              <w:keepLines/>
              <w:jc w:val="center"/>
            </w:pPr>
            <w:r w:rsidRPr="0040534B">
              <w:t>17.18 [1.381]</w:t>
            </w:r>
          </w:p>
        </w:tc>
        <w:tc>
          <w:tcPr>
            <w:tcW w:w="613" w:type="pct"/>
            <w:vAlign w:val="center"/>
          </w:tcPr>
          <w:p w14:paraId="7569C9DD" w14:textId="1FC316C8" w:rsidR="00F422A6" w:rsidRPr="0040534B" w:rsidRDefault="00F422A6" w:rsidP="004844B8">
            <w:pPr>
              <w:pStyle w:val="TableText0"/>
              <w:keepLines/>
              <w:jc w:val="center"/>
              <w:rPr>
                <w:b/>
                <w:bCs w:val="0"/>
              </w:rPr>
            </w:pPr>
            <w:r w:rsidRPr="0040534B">
              <w:rPr>
                <w:b/>
                <w:bCs w:val="0"/>
              </w:rPr>
              <w:t xml:space="preserve">6.15 </w:t>
            </w:r>
          </w:p>
          <w:p w14:paraId="42376EB5" w14:textId="7672086F" w:rsidR="00F422A6" w:rsidRPr="0040534B" w:rsidRDefault="00F422A6" w:rsidP="004844B8">
            <w:pPr>
              <w:pStyle w:val="TableText0"/>
              <w:keepLines/>
              <w:jc w:val="center"/>
              <w:rPr>
                <w:b/>
                <w:bCs w:val="0"/>
              </w:rPr>
            </w:pPr>
            <w:r w:rsidRPr="0040534B">
              <w:rPr>
                <w:b/>
                <w:bCs w:val="0"/>
              </w:rPr>
              <w:t>(2.51, 9.79)</w:t>
            </w:r>
          </w:p>
        </w:tc>
        <w:tc>
          <w:tcPr>
            <w:tcW w:w="363" w:type="pct"/>
            <w:vAlign w:val="center"/>
          </w:tcPr>
          <w:p w14:paraId="639EF1EA" w14:textId="03A3204F" w:rsidR="00F422A6" w:rsidRPr="0040534B" w:rsidRDefault="00F422A6" w:rsidP="004844B8">
            <w:pPr>
              <w:pStyle w:val="TableText0"/>
              <w:keepLines/>
              <w:jc w:val="center"/>
              <w:rPr>
                <w:b/>
                <w:bCs w:val="0"/>
              </w:rPr>
            </w:pPr>
            <w:r w:rsidRPr="0040534B">
              <w:rPr>
                <w:b/>
                <w:bCs w:val="0"/>
              </w:rPr>
              <w:t>0.0009</w:t>
            </w:r>
          </w:p>
        </w:tc>
      </w:tr>
      <w:tr w:rsidR="00B868D1" w:rsidRPr="0040534B" w14:paraId="73FC5FDA" w14:textId="77777777" w:rsidTr="00C124DD">
        <w:tc>
          <w:tcPr>
            <w:tcW w:w="5000" w:type="pct"/>
            <w:gridSpan w:val="14"/>
            <w:vAlign w:val="center"/>
          </w:tcPr>
          <w:p w14:paraId="7970B5D3" w14:textId="41F9E8D6" w:rsidR="00F422A6" w:rsidRPr="0040534B" w:rsidRDefault="00F422A6" w:rsidP="004844B8">
            <w:pPr>
              <w:pStyle w:val="TableText0"/>
              <w:keepLines/>
              <w:rPr>
                <w:b/>
                <w:bCs w:val="0"/>
              </w:rPr>
            </w:pPr>
            <w:r w:rsidRPr="0040534B">
              <w:rPr>
                <w:b/>
                <w:bCs w:val="0"/>
              </w:rPr>
              <w:t xml:space="preserve">Change from baseline in mean AIM-D </w:t>
            </w:r>
            <w:r w:rsidRPr="0040534B">
              <w:rPr>
                <w:b/>
              </w:rPr>
              <w:t>(performance of daily activities)</w:t>
            </w:r>
          </w:p>
        </w:tc>
      </w:tr>
      <w:tr w:rsidR="00B868D1" w:rsidRPr="0040534B" w14:paraId="052F7C35" w14:textId="77777777" w:rsidTr="00C124DD">
        <w:tc>
          <w:tcPr>
            <w:tcW w:w="614" w:type="pct"/>
            <w:vAlign w:val="center"/>
          </w:tcPr>
          <w:p w14:paraId="33F6264E" w14:textId="0CE974E1" w:rsidR="00F422A6" w:rsidRPr="0040534B" w:rsidRDefault="00F422A6" w:rsidP="004844B8">
            <w:pPr>
              <w:pStyle w:val="TableText0"/>
              <w:keepLines/>
            </w:pPr>
            <w:r w:rsidRPr="0040534B">
              <w:t>PROGRESS</w:t>
            </w:r>
          </w:p>
        </w:tc>
        <w:tc>
          <w:tcPr>
            <w:tcW w:w="961" w:type="pct"/>
            <w:gridSpan w:val="2"/>
            <w:vAlign w:val="center"/>
          </w:tcPr>
          <w:p w14:paraId="05285EC6" w14:textId="564AA300" w:rsidR="00F422A6" w:rsidRPr="0040534B" w:rsidRDefault="00F422A6" w:rsidP="004844B8">
            <w:pPr>
              <w:pStyle w:val="TableText0"/>
              <w:keepLines/>
            </w:pPr>
            <w:r w:rsidRPr="0040534B">
              <w:t>ATOG 60</w:t>
            </w:r>
            <w:r w:rsidR="006F04A7" w:rsidRPr="0040534B">
              <w:t xml:space="preserve"> </w:t>
            </w:r>
            <w:r w:rsidRPr="0040534B">
              <w:t>mg vs. PBO</w:t>
            </w:r>
          </w:p>
        </w:tc>
        <w:tc>
          <w:tcPr>
            <w:tcW w:w="370" w:type="pct"/>
            <w:gridSpan w:val="2"/>
            <w:vAlign w:val="center"/>
          </w:tcPr>
          <w:p w14:paraId="78C87CA3" w14:textId="4F0A5B82" w:rsidR="00F422A6" w:rsidRPr="0040534B" w:rsidRDefault="00F422A6" w:rsidP="004844B8">
            <w:pPr>
              <w:pStyle w:val="TableText0"/>
              <w:keepLines/>
              <w:jc w:val="center"/>
            </w:pPr>
            <w:r w:rsidRPr="0040534B">
              <w:t>256</w:t>
            </w:r>
          </w:p>
        </w:tc>
        <w:tc>
          <w:tcPr>
            <w:tcW w:w="396" w:type="pct"/>
            <w:gridSpan w:val="3"/>
            <w:vAlign w:val="center"/>
          </w:tcPr>
          <w:p w14:paraId="3E626796" w14:textId="5C5DAA9B" w:rsidR="00F422A6" w:rsidRPr="0040534B" w:rsidRDefault="00F422A6" w:rsidP="004844B8">
            <w:pPr>
              <w:pStyle w:val="TableText0"/>
              <w:keepLines/>
              <w:jc w:val="center"/>
            </w:pPr>
            <w:r w:rsidRPr="0040534B">
              <w:t>31.18 (16.470)</w:t>
            </w:r>
          </w:p>
        </w:tc>
        <w:tc>
          <w:tcPr>
            <w:tcW w:w="470" w:type="pct"/>
            <w:vAlign w:val="center"/>
          </w:tcPr>
          <w:p w14:paraId="602CAE65" w14:textId="540A0349" w:rsidR="00F422A6" w:rsidRPr="0040534B" w:rsidRDefault="00F422A6" w:rsidP="004844B8">
            <w:pPr>
              <w:pStyle w:val="TableText0"/>
              <w:keepLines/>
              <w:jc w:val="center"/>
            </w:pPr>
            <w:r w:rsidRPr="0040534B">
              <w:t>-12.82 [0.718]</w:t>
            </w:r>
          </w:p>
        </w:tc>
        <w:tc>
          <w:tcPr>
            <w:tcW w:w="302" w:type="pct"/>
            <w:vAlign w:val="center"/>
          </w:tcPr>
          <w:p w14:paraId="2D2B4EC8" w14:textId="1AA2B782" w:rsidR="00F422A6" w:rsidRPr="0040534B" w:rsidRDefault="00F422A6" w:rsidP="004844B8">
            <w:pPr>
              <w:pStyle w:val="TableText0"/>
              <w:keepLines/>
              <w:jc w:val="center"/>
            </w:pPr>
            <w:r w:rsidRPr="0040534B">
              <w:t>246</w:t>
            </w:r>
          </w:p>
        </w:tc>
        <w:tc>
          <w:tcPr>
            <w:tcW w:w="421" w:type="pct"/>
            <w:vAlign w:val="center"/>
          </w:tcPr>
          <w:p w14:paraId="717A0C52" w14:textId="5010757E" w:rsidR="00F422A6" w:rsidRPr="0040534B" w:rsidRDefault="00F422A6" w:rsidP="004844B8">
            <w:pPr>
              <w:pStyle w:val="TableText0"/>
              <w:keepLines/>
              <w:jc w:val="center"/>
            </w:pPr>
            <w:r w:rsidRPr="0040534B">
              <w:t>29.50 (13.733)</w:t>
            </w:r>
          </w:p>
        </w:tc>
        <w:tc>
          <w:tcPr>
            <w:tcW w:w="491" w:type="pct"/>
            <w:vAlign w:val="center"/>
          </w:tcPr>
          <w:p w14:paraId="7237926F" w14:textId="7C9A0399" w:rsidR="00F422A6" w:rsidRPr="0040534B" w:rsidRDefault="00F422A6" w:rsidP="004844B8">
            <w:pPr>
              <w:pStyle w:val="TableText0"/>
              <w:keepLines/>
              <w:jc w:val="center"/>
            </w:pPr>
            <w:r w:rsidRPr="0040534B">
              <w:t>-9.44 [0.720]</w:t>
            </w:r>
          </w:p>
        </w:tc>
        <w:tc>
          <w:tcPr>
            <w:tcW w:w="613" w:type="pct"/>
            <w:vAlign w:val="center"/>
          </w:tcPr>
          <w:p w14:paraId="0F9846A7" w14:textId="1A4DCBB4" w:rsidR="00F422A6" w:rsidRPr="0040534B" w:rsidRDefault="00F422A6" w:rsidP="004844B8">
            <w:pPr>
              <w:pStyle w:val="TableText0"/>
              <w:keepLines/>
              <w:jc w:val="center"/>
              <w:rPr>
                <w:b/>
                <w:bCs w:val="0"/>
              </w:rPr>
            </w:pPr>
            <w:r w:rsidRPr="0040534B">
              <w:rPr>
                <w:b/>
                <w:bCs w:val="0"/>
              </w:rPr>
              <w:t xml:space="preserve">-3.38 </w:t>
            </w:r>
          </w:p>
          <w:p w14:paraId="79D031A7" w14:textId="5FDB3435" w:rsidR="00F422A6" w:rsidRPr="0040534B" w:rsidRDefault="00F422A6" w:rsidP="004844B8">
            <w:pPr>
              <w:pStyle w:val="TableText0"/>
              <w:keepLines/>
              <w:jc w:val="center"/>
              <w:rPr>
                <w:b/>
                <w:bCs w:val="0"/>
              </w:rPr>
            </w:pPr>
            <w:r w:rsidRPr="0040534B">
              <w:rPr>
                <w:b/>
                <w:bCs w:val="0"/>
              </w:rPr>
              <w:t>(-5.27, -1.49)</w:t>
            </w:r>
          </w:p>
        </w:tc>
        <w:tc>
          <w:tcPr>
            <w:tcW w:w="363" w:type="pct"/>
            <w:vAlign w:val="center"/>
          </w:tcPr>
          <w:p w14:paraId="6C6DFB52" w14:textId="77777777" w:rsidR="00F422A6" w:rsidRPr="0040534B" w:rsidRDefault="00F422A6" w:rsidP="004844B8">
            <w:pPr>
              <w:pStyle w:val="TableText0"/>
              <w:keepLines/>
              <w:jc w:val="center"/>
              <w:rPr>
                <w:b/>
                <w:bCs w:val="0"/>
              </w:rPr>
            </w:pPr>
            <w:r w:rsidRPr="0040534B">
              <w:rPr>
                <w:b/>
                <w:bCs w:val="0"/>
              </w:rPr>
              <w:t>0.0005</w:t>
            </w:r>
          </w:p>
          <w:p w14:paraId="430DD84B" w14:textId="524F5D1E" w:rsidR="00F422A6" w:rsidRPr="0040534B" w:rsidRDefault="00F422A6" w:rsidP="004844B8">
            <w:pPr>
              <w:pStyle w:val="TableText0"/>
              <w:keepLines/>
              <w:jc w:val="center"/>
              <w:rPr>
                <w:b/>
                <w:bCs w:val="0"/>
              </w:rPr>
            </w:pPr>
            <w:r w:rsidRPr="0040534B">
              <w:rPr>
                <w:b/>
                <w:bCs w:val="0"/>
                <w:i/>
                <w:iCs/>
              </w:rPr>
              <w:t>0.0009</w:t>
            </w:r>
          </w:p>
        </w:tc>
      </w:tr>
      <w:tr w:rsidR="00B868D1" w:rsidRPr="0040534B" w14:paraId="26E8E6B4" w14:textId="77777777" w:rsidTr="00C124DD">
        <w:tc>
          <w:tcPr>
            <w:tcW w:w="5000" w:type="pct"/>
            <w:gridSpan w:val="14"/>
            <w:vAlign w:val="center"/>
          </w:tcPr>
          <w:p w14:paraId="09BCB142" w14:textId="1FC112DA" w:rsidR="00F422A6" w:rsidRPr="0040534B" w:rsidRDefault="00F422A6" w:rsidP="004844B8">
            <w:pPr>
              <w:pStyle w:val="TableText0"/>
              <w:keepLines/>
            </w:pPr>
            <w:r w:rsidRPr="0040534B">
              <w:rPr>
                <w:b/>
                <w:bCs w:val="0"/>
              </w:rPr>
              <w:t xml:space="preserve">Change from baseline in mean AIM-D </w:t>
            </w:r>
            <w:r w:rsidRPr="0040534B">
              <w:rPr>
                <w:b/>
              </w:rPr>
              <w:t>(physical impairment domain)</w:t>
            </w:r>
          </w:p>
        </w:tc>
      </w:tr>
      <w:tr w:rsidR="00B868D1" w:rsidRPr="0040534B" w14:paraId="628F957B" w14:textId="77777777" w:rsidTr="00C124DD">
        <w:tc>
          <w:tcPr>
            <w:tcW w:w="614" w:type="pct"/>
            <w:vAlign w:val="center"/>
          </w:tcPr>
          <w:p w14:paraId="4FE743EF" w14:textId="1D37A301" w:rsidR="00F422A6" w:rsidRPr="0040534B" w:rsidRDefault="00F422A6" w:rsidP="004844B8">
            <w:pPr>
              <w:pStyle w:val="TableText0"/>
              <w:keepLines/>
            </w:pPr>
            <w:r w:rsidRPr="0040534B">
              <w:t>PROGRESS</w:t>
            </w:r>
          </w:p>
        </w:tc>
        <w:tc>
          <w:tcPr>
            <w:tcW w:w="961" w:type="pct"/>
            <w:gridSpan w:val="2"/>
            <w:vAlign w:val="center"/>
          </w:tcPr>
          <w:p w14:paraId="7625F8AB" w14:textId="085C2D9D" w:rsidR="00F422A6" w:rsidRPr="0040534B" w:rsidRDefault="00F422A6" w:rsidP="004844B8">
            <w:pPr>
              <w:pStyle w:val="TableText0"/>
              <w:keepLines/>
            </w:pPr>
            <w:r w:rsidRPr="0040534B">
              <w:t>ATOG 60</w:t>
            </w:r>
            <w:r w:rsidR="006F04A7" w:rsidRPr="0040534B">
              <w:t xml:space="preserve"> </w:t>
            </w:r>
            <w:r w:rsidRPr="0040534B">
              <w:t>mg vs. PBO</w:t>
            </w:r>
          </w:p>
        </w:tc>
        <w:tc>
          <w:tcPr>
            <w:tcW w:w="370" w:type="pct"/>
            <w:gridSpan w:val="2"/>
            <w:vAlign w:val="center"/>
          </w:tcPr>
          <w:p w14:paraId="29C1B7F3" w14:textId="7681AC1C" w:rsidR="00F422A6" w:rsidRPr="0040534B" w:rsidRDefault="00F422A6" w:rsidP="004844B8">
            <w:pPr>
              <w:pStyle w:val="TableText0"/>
              <w:keepLines/>
              <w:jc w:val="center"/>
            </w:pPr>
            <w:r w:rsidRPr="0040534B">
              <w:t>256</w:t>
            </w:r>
          </w:p>
        </w:tc>
        <w:tc>
          <w:tcPr>
            <w:tcW w:w="396" w:type="pct"/>
            <w:gridSpan w:val="3"/>
            <w:vAlign w:val="center"/>
          </w:tcPr>
          <w:p w14:paraId="07BABAA0" w14:textId="1A0285A8" w:rsidR="00F422A6" w:rsidRPr="0040534B" w:rsidRDefault="00F422A6" w:rsidP="004844B8">
            <w:pPr>
              <w:pStyle w:val="TableText0"/>
              <w:keepLines/>
              <w:jc w:val="center"/>
            </w:pPr>
            <w:r w:rsidRPr="0040534B">
              <w:t>27.11 (16.630)</w:t>
            </w:r>
          </w:p>
        </w:tc>
        <w:tc>
          <w:tcPr>
            <w:tcW w:w="470" w:type="pct"/>
            <w:vAlign w:val="center"/>
          </w:tcPr>
          <w:p w14:paraId="21963B55" w14:textId="1B3CAF2B" w:rsidR="00F422A6" w:rsidRPr="0040534B" w:rsidRDefault="00F422A6" w:rsidP="004844B8">
            <w:pPr>
              <w:pStyle w:val="TableText0"/>
              <w:keepLines/>
              <w:jc w:val="center"/>
            </w:pPr>
            <w:r w:rsidRPr="0040534B">
              <w:t>-10.63 [0.665]</w:t>
            </w:r>
          </w:p>
        </w:tc>
        <w:tc>
          <w:tcPr>
            <w:tcW w:w="302" w:type="pct"/>
            <w:vAlign w:val="center"/>
          </w:tcPr>
          <w:p w14:paraId="1B6EEFFE" w14:textId="09C8A3D8" w:rsidR="00F422A6" w:rsidRPr="0040534B" w:rsidRDefault="00F422A6" w:rsidP="004844B8">
            <w:pPr>
              <w:pStyle w:val="TableText0"/>
              <w:keepLines/>
              <w:jc w:val="center"/>
            </w:pPr>
            <w:r w:rsidRPr="0040534B">
              <w:t>246</w:t>
            </w:r>
          </w:p>
        </w:tc>
        <w:tc>
          <w:tcPr>
            <w:tcW w:w="421" w:type="pct"/>
            <w:vAlign w:val="center"/>
          </w:tcPr>
          <w:p w14:paraId="09F99B06" w14:textId="166B5ACA" w:rsidR="00F422A6" w:rsidRPr="0040534B" w:rsidRDefault="00F422A6" w:rsidP="004844B8">
            <w:pPr>
              <w:pStyle w:val="TableText0"/>
              <w:keepLines/>
              <w:jc w:val="center"/>
            </w:pPr>
            <w:r w:rsidRPr="0040534B">
              <w:t>25.24 (13.522)</w:t>
            </w:r>
          </w:p>
        </w:tc>
        <w:tc>
          <w:tcPr>
            <w:tcW w:w="491" w:type="pct"/>
            <w:vAlign w:val="center"/>
          </w:tcPr>
          <w:p w14:paraId="47BCEE0D" w14:textId="5F46A9B5" w:rsidR="00F422A6" w:rsidRPr="0040534B" w:rsidRDefault="00F422A6" w:rsidP="004844B8">
            <w:pPr>
              <w:pStyle w:val="TableText0"/>
              <w:keepLines/>
              <w:jc w:val="center"/>
            </w:pPr>
            <w:r w:rsidRPr="0040534B">
              <w:t>-7.92 [0.667]</w:t>
            </w:r>
          </w:p>
        </w:tc>
        <w:tc>
          <w:tcPr>
            <w:tcW w:w="613" w:type="pct"/>
            <w:vAlign w:val="center"/>
          </w:tcPr>
          <w:p w14:paraId="3ECC8290" w14:textId="358C7216" w:rsidR="00B757B7" w:rsidRPr="0040534B" w:rsidRDefault="00F422A6" w:rsidP="004844B8">
            <w:pPr>
              <w:pStyle w:val="TableText0"/>
              <w:keepLines/>
              <w:jc w:val="center"/>
              <w:rPr>
                <w:b/>
                <w:bCs w:val="0"/>
              </w:rPr>
            </w:pPr>
            <w:r w:rsidRPr="0040534B">
              <w:rPr>
                <w:b/>
                <w:bCs w:val="0"/>
              </w:rPr>
              <w:t xml:space="preserve">-2.71 </w:t>
            </w:r>
          </w:p>
          <w:p w14:paraId="36053D64" w14:textId="6AE3C369" w:rsidR="00F422A6" w:rsidRPr="0040534B" w:rsidRDefault="00F422A6" w:rsidP="004844B8">
            <w:pPr>
              <w:pStyle w:val="TableText0"/>
              <w:keepLines/>
              <w:jc w:val="center"/>
              <w:rPr>
                <w:b/>
                <w:bCs w:val="0"/>
              </w:rPr>
            </w:pPr>
            <w:r w:rsidRPr="0040534B">
              <w:rPr>
                <w:b/>
                <w:bCs w:val="0"/>
              </w:rPr>
              <w:t>(-4.47, -0.96)</w:t>
            </w:r>
          </w:p>
        </w:tc>
        <w:tc>
          <w:tcPr>
            <w:tcW w:w="363" w:type="pct"/>
            <w:vAlign w:val="center"/>
          </w:tcPr>
          <w:p w14:paraId="021108E9" w14:textId="58B22C3D" w:rsidR="00F422A6" w:rsidRPr="0040534B" w:rsidRDefault="00F422A6" w:rsidP="004844B8">
            <w:pPr>
              <w:pStyle w:val="TableText0"/>
              <w:keepLines/>
              <w:jc w:val="center"/>
              <w:rPr>
                <w:b/>
                <w:bCs w:val="0"/>
              </w:rPr>
            </w:pPr>
            <w:r w:rsidRPr="0040534B">
              <w:rPr>
                <w:b/>
                <w:bCs w:val="0"/>
              </w:rPr>
              <w:t>0.0025</w:t>
            </w:r>
          </w:p>
        </w:tc>
      </w:tr>
      <w:tr w:rsidR="00B868D1" w:rsidRPr="0040534B" w14:paraId="290DA0CE" w14:textId="77777777" w:rsidTr="00C124DD">
        <w:tc>
          <w:tcPr>
            <w:tcW w:w="5000" w:type="pct"/>
            <w:gridSpan w:val="14"/>
            <w:vAlign w:val="center"/>
          </w:tcPr>
          <w:p w14:paraId="39666A6D" w14:textId="39077932" w:rsidR="00F422A6" w:rsidRPr="0040534B" w:rsidRDefault="00F422A6" w:rsidP="004844B8">
            <w:pPr>
              <w:pStyle w:val="TableText0"/>
              <w:keepLines/>
              <w:rPr>
                <w:b/>
                <w:bCs w:val="0"/>
              </w:rPr>
            </w:pPr>
            <w:r w:rsidRPr="0040534B">
              <w:rPr>
                <w:b/>
                <w:bCs w:val="0"/>
              </w:rPr>
              <w:t>Change from baseline in mean HIT-6</w:t>
            </w:r>
          </w:p>
        </w:tc>
      </w:tr>
      <w:tr w:rsidR="00B868D1" w:rsidRPr="0040534B" w14:paraId="37C24704" w14:textId="77777777" w:rsidTr="00C124DD">
        <w:tc>
          <w:tcPr>
            <w:tcW w:w="614" w:type="pct"/>
            <w:vAlign w:val="center"/>
          </w:tcPr>
          <w:p w14:paraId="0ADEC413" w14:textId="0A5A7E07" w:rsidR="00F422A6" w:rsidRPr="0040534B" w:rsidRDefault="00F422A6" w:rsidP="004844B8">
            <w:pPr>
              <w:pStyle w:val="TableText0"/>
              <w:keepLines/>
            </w:pPr>
            <w:r w:rsidRPr="0040534B">
              <w:t>PROGRESS</w:t>
            </w:r>
          </w:p>
        </w:tc>
        <w:tc>
          <w:tcPr>
            <w:tcW w:w="961" w:type="pct"/>
            <w:gridSpan w:val="2"/>
            <w:vAlign w:val="center"/>
          </w:tcPr>
          <w:p w14:paraId="1F14BA16" w14:textId="534EA81E" w:rsidR="00F422A6" w:rsidRPr="0040534B" w:rsidRDefault="00F422A6" w:rsidP="004844B8">
            <w:pPr>
              <w:pStyle w:val="TableText0"/>
              <w:keepLines/>
            </w:pPr>
            <w:r w:rsidRPr="0040534B">
              <w:t>ATOG 60</w:t>
            </w:r>
            <w:r w:rsidR="006F04A7" w:rsidRPr="0040534B">
              <w:t xml:space="preserve"> </w:t>
            </w:r>
            <w:r w:rsidRPr="0040534B">
              <w:t>mg vs. PBO</w:t>
            </w:r>
          </w:p>
        </w:tc>
        <w:tc>
          <w:tcPr>
            <w:tcW w:w="370" w:type="pct"/>
            <w:gridSpan w:val="2"/>
            <w:vAlign w:val="center"/>
          </w:tcPr>
          <w:p w14:paraId="7933A5C5" w14:textId="088FB675" w:rsidR="00F422A6" w:rsidRPr="0040534B" w:rsidRDefault="00F422A6" w:rsidP="004844B8">
            <w:pPr>
              <w:pStyle w:val="TableText0"/>
              <w:keepLines/>
              <w:jc w:val="center"/>
            </w:pPr>
            <w:r w:rsidRPr="0040534B">
              <w:t>256</w:t>
            </w:r>
          </w:p>
        </w:tc>
        <w:tc>
          <w:tcPr>
            <w:tcW w:w="396" w:type="pct"/>
            <w:gridSpan w:val="3"/>
            <w:vAlign w:val="center"/>
          </w:tcPr>
          <w:p w14:paraId="4D6B7738" w14:textId="10BBC5FC" w:rsidR="00F422A6" w:rsidRPr="0040534B" w:rsidRDefault="00F422A6" w:rsidP="004844B8">
            <w:pPr>
              <w:pStyle w:val="TableText0"/>
              <w:keepLines/>
              <w:jc w:val="center"/>
            </w:pPr>
            <w:r w:rsidRPr="0040534B">
              <w:t>64.26 (5.005)</w:t>
            </w:r>
          </w:p>
        </w:tc>
        <w:tc>
          <w:tcPr>
            <w:tcW w:w="470" w:type="pct"/>
            <w:vAlign w:val="center"/>
          </w:tcPr>
          <w:p w14:paraId="2EC9748A" w14:textId="39EB7458" w:rsidR="00F422A6" w:rsidRPr="0040534B" w:rsidRDefault="00F422A6" w:rsidP="004844B8">
            <w:pPr>
              <w:pStyle w:val="TableText0"/>
              <w:keepLines/>
              <w:jc w:val="center"/>
            </w:pPr>
            <w:r w:rsidRPr="0040534B">
              <w:t>-7.94 [0.513]</w:t>
            </w:r>
          </w:p>
        </w:tc>
        <w:tc>
          <w:tcPr>
            <w:tcW w:w="302" w:type="pct"/>
            <w:vAlign w:val="center"/>
          </w:tcPr>
          <w:p w14:paraId="018899C5" w14:textId="282EF5C4" w:rsidR="00F422A6" w:rsidRPr="0040534B" w:rsidRDefault="00F422A6" w:rsidP="004844B8">
            <w:pPr>
              <w:pStyle w:val="TableText0"/>
              <w:keepLines/>
              <w:jc w:val="center"/>
            </w:pPr>
            <w:r w:rsidRPr="0040534B">
              <w:t>246</w:t>
            </w:r>
          </w:p>
        </w:tc>
        <w:tc>
          <w:tcPr>
            <w:tcW w:w="421" w:type="pct"/>
            <w:vAlign w:val="center"/>
          </w:tcPr>
          <w:p w14:paraId="707FC08D" w14:textId="3D840D3C" w:rsidR="00F422A6" w:rsidRPr="0040534B" w:rsidRDefault="00F422A6" w:rsidP="004844B8">
            <w:pPr>
              <w:pStyle w:val="TableText0"/>
              <w:keepLines/>
              <w:jc w:val="center"/>
            </w:pPr>
            <w:r w:rsidRPr="0040534B">
              <w:t>64.08 (4.768)</w:t>
            </w:r>
          </w:p>
        </w:tc>
        <w:tc>
          <w:tcPr>
            <w:tcW w:w="491" w:type="pct"/>
            <w:vAlign w:val="center"/>
          </w:tcPr>
          <w:p w14:paraId="700AE4F2" w14:textId="2A90CE0E" w:rsidR="00F422A6" w:rsidRPr="0040534B" w:rsidRDefault="00F422A6" w:rsidP="004844B8">
            <w:pPr>
              <w:pStyle w:val="TableText0"/>
              <w:keepLines/>
              <w:jc w:val="center"/>
            </w:pPr>
            <w:r w:rsidRPr="0040534B">
              <w:t>-5.17 [0.520]</w:t>
            </w:r>
          </w:p>
        </w:tc>
        <w:tc>
          <w:tcPr>
            <w:tcW w:w="613" w:type="pct"/>
            <w:vAlign w:val="center"/>
          </w:tcPr>
          <w:p w14:paraId="2C9CE5EB" w14:textId="68018A96" w:rsidR="00F422A6" w:rsidRPr="000C4C75" w:rsidRDefault="00F422A6" w:rsidP="004844B8">
            <w:pPr>
              <w:pStyle w:val="TableText0"/>
              <w:keepLines/>
              <w:jc w:val="center"/>
              <w:rPr>
                <w:b/>
                <w:bCs w:val="0"/>
              </w:rPr>
            </w:pPr>
            <w:r w:rsidRPr="000C4C75">
              <w:rPr>
                <w:b/>
                <w:bCs w:val="0"/>
              </w:rPr>
              <w:t xml:space="preserve">-2.77 </w:t>
            </w:r>
          </w:p>
          <w:p w14:paraId="68C82179" w14:textId="1A2D38D9" w:rsidR="00F422A6" w:rsidRPr="000C4C75" w:rsidRDefault="00F422A6" w:rsidP="004844B8">
            <w:pPr>
              <w:pStyle w:val="TableText0"/>
              <w:keepLines/>
              <w:jc w:val="center"/>
              <w:rPr>
                <w:b/>
                <w:bCs w:val="0"/>
              </w:rPr>
            </w:pPr>
            <w:r w:rsidRPr="000C4C75">
              <w:rPr>
                <w:b/>
                <w:bCs w:val="0"/>
              </w:rPr>
              <w:t>(-4.14, -1.40)</w:t>
            </w:r>
          </w:p>
        </w:tc>
        <w:tc>
          <w:tcPr>
            <w:tcW w:w="363" w:type="pct"/>
            <w:vAlign w:val="center"/>
          </w:tcPr>
          <w:p w14:paraId="60B9175D" w14:textId="6927B2F0" w:rsidR="00F422A6" w:rsidRPr="000C4C75" w:rsidRDefault="00F422A6" w:rsidP="004844B8">
            <w:pPr>
              <w:pStyle w:val="TableText0"/>
              <w:keepLines/>
              <w:jc w:val="center"/>
              <w:rPr>
                <w:b/>
                <w:bCs w:val="0"/>
              </w:rPr>
            </w:pPr>
            <w:r w:rsidRPr="000C4C75">
              <w:rPr>
                <w:b/>
                <w:bCs w:val="0"/>
              </w:rPr>
              <w:t>&lt;0.0001</w:t>
            </w:r>
          </w:p>
        </w:tc>
      </w:tr>
    </w:tbl>
    <w:p w14:paraId="332B4470" w14:textId="41FE3B35" w:rsidR="00F03CD4" w:rsidRPr="0040534B" w:rsidRDefault="00F03CD4" w:rsidP="004844B8">
      <w:pPr>
        <w:pStyle w:val="FooterTableFigure"/>
        <w:keepNext/>
        <w:keepLines/>
        <w:rPr>
          <w:b/>
          <w:bCs/>
          <w:sz w:val="20"/>
        </w:rPr>
      </w:pPr>
      <w:r w:rsidRPr="0040534B">
        <w:t xml:space="preserve">Source: </w:t>
      </w:r>
      <w:r w:rsidR="00F422A6" w:rsidRPr="0040534B">
        <w:t xml:space="preserve">Table 2-22, pp86-87 of the submission; Tables 14, 19 &amp; 21 of the PROGRESS CSR. </w:t>
      </w:r>
      <w:r w:rsidR="00F422A6" w:rsidRPr="0040534B">
        <w:rPr>
          <w:rFonts w:eastAsia="Calibri"/>
          <w:b/>
        </w:rPr>
        <w:t>Bold</w:t>
      </w:r>
      <w:r w:rsidR="00F422A6" w:rsidRPr="0040534B">
        <w:rPr>
          <w:rFonts w:eastAsia="Calibri"/>
        </w:rPr>
        <w:t xml:space="preserve"> indicates statistically significant results. </w:t>
      </w:r>
      <w:r w:rsidR="00F422A6" w:rsidRPr="0040534B">
        <w:rPr>
          <w:rFonts w:eastAsia="Calibri"/>
          <w:i/>
          <w:iCs/>
        </w:rPr>
        <w:t>Italicised text (p-values with multiplicity adjustment) added during the evaluation. Change from baseline in mean HIT-6 was assessed without adjusting for multiplicity so is nominally significant.</w:t>
      </w:r>
    </w:p>
    <w:p w14:paraId="1DED4A51" w14:textId="77777777" w:rsidR="00F03CD4" w:rsidRPr="0040534B" w:rsidRDefault="00F03CD4" w:rsidP="004844B8">
      <w:pPr>
        <w:pStyle w:val="FooterTableFigure"/>
        <w:keepNext/>
        <w:keepLines/>
      </w:pPr>
      <w:r w:rsidRPr="0040534B">
        <w:t xml:space="preserve">AIM-D = activity impairment in migraine diary; ATOG = Atogepant; CI = confidence interval; HIT-6 = headache impact test-6; LSM = least-squares mean; </w:t>
      </w:r>
      <w:r w:rsidRPr="0040534B">
        <w:rPr>
          <w:szCs w:val="18"/>
        </w:rPr>
        <w:t>LSMD = least-squares mean difference;</w:t>
      </w:r>
      <w:r w:rsidRPr="0040534B">
        <w:t xml:space="preserve"> MMRM = mixed model for repeated measure; MSQ-RFR = Migraine-Specific Quality of Life Questionnaire version 2.1 – role function-restrictive domain score; </w:t>
      </w:r>
      <w:r w:rsidRPr="0040534B">
        <w:rPr>
          <w:szCs w:val="18"/>
        </w:rPr>
        <w:t xml:space="preserve">N = total participants in group; PBO = placebo; </w:t>
      </w:r>
      <w:r w:rsidRPr="0040534B">
        <w:t>SD = standard deviation; SE = standard error.</w:t>
      </w:r>
    </w:p>
    <w:p w14:paraId="3348BFCC" w14:textId="3E82F4CF" w:rsidR="00F03CD4" w:rsidRPr="0040534B" w:rsidRDefault="00F03CD4" w:rsidP="00F03CD4">
      <w:pPr>
        <w:pStyle w:val="3-BodyText"/>
      </w:pPr>
      <w:r w:rsidRPr="0040534B">
        <w:t xml:space="preserve">The whole trial analysis of the atogepant PROGRESS trial indicated that atogepant was superior to placebo in terms of the primary outcome (change of mean monthly migraine days) and </w:t>
      </w:r>
      <w:r w:rsidR="00CB56D9" w:rsidRPr="0040534B">
        <w:t>the majority of</w:t>
      </w:r>
      <w:r w:rsidRPr="0040534B">
        <w:t xml:space="preserve"> secondary outcomes. The mean difference in reduction in monthly migraine days </w:t>
      </w:r>
      <w:r w:rsidR="00CB56D9" w:rsidRPr="0040534B">
        <w:t xml:space="preserve">(-1.87; 95% CI: -2.93, -0.81) </w:t>
      </w:r>
      <w:r w:rsidRPr="0040534B">
        <w:t>did not meet the MCID of two days proposed by the submission.</w:t>
      </w:r>
    </w:p>
    <w:p w14:paraId="08F2BBB2" w14:textId="567F544C" w:rsidR="00F03CD4" w:rsidRPr="0040534B" w:rsidRDefault="00F03CD4" w:rsidP="00F03CD4">
      <w:pPr>
        <w:pStyle w:val="3-BodyText"/>
        <w:rPr>
          <w:color w:val="0066FF"/>
        </w:rPr>
      </w:pPr>
      <w:r w:rsidRPr="0040534B">
        <w:rPr>
          <w:rFonts w:eastAsia="Calibri"/>
        </w:rPr>
        <w:t>The submission stated that the comparative improvement in the change from baseline in the HIT-6 score of -2.77 (95%</w:t>
      </w:r>
      <w:r w:rsidR="00104D9F" w:rsidRPr="0040534B">
        <w:rPr>
          <w:rFonts w:eastAsia="Calibri"/>
        </w:rPr>
        <w:t xml:space="preserve"> </w:t>
      </w:r>
      <w:r w:rsidRPr="0040534B">
        <w:rPr>
          <w:rFonts w:eastAsia="Calibri"/>
        </w:rPr>
        <w:t>CI</w:t>
      </w:r>
      <w:r w:rsidR="00104D9F" w:rsidRPr="0040534B">
        <w:rPr>
          <w:rFonts w:eastAsia="Calibri"/>
        </w:rPr>
        <w:t>:</w:t>
      </w:r>
      <w:r w:rsidRPr="0040534B">
        <w:rPr>
          <w:rFonts w:eastAsia="Calibri"/>
        </w:rPr>
        <w:t xml:space="preserve"> -4.14, -1.40) between atogepant and placebo was above the MCID of -2.3 for chronic migraine, demonstrating a clinically meaningful improvement in headache-specific quality of life with atogepant treatment. The upper 95% bound </w:t>
      </w:r>
      <w:r w:rsidR="0050433A" w:rsidRPr="0040534B">
        <w:rPr>
          <w:rFonts w:eastAsia="Calibri"/>
        </w:rPr>
        <w:t xml:space="preserve">(-1.40) </w:t>
      </w:r>
      <w:r w:rsidRPr="0040534B">
        <w:rPr>
          <w:rFonts w:eastAsia="Calibri"/>
        </w:rPr>
        <w:t xml:space="preserve">of the improvement in HIT-6 was </w:t>
      </w:r>
      <w:r w:rsidR="0050433A" w:rsidRPr="0040534B">
        <w:rPr>
          <w:rFonts w:eastAsia="Calibri"/>
        </w:rPr>
        <w:t xml:space="preserve">less than </w:t>
      </w:r>
      <w:r w:rsidRPr="0040534B">
        <w:rPr>
          <w:rFonts w:eastAsia="Calibri"/>
        </w:rPr>
        <w:t>the MCID of -2.3</w:t>
      </w:r>
      <w:r w:rsidR="0050433A" w:rsidRPr="0040534B">
        <w:rPr>
          <w:rFonts w:eastAsia="Calibri"/>
        </w:rPr>
        <w:t xml:space="preserve">, suggesting that the improvement was potentially not clinically </w:t>
      </w:r>
      <w:r w:rsidR="001525DB" w:rsidRPr="0040534B">
        <w:rPr>
          <w:rFonts w:eastAsia="Calibri"/>
        </w:rPr>
        <w:t>significant</w:t>
      </w:r>
      <w:r w:rsidRPr="0040534B">
        <w:rPr>
          <w:rFonts w:eastAsia="Calibri"/>
        </w:rPr>
        <w:t xml:space="preserve">. </w:t>
      </w:r>
      <w:bookmarkStart w:id="46" w:name="_Hlk134437598"/>
      <w:r w:rsidR="0050433A" w:rsidRPr="0040534B">
        <w:rPr>
          <w:rFonts w:eastAsia="Calibri"/>
        </w:rPr>
        <w:t>The c</w:t>
      </w:r>
      <w:r w:rsidRPr="0040534B">
        <w:rPr>
          <w:rFonts w:eastAsia="Calibri"/>
        </w:rPr>
        <w:t>hange from baseline in HIT-6 was not relied upon for the clinical claim.</w:t>
      </w:r>
      <w:bookmarkEnd w:id="46"/>
    </w:p>
    <w:p w14:paraId="12B56B0E" w14:textId="42ADFD61" w:rsidR="007C230D" w:rsidRPr="0040534B" w:rsidRDefault="007C230D" w:rsidP="007C230D">
      <w:pPr>
        <w:pStyle w:val="3-BodyText"/>
      </w:pPr>
      <w:r w:rsidRPr="0040534B">
        <w:t xml:space="preserve">The submission also presented results for response, defined as a ≥50% reduction in mean monthly migraine days as a dichotomous outcome for the PROGRESS trial (not </w:t>
      </w:r>
      <w:r w:rsidRPr="0040534B">
        <w:lastRenderedPageBreak/>
        <w:t>presented above). A statistically significant higher proportion of participants achieved a ≥50% reduction in monthly migraine days with atogepant 60 mg once daily (105/256; 41.0%) compared with placebo (64/246; 29.2%) with an odds ratio of 2.04 (95% Confidence Interval [CI]: 1.38, 3.00; p=0.0003).</w:t>
      </w:r>
    </w:p>
    <w:p w14:paraId="455C16CD" w14:textId="75EE3CA3" w:rsidR="00EC2CF6" w:rsidRPr="0040534B" w:rsidRDefault="00F03CD4" w:rsidP="00EC2CF6">
      <w:pPr>
        <w:pStyle w:val="3-BodyText"/>
      </w:pPr>
      <w:r w:rsidRPr="0040534B">
        <w:fldChar w:fldCharType="begin" w:fldLock="1"/>
      </w:r>
      <w:r w:rsidRPr="0040534B">
        <w:instrText xml:space="preserve"> REF _Ref134031783 \h </w:instrText>
      </w:r>
      <w:r w:rsidR="00653EEA" w:rsidRPr="0040534B">
        <w:instrText xml:space="preserve"> \* MERGEFORMAT </w:instrText>
      </w:r>
      <w:r w:rsidRPr="0040534B">
        <w:fldChar w:fldCharType="separate"/>
      </w:r>
      <w:r w:rsidR="004E201F" w:rsidRPr="0040534B">
        <w:t xml:space="preserve">Table </w:t>
      </w:r>
      <w:r w:rsidR="004E201F">
        <w:t>6</w:t>
      </w:r>
      <w:r w:rsidRPr="0040534B">
        <w:fldChar w:fldCharType="end"/>
      </w:r>
      <w:r w:rsidRPr="0040534B">
        <w:t xml:space="preserve"> presents </w:t>
      </w:r>
      <w:r w:rsidR="00CB56D9" w:rsidRPr="0040534B">
        <w:t xml:space="preserve">results for change from baseline in mean monthly migraine days for the whole trial populations and </w:t>
      </w:r>
      <w:r w:rsidRPr="0040534B">
        <w:t>subgroup analys</w:t>
      </w:r>
      <w:r w:rsidR="00CB56D9" w:rsidRPr="0040534B">
        <w:t>e</w:t>
      </w:r>
      <w:r w:rsidRPr="0040534B">
        <w:t xml:space="preserve">s based on the number of current or prior migraine prevention medication failures. </w:t>
      </w:r>
    </w:p>
    <w:p w14:paraId="10DF22C5" w14:textId="23669E67" w:rsidR="00F03CD4" w:rsidRPr="0040534B" w:rsidRDefault="00F03CD4" w:rsidP="004844B8">
      <w:pPr>
        <w:pStyle w:val="Caption"/>
        <w:rPr>
          <w:rStyle w:val="CommentReference"/>
          <w:b/>
          <w:szCs w:val="24"/>
        </w:rPr>
      </w:pPr>
      <w:bookmarkStart w:id="47" w:name="_Ref134031783"/>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6</w:t>
      </w:r>
      <w:r w:rsidR="001968FD">
        <w:rPr>
          <w:noProof/>
        </w:rPr>
        <w:fldChar w:fldCharType="end"/>
      </w:r>
      <w:bookmarkEnd w:id="47"/>
      <w:r w:rsidRPr="0040534B">
        <w:rPr>
          <w:rStyle w:val="CommentReference"/>
          <w:b/>
          <w:szCs w:val="24"/>
        </w:rPr>
        <w:t xml:space="preserve">: Results of change in mean monthly migraine days at 12 weeks/three months for participants with chronic migraine (whole trial and subgroup analyses): continuous data with outcome presented as change from baseline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5"/>
        <w:gridCol w:w="1800"/>
        <w:gridCol w:w="601"/>
        <w:gridCol w:w="839"/>
        <w:gridCol w:w="961"/>
        <w:gridCol w:w="601"/>
        <w:gridCol w:w="840"/>
        <w:gridCol w:w="961"/>
        <w:gridCol w:w="1219"/>
      </w:tblGrid>
      <w:tr w:rsidR="00F478FB" w:rsidRPr="0040534B" w14:paraId="6D994304" w14:textId="77777777" w:rsidTr="00F478FB">
        <w:trPr>
          <w:trHeight w:val="229"/>
          <w:tblHeader/>
        </w:trPr>
        <w:tc>
          <w:tcPr>
            <w:tcW w:w="663" w:type="pct"/>
            <w:vMerge w:val="restart"/>
            <w:vAlign w:val="center"/>
          </w:tcPr>
          <w:p w14:paraId="5B459A3C" w14:textId="77777777" w:rsidR="00F03CD4" w:rsidRPr="0040534B" w:rsidRDefault="00F03CD4" w:rsidP="004844B8">
            <w:pPr>
              <w:pStyle w:val="In-tableHeading"/>
              <w:keepLines/>
              <w:jc w:val="center"/>
              <w:rPr>
                <w:lang w:val="en-AU"/>
              </w:rPr>
            </w:pPr>
            <w:r w:rsidRPr="0040534B">
              <w:rPr>
                <w:lang w:val="en-AU"/>
              </w:rPr>
              <w:t>Trial ID/ Subgroup</w:t>
            </w:r>
          </w:p>
        </w:tc>
        <w:tc>
          <w:tcPr>
            <w:tcW w:w="998" w:type="pct"/>
            <w:vMerge w:val="restart"/>
            <w:vAlign w:val="center"/>
          </w:tcPr>
          <w:p w14:paraId="183AD241" w14:textId="77777777" w:rsidR="00F03CD4" w:rsidRPr="0040534B" w:rsidRDefault="00F03CD4" w:rsidP="004844B8">
            <w:pPr>
              <w:pStyle w:val="In-tableHeading"/>
              <w:keepLines/>
              <w:jc w:val="center"/>
              <w:rPr>
                <w:iCs/>
                <w:lang w:val="en-AU"/>
              </w:rPr>
            </w:pPr>
            <w:r w:rsidRPr="0040534B">
              <w:rPr>
                <w:iCs/>
                <w:lang w:val="en-AU"/>
              </w:rPr>
              <w:t>Treatment arms</w:t>
            </w:r>
          </w:p>
        </w:tc>
        <w:tc>
          <w:tcPr>
            <w:tcW w:w="1331" w:type="pct"/>
            <w:gridSpan w:val="3"/>
            <w:vAlign w:val="center"/>
          </w:tcPr>
          <w:p w14:paraId="23A0D504" w14:textId="77777777" w:rsidR="00F03CD4" w:rsidRPr="0040534B" w:rsidRDefault="00F03CD4" w:rsidP="004844B8">
            <w:pPr>
              <w:pStyle w:val="In-tableHeading"/>
              <w:keepLines/>
              <w:jc w:val="center"/>
              <w:rPr>
                <w:iCs/>
                <w:lang w:val="en-AU"/>
              </w:rPr>
            </w:pPr>
            <w:r w:rsidRPr="0040534B">
              <w:rPr>
                <w:iCs/>
                <w:lang w:val="en-AU"/>
              </w:rPr>
              <w:t>CGRP inhibitor</w:t>
            </w:r>
          </w:p>
        </w:tc>
        <w:tc>
          <w:tcPr>
            <w:tcW w:w="1331" w:type="pct"/>
            <w:gridSpan w:val="3"/>
            <w:vAlign w:val="center"/>
          </w:tcPr>
          <w:p w14:paraId="6C18C647" w14:textId="77777777" w:rsidR="00F03CD4" w:rsidRPr="0040534B" w:rsidRDefault="00F03CD4" w:rsidP="004844B8">
            <w:pPr>
              <w:pStyle w:val="In-tableHeading"/>
              <w:keepLines/>
              <w:jc w:val="center"/>
              <w:rPr>
                <w:iCs/>
                <w:lang w:val="en-AU"/>
              </w:rPr>
            </w:pPr>
            <w:r w:rsidRPr="0040534B">
              <w:rPr>
                <w:iCs/>
                <w:lang w:val="en-AU"/>
              </w:rPr>
              <w:t>Placebo</w:t>
            </w:r>
          </w:p>
        </w:tc>
        <w:tc>
          <w:tcPr>
            <w:tcW w:w="677" w:type="pct"/>
            <w:vMerge w:val="restart"/>
            <w:vAlign w:val="center"/>
          </w:tcPr>
          <w:p w14:paraId="0D7B8B1B" w14:textId="296EB8F9" w:rsidR="00F03CD4" w:rsidRPr="0040534B" w:rsidRDefault="00F03CD4" w:rsidP="004844B8">
            <w:pPr>
              <w:pStyle w:val="In-tableHeading"/>
              <w:keepLines/>
              <w:jc w:val="center"/>
              <w:rPr>
                <w:iCs/>
                <w:lang w:val="en-AU"/>
              </w:rPr>
            </w:pPr>
            <w:r w:rsidRPr="0040534B">
              <w:rPr>
                <w:iCs/>
                <w:lang w:val="en-AU"/>
              </w:rPr>
              <w:t>Mean difference</w:t>
            </w:r>
            <w:r w:rsidRPr="0040534B">
              <w:rPr>
                <w:iCs/>
                <w:vertAlign w:val="superscript"/>
                <w:lang w:val="en-AU"/>
              </w:rPr>
              <w:t>a</w:t>
            </w:r>
          </w:p>
          <w:p w14:paraId="57944148" w14:textId="33808878" w:rsidR="00F03CD4" w:rsidRPr="0040534B" w:rsidRDefault="00F03CD4" w:rsidP="004844B8">
            <w:pPr>
              <w:pStyle w:val="In-tableHeading"/>
              <w:keepLines/>
              <w:jc w:val="center"/>
              <w:rPr>
                <w:iCs/>
                <w:lang w:val="en-AU"/>
              </w:rPr>
            </w:pPr>
            <w:r w:rsidRPr="0040534B">
              <w:rPr>
                <w:iCs/>
                <w:lang w:val="en-AU"/>
              </w:rPr>
              <w:t>(95%CI)</w:t>
            </w:r>
          </w:p>
        </w:tc>
      </w:tr>
      <w:tr w:rsidR="00F478FB" w:rsidRPr="0040534B" w14:paraId="74EE4854" w14:textId="77777777" w:rsidTr="00F478FB">
        <w:trPr>
          <w:tblHeader/>
        </w:trPr>
        <w:tc>
          <w:tcPr>
            <w:tcW w:w="663" w:type="pct"/>
            <w:vMerge/>
            <w:vAlign w:val="center"/>
          </w:tcPr>
          <w:p w14:paraId="2BACE4D1" w14:textId="77777777" w:rsidR="00F03CD4" w:rsidRPr="0040534B" w:rsidRDefault="00F03CD4" w:rsidP="004844B8">
            <w:pPr>
              <w:pStyle w:val="In-tableHeading"/>
              <w:keepLines/>
              <w:jc w:val="center"/>
              <w:rPr>
                <w:lang w:val="en-AU"/>
              </w:rPr>
            </w:pPr>
          </w:p>
        </w:tc>
        <w:tc>
          <w:tcPr>
            <w:tcW w:w="998" w:type="pct"/>
            <w:vMerge/>
          </w:tcPr>
          <w:p w14:paraId="22D30337" w14:textId="77777777" w:rsidR="00F03CD4" w:rsidRPr="0040534B" w:rsidRDefault="00F03CD4" w:rsidP="004844B8">
            <w:pPr>
              <w:pStyle w:val="In-tableHeading"/>
              <w:keepLines/>
              <w:jc w:val="center"/>
              <w:rPr>
                <w:iCs/>
                <w:lang w:val="en-AU"/>
              </w:rPr>
            </w:pPr>
          </w:p>
        </w:tc>
        <w:tc>
          <w:tcPr>
            <w:tcW w:w="333" w:type="pct"/>
            <w:vAlign w:val="center"/>
          </w:tcPr>
          <w:p w14:paraId="142F0DEE" w14:textId="77777777" w:rsidR="00F03CD4" w:rsidRPr="0040534B" w:rsidRDefault="00F03CD4" w:rsidP="004844B8">
            <w:pPr>
              <w:pStyle w:val="In-tableHeading"/>
              <w:keepLines/>
              <w:jc w:val="center"/>
              <w:rPr>
                <w:iCs/>
                <w:lang w:val="en-AU"/>
              </w:rPr>
            </w:pPr>
            <w:r w:rsidRPr="0040534B">
              <w:rPr>
                <w:iCs/>
                <w:lang w:val="en-AU"/>
              </w:rPr>
              <w:t>N</w:t>
            </w:r>
          </w:p>
        </w:tc>
        <w:tc>
          <w:tcPr>
            <w:tcW w:w="465" w:type="pct"/>
            <w:shd w:val="clear" w:color="auto" w:fill="auto"/>
          </w:tcPr>
          <w:p w14:paraId="6C3618BC" w14:textId="58675C77" w:rsidR="00F03CD4" w:rsidRPr="0040534B" w:rsidRDefault="00F03CD4" w:rsidP="004844B8">
            <w:pPr>
              <w:pStyle w:val="In-tableHeading"/>
              <w:keepLines/>
              <w:jc w:val="center"/>
              <w:rPr>
                <w:iCs/>
                <w:lang w:val="en-AU"/>
              </w:rPr>
            </w:pPr>
            <w:r w:rsidRPr="0040534B">
              <w:rPr>
                <w:iCs/>
                <w:lang w:val="en-AU"/>
              </w:rPr>
              <w:t>Mean baseline (SD)</w:t>
            </w:r>
          </w:p>
        </w:tc>
        <w:tc>
          <w:tcPr>
            <w:tcW w:w="532" w:type="pct"/>
            <w:shd w:val="clear" w:color="auto" w:fill="auto"/>
          </w:tcPr>
          <w:p w14:paraId="725FC3C1" w14:textId="77777777" w:rsidR="00F03CD4" w:rsidRPr="0040534B" w:rsidRDefault="00F03CD4" w:rsidP="004844B8">
            <w:pPr>
              <w:pStyle w:val="In-tableHeading"/>
              <w:keepLines/>
              <w:jc w:val="center"/>
              <w:rPr>
                <w:iCs/>
                <w:lang w:val="en-AU"/>
              </w:rPr>
            </w:pPr>
            <w:r w:rsidRPr="0040534B">
              <w:rPr>
                <w:iCs/>
                <w:lang w:val="en-AU"/>
              </w:rPr>
              <w:t>Mean change [SE]</w:t>
            </w:r>
            <w:r w:rsidRPr="0040534B">
              <w:rPr>
                <w:iCs/>
                <w:vertAlign w:val="superscript"/>
                <w:lang w:val="en-AU"/>
              </w:rPr>
              <w:t>a</w:t>
            </w:r>
            <w:r w:rsidRPr="0040534B">
              <w:rPr>
                <w:iCs/>
                <w:lang w:val="en-AU"/>
              </w:rPr>
              <w:t xml:space="preserve"> </w:t>
            </w:r>
          </w:p>
        </w:tc>
        <w:tc>
          <w:tcPr>
            <w:tcW w:w="333" w:type="pct"/>
            <w:shd w:val="clear" w:color="auto" w:fill="auto"/>
            <w:vAlign w:val="center"/>
          </w:tcPr>
          <w:p w14:paraId="5EE5ACD6" w14:textId="77777777" w:rsidR="00F03CD4" w:rsidRPr="0040534B" w:rsidRDefault="00F03CD4" w:rsidP="004844B8">
            <w:pPr>
              <w:pStyle w:val="In-tableHeading"/>
              <w:keepLines/>
              <w:jc w:val="center"/>
              <w:rPr>
                <w:iCs/>
                <w:lang w:val="en-AU"/>
              </w:rPr>
            </w:pPr>
            <w:r w:rsidRPr="0040534B">
              <w:rPr>
                <w:iCs/>
                <w:lang w:val="en-AU"/>
              </w:rPr>
              <w:t>N</w:t>
            </w:r>
          </w:p>
        </w:tc>
        <w:tc>
          <w:tcPr>
            <w:tcW w:w="466" w:type="pct"/>
            <w:shd w:val="clear" w:color="auto" w:fill="auto"/>
          </w:tcPr>
          <w:p w14:paraId="2C2472F9" w14:textId="105328B6" w:rsidR="00F03CD4" w:rsidRPr="0040534B" w:rsidRDefault="00F03CD4" w:rsidP="004844B8">
            <w:pPr>
              <w:pStyle w:val="In-tableHeading"/>
              <w:keepLines/>
              <w:jc w:val="center"/>
              <w:rPr>
                <w:iCs/>
                <w:lang w:val="en-AU"/>
              </w:rPr>
            </w:pPr>
            <w:r w:rsidRPr="0040534B">
              <w:rPr>
                <w:iCs/>
                <w:lang w:val="en-AU"/>
              </w:rPr>
              <w:t>Mean baseline (SD)</w:t>
            </w:r>
          </w:p>
        </w:tc>
        <w:tc>
          <w:tcPr>
            <w:tcW w:w="533" w:type="pct"/>
            <w:shd w:val="clear" w:color="auto" w:fill="auto"/>
          </w:tcPr>
          <w:p w14:paraId="0D5B7D26" w14:textId="77777777" w:rsidR="00F03CD4" w:rsidRPr="0040534B" w:rsidRDefault="00F03CD4" w:rsidP="004844B8">
            <w:pPr>
              <w:pStyle w:val="In-tableHeading"/>
              <w:keepLines/>
              <w:jc w:val="center"/>
              <w:rPr>
                <w:iCs/>
                <w:lang w:val="en-AU"/>
              </w:rPr>
            </w:pPr>
            <w:r w:rsidRPr="0040534B">
              <w:rPr>
                <w:iCs/>
                <w:lang w:val="en-AU"/>
              </w:rPr>
              <w:t>Mean change [SE]</w:t>
            </w:r>
            <w:r w:rsidRPr="0040534B">
              <w:rPr>
                <w:iCs/>
                <w:vertAlign w:val="superscript"/>
                <w:lang w:val="en-AU"/>
              </w:rPr>
              <w:t>a</w:t>
            </w:r>
          </w:p>
        </w:tc>
        <w:tc>
          <w:tcPr>
            <w:tcW w:w="677" w:type="pct"/>
            <w:vMerge/>
            <w:vAlign w:val="center"/>
          </w:tcPr>
          <w:p w14:paraId="09DCC13F" w14:textId="77777777" w:rsidR="00F03CD4" w:rsidRPr="0040534B" w:rsidRDefault="00F03CD4" w:rsidP="004844B8">
            <w:pPr>
              <w:pStyle w:val="In-tableHeading"/>
              <w:keepLines/>
              <w:jc w:val="center"/>
              <w:rPr>
                <w:iCs/>
                <w:lang w:val="en-AU"/>
              </w:rPr>
            </w:pPr>
          </w:p>
        </w:tc>
      </w:tr>
      <w:tr w:rsidR="00B93983" w:rsidRPr="0040534B" w14:paraId="1C9CD16F" w14:textId="77777777" w:rsidTr="00B951B8">
        <w:tc>
          <w:tcPr>
            <w:tcW w:w="5000" w:type="pct"/>
            <w:gridSpan w:val="9"/>
          </w:tcPr>
          <w:p w14:paraId="132C1135" w14:textId="60311EFD" w:rsidR="00B93983" w:rsidRPr="0040534B" w:rsidRDefault="00B93983" w:rsidP="004844B8">
            <w:pPr>
              <w:pStyle w:val="TableText0"/>
              <w:keepLines/>
              <w:rPr>
                <w:b/>
                <w:bCs w:val="0"/>
              </w:rPr>
            </w:pPr>
            <w:r w:rsidRPr="0040534B">
              <w:rPr>
                <w:b/>
                <w:bCs w:val="0"/>
              </w:rPr>
              <w:t>Whole trial population</w:t>
            </w:r>
          </w:p>
        </w:tc>
      </w:tr>
      <w:tr w:rsidR="00F478FB" w:rsidRPr="0040534B" w14:paraId="4B18CEE4" w14:textId="77777777" w:rsidTr="00F478FB">
        <w:tc>
          <w:tcPr>
            <w:tcW w:w="663" w:type="pct"/>
            <w:vAlign w:val="center"/>
          </w:tcPr>
          <w:p w14:paraId="30482D39" w14:textId="17BAEC58" w:rsidR="00F03CD4" w:rsidRPr="0040534B" w:rsidRDefault="00B93983" w:rsidP="004844B8">
            <w:pPr>
              <w:pStyle w:val="TableText0"/>
              <w:keepLines/>
            </w:pPr>
            <w:r w:rsidRPr="0040534B">
              <w:t>PROGRESS</w:t>
            </w:r>
          </w:p>
        </w:tc>
        <w:tc>
          <w:tcPr>
            <w:tcW w:w="998" w:type="pct"/>
            <w:vAlign w:val="center"/>
          </w:tcPr>
          <w:p w14:paraId="5BFB9DB3" w14:textId="0B9456B3" w:rsidR="00F03CD4" w:rsidRPr="0040534B" w:rsidRDefault="00F03CD4" w:rsidP="004844B8">
            <w:pPr>
              <w:pStyle w:val="TableText0"/>
              <w:keepLines/>
            </w:pPr>
            <w:r w:rsidRPr="0040534B">
              <w:t>ATOG 60</w:t>
            </w:r>
            <w:r w:rsidR="006F04A7" w:rsidRPr="0040534B">
              <w:t xml:space="preserve"> </w:t>
            </w:r>
            <w:r w:rsidRPr="0040534B">
              <w:t>mg vs. PBO</w:t>
            </w:r>
          </w:p>
        </w:tc>
        <w:tc>
          <w:tcPr>
            <w:tcW w:w="333" w:type="pct"/>
            <w:vAlign w:val="center"/>
          </w:tcPr>
          <w:p w14:paraId="5EDDCC7E" w14:textId="77777777" w:rsidR="00F03CD4" w:rsidRPr="0040534B" w:rsidRDefault="00F03CD4" w:rsidP="004844B8">
            <w:pPr>
              <w:pStyle w:val="TableText0"/>
              <w:keepLines/>
              <w:jc w:val="center"/>
            </w:pPr>
            <w:r w:rsidRPr="0040534B">
              <w:t>256</w:t>
            </w:r>
          </w:p>
        </w:tc>
        <w:tc>
          <w:tcPr>
            <w:tcW w:w="465" w:type="pct"/>
            <w:vAlign w:val="center"/>
          </w:tcPr>
          <w:p w14:paraId="7DFAF043" w14:textId="7C7FEFA7" w:rsidR="00F03CD4" w:rsidRPr="0040534B" w:rsidRDefault="00F03CD4" w:rsidP="004844B8">
            <w:pPr>
              <w:pStyle w:val="TableText0"/>
              <w:keepLines/>
              <w:jc w:val="center"/>
            </w:pPr>
            <w:r w:rsidRPr="0040534B">
              <w:t>19.</w:t>
            </w:r>
            <w:r w:rsidR="00F478FB" w:rsidRPr="0040534B">
              <w:t>2</w:t>
            </w:r>
            <w:r w:rsidRPr="0040534B">
              <w:t xml:space="preserve"> (5.</w:t>
            </w:r>
            <w:r w:rsidR="00F478FB" w:rsidRPr="0040534B">
              <w:t>3</w:t>
            </w:r>
            <w:r w:rsidRPr="0040534B">
              <w:t>)</w:t>
            </w:r>
          </w:p>
        </w:tc>
        <w:tc>
          <w:tcPr>
            <w:tcW w:w="532" w:type="pct"/>
            <w:vAlign w:val="center"/>
          </w:tcPr>
          <w:p w14:paraId="1EE02929" w14:textId="5CA7D0C3" w:rsidR="00F03CD4" w:rsidRPr="0040534B" w:rsidRDefault="00F03CD4" w:rsidP="004844B8">
            <w:pPr>
              <w:pStyle w:val="TableText0"/>
              <w:keepLines/>
              <w:jc w:val="center"/>
            </w:pPr>
            <w:r w:rsidRPr="0040534B">
              <w:t>-6.</w:t>
            </w:r>
            <w:r w:rsidR="00F478FB" w:rsidRPr="0040534B">
              <w:t>9</w:t>
            </w:r>
            <w:r w:rsidRPr="0040534B">
              <w:t xml:space="preserve"> [0.4</w:t>
            </w:r>
            <w:r w:rsidR="00F478FB" w:rsidRPr="0040534B">
              <w:t>1</w:t>
            </w:r>
            <w:r w:rsidRPr="0040534B">
              <w:t>]</w:t>
            </w:r>
          </w:p>
        </w:tc>
        <w:tc>
          <w:tcPr>
            <w:tcW w:w="333" w:type="pct"/>
            <w:vAlign w:val="center"/>
          </w:tcPr>
          <w:p w14:paraId="1897D640" w14:textId="77777777" w:rsidR="00F03CD4" w:rsidRPr="0040534B" w:rsidRDefault="00F03CD4" w:rsidP="004844B8">
            <w:pPr>
              <w:pStyle w:val="TableText0"/>
              <w:keepLines/>
              <w:jc w:val="center"/>
            </w:pPr>
            <w:r w:rsidRPr="0040534B">
              <w:t>246</w:t>
            </w:r>
          </w:p>
        </w:tc>
        <w:tc>
          <w:tcPr>
            <w:tcW w:w="466" w:type="pct"/>
            <w:vAlign w:val="center"/>
          </w:tcPr>
          <w:p w14:paraId="14030C40" w14:textId="60F2B937" w:rsidR="00F03CD4" w:rsidRPr="0040534B" w:rsidRDefault="00F03CD4" w:rsidP="004844B8">
            <w:pPr>
              <w:pStyle w:val="TableText0"/>
              <w:keepLines/>
              <w:jc w:val="center"/>
            </w:pPr>
            <w:r w:rsidRPr="0040534B">
              <w:t>1</w:t>
            </w:r>
            <w:r w:rsidR="00F478FB" w:rsidRPr="0040534B">
              <w:t>9.0</w:t>
            </w:r>
            <w:r w:rsidRPr="0040534B">
              <w:t xml:space="preserve"> (4.</w:t>
            </w:r>
            <w:r w:rsidR="00F478FB" w:rsidRPr="0040534B">
              <w:t>8</w:t>
            </w:r>
            <w:r w:rsidRPr="0040534B">
              <w:t>)</w:t>
            </w:r>
          </w:p>
        </w:tc>
        <w:tc>
          <w:tcPr>
            <w:tcW w:w="533" w:type="pct"/>
            <w:vAlign w:val="center"/>
          </w:tcPr>
          <w:p w14:paraId="53F9B32A" w14:textId="60247CA4" w:rsidR="00F03CD4" w:rsidRPr="0040534B" w:rsidRDefault="00F03CD4" w:rsidP="004844B8">
            <w:pPr>
              <w:pStyle w:val="TableText0"/>
              <w:keepLines/>
              <w:jc w:val="center"/>
            </w:pPr>
            <w:r w:rsidRPr="0040534B">
              <w:t>-5.5 [0.4]</w:t>
            </w:r>
          </w:p>
        </w:tc>
        <w:tc>
          <w:tcPr>
            <w:tcW w:w="677" w:type="pct"/>
            <w:vAlign w:val="center"/>
          </w:tcPr>
          <w:p w14:paraId="2D5B29C7" w14:textId="72CE7E0F" w:rsidR="00F03CD4" w:rsidRPr="0040534B" w:rsidRDefault="00F03CD4" w:rsidP="004844B8">
            <w:pPr>
              <w:pStyle w:val="TableText0"/>
              <w:keepLines/>
              <w:jc w:val="center"/>
              <w:rPr>
                <w:b/>
                <w:bCs w:val="0"/>
              </w:rPr>
            </w:pPr>
            <w:r w:rsidRPr="0040534B">
              <w:rPr>
                <w:b/>
                <w:bCs w:val="0"/>
              </w:rPr>
              <w:t>-1.8</w:t>
            </w:r>
          </w:p>
          <w:p w14:paraId="1D5E70C4" w14:textId="4F8DAD8C" w:rsidR="00F03CD4" w:rsidRPr="0040534B" w:rsidRDefault="00F03CD4" w:rsidP="004844B8">
            <w:pPr>
              <w:pStyle w:val="TableText0"/>
              <w:keepLines/>
              <w:jc w:val="center"/>
              <w:rPr>
                <w:b/>
                <w:bCs w:val="0"/>
              </w:rPr>
            </w:pPr>
            <w:r w:rsidRPr="0040534B">
              <w:rPr>
                <w:b/>
                <w:bCs w:val="0"/>
              </w:rPr>
              <w:t>(-2.</w:t>
            </w:r>
            <w:r w:rsidR="00F478FB" w:rsidRPr="0040534B">
              <w:rPr>
                <w:b/>
                <w:bCs w:val="0"/>
              </w:rPr>
              <w:t>9</w:t>
            </w:r>
            <w:r w:rsidRPr="0040534B">
              <w:rPr>
                <w:b/>
                <w:bCs w:val="0"/>
              </w:rPr>
              <w:t>, -0.</w:t>
            </w:r>
            <w:r w:rsidR="00F478FB" w:rsidRPr="0040534B">
              <w:rPr>
                <w:b/>
                <w:bCs w:val="0"/>
              </w:rPr>
              <w:t>8</w:t>
            </w:r>
            <w:r w:rsidRPr="0040534B">
              <w:rPr>
                <w:b/>
                <w:bCs w:val="0"/>
              </w:rPr>
              <w:t>)</w:t>
            </w:r>
          </w:p>
        </w:tc>
      </w:tr>
      <w:tr w:rsidR="00F478FB" w:rsidRPr="0040534B" w14:paraId="2781B3FA" w14:textId="77777777" w:rsidTr="00F478FB">
        <w:tc>
          <w:tcPr>
            <w:tcW w:w="663" w:type="pct"/>
            <w:vAlign w:val="center"/>
          </w:tcPr>
          <w:p w14:paraId="19D4A8DC" w14:textId="325683BD" w:rsidR="00B93983" w:rsidRPr="0040534B" w:rsidRDefault="00B93983" w:rsidP="004844B8">
            <w:pPr>
              <w:pStyle w:val="TableText0"/>
              <w:keepLines/>
            </w:pPr>
            <w:r w:rsidRPr="0040534B">
              <w:t>REGAIN</w:t>
            </w:r>
          </w:p>
        </w:tc>
        <w:tc>
          <w:tcPr>
            <w:tcW w:w="998" w:type="pct"/>
            <w:vAlign w:val="center"/>
          </w:tcPr>
          <w:p w14:paraId="0E5ECD53" w14:textId="54CED5A9" w:rsidR="00B93983" w:rsidRPr="0040534B" w:rsidRDefault="00B93983" w:rsidP="004844B8">
            <w:pPr>
              <w:pStyle w:val="TableText0"/>
              <w:keepLines/>
            </w:pPr>
            <w:r w:rsidRPr="0040534B">
              <w:t>GAL 120</w:t>
            </w:r>
            <w:r w:rsidR="006F04A7" w:rsidRPr="0040534B">
              <w:t xml:space="preserve"> </w:t>
            </w:r>
            <w:r w:rsidRPr="0040534B">
              <w:t>mg vs. PBO</w:t>
            </w:r>
          </w:p>
        </w:tc>
        <w:tc>
          <w:tcPr>
            <w:tcW w:w="333" w:type="pct"/>
            <w:vAlign w:val="center"/>
          </w:tcPr>
          <w:p w14:paraId="65F7B4FA" w14:textId="00276050" w:rsidR="00B93983" w:rsidRPr="0040534B" w:rsidRDefault="00B93983" w:rsidP="004844B8">
            <w:pPr>
              <w:pStyle w:val="TableText0"/>
              <w:keepLines/>
              <w:jc w:val="center"/>
            </w:pPr>
            <w:r w:rsidRPr="0040534B">
              <w:t>273</w:t>
            </w:r>
          </w:p>
        </w:tc>
        <w:tc>
          <w:tcPr>
            <w:tcW w:w="465" w:type="pct"/>
            <w:vAlign w:val="center"/>
          </w:tcPr>
          <w:p w14:paraId="6AE6D420" w14:textId="01A69D48" w:rsidR="00B93983" w:rsidRPr="0040534B" w:rsidRDefault="00B93983" w:rsidP="004844B8">
            <w:pPr>
              <w:pStyle w:val="TableText0"/>
              <w:keepLines/>
              <w:jc w:val="center"/>
            </w:pPr>
            <w:r w:rsidRPr="0040534B">
              <w:t>19.4 (4.3)</w:t>
            </w:r>
          </w:p>
        </w:tc>
        <w:tc>
          <w:tcPr>
            <w:tcW w:w="532" w:type="pct"/>
            <w:vAlign w:val="center"/>
          </w:tcPr>
          <w:p w14:paraId="3464D2C0" w14:textId="6FEC79D1" w:rsidR="00B93983" w:rsidRPr="0040534B" w:rsidRDefault="00B93983" w:rsidP="004844B8">
            <w:pPr>
              <w:pStyle w:val="TableText0"/>
              <w:keepLines/>
              <w:jc w:val="center"/>
            </w:pPr>
            <w:r w:rsidRPr="0040534B">
              <w:t>-4.8 [0.4]</w:t>
            </w:r>
          </w:p>
        </w:tc>
        <w:tc>
          <w:tcPr>
            <w:tcW w:w="333" w:type="pct"/>
            <w:vAlign w:val="center"/>
          </w:tcPr>
          <w:p w14:paraId="1AF5E4CC" w14:textId="5E0A4B03" w:rsidR="00B93983" w:rsidRPr="0040534B" w:rsidRDefault="00B93983" w:rsidP="004844B8">
            <w:pPr>
              <w:pStyle w:val="TableText0"/>
              <w:keepLines/>
              <w:jc w:val="center"/>
            </w:pPr>
            <w:r w:rsidRPr="0040534B">
              <w:t>538</w:t>
            </w:r>
          </w:p>
        </w:tc>
        <w:tc>
          <w:tcPr>
            <w:tcW w:w="466" w:type="pct"/>
            <w:vAlign w:val="center"/>
          </w:tcPr>
          <w:p w14:paraId="66571FCD" w14:textId="4BEC8988" w:rsidR="00B93983" w:rsidRPr="0040534B" w:rsidRDefault="00B93983" w:rsidP="004844B8">
            <w:pPr>
              <w:pStyle w:val="TableText0"/>
              <w:keepLines/>
              <w:jc w:val="center"/>
            </w:pPr>
            <w:r w:rsidRPr="0040534B">
              <w:t>19.6 (</w:t>
            </w:r>
            <w:r w:rsidRPr="0040534B">
              <w:rPr>
                <w:i/>
                <w:iCs/>
              </w:rPr>
              <w:t>4.6</w:t>
            </w:r>
            <w:r w:rsidRPr="0040534B">
              <w:t>)</w:t>
            </w:r>
          </w:p>
        </w:tc>
        <w:tc>
          <w:tcPr>
            <w:tcW w:w="533" w:type="pct"/>
            <w:vAlign w:val="center"/>
          </w:tcPr>
          <w:p w14:paraId="376BF66E" w14:textId="4C64FF45" w:rsidR="00B93983" w:rsidRPr="0040534B" w:rsidRDefault="00B93983" w:rsidP="004844B8">
            <w:pPr>
              <w:pStyle w:val="TableText0"/>
              <w:keepLines/>
              <w:jc w:val="center"/>
            </w:pPr>
            <w:r w:rsidRPr="0040534B">
              <w:t>-2.7 [0.4]</w:t>
            </w:r>
          </w:p>
        </w:tc>
        <w:tc>
          <w:tcPr>
            <w:tcW w:w="677" w:type="pct"/>
            <w:vAlign w:val="center"/>
          </w:tcPr>
          <w:p w14:paraId="59A1E43D" w14:textId="77777777" w:rsidR="00B93983" w:rsidRPr="0040534B" w:rsidRDefault="00B93983" w:rsidP="004844B8">
            <w:pPr>
              <w:pStyle w:val="TableText0"/>
              <w:keepLines/>
              <w:jc w:val="center"/>
              <w:rPr>
                <w:b/>
              </w:rPr>
            </w:pPr>
            <w:r w:rsidRPr="0040534B">
              <w:rPr>
                <w:b/>
              </w:rPr>
              <w:t xml:space="preserve">-2.1 </w:t>
            </w:r>
          </w:p>
          <w:p w14:paraId="43D9B693" w14:textId="32BDE0C3" w:rsidR="00B93983" w:rsidRPr="0040534B" w:rsidRDefault="00B93983" w:rsidP="004844B8">
            <w:pPr>
              <w:pStyle w:val="TableText0"/>
              <w:keepLines/>
              <w:jc w:val="center"/>
              <w:rPr>
                <w:b/>
                <w:bCs w:val="0"/>
              </w:rPr>
            </w:pPr>
            <w:r w:rsidRPr="0040534B">
              <w:rPr>
                <w:b/>
              </w:rPr>
              <w:t>(-2.9, -1.3)</w:t>
            </w:r>
          </w:p>
        </w:tc>
      </w:tr>
      <w:tr w:rsidR="00F478FB" w:rsidRPr="0040534B" w14:paraId="21888A75" w14:textId="77777777" w:rsidTr="00F478FB">
        <w:tc>
          <w:tcPr>
            <w:tcW w:w="663" w:type="pct"/>
            <w:vAlign w:val="center"/>
          </w:tcPr>
          <w:p w14:paraId="43F5BF88" w14:textId="27C31043" w:rsidR="00B93983" w:rsidRPr="0040534B" w:rsidRDefault="00B93983" w:rsidP="004844B8">
            <w:pPr>
              <w:pStyle w:val="TableText0"/>
              <w:keepLines/>
            </w:pPr>
            <w:r w:rsidRPr="0040534B">
              <w:t>CONQUER</w:t>
            </w:r>
          </w:p>
        </w:tc>
        <w:tc>
          <w:tcPr>
            <w:tcW w:w="998" w:type="pct"/>
            <w:vAlign w:val="center"/>
          </w:tcPr>
          <w:p w14:paraId="45C1A823" w14:textId="1DE79CEC" w:rsidR="00B93983" w:rsidRPr="0040534B" w:rsidRDefault="00B93983" w:rsidP="004844B8">
            <w:pPr>
              <w:pStyle w:val="TableText0"/>
              <w:keepLines/>
            </w:pPr>
            <w:r w:rsidRPr="0040534B">
              <w:t>GAL 120</w:t>
            </w:r>
            <w:r w:rsidR="006F04A7" w:rsidRPr="0040534B">
              <w:t xml:space="preserve"> </w:t>
            </w:r>
            <w:r w:rsidRPr="0040534B">
              <w:t>mg vs. PBO</w:t>
            </w:r>
          </w:p>
        </w:tc>
        <w:tc>
          <w:tcPr>
            <w:tcW w:w="333" w:type="pct"/>
            <w:vAlign w:val="center"/>
          </w:tcPr>
          <w:p w14:paraId="315C177D" w14:textId="18E6D4C4" w:rsidR="00B93983" w:rsidRPr="0040534B" w:rsidRDefault="00B93983" w:rsidP="004844B8">
            <w:pPr>
              <w:pStyle w:val="TableText0"/>
              <w:keepLines/>
              <w:jc w:val="center"/>
            </w:pPr>
            <w:r w:rsidRPr="0040534B">
              <w:t>232</w:t>
            </w:r>
          </w:p>
        </w:tc>
        <w:tc>
          <w:tcPr>
            <w:tcW w:w="465" w:type="pct"/>
            <w:vAlign w:val="center"/>
          </w:tcPr>
          <w:p w14:paraId="34FDE8E8" w14:textId="6A7D2D4E" w:rsidR="00B93983" w:rsidRPr="0040534B" w:rsidRDefault="00B93983" w:rsidP="004844B8">
            <w:pPr>
              <w:pStyle w:val="TableText0"/>
              <w:keepLines/>
              <w:jc w:val="center"/>
            </w:pPr>
            <w:r w:rsidRPr="0040534B">
              <w:t>13.4 (6.1)</w:t>
            </w:r>
          </w:p>
        </w:tc>
        <w:tc>
          <w:tcPr>
            <w:tcW w:w="532" w:type="pct"/>
            <w:vAlign w:val="center"/>
          </w:tcPr>
          <w:p w14:paraId="0BDCE599" w14:textId="5F3FFBD3" w:rsidR="00B93983" w:rsidRPr="0040534B" w:rsidRDefault="00B93983" w:rsidP="004844B8">
            <w:pPr>
              <w:pStyle w:val="TableText0"/>
              <w:keepLines/>
              <w:jc w:val="center"/>
            </w:pPr>
            <w:r w:rsidRPr="0040534B">
              <w:t>-4.1 [0.3]</w:t>
            </w:r>
          </w:p>
        </w:tc>
        <w:tc>
          <w:tcPr>
            <w:tcW w:w="333" w:type="pct"/>
            <w:vAlign w:val="center"/>
          </w:tcPr>
          <w:p w14:paraId="3460E5D7" w14:textId="34ACBC79" w:rsidR="00B93983" w:rsidRPr="0040534B" w:rsidRDefault="00B93983" w:rsidP="004844B8">
            <w:pPr>
              <w:pStyle w:val="TableText0"/>
              <w:keepLines/>
              <w:jc w:val="center"/>
            </w:pPr>
            <w:r w:rsidRPr="0040534B">
              <w:t>230</w:t>
            </w:r>
          </w:p>
        </w:tc>
        <w:tc>
          <w:tcPr>
            <w:tcW w:w="466" w:type="pct"/>
            <w:vAlign w:val="center"/>
          </w:tcPr>
          <w:p w14:paraId="045E38FC" w14:textId="61C73A3B" w:rsidR="00B93983" w:rsidRPr="0040534B" w:rsidRDefault="00B93983" w:rsidP="004844B8">
            <w:pPr>
              <w:pStyle w:val="TableText0"/>
              <w:keepLines/>
              <w:jc w:val="center"/>
            </w:pPr>
            <w:r w:rsidRPr="0040534B">
              <w:t>13.0 (5.7)</w:t>
            </w:r>
          </w:p>
        </w:tc>
        <w:tc>
          <w:tcPr>
            <w:tcW w:w="533" w:type="pct"/>
            <w:vAlign w:val="center"/>
          </w:tcPr>
          <w:p w14:paraId="2DBCC0CA" w14:textId="3311E631" w:rsidR="00B93983" w:rsidRPr="0040534B" w:rsidRDefault="00B93983" w:rsidP="004844B8">
            <w:pPr>
              <w:pStyle w:val="TableText0"/>
              <w:keepLines/>
              <w:jc w:val="center"/>
            </w:pPr>
            <w:r w:rsidRPr="0040534B">
              <w:t>-1.0 [0.3]</w:t>
            </w:r>
          </w:p>
        </w:tc>
        <w:tc>
          <w:tcPr>
            <w:tcW w:w="677" w:type="pct"/>
            <w:vAlign w:val="center"/>
          </w:tcPr>
          <w:p w14:paraId="50B8A9D6" w14:textId="77777777" w:rsidR="00B93983" w:rsidRPr="0040534B" w:rsidRDefault="00B93983" w:rsidP="004844B8">
            <w:pPr>
              <w:pStyle w:val="TableText0"/>
              <w:keepLines/>
              <w:jc w:val="center"/>
              <w:rPr>
                <w:b/>
              </w:rPr>
            </w:pPr>
            <w:r w:rsidRPr="0040534B">
              <w:rPr>
                <w:b/>
              </w:rPr>
              <w:t>-3.1</w:t>
            </w:r>
          </w:p>
          <w:p w14:paraId="3D3CC36D" w14:textId="57584DE2" w:rsidR="00B93983" w:rsidRPr="0040534B" w:rsidRDefault="00B93983" w:rsidP="004844B8">
            <w:pPr>
              <w:pStyle w:val="TableText0"/>
              <w:keepLines/>
              <w:jc w:val="center"/>
              <w:rPr>
                <w:b/>
              </w:rPr>
            </w:pPr>
            <w:r w:rsidRPr="0040534B">
              <w:rPr>
                <w:b/>
              </w:rPr>
              <w:t>(-3.9, -2.3)</w:t>
            </w:r>
          </w:p>
        </w:tc>
      </w:tr>
      <w:tr w:rsidR="00F478FB" w:rsidRPr="0040534B" w14:paraId="776B5675" w14:textId="77777777" w:rsidTr="00F478FB">
        <w:tc>
          <w:tcPr>
            <w:tcW w:w="663" w:type="pct"/>
            <w:vMerge w:val="restart"/>
            <w:vAlign w:val="center"/>
          </w:tcPr>
          <w:p w14:paraId="0622EABC" w14:textId="42CB3B8E" w:rsidR="00B93983" w:rsidRPr="0040534B" w:rsidRDefault="00B93983" w:rsidP="004844B8">
            <w:pPr>
              <w:pStyle w:val="TableText0"/>
              <w:keepLines/>
            </w:pPr>
            <w:r w:rsidRPr="0040534B">
              <w:t>HALO-CM</w:t>
            </w:r>
          </w:p>
        </w:tc>
        <w:tc>
          <w:tcPr>
            <w:tcW w:w="998" w:type="pct"/>
            <w:vAlign w:val="center"/>
          </w:tcPr>
          <w:p w14:paraId="0493F449" w14:textId="597BCC1F" w:rsidR="00B93983" w:rsidRPr="0040534B" w:rsidRDefault="00B93983" w:rsidP="004844B8">
            <w:pPr>
              <w:pStyle w:val="TableText0"/>
              <w:keepLines/>
            </w:pPr>
            <w:r w:rsidRPr="0040534B">
              <w:t>FREM 675</w:t>
            </w:r>
            <w:r w:rsidR="006F04A7" w:rsidRPr="0040534B">
              <w:t xml:space="preserve"> </w:t>
            </w:r>
            <w:r w:rsidRPr="0040534B">
              <w:t>mg vs. PBO</w:t>
            </w:r>
          </w:p>
        </w:tc>
        <w:tc>
          <w:tcPr>
            <w:tcW w:w="333" w:type="pct"/>
            <w:vAlign w:val="center"/>
          </w:tcPr>
          <w:p w14:paraId="3B0F3AA9" w14:textId="43FCFE35" w:rsidR="00B93983" w:rsidRPr="0040534B" w:rsidRDefault="00B93983" w:rsidP="004844B8">
            <w:pPr>
              <w:pStyle w:val="TableText0"/>
              <w:keepLines/>
              <w:jc w:val="center"/>
            </w:pPr>
            <w:r w:rsidRPr="0040534B">
              <w:t>375</w:t>
            </w:r>
          </w:p>
        </w:tc>
        <w:tc>
          <w:tcPr>
            <w:tcW w:w="465" w:type="pct"/>
            <w:vAlign w:val="center"/>
          </w:tcPr>
          <w:p w14:paraId="524A2A54" w14:textId="5BB115E3" w:rsidR="00B93983" w:rsidRPr="0040534B" w:rsidRDefault="00B93983" w:rsidP="004844B8">
            <w:pPr>
              <w:pStyle w:val="TableText0"/>
              <w:keepLines/>
              <w:jc w:val="center"/>
            </w:pPr>
            <w:r w:rsidRPr="0040534B">
              <w:t>16.2 (4.9)</w:t>
            </w:r>
          </w:p>
        </w:tc>
        <w:tc>
          <w:tcPr>
            <w:tcW w:w="532" w:type="pct"/>
            <w:vAlign w:val="center"/>
          </w:tcPr>
          <w:p w14:paraId="0246B68E" w14:textId="33A18F1D" w:rsidR="00B93983" w:rsidRPr="0040534B" w:rsidRDefault="00B93983" w:rsidP="004844B8">
            <w:pPr>
              <w:pStyle w:val="TableText0"/>
              <w:keepLines/>
              <w:jc w:val="center"/>
            </w:pPr>
            <w:r w:rsidRPr="0040534B">
              <w:t>-4.9 [0.4]</w:t>
            </w:r>
          </w:p>
        </w:tc>
        <w:tc>
          <w:tcPr>
            <w:tcW w:w="333" w:type="pct"/>
            <w:vAlign w:val="center"/>
          </w:tcPr>
          <w:p w14:paraId="6DD6177C" w14:textId="57FC29B8" w:rsidR="00B93983" w:rsidRPr="0040534B" w:rsidRDefault="00B93983" w:rsidP="004844B8">
            <w:pPr>
              <w:pStyle w:val="TableText0"/>
              <w:keepLines/>
              <w:jc w:val="center"/>
            </w:pPr>
            <w:r w:rsidRPr="0040534B">
              <w:t>371</w:t>
            </w:r>
          </w:p>
        </w:tc>
        <w:tc>
          <w:tcPr>
            <w:tcW w:w="466" w:type="pct"/>
            <w:vAlign w:val="center"/>
          </w:tcPr>
          <w:p w14:paraId="494FEF34" w14:textId="7FD95E0B" w:rsidR="00B93983" w:rsidRPr="0040534B" w:rsidRDefault="00B93983" w:rsidP="004844B8">
            <w:pPr>
              <w:pStyle w:val="TableText0"/>
              <w:keepLines/>
              <w:jc w:val="center"/>
            </w:pPr>
            <w:r w:rsidRPr="0040534B">
              <w:t>16.4 (5.2)</w:t>
            </w:r>
          </w:p>
        </w:tc>
        <w:tc>
          <w:tcPr>
            <w:tcW w:w="533" w:type="pct"/>
            <w:vAlign w:val="center"/>
          </w:tcPr>
          <w:p w14:paraId="1A9871BD" w14:textId="50F9C2E8" w:rsidR="00B93983" w:rsidRPr="0040534B" w:rsidRDefault="00B93983" w:rsidP="004844B8">
            <w:pPr>
              <w:pStyle w:val="TableText0"/>
              <w:keepLines/>
              <w:jc w:val="center"/>
            </w:pPr>
            <w:r w:rsidRPr="0040534B">
              <w:t>-3.2 [0.4]</w:t>
            </w:r>
          </w:p>
        </w:tc>
        <w:tc>
          <w:tcPr>
            <w:tcW w:w="677" w:type="pct"/>
            <w:vAlign w:val="center"/>
          </w:tcPr>
          <w:p w14:paraId="18B72250" w14:textId="77777777" w:rsidR="00B93983" w:rsidRPr="0040534B" w:rsidRDefault="00B93983" w:rsidP="004844B8">
            <w:pPr>
              <w:pStyle w:val="TableText0"/>
              <w:keepLines/>
              <w:jc w:val="center"/>
              <w:rPr>
                <w:b/>
              </w:rPr>
            </w:pPr>
            <w:r w:rsidRPr="0040534B">
              <w:rPr>
                <w:b/>
              </w:rPr>
              <w:t>-1.7</w:t>
            </w:r>
          </w:p>
          <w:p w14:paraId="65501CF3" w14:textId="44AC1D58" w:rsidR="00B93983" w:rsidRPr="0040534B" w:rsidRDefault="00B93983" w:rsidP="004844B8">
            <w:pPr>
              <w:pStyle w:val="TableText0"/>
              <w:keepLines/>
              <w:jc w:val="center"/>
              <w:rPr>
                <w:b/>
              </w:rPr>
            </w:pPr>
            <w:r w:rsidRPr="0040534B">
              <w:rPr>
                <w:b/>
              </w:rPr>
              <w:t>(-2.5, -0.9)</w:t>
            </w:r>
          </w:p>
        </w:tc>
      </w:tr>
      <w:tr w:rsidR="00F478FB" w:rsidRPr="0040534B" w14:paraId="62C6A7EB" w14:textId="77777777" w:rsidTr="00F478FB">
        <w:tc>
          <w:tcPr>
            <w:tcW w:w="663" w:type="pct"/>
            <w:vMerge/>
            <w:vAlign w:val="center"/>
          </w:tcPr>
          <w:p w14:paraId="533935D0" w14:textId="77777777" w:rsidR="00B93983" w:rsidRPr="0040534B" w:rsidRDefault="00B93983" w:rsidP="004844B8">
            <w:pPr>
              <w:pStyle w:val="TableText0"/>
              <w:keepLines/>
            </w:pPr>
          </w:p>
        </w:tc>
        <w:tc>
          <w:tcPr>
            <w:tcW w:w="998" w:type="pct"/>
            <w:vAlign w:val="center"/>
          </w:tcPr>
          <w:p w14:paraId="54D23EC2" w14:textId="7D52988D" w:rsidR="00B93983" w:rsidRPr="0040534B" w:rsidRDefault="00B93983" w:rsidP="004844B8">
            <w:pPr>
              <w:pStyle w:val="TableText0"/>
              <w:keepLines/>
            </w:pPr>
            <w:r w:rsidRPr="0040534B">
              <w:t>FREM 225</w:t>
            </w:r>
            <w:r w:rsidR="006F04A7" w:rsidRPr="0040534B">
              <w:t xml:space="preserve"> </w:t>
            </w:r>
            <w:r w:rsidRPr="0040534B">
              <w:t>mg vs. PBO</w:t>
            </w:r>
            <w:r w:rsidRPr="0040534B">
              <w:rPr>
                <w:vertAlign w:val="superscript"/>
              </w:rPr>
              <w:t>b</w:t>
            </w:r>
          </w:p>
        </w:tc>
        <w:tc>
          <w:tcPr>
            <w:tcW w:w="333" w:type="pct"/>
            <w:vAlign w:val="center"/>
          </w:tcPr>
          <w:p w14:paraId="20BE7C49" w14:textId="72B087C7" w:rsidR="00B93983" w:rsidRPr="0040534B" w:rsidRDefault="00B93983" w:rsidP="004844B8">
            <w:pPr>
              <w:pStyle w:val="TableText0"/>
              <w:keepLines/>
              <w:jc w:val="center"/>
            </w:pPr>
            <w:r w:rsidRPr="0040534B">
              <w:t>375</w:t>
            </w:r>
          </w:p>
        </w:tc>
        <w:tc>
          <w:tcPr>
            <w:tcW w:w="465" w:type="pct"/>
            <w:vAlign w:val="center"/>
          </w:tcPr>
          <w:p w14:paraId="46B2ADE6" w14:textId="7955E330" w:rsidR="00B93983" w:rsidRPr="0040534B" w:rsidRDefault="00B93983" w:rsidP="004844B8">
            <w:pPr>
              <w:pStyle w:val="TableText0"/>
              <w:keepLines/>
              <w:jc w:val="center"/>
            </w:pPr>
            <w:r w:rsidRPr="0040534B">
              <w:t>16.0 (5.2)</w:t>
            </w:r>
          </w:p>
        </w:tc>
        <w:tc>
          <w:tcPr>
            <w:tcW w:w="532" w:type="pct"/>
            <w:vAlign w:val="center"/>
          </w:tcPr>
          <w:p w14:paraId="4FC61EEE" w14:textId="6EF9990D" w:rsidR="00B93983" w:rsidRPr="0040534B" w:rsidRDefault="00B93983" w:rsidP="004844B8">
            <w:pPr>
              <w:pStyle w:val="TableText0"/>
              <w:keepLines/>
              <w:jc w:val="center"/>
            </w:pPr>
            <w:r w:rsidRPr="0040534B">
              <w:t>-5.0 [0.4]</w:t>
            </w:r>
          </w:p>
        </w:tc>
        <w:tc>
          <w:tcPr>
            <w:tcW w:w="333" w:type="pct"/>
            <w:vAlign w:val="center"/>
          </w:tcPr>
          <w:p w14:paraId="7E9D6A26" w14:textId="78718839" w:rsidR="00B93983" w:rsidRPr="0040534B" w:rsidRDefault="00B93983" w:rsidP="004844B8">
            <w:pPr>
              <w:pStyle w:val="TableText0"/>
              <w:keepLines/>
              <w:jc w:val="center"/>
            </w:pPr>
            <w:r w:rsidRPr="0040534B">
              <w:t>371</w:t>
            </w:r>
          </w:p>
        </w:tc>
        <w:tc>
          <w:tcPr>
            <w:tcW w:w="466" w:type="pct"/>
            <w:vAlign w:val="center"/>
          </w:tcPr>
          <w:p w14:paraId="77FE1DE6" w14:textId="3683E054" w:rsidR="00B93983" w:rsidRPr="0040534B" w:rsidRDefault="00B93983" w:rsidP="004844B8">
            <w:pPr>
              <w:pStyle w:val="TableText0"/>
              <w:keepLines/>
              <w:jc w:val="center"/>
            </w:pPr>
            <w:r w:rsidRPr="0040534B">
              <w:t>16.4 (5.2)</w:t>
            </w:r>
          </w:p>
        </w:tc>
        <w:tc>
          <w:tcPr>
            <w:tcW w:w="533" w:type="pct"/>
            <w:vAlign w:val="center"/>
          </w:tcPr>
          <w:p w14:paraId="6ACE088C" w14:textId="7C41C676" w:rsidR="00B93983" w:rsidRPr="0040534B" w:rsidRDefault="00B93983" w:rsidP="004844B8">
            <w:pPr>
              <w:pStyle w:val="TableText0"/>
              <w:keepLines/>
              <w:jc w:val="center"/>
            </w:pPr>
            <w:r w:rsidRPr="0040534B">
              <w:t>-3.2 [0.4]</w:t>
            </w:r>
          </w:p>
        </w:tc>
        <w:tc>
          <w:tcPr>
            <w:tcW w:w="677" w:type="pct"/>
            <w:vAlign w:val="center"/>
          </w:tcPr>
          <w:p w14:paraId="026795CE" w14:textId="77777777" w:rsidR="00B93983" w:rsidRPr="0040534B" w:rsidRDefault="00B93983" w:rsidP="004844B8">
            <w:pPr>
              <w:pStyle w:val="TableText0"/>
              <w:keepLines/>
              <w:jc w:val="center"/>
              <w:rPr>
                <w:b/>
              </w:rPr>
            </w:pPr>
            <w:r w:rsidRPr="0040534B">
              <w:rPr>
                <w:b/>
              </w:rPr>
              <w:t>-1.8</w:t>
            </w:r>
          </w:p>
          <w:p w14:paraId="7D2AD6C5" w14:textId="5AEAB9E7" w:rsidR="00B93983" w:rsidRPr="0040534B" w:rsidRDefault="00B93983" w:rsidP="004844B8">
            <w:pPr>
              <w:pStyle w:val="TableText0"/>
              <w:keepLines/>
              <w:jc w:val="center"/>
              <w:rPr>
                <w:b/>
              </w:rPr>
            </w:pPr>
            <w:r w:rsidRPr="0040534B">
              <w:rPr>
                <w:b/>
              </w:rPr>
              <w:t>(-2.6, -1.0)</w:t>
            </w:r>
          </w:p>
        </w:tc>
      </w:tr>
      <w:tr w:rsidR="00F478FB" w:rsidRPr="0040534B" w14:paraId="50EDCF0A" w14:textId="77777777" w:rsidTr="00F478FB">
        <w:tc>
          <w:tcPr>
            <w:tcW w:w="663" w:type="pct"/>
            <w:vMerge w:val="restart"/>
            <w:vAlign w:val="center"/>
          </w:tcPr>
          <w:p w14:paraId="707C5AF5" w14:textId="0CC72453" w:rsidR="00B93983" w:rsidRPr="0040534B" w:rsidRDefault="00B93983" w:rsidP="004844B8">
            <w:pPr>
              <w:pStyle w:val="TableText0"/>
              <w:keepLines/>
            </w:pPr>
            <w:r w:rsidRPr="0040534B">
              <w:t>FOCUS</w:t>
            </w:r>
          </w:p>
        </w:tc>
        <w:tc>
          <w:tcPr>
            <w:tcW w:w="998" w:type="pct"/>
            <w:vAlign w:val="center"/>
          </w:tcPr>
          <w:p w14:paraId="6DBA5712" w14:textId="64B34A83" w:rsidR="00B93983" w:rsidRPr="0040534B" w:rsidRDefault="00B93983" w:rsidP="004844B8">
            <w:pPr>
              <w:pStyle w:val="TableText0"/>
              <w:keepLines/>
            </w:pPr>
            <w:r w:rsidRPr="0040534B">
              <w:t>FREM 675</w:t>
            </w:r>
            <w:r w:rsidR="006F04A7" w:rsidRPr="0040534B">
              <w:t xml:space="preserve"> </w:t>
            </w:r>
            <w:r w:rsidRPr="0040534B">
              <w:t>mg vs. PBO</w:t>
            </w:r>
          </w:p>
        </w:tc>
        <w:tc>
          <w:tcPr>
            <w:tcW w:w="333" w:type="pct"/>
            <w:tcBorders>
              <w:left w:val="single" w:sz="4" w:space="0" w:color="auto"/>
            </w:tcBorders>
            <w:vAlign w:val="center"/>
          </w:tcPr>
          <w:p w14:paraId="20AB474D" w14:textId="2A818386" w:rsidR="00B93983" w:rsidRPr="0040534B" w:rsidRDefault="00B93983" w:rsidP="004844B8">
            <w:pPr>
              <w:pStyle w:val="TableText0"/>
              <w:keepLines/>
              <w:jc w:val="center"/>
            </w:pPr>
            <w:r w:rsidRPr="0040534B">
              <w:t>276</w:t>
            </w:r>
          </w:p>
        </w:tc>
        <w:tc>
          <w:tcPr>
            <w:tcW w:w="465" w:type="pct"/>
            <w:vAlign w:val="center"/>
          </w:tcPr>
          <w:p w14:paraId="65DB0EE4" w14:textId="459F79C1" w:rsidR="00B93983" w:rsidRPr="0040534B" w:rsidRDefault="00B93983" w:rsidP="004844B8">
            <w:pPr>
              <w:pStyle w:val="TableText0"/>
              <w:keepLines/>
              <w:jc w:val="center"/>
            </w:pPr>
            <w:r w:rsidRPr="0040534B">
              <w:t>14.1 (5.6)</w:t>
            </w:r>
          </w:p>
        </w:tc>
        <w:tc>
          <w:tcPr>
            <w:tcW w:w="532" w:type="pct"/>
            <w:tcBorders>
              <w:right w:val="single" w:sz="4" w:space="0" w:color="auto"/>
            </w:tcBorders>
            <w:vAlign w:val="center"/>
          </w:tcPr>
          <w:p w14:paraId="1FD72A54" w14:textId="120EC54C" w:rsidR="00B93983" w:rsidRPr="0040534B" w:rsidRDefault="00B93983" w:rsidP="004844B8">
            <w:pPr>
              <w:pStyle w:val="TableText0"/>
              <w:keepLines/>
              <w:jc w:val="center"/>
            </w:pPr>
            <w:r w:rsidRPr="0040534B">
              <w:t>-3.7 [0.3]</w:t>
            </w:r>
          </w:p>
        </w:tc>
        <w:tc>
          <w:tcPr>
            <w:tcW w:w="333" w:type="pct"/>
            <w:tcBorders>
              <w:left w:val="single" w:sz="4" w:space="0" w:color="auto"/>
            </w:tcBorders>
            <w:vAlign w:val="center"/>
          </w:tcPr>
          <w:p w14:paraId="1C7FA8C4" w14:textId="5BB3A277" w:rsidR="00B93983" w:rsidRPr="0040534B" w:rsidRDefault="00B93983" w:rsidP="004844B8">
            <w:pPr>
              <w:pStyle w:val="TableText0"/>
              <w:keepLines/>
              <w:jc w:val="center"/>
            </w:pPr>
            <w:r w:rsidRPr="0040534B">
              <w:t>279</w:t>
            </w:r>
          </w:p>
        </w:tc>
        <w:tc>
          <w:tcPr>
            <w:tcW w:w="466" w:type="pct"/>
            <w:vAlign w:val="center"/>
          </w:tcPr>
          <w:p w14:paraId="687A2F48" w14:textId="156C8F5E" w:rsidR="00B93983" w:rsidRPr="0040534B" w:rsidRDefault="00B93983" w:rsidP="004844B8">
            <w:pPr>
              <w:pStyle w:val="TableText0"/>
              <w:keepLines/>
              <w:jc w:val="center"/>
            </w:pPr>
            <w:r w:rsidRPr="0040534B">
              <w:t>14.3 (6.1)</w:t>
            </w:r>
          </w:p>
        </w:tc>
        <w:tc>
          <w:tcPr>
            <w:tcW w:w="533" w:type="pct"/>
            <w:tcBorders>
              <w:right w:val="single" w:sz="4" w:space="0" w:color="auto"/>
            </w:tcBorders>
            <w:vAlign w:val="center"/>
          </w:tcPr>
          <w:p w14:paraId="3274D352" w14:textId="00C4BE5A" w:rsidR="00B93983" w:rsidRPr="0040534B" w:rsidRDefault="00B93983" w:rsidP="004844B8">
            <w:pPr>
              <w:pStyle w:val="TableText0"/>
              <w:keepLines/>
              <w:jc w:val="center"/>
            </w:pPr>
            <w:r w:rsidRPr="0040534B">
              <w:t>-0.6 [0.3]</w:t>
            </w:r>
          </w:p>
        </w:tc>
        <w:tc>
          <w:tcPr>
            <w:tcW w:w="677" w:type="pct"/>
            <w:tcBorders>
              <w:left w:val="single" w:sz="4" w:space="0" w:color="auto"/>
            </w:tcBorders>
            <w:vAlign w:val="center"/>
          </w:tcPr>
          <w:p w14:paraId="16C734D3" w14:textId="77777777" w:rsidR="00B93983" w:rsidRPr="0040534B" w:rsidRDefault="00B93983" w:rsidP="004844B8">
            <w:pPr>
              <w:pStyle w:val="TableText0"/>
              <w:keepLines/>
              <w:jc w:val="center"/>
              <w:rPr>
                <w:b/>
              </w:rPr>
            </w:pPr>
            <w:r w:rsidRPr="0040534B">
              <w:rPr>
                <w:b/>
              </w:rPr>
              <w:t>-3.1</w:t>
            </w:r>
          </w:p>
          <w:p w14:paraId="46DBB56C" w14:textId="734249FC" w:rsidR="00B93983" w:rsidRPr="0040534B" w:rsidRDefault="00B93983" w:rsidP="004844B8">
            <w:pPr>
              <w:pStyle w:val="TableText0"/>
              <w:keepLines/>
              <w:jc w:val="center"/>
              <w:rPr>
                <w:b/>
              </w:rPr>
            </w:pPr>
            <w:r w:rsidRPr="0040534B">
              <w:rPr>
                <w:b/>
              </w:rPr>
              <w:t>(-3.8, -2.4)</w:t>
            </w:r>
          </w:p>
        </w:tc>
      </w:tr>
      <w:tr w:rsidR="00F478FB" w:rsidRPr="0040534B" w14:paraId="4DEA001D" w14:textId="77777777" w:rsidTr="00F478FB">
        <w:tc>
          <w:tcPr>
            <w:tcW w:w="663" w:type="pct"/>
            <w:vMerge/>
            <w:vAlign w:val="center"/>
          </w:tcPr>
          <w:p w14:paraId="5E51BCC4" w14:textId="77777777" w:rsidR="00B93983" w:rsidRPr="0040534B" w:rsidRDefault="00B93983" w:rsidP="004844B8">
            <w:pPr>
              <w:pStyle w:val="TableText0"/>
              <w:keepLines/>
            </w:pPr>
          </w:p>
        </w:tc>
        <w:tc>
          <w:tcPr>
            <w:tcW w:w="998" w:type="pct"/>
            <w:vAlign w:val="center"/>
          </w:tcPr>
          <w:p w14:paraId="00C38B91" w14:textId="4D3E7601" w:rsidR="00B93983" w:rsidRPr="0040534B" w:rsidRDefault="00B93983" w:rsidP="004844B8">
            <w:pPr>
              <w:pStyle w:val="TableText0"/>
              <w:keepLines/>
            </w:pPr>
            <w:r w:rsidRPr="0040534B">
              <w:t>FREM 225</w:t>
            </w:r>
            <w:r w:rsidR="006F04A7" w:rsidRPr="0040534B">
              <w:t xml:space="preserve"> </w:t>
            </w:r>
            <w:r w:rsidRPr="0040534B">
              <w:t>mg vs. PBO</w:t>
            </w:r>
            <w:r w:rsidRPr="0040534B">
              <w:rPr>
                <w:vertAlign w:val="superscript"/>
              </w:rPr>
              <w:t>b</w:t>
            </w:r>
          </w:p>
        </w:tc>
        <w:tc>
          <w:tcPr>
            <w:tcW w:w="333" w:type="pct"/>
            <w:tcBorders>
              <w:left w:val="single" w:sz="4" w:space="0" w:color="auto"/>
            </w:tcBorders>
            <w:vAlign w:val="center"/>
          </w:tcPr>
          <w:p w14:paraId="68CDDD6A" w14:textId="67034312" w:rsidR="00B93983" w:rsidRPr="0040534B" w:rsidRDefault="00B93983" w:rsidP="004844B8">
            <w:pPr>
              <w:pStyle w:val="TableText0"/>
              <w:keepLines/>
              <w:jc w:val="center"/>
            </w:pPr>
            <w:r w:rsidRPr="0040534B">
              <w:t>283</w:t>
            </w:r>
          </w:p>
        </w:tc>
        <w:tc>
          <w:tcPr>
            <w:tcW w:w="465" w:type="pct"/>
            <w:vAlign w:val="center"/>
          </w:tcPr>
          <w:p w14:paraId="3CB41E00" w14:textId="0330E601" w:rsidR="00B93983" w:rsidRPr="0040534B" w:rsidRDefault="00B93983" w:rsidP="004844B8">
            <w:pPr>
              <w:pStyle w:val="TableText0"/>
              <w:keepLines/>
              <w:jc w:val="center"/>
            </w:pPr>
            <w:r w:rsidRPr="0040534B">
              <w:t>14.1 (5.6)</w:t>
            </w:r>
          </w:p>
        </w:tc>
        <w:tc>
          <w:tcPr>
            <w:tcW w:w="532" w:type="pct"/>
            <w:tcBorders>
              <w:right w:val="single" w:sz="4" w:space="0" w:color="auto"/>
            </w:tcBorders>
            <w:vAlign w:val="center"/>
          </w:tcPr>
          <w:p w14:paraId="64EFB9EB" w14:textId="05F46D63" w:rsidR="00B93983" w:rsidRPr="0040534B" w:rsidRDefault="00B93983" w:rsidP="004844B8">
            <w:pPr>
              <w:pStyle w:val="TableText0"/>
              <w:keepLines/>
              <w:jc w:val="center"/>
            </w:pPr>
            <w:r w:rsidRPr="0040534B">
              <w:t>-4.1 [0.3]</w:t>
            </w:r>
          </w:p>
        </w:tc>
        <w:tc>
          <w:tcPr>
            <w:tcW w:w="333" w:type="pct"/>
            <w:tcBorders>
              <w:left w:val="single" w:sz="4" w:space="0" w:color="auto"/>
            </w:tcBorders>
            <w:vAlign w:val="center"/>
          </w:tcPr>
          <w:p w14:paraId="5BBC56FE" w14:textId="0D152B37" w:rsidR="00B93983" w:rsidRPr="0040534B" w:rsidRDefault="00B93983" w:rsidP="004844B8">
            <w:pPr>
              <w:pStyle w:val="TableText0"/>
              <w:keepLines/>
              <w:jc w:val="center"/>
            </w:pPr>
            <w:r w:rsidRPr="0040534B">
              <w:t>279</w:t>
            </w:r>
          </w:p>
        </w:tc>
        <w:tc>
          <w:tcPr>
            <w:tcW w:w="466" w:type="pct"/>
            <w:vAlign w:val="center"/>
          </w:tcPr>
          <w:p w14:paraId="63623A51" w14:textId="00278297" w:rsidR="00B93983" w:rsidRPr="0040534B" w:rsidRDefault="00B93983" w:rsidP="004844B8">
            <w:pPr>
              <w:pStyle w:val="TableText0"/>
              <w:keepLines/>
              <w:jc w:val="center"/>
            </w:pPr>
            <w:r w:rsidRPr="0040534B">
              <w:t>14.3 (6.1)</w:t>
            </w:r>
          </w:p>
        </w:tc>
        <w:tc>
          <w:tcPr>
            <w:tcW w:w="533" w:type="pct"/>
            <w:tcBorders>
              <w:right w:val="single" w:sz="4" w:space="0" w:color="auto"/>
            </w:tcBorders>
            <w:vAlign w:val="center"/>
          </w:tcPr>
          <w:p w14:paraId="4A6432C8" w14:textId="06C9861F" w:rsidR="00B93983" w:rsidRPr="0040534B" w:rsidRDefault="00B93983" w:rsidP="004844B8">
            <w:pPr>
              <w:pStyle w:val="TableText0"/>
              <w:keepLines/>
              <w:jc w:val="center"/>
            </w:pPr>
            <w:r w:rsidRPr="0040534B">
              <w:t>-0.6 [0.3]</w:t>
            </w:r>
          </w:p>
        </w:tc>
        <w:tc>
          <w:tcPr>
            <w:tcW w:w="677" w:type="pct"/>
            <w:tcBorders>
              <w:left w:val="single" w:sz="4" w:space="0" w:color="auto"/>
            </w:tcBorders>
            <w:vAlign w:val="center"/>
          </w:tcPr>
          <w:p w14:paraId="7C2B06BA" w14:textId="77777777" w:rsidR="00B93983" w:rsidRPr="0040534B" w:rsidRDefault="00B93983" w:rsidP="004844B8">
            <w:pPr>
              <w:pStyle w:val="TableText0"/>
              <w:keepLines/>
              <w:jc w:val="center"/>
              <w:rPr>
                <w:b/>
              </w:rPr>
            </w:pPr>
            <w:r w:rsidRPr="0040534B">
              <w:rPr>
                <w:b/>
              </w:rPr>
              <w:t>-3.5</w:t>
            </w:r>
          </w:p>
          <w:p w14:paraId="00FCF814" w14:textId="19AE04BA" w:rsidR="00B93983" w:rsidRPr="0040534B" w:rsidRDefault="00B93983" w:rsidP="004844B8">
            <w:pPr>
              <w:pStyle w:val="TableText0"/>
              <w:keepLines/>
              <w:jc w:val="center"/>
              <w:rPr>
                <w:b/>
              </w:rPr>
            </w:pPr>
            <w:r w:rsidRPr="0040534B">
              <w:rPr>
                <w:b/>
              </w:rPr>
              <w:t>(-4.2, -2.8)</w:t>
            </w:r>
          </w:p>
        </w:tc>
      </w:tr>
      <w:tr w:rsidR="00F478FB" w:rsidRPr="0040534B" w14:paraId="72F42E6E" w14:textId="77777777" w:rsidTr="00F478FB">
        <w:tc>
          <w:tcPr>
            <w:tcW w:w="663" w:type="pct"/>
            <w:vMerge w:val="restart"/>
            <w:vAlign w:val="center"/>
          </w:tcPr>
          <w:p w14:paraId="24FC8B5A" w14:textId="56C68B79" w:rsidR="00B93983" w:rsidRPr="0040534B" w:rsidRDefault="00B93983" w:rsidP="004844B8">
            <w:pPr>
              <w:pStyle w:val="TableText0"/>
              <w:keepLines/>
            </w:pPr>
            <w:r w:rsidRPr="0040534B">
              <w:t>NCT03303079</w:t>
            </w:r>
            <w:r w:rsidRPr="0040534B">
              <w:rPr>
                <w:vertAlign w:val="superscript"/>
              </w:rPr>
              <w:t>c</w:t>
            </w:r>
          </w:p>
        </w:tc>
        <w:tc>
          <w:tcPr>
            <w:tcW w:w="998" w:type="pct"/>
            <w:vAlign w:val="center"/>
          </w:tcPr>
          <w:p w14:paraId="077AB41F" w14:textId="7041EC36" w:rsidR="00B93983" w:rsidRPr="0040534B" w:rsidRDefault="00B93983" w:rsidP="004844B8">
            <w:pPr>
              <w:pStyle w:val="TableText0"/>
              <w:keepLines/>
            </w:pPr>
            <w:r w:rsidRPr="0040534B">
              <w:t>FREM 675</w:t>
            </w:r>
            <w:r w:rsidR="006F04A7" w:rsidRPr="0040534B">
              <w:t xml:space="preserve"> </w:t>
            </w:r>
            <w:r w:rsidRPr="0040534B">
              <w:t>mg vs. PBO</w:t>
            </w:r>
          </w:p>
        </w:tc>
        <w:tc>
          <w:tcPr>
            <w:tcW w:w="333" w:type="pct"/>
            <w:tcBorders>
              <w:left w:val="single" w:sz="4" w:space="0" w:color="auto"/>
            </w:tcBorders>
            <w:vAlign w:val="center"/>
          </w:tcPr>
          <w:p w14:paraId="095CB420" w14:textId="0C02A93F" w:rsidR="00B93983" w:rsidRPr="0040534B" w:rsidRDefault="00B93983" w:rsidP="004844B8">
            <w:pPr>
              <w:pStyle w:val="TableText0"/>
              <w:keepLines/>
              <w:jc w:val="center"/>
            </w:pPr>
            <w:r w:rsidRPr="0040534B">
              <w:t>189</w:t>
            </w:r>
          </w:p>
        </w:tc>
        <w:tc>
          <w:tcPr>
            <w:tcW w:w="465" w:type="pct"/>
            <w:vAlign w:val="center"/>
          </w:tcPr>
          <w:p w14:paraId="4476DF34" w14:textId="5D2397E6" w:rsidR="00B93983" w:rsidRPr="0040534B" w:rsidRDefault="00B93983" w:rsidP="004844B8">
            <w:pPr>
              <w:pStyle w:val="TableText0"/>
              <w:keepLines/>
              <w:jc w:val="center"/>
            </w:pPr>
            <w:r w:rsidRPr="0040534B">
              <w:t>15.2 (5.0)</w:t>
            </w:r>
          </w:p>
        </w:tc>
        <w:tc>
          <w:tcPr>
            <w:tcW w:w="532" w:type="pct"/>
            <w:tcBorders>
              <w:right w:val="single" w:sz="4" w:space="0" w:color="auto"/>
            </w:tcBorders>
            <w:vAlign w:val="center"/>
          </w:tcPr>
          <w:p w14:paraId="39872D5E" w14:textId="77777777" w:rsidR="00B93983" w:rsidRPr="0040534B" w:rsidRDefault="00B93983" w:rsidP="004844B8">
            <w:pPr>
              <w:pStyle w:val="TableText0"/>
              <w:keepLines/>
              <w:jc w:val="center"/>
            </w:pPr>
            <w:r w:rsidRPr="0040534B">
              <w:t>-4.1 [0.4]</w:t>
            </w:r>
          </w:p>
          <w:p w14:paraId="1F5DB4D8" w14:textId="11E44EAF" w:rsidR="00B93983" w:rsidRPr="0040534B" w:rsidRDefault="00B93983" w:rsidP="004844B8">
            <w:pPr>
              <w:pStyle w:val="TableText0"/>
              <w:keepLines/>
              <w:jc w:val="center"/>
            </w:pPr>
            <w:r w:rsidRPr="0040534B">
              <w:rPr>
                <w:i/>
                <w:iCs/>
              </w:rPr>
              <w:t>-4.1 [0.5]</w:t>
            </w:r>
          </w:p>
        </w:tc>
        <w:tc>
          <w:tcPr>
            <w:tcW w:w="333" w:type="pct"/>
            <w:tcBorders>
              <w:left w:val="single" w:sz="4" w:space="0" w:color="auto"/>
            </w:tcBorders>
            <w:vAlign w:val="center"/>
          </w:tcPr>
          <w:p w14:paraId="68EF8BF9" w14:textId="7EAB59C0" w:rsidR="00B93983" w:rsidRPr="0040534B" w:rsidRDefault="00B93983" w:rsidP="004844B8">
            <w:pPr>
              <w:pStyle w:val="TableText0"/>
              <w:keepLines/>
              <w:jc w:val="center"/>
            </w:pPr>
            <w:r w:rsidRPr="0040534B">
              <w:t>190</w:t>
            </w:r>
          </w:p>
        </w:tc>
        <w:tc>
          <w:tcPr>
            <w:tcW w:w="466" w:type="pct"/>
            <w:vAlign w:val="center"/>
          </w:tcPr>
          <w:p w14:paraId="48D9B090" w14:textId="0E9F1436" w:rsidR="00B93983" w:rsidRPr="0040534B" w:rsidRDefault="00B93983" w:rsidP="004844B8">
            <w:pPr>
              <w:pStyle w:val="TableText0"/>
              <w:keepLines/>
              <w:jc w:val="center"/>
            </w:pPr>
            <w:r w:rsidRPr="0040534B">
              <w:t>15.4 (5.0)</w:t>
            </w:r>
          </w:p>
        </w:tc>
        <w:tc>
          <w:tcPr>
            <w:tcW w:w="533" w:type="pct"/>
            <w:tcBorders>
              <w:right w:val="single" w:sz="4" w:space="0" w:color="auto"/>
            </w:tcBorders>
            <w:vAlign w:val="center"/>
          </w:tcPr>
          <w:p w14:paraId="07D72008" w14:textId="77777777" w:rsidR="00B93983" w:rsidRPr="0040534B" w:rsidRDefault="00B93983" w:rsidP="004844B8">
            <w:pPr>
              <w:pStyle w:val="TableText0"/>
              <w:keepLines/>
              <w:jc w:val="center"/>
            </w:pPr>
            <w:r w:rsidRPr="0040534B">
              <w:t>-2.4 [0.4]</w:t>
            </w:r>
          </w:p>
          <w:p w14:paraId="62576DBC" w14:textId="62F48029" w:rsidR="00B93983" w:rsidRPr="0040534B" w:rsidRDefault="00B93983" w:rsidP="004844B8">
            <w:pPr>
              <w:pStyle w:val="TableText0"/>
              <w:keepLines/>
              <w:jc w:val="center"/>
            </w:pPr>
            <w:r w:rsidRPr="0040534B">
              <w:rPr>
                <w:i/>
                <w:iCs/>
              </w:rPr>
              <w:t>-2.8 [0.5]</w:t>
            </w:r>
          </w:p>
        </w:tc>
        <w:tc>
          <w:tcPr>
            <w:tcW w:w="677" w:type="pct"/>
            <w:tcBorders>
              <w:left w:val="single" w:sz="4" w:space="0" w:color="auto"/>
            </w:tcBorders>
            <w:vAlign w:val="center"/>
          </w:tcPr>
          <w:p w14:paraId="58E59A02" w14:textId="3171FF66" w:rsidR="00B93983" w:rsidRPr="0040534B" w:rsidRDefault="00B93983" w:rsidP="004844B8">
            <w:pPr>
              <w:pStyle w:val="TableText0"/>
              <w:keepLines/>
              <w:jc w:val="center"/>
              <w:rPr>
                <w:b/>
              </w:rPr>
            </w:pPr>
            <w:r w:rsidRPr="0040534B">
              <w:rPr>
                <w:b/>
              </w:rPr>
              <w:t>-1.7</w:t>
            </w:r>
            <w:r w:rsidR="00341998" w:rsidRPr="0040534B">
              <w:rPr>
                <w:b/>
              </w:rPr>
              <w:t xml:space="preserve"> </w:t>
            </w:r>
            <w:r w:rsidRPr="0040534B">
              <w:rPr>
                <w:b/>
              </w:rPr>
              <w:t>(-2.6,-0.8)</w:t>
            </w:r>
          </w:p>
          <w:p w14:paraId="4F19B4F0" w14:textId="7D5FBCAD" w:rsidR="00B93983" w:rsidRPr="0040534B" w:rsidRDefault="00B93983" w:rsidP="004844B8">
            <w:pPr>
              <w:pStyle w:val="TableText0"/>
              <w:keepLines/>
              <w:jc w:val="center"/>
              <w:rPr>
                <w:b/>
              </w:rPr>
            </w:pPr>
            <w:r w:rsidRPr="0040534B">
              <w:rPr>
                <w:b/>
                <w:i/>
                <w:iCs/>
              </w:rPr>
              <w:t>-2.1</w:t>
            </w:r>
            <w:r w:rsidR="00341998" w:rsidRPr="0040534B">
              <w:rPr>
                <w:b/>
                <w:i/>
                <w:iCs/>
              </w:rPr>
              <w:t xml:space="preserve"> </w:t>
            </w:r>
            <w:r w:rsidRPr="0040534B">
              <w:rPr>
                <w:b/>
                <w:i/>
                <w:iCs/>
              </w:rPr>
              <w:t>(-3.1,-1.1)</w:t>
            </w:r>
          </w:p>
        </w:tc>
      </w:tr>
      <w:tr w:rsidR="00F478FB" w:rsidRPr="0040534B" w14:paraId="69CBD1F0" w14:textId="77777777" w:rsidTr="00F478FB">
        <w:tc>
          <w:tcPr>
            <w:tcW w:w="663" w:type="pct"/>
            <w:vMerge/>
            <w:vAlign w:val="center"/>
          </w:tcPr>
          <w:p w14:paraId="10FDED4E" w14:textId="77777777" w:rsidR="00B93983" w:rsidRPr="0040534B" w:rsidRDefault="00B93983" w:rsidP="004844B8">
            <w:pPr>
              <w:pStyle w:val="TableText0"/>
              <w:keepLines/>
            </w:pPr>
          </w:p>
        </w:tc>
        <w:tc>
          <w:tcPr>
            <w:tcW w:w="998" w:type="pct"/>
            <w:vAlign w:val="center"/>
          </w:tcPr>
          <w:p w14:paraId="78858234" w14:textId="2C0FCA61" w:rsidR="00B93983" w:rsidRPr="0040534B" w:rsidRDefault="00B93983" w:rsidP="004844B8">
            <w:pPr>
              <w:pStyle w:val="TableText0"/>
              <w:keepLines/>
            </w:pPr>
            <w:r w:rsidRPr="0040534B">
              <w:t>FREM 225</w:t>
            </w:r>
            <w:r w:rsidR="006F04A7" w:rsidRPr="0040534B">
              <w:t xml:space="preserve"> </w:t>
            </w:r>
            <w:r w:rsidRPr="0040534B">
              <w:t>mg vs. PBO</w:t>
            </w:r>
            <w:r w:rsidRPr="0040534B">
              <w:rPr>
                <w:vertAlign w:val="superscript"/>
              </w:rPr>
              <w:t>b</w:t>
            </w:r>
          </w:p>
        </w:tc>
        <w:tc>
          <w:tcPr>
            <w:tcW w:w="333" w:type="pct"/>
            <w:tcBorders>
              <w:left w:val="single" w:sz="4" w:space="0" w:color="auto"/>
            </w:tcBorders>
            <w:vAlign w:val="center"/>
          </w:tcPr>
          <w:p w14:paraId="34E0FFED" w14:textId="53219F27" w:rsidR="00B93983" w:rsidRPr="0040534B" w:rsidRDefault="00B93983" w:rsidP="004844B8">
            <w:pPr>
              <w:pStyle w:val="TableText0"/>
              <w:keepLines/>
              <w:jc w:val="center"/>
            </w:pPr>
            <w:r w:rsidRPr="0040534B">
              <w:t>187</w:t>
            </w:r>
          </w:p>
        </w:tc>
        <w:tc>
          <w:tcPr>
            <w:tcW w:w="465" w:type="pct"/>
            <w:vAlign w:val="center"/>
          </w:tcPr>
          <w:p w14:paraId="36C6E477" w14:textId="4BE3845E" w:rsidR="00B93983" w:rsidRPr="0040534B" w:rsidRDefault="00B93983" w:rsidP="004844B8">
            <w:pPr>
              <w:pStyle w:val="TableText0"/>
              <w:keepLines/>
              <w:jc w:val="center"/>
            </w:pPr>
            <w:r w:rsidRPr="0040534B">
              <w:t>16.4 (5.3)</w:t>
            </w:r>
          </w:p>
        </w:tc>
        <w:tc>
          <w:tcPr>
            <w:tcW w:w="532" w:type="pct"/>
            <w:tcBorders>
              <w:right w:val="single" w:sz="4" w:space="0" w:color="auto"/>
            </w:tcBorders>
            <w:vAlign w:val="center"/>
          </w:tcPr>
          <w:p w14:paraId="7259E4E2" w14:textId="77777777" w:rsidR="00B93983" w:rsidRPr="0040534B" w:rsidRDefault="00B93983" w:rsidP="004844B8">
            <w:pPr>
              <w:pStyle w:val="TableText0"/>
              <w:keepLines/>
              <w:jc w:val="center"/>
            </w:pPr>
            <w:r w:rsidRPr="0040534B">
              <w:t>-4.1 [0.4]</w:t>
            </w:r>
          </w:p>
          <w:p w14:paraId="07377A02" w14:textId="7DAEB107" w:rsidR="00B93983" w:rsidRPr="0040534B" w:rsidRDefault="00B93983" w:rsidP="004844B8">
            <w:pPr>
              <w:pStyle w:val="TableText0"/>
              <w:keepLines/>
              <w:jc w:val="center"/>
            </w:pPr>
            <w:r w:rsidRPr="0040534B">
              <w:rPr>
                <w:i/>
                <w:iCs/>
              </w:rPr>
              <w:t>-4.9 [0.5]</w:t>
            </w:r>
          </w:p>
        </w:tc>
        <w:tc>
          <w:tcPr>
            <w:tcW w:w="333" w:type="pct"/>
            <w:tcBorders>
              <w:left w:val="single" w:sz="4" w:space="0" w:color="auto"/>
            </w:tcBorders>
            <w:vAlign w:val="center"/>
          </w:tcPr>
          <w:p w14:paraId="76504ADB" w14:textId="31CA4E5B" w:rsidR="00B93983" w:rsidRPr="0040534B" w:rsidRDefault="00B93983" w:rsidP="004844B8">
            <w:pPr>
              <w:pStyle w:val="TableText0"/>
              <w:keepLines/>
              <w:jc w:val="center"/>
            </w:pPr>
            <w:r w:rsidRPr="0040534B">
              <w:t>190</w:t>
            </w:r>
          </w:p>
        </w:tc>
        <w:tc>
          <w:tcPr>
            <w:tcW w:w="466" w:type="pct"/>
            <w:vAlign w:val="center"/>
          </w:tcPr>
          <w:p w14:paraId="0154B33E" w14:textId="392CD9CB" w:rsidR="00B93983" w:rsidRPr="0040534B" w:rsidRDefault="00B93983" w:rsidP="004844B8">
            <w:pPr>
              <w:pStyle w:val="TableText0"/>
              <w:keepLines/>
              <w:jc w:val="center"/>
            </w:pPr>
            <w:r w:rsidRPr="0040534B">
              <w:t>15.4 (5.0)</w:t>
            </w:r>
          </w:p>
        </w:tc>
        <w:tc>
          <w:tcPr>
            <w:tcW w:w="533" w:type="pct"/>
            <w:tcBorders>
              <w:right w:val="single" w:sz="4" w:space="0" w:color="auto"/>
            </w:tcBorders>
            <w:vAlign w:val="center"/>
          </w:tcPr>
          <w:p w14:paraId="08AC0755" w14:textId="77777777" w:rsidR="00B93983" w:rsidRPr="0040534B" w:rsidRDefault="00B93983" w:rsidP="004844B8">
            <w:pPr>
              <w:pStyle w:val="TableText0"/>
              <w:keepLines/>
              <w:jc w:val="center"/>
            </w:pPr>
            <w:r w:rsidRPr="0040534B">
              <w:t>-2.4 [0.4]</w:t>
            </w:r>
          </w:p>
          <w:p w14:paraId="296CF26B" w14:textId="4AA1FF67" w:rsidR="00B93983" w:rsidRPr="0040534B" w:rsidRDefault="00B93983" w:rsidP="004844B8">
            <w:pPr>
              <w:pStyle w:val="TableText0"/>
              <w:keepLines/>
              <w:jc w:val="center"/>
            </w:pPr>
            <w:r w:rsidRPr="0040534B">
              <w:rPr>
                <w:i/>
                <w:iCs/>
              </w:rPr>
              <w:t>-2.8 [0.5]</w:t>
            </w:r>
          </w:p>
        </w:tc>
        <w:tc>
          <w:tcPr>
            <w:tcW w:w="677" w:type="pct"/>
            <w:tcBorders>
              <w:left w:val="single" w:sz="4" w:space="0" w:color="auto"/>
            </w:tcBorders>
            <w:vAlign w:val="center"/>
          </w:tcPr>
          <w:p w14:paraId="43CFDCBF" w14:textId="5CD623C5" w:rsidR="00B93983" w:rsidRPr="0040534B" w:rsidRDefault="00B93983" w:rsidP="004844B8">
            <w:pPr>
              <w:pStyle w:val="TableText0"/>
              <w:keepLines/>
              <w:jc w:val="center"/>
              <w:rPr>
                <w:b/>
              </w:rPr>
            </w:pPr>
            <w:r w:rsidRPr="0040534B">
              <w:rPr>
                <w:b/>
              </w:rPr>
              <w:t>-1.7</w:t>
            </w:r>
            <w:r w:rsidR="00341998" w:rsidRPr="0040534B">
              <w:rPr>
                <w:b/>
              </w:rPr>
              <w:t xml:space="preserve"> </w:t>
            </w:r>
            <w:r w:rsidRPr="0040534B">
              <w:rPr>
                <w:b/>
              </w:rPr>
              <w:t>(-2.5,-0.8)</w:t>
            </w:r>
          </w:p>
          <w:p w14:paraId="539CC2BF" w14:textId="1E271E33" w:rsidR="00B93983" w:rsidRPr="0040534B" w:rsidRDefault="00B93983" w:rsidP="004844B8">
            <w:pPr>
              <w:pStyle w:val="TableText0"/>
              <w:keepLines/>
              <w:jc w:val="center"/>
              <w:rPr>
                <w:b/>
              </w:rPr>
            </w:pPr>
            <w:r w:rsidRPr="0040534B">
              <w:rPr>
                <w:b/>
                <w:i/>
                <w:iCs/>
              </w:rPr>
              <w:t>-1.3</w:t>
            </w:r>
            <w:r w:rsidR="00341998" w:rsidRPr="0040534B">
              <w:rPr>
                <w:b/>
                <w:i/>
                <w:iCs/>
              </w:rPr>
              <w:t xml:space="preserve"> </w:t>
            </w:r>
            <w:r w:rsidRPr="0040534B">
              <w:rPr>
                <w:b/>
                <w:i/>
                <w:iCs/>
              </w:rPr>
              <w:t>(-2.3,-0.3)</w:t>
            </w:r>
          </w:p>
        </w:tc>
      </w:tr>
      <w:tr w:rsidR="00B93983" w:rsidRPr="0040534B" w14:paraId="4CBDD976" w14:textId="77777777" w:rsidTr="00B951B8">
        <w:tc>
          <w:tcPr>
            <w:tcW w:w="5000" w:type="pct"/>
            <w:gridSpan w:val="9"/>
            <w:vAlign w:val="center"/>
          </w:tcPr>
          <w:p w14:paraId="5BAB1127" w14:textId="303EA785" w:rsidR="00B93983" w:rsidRPr="0040534B" w:rsidRDefault="00EC2CF6" w:rsidP="004844B8">
            <w:pPr>
              <w:pStyle w:val="TableText0"/>
              <w:keepLines/>
              <w:rPr>
                <w:b/>
              </w:rPr>
            </w:pPr>
            <w:r w:rsidRPr="0040534B">
              <w:rPr>
                <w:b/>
              </w:rPr>
              <w:t xml:space="preserve">Subgroup of patients with </w:t>
            </w:r>
            <w:r w:rsidR="00B93983" w:rsidRPr="0040534B">
              <w:rPr>
                <w:b/>
              </w:rPr>
              <w:t>2-4 prior treatment failures</w:t>
            </w:r>
          </w:p>
        </w:tc>
      </w:tr>
      <w:tr w:rsidR="00F478FB" w:rsidRPr="0040534B" w14:paraId="79A5FF33" w14:textId="77777777" w:rsidTr="00F478FB">
        <w:tc>
          <w:tcPr>
            <w:tcW w:w="663" w:type="pct"/>
            <w:vAlign w:val="center"/>
          </w:tcPr>
          <w:p w14:paraId="6EBAFEF3" w14:textId="29CA51C7" w:rsidR="00B93983" w:rsidRPr="0040534B" w:rsidRDefault="00B93983" w:rsidP="004844B8">
            <w:pPr>
              <w:pStyle w:val="TableText0"/>
              <w:keepLines/>
            </w:pPr>
            <w:r w:rsidRPr="0040534B">
              <w:t>PROGRESS</w:t>
            </w:r>
            <w:r w:rsidRPr="0040534B">
              <w:rPr>
                <w:vertAlign w:val="superscript"/>
              </w:rPr>
              <w:t>d</w:t>
            </w:r>
          </w:p>
        </w:tc>
        <w:tc>
          <w:tcPr>
            <w:tcW w:w="998" w:type="pct"/>
            <w:vAlign w:val="center"/>
          </w:tcPr>
          <w:p w14:paraId="16D3A11F" w14:textId="74D3C154" w:rsidR="00B93983" w:rsidRPr="0040534B" w:rsidRDefault="00B93983" w:rsidP="004844B8">
            <w:pPr>
              <w:pStyle w:val="TableText0"/>
              <w:keepLines/>
            </w:pPr>
            <w:r w:rsidRPr="0040534B">
              <w:t>ATOG 60</w:t>
            </w:r>
            <w:r w:rsidR="006F04A7" w:rsidRPr="0040534B">
              <w:t xml:space="preserve"> </w:t>
            </w:r>
            <w:r w:rsidRPr="0040534B">
              <w:t>mg vs. PBO</w:t>
            </w:r>
          </w:p>
        </w:tc>
        <w:tc>
          <w:tcPr>
            <w:tcW w:w="333" w:type="pct"/>
            <w:tcBorders>
              <w:left w:val="single" w:sz="4" w:space="0" w:color="auto"/>
            </w:tcBorders>
            <w:vAlign w:val="center"/>
          </w:tcPr>
          <w:p w14:paraId="4FD8EB04" w14:textId="77777777" w:rsidR="00B93983" w:rsidRPr="0040534B" w:rsidRDefault="00B93983" w:rsidP="004844B8">
            <w:pPr>
              <w:pStyle w:val="TableText0"/>
              <w:keepLines/>
              <w:jc w:val="center"/>
            </w:pPr>
            <w:r w:rsidRPr="0040534B">
              <w:t>88</w:t>
            </w:r>
          </w:p>
        </w:tc>
        <w:tc>
          <w:tcPr>
            <w:tcW w:w="465" w:type="pct"/>
            <w:vAlign w:val="center"/>
          </w:tcPr>
          <w:p w14:paraId="7E525F24" w14:textId="77777777" w:rsidR="00B93983" w:rsidRPr="0040534B" w:rsidRDefault="00B93983" w:rsidP="004844B8">
            <w:pPr>
              <w:pStyle w:val="TableText0"/>
              <w:keepLines/>
              <w:jc w:val="center"/>
            </w:pPr>
            <w:r w:rsidRPr="0040534B">
              <w:t>20.3 (0.6)</w:t>
            </w:r>
          </w:p>
          <w:p w14:paraId="4FBCE09A" w14:textId="3918E62F" w:rsidR="00B93983" w:rsidRPr="0040534B" w:rsidRDefault="00B93983" w:rsidP="004844B8">
            <w:pPr>
              <w:pStyle w:val="TableText0"/>
              <w:keepLines/>
              <w:jc w:val="center"/>
            </w:pPr>
            <w:r w:rsidRPr="0040534B">
              <w:rPr>
                <w:i/>
                <w:iCs/>
              </w:rPr>
              <w:t>20.3 (5.4)</w:t>
            </w:r>
          </w:p>
        </w:tc>
        <w:tc>
          <w:tcPr>
            <w:tcW w:w="532" w:type="pct"/>
            <w:tcBorders>
              <w:right w:val="single" w:sz="4" w:space="0" w:color="auto"/>
            </w:tcBorders>
            <w:vAlign w:val="center"/>
          </w:tcPr>
          <w:p w14:paraId="1C016038" w14:textId="33E76057" w:rsidR="00B93983" w:rsidRPr="0040534B" w:rsidRDefault="00B93983" w:rsidP="004844B8">
            <w:pPr>
              <w:pStyle w:val="TableText0"/>
              <w:keepLines/>
              <w:jc w:val="center"/>
            </w:pPr>
            <w:r w:rsidRPr="0040534B">
              <w:t>-6.4 [0.7]</w:t>
            </w:r>
          </w:p>
        </w:tc>
        <w:tc>
          <w:tcPr>
            <w:tcW w:w="333" w:type="pct"/>
            <w:tcBorders>
              <w:left w:val="single" w:sz="4" w:space="0" w:color="auto"/>
            </w:tcBorders>
            <w:vAlign w:val="center"/>
          </w:tcPr>
          <w:p w14:paraId="7BD509E0" w14:textId="79D3AB59" w:rsidR="00B93983" w:rsidRPr="0040534B" w:rsidRDefault="00B93983" w:rsidP="004844B8">
            <w:pPr>
              <w:pStyle w:val="TableText0"/>
              <w:keepLines/>
              <w:jc w:val="center"/>
            </w:pPr>
            <w:r w:rsidRPr="0040534B">
              <w:t>76</w:t>
            </w:r>
          </w:p>
        </w:tc>
        <w:tc>
          <w:tcPr>
            <w:tcW w:w="466" w:type="pct"/>
            <w:vAlign w:val="center"/>
          </w:tcPr>
          <w:p w14:paraId="5B8575EF" w14:textId="77777777" w:rsidR="00B93983" w:rsidRPr="0040534B" w:rsidRDefault="00B93983" w:rsidP="004844B8">
            <w:pPr>
              <w:pStyle w:val="TableText0"/>
              <w:keepLines/>
              <w:jc w:val="center"/>
            </w:pPr>
            <w:r w:rsidRPr="0040534B">
              <w:t>19.4 (0.6)</w:t>
            </w:r>
          </w:p>
          <w:p w14:paraId="36E8C5CB" w14:textId="2A0A297E" w:rsidR="00B93983" w:rsidRPr="0040534B" w:rsidRDefault="00B93983" w:rsidP="004844B8">
            <w:pPr>
              <w:pStyle w:val="TableText0"/>
              <w:keepLines/>
              <w:jc w:val="center"/>
            </w:pPr>
            <w:r w:rsidRPr="0040534B">
              <w:rPr>
                <w:i/>
                <w:iCs/>
              </w:rPr>
              <w:t>19.4 (5.0)</w:t>
            </w:r>
          </w:p>
        </w:tc>
        <w:tc>
          <w:tcPr>
            <w:tcW w:w="533" w:type="pct"/>
            <w:tcBorders>
              <w:right w:val="single" w:sz="4" w:space="0" w:color="auto"/>
            </w:tcBorders>
            <w:vAlign w:val="center"/>
          </w:tcPr>
          <w:p w14:paraId="1AF8DA7C" w14:textId="41E95885" w:rsidR="00B93983" w:rsidRPr="0040534B" w:rsidRDefault="00B93983" w:rsidP="004844B8">
            <w:pPr>
              <w:pStyle w:val="TableText0"/>
              <w:keepLines/>
              <w:jc w:val="center"/>
            </w:pPr>
            <w:r w:rsidRPr="0040534B">
              <w:t>-4.5 [0.7]</w:t>
            </w:r>
          </w:p>
        </w:tc>
        <w:tc>
          <w:tcPr>
            <w:tcW w:w="677" w:type="pct"/>
            <w:tcBorders>
              <w:left w:val="single" w:sz="4" w:space="0" w:color="auto"/>
            </w:tcBorders>
            <w:vAlign w:val="center"/>
          </w:tcPr>
          <w:p w14:paraId="043AF4CA" w14:textId="77777777" w:rsidR="00B93983" w:rsidRPr="0040534B" w:rsidRDefault="00B93983" w:rsidP="004844B8">
            <w:pPr>
              <w:pStyle w:val="TableText0"/>
              <w:keepLines/>
              <w:jc w:val="center"/>
              <w:rPr>
                <w:b/>
              </w:rPr>
            </w:pPr>
            <w:r w:rsidRPr="0040534B">
              <w:rPr>
                <w:b/>
              </w:rPr>
              <w:t xml:space="preserve">-1.9 </w:t>
            </w:r>
          </w:p>
          <w:p w14:paraId="27D948F7" w14:textId="64CDA519" w:rsidR="00B93983" w:rsidRPr="0040534B" w:rsidRDefault="00B93983" w:rsidP="004844B8">
            <w:pPr>
              <w:pStyle w:val="TableText0"/>
              <w:keepLines/>
              <w:jc w:val="center"/>
              <w:rPr>
                <w:b/>
                <w:bCs w:val="0"/>
              </w:rPr>
            </w:pPr>
            <w:r w:rsidRPr="0040534B">
              <w:rPr>
                <w:b/>
              </w:rPr>
              <w:t>(-3.8, -0.02)</w:t>
            </w:r>
          </w:p>
        </w:tc>
      </w:tr>
      <w:tr w:rsidR="00F478FB" w:rsidRPr="0040534B" w14:paraId="0FCC61B5" w14:textId="77777777" w:rsidTr="00F478FB">
        <w:tc>
          <w:tcPr>
            <w:tcW w:w="663" w:type="pct"/>
            <w:vAlign w:val="center"/>
          </w:tcPr>
          <w:p w14:paraId="29BFB842" w14:textId="78D1396E" w:rsidR="00B93983" w:rsidRPr="0040534B" w:rsidRDefault="00B93983" w:rsidP="004844B8">
            <w:pPr>
              <w:pStyle w:val="TableText0"/>
              <w:keepLines/>
            </w:pPr>
            <w:r w:rsidRPr="0040534B">
              <w:t>CONQUER</w:t>
            </w:r>
          </w:p>
          <w:p w14:paraId="120774ED" w14:textId="3B0C8E70" w:rsidR="00B93983" w:rsidRPr="0040534B" w:rsidDel="00B93983" w:rsidRDefault="00B93983" w:rsidP="004844B8">
            <w:pPr>
              <w:pStyle w:val="TableText0"/>
              <w:keepLines/>
            </w:pPr>
            <w:r w:rsidRPr="0040534B">
              <w:t>(CM subgroup)</w:t>
            </w:r>
          </w:p>
        </w:tc>
        <w:tc>
          <w:tcPr>
            <w:tcW w:w="998" w:type="pct"/>
            <w:vAlign w:val="center"/>
          </w:tcPr>
          <w:p w14:paraId="431D5056" w14:textId="7AACA867" w:rsidR="00B93983" w:rsidRPr="0040534B" w:rsidRDefault="00B93983" w:rsidP="004844B8">
            <w:pPr>
              <w:pStyle w:val="TableText0"/>
              <w:keepLines/>
            </w:pPr>
            <w:r w:rsidRPr="0040534B">
              <w:t>GAL 120</w:t>
            </w:r>
            <w:r w:rsidR="006F04A7" w:rsidRPr="0040534B">
              <w:t xml:space="preserve"> </w:t>
            </w:r>
            <w:r w:rsidRPr="0040534B">
              <w:t>mg vs. PBO</w:t>
            </w:r>
          </w:p>
        </w:tc>
        <w:tc>
          <w:tcPr>
            <w:tcW w:w="333" w:type="pct"/>
            <w:tcBorders>
              <w:left w:val="single" w:sz="4" w:space="0" w:color="auto"/>
            </w:tcBorders>
            <w:vAlign w:val="center"/>
          </w:tcPr>
          <w:p w14:paraId="569FBB79" w14:textId="6B28BCB4" w:rsidR="00B93983" w:rsidRPr="0040534B" w:rsidRDefault="00B93983" w:rsidP="004844B8">
            <w:pPr>
              <w:pStyle w:val="TableText0"/>
              <w:keepLines/>
              <w:jc w:val="center"/>
            </w:pPr>
            <w:r w:rsidRPr="0040534B">
              <w:t>95</w:t>
            </w:r>
          </w:p>
        </w:tc>
        <w:tc>
          <w:tcPr>
            <w:tcW w:w="465" w:type="pct"/>
            <w:vAlign w:val="center"/>
          </w:tcPr>
          <w:p w14:paraId="48E7EEB1" w14:textId="14DC24ED" w:rsidR="00B93983" w:rsidRPr="0040534B" w:rsidRDefault="00B93983" w:rsidP="004844B8">
            <w:pPr>
              <w:pStyle w:val="TableText0"/>
              <w:keepLines/>
              <w:jc w:val="center"/>
            </w:pPr>
            <w:r w:rsidRPr="0040534B">
              <w:t>19.2 (4.7)</w:t>
            </w:r>
          </w:p>
        </w:tc>
        <w:tc>
          <w:tcPr>
            <w:tcW w:w="532" w:type="pct"/>
            <w:tcBorders>
              <w:right w:val="single" w:sz="4" w:space="0" w:color="auto"/>
            </w:tcBorders>
            <w:vAlign w:val="center"/>
          </w:tcPr>
          <w:p w14:paraId="5C81625A" w14:textId="77777777" w:rsidR="00B93983" w:rsidRPr="0040534B" w:rsidRDefault="00B93983" w:rsidP="004844B8">
            <w:pPr>
              <w:pStyle w:val="TableText0"/>
              <w:keepLines/>
              <w:jc w:val="center"/>
            </w:pPr>
            <w:r w:rsidRPr="0040534B">
              <w:t>-6.0 [6.8]</w:t>
            </w:r>
          </w:p>
          <w:p w14:paraId="04BCDF0F" w14:textId="6AA6F0C2" w:rsidR="00B93983" w:rsidRPr="0040534B" w:rsidRDefault="00B93983" w:rsidP="004844B8">
            <w:pPr>
              <w:pStyle w:val="TableText0"/>
              <w:keepLines/>
              <w:jc w:val="center"/>
            </w:pPr>
            <w:r w:rsidRPr="0040534B">
              <w:rPr>
                <w:i/>
                <w:iCs/>
              </w:rPr>
              <w:t>-6.0 [0.7]</w:t>
            </w:r>
          </w:p>
        </w:tc>
        <w:tc>
          <w:tcPr>
            <w:tcW w:w="333" w:type="pct"/>
            <w:tcBorders>
              <w:left w:val="single" w:sz="4" w:space="0" w:color="auto"/>
            </w:tcBorders>
            <w:vAlign w:val="center"/>
          </w:tcPr>
          <w:p w14:paraId="5CC6055C" w14:textId="216F290E" w:rsidR="00B93983" w:rsidRPr="0040534B" w:rsidRDefault="00B93983" w:rsidP="004844B8">
            <w:pPr>
              <w:pStyle w:val="TableText0"/>
              <w:keepLines/>
              <w:jc w:val="center"/>
            </w:pPr>
            <w:r w:rsidRPr="0040534B">
              <w:t>98</w:t>
            </w:r>
          </w:p>
        </w:tc>
        <w:tc>
          <w:tcPr>
            <w:tcW w:w="466" w:type="pct"/>
            <w:vAlign w:val="center"/>
          </w:tcPr>
          <w:p w14:paraId="33C87C21" w14:textId="4086CB1D" w:rsidR="00B93983" w:rsidRPr="0040534B" w:rsidRDefault="00B93983" w:rsidP="004844B8">
            <w:pPr>
              <w:pStyle w:val="TableText0"/>
              <w:keepLines/>
              <w:jc w:val="center"/>
            </w:pPr>
            <w:r w:rsidRPr="0040534B">
              <w:t>18.1 (4.7)</w:t>
            </w:r>
          </w:p>
        </w:tc>
        <w:tc>
          <w:tcPr>
            <w:tcW w:w="533" w:type="pct"/>
            <w:tcBorders>
              <w:right w:val="single" w:sz="4" w:space="0" w:color="auto"/>
            </w:tcBorders>
            <w:vAlign w:val="center"/>
          </w:tcPr>
          <w:p w14:paraId="0E2AE6E3" w14:textId="77777777" w:rsidR="00B93983" w:rsidRPr="0040534B" w:rsidRDefault="00B93983" w:rsidP="004844B8">
            <w:pPr>
              <w:pStyle w:val="TableText0"/>
              <w:keepLines/>
              <w:jc w:val="center"/>
            </w:pPr>
            <w:r w:rsidRPr="0040534B">
              <w:t>-2.2 [5.9]</w:t>
            </w:r>
          </w:p>
          <w:p w14:paraId="2D4ED26F" w14:textId="1EE853A8" w:rsidR="00B93983" w:rsidRPr="0040534B" w:rsidRDefault="00B93983" w:rsidP="004844B8">
            <w:pPr>
              <w:pStyle w:val="TableText0"/>
              <w:keepLines/>
              <w:jc w:val="center"/>
            </w:pPr>
            <w:r w:rsidRPr="0040534B">
              <w:rPr>
                <w:i/>
                <w:iCs/>
              </w:rPr>
              <w:t>-2.2 [0.6]</w:t>
            </w:r>
          </w:p>
        </w:tc>
        <w:tc>
          <w:tcPr>
            <w:tcW w:w="677" w:type="pct"/>
            <w:tcBorders>
              <w:left w:val="single" w:sz="4" w:space="0" w:color="auto"/>
            </w:tcBorders>
            <w:vAlign w:val="center"/>
          </w:tcPr>
          <w:p w14:paraId="51DE088E" w14:textId="77777777" w:rsidR="00B93983" w:rsidRPr="0040534B" w:rsidRDefault="00B93983" w:rsidP="004844B8">
            <w:pPr>
              <w:pStyle w:val="TableText0"/>
              <w:keepLines/>
              <w:jc w:val="center"/>
              <w:rPr>
                <w:b/>
              </w:rPr>
            </w:pPr>
            <w:r w:rsidRPr="0040534B">
              <w:rPr>
                <w:b/>
              </w:rPr>
              <w:t xml:space="preserve">-3.7 </w:t>
            </w:r>
          </w:p>
          <w:p w14:paraId="43EBBB00" w14:textId="4DFB1616" w:rsidR="00B93983" w:rsidRPr="0040534B" w:rsidRDefault="00B93983" w:rsidP="004844B8">
            <w:pPr>
              <w:pStyle w:val="TableText0"/>
              <w:keepLines/>
              <w:jc w:val="center"/>
              <w:rPr>
                <w:b/>
              </w:rPr>
            </w:pPr>
            <w:r w:rsidRPr="0040534B">
              <w:rPr>
                <w:b/>
              </w:rPr>
              <w:t>(-5.2, -2.2)</w:t>
            </w:r>
          </w:p>
        </w:tc>
      </w:tr>
      <w:tr w:rsidR="00F478FB" w:rsidRPr="0040534B" w14:paraId="6E416C5E" w14:textId="77777777" w:rsidTr="00F478FB">
        <w:tc>
          <w:tcPr>
            <w:tcW w:w="663" w:type="pct"/>
            <w:vMerge w:val="restart"/>
            <w:vAlign w:val="center"/>
          </w:tcPr>
          <w:p w14:paraId="13551BA7" w14:textId="78B83927" w:rsidR="00B93983" w:rsidRPr="0040534B" w:rsidRDefault="00B93983" w:rsidP="004844B8">
            <w:pPr>
              <w:pStyle w:val="TableText0"/>
              <w:keepLines/>
            </w:pPr>
            <w:r w:rsidRPr="0040534B">
              <w:t>FOCUS (CM subgroup)</w:t>
            </w:r>
          </w:p>
        </w:tc>
        <w:tc>
          <w:tcPr>
            <w:tcW w:w="998" w:type="pct"/>
            <w:vAlign w:val="center"/>
          </w:tcPr>
          <w:p w14:paraId="4312A1DF" w14:textId="4CC55F0B" w:rsidR="00B93983" w:rsidRPr="0040534B" w:rsidRDefault="00B93983" w:rsidP="004844B8">
            <w:pPr>
              <w:pStyle w:val="TableText0"/>
              <w:keepLines/>
            </w:pPr>
            <w:r w:rsidRPr="0040534B">
              <w:t>FREM 675</w:t>
            </w:r>
            <w:r w:rsidR="006F04A7" w:rsidRPr="0040534B">
              <w:t xml:space="preserve"> </w:t>
            </w:r>
            <w:r w:rsidRPr="0040534B">
              <w:t>mg vs. PBO</w:t>
            </w:r>
          </w:p>
        </w:tc>
        <w:tc>
          <w:tcPr>
            <w:tcW w:w="333" w:type="pct"/>
            <w:tcBorders>
              <w:left w:val="single" w:sz="4" w:space="0" w:color="auto"/>
            </w:tcBorders>
            <w:vAlign w:val="center"/>
          </w:tcPr>
          <w:p w14:paraId="3CD8B770" w14:textId="3BE23F6C" w:rsidR="00B93983" w:rsidRPr="0040534B" w:rsidRDefault="00B93983" w:rsidP="004844B8">
            <w:pPr>
              <w:pStyle w:val="TableText0"/>
              <w:keepLines/>
              <w:jc w:val="center"/>
            </w:pPr>
            <w:r w:rsidRPr="0040534B">
              <w:t>169</w:t>
            </w:r>
          </w:p>
        </w:tc>
        <w:tc>
          <w:tcPr>
            <w:tcW w:w="465" w:type="pct"/>
            <w:vAlign w:val="center"/>
          </w:tcPr>
          <w:p w14:paraId="61020BD7" w14:textId="71A7F86F" w:rsidR="00B93983" w:rsidRPr="0040534B" w:rsidRDefault="00B93983" w:rsidP="004844B8">
            <w:pPr>
              <w:pStyle w:val="TableText0"/>
              <w:keepLines/>
              <w:jc w:val="center"/>
            </w:pPr>
            <w:r w:rsidRPr="0040534B">
              <w:t>NR</w:t>
            </w:r>
          </w:p>
        </w:tc>
        <w:tc>
          <w:tcPr>
            <w:tcW w:w="532" w:type="pct"/>
            <w:tcBorders>
              <w:right w:val="single" w:sz="4" w:space="0" w:color="auto"/>
            </w:tcBorders>
            <w:vAlign w:val="center"/>
          </w:tcPr>
          <w:p w14:paraId="268D343D" w14:textId="53F2B13C" w:rsidR="00B93983" w:rsidRPr="0040534B" w:rsidRDefault="00B93983" w:rsidP="004844B8">
            <w:pPr>
              <w:pStyle w:val="TableText0"/>
              <w:keepLines/>
              <w:jc w:val="center"/>
            </w:pPr>
            <w:r w:rsidRPr="0040534B">
              <w:t>-3.9 [0.5]</w:t>
            </w:r>
          </w:p>
        </w:tc>
        <w:tc>
          <w:tcPr>
            <w:tcW w:w="333" w:type="pct"/>
            <w:tcBorders>
              <w:left w:val="single" w:sz="4" w:space="0" w:color="auto"/>
            </w:tcBorders>
            <w:vAlign w:val="center"/>
          </w:tcPr>
          <w:p w14:paraId="1219C8AD" w14:textId="20862ED4" w:rsidR="00B93983" w:rsidRPr="0040534B" w:rsidRDefault="00B93983" w:rsidP="004844B8">
            <w:pPr>
              <w:pStyle w:val="TableText0"/>
              <w:keepLines/>
              <w:jc w:val="center"/>
            </w:pPr>
            <w:r w:rsidRPr="0040534B">
              <w:t>167</w:t>
            </w:r>
          </w:p>
        </w:tc>
        <w:tc>
          <w:tcPr>
            <w:tcW w:w="466" w:type="pct"/>
            <w:vAlign w:val="center"/>
          </w:tcPr>
          <w:p w14:paraId="02345763" w14:textId="56BF414C" w:rsidR="00B93983" w:rsidRPr="0040534B" w:rsidRDefault="00B93983" w:rsidP="004844B8">
            <w:pPr>
              <w:pStyle w:val="TableText0"/>
              <w:keepLines/>
              <w:jc w:val="center"/>
            </w:pPr>
            <w:r w:rsidRPr="0040534B">
              <w:t>NR</w:t>
            </w:r>
          </w:p>
        </w:tc>
        <w:tc>
          <w:tcPr>
            <w:tcW w:w="533" w:type="pct"/>
            <w:tcBorders>
              <w:right w:val="single" w:sz="4" w:space="0" w:color="auto"/>
            </w:tcBorders>
            <w:vAlign w:val="center"/>
          </w:tcPr>
          <w:p w14:paraId="2D092FD5" w14:textId="0238E8FD" w:rsidR="00B93983" w:rsidRPr="0040534B" w:rsidRDefault="00B93983" w:rsidP="004844B8">
            <w:pPr>
              <w:pStyle w:val="TableText0"/>
              <w:keepLines/>
              <w:jc w:val="center"/>
            </w:pPr>
            <w:r w:rsidRPr="0040534B">
              <w:t>-0.7 [3.3]</w:t>
            </w:r>
          </w:p>
        </w:tc>
        <w:tc>
          <w:tcPr>
            <w:tcW w:w="677" w:type="pct"/>
            <w:tcBorders>
              <w:left w:val="single" w:sz="4" w:space="0" w:color="auto"/>
            </w:tcBorders>
            <w:vAlign w:val="center"/>
          </w:tcPr>
          <w:p w14:paraId="547CC111" w14:textId="5C4EE65C" w:rsidR="00B93983" w:rsidRPr="0040534B" w:rsidRDefault="00B93983" w:rsidP="004844B8">
            <w:pPr>
              <w:pStyle w:val="TableText0"/>
              <w:keepLines/>
              <w:jc w:val="center"/>
              <w:rPr>
                <w:b/>
              </w:rPr>
            </w:pPr>
            <w:r w:rsidRPr="0040534B">
              <w:rPr>
                <w:b/>
              </w:rPr>
              <w:t xml:space="preserve">-3.2 </w:t>
            </w:r>
            <w:r w:rsidRPr="0040534B">
              <w:rPr>
                <w:b/>
              </w:rPr>
              <w:br/>
              <w:t>(-4.2., -2.2)</w:t>
            </w:r>
          </w:p>
        </w:tc>
      </w:tr>
      <w:tr w:rsidR="00F478FB" w:rsidRPr="0040534B" w14:paraId="5116CEFF" w14:textId="77777777" w:rsidTr="00F478FB">
        <w:tc>
          <w:tcPr>
            <w:tcW w:w="663" w:type="pct"/>
            <w:vMerge/>
            <w:vAlign w:val="center"/>
          </w:tcPr>
          <w:p w14:paraId="11404FDA" w14:textId="77777777" w:rsidR="00B93983" w:rsidRPr="0040534B" w:rsidRDefault="00B93983" w:rsidP="004844B8">
            <w:pPr>
              <w:pStyle w:val="TableText0"/>
              <w:keepLines/>
            </w:pPr>
          </w:p>
        </w:tc>
        <w:tc>
          <w:tcPr>
            <w:tcW w:w="998" w:type="pct"/>
            <w:vAlign w:val="center"/>
          </w:tcPr>
          <w:p w14:paraId="6B4419FC" w14:textId="4ADC0AED" w:rsidR="00B93983" w:rsidRPr="0040534B" w:rsidRDefault="00B93983" w:rsidP="004844B8">
            <w:pPr>
              <w:pStyle w:val="TableText0"/>
              <w:keepLines/>
            </w:pPr>
            <w:r w:rsidRPr="0040534B">
              <w:t>FREM 225</w:t>
            </w:r>
            <w:r w:rsidR="006F04A7" w:rsidRPr="0040534B">
              <w:t xml:space="preserve"> </w:t>
            </w:r>
            <w:r w:rsidRPr="0040534B">
              <w:t>mg vs. PBO</w:t>
            </w:r>
            <w:r w:rsidRPr="0040534B">
              <w:rPr>
                <w:vertAlign w:val="superscript"/>
              </w:rPr>
              <w:t>b</w:t>
            </w:r>
          </w:p>
        </w:tc>
        <w:tc>
          <w:tcPr>
            <w:tcW w:w="333" w:type="pct"/>
            <w:tcBorders>
              <w:left w:val="single" w:sz="4" w:space="0" w:color="auto"/>
            </w:tcBorders>
            <w:vAlign w:val="center"/>
          </w:tcPr>
          <w:p w14:paraId="2EA5D6CD" w14:textId="3C913630" w:rsidR="00B93983" w:rsidRPr="0040534B" w:rsidRDefault="00B93983" w:rsidP="004844B8">
            <w:pPr>
              <w:pStyle w:val="TableText0"/>
              <w:keepLines/>
              <w:jc w:val="center"/>
            </w:pPr>
            <w:r w:rsidRPr="0040534B">
              <w:t>173</w:t>
            </w:r>
          </w:p>
        </w:tc>
        <w:tc>
          <w:tcPr>
            <w:tcW w:w="465" w:type="pct"/>
            <w:vAlign w:val="center"/>
          </w:tcPr>
          <w:p w14:paraId="2B2E52DC" w14:textId="29D89978" w:rsidR="00B93983" w:rsidRPr="0040534B" w:rsidRDefault="00B93983" w:rsidP="004844B8">
            <w:pPr>
              <w:pStyle w:val="TableText0"/>
              <w:keepLines/>
              <w:jc w:val="center"/>
            </w:pPr>
            <w:r w:rsidRPr="0040534B">
              <w:t>NR</w:t>
            </w:r>
          </w:p>
        </w:tc>
        <w:tc>
          <w:tcPr>
            <w:tcW w:w="532" w:type="pct"/>
            <w:tcBorders>
              <w:right w:val="single" w:sz="4" w:space="0" w:color="auto"/>
            </w:tcBorders>
            <w:vAlign w:val="center"/>
          </w:tcPr>
          <w:p w14:paraId="758455C0" w14:textId="77777777" w:rsidR="00B93983" w:rsidRPr="0040534B" w:rsidRDefault="00B93983" w:rsidP="004844B8">
            <w:pPr>
              <w:pStyle w:val="TableText0"/>
              <w:keepLines/>
              <w:jc w:val="center"/>
            </w:pPr>
            <w:r w:rsidRPr="0040534B">
              <w:t>-4.5 [3.0]</w:t>
            </w:r>
          </w:p>
          <w:p w14:paraId="2B2D9A57" w14:textId="70DA99B0" w:rsidR="00B93983" w:rsidRPr="0040534B" w:rsidRDefault="00B93983" w:rsidP="004844B8">
            <w:pPr>
              <w:pStyle w:val="TableText0"/>
              <w:keepLines/>
              <w:jc w:val="center"/>
            </w:pPr>
            <w:r w:rsidRPr="0040534B">
              <w:rPr>
                <w:i/>
                <w:iCs/>
              </w:rPr>
              <w:t>-4.5 [0.2]</w:t>
            </w:r>
          </w:p>
        </w:tc>
        <w:tc>
          <w:tcPr>
            <w:tcW w:w="333" w:type="pct"/>
            <w:tcBorders>
              <w:left w:val="single" w:sz="4" w:space="0" w:color="auto"/>
            </w:tcBorders>
            <w:vAlign w:val="center"/>
          </w:tcPr>
          <w:p w14:paraId="0F86BBF9" w14:textId="0D46E75B" w:rsidR="00B93983" w:rsidRPr="0040534B" w:rsidRDefault="00B93983" w:rsidP="004844B8">
            <w:pPr>
              <w:pStyle w:val="TableText0"/>
              <w:keepLines/>
              <w:jc w:val="center"/>
            </w:pPr>
            <w:r w:rsidRPr="0040534B">
              <w:t>167</w:t>
            </w:r>
          </w:p>
        </w:tc>
        <w:tc>
          <w:tcPr>
            <w:tcW w:w="466" w:type="pct"/>
            <w:vAlign w:val="center"/>
          </w:tcPr>
          <w:p w14:paraId="3EE5F40F" w14:textId="74264F9E" w:rsidR="00B93983" w:rsidRPr="0040534B" w:rsidRDefault="00B93983" w:rsidP="004844B8">
            <w:pPr>
              <w:pStyle w:val="TableText0"/>
              <w:keepLines/>
              <w:jc w:val="center"/>
            </w:pPr>
            <w:r w:rsidRPr="0040534B">
              <w:t>NR</w:t>
            </w:r>
          </w:p>
        </w:tc>
        <w:tc>
          <w:tcPr>
            <w:tcW w:w="533" w:type="pct"/>
            <w:tcBorders>
              <w:right w:val="single" w:sz="4" w:space="0" w:color="auto"/>
            </w:tcBorders>
            <w:vAlign w:val="center"/>
          </w:tcPr>
          <w:p w14:paraId="7CC95E20" w14:textId="77777777" w:rsidR="00B93983" w:rsidRPr="0040534B" w:rsidRDefault="00B93983" w:rsidP="004844B8">
            <w:pPr>
              <w:pStyle w:val="TableText0"/>
              <w:keepLines/>
              <w:jc w:val="center"/>
            </w:pPr>
            <w:r w:rsidRPr="0040534B">
              <w:t>-0.7 [3.3]</w:t>
            </w:r>
          </w:p>
          <w:p w14:paraId="16D0AA8F" w14:textId="542CEA09" w:rsidR="00B93983" w:rsidRPr="0040534B" w:rsidRDefault="00B93983" w:rsidP="004844B8">
            <w:pPr>
              <w:pStyle w:val="TableText0"/>
              <w:keepLines/>
              <w:jc w:val="center"/>
            </w:pPr>
            <w:r w:rsidRPr="0040534B">
              <w:rPr>
                <w:i/>
                <w:iCs/>
              </w:rPr>
              <w:t>-0.7 [0.3]</w:t>
            </w:r>
          </w:p>
        </w:tc>
        <w:tc>
          <w:tcPr>
            <w:tcW w:w="677" w:type="pct"/>
            <w:tcBorders>
              <w:left w:val="single" w:sz="4" w:space="0" w:color="auto"/>
            </w:tcBorders>
            <w:vAlign w:val="center"/>
          </w:tcPr>
          <w:p w14:paraId="5E2BF1E2" w14:textId="5A1B3136" w:rsidR="00B93983" w:rsidRPr="0040534B" w:rsidRDefault="00B93983" w:rsidP="004844B8">
            <w:pPr>
              <w:pStyle w:val="TableText0"/>
              <w:keepLines/>
              <w:jc w:val="center"/>
              <w:rPr>
                <w:b/>
              </w:rPr>
            </w:pPr>
            <w:r w:rsidRPr="0040534B">
              <w:rPr>
                <w:b/>
              </w:rPr>
              <w:t xml:space="preserve">-3.8 </w:t>
            </w:r>
            <w:r w:rsidRPr="0040534B">
              <w:rPr>
                <w:b/>
              </w:rPr>
              <w:br/>
              <w:t>(-4.8, -2.8)</w:t>
            </w:r>
          </w:p>
        </w:tc>
      </w:tr>
      <w:tr w:rsidR="00B93983" w:rsidRPr="0040534B" w14:paraId="6FF669F8" w14:textId="77777777" w:rsidTr="00B951B8">
        <w:tc>
          <w:tcPr>
            <w:tcW w:w="5000" w:type="pct"/>
            <w:gridSpan w:val="9"/>
          </w:tcPr>
          <w:p w14:paraId="3A8DE0D0" w14:textId="5EF95530" w:rsidR="00B93983" w:rsidRPr="0040534B" w:rsidRDefault="00EC2CF6" w:rsidP="004844B8">
            <w:pPr>
              <w:pStyle w:val="TableText0"/>
              <w:keepLines/>
              <w:rPr>
                <w:b/>
                <w:bCs w:val="0"/>
              </w:rPr>
            </w:pPr>
            <w:r w:rsidRPr="0040534B">
              <w:rPr>
                <w:b/>
                <w:bCs w:val="0"/>
              </w:rPr>
              <w:t xml:space="preserve">Subgroup of patients with </w:t>
            </w:r>
            <w:r w:rsidR="00B93983" w:rsidRPr="0040534B">
              <w:rPr>
                <w:b/>
                <w:bCs w:val="0"/>
              </w:rPr>
              <w:t>≥3 prior treatment failures</w:t>
            </w:r>
          </w:p>
        </w:tc>
      </w:tr>
      <w:tr w:rsidR="00F478FB" w:rsidRPr="0040534B" w14:paraId="71F6BE3F" w14:textId="77777777" w:rsidTr="00F478FB">
        <w:tc>
          <w:tcPr>
            <w:tcW w:w="663" w:type="pct"/>
            <w:vAlign w:val="center"/>
          </w:tcPr>
          <w:p w14:paraId="4EDC62A2" w14:textId="51B01469" w:rsidR="00B93983" w:rsidRPr="0040534B" w:rsidRDefault="00B93983" w:rsidP="004844B8">
            <w:pPr>
              <w:pStyle w:val="TableText0"/>
              <w:keepLines/>
            </w:pPr>
            <w:r w:rsidRPr="0040534B">
              <w:t>REGAIN</w:t>
            </w:r>
          </w:p>
        </w:tc>
        <w:tc>
          <w:tcPr>
            <w:tcW w:w="998" w:type="pct"/>
            <w:vAlign w:val="center"/>
          </w:tcPr>
          <w:p w14:paraId="77C0B5AB" w14:textId="769C0F72" w:rsidR="00B93983" w:rsidRPr="0040534B" w:rsidRDefault="00B93983" w:rsidP="004844B8">
            <w:pPr>
              <w:pStyle w:val="TableText0"/>
              <w:keepLines/>
            </w:pPr>
            <w:r w:rsidRPr="0040534B">
              <w:t>GAL 120</w:t>
            </w:r>
            <w:r w:rsidR="006F04A7" w:rsidRPr="0040534B">
              <w:t xml:space="preserve"> </w:t>
            </w:r>
            <w:r w:rsidRPr="0040534B">
              <w:t>mg vs. PBO</w:t>
            </w:r>
          </w:p>
        </w:tc>
        <w:tc>
          <w:tcPr>
            <w:tcW w:w="333" w:type="pct"/>
            <w:tcBorders>
              <w:left w:val="single" w:sz="4" w:space="0" w:color="auto"/>
            </w:tcBorders>
            <w:vAlign w:val="center"/>
          </w:tcPr>
          <w:p w14:paraId="370652A3" w14:textId="77777777" w:rsidR="00B93983" w:rsidRPr="0040534B" w:rsidRDefault="00B93983" w:rsidP="004844B8">
            <w:pPr>
              <w:pStyle w:val="TableText0"/>
              <w:keepLines/>
              <w:jc w:val="center"/>
            </w:pPr>
            <w:r w:rsidRPr="0040534B">
              <w:t>103</w:t>
            </w:r>
          </w:p>
        </w:tc>
        <w:tc>
          <w:tcPr>
            <w:tcW w:w="465" w:type="pct"/>
            <w:vAlign w:val="center"/>
          </w:tcPr>
          <w:p w14:paraId="089D1840" w14:textId="128A8C85" w:rsidR="00B93983" w:rsidRPr="0040534B" w:rsidRDefault="00B93983" w:rsidP="004844B8">
            <w:pPr>
              <w:pStyle w:val="TableText0"/>
              <w:keepLines/>
              <w:jc w:val="center"/>
            </w:pPr>
            <w:r w:rsidRPr="0040534B">
              <w:t>NR</w:t>
            </w:r>
          </w:p>
        </w:tc>
        <w:tc>
          <w:tcPr>
            <w:tcW w:w="532" w:type="pct"/>
            <w:tcBorders>
              <w:right w:val="single" w:sz="4" w:space="0" w:color="auto"/>
            </w:tcBorders>
            <w:vAlign w:val="center"/>
          </w:tcPr>
          <w:p w14:paraId="1D068447" w14:textId="77777777" w:rsidR="00B93983" w:rsidRPr="0040534B" w:rsidRDefault="00B93983" w:rsidP="004844B8">
            <w:pPr>
              <w:pStyle w:val="TableText0"/>
              <w:keepLines/>
              <w:jc w:val="center"/>
            </w:pPr>
            <w:r w:rsidRPr="0040534B">
              <w:t>-5.6 [5.8]</w:t>
            </w:r>
          </w:p>
          <w:p w14:paraId="0DB80B59" w14:textId="1E0D6366" w:rsidR="00B93983" w:rsidRPr="0040534B" w:rsidRDefault="00B93983" w:rsidP="004844B8">
            <w:pPr>
              <w:pStyle w:val="TableText0"/>
              <w:keepLines/>
              <w:jc w:val="center"/>
            </w:pPr>
            <w:r w:rsidRPr="0040534B">
              <w:rPr>
                <w:i/>
                <w:iCs/>
              </w:rPr>
              <w:t>-5.6 [0.6]</w:t>
            </w:r>
          </w:p>
        </w:tc>
        <w:tc>
          <w:tcPr>
            <w:tcW w:w="333" w:type="pct"/>
            <w:tcBorders>
              <w:left w:val="single" w:sz="4" w:space="0" w:color="auto"/>
            </w:tcBorders>
            <w:vAlign w:val="center"/>
          </w:tcPr>
          <w:p w14:paraId="6897FC5E" w14:textId="74E2C7D7" w:rsidR="00B93983" w:rsidRPr="0040534B" w:rsidRDefault="00B93983" w:rsidP="004844B8">
            <w:pPr>
              <w:pStyle w:val="TableText0"/>
              <w:keepLines/>
              <w:jc w:val="center"/>
            </w:pPr>
            <w:r w:rsidRPr="0040534B">
              <w:t>36</w:t>
            </w:r>
          </w:p>
        </w:tc>
        <w:tc>
          <w:tcPr>
            <w:tcW w:w="466" w:type="pct"/>
            <w:vAlign w:val="center"/>
          </w:tcPr>
          <w:p w14:paraId="29B99457" w14:textId="5BE680EC" w:rsidR="00B93983" w:rsidRPr="0040534B" w:rsidRDefault="00B93983" w:rsidP="004844B8">
            <w:pPr>
              <w:pStyle w:val="TableText0"/>
              <w:keepLines/>
              <w:jc w:val="center"/>
            </w:pPr>
            <w:r w:rsidRPr="0040534B">
              <w:t>NR</w:t>
            </w:r>
          </w:p>
        </w:tc>
        <w:tc>
          <w:tcPr>
            <w:tcW w:w="533" w:type="pct"/>
            <w:tcBorders>
              <w:right w:val="single" w:sz="4" w:space="0" w:color="auto"/>
            </w:tcBorders>
            <w:vAlign w:val="center"/>
          </w:tcPr>
          <w:p w14:paraId="7BF18A0A" w14:textId="77777777" w:rsidR="00B93983" w:rsidRPr="0040534B" w:rsidRDefault="00B93983" w:rsidP="004844B8">
            <w:pPr>
              <w:pStyle w:val="TableText0"/>
              <w:keepLines/>
              <w:jc w:val="center"/>
            </w:pPr>
            <w:r w:rsidRPr="0040534B">
              <w:t>-0.4 [7.7]</w:t>
            </w:r>
          </w:p>
          <w:p w14:paraId="4F7CA08D" w14:textId="7C49A4C1" w:rsidR="00B93983" w:rsidRPr="0040534B" w:rsidRDefault="00B93983" w:rsidP="004844B8">
            <w:pPr>
              <w:pStyle w:val="TableText0"/>
              <w:keepLines/>
              <w:jc w:val="center"/>
            </w:pPr>
            <w:r w:rsidRPr="0040534B">
              <w:rPr>
                <w:i/>
                <w:iCs/>
              </w:rPr>
              <w:t>-0.4 [1.3]</w:t>
            </w:r>
          </w:p>
        </w:tc>
        <w:tc>
          <w:tcPr>
            <w:tcW w:w="677" w:type="pct"/>
            <w:tcBorders>
              <w:left w:val="single" w:sz="4" w:space="0" w:color="auto"/>
            </w:tcBorders>
            <w:vAlign w:val="center"/>
          </w:tcPr>
          <w:p w14:paraId="01897D74" w14:textId="77777777" w:rsidR="00B93983" w:rsidRPr="0040534B" w:rsidRDefault="00B93983" w:rsidP="004844B8">
            <w:pPr>
              <w:pStyle w:val="TableText0"/>
              <w:keepLines/>
              <w:jc w:val="center"/>
              <w:rPr>
                <w:b/>
              </w:rPr>
            </w:pPr>
            <w:r w:rsidRPr="0040534B">
              <w:rPr>
                <w:b/>
              </w:rPr>
              <w:t xml:space="preserve">-5.2 </w:t>
            </w:r>
          </w:p>
          <w:p w14:paraId="4D132171" w14:textId="129E8058" w:rsidR="00B93983" w:rsidRPr="0040534B" w:rsidRDefault="00B93983" w:rsidP="004844B8">
            <w:pPr>
              <w:pStyle w:val="TableText0"/>
              <w:keepLines/>
              <w:jc w:val="center"/>
            </w:pPr>
            <w:r w:rsidRPr="0040534B">
              <w:rPr>
                <w:b/>
              </w:rPr>
              <w:t>(-7.7, -2.8)</w:t>
            </w:r>
          </w:p>
        </w:tc>
      </w:tr>
      <w:tr w:rsidR="00F478FB" w:rsidRPr="0040534B" w14:paraId="307E2432" w14:textId="77777777" w:rsidTr="00F478FB">
        <w:tc>
          <w:tcPr>
            <w:tcW w:w="663" w:type="pct"/>
            <w:vAlign w:val="center"/>
          </w:tcPr>
          <w:p w14:paraId="4CF0D314" w14:textId="0DEC2BEB" w:rsidR="00B93983" w:rsidRPr="0040534B" w:rsidDel="00B93983" w:rsidRDefault="00B93983" w:rsidP="004844B8">
            <w:pPr>
              <w:pStyle w:val="TableText0"/>
              <w:keepLines/>
            </w:pPr>
            <w:r w:rsidRPr="0040534B">
              <w:t>CONQUER</w:t>
            </w:r>
          </w:p>
        </w:tc>
        <w:tc>
          <w:tcPr>
            <w:tcW w:w="998" w:type="pct"/>
            <w:vAlign w:val="center"/>
          </w:tcPr>
          <w:p w14:paraId="4DDE8739" w14:textId="5C097116" w:rsidR="00B93983" w:rsidRPr="0040534B" w:rsidRDefault="00B93983" w:rsidP="004844B8">
            <w:pPr>
              <w:pStyle w:val="TableText0"/>
              <w:keepLines/>
            </w:pPr>
            <w:r w:rsidRPr="0040534B">
              <w:t>GAL 120</w:t>
            </w:r>
            <w:r w:rsidR="006F04A7" w:rsidRPr="0040534B">
              <w:t xml:space="preserve"> </w:t>
            </w:r>
            <w:r w:rsidRPr="0040534B">
              <w:t>mg vs. PBO</w:t>
            </w:r>
          </w:p>
        </w:tc>
        <w:tc>
          <w:tcPr>
            <w:tcW w:w="333" w:type="pct"/>
            <w:tcBorders>
              <w:left w:val="single" w:sz="4" w:space="0" w:color="auto"/>
            </w:tcBorders>
            <w:vAlign w:val="center"/>
          </w:tcPr>
          <w:p w14:paraId="6CF67131" w14:textId="5DB0A560" w:rsidR="00B93983" w:rsidRPr="0040534B" w:rsidRDefault="00B93983" w:rsidP="004844B8">
            <w:pPr>
              <w:pStyle w:val="TableText0"/>
              <w:keepLines/>
              <w:jc w:val="center"/>
            </w:pPr>
            <w:r w:rsidRPr="0040534B">
              <w:t>42</w:t>
            </w:r>
          </w:p>
        </w:tc>
        <w:tc>
          <w:tcPr>
            <w:tcW w:w="465" w:type="pct"/>
            <w:vAlign w:val="center"/>
          </w:tcPr>
          <w:p w14:paraId="45615CB0" w14:textId="5CC54BC2" w:rsidR="00B93983" w:rsidRPr="0040534B" w:rsidRDefault="00B93983" w:rsidP="004844B8">
            <w:pPr>
              <w:pStyle w:val="TableText0"/>
              <w:keepLines/>
              <w:jc w:val="center"/>
            </w:pPr>
            <w:r w:rsidRPr="0040534B">
              <w:t>21.4 (4.7)</w:t>
            </w:r>
          </w:p>
        </w:tc>
        <w:tc>
          <w:tcPr>
            <w:tcW w:w="532" w:type="pct"/>
            <w:tcBorders>
              <w:right w:val="single" w:sz="4" w:space="0" w:color="auto"/>
            </w:tcBorders>
            <w:vAlign w:val="center"/>
          </w:tcPr>
          <w:p w14:paraId="17F8434C" w14:textId="77777777" w:rsidR="00B93983" w:rsidRPr="0040534B" w:rsidRDefault="00B93983" w:rsidP="004844B8">
            <w:pPr>
              <w:pStyle w:val="TableText0"/>
              <w:keepLines/>
              <w:jc w:val="center"/>
            </w:pPr>
            <w:r w:rsidRPr="0040534B">
              <w:t>-6.7 [7.6]</w:t>
            </w:r>
          </w:p>
          <w:p w14:paraId="432D9764" w14:textId="2A3A6AB7" w:rsidR="00B93983" w:rsidRPr="0040534B" w:rsidRDefault="00B93983" w:rsidP="004844B8">
            <w:pPr>
              <w:pStyle w:val="TableText0"/>
              <w:keepLines/>
              <w:jc w:val="center"/>
            </w:pPr>
            <w:r w:rsidRPr="0040534B">
              <w:rPr>
                <w:i/>
                <w:iCs/>
              </w:rPr>
              <w:t>-6.7 [1.2]</w:t>
            </w:r>
          </w:p>
        </w:tc>
        <w:tc>
          <w:tcPr>
            <w:tcW w:w="333" w:type="pct"/>
            <w:tcBorders>
              <w:left w:val="single" w:sz="4" w:space="0" w:color="auto"/>
            </w:tcBorders>
            <w:vAlign w:val="center"/>
          </w:tcPr>
          <w:p w14:paraId="4715ADCC" w14:textId="1E1CB97C" w:rsidR="00B93983" w:rsidRPr="0040534B" w:rsidRDefault="00B93983" w:rsidP="004844B8">
            <w:pPr>
              <w:pStyle w:val="TableText0"/>
              <w:keepLines/>
              <w:jc w:val="center"/>
            </w:pPr>
            <w:r w:rsidRPr="0040534B">
              <w:t>42</w:t>
            </w:r>
          </w:p>
        </w:tc>
        <w:tc>
          <w:tcPr>
            <w:tcW w:w="466" w:type="pct"/>
            <w:vAlign w:val="center"/>
          </w:tcPr>
          <w:p w14:paraId="25B9361D" w14:textId="4F049D11" w:rsidR="00B93983" w:rsidRPr="0040534B" w:rsidRDefault="00B93983" w:rsidP="004844B8">
            <w:pPr>
              <w:pStyle w:val="TableText0"/>
              <w:keepLines/>
              <w:jc w:val="center"/>
            </w:pPr>
            <w:r w:rsidRPr="0040534B">
              <w:t>20.6 (4.4)</w:t>
            </w:r>
          </w:p>
        </w:tc>
        <w:tc>
          <w:tcPr>
            <w:tcW w:w="533" w:type="pct"/>
            <w:tcBorders>
              <w:right w:val="single" w:sz="4" w:space="0" w:color="auto"/>
            </w:tcBorders>
            <w:vAlign w:val="center"/>
          </w:tcPr>
          <w:p w14:paraId="7F0A78E7" w14:textId="77777777" w:rsidR="00B93983" w:rsidRPr="0040534B" w:rsidRDefault="00B93983" w:rsidP="004844B8">
            <w:pPr>
              <w:pStyle w:val="TableText0"/>
              <w:keepLines/>
              <w:jc w:val="center"/>
            </w:pPr>
            <w:r w:rsidRPr="0040534B">
              <w:t>-1.6 [7.3]</w:t>
            </w:r>
          </w:p>
          <w:p w14:paraId="4D5DC98E" w14:textId="4FCD2D0E" w:rsidR="00B93983" w:rsidRPr="0040534B" w:rsidRDefault="00B93983" w:rsidP="004844B8">
            <w:pPr>
              <w:pStyle w:val="TableText0"/>
              <w:keepLines/>
              <w:jc w:val="center"/>
            </w:pPr>
            <w:r w:rsidRPr="0040534B">
              <w:rPr>
                <w:i/>
                <w:iCs/>
              </w:rPr>
              <w:t>-1.6 [1.1]</w:t>
            </w:r>
          </w:p>
        </w:tc>
        <w:tc>
          <w:tcPr>
            <w:tcW w:w="677" w:type="pct"/>
            <w:tcBorders>
              <w:left w:val="single" w:sz="4" w:space="0" w:color="auto"/>
            </w:tcBorders>
            <w:vAlign w:val="center"/>
          </w:tcPr>
          <w:p w14:paraId="0D4644BC" w14:textId="77777777" w:rsidR="00B93983" w:rsidRPr="0040534B" w:rsidRDefault="00B93983" w:rsidP="004844B8">
            <w:pPr>
              <w:pStyle w:val="TableText0"/>
              <w:keepLines/>
              <w:jc w:val="center"/>
              <w:rPr>
                <w:b/>
              </w:rPr>
            </w:pPr>
            <w:r w:rsidRPr="0040534B">
              <w:rPr>
                <w:b/>
              </w:rPr>
              <w:t xml:space="preserve">-5.1 </w:t>
            </w:r>
          </w:p>
          <w:p w14:paraId="220A3051" w14:textId="5BC7A12F" w:rsidR="00B93983" w:rsidRPr="0040534B" w:rsidRDefault="00B93983" w:rsidP="004844B8">
            <w:pPr>
              <w:pStyle w:val="TableText0"/>
              <w:keepLines/>
              <w:jc w:val="center"/>
              <w:rPr>
                <w:b/>
              </w:rPr>
            </w:pPr>
            <w:r w:rsidRPr="0040534B">
              <w:rPr>
                <w:b/>
              </w:rPr>
              <w:t>(-8.3, -1.9)</w:t>
            </w:r>
          </w:p>
        </w:tc>
      </w:tr>
    </w:tbl>
    <w:p w14:paraId="2F50A192" w14:textId="5CF43CC4" w:rsidR="00F03CD4" w:rsidRPr="0040534B" w:rsidRDefault="00F03CD4" w:rsidP="004844B8">
      <w:pPr>
        <w:pStyle w:val="FooterTableFigure"/>
        <w:keepNext/>
        <w:keepLines/>
        <w:rPr>
          <w:b/>
          <w:bCs/>
          <w:sz w:val="20"/>
        </w:rPr>
      </w:pPr>
      <w:r w:rsidRPr="0040534B">
        <w:t>Source: Tables 2-20, 2-23 &amp; 2-35, pp83-84, 88 &amp; 117 of the submission</w:t>
      </w:r>
      <w:r w:rsidR="003D2FF4" w:rsidRPr="0040534B">
        <w:t>; Table 5, eptinezumab PSD, July 2022 PBAC meeting</w:t>
      </w:r>
      <w:r w:rsidRPr="0040534B">
        <w:t xml:space="preserve">. </w:t>
      </w:r>
      <w:r w:rsidRPr="0040534B">
        <w:rPr>
          <w:rFonts w:eastAsia="Calibri"/>
          <w:b/>
        </w:rPr>
        <w:t>Bold</w:t>
      </w:r>
      <w:r w:rsidRPr="0040534B">
        <w:rPr>
          <w:rFonts w:eastAsia="Calibri"/>
        </w:rPr>
        <w:t xml:space="preserve"> indicates statistically significant results.</w:t>
      </w:r>
      <w:r w:rsidR="003D2FF4" w:rsidRPr="0040534B">
        <w:rPr>
          <w:rFonts w:eastAsia="Calibri"/>
          <w:b/>
        </w:rPr>
        <w:t xml:space="preserve"> </w:t>
      </w:r>
      <w:r w:rsidR="003D2FF4" w:rsidRPr="0040534B">
        <w:rPr>
          <w:rFonts w:eastAsia="Calibri"/>
          <w:i/>
          <w:iCs/>
        </w:rPr>
        <w:t>Italicised text (data added from PROGRESS CSR, Sakai (2021a), conversions from SD to SE using SD/Sqrt(N)) added during the evaluation.</w:t>
      </w:r>
    </w:p>
    <w:p w14:paraId="43531E07" w14:textId="44A0C439" w:rsidR="00F03CD4" w:rsidRPr="0040534B" w:rsidRDefault="00F03CD4" w:rsidP="004844B8">
      <w:pPr>
        <w:pStyle w:val="FooterTableFigure"/>
        <w:keepNext/>
        <w:keepLines/>
      </w:pPr>
      <w:r w:rsidRPr="0040534B">
        <w:t xml:space="preserve">ATOG = Atogepant; CGRP = Calcitonin gene-related peptide; CI = confidence interval; </w:t>
      </w:r>
      <w:r w:rsidR="009E17B7" w:rsidRPr="0040534B">
        <w:t xml:space="preserve">CM = chronic migraine; </w:t>
      </w:r>
      <w:r w:rsidRPr="0040534B">
        <w:t xml:space="preserve">FREM = Fremanezumab; GAL = Galcanezumab; </w:t>
      </w:r>
      <w:r w:rsidRPr="0040534B">
        <w:rPr>
          <w:szCs w:val="18"/>
        </w:rPr>
        <w:t xml:space="preserve">N = total participants in group; PBO = placebo; </w:t>
      </w:r>
      <w:r w:rsidRPr="0040534B">
        <w:t>SD = standard deviation; SE = standard error.</w:t>
      </w:r>
    </w:p>
    <w:p w14:paraId="66B3D107" w14:textId="77777777" w:rsidR="00F03CD4" w:rsidRPr="0040534B" w:rsidRDefault="00F03CD4" w:rsidP="004844B8">
      <w:pPr>
        <w:pStyle w:val="FooterTableFigure"/>
        <w:keepNext/>
        <w:keepLines/>
      </w:pPr>
      <w:r w:rsidRPr="0040534B">
        <w:rPr>
          <w:vertAlign w:val="superscript"/>
        </w:rPr>
        <w:t>a</w:t>
      </w:r>
      <w:r w:rsidRPr="0040534B">
        <w:t xml:space="preserve"> Mean change from baseline analysed as least-squares mean; mean difference analyses as least-squares mean difference.</w:t>
      </w:r>
    </w:p>
    <w:p w14:paraId="3FE78B07" w14:textId="017E8CA5" w:rsidR="00B93983" w:rsidRPr="0040534B" w:rsidRDefault="00B93983" w:rsidP="004844B8">
      <w:pPr>
        <w:pStyle w:val="FooterTableFigure"/>
        <w:keepNext/>
        <w:keepLines/>
      </w:pPr>
      <w:r w:rsidRPr="0040534B">
        <w:rPr>
          <w:vertAlign w:val="superscript"/>
        </w:rPr>
        <w:t>b</w:t>
      </w:r>
      <w:r w:rsidRPr="0040534B">
        <w:t xml:space="preserve"> With a 675mg loading dose.</w:t>
      </w:r>
    </w:p>
    <w:p w14:paraId="7C0636B6" w14:textId="6EE640F3" w:rsidR="00B93983" w:rsidRPr="0040534B" w:rsidRDefault="00B93983" w:rsidP="004844B8">
      <w:pPr>
        <w:pStyle w:val="FooterTableFigure"/>
        <w:keepNext/>
        <w:keepLines/>
      </w:pPr>
      <w:r w:rsidRPr="0040534B">
        <w:rPr>
          <w:vertAlign w:val="superscript"/>
        </w:rPr>
        <w:t>c</w:t>
      </w:r>
      <w:r w:rsidRPr="0040534B">
        <w:t xml:space="preserve"> Submission presented mean change and mean difference results for headache days, not migraine days.</w:t>
      </w:r>
    </w:p>
    <w:p w14:paraId="5310050A" w14:textId="3DDF71B5" w:rsidR="00F03CD4" w:rsidRPr="0040534B" w:rsidRDefault="00B93983" w:rsidP="00F478FB">
      <w:pPr>
        <w:pStyle w:val="FooterTableFigure"/>
      </w:pPr>
      <w:r w:rsidRPr="0040534B">
        <w:rPr>
          <w:vertAlign w:val="superscript"/>
        </w:rPr>
        <w:t>d</w:t>
      </w:r>
      <w:r w:rsidR="00F03CD4" w:rsidRPr="0040534B">
        <w:t xml:space="preserve"> Based on past use only and 2-4 failures of preventive migraine medications with different mechanisms of action.</w:t>
      </w:r>
    </w:p>
    <w:p w14:paraId="0E0A8EBF" w14:textId="09F69B6F" w:rsidR="00F03CD4" w:rsidRPr="0040534B" w:rsidRDefault="00F478FB" w:rsidP="00E33F3C">
      <w:pPr>
        <w:pStyle w:val="3-BodyText"/>
      </w:pPr>
      <w:r w:rsidRPr="0040534B">
        <w:t xml:space="preserve"> </w:t>
      </w:r>
      <w:r w:rsidR="00F03CD4" w:rsidRPr="0040534B">
        <w:fldChar w:fldCharType="begin" w:fldLock="1"/>
      </w:r>
      <w:r w:rsidR="00F03CD4" w:rsidRPr="0040534B">
        <w:instrText xml:space="preserve"> REF _Ref133583761 \h </w:instrText>
      </w:r>
      <w:r w:rsidR="00653EEA" w:rsidRPr="0040534B">
        <w:instrText xml:space="preserve"> \* MERGEFORMAT </w:instrText>
      </w:r>
      <w:r w:rsidR="00F03CD4" w:rsidRPr="0040534B">
        <w:fldChar w:fldCharType="separate"/>
      </w:r>
      <w:r w:rsidR="004E201F" w:rsidRPr="0040534B">
        <w:t xml:space="preserve">Table </w:t>
      </w:r>
      <w:r w:rsidR="004E201F">
        <w:t>7</w:t>
      </w:r>
      <w:r w:rsidR="00F03CD4" w:rsidRPr="0040534B">
        <w:fldChar w:fldCharType="end"/>
      </w:r>
      <w:r w:rsidR="00F03CD4" w:rsidRPr="0040534B">
        <w:t xml:space="preserve"> presents the indirect comparison results for change from baseline in mean monthly migraine days for participants with chronic migraine (whole trial populations</w:t>
      </w:r>
      <w:r w:rsidR="0037685D" w:rsidRPr="0040534B">
        <w:t xml:space="preserve"> and chronic migraine populations/subpopulations</w:t>
      </w:r>
      <w:r w:rsidR="00F03CD4" w:rsidRPr="0040534B">
        <w:t xml:space="preserve">). This was the primary outcome in the atogepant PROGRESS trial and relied upon for the clinical claim. </w:t>
      </w:r>
    </w:p>
    <w:p w14:paraId="4613003D" w14:textId="0C1C393A" w:rsidR="00F03CD4" w:rsidRPr="0040534B" w:rsidRDefault="00F03CD4" w:rsidP="006F04A7">
      <w:pPr>
        <w:pStyle w:val="Caption"/>
        <w:keepNext w:val="0"/>
        <w:keepLines w:val="0"/>
        <w:rPr>
          <w:rStyle w:val="CommentReference"/>
          <w:b/>
          <w:szCs w:val="24"/>
        </w:rPr>
      </w:pPr>
      <w:bookmarkStart w:id="48" w:name="_Ref133583761"/>
      <w:bookmarkStart w:id="49" w:name="_Hlk138060375"/>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7</w:t>
      </w:r>
      <w:r w:rsidR="001968FD">
        <w:rPr>
          <w:noProof/>
        </w:rPr>
        <w:fldChar w:fldCharType="end"/>
      </w:r>
      <w:bookmarkEnd w:id="48"/>
      <w:r w:rsidRPr="0040534B">
        <w:rPr>
          <w:rStyle w:val="CommentReference"/>
          <w:b/>
          <w:szCs w:val="24"/>
        </w:rPr>
        <w:t>: Results of the indirect comparison for change from baseline in mean monthly migraine days for participants with chronic migraine (whole trial populations)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985"/>
        <w:gridCol w:w="1225"/>
        <w:gridCol w:w="1225"/>
        <w:gridCol w:w="1230"/>
        <w:gridCol w:w="1661"/>
      </w:tblGrid>
      <w:tr w:rsidR="00F03CD4" w:rsidRPr="0040534B" w14:paraId="78FA8604" w14:textId="77777777" w:rsidTr="00B434C6">
        <w:trPr>
          <w:tblHeader/>
          <w:jc w:val="center"/>
        </w:trPr>
        <w:tc>
          <w:tcPr>
            <w:tcW w:w="938" w:type="pct"/>
            <w:vMerge w:val="restart"/>
            <w:shd w:val="clear" w:color="auto" w:fill="auto"/>
            <w:vAlign w:val="center"/>
          </w:tcPr>
          <w:p w14:paraId="61FD0F9B" w14:textId="77777777" w:rsidR="00F03CD4" w:rsidRPr="0040534B" w:rsidRDefault="00F03CD4" w:rsidP="00F27A86">
            <w:pPr>
              <w:pStyle w:val="In-tableHeading"/>
              <w:keepNext w:val="0"/>
              <w:jc w:val="center"/>
              <w:rPr>
                <w:lang w:val="en-AU"/>
              </w:rPr>
            </w:pPr>
            <w:r w:rsidRPr="0040534B">
              <w:rPr>
                <w:lang w:val="en-AU"/>
              </w:rPr>
              <w:t>Trial</w:t>
            </w:r>
          </w:p>
        </w:tc>
        <w:tc>
          <w:tcPr>
            <w:tcW w:w="1101" w:type="pct"/>
            <w:vMerge w:val="restart"/>
            <w:vAlign w:val="center"/>
          </w:tcPr>
          <w:p w14:paraId="444C9948" w14:textId="77777777" w:rsidR="00F03CD4" w:rsidRPr="0040534B" w:rsidRDefault="00F03CD4" w:rsidP="00F27A86">
            <w:pPr>
              <w:pStyle w:val="In-tableHeading"/>
              <w:keepNext w:val="0"/>
              <w:jc w:val="center"/>
              <w:rPr>
                <w:lang w:val="en-AU"/>
              </w:rPr>
            </w:pPr>
            <w:r w:rsidRPr="0040534B">
              <w:rPr>
                <w:lang w:val="en-AU"/>
              </w:rPr>
              <w:t>Treatment arms</w:t>
            </w:r>
          </w:p>
        </w:tc>
        <w:tc>
          <w:tcPr>
            <w:tcW w:w="2039" w:type="pct"/>
            <w:gridSpan w:val="3"/>
            <w:shd w:val="clear" w:color="auto" w:fill="auto"/>
            <w:vAlign w:val="center"/>
          </w:tcPr>
          <w:p w14:paraId="49A12F2E" w14:textId="77777777" w:rsidR="00F03CD4" w:rsidRPr="0040534B" w:rsidRDefault="00F03CD4" w:rsidP="00F27A86">
            <w:pPr>
              <w:pStyle w:val="In-tableHeading"/>
              <w:keepNext w:val="0"/>
              <w:jc w:val="center"/>
              <w:rPr>
                <w:lang w:val="en-AU"/>
              </w:rPr>
            </w:pPr>
            <w:r w:rsidRPr="0040534B">
              <w:rPr>
                <w:lang w:val="en-AU"/>
              </w:rPr>
              <w:t>Change from baseline, days, LSM [SE]</w:t>
            </w:r>
          </w:p>
        </w:tc>
        <w:tc>
          <w:tcPr>
            <w:tcW w:w="921" w:type="pct"/>
            <w:vMerge w:val="restart"/>
            <w:shd w:val="clear" w:color="auto" w:fill="auto"/>
            <w:vAlign w:val="center"/>
          </w:tcPr>
          <w:p w14:paraId="479BD140" w14:textId="77777777" w:rsidR="00F03CD4" w:rsidRPr="0040534B" w:rsidRDefault="00F03CD4" w:rsidP="00F27A86">
            <w:pPr>
              <w:pStyle w:val="In-tableHeading"/>
              <w:keepNext w:val="0"/>
              <w:jc w:val="center"/>
              <w:rPr>
                <w:lang w:val="en-AU"/>
              </w:rPr>
            </w:pPr>
            <w:r w:rsidRPr="0040534B">
              <w:rPr>
                <w:lang w:val="en-AU"/>
              </w:rPr>
              <w:t>LSMD, days</w:t>
            </w:r>
          </w:p>
          <w:p w14:paraId="3FB7606A" w14:textId="77777777" w:rsidR="00F03CD4" w:rsidRPr="0040534B" w:rsidRDefault="00F03CD4" w:rsidP="00F27A86">
            <w:pPr>
              <w:pStyle w:val="In-tableHeading"/>
              <w:keepNext w:val="0"/>
              <w:jc w:val="center"/>
              <w:rPr>
                <w:lang w:val="en-AU"/>
              </w:rPr>
            </w:pPr>
            <w:r w:rsidRPr="0040534B">
              <w:rPr>
                <w:lang w:val="en-AU"/>
              </w:rPr>
              <w:t xml:space="preserve"> (95% CI)</w:t>
            </w:r>
          </w:p>
        </w:tc>
      </w:tr>
      <w:tr w:rsidR="00F03CD4" w:rsidRPr="0040534B" w14:paraId="29FF2CB3" w14:textId="77777777" w:rsidTr="00B434C6">
        <w:trPr>
          <w:tblHeader/>
          <w:jc w:val="center"/>
        </w:trPr>
        <w:tc>
          <w:tcPr>
            <w:tcW w:w="938" w:type="pct"/>
            <w:vMerge/>
            <w:shd w:val="clear" w:color="auto" w:fill="auto"/>
            <w:vAlign w:val="center"/>
          </w:tcPr>
          <w:p w14:paraId="3DF43A8B" w14:textId="77777777" w:rsidR="00F03CD4" w:rsidRPr="0040534B" w:rsidRDefault="00F03CD4" w:rsidP="00F27A86">
            <w:pPr>
              <w:pStyle w:val="Tabletext"/>
            </w:pPr>
          </w:p>
        </w:tc>
        <w:tc>
          <w:tcPr>
            <w:tcW w:w="1101" w:type="pct"/>
            <w:vMerge/>
          </w:tcPr>
          <w:p w14:paraId="5D76C055" w14:textId="77777777" w:rsidR="00F03CD4" w:rsidRPr="0040534B" w:rsidRDefault="00F03CD4" w:rsidP="00F27A86">
            <w:pPr>
              <w:pStyle w:val="In-tableHeading"/>
              <w:keepNext w:val="0"/>
              <w:jc w:val="center"/>
              <w:rPr>
                <w:lang w:val="en-AU"/>
              </w:rPr>
            </w:pPr>
          </w:p>
        </w:tc>
        <w:tc>
          <w:tcPr>
            <w:tcW w:w="679" w:type="pct"/>
            <w:shd w:val="clear" w:color="auto" w:fill="auto"/>
            <w:vAlign w:val="center"/>
          </w:tcPr>
          <w:p w14:paraId="2FBD74EA" w14:textId="77777777" w:rsidR="00F03CD4" w:rsidRPr="0040534B" w:rsidRDefault="00F03CD4" w:rsidP="00F27A86">
            <w:pPr>
              <w:pStyle w:val="In-tableHeading"/>
              <w:keepNext w:val="0"/>
              <w:jc w:val="center"/>
              <w:rPr>
                <w:lang w:val="en-AU"/>
              </w:rPr>
            </w:pPr>
            <w:r w:rsidRPr="0040534B">
              <w:rPr>
                <w:lang w:val="en-AU"/>
              </w:rPr>
              <w:t>Atogepant</w:t>
            </w:r>
          </w:p>
        </w:tc>
        <w:tc>
          <w:tcPr>
            <w:tcW w:w="679" w:type="pct"/>
            <w:shd w:val="clear" w:color="auto" w:fill="auto"/>
            <w:vAlign w:val="center"/>
          </w:tcPr>
          <w:p w14:paraId="123B0E66" w14:textId="77777777" w:rsidR="00F03CD4" w:rsidRPr="0040534B" w:rsidRDefault="00F03CD4" w:rsidP="00F27A86">
            <w:pPr>
              <w:pStyle w:val="In-tableHeading"/>
              <w:keepNext w:val="0"/>
              <w:jc w:val="center"/>
              <w:rPr>
                <w:lang w:val="en-AU"/>
              </w:rPr>
            </w:pPr>
            <w:r w:rsidRPr="0040534B">
              <w:rPr>
                <w:lang w:val="en-AU"/>
              </w:rPr>
              <w:t>Placebo</w:t>
            </w:r>
          </w:p>
        </w:tc>
        <w:tc>
          <w:tcPr>
            <w:tcW w:w="681" w:type="pct"/>
            <w:shd w:val="clear" w:color="auto" w:fill="auto"/>
            <w:vAlign w:val="center"/>
          </w:tcPr>
          <w:p w14:paraId="7EA42D47" w14:textId="77777777" w:rsidR="00F03CD4" w:rsidRPr="0040534B" w:rsidRDefault="00F03CD4" w:rsidP="00F27A86">
            <w:pPr>
              <w:pStyle w:val="In-tableHeading"/>
              <w:keepNext w:val="0"/>
              <w:jc w:val="center"/>
              <w:rPr>
                <w:lang w:val="en-AU"/>
              </w:rPr>
            </w:pPr>
            <w:r w:rsidRPr="0040534B">
              <w:rPr>
                <w:lang w:val="en-AU"/>
              </w:rPr>
              <w:t>GALC/FREM</w:t>
            </w:r>
          </w:p>
        </w:tc>
        <w:tc>
          <w:tcPr>
            <w:tcW w:w="921" w:type="pct"/>
            <w:vMerge/>
            <w:shd w:val="clear" w:color="auto" w:fill="auto"/>
            <w:vAlign w:val="center"/>
          </w:tcPr>
          <w:p w14:paraId="7B69EEE8" w14:textId="77777777" w:rsidR="00F03CD4" w:rsidRPr="0040534B" w:rsidRDefault="00F03CD4" w:rsidP="00F27A86">
            <w:pPr>
              <w:pStyle w:val="Tabletext"/>
              <w:jc w:val="center"/>
            </w:pPr>
          </w:p>
        </w:tc>
      </w:tr>
      <w:tr w:rsidR="00F03CD4" w:rsidRPr="0040534B" w14:paraId="0951C83A" w14:textId="77777777" w:rsidTr="00C124DD">
        <w:trPr>
          <w:jc w:val="center"/>
        </w:trPr>
        <w:tc>
          <w:tcPr>
            <w:tcW w:w="5000" w:type="pct"/>
            <w:gridSpan w:val="6"/>
          </w:tcPr>
          <w:p w14:paraId="3D629097" w14:textId="5C3527D9" w:rsidR="00F03CD4" w:rsidRPr="0040534B" w:rsidRDefault="00137FD9" w:rsidP="00F27A86">
            <w:pPr>
              <w:pStyle w:val="TableText0"/>
              <w:keepNext w:val="0"/>
              <w:rPr>
                <w:b/>
                <w:bCs w:val="0"/>
              </w:rPr>
            </w:pPr>
            <w:r w:rsidRPr="0040534B">
              <w:rPr>
                <w:b/>
                <w:bCs w:val="0"/>
              </w:rPr>
              <w:t xml:space="preserve"> Whole trial populations</w:t>
            </w:r>
          </w:p>
        </w:tc>
      </w:tr>
      <w:tr w:rsidR="00137FD9" w:rsidRPr="0040534B" w14:paraId="44C45743" w14:textId="77777777" w:rsidTr="00C124DD">
        <w:trPr>
          <w:jc w:val="center"/>
        </w:trPr>
        <w:tc>
          <w:tcPr>
            <w:tcW w:w="5000" w:type="pct"/>
            <w:gridSpan w:val="6"/>
          </w:tcPr>
          <w:p w14:paraId="5B64CAC9" w14:textId="32FD5384" w:rsidR="00137FD9" w:rsidRPr="0040534B" w:rsidRDefault="00137FD9" w:rsidP="00F27A86">
            <w:pPr>
              <w:pStyle w:val="TableText0"/>
              <w:keepNext w:val="0"/>
              <w:rPr>
                <w:b/>
                <w:bCs w:val="0"/>
              </w:rPr>
            </w:pPr>
            <w:r w:rsidRPr="0040534B">
              <w:rPr>
                <w:b/>
                <w:bCs w:val="0"/>
              </w:rPr>
              <w:t>Atogepant vs placebo</w:t>
            </w:r>
          </w:p>
        </w:tc>
      </w:tr>
      <w:tr w:rsidR="00F03CD4" w:rsidRPr="0040534B" w14:paraId="0938A1E8" w14:textId="77777777" w:rsidTr="00B434C6">
        <w:trPr>
          <w:jc w:val="center"/>
        </w:trPr>
        <w:tc>
          <w:tcPr>
            <w:tcW w:w="938" w:type="pct"/>
            <w:shd w:val="clear" w:color="auto" w:fill="auto"/>
            <w:vAlign w:val="center"/>
          </w:tcPr>
          <w:p w14:paraId="217B049B" w14:textId="77777777" w:rsidR="00F03CD4" w:rsidRPr="0040534B" w:rsidRDefault="00F03CD4" w:rsidP="00F27A86">
            <w:pPr>
              <w:pStyle w:val="TableText0"/>
              <w:keepNext w:val="0"/>
            </w:pPr>
            <w:r w:rsidRPr="0040534B">
              <w:t>PROGRESS</w:t>
            </w:r>
          </w:p>
        </w:tc>
        <w:tc>
          <w:tcPr>
            <w:tcW w:w="1101" w:type="pct"/>
            <w:vAlign w:val="center"/>
          </w:tcPr>
          <w:p w14:paraId="076C763E" w14:textId="59DE228B" w:rsidR="00F03CD4" w:rsidRPr="0040534B" w:rsidRDefault="00F03CD4" w:rsidP="00F27A86">
            <w:pPr>
              <w:pStyle w:val="TableText0"/>
              <w:keepNext w:val="0"/>
            </w:pPr>
            <w:r w:rsidRPr="0040534B">
              <w:t>ATOG 60</w:t>
            </w:r>
            <w:r w:rsidR="006F04A7" w:rsidRPr="0040534B">
              <w:t xml:space="preserve"> </w:t>
            </w:r>
            <w:r w:rsidRPr="0040534B">
              <w:t>mg vs. PBO</w:t>
            </w:r>
          </w:p>
        </w:tc>
        <w:tc>
          <w:tcPr>
            <w:tcW w:w="679" w:type="pct"/>
            <w:shd w:val="clear" w:color="auto" w:fill="auto"/>
            <w:vAlign w:val="center"/>
          </w:tcPr>
          <w:p w14:paraId="6700EA62" w14:textId="77777777" w:rsidR="00F03CD4" w:rsidRPr="0040534B" w:rsidRDefault="00F03CD4" w:rsidP="00F27A86">
            <w:pPr>
              <w:pStyle w:val="TableText0"/>
              <w:keepNext w:val="0"/>
              <w:jc w:val="center"/>
            </w:pPr>
            <w:r w:rsidRPr="0040534B">
              <w:t>N = 256</w:t>
            </w:r>
          </w:p>
          <w:p w14:paraId="292CA4D8" w14:textId="77777777" w:rsidR="00F03CD4" w:rsidRPr="0040534B" w:rsidRDefault="00F03CD4" w:rsidP="00F27A86">
            <w:pPr>
              <w:pStyle w:val="TableText0"/>
              <w:keepNext w:val="0"/>
              <w:jc w:val="center"/>
            </w:pPr>
            <w:r w:rsidRPr="0040534B">
              <w:t>-6.88 [0.406]</w:t>
            </w:r>
          </w:p>
        </w:tc>
        <w:tc>
          <w:tcPr>
            <w:tcW w:w="679" w:type="pct"/>
            <w:shd w:val="clear" w:color="auto" w:fill="auto"/>
            <w:vAlign w:val="center"/>
          </w:tcPr>
          <w:p w14:paraId="30BCB3E2" w14:textId="77777777" w:rsidR="00F03CD4" w:rsidRPr="0040534B" w:rsidRDefault="00F03CD4" w:rsidP="00F27A86">
            <w:pPr>
              <w:pStyle w:val="TableText0"/>
              <w:keepNext w:val="0"/>
              <w:jc w:val="center"/>
            </w:pPr>
            <w:r w:rsidRPr="0040534B">
              <w:t>N = 246</w:t>
            </w:r>
          </w:p>
          <w:p w14:paraId="524DAE88" w14:textId="77777777" w:rsidR="00F03CD4" w:rsidRPr="0040534B" w:rsidRDefault="00F03CD4" w:rsidP="00F27A86">
            <w:pPr>
              <w:pStyle w:val="TableText0"/>
              <w:keepNext w:val="0"/>
              <w:jc w:val="center"/>
            </w:pPr>
            <w:r w:rsidRPr="0040534B">
              <w:t>-5.05 [0.411]</w:t>
            </w:r>
          </w:p>
        </w:tc>
        <w:tc>
          <w:tcPr>
            <w:tcW w:w="681" w:type="pct"/>
            <w:shd w:val="clear" w:color="auto" w:fill="auto"/>
            <w:vAlign w:val="center"/>
          </w:tcPr>
          <w:p w14:paraId="092D718C" w14:textId="77777777" w:rsidR="00F03CD4" w:rsidRPr="0040534B" w:rsidRDefault="00F03CD4" w:rsidP="00F27A86">
            <w:pPr>
              <w:pStyle w:val="TableText0"/>
              <w:keepNext w:val="0"/>
              <w:jc w:val="center"/>
            </w:pPr>
            <w:r w:rsidRPr="0040534B">
              <w:t>-</w:t>
            </w:r>
          </w:p>
        </w:tc>
        <w:tc>
          <w:tcPr>
            <w:tcW w:w="921" w:type="pct"/>
            <w:shd w:val="clear" w:color="auto" w:fill="auto"/>
            <w:vAlign w:val="center"/>
          </w:tcPr>
          <w:p w14:paraId="2F69CF0B" w14:textId="77777777" w:rsidR="00F03CD4" w:rsidRPr="0040534B" w:rsidRDefault="00F03CD4" w:rsidP="00F27A86">
            <w:pPr>
              <w:pStyle w:val="TableText0"/>
              <w:keepNext w:val="0"/>
              <w:jc w:val="center"/>
              <w:rPr>
                <w:b/>
                <w:bCs w:val="0"/>
              </w:rPr>
            </w:pPr>
            <w:r w:rsidRPr="0040534B">
              <w:rPr>
                <w:b/>
                <w:bCs w:val="0"/>
              </w:rPr>
              <w:t>-1.82 (-2.89, -0.75)</w:t>
            </w:r>
          </w:p>
        </w:tc>
      </w:tr>
      <w:tr w:rsidR="00B434C6" w:rsidRPr="0040534B" w14:paraId="5A5B9464" w14:textId="77777777" w:rsidTr="0065370A">
        <w:trPr>
          <w:jc w:val="center"/>
        </w:trPr>
        <w:tc>
          <w:tcPr>
            <w:tcW w:w="4079" w:type="pct"/>
            <w:gridSpan w:val="5"/>
          </w:tcPr>
          <w:p w14:paraId="4952262A" w14:textId="77777777" w:rsidR="00B434C6" w:rsidRPr="0040534B" w:rsidRDefault="00B434C6" w:rsidP="00F27A86">
            <w:pPr>
              <w:pStyle w:val="TableText0"/>
              <w:keepNext w:val="0"/>
            </w:pPr>
            <w:r w:rsidRPr="0040534B">
              <w:t>Pooled atogepant (I</w:t>
            </w:r>
            <w:r w:rsidRPr="0040534B">
              <w:rPr>
                <w:vertAlign w:val="superscript"/>
              </w:rPr>
              <w:t xml:space="preserve">2 </w:t>
            </w:r>
            <w:r w:rsidRPr="0040534B">
              <w:t>= N/A; p = N/A)</w:t>
            </w:r>
          </w:p>
        </w:tc>
        <w:tc>
          <w:tcPr>
            <w:tcW w:w="921" w:type="pct"/>
            <w:vAlign w:val="center"/>
          </w:tcPr>
          <w:p w14:paraId="6F8EF50B" w14:textId="77777777" w:rsidR="00B434C6" w:rsidRPr="0040534B" w:rsidRDefault="00B434C6" w:rsidP="00F27A86">
            <w:pPr>
              <w:pStyle w:val="TableText0"/>
              <w:keepNext w:val="0"/>
              <w:jc w:val="center"/>
              <w:rPr>
                <w:bCs w:val="0"/>
                <w:szCs w:val="20"/>
              </w:rPr>
            </w:pPr>
            <w:r w:rsidRPr="0040534B">
              <w:rPr>
                <w:b/>
              </w:rPr>
              <w:t>-1.83 (-2.96, -0.70)</w:t>
            </w:r>
          </w:p>
        </w:tc>
      </w:tr>
      <w:bookmarkEnd w:id="49"/>
      <w:tr w:rsidR="00F03CD4" w:rsidRPr="0040534B" w14:paraId="6C86BC3C" w14:textId="77777777" w:rsidTr="00C124DD">
        <w:trPr>
          <w:jc w:val="center"/>
        </w:trPr>
        <w:tc>
          <w:tcPr>
            <w:tcW w:w="5000" w:type="pct"/>
            <w:gridSpan w:val="6"/>
          </w:tcPr>
          <w:p w14:paraId="035B9C45" w14:textId="77777777" w:rsidR="00F03CD4" w:rsidRPr="0040534B" w:rsidRDefault="00F03CD4" w:rsidP="00F27A86">
            <w:pPr>
              <w:pStyle w:val="TableText0"/>
              <w:keepNext w:val="0"/>
              <w:rPr>
                <w:b/>
              </w:rPr>
            </w:pPr>
            <w:r w:rsidRPr="0040534B">
              <w:rPr>
                <w:b/>
              </w:rPr>
              <w:t>Galcanezumab vs placebo</w:t>
            </w:r>
          </w:p>
        </w:tc>
      </w:tr>
      <w:tr w:rsidR="00F03CD4" w:rsidRPr="0040534B" w14:paraId="16E6CC45" w14:textId="77777777" w:rsidTr="00B434C6">
        <w:trPr>
          <w:jc w:val="center"/>
        </w:trPr>
        <w:tc>
          <w:tcPr>
            <w:tcW w:w="938" w:type="pct"/>
            <w:shd w:val="clear" w:color="auto" w:fill="auto"/>
            <w:vAlign w:val="center"/>
          </w:tcPr>
          <w:p w14:paraId="07F03A58" w14:textId="77777777" w:rsidR="00F03CD4" w:rsidRPr="0040534B" w:rsidRDefault="00F03CD4" w:rsidP="00F27A86">
            <w:pPr>
              <w:pStyle w:val="TableText0"/>
              <w:keepNext w:val="0"/>
            </w:pPr>
            <w:r w:rsidRPr="0040534B">
              <w:t>REGAIN</w:t>
            </w:r>
          </w:p>
        </w:tc>
        <w:tc>
          <w:tcPr>
            <w:tcW w:w="1101" w:type="pct"/>
            <w:vAlign w:val="center"/>
          </w:tcPr>
          <w:p w14:paraId="25FAEEDA" w14:textId="39E02063" w:rsidR="00F03CD4" w:rsidRPr="0040534B" w:rsidRDefault="00F03CD4" w:rsidP="00F27A86">
            <w:pPr>
              <w:pStyle w:val="TableText0"/>
              <w:keepNext w:val="0"/>
            </w:pPr>
            <w:r w:rsidRPr="0040534B">
              <w:t>GAL 120</w:t>
            </w:r>
            <w:r w:rsidR="006F04A7" w:rsidRPr="0040534B">
              <w:t xml:space="preserve"> </w:t>
            </w:r>
            <w:r w:rsidRPr="0040534B">
              <w:t>mg vs. PBO</w:t>
            </w:r>
          </w:p>
        </w:tc>
        <w:tc>
          <w:tcPr>
            <w:tcW w:w="679" w:type="pct"/>
            <w:shd w:val="clear" w:color="auto" w:fill="auto"/>
            <w:vAlign w:val="center"/>
          </w:tcPr>
          <w:p w14:paraId="26A9F378" w14:textId="77777777" w:rsidR="00F03CD4" w:rsidRPr="0040534B" w:rsidRDefault="00F03CD4" w:rsidP="00F27A86">
            <w:pPr>
              <w:pStyle w:val="TableText0"/>
              <w:keepNext w:val="0"/>
              <w:jc w:val="center"/>
            </w:pPr>
            <w:r w:rsidRPr="0040534B">
              <w:t>-</w:t>
            </w:r>
          </w:p>
        </w:tc>
        <w:tc>
          <w:tcPr>
            <w:tcW w:w="679" w:type="pct"/>
            <w:shd w:val="clear" w:color="auto" w:fill="auto"/>
            <w:vAlign w:val="center"/>
          </w:tcPr>
          <w:p w14:paraId="60EE0700" w14:textId="77777777" w:rsidR="00F03CD4" w:rsidRPr="0040534B" w:rsidRDefault="00F03CD4" w:rsidP="00F27A86">
            <w:pPr>
              <w:pStyle w:val="TableText0"/>
              <w:keepNext w:val="0"/>
              <w:jc w:val="center"/>
            </w:pPr>
            <w:r w:rsidRPr="0040534B">
              <w:t>N = 538</w:t>
            </w:r>
          </w:p>
          <w:p w14:paraId="268F84FC" w14:textId="77777777" w:rsidR="00F03CD4" w:rsidRPr="0040534B" w:rsidRDefault="00F03CD4" w:rsidP="00F27A86">
            <w:pPr>
              <w:pStyle w:val="TableText0"/>
              <w:keepNext w:val="0"/>
              <w:jc w:val="center"/>
            </w:pPr>
            <w:r w:rsidRPr="0040534B">
              <w:t>-2.7 [0.4]</w:t>
            </w:r>
          </w:p>
        </w:tc>
        <w:tc>
          <w:tcPr>
            <w:tcW w:w="681" w:type="pct"/>
            <w:shd w:val="clear" w:color="auto" w:fill="auto"/>
            <w:vAlign w:val="center"/>
          </w:tcPr>
          <w:p w14:paraId="6AED864B" w14:textId="77777777" w:rsidR="00F03CD4" w:rsidRPr="0040534B" w:rsidRDefault="00F03CD4" w:rsidP="00F27A86">
            <w:pPr>
              <w:pStyle w:val="TableText0"/>
              <w:keepNext w:val="0"/>
              <w:jc w:val="center"/>
            </w:pPr>
            <w:r w:rsidRPr="0040534B">
              <w:t>N = 273</w:t>
            </w:r>
          </w:p>
          <w:p w14:paraId="3545E7C7" w14:textId="77777777" w:rsidR="00F03CD4" w:rsidRPr="0040534B" w:rsidRDefault="00F03CD4" w:rsidP="00F27A86">
            <w:pPr>
              <w:pStyle w:val="TableText0"/>
              <w:keepNext w:val="0"/>
              <w:jc w:val="center"/>
            </w:pPr>
            <w:r w:rsidRPr="0040534B">
              <w:t xml:space="preserve">-4.8 [0.4] </w:t>
            </w:r>
          </w:p>
        </w:tc>
        <w:tc>
          <w:tcPr>
            <w:tcW w:w="921" w:type="pct"/>
            <w:shd w:val="clear" w:color="auto" w:fill="auto"/>
            <w:vAlign w:val="center"/>
          </w:tcPr>
          <w:p w14:paraId="7723A4F4" w14:textId="0B0C2140" w:rsidR="00F03CD4" w:rsidRPr="0040534B" w:rsidRDefault="00F03CD4" w:rsidP="00F27A86">
            <w:pPr>
              <w:pStyle w:val="TableText0"/>
              <w:keepNext w:val="0"/>
              <w:jc w:val="center"/>
              <w:rPr>
                <w:b/>
                <w:bCs w:val="0"/>
              </w:rPr>
            </w:pPr>
            <w:r w:rsidRPr="0040534B">
              <w:rPr>
                <w:b/>
                <w:bCs w:val="0"/>
              </w:rPr>
              <w:t>-2.1 (-2.9, -1.3)</w:t>
            </w:r>
          </w:p>
          <w:p w14:paraId="55D992EF" w14:textId="4D1E493E" w:rsidR="003D2FF4" w:rsidRPr="0040534B" w:rsidRDefault="003D2FF4" w:rsidP="00F27A86">
            <w:pPr>
              <w:pStyle w:val="TableText0"/>
              <w:keepNext w:val="0"/>
              <w:jc w:val="center"/>
            </w:pPr>
            <w:r w:rsidRPr="0040534B">
              <w:rPr>
                <w:b/>
              </w:rPr>
              <w:t xml:space="preserve">-2.10 (-3.21, </w:t>
            </w:r>
            <w:r w:rsidR="00D27931" w:rsidRPr="0040534B">
              <w:rPr>
                <w:b/>
              </w:rPr>
              <w:t>0.99)</w:t>
            </w:r>
            <w:r w:rsidR="00D27931" w:rsidRPr="0040534B">
              <w:rPr>
                <w:b/>
                <w:vertAlign w:val="superscript"/>
              </w:rPr>
              <w:t xml:space="preserve"> a</w:t>
            </w:r>
          </w:p>
        </w:tc>
      </w:tr>
      <w:tr w:rsidR="00F03CD4" w:rsidRPr="0040534B" w14:paraId="63532FB6" w14:textId="77777777" w:rsidTr="00B434C6">
        <w:trPr>
          <w:jc w:val="center"/>
        </w:trPr>
        <w:tc>
          <w:tcPr>
            <w:tcW w:w="938" w:type="pct"/>
            <w:shd w:val="clear" w:color="auto" w:fill="auto"/>
            <w:vAlign w:val="center"/>
          </w:tcPr>
          <w:p w14:paraId="2F3726B1" w14:textId="6FF7D564" w:rsidR="00F03CD4" w:rsidRPr="0040534B" w:rsidRDefault="00F03CD4" w:rsidP="00F27A86">
            <w:pPr>
              <w:pStyle w:val="TableText0"/>
              <w:keepNext w:val="0"/>
            </w:pPr>
            <w:r w:rsidRPr="0040534B">
              <w:t xml:space="preserve">CONQUER </w:t>
            </w:r>
            <w:r w:rsidR="00950E8B" w:rsidRPr="0040534B">
              <w:rPr>
                <w:vertAlign w:val="superscript"/>
              </w:rPr>
              <w:t>b</w:t>
            </w:r>
          </w:p>
        </w:tc>
        <w:tc>
          <w:tcPr>
            <w:tcW w:w="1101" w:type="pct"/>
            <w:vAlign w:val="center"/>
          </w:tcPr>
          <w:p w14:paraId="71D433E8" w14:textId="66475366" w:rsidR="00F03CD4" w:rsidRPr="0040534B" w:rsidRDefault="00F03CD4" w:rsidP="00F27A86">
            <w:pPr>
              <w:pStyle w:val="TableText0"/>
              <w:keepNext w:val="0"/>
            </w:pPr>
            <w:r w:rsidRPr="0040534B">
              <w:t>GAL 120</w:t>
            </w:r>
            <w:r w:rsidR="006F04A7" w:rsidRPr="0040534B">
              <w:t xml:space="preserve"> </w:t>
            </w:r>
            <w:r w:rsidRPr="0040534B">
              <w:t>mg vs. PBO</w:t>
            </w:r>
          </w:p>
        </w:tc>
        <w:tc>
          <w:tcPr>
            <w:tcW w:w="679" w:type="pct"/>
            <w:shd w:val="clear" w:color="auto" w:fill="auto"/>
            <w:vAlign w:val="center"/>
          </w:tcPr>
          <w:p w14:paraId="74D842CA" w14:textId="77777777" w:rsidR="00F03CD4" w:rsidRPr="0040534B" w:rsidRDefault="00F03CD4" w:rsidP="00F27A86">
            <w:pPr>
              <w:pStyle w:val="TableText0"/>
              <w:keepNext w:val="0"/>
              <w:jc w:val="center"/>
            </w:pPr>
            <w:r w:rsidRPr="0040534B">
              <w:t>-</w:t>
            </w:r>
          </w:p>
        </w:tc>
        <w:tc>
          <w:tcPr>
            <w:tcW w:w="679" w:type="pct"/>
            <w:shd w:val="clear" w:color="auto" w:fill="auto"/>
            <w:vAlign w:val="center"/>
          </w:tcPr>
          <w:p w14:paraId="278734CC" w14:textId="77777777" w:rsidR="00F03CD4" w:rsidRPr="0040534B" w:rsidRDefault="00F03CD4" w:rsidP="00F27A86">
            <w:pPr>
              <w:pStyle w:val="TableText0"/>
              <w:keepNext w:val="0"/>
              <w:jc w:val="center"/>
            </w:pPr>
            <w:r w:rsidRPr="0040534B">
              <w:t>N = 230</w:t>
            </w:r>
          </w:p>
          <w:p w14:paraId="090141DE" w14:textId="77777777" w:rsidR="00F03CD4" w:rsidRPr="0040534B" w:rsidRDefault="00F03CD4" w:rsidP="00F27A86">
            <w:pPr>
              <w:pStyle w:val="TableText0"/>
              <w:keepNext w:val="0"/>
              <w:jc w:val="center"/>
            </w:pPr>
            <w:r w:rsidRPr="0040534B">
              <w:t>-1.0 [0.3]</w:t>
            </w:r>
          </w:p>
        </w:tc>
        <w:tc>
          <w:tcPr>
            <w:tcW w:w="681" w:type="pct"/>
            <w:shd w:val="clear" w:color="auto" w:fill="auto"/>
            <w:vAlign w:val="center"/>
          </w:tcPr>
          <w:p w14:paraId="10488744" w14:textId="77777777" w:rsidR="00F03CD4" w:rsidRPr="0040534B" w:rsidRDefault="00F03CD4" w:rsidP="00F27A86">
            <w:pPr>
              <w:pStyle w:val="TableText0"/>
              <w:keepNext w:val="0"/>
              <w:jc w:val="center"/>
            </w:pPr>
            <w:r w:rsidRPr="0040534B">
              <w:t>N = 232</w:t>
            </w:r>
          </w:p>
          <w:p w14:paraId="4979F639" w14:textId="77777777" w:rsidR="00F03CD4" w:rsidRPr="0040534B" w:rsidRDefault="00F03CD4" w:rsidP="00F27A86">
            <w:pPr>
              <w:pStyle w:val="TableText0"/>
              <w:keepNext w:val="0"/>
              <w:jc w:val="center"/>
            </w:pPr>
            <w:r w:rsidRPr="0040534B">
              <w:t>-4.1 [0.3]</w:t>
            </w:r>
          </w:p>
        </w:tc>
        <w:tc>
          <w:tcPr>
            <w:tcW w:w="921" w:type="pct"/>
            <w:shd w:val="clear" w:color="auto" w:fill="auto"/>
            <w:vAlign w:val="center"/>
          </w:tcPr>
          <w:p w14:paraId="66E7BD39" w14:textId="77777777" w:rsidR="00F03CD4" w:rsidRPr="0040534B" w:rsidRDefault="00F03CD4" w:rsidP="00F27A86">
            <w:pPr>
              <w:pStyle w:val="TableText0"/>
              <w:keepNext w:val="0"/>
              <w:jc w:val="center"/>
            </w:pPr>
            <w:r w:rsidRPr="0040534B">
              <w:rPr>
                <w:b/>
                <w:bCs w:val="0"/>
              </w:rPr>
              <w:t>-3.1 (-3.9, -2.3)</w:t>
            </w:r>
          </w:p>
        </w:tc>
      </w:tr>
      <w:tr w:rsidR="00F03CD4" w:rsidRPr="0040534B" w14:paraId="07955243" w14:textId="77777777" w:rsidTr="007E3A95">
        <w:trPr>
          <w:jc w:val="center"/>
        </w:trPr>
        <w:tc>
          <w:tcPr>
            <w:tcW w:w="4079" w:type="pct"/>
            <w:gridSpan w:val="5"/>
          </w:tcPr>
          <w:p w14:paraId="67EB29F0" w14:textId="5604ADF0" w:rsidR="00F03CD4" w:rsidRPr="0040534B" w:rsidRDefault="00F03CD4" w:rsidP="00F27A86">
            <w:pPr>
              <w:pStyle w:val="TableText0"/>
              <w:keepNext w:val="0"/>
            </w:pPr>
            <w:r w:rsidRPr="0040534B">
              <w:t>Pooled galcanezumab</w:t>
            </w:r>
            <w:r w:rsidR="003D2FF4" w:rsidRPr="0040534B">
              <w:t xml:space="preserve"> (</w:t>
            </w:r>
            <w:r w:rsidRPr="0040534B">
              <w:t>I</w:t>
            </w:r>
            <w:r w:rsidRPr="0040534B">
              <w:rPr>
                <w:vertAlign w:val="superscript"/>
              </w:rPr>
              <w:t xml:space="preserve">2 </w:t>
            </w:r>
            <w:r w:rsidRPr="0040534B">
              <w:t>= 50%; p = 0.16</w:t>
            </w:r>
            <w:r w:rsidR="003D2FF4" w:rsidRPr="0040534B">
              <w:t>)</w:t>
            </w:r>
          </w:p>
        </w:tc>
        <w:tc>
          <w:tcPr>
            <w:tcW w:w="921" w:type="pct"/>
            <w:shd w:val="clear" w:color="auto" w:fill="auto"/>
            <w:vAlign w:val="center"/>
          </w:tcPr>
          <w:p w14:paraId="43B4BBCC" w14:textId="77777777" w:rsidR="00F03CD4" w:rsidRPr="0040534B" w:rsidRDefault="00F03CD4" w:rsidP="00F27A86">
            <w:pPr>
              <w:pStyle w:val="TableText0"/>
              <w:keepNext w:val="0"/>
              <w:jc w:val="center"/>
              <w:rPr>
                <w:b/>
                <w:bCs w:val="0"/>
              </w:rPr>
            </w:pPr>
            <w:r w:rsidRPr="0040534B">
              <w:rPr>
                <w:b/>
                <w:bCs w:val="0"/>
              </w:rPr>
              <w:t>-2.67 (-3.64, -1.70)</w:t>
            </w:r>
          </w:p>
        </w:tc>
      </w:tr>
      <w:tr w:rsidR="00F03CD4" w:rsidRPr="0040534B" w14:paraId="30A3615A" w14:textId="77777777" w:rsidTr="00C124DD">
        <w:trPr>
          <w:jc w:val="center"/>
        </w:trPr>
        <w:tc>
          <w:tcPr>
            <w:tcW w:w="5000" w:type="pct"/>
            <w:gridSpan w:val="6"/>
          </w:tcPr>
          <w:p w14:paraId="06817CF4" w14:textId="77777777" w:rsidR="00F03CD4" w:rsidRPr="0040534B" w:rsidRDefault="00F03CD4" w:rsidP="00F27A86">
            <w:pPr>
              <w:pStyle w:val="TableText0"/>
              <w:keepNext w:val="0"/>
              <w:rPr>
                <w:b/>
                <w:bCs w:val="0"/>
              </w:rPr>
            </w:pPr>
            <w:r w:rsidRPr="0040534B">
              <w:rPr>
                <w:b/>
                <w:bCs w:val="0"/>
              </w:rPr>
              <w:t>Fremanezumab vs placebo</w:t>
            </w:r>
          </w:p>
        </w:tc>
      </w:tr>
      <w:tr w:rsidR="003D2FF4" w:rsidRPr="0040534B" w14:paraId="40F8628F" w14:textId="77777777" w:rsidTr="00B434C6">
        <w:trPr>
          <w:jc w:val="center"/>
        </w:trPr>
        <w:tc>
          <w:tcPr>
            <w:tcW w:w="938" w:type="pct"/>
            <w:vAlign w:val="center"/>
          </w:tcPr>
          <w:p w14:paraId="06DA82D4" w14:textId="77777777" w:rsidR="003D2FF4" w:rsidRPr="0040534B" w:rsidRDefault="003D2FF4" w:rsidP="00F27A86">
            <w:pPr>
              <w:pStyle w:val="TableText0"/>
              <w:keepNext w:val="0"/>
            </w:pPr>
            <w:r w:rsidRPr="0040534B">
              <w:t>HALO-CM</w:t>
            </w:r>
          </w:p>
        </w:tc>
        <w:tc>
          <w:tcPr>
            <w:tcW w:w="1101" w:type="pct"/>
            <w:vAlign w:val="center"/>
          </w:tcPr>
          <w:p w14:paraId="07D9BD49" w14:textId="1903C45C" w:rsidR="003D2FF4" w:rsidRPr="0040534B" w:rsidRDefault="003D2FF4" w:rsidP="00F27A86">
            <w:pPr>
              <w:pStyle w:val="TableText0"/>
              <w:keepNext w:val="0"/>
            </w:pPr>
            <w:r w:rsidRPr="0040534B">
              <w:t>FREM 225</w:t>
            </w:r>
            <w:r w:rsidR="006F04A7" w:rsidRPr="0040534B">
              <w:t xml:space="preserve"> </w:t>
            </w:r>
            <w:r w:rsidRPr="0040534B">
              <w:t>mg vs. PBO</w:t>
            </w:r>
          </w:p>
        </w:tc>
        <w:tc>
          <w:tcPr>
            <w:tcW w:w="679" w:type="pct"/>
            <w:vAlign w:val="center"/>
          </w:tcPr>
          <w:p w14:paraId="473F4AD2" w14:textId="77777777" w:rsidR="003D2FF4" w:rsidRPr="0040534B" w:rsidRDefault="003D2FF4" w:rsidP="00F27A86">
            <w:pPr>
              <w:pStyle w:val="TableText0"/>
              <w:keepNext w:val="0"/>
              <w:jc w:val="center"/>
            </w:pPr>
            <w:r w:rsidRPr="0040534B">
              <w:t>-</w:t>
            </w:r>
          </w:p>
        </w:tc>
        <w:tc>
          <w:tcPr>
            <w:tcW w:w="679" w:type="pct"/>
            <w:vAlign w:val="center"/>
          </w:tcPr>
          <w:p w14:paraId="4B82EB20" w14:textId="77777777" w:rsidR="003D2FF4" w:rsidRPr="0040534B" w:rsidRDefault="003D2FF4" w:rsidP="00F27A86">
            <w:pPr>
              <w:pStyle w:val="TableText0"/>
              <w:keepNext w:val="0"/>
              <w:jc w:val="center"/>
            </w:pPr>
            <w:r w:rsidRPr="0040534B">
              <w:t>N = 371</w:t>
            </w:r>
          </w:p>
          <w:p w14:paraId="71A74542" w14:textId="78830B0E" w:rsidR="003D2FF4" w:rsidRPr="0040534B" w:rsidRDefault="003D2FF4" w:rsidP="00F27A86">
            <w:pPr>
              <w:pStyle w:val="TableText0"/>
              <w:keepNext w:val="0"/>
              <w:jc w:val="center"/>
            </w:pPr>
            <w:r w:rsidRPr="0040534B">
              <w:t>-3.2 [0.4]</w:t>
            </w:r>
          </w:p>
        </w:tc>
        <w:tc>
          <w:tcPr>
            <w:tcW w:w="681" w:type="pct"/>
            <w:vAlign w:val="center"/>
          </w:tcPr>
          <w:p w14:paraId="3EFC4FD6" w14:textId="77777777" w:rsidR="003D2FF4" w:rsidRPr="0040534B" w:rsidRDefault="003D2FF4" w:rsidP="00F27A86">
            <w:pPr>
              <w:pStyle w:val="TableText0"/>
              <w:keepNext w:val="0"/>
              <w:jc w:val="center"/>
            </w:pPr>
            <w:r w:rsidRPr="0040534B">
              <w:t>N = 375</w:t>
            </w:r>
          </w:p>
          <w:p w14:paraId="708F9B82" w14:textId="77777777" w:rsidR="003D2FF4" w:rsidRPr="0040534B" w:rsidRDefault="003D2FF4" w:rsidP="00F27A86">
            <w:pPr>
              <w:pStyle w:val="TableText0"/>
              <w:keepNext w:val="0"/>
              <w:jc w:val="center"/>
            </w:pPr>
            <w:r w:rsidRPr="0040534B">
              <w:t>-3.2 (SD: 7.7)</w:t>
            </w:r>
          </w:p>
          <w:p w14:paraId="0A245E42" w14:textId="504DB11A" w:rsidR="003D2FF4" w:rsidRPr="0040534B" w:rsidRDefault="003D2FF4" w:rsidP="00F27A86">
            <w:pPr>
              <w:pStyle w:val="TableText0"/>
              <w:keepNext w:val="0"/>
              <w:jc w:val="center"/>
            </w:pPr>
            <w:r w:rsidRPr="0040534B">
              <w:t>-5.0 [0.4]</w:t>
            </w:r>
          </w:p>
        </w:tc>
        <w:tc>
          <w:tcPr>
            <w:tcW w:w="921" w:type="pct"/>
            <w:shd w:val="clear" w:color="auto" w:fill="auto"/>
            <w:vAlign w:val="center"/>
          </w:tcPr>
          <w:p w14:paraId="3040CCAA" w14:textId="6678C411" w:rsidR="003D2FF4" w:rsidRPr="0040534B" w:rsidRDefault="003D2FF4" w:rsidP="00F27A86">
            <w:pPr>
              <w:pStyle w:val="TableText0"/>
              <w:keepNext w:val="0"/>
              <w:jc w:val="center"/>
              <w:rPr>
                <w:b/>
                <w:bCs w:val="0"/>
              </w:rPr>
            </w:pPr>
            <w:r w:rsidRPr="0040534B">
              <w:rPr>
                <w:b/>
                <w:bCs w:val="0"/>
              </w:rPr>
              <w:t>-1.80 (-2.91, -0.69)</w:t>
            </w:r>
          </w:p>
        </w:tc>
      </w:tr>
      <w:tr w:rsidR="003D2FF4" w:rsidRPr="0040534B" w14:paraId="07E4198E" w14:textId="77777777" w:rsidTr="00B434C6">
        <w:trPr>
          <w:jc w:val="center"/>
        </w:trPr>
        <w:tc>
          <w:tcPr>
            <w:tcW w:w="938" w:type="pct"/>
            <w:vAlign w:val="center"/>
          </w:tcPr>
          <w:p w14:paraId="13E9E8C2" w14:textId="05BCADAD" w:rsidR="003D2FF4" w:rsidRPr="0040534B" w:rsidRDefault="003D2FF4" w:rsidP="00F27A86">
            <w:pPr>
              <w:pStyle w:val="TableText0"/>
              <w:keepNext w:val="0"/>
            </w:pPr>
            <w:r w:rsidRPr="0040534B">
              <w:t>FOCUS</w:t>
            </w:r>
            <w:r w:rsidR="00950E8B" w:rsidRPr="0040534B">
              <w:rPr>
                <w:vertAlign w:val="superscript"/>
              </w:rPr>
              <w:t xml:space="preserve"> b</w:t>
            </w:r>
          </w:p>
        </w:tc>
        <w:tc>
          <w:tcPr>
            <w:tcW w:w="1101" w:type="pct"/>
            <w:vAlign w:val="center"/>
          </w:tcPr>
          <w:p w14:paraId="0F932808" w14:textId="4090B997" w:rsidR="003D2FF4" w:rsidRPr="0040534B" w:rsidRDefault="003D2FF4" w:rsidP="00F27A86">
            <w:pPr>
              <w:pStyle w:val="TableText0"/>
              <w:keepNext w:val="0"/>
            </w:pPr>
            <w:r w:rsidRPr="0040534B">
              <w:t>FREM 225</w:t>
            </w:r>
            <w:r w:rsidR="006F04A7" w:rsidRPr="0040534B">
              <w:t xml:space="preserve"> </w:t>
            </w:r>
            <w:r w:rsidRPr="0040534B">
              <w:t>mg vs. PBO</w:t>
            </w:r>
          </w:p>
        </w:tc>
        <w:tc>
          <w:tcPr>
            <w:tcW w:w="679" w:type="pct"/>
            <w:vAlign w:val="center"/>
          </w:tcPr>
          <w:p w14:paraId="1B736E4F" w14:textId="77777777" w:rsidR="003D2FF4" w:rsidRPr="0040534B" w:rsidRDefault="003D2FF4" w:rsidP="00F27A86">
            <w:pPr>
              <w:pStyle w:val="TableText0"/>
              <w:keepNext w:val="0"/>
              <w:jc w:val="center"/>
            </w:pPr>
            <w:r w:rsidRPr="0040534B">
              <w:t>-</w:t>
            </w:r>
          </w:p>
        </w:tc>
        <w:tc>
          <w:tcPr>
            <w:tcW w:w="679" w:type="pct"/>
            <w:vAlign w:val="center"/>
          </w:tcPr>
          <w:p w14:paraId="13F8C9FD" w14:textId="77777777" w:rsidR="003D2FF4" w:rsidRPr="0040534B" w:rsidRDefault="003D2FF4" w:rsidP="00F27A86">
            <w:pPr>
              <w:pStyle w:val="TableText0"/>
              <w:keepNext w:val="0"/>
              <w:jc w:val="center"/>
            </w:pPr>
            <w:r w:rsidRPr="0040534B">
              <w:t>N = 279</w:t>
            </w:r>
          </w:p>
          <w:p w14:paraId="72CC27ED" w14:textId="4A69A5D5" w:rsidR="003D2FF4" w:rsidRPr="0040534B" w:rsidRDefault="003D2FF4" w:rsidP="00F27A86">
            <w:pPr>
              <w:pStyle w:val="TableText0"/>
              <w:keepNext w:val="0"/>
              <w:jc w:val="center"/>
            </w:pPr>
            <w:r w:rsidRPr="0040534B">
              <w:t>-0.6 [0.3]</w:t>
            </w:r>
          </w:p>
        </w:tc>
        <w:tc>
          <w:tcPr>
            <w:tcW w:w="681" w:type="pct"/>
            <w:vAlign w:val="center"/>
          </w:tcPr>
          <w:p w14:paraId="272C2A94" w14:textId="77777777" w:rsidR="003D2FF4" w:rsidRPr="0040534B" w:rsidRDefault="003D2FF4" w:rsidP="00F27A86">
            <w:pPr>
              <w:pStyle w:val="TableText0"/>
              <w:keepNext w:val="0"/>
              <w:jc w:val="center"/>
            </w:pPr>
            <w:r w:rsidRPr="0040534B">
              <w:t>N = 283</w:t>
            </w:r>
          </w:p>
          <w:p w14:paraId="646A28DC" w14:textId="77777777" w:rsidR="003D2FF4" w:rsidRPr="0040534B" w:rsidRDefault="003D2FF4" w:rsidP="00F27A86">
            <w:pPr>
              <w:pStyle w:val="TableText0"/>
              <w:keepNext w:val="0"/>
              <w:jc w:val="center"/>
            </w:pPr>
            <w:r w:rsidRPr="0040534B">
              <w:t>-4.1 (SD: 5.0)</w:t>
            </w:r>
          </w:p>
          <w:p w14:paraId="219A036A" w14:textId="7E46920F" w:rsidR="003D2FF4" w:rsidRPr="0040534B" w:rsidRDefault="003D2FF4" w:rsidP="00F27A86">
            <w:pPr>
              <w:pStyle w:val="TableText0"/>
              <w:keepNext w:val="0"/>
              <w:jc w:val="center"/>
            </w:pPr>
            <w:r w:rsidRPr="0040534B">
              <w:t xml:space="preserve"> [0.3]</w:t>
            </w:r>
          </w:p>
        </w:tc>
        <w:tc>
          <w:tcPr>
            <w:tcW w:w="921" w:type="pct"/>
            <w:shd w:val="clear" w:color="auto" w:fill="auto"/>
            <w:vAlign w:val="center"/>
          </w:tcPr>
          <w:p w14:paraId="2C81BAB2" w14:textId="233DDB05" w:rsidR="003D2FF4" w:rsidRPr="0040534B" w:rsidRDefault="003D2FF4" w:rsidP="00F27A86">
            <w:pPr>
              <w:pStyle w:val="TableText0"/>
              <w:keepNext w:val="0"/>
              <w:jc w:val="center"/>
              <w:rPr>
                <w:b/>
                <w:bCs w:val="0"/>
              </w:rPr>
            </w:pPr>
            <w:r w:rsidRPr="0040534B">
              <w:rPr>
                <w:b/>
                <w:bCs w:val="0"/>
              </w:rPr>
              <w:t>-3.50 (-4.33, -2.67)</w:t>
            </w:r>
          </w:p>
        </w:tc>
      </w:tr>
      <w:tr w:rsidR="003D2FF4" w:rsidRPr="0040534B" w14:paraId="145B1253" w14:textId="77777777" w:rsidTr="00B434C6">
        <w:trPr>
          <w:jc w:val="center"/>
        </w:trPr>
        <w:tc>
          <w:tcPr>
            <w:tcW w:w="938" w:type="pct"/>
            <w:vAlign w:val="center"/>
          </w:tcPr>
          <w:p w14:paraId="54B51CB9" w14:textId="77777777" w:rsidR="003D2FF4" w:rsidRPr="0040534B" w:rsidRDefault="003D2FF4" w:rsidP="00F27A86">
            <w:pPr>
              <w:pStyle w:val="TableText0"/>
              <w:keepNext w:val="0"/>
            </w:pPr>
            <w:r w:rsidRPr="0040534B">
              <w:t>NCT03303079</w:t>
            </w:r>
          </w:p>
        </w:tc>
        <w:tc>
          <w:tcPr>
            <w:tcW w:w="1101" w:type="pct"/>
            <w:vAlign w:val="center"/>
          </w:tcPr>
          <w:p w14:paraId="431BD1A1" w14:textId="0B2CAA3A" w:rsidR="003D2FF4" w:rsidRPr="0040534B" w:rsidRDefault="003D2FF4" w:rsidP="00F27A86">
            <w:pPr>
              <w:pStyle w:val="TableText0"/>
              <w:keepNext w:val="0"/>
            </w:pPr>
            <w:r w:rsidRPr="0040534B">
              <w:t>FREM 225</w:t>
            </w:r>
            <w:r w:rsidR="006F04A7" w:rsidRPr="0040534B">
              <w:t xml:space="preserve"> </w:t>
            </w:r>
            <w:r w:rsidRPr="0040534B">
              <w:t>mg vs. PBO</w:t>
            </w:r>
          </w:p>
        </w:tc>
        <w:tc>
          <w:tcPr>
            <w:tcW w:w="679" w:type="pct"/>
            <w:vAlign w:val="center"/>
          </w:tcPr>
          <w:p w14:paraId="1D45E0F6" w14:textId="77777777" w:rsidR="003D2FF4" w:rsidRPr="0040534B" w:rsidRDefault="003D2FF4" w:rsidP="00F27A86">
            <w:pPr>
              <w:pStyle w:val="TableText0"/>
              <w:keepNext w:val="0"/>
              <w:jc w:val="center"/>
            </w:pPr>
            <w:r w:rsidRPr="0040534B">
              <w:t>-</w:t>
            </w:r>
          </w:p>
        </w:tc>
        <w:tc>
          <w:tcPr>
            <w:tcW w:w="679" w:type="pct"/>
            <w:vAlign w:val="center"/>
          </w:tcPr>
          <w:p w14:paraId="2D99B763" w14:textId="77777777" w:rsidR="003D2FF4" w:rsidRPr="0040534B" w:rsidRDefault="003D2FF4" w:rsidP="00F27A86">
            <w:pPr>
              <w:pStyle w:val="TableText0"/>
              <w:keepNext w:val="0"/>
              <w:jc w:val="center"/>
            </w:pPr>
            <w:r w:rsidRPr="0040534B">
              <w:t>N = 190</w:t>
            </w:r>
          </w:p>
          <w:p w14:paraId="7D1D24E2" w14:textId="77777777" w:rsidR="003D2FF4" w:rsidRPr="0040534B" w:rsidRDefault="003D2FF4" w:rsidP="00F27A86">
            <w:pPr>
              <w:pStyle w:val="TableText0"/>
              <w:keepNext w:val="0"/>
              <w:jc w:val="center"/>
            </w:pPr>
            <w:r w:rsidRPr="0040534B">
              <w:t>-2.4 [0.4]</w:t>
            </w:r>
          </w:p>
          <w:p w14:paraId="0BCB0920" w14:textId="745E4EAB" w:rsidR="003D2FF4" w:rsidRPr="0040534B" w:rsidRDefault="003D2FF4" w:rsidP="00F27A86">
            <w:pPr>
              <w:pStyle w:val="TableText0"/>
              <w:keepNext w:val="0"/>
              <w:jc w:val="center"/>
            </w:pPr>
            <w:r w:rsidRPr="0040534B">
              <w:t>-2.8 [0.5]</w:t>
            </w:r>
            <w:r w:rsidRPr="0040534B">
              <w:rPr>
                <w:b/>
                <w:bCs w:val="0"/>
                <w:vertAlign w:val="superscript"/>
              </w:rPr>
              <w:t xml:space="preserve"> </w:t>
            </w:r>
            <w:r w:rsidR="00950E8B" w:rsidRPr="0040534B">
              <w:rPr>
                <w:b/>
                <w:bCs w:val="0"/>
                <w:vertAlign w:val="superscript"/>
              </w:rPr>
              <w:t>c</w:t>
            </w:r>
          </w:p>
        </w:tc>
        <w:tc>
          <w:tcPr>
            <w:tcW w:w="681" w:type="pct"/>
            <w:vAlign w:val="center"/>
          </w:tcPr>
          <w:p w14:paraId="7C702179" w14:textId="77777777" w:rsidR="003D2FF4" w:rsidRPr="0040534B" w:rsidRDefault="003D2FF4" w:rsidP="00F27A86">
            <w:pPr>
              <w:pStyle w:val="TableText0"/>
              <w:keepNext w:val="0"/>
              <w:jc w:val="center"/>
            </w:pPr>
            <w:r w:rsidRPr="0040534B">
              <w:t>N = 187</w:t>
            </w:r>
          </w:p>
          <w:p w14:paraId="74C1169D" w14:textId="77777777" w:rsidR="003D2FF4" w:rsidRPr="0040534B" w:rsidRDefault="003D2FF4" w:rsidP="00F27A86">
            <w:pPr>
              <w:pStyle w:val="TableText0"/>
              <w:keepNext w:val="0"/>
              <w:jc w:val="center"/>
            </w:pPr>
            <w:r w:rsidRPr="0040534B">
              <w:t>-4.1 (SD: 5.5)</w:t>
            </w:r>
          </w:p>
          <w:p w14:paraId="679173E9" w14:textId="60FCF4D3" w:rsidR="003D2FF4" w:rsidRPr="0040534B" w:rsidRDefault="003D2FF4" w:rsidP="00F27A86">
            <w:pPr>
              <w:pStyle w:val="TableText0"/>
              <w:keepNext w:val="0"/>
              <w:jc w:val="center"/>
            </w:pPr>
            <w:r w:rsidRPr="0040534B">
              <w:t>-4.9 [0.5]</w:t>
            </w:r>
            <w:r w:rsidRPr="0040534B">
              <w:rPr>
                <w:b/>
                <w:bCs w:val="0"/>
                <w:vertAlign w:val="superscript"/>
              </w:rPr>
              <w:t xml:space="preserve"> </w:t>
            </w:r>
            <w:r w:rsidR="00950E8B" w:rsidRPr="0040534B">
              <w:rPr>
                <w:b/>
                <w:bCs w:val="0"/>
                <w:vertAlign w:val="superscript"/>
              </w:rPr>
              <w:t>c</w:t>
            </w:r>
          </w:p>
        </w:tc>
        <w:tc>
          <w:tcPr>
            <w:tcW w:w="921" w:type="pct"/>
            <w:tcBorders>
              <w:bottom w:val="single" w:sz="4" w:space="0" w:color="auto"/>
            </w:tcBorders>
            <w:shd w:val="clear" w:color="auto" w:fill="auto"/>
            <w:vAlign w:val="center"/>
          </w:tcPr>
          <w:p w14:paraId="0F63720D" w14:textId="77777777" w:rsidR="003D2FF4" w:rsidRPr="0040534B" w:rsidRDefault="003D2FF4" w:rsidP="00F27A86">
            <w:pPr>
              <w:pStyle w:val="TableText0"/>
              <w:keepNext w:val="0"/>
              <w:jc w:val="center"/>
              <w:rPr>
                <w:b/>
                <w:bCs w:val="0"/>
              </w:rPr>
            </w:pPr>
            <w:r w:rsidRPr="0040534B">
              <w:rPr>
                <w:b/>
                <w:bCs w:val="0"/>
              </w:rPr>
              <w:t>-1.70 (-2.81, -0.59)</w:t>
            </w:r>
          </w:p>
          <w:p w14:paraId="521896B9" w14:textId="50904A48" w:rsidR="003D2FF4" w:rsidRPr="0040534B" w:rsidRDefault="003D2FF4" w:rsidP="00F27A86">
            <w:pPr>
              <w:pStyle w:val="TableText0"/>
              <w:keepNext w:val="0"/>
              <w:jc w:val="center"/>
              <w:rPr>
                <w:b/>
                <w:bCs w:val="0"/>
              </w:rPr>
            </w:pPr>
            <w:r w:rsidRPr="0040534B">
              <w:rPr>
                <w:b/>
                <w:bCs w:val="0"/>
              </w:rPr>
              <w:t>-</w:t>
            </w:r>
            <w:r w:rsidR="008B5A08" w:rsidRPr="0040534B">
              <w:rPr>
                <w:b/>
                <w:bCs w:val="0"/>
              </w:rPr>
              <w:t>2.1</w:t>
            </w:r>
            <w:r w:rsidRPr="0040534B">
              <w:rPr>
                <w:b/>
                <w:bCs w:val="0"/>
              </w:rPr>
              <w:t xml:space="preserve"> (-</w:t>
            </w:r>
            <w:r w:rsidR="008B5A08" w:rsidRPr="0040534B">
              <w:rPr>
                <w:b/>
                <w:bCs w:val="0"/>
              </w:rPr>
              <w:t>3.48</w:t>
            </w:r>
            <w:r w:rsidRPr="0040534B">
              <w:rPr>
                <w:b/>
                <w:bCs w:val="0"/>
              </w:rPr>
              <w:t>, -0.</w:t>
            </w:r>
            <w:r w:rsidR="008B5A08" w:rsidRPr="0040534B">
              <w:rPr>
                <w:b/>
                <w:bCs w:val="0"/>
              </w:rPr>
              <w:t>72</w:t>
            </w:r>
            <w:r w:rsidRPr="0040534B">
              <w:rPr>
                <w:b/>
                <w:bCs w:val="0"/>
              </w:rPr>
              <w:t>)</w:t>
            </w:r>
            <w:r w:rsidR="00950E8B" w:rsidRPr="0040534B">
              <w:rPr>
                <w:b/>
                <w:bCs w:val="0"/>
                <w:vertAlign w:val="superscript"/>
              </w:rPr>
              <w:t>c</w:t>
            </w:r>
          </w:p>
        </w:tc>
      </w:tr>
      <w:tr w:rsidR="003D2FF4" w:rsidRPr="0040534B" w14:paraId="1AB75AC5" w14:textId="77777777" w:rsidTr="007E3A95">
        <w:trPr>
          <w:jc w:val="center"/>
        </w:trPr>
        <w:tc>
          <w:tcPr>
            <w:tcW w:w="4079" w:type="pct"/>
            <w:gridSpan w:val="5"/>
            <w:tcBorders>
              <w:bottom w:val="single" w:sz="4" w:space="0" w:color="auto"/>
            </w:tcBorders>
          </w:tcPr>
          <w:p w14:paraId="538BD370" w14:textId="55B37DA0" w:rsidR="003D2FF4" w:rsidRPr="0040534B" w:rsidRDefault="003D2FF4" w:rsidP="00F27A86">
            <w:pPr>
              <w:pStyle w:val="TableText0"/>
              <w:keepNext w:val="0"/>
              <w:rPr>
                <w:b/>
                <w:bCs w:val="0"/>
              </w:rPr>
            </w:pPr>
            <w:r w:rsidRPr="0040534B">
              <w:t>Pooled fremanezumab (</w:t>
            </w:r>
            <w:r w:rsidRPr="0040534B">
              <w:rPr>
                <w:b/>
                <w:bCs w:val="0"/>
              </w:rPr>
              <w:t>I</w:t>
            </w:r>
            <w:r w:rsidRPr="0040534B">
              <w:rPr>
                <w:b/>
                <w:bCs w:val="0"/>
                <w:vertAlign w:val="superscript"/>
              </w:rPr>
              <w:t xml:space="preserve">2 </w:t>
            </w:r>
            <w:r w:rsidRPr="0040534B">
              <w:rPr>
                <w:b/>
                <w:bCs w:val="0"/>
              </w:rPr>
              <w:t>= 78%; p = 0.01)</w:t>
            </w:r>
          </w:p>
        </w:tc>
        <w:tc>
          <w:tcPr>
            <w:tcW w:w="921" w:type="pct"/>
            <w:tcBorders>
              <w:bottom w:val="single" w:sz="4" w:space="0" w:color="auto"/>
            </w:tcBorders>
            <w:shd w:val="clear" w:color="auto" w:fill="auto"/>
            <w:vAlign w:val="center"/>
          </w:tcPr>
          <w:p w14:paraId="363B4448" w14:textId="77777777" w:rsidR="003D2FF4" w:rsidRPr="0040534B" w:rsidRDefault="003D2FF4" w:rsidP="00F27A86">
            <w:pPr>
              <w:pStyle w:val="TableText0"/>
              <w:keepNext w:val="0"/>
              <w:jc w:val="center"/>
              <w:rPr>
                <w:b/>
                <w:bCs w:val="0"/>
              </w:rPr>
            </w:pPr>
            <w:r w:rsidRPr="0040534B">
              <w:rPr>
                <w:b/>
                <w:bCs w:val="0"/>
              </w:rPr>
              <w:t>-2.38 (-3.62, -1.14)</w:t>
            </w:r>
          </w:p>
        </w:tc>
      </w:tr>
      <w:tr w:rsidR="003D2FF4" w:rsidRPr="0040534B" w14:paraId="1109DF8A" w14:textId="77777777" w:rsidTr="007E3A95">
        <w:trPr>
          <w:jc w:val="center"/>
        </w:trPr>
        <w:tc>
          <w:tcPr>
            <w:tcW w:w="4079" w:type="pct"/>
            <w:gridSpan w:val="5"/>
            <w:tcBorders>
              <w:bottom w:val="single" w:sz="12" w:space="0" w:color="auto"/>
            </w:tcBorders>
          </w:tcPr>
          <w:p w14:paraId="3E2E350B" w14:textId="0A82ADD3" w:rsidR="003D2FF4" w:rsidRPr="0040534B" w:rsidRDefault="003D2FF4" w:rsidP="00F27A86">
            <w:pPr>
              <w:pStyle w:val="TableText0"/>
              <w:keepNext w:val="0"/>
            </w:pPr>
            <w:r w:rsidRPr="0040534B">
              <w:t>Pooled fremanezumab (excluding FOCUS</w:t>
            </w:r>
            <w:r w:rsidR="004F6141" w:rsidRPr="0040534B">
              <w:t xml:space="preserve"> due to heterogeneity</w:t>
            </w:r>
            <w:r w:rsidRPr="0040534B">
              <w:t>) (I</w:t>
            </w:r>
            <w:r w:rsidRPr="0040534B">
              <w:rPr>
                <w:vertAlign w:val="superscript"/>
              </w:rPr>
              <w:t xml:space="preserve">2 </w:t>
            </w:r>
            <w:r w:rsidRPr="0040534B">
              <w:t>= 0%; p = 0.90)</w:t>
            </w:r>
          </w:p>
        </w:tc>
        <w:tc>
          <w:tcPr>
            <w:tcW w:w="921" w:type="pct"/>
            <w:tcBorders>
              <w:bottom w:val="single" w:sz="12" w:space="0" w:color="auto"/>
            </w:tcBorders>
            <w:shd w:val="clear" w:color="auto" w:fill="auto"/>
            <w:vAlign w:val="center"/>
          </w:tcPr>
          <w:p w14:paraId="0DB5C316" w14:textId="77777777" w:rsidR="003D2FF4" w:rsidRPr="0040534B" w:rsidRDefault="003D2FF4" w:rsidP="00F27A86">
            <w:pPr>
              <w:pStyle w:val="TableText0"/>
              <w:keepNext w:val="0"/>
              <w:jc w:val="center"/>
              <w:rPr>
                <w:b/>
                <w:bCs w:val="0"/>
              </w:rPr>
            </w:pPr>
            <w:r w:rsidRPr="0040534B">
              <w:rPr>
                <w:b/>
                <w:bCs w:val="0"/>
              </w:rPr>
              <w:t>-1.75 (-2.53, -0.97)</w:t>
            </w:r>
          </w:p>
        </w:tc>
      </w:tr>
      <w:tr w:rsidR="003D2FF4" w:rsidRPr="0040534B" w14:paraId="4EE6147A" w14:textId="77777777" w:rsidTr="007E3A95">
        <w:trPr>
          <w:jc w:val="center"/>
        </w:trPr>
        <w:tc>
          <w:tcPr>
            <w:tcW w:w="4079" w:type="pct"/>
            <w:gridSpan w:val="5"/>
            <w:tcBorders>
              <w:top w:val="single" w:sz="12" w:space="0" w:color="auto"/>
            </w:tcBorders>
          </w:tcPr>
          <w:p w14:paraId="42D15B9E" w14:textId="77777777" w:rsidR="003D2FF4" w:rsidRPr="0040534B" w:rsidRDefault="003D2FF4" w:rsidP="00F27A86">
            <w:pPr>
              <w:pStyle w:val="TableText0"/>
              <w:keepNext w:val="0"/>
            </w:pPr>
            <w:r w:rsidRPr="0040534B">
              <w:t>Atogepant vs galcanezumab (95% CI)</w:t>
            </w:r>
          </w:p>
        </w:tc>
        <w:tc>
          <w:tcPr>
            <w:tcW w:w="921" w:type="pct"/>
            <w:tcBorders>
              <w:top w:val="single" w:sz="12" w:space="0" w:color="auto"/>
            </w:tcBorders>
          </w:tcPr>
          <w:p w14:paraId="74B495DC" w14:textId="77777777" w:rsidR="003D2FF4" w:rsidRPr="0040534B" w:rsidRDefault="003D2FF4" w:rsidP="00F27A86">
            <w:pPr>
              <w:pStyle w:val="TableText0"/>
              <w:keepNext w:val="0"/>
              <w:jc w:val="center"/>
              <w:rPr>
                <w:bCs w:val="0"/>
              </w:rPr>
            </w:pPr>
            <w:r w:rsidRPr="0040534B">
              <w:rPr>
                <w:bCs w:val="0"/>
                <w:szCs w:val="20"/>
              </w:rPr>
              <w:t>0.84 (-0.65, 2.33)</w:t>
            </w:r>
          </w:p>
        </w:tc>
      </w:tr>
      <w:tr w:rsidR="003D2FF4" w:rsidRPr="0040534B" w14:paraId="7B77B68A" w14:textId="77777777" w:rsidTr="007E3A95">
        <w:trPr>
          <w:jc w:val="center"/>
        </w:trPr>
        <w:tc>
          <w:tcPr>
            <w:tcW w:w="4079" w:type="pct"/>
            <w:gridSpan w:val="5"/>
            <w:tcBorders>
              <w:bottom w:val="single" w:sz="4" w:space="0" w:color="auto"/>
            </w:tcBorders>
          </w:tcPr>
          <w:p w14:paraId="6BAC7A63" w14:textId="77777777" w:rsidR="003D2FF4" w:rsidRPr="0040534B" w:rsidRDefault="003D2FF4" w:rsidP="00F27A86">
            <w:pPr>
              <w:pStyle w:val="TableText0"/>
              <w:keepNext w:val="0"/>
            </w:pPr>
            <w:r w:rsidRPr="0040534B">
              <w:t>Atogepant vs fremanezumab (95% CI)</w:t>
            </w:r>
          </w:p>
        </w:tc>
        <w:tc>
          <w:tcPr>
            <w:tcW w:w="921" w:type="pct"/>
            <w:tcBorders>
              <w:bottom w:val="single" w:sz="4" w:space="0" w:color="auto"/>
            </w:tcBorders>
          </w:tcPr>
          <w:p w14:paraId="52E021A6" w14:textId="77777777" w:rsidR="003D2FF4" w:rsidRPr="0040534B" w:rsidRDefault="003D2FF4" w:rsidP="00F27A86">
            <w:pPr>
              <w:pStyle w:val="TableText0"/>
              <w:keepNext w:val="0"/>
              <w:jc w:val="center"/>
              <w:rPr>
                <w:bCs w:val="0"/>
              </w:rPr>
            </w:pPr>
            <w:r w:rsidRPr="0040534B">
              <w:rPr>
                <w:bCs w:val="0"/>
                <w:szCs w:val="20"/>
              </w:rPr>
              <w:t>0.55 (-1.13, 2.23)</w:t>
            </w:r>
          </w:p>
        </w:tc>
      </w:tr>
      <w:tr w:rsidR="003D2FF4" w:rsidRPr="0040534B" w14:paraId="5BBAF571" w14:textId="77777777" w:rsidTr="007E3A95">
        <w:trPr>
          <w:jc w:val="center"/>
        </w:trPr>
        <w:tc>
          <w:tcPr>
            <w:tcW w:w="4079" w:type="pct"/>
            <w:gridSpan w:val="5"/>
            <w:tcBorders>
              <w:bottom w:val="double" w:sz="4" w:space="0" w:color="auto"/>
            </w:tcBorders>
          </w:tcPr>
          <w:p w14:paraId="3AA2D926" w14:textId="1AAAE9D2" w:rsidR="003D2FF4" w:rsidRPr="0040534B" w:rsidRDefault="003D2FF4" w:rsidP="00F27A86">
            <w:pPr>
              <w:pStyle w:val="TableText0"/>
              <w:keepNext w:val="0"/>
            </w:pPr>
            <w:r w:rsidRPr="0040534B">
              <w:t>Atogepant vs fremanezumab excluding FOCUS trial</w:t>
            </w:r>
            <w:r w:rsidR="00EC2CF6" w:rsidRPr="0040534B">
              <w:t xml:space="preserve"> due to heterogeneity</w:t>
            </w:r>
            <w:r w:rsidRPr="0040534B">
              <w:t xml:space="preserve"> (95% CI)</w:t>
            </w:r>
          </w:p>
        </w:tc>
        <w:tc>
          <w:tcPr>
            <w:tcW w:w="921" w:type="pct"/>
            <w:tcBorders>
              <w:bottom w:val="double" w:sz="4" w:space="0" w:color="auto"/>
            </w:tcBorders>
          </w:tcPr>
          <w:p w14:paraId="14715AF4" w14:textId="77777777" w:rsidR="003D2FF4" w:rsidRPr="0040534B" w:rsidRDefault="003D2FF4" w:rsidP="00F27A86">
            <w:pPr>
              <w:pStyle w:val="TableText0"/>
              <w:keepNext w:val="0"/>
              <w:jc w:val="center"/>
              <w:rPr>
                <w:bCs w:val="0"/>
              </w:rPr>
            </w:pPr>
            <w:r w:rsidRPr="0040534B">
              <w:rPr>
                <w:bCs w:val="0"/>
                <w:szCs w:val="20"/>
              </w:rPr>
              <w:t>-0.08 (-1.45, 1.29)</w:t>
            </w:r>
          </w:p>
        </w:tc>
      </w:tr>
      <w:tr w:rsidR="00137FD9" w:rsidRPr="0040534B" w14:paraId="2AA3EAF1" w14:textId="77777777" w:rsidTr="00C4570D">
        <w:trPr>
          <w:jc w:val="center"/>
        </w:trPr>
        <w:tc>
          <w:tcPr>
            <w:tcW w:w="5000" w:type="pct"/>
            <w:gridSpan w:val="6"/>
            <w:tcBorders>
              <w:top w:val="double" w:sz="4" w:space="0" w:color="auto"/>
            </w:tcBorders>
          </w:tcPr>
          <w:p w14:paraId="26ABDF58" w14:textId="2E6A2771" w:rsidR="00137FD9" w:rsidRPr="0040534B" w:rsidRDefault="00137FD9" w:rsidP="00F27A86">
            <w:pPr>
              <w:pStyle w:val="TableText0"/>
              <w:keepNext w:val="0"/>
              <w:rPr>
                <w:b/>
                <w:bCs w:val="0"/>
                <w:szCs w:val="20"/>
              </w:rPr>
            </w:pPr>
            <w:r w:rsidRPr="0040534B">
              <w:rPr>
                <w:b/>
                <w:bCs w:val="0"/>
              </w:rPr>
              <w:t>Chronic migraine population/subpopulations only</w:t>
            </w:r>
          </w:p>
        </w:tc>
      </w:tr>
      <w:tr w:rsidR="00137FD9" w:rsidRPr="0040534B" w14:paraId="3F8F4A92" w14:textId="77777777" w:rsidTr="00137FD9">
        <w:trPr>
          <w:jc w:val="center"/>
        </w:trPr>
        <w:tc>
          <w:tcPr>
            <w:tcW w:w="5000" w:type="pct"/>
            <w:gridSpan w:val="6"/>
          </w:tcPr>
          <w:p w14:paraId="1BB9BCDE" w14:textId="45FD4F48" w:rsidR="00137FD9" w:rsidRPr="0040534B" w:rsidRDefault="00137FD9" w:rsidP="00F27A86">
            <w:pPr>
              <w:pStyle w:val="TableText0"/>
              <w:keepNext w:val="0"/>
              <w:rPr>
                <w:b/>
                <w:bCs w:val="0"/>
                <w:szCs w:val="20"/>
              </w:rPr>
            </w:pPr>
            <w:r w:rsidRPr="0040534B">
              <w:rPr>
                <w:b/>
                <w:bCs w:val="0"/>
              </w:rPr>
              <w:t>Atogepant vs placebo</w:t>
            </w:r>
          </w:p>
        </w:tc>
      </w:tr>
      <w:tr w:rsidR="00070774" w:rsidRPr="0040534B" w14:paraId="53188ECC" w14:textId="77777777" w:rsidTr="007E3A95">
        <w:trPr>
          <w:jc w:val="center"/>
        </w:trPr>
        <w:tc>
          <w:tcPr>
            <w:tcW w:w="4079" w:type="pct"/>
            <w:gridSpan w:val="5"/>
            <w:vAlign w:val="center"/>
          </w:tcPr>
          <w:p w14:paraId="72F03F95" w14:textId="09E340BA" w:rsidR="00070774" w:rsidRPr="0040534B" w:rsidRDefault="00070774" w:rsidP="00F27A86">
            <w:pPr>
              <w:pStyle w:val="TableText0"/>
              <w:keepNext w:val="0"/>
            </w:pPr>
            <w:r w:rsidRPr="0040534B">
              <w:t>PROGRESS (same as whole population analysis above)</w:t>
            </w:r>
          </w:p>
        </w:tc>
        <w:tc>
          <w:tcPr>
            <w:tcW w:w="921" w:type="pct"/>
            <w:vAlign w:val="center"/>
          </w:tcPr>
          <w:p w14:paraId="05C43457" w14:textId="58BD82F3" w:rsidR="00070774" w:rsidRPr="0040534B" w:rsidRDefault="00CB56D9" w:rsidP="00F27A86">
            <w:pPr>
              <w:pStyle w:val="TableText0"/>
              <w:keepNext w:val="0"/>
              <w:jc w:val="center"/>
              <w:rPr>
                <w:bCs w:val="0"/>
                <w:szCs w:val="20"/>
              </w:rPr>
            </w:pPr>
            <w:r w:rsidRPr="0040534B">
              <w:rPr>
                <w:b/>
                <w:bCs w:val="0"/>
              </w:rPr>
              <w:t>-1.82 (-2.89, -0.75)</w:t>
            </w:r>
          </w:p>
        </w:tc>
      </w:tr>
      <w:tr w:rsidR="00137FD9" w:rsidRPr="0040534B" w14:paraId="5C1192A2" w14:textId="77777777" w:rsidTr="007E3A95">
        <w:trPr>
          <w:jc w:val="center"/>
        </w:trPr>
        <w:tc>
          <w:tcPr>
            <w:tcW w:w="4079" w:type="pct"/>
            <w:gridSpan w:val="5"/>
          </w:tcPr>
          <w:p w14:paraId="7021D35C" w14:textId="369C98CC" w:rsidR="00137FD9" w:rsidRPr="0040534B" w:rsidRDefault="00137FD9" w:rsidP="00F27A86">
            <w:pPr>
              <w:pStyle w:val="TableText0"/>
              <w:keepNext w:val="0"/>
            </w:pPr>
            <w:r w:rsidRPr="0040534B">
              <w:t>Pooled atogepant (I</w:t>
            </w:r>
            <w:r w:rsidRPr="0040534B">
              <w:rPr>
                <w:vertAlign w:val="superscript"/>
              </w:rPr>
              <w:t xml:space="preserve">2 </w:t>
            </w:r>
            <w:r w:rsidRPr="0040534B">
              <w:t>= N/A; p = N/A)</w:t>
            </w:r>
          </w:p>
        </w:tc>
        <w:tc>
          <w:tcPr>
            <w:tcW w:w="921" w:type="pct"/>
            <w:vAlign w:val="center"/>
          </w:tcPr>
          <w:p w14:paraId="5CB6636F" w14:textId="309E9D0E" w:rsidR="00137FD9" w:rsidRPr="0040534B" w:rsidRDefault="00137FD9" w:rsidP="00F27A86">
            <w:pPr>
              <w:pStyle w:val="TableText0"/>
              <w:keepNext w:val="0"/>
              <w:jc w:val="center"/>
              <w:rPr>
                <w:bCs w:val="0"/>
                <w:szCs w:val="20"/>
              </w:rPr>
            </w:pPr>
            <w:r w:rsidRPr="0040534B">
              <w:rPr>
                <w:b/>
              </w:rPr>
              <w:t>-1.83 (-2.96, -0.70)</w:t>
            </w:r>
          </w:p>
        </w:tc>
      </w:tr>
      <w:tr w:rsidR="00137FD9" w:rsidRPr="0040534B" w14:paraId="6B16861C" w14:textId="77777777" w:rsidTr="00137FD9">
        <w:trPr>
          <w:jc w:val="center"/>
        </w:trPr>
        <w:tc>
          <w:tcPr>
            <w:tcW w:w="5000" w:type="pct"/>
            <w:gridSpan w:val="6"/>
          </w:tcPr>
          <w:p w14:paraId="0BCA4DC7" w14:textId="2C06634B" w:rsidR="00137FD9" w:rsidRPr="0040534B" w:rsidRDefault="00137FD9" w:rsidP="00F27A86">
            <w:pPr>
              <w:pStyle w:val="TableText0"/>
              <w:keepNext w:val="0"/>
              <w:rPr>
                <w:b/>
                <w:szCs w:val="20"/>
              </w:rPr>
            </w:pPr>
            <w:r w:rsidRPr="0040534B">
              <w:rPr>
                <w:b/>
                <w:szCs w:val="20"/>
              </w:rPr>
              <w:t>Galcanezumab vs placebo</w:t>
            </w:r>
          </w:p>
        </w:tc>
      </w:tr>
      <w:tr w:rsidR="00070774" w:rsidRPr="0040534B" w14:paraId="5D999F86" w14:textId="77777777" w:rsidTr="007E3A95">
        <w:trPr>
          <w:jc w:val="center"/>
        </w:trPr>
        <w:tc>
          <w:tcPr>
            <w:tcW w:w="4079" w:type="pct"/>
            <w:gridSpan w:val="5"/>
            <w:vAlign w:val="center"/>
          </w:tcPr>
          <w:p w14:paraId="5623F788" w14:textId="50029403" w:rsidR="00070774" w:rsidRPr="0040534B" w:rsidRDefault="00070774" w:rsidP="00F27A86">
            <w:pPr>
              <w:pStyle w:val="TableText0"/>
              <w:keepNext w:val="0"/>
            </w:pPr>
            <w:r w:rsidRPr="0040534B">
              <w:t>REGAIN (same as whole population analysis above)</w:t>
            </w:r>
          </w:p>
        </w:tc>
        <w:tc>
          <w:tcPr>
            <w:tcW w:w="921" w:type="pct"/>
            <w:vAlign w:val="center"/>
          </w:tcPr>
          <w:p w14:paraId="768B6410" w14:textId="77777777" w:rsidR="00CB56D9" w:rsidRPr="0040534B" w:rsidRDefault="00CB56D9" w:rsidP="00F27A86">
            <w:pPr>
              <w:pStyle w:val="TableText0"/>
              <w:keepNext w:val="0"/>
              <w:jc w:val="center"/>
              <w:rPr>
                <w:b/>
                <w:bCs w:val="0"/>
              </w:rPr>
            </w:pPr>
            <w:r w:rsidRPr="0040534B">
              <w:rPr>
                <w:b/>
                <w:bCs w:val="0"/>
              </w:rPr>
              <w:t>-2.1 (-2.9, -1.3)</w:t>
            </w:r>
          </w:p>
          <w:p w14:paraId="3CDBF6D8" w14:textId="5C8AB49E" w:rsidR="00070774" w:rsidRPr="0040534B" w:rsidRDefault="00CB56D9" w:rsidP="00F27A86">
            <w:pPr>
              <w:pStyle w:val="TableText0"/>
              <w:keepNext w:val="0"/>
              <w:jc w:val="center"/>
              <w:rPr>
                <w:bCs w:val="0"/>
                <w:szCs w:val="20"/>
              </w:rPr>
            </w:pPr>
            <w:r w:rsidRPr="0040534B">
              <w:rPr>
                <w:b/>
              </w:rPr>
              <w:t>-2.10 (-3.21, 0.99)</w:t>
            </w:r>
            <w:r w:rsidRPr="0040534B">
              <w:rPr>
                <w:b/>
                <w:vertAlign w:val="superscript"/>
              </w:rPr>
              <w:t xml:space="preserve"> a</w:t>
            </w:r>
          </w:p>
        </w:tc>
      </w:tr>
      <w:tr w:rsidR="00AA547E" w:rsidRPr="0040534B" w14:paraId="6D853900" w14:textId="77777777" w:rsidTr="00B434C6">
        <w:trPr>
          <w:jc w:val="center"/>
        </w:trPr>
        <w:tc>
          <w:tcPr>
            <w:tcW w:w="938" w:type="pct"/>
            <w:vAlign w:val="center"/>
          </w:tcPr>
          <w:p w14:paraId="19681BA0" w14:textId="77777777" w:rsidR="00AA547E" w:rsidRPr="0040534B" w:rsidRDefault="00AA547E" w:rsidP="00F27A86">
            <w:pPr>
              <w:pStyle w:val="TableText0"/>
              <w:keepNext w:val="0"/>
            </w:pPr>
            <w:r w:rsidRPr="0040534B">
              <w:t xml:space="preserve">CONQUER </w:t>
            </w:r>
          </w:p>
          <w:p w14:paraId="1796674A" w14:textId="5FF80B14" w:rsidR="00AA547E" w:rsidRPr="0040534B" w:rsidRDefault="00AA547E" w:rsidP="00F27A86">
            <w:pPr>
              <w:pStyle w:val="TableText0"/>
              <w:keepNext w:val="0"/>
            </w:pPr>
            <w:r w:rsidRPr="0040534B">
              <w:t>(CM subgroup)</w:t>
            </w:r>
          </w:p>
        </w:tc>
        <w:tc>
          <w:tcPr>
            <w:tcW w:w="1101" w:type="pct"/>
            <w:vAlign w:val="center"/>
          </w:tcPr>
          <w:p w14:paraId="00054120" w14:textId="4B8B3AC7" w:rsidR="00AA547E" w:rsidRPr="0040534B" w:rsidRDefault="00AA547E" w:rsidP="00F27A86">
            <w:pPr>
              <w:pStyle w:val="TableText0"/>
              <w:keepNext w:val="0"/>
            </w:pPr>
            <w:r w:rsidRPr="0040534B">
              <w:t>GAL 120</w:t>
            </w:r>
            <w:r w:rsidR="006F04A7" w:rsidRPr="0040534B">
              <w:t xml:space="preserve"> </w:t>
            </w:r>
            <w:r w:rsidRPr="0040534B">
              <w:t>mg vs. PBO</w:t>
            </w:r>
          </w:p>
        </w:tc>
        <w:tc>
          <w:tcPr>
            <w:tcW w:w="679" w:type="pct"/>
            <w:vAlign w:val="center"/>
          </w:tcPr>
          <w:p w14:paraId="64A027CA" w14:textId="21C87136" w:rsidR="00AA547E" w:rsidRPr="0040534B" w:rsidRDefault="00AA547E" w:rsidP="00F27A86">
            <w:pPr>
              <w:pStyle w:val="TableText0"/>
              <w:keepNext w:val="0"/>
              <w:jc w:val="center"/>
            </w:pPr>
            <w:r w:rsidRPr="0040534B">
              <w:t>-</w:t>
            </w:r>
          </w:p>
        </w:tc>
        <w:tc>
          <w:tcPr>
            <w:tcW w:w="679" w:type="pct"/>
            <w:vAlign w:val="center"/>
          </w:tcPr>
          <w:p w14:paraId="2A2FCF6A" w14:textId="77777777" w:rsidR="00AA547E" w:rsidRPr="0040534B" w:rsidRDefault="00AA547E" w:rsidP="00F27A86">
            <w:pPr>
              <w:pStyle w:val="TableText0"/>
              <w:keepNext w:val="0"/>
              <w:jc w:val="center"/>
            </w:pPr>
            <w:r w:rsidRPr="0040534B">
              <w:t>n = 98</w:t>
            </w:r>
          </w:p>
          <w:p w14:paraId="6F234EF1" w14:textId="0734DB1F" w:rsidR="00AA547E" w:rsidRPr="0040534B" w:rsidRDefault="00AA547E" w:rsidP="00F27A86">
            <w:pPr>
              <w:pStyle w:val="TableText0"/>
              <w:keepNext w:val="0"/>
              <w:jc w:val="center"/>
            </w:pPr>
            <w:r w:rsidRPr="0040534B">
              <w:t>-2.2 (SD: 5.9) [0.6]</w:t>
            </w:r>
          </w:p>
        </w:tc>
        <w:tc>
          <w:tcPr>
            <w:tcW w:w="681" w:type="pct"/>
            <w:vAlign w:val="center"/>
          </w:tcPr>
          <w:p w14:paraId="11C6DDED" w14:textId="77777777" w:rsidR="00AA547E" w:rsidRPr="0040534B" w:rsidRDefault="00AA547E" w:rsidP="00F27A86">
            <w:pPr>
              <w:pStyle w:val="TableText0"/>
              <w:keepNext w:val="0"/>
              <w:jc w:val="center"/>
            </w:pPr>
            <w:r w:rsidRPr="0040534B">
              <w:t>n = 95</w:t>
            </w:r>
          </w:p>
          <w:p w14:paraId="38986418" w14:textId="153C8047" w:rsidR="00AA547E" w:rsidRPr="0040534B" w:rsidRDefault="00AA547E" w:rsidP="00F27A86">
            <w:pPr>
              <w:pStyle w:val="TableText0"/>
              <w:keepNext w:val="0"/>
              <w:jc w:val="center"/>
            </w:pPr>
            <w:r w:rsidRPr="0040534B">
              <w:t>-6 (SD: 6.8) [0.7]</w:t>
            </w:r>
          </w:p>
        </w:tc>
        <w:tc>
          <w:tcPr>
            <w:tcW w:w="921" w:type="pct"/>
            <w:vAlign w:val="center"/>
          </w:tcPr>
          <w:p w14:paraId="4944BFF7" w14:textId="23B66F73" w:rsidR="00AA547E" w:rsidRPr="0040534B" w:rsidRDefault="00AA547E" w:rsidP="00F27A86">
            <w:pPr>
              <w:pStyle w:val="TableText0"/>
              <w:keepNext w:val="0"/>
              <w:jc w:val="center"/>
              <w:rPr>
                <w:bCs w:val="0"/>
                <w:szCs w:val="20"/>
              </w:rPr>
            </w:pPr>
            <w:r w:rsidRPr="0040534B">
              <w:rPr>
                <w:b/>
                <w:bCs w:val="0"/>
              </w:rPr>
              <w:t>-3.80 (-5.61, -1.99)</w:t>
            </w:r>
          </w:p>
        </w:tc>
      </w:tr>
      <w:tr w:rsidR="00AA547E" w:rsidRPr="0040534B" w14:paraId="4BAD666D" w14:textId="77777777" w:rsidTr="007E3A95">
        <w:trPr>
          <w:jc w:val="center"/>
        </w:trPr>
        <w:tc>
          <w:tcPr>
            <w:tcW w:w="4079" w:type="pct"/>
            <w:gridSpan w:val="5"/>
          </w:tcPr>
          <w:p w14:paraId="70FB5565" w14:textId="406A27C5" w:rsidR="00AA547E" w:rsidRPr="0040534B" w:rsidRDefault="00AA547E" w:rsidP="00F27A86">
            <w:pPr>
              <w:pStyle w:val="TableText0"/>
              <w:keepNext w:val="0"/>
            </w:pPr>
            <w:r w:rsidRPr="0040534B">
              <w:t>Pooled galcanezumab CM populations/subpopulations (I</w:t>
            </w:r>
            <w:r w:rsidRPr="0040534B">
              <w:rPr>
                <w:vertAlign w:val="superscript"/>
              </w:rPr>
              <w:t>2</w:t>
            </w:r>
            <w:r w:rsidRPr="0040534B">
              <w:t xml:space="preserve"> = 60%; p = 0.12)</w:t>
            </w:r>
          </w:p>
        </w:tc>
        <w:tc>
          <w:tcPr>
            <w:tcW w:w="921" w:type="pct"/>
          </w:tcPr>
          <w:p w14:paraId="7507EA1E" w14:textId="6481D108" w:rsidR="00AA547E" w:rsidRPr="0040534B" w:rsidRDefault="002B11F4" w:rsidP="00F27A86">
            <w:pPr>
              <w:pStyle w:val="TableText0"/>
              <w:keepNext w:val="0"/>
              <w:jc w:val="center"/>
              <w:rPr>
                <w:b/>
                <w:szCs w:val="20"/>
              </w:rPr>
            </w:pPr>
            <w:r w:rsidRPr="0040534B">
              <w:rPr>
                <w:b/>
                <w:szCs w:val="20"/>
              </w:rPr>
              <w:t>-2.80 (-4.44, -1.16)</w:t>
            </w:r>
          </w:p>
        </w:tc>
      </w:tr>
      <w:tr w:rsidR="00AA547E" w:rsidRPr="0040534B" w14:paraId="199513E4" w14:textId="77777777" w:rsidTr="00070774">
        <w:trPr>
          <w:jc w:val="center"/>
        </w:trPr>
        <w:tc>
          <w:tcPr>
            <w:tcW w:w="5000" w:type="pct"/>
            <w:gridSpan w:val="6"/>
          </w:tcPr>
          <w:p w14:paraId="5A20060D" w14:textId="6019E780" w:rsidR="00AA547E" w:rsidRPr="0040534B" w:rsidRDefault="00AA547E" w:rsidP="00F27A86">
            <w:pPr>
              <w:pStyle w:val="TableText0"/>
              <w:keepNext w:val="0"/>
              <w:rPr>
                <w:b/>
                <w:szCs w:val="20"/>
              </w:rPr>
            </w:pPr>
            <w:r w:rsidRPr="0040534B">
              <w:rPr>
                <w:b/>
                <w:szCs w:val="20"/>
              </w:rPr>
              <w:t>Fremanezumab vs placebo</w:t>
            </w:r>
          </w:p>
        </w:tc>
      </w:tr>
      <w:tr w:rsidR="00AA547E" w:rsidRPr="0040534B" w14:paraId="2C880340" w14:textId="77777777" w:rsidTr="007E3A95">
        <w:trPr>
          <w:jc w:val="center"/>
        </w:trPr>
        <w:tc>
          <w:tcPr>
            <w:tcW w:w="4079" w:type="pct"/>
            <w:gridSpan w:val="5"/>
            <w:vAlign w:val="center"/>
          </w:tcPr>
          <w:p w14:paraId="746D246E" w14:textId="0BC6C445" w:rsidR="00AA547E" w:rsidRPr="0040534B" w:rsidRDefault="00AA547E" w:rsidP="00F27A86">
            <w:pPr>
              <w:pStyle w:val="TableText0"/>
              <w:keepNext w:val="0"/>
            </w:pPr>
            <w:r w:rsidRPr="0040534B">
              <w:t>HALO-CM (same as whole population analysis above)</w:t>
            </w:r>
          </w:p>
        </w:tc>
        <w:tc>
          <w:tcPr>
            <w:tcW w:w="921" w:type="pct"/>
            <w:vAlign w:val="center"/>
          </w:tcPr>
          <w:p w14:paraId="1A1B8347" w14:textId="0851D8F9" w:rsidR="00AA547E" w:rsidRPr="0040534B" w:rsidRDefault="00CB56D9" w:rsidP="00F27A86">
            <w:pPr>
              <w:pStyle w:val="TableText0"/>
              <w:keepNext w:val="0"/>
              <w:jc w:val="center"/>
              <w:rPr>
                <w:bCs w:val="0"/>
                <w:szCs w:val="20"/>
              </w:rPr>
            </w:pPr>
            <w:r w:rsidRPr="0040534B">
              <w:rPr>
                <w:b/>
                <w:bCs w:val="0"/>
              </w:rPr>
              <w:t>-1.80 (-2.91, -0.69)</w:t>
            </w:r>
          </w:p>
        </w:tc>
      </w:tr>
      <w:tr w:rsidR="002B11F4" w:rsidRPr="0040534B" w14:paraId="2BDABE74" w14:textId="77777777" w:rsidTr="00B434C6">
        <w:trPr>
          <w:jc w:val="center"/>
        </w:trPr>
        <w:tc>
          <w:tcPr>
            <w:tcW w:w="938" w:type="pct"/>
          </w:tcPr>
          <w:p w14:paraId="3B1DF1A4" w14:textId="77777777" w:rsidR="002B11F4" w:rsidRPr="0040534B" w:rsidRDefault="002B11F4" w:rsidP="00F27A86">
            <w:pPr>
              <w:pStyle w:val="TableText0"/>
              <w:keepNext w:val="0"/>
            </w:pPr>
            <w:r w:rsidRPr="0040534B">
              <w:t xml:space="preserve">FOCUS </w:t>
            </w:r>
          </w:p>
          <w:p w14:paraId="3042FCA7" w14:textId="468992B4" w:rsidR="002B11F4" w:rsidRPr="0040534B" w:rsidRDefault="002B11F4" w:rsidP="00F27A86">
            <w:pPr>
              <w:pStyle w:val="TableText0"/>
              <w:keepNext w:val="0"/>
            </w:pPr>
            <w:r w:rsidRPr="0040534B">
              <w:t>(CM subgroup)</w:t>
            </w:r>
          </w:p>
        </w:tc>
        <w:tc>
          <w:tcPr>
            <w:tcW w:w="1101" w:type="pct"/>
            <w:vAlign w:val="center"/>
          </w:tcPr>
          <w:p w14:paraId="14E35701" w14:textId="375AB79D" w:rsidR="002B11F4" w:rsidRPr="0040534B" w:rsidRDefault="002B11F4" w:rsidP="00F27A86">
            <w:pPr>
              <w:pStyle w:val="TableText0"/>
              <w:keepNext w:val="0"/>
            </w:pPr>
            <w:r w:rsidRPr="0040534B">
              <w:t>FREM 225</w:t>
            </w:r>
            <w:r w:rsidR="006F04A7" w:rsidRPr="0040534B">
              <w:t xml:space="preserve"> </w:t>
            </w:r>
            <w:r w:rsidRPr="0040534B">
              <w:t>mg vs. PBO</w:t>
            </w:r>
          </w:p>
        </w:tc>
        <w:tc>
          <w:tcPr>
            <w:tcW w:w="679" w:type="pct"/>
            <w:vAlign w:val="center"/>
          </w:tcPr>
          <w:p w14:paraId="708D8E03" w14:textId="26CBFBCC" w:rsidR="002B11F4" w:rsidRPr="0040534B" w:rsidRDefault="002B11F4" w:rsidP="00F27A86">
            <w:pPr>
              <w:pStyle w:val="TableText0"/>
              <w:keepNext w:val="0"/>
              <w:jc w:val="center"/>
            </w:pPr>
            <w:r w:rsidRPr="0040534B">
              <w:t>-</w:t>
            </w:r>
          </w:p>
        </w:tc>
        <w:tc>
          <w:tcPr>
            <w:tcW w:w="679" w:type="pct"/>
            <w:vAlign w:val="center"/>
          </w:tcPr>
          <w:p w14:paraId="7A877D59" w14:textId="21982DDB" w:rsidR="002B11F4" w:rsidRPr="0040534B" w:rsidRDefault="002B11F4" w:rsidP="00F27A86">
            <w:pPr>
              <w:pStyle w:val="TableText0"/>
              <w:keepNext w:val="0"/>
              <w:jc w:val="center"/>
            </w:pPr>
            <w:r w:rsidRPr="0040534B">
              <w:t>n = 167</w:t>
            </w:r>
          </w:p>
          <w:p w14:paraId="018E0254" w14:textId="46DFAC68" w:rsidR="002B11F4" w:rsidRPr="0040534B" w:rsidRDefault="002B11F4" w:rsidP="00F27A86">
            <w:pPr>
              <w:pStyle w:val="TableText0"/>
              <w:keepNext w:val="0"/>
              <w:jc w:val="center"/>
            </w:pPr>
            <w:r w:rsidRPr="0040534B">
              <w:t>-0.7 (SD: 3.3) [0.3]</w:t>
            </w:r>
          </w:p>
        </w:tc>
        <w:tc>
          <w:tcPr>
            <w:tcW w:w="681" w:type="pct"/>
            <w:vAlign w:val="center"/>
          </w:tcPr>
          <w:p w14:paraId="5B5A39EE" w14:textId="77777777" w:rsidR="002B11F4" w:rsidRPr="0040534B" w:rsidRDefault="002B11F4" w:rsidP="00F27A86">
            <w:pPr>
              <w:pStyle w:val="TableText0"/>
              <w:keepNext w:val="0"/>
              <w:jc w:val="center"/>
            </w:pPr>
            <w:r w:rsidRPr="0040534B">
              <w:t>n = 173</w:t>
            </w:r>
          </w:p>
          <w:p w14:paraId="3FFC0018" w14:textId="1C7FA347" w:rsidR="002B11F4" w:rsidRPr="0040534B" w:rsidRDefault="002B11F4" w:rsidP="00F27A86">
            <w:pPr>
              <w:pStyle w:val="TableText0"/>
              <w:keepNext w:val="0"/>
              <w:jc w:val="center"/>
            </w:pPr>
            <w:r w:rsidRPr="0040534B">
              <w:t>-4.5 (SD: 3) [0.2]</w:t>
            </w:r>
          </w:p>
        </w:tc>
        <w:tc>
          <w:tcPr>
            <w:tcW w:w="921" w:type="pct"/>
            <w:vAlign w:val="center"/>
          </w:tcPr>
          <w:p w14:paraId="419C7FAC" w14:textId="369B212A" w:rsidR="002B11F4" w:rsidRPr="0040534B" w:rsidRDefault="002B11F4" w:rsidP="00F27A86">
            <w:pPr>
              <w:pStyle w:val="TableText0"/>
              <w:keepNext w:val="0"/>
              <w:jc w:val="center"/>
              <w:rPr>
                <w:bCs w:val="0"/>
                <w:szCs w:val="20"/>
              </w:rPr>
            </w:pPr>
            <w:r w:rsidRPr="0040534B">
              <w:rPr>
                <w:b/>
                <w:bCs w:val="0"/>
              </w:rPr>
              <w:t>-3.80 (-4.47, -3.13)</w:t>
            </w:r>
          </w:p>
        </w:tc>
      </w:tr>
      <w:tr w:rsidR="002B11F4" w:rsidRPr="0040534B" w14:paraId="0885435D" w14:textId="77777777" w:rsidTr="007E3A95">
        <w:trPr>
          <w:jc w:val="center"/>
        </w:trPr>
        <w:tc>
          <w:tcPr>
            <w:tcW w:w="4079" w:type="pct"/>
            <w:gridSpan w:val="5"/>
            <w:vAlign w:val="center"/>
          </w:tcPr>
          <w:p w14:paraId="4CD7A118" w14:textId="7F1975FD" w:rsidR="002B11F4" w:rsidRPr="0040534B" w:rsidRDefault="002B11F4" w:rsidP="00F27A86">
            <w:pPr>
              <w:pStyle w:val="TableText0"/>
              <w:keepNext w:val="0"/>
            </w:pPr>
            <w:r w:rsidRPr="0040534B">
              <w:t>NCT03303079 (same as whole population analysis above)</w:t>
            </w:r>
          </w:p>
        </w:tc>
        <w:tc>
          <w:tcPr>
            <w:tcW w:w="921" w:type="pct"/>
            <w:vAlign w:val="center"/>
          </w:tcPr>
          <w:p w14:paraId="55F34DBA" w14:textId="77777777" w:rsidR="00B434C6" w:rsidRPr="0040534B" w:rsidRDefault="00B434C6" w:rsidP="00F27A86">
            <w:pPr>
              <w:pStyle w:val="TableText0"/>
              <w:keepNext w:val="0"/>
              <w:jc w:val="center"/>
              <w:rPr>
                <w:b/>
                <w:bCs w:val="0"/>
              </w:rPr>
            </w:pPr>
            <w:r w:rsidRPr="0040534B">
              <w:rPr>
                <w:b/>
                <w:bCs w:val="0"/>
              </w:rPr>
              <w:t>-1.70 (-2.81, -0.59)</w:t>
            </w:r>
          </w:p>
          <w:p w14:paraId="074BF867" w14:textId="71F9BE9F" w:rsidR="002B11F4" w:rsidRPr="0040534B" w:rsidRDefault="00B434C6" w:rsidP="00F27A86">
            <w:pPr>
              <w:pStyle w:val="TableText0"/>
              <w:keepNext w:val="0"/>
              <w:jc w:val="center"/>
              <w:rPr>
                <w:bCs w:val="0"/>
                <w:szCs w:val="20"/>
              </w:rPr>
            </w:pPr>
            <w:r w:rsidRPr="0040534B">
              <w:rPr>
                <w:b/>
                <w:bCs w:val="0"/>
              </w:rPr>
              <w:t>-2.1 (-3.48, -0.72)</w:t>
            </w:r>
            <w:r w:rsidRPr="0040534B">
              <w:rPr>
                <w:b/>
                <w:bCs w:val="0"/>
                <w:vertAlign w:val="superscript"/>
              </w:rPr>
              <w:t>c</w:t>
            </w:r>
          </w:p>
        </w:tc>
      </w:tr>
      <w:tr w:rsidR="002B11F4" w:rsidRPr="0040534B" w14:paraId="180B2A45" w14:textId="77777777" w:rsidTr="007E3A95">
        <w:trPr>
          <w:jc w:val="center"/>
        </w:trPr>
        <w:tc>
          <w:tcPr>
            <w:tcW w:w="4079" w:type="pct"/>
            <w:gridSpan w:val="5"/>
            <w:tcBorders>
              <w:bottom w:val="single" w:sz="4" w:space="0" w:color="auto"/>
            </w:tcBorders>
          </w:tcPr>
          <w:p w14:paraId="59AC02C2" w14:textId="13218E0C" w:rsidR="002B11F4" w:rsidRPr="0040534B" w:rsidRDefault="002B11F4" w:rsidP="00F27A86">
            <w:pPr>
              <w:pStyle w:val="TableText0"/>
              <w:keepNext w:val="0"/>
            </w:pPr>
            <w:r w:rsidRPr="0040534B">
              <w:t>Pooled fremanezumab CM populations/subpopulations (I</w:t>
            </w:r>
            <w:r w:rsidRPr="0040534B">
              <w:rPr>
                <w:vertAlign w:val="superscript"/>
              </w:rPr>
              <w:t xml:space="preserve">2 </w:t>
            </w:r>
            <w:r w:rsidRPr="0040534B">
              <w:t>= 87%; p = 0.0005)</w:t>
            </w:r>
          </w:p>
        </w:tc>
        <w:tc>
          <w:tcPr>
            <w:tcW w:w="921" w:type="pct"/>
            <w:tcBorders>
              <w:bottom w:val="single" w:sz="4" w:space="0" w:color="auto"/>
            </w:tcBorders>
            <w:vAlign w:val="center"/>
          </w:tcPr>
          <w:p w14:paraId="36F2B4B4" w14:textId="49114708" w:rsidR="002B11F4" w:rsidRPr="0040534B" w:rsidRDefault="00C4570D" w:rsidP="00F27A86">
            <w:pPr>
              <w:pStyle w:val="TableText0"/>
              <w:keepNext w:val="0"/>
              <w:jc w:val="center"/>
              <w:rPr>
                <w:b/>
                <w:szCs w:val="20"/>
              </w:rPr>
            </w:pPr>
            <w:r w:rsidRPr="0040534B">
              <w:rPr>
                <w:b/>
                <w:szCs w:val="20"/>
              </w:rPr>
              <w:t>-2.49 (-4.00, -0.97)</w:t>
            </w:r>
          </w:p>
        </w:tc>
      </w:tr>
      <w:tr w:rsidR="002B11F4" w:rsidRPr="0040534B" w14:paraId="02729650" w14:textId="77777777" w:rsidTr="007E3A95">
        <w:trPr>
          <w:jc w:val="center"/>
        </w:trPr>
        <w:tc>
          <w:tcPr>
            <w:tcW w:w="4079" w:type="pct"/>
            <w:gridSpan w:val="5"/>
            <w:tcBorders>
              <w:bottom w:val="single" w:sz="12" w:space="0" w:color="auto"/>
            </w:tcBorders>
          </w:tcPr>
          <w:p w14:paraId="5F439EE1" w14:textId="345BE499" w:rsidR="002B11F4" w:rsidRPr="0040534B" w:rsidRDefault="002B11F4" w:rsidP="00F27A86">
            <w:pPr>
              <w:pStyle w:val="TableText0"/>
              <w:keepNext w:val="0"/>
            </w:pPr>
            <w:r w:rsidRPr="0040534B">
              <w:t>Pooled fremanezumab CM populations/subpopulations (excluding FOCUS due to heterogeneity) (I</w:t>
            </w:r>
            <w:r w:rsidRPr="0040534B">
              <w:rPr>
                <w:vertAlign w:val="superscript"/>
              </w:rPr>
              <w:t xml:space="preserve">2 </w:t>
            </w:r>
            <w:r w:rsidRPr="0040534B">
              <w:t>= 0%; p = 0.90)</w:t>
            </w:r>
          </w:p>
        </w:tc>
        <w:tc>
          <w:tcPr>
            <w:tcW w:w="921" w:type="pct"/>
            <w:tcBorders>
              <w:bottom w:val="single" w:sz="12" w:space="0" w:color="auto"/>
            </w:tcBorders>
            <w:vAlign w:val="center"/>
          </w:tcPr>
          <w:p w14:paraId="40331327" w14:textId="5E363146" w:rsidR="002B11F4" w:rsidRPr="0040534B" w:rsidRDefault="00C4570D" w:rsidP="00F27A86">
            <w:pPr>
              <w:pStyle w:val="TableText0"/>
              <w:keepNext w:val="0"/>
              <w:jc w:val="center"/>
              <w:rPr>
                <w:b/>
                <w:szCs w:val="20"/>
              </w:rPr>
            </w:pPr>
            <w:r w:rsidRPr="0040534B">
              <w:rPr>
                <w:b/>
                <w:szCs w:val="20"/>
              </w:rPr>
              <w:t>-1.75 (-2.53, -0.97)</w:t>
            </w:r>
          </w:p>
        </w:tc>
      </w:tr>
      <w:tr w:rsidR="00C4570D" w:rsidRPr="0040534B" w14:paraId="418DA1DB" w14:textId="77777777" w:rsidTr="007E3A95">
        <w:trPr>
          <w:jc w:val="center"/>
        </w:trPr>
        <w:tc>
          <w:tcPr>
            <w:tcW w:w="4079" w:type="pct"/>
            <w:gridSpan w:val="5"/>
            <w:tcBorders>
              <w:top w:val="single" w:sz="12" w:space="0" w:color="auto"/>
            </w:tcBorders>
          </w:tcPr>
          <w:p w14:paraId="247AB297" w14:textId="555A38E6" w:rsidR="00C4570D" w:rsidRPr="0040534B" w:rsidRDefault="00C4570D" w:rsidP="00F27A86">
            <w:pPr>
              <w:pStyle w:val="TableText0"/>
              <w:keepNext w:val="0"/>
            </w:pPr>
            <w:r w:rsidRPr="0040534B">
              <w:t>Atogepant vs galcanezumab (95% CI)</w:t>
            </w:r>
          </w:p>
        </w:tc>
        <w:tc>
          <w:tcPr>
            <w:tcW w:w="921" w:type="pct"/>
            <w:tcBorders>
              <w:top w:val="single" w:sz="12" w:space="0" w:color="auto"/>
            </w:tcBorders>
          </w:tcPr>
          <w:p w14:paraId="12221BB5" w14:textId="1E6E41CB" w:rsidR="00C4570D" w:rsidRPr="0040534B" w:rsidRDefault="00C4570D" w:rsidP="00F27A86">
            <w:pPr>
              <w:pStyle w:val="TableText0"/>
              <w:keepNext w:val="0"/>
              <w:jc w:val="center"/>
              <w:rPr>
                <w:bCs w:val="0"/>
                <w:szCs w:val="20"/>
              </w:rPr>
            </w:pPr>
            <w:r w:rsidRPr="0040534B">
              <w:rPr>
                <w:bCs w:val="0"/>
                <w:szCs w:val="20"/>
              </w:rPr>
              <w:t>0.97 (-1.02, 2.96)</w:t>
            </w:r>
          </w:p>
        </w:tc>
      </w:tr>
      <w:tr w:rsidR="00C4570D" w:rsidRPr="0040534B" w14:paraId="02BBFC5A" w14:textId="77777777" w:rsidTr="007E3A95">
        <w:trPr>
          <w:jc w:val="center"/>
        </w:trPr>
        <w:tc>
          <w:tcPr>
            <w:tcW w:w="4079" w:type="pct"/>
            <w:gridSpan w:val="5"/>
          </w:tcPr>
          <w:p w14:paraId="345410E3" w14:textId="0145C07A" w:rsidR="00C4570D" w:rsidRPr="0040534B" w:rsidRDefault="00C4570D" w:rsidP="00F27A86">
            <w:pPr>
              <w:pStyle w:val="TableText0"/>
              <w:keepNext w:val="0"/>
            </w:pPr>
            <w:r w:rsidRPr="0040534B">
              <w:t>Atogepant vs fremanezumab (95% CI)</w:t>
            </w:r>
          </w:p>
        </w:tc>
        <w:tc>
          <w:tcPr>
            <w:tcW w:w="921" w:type="pct"/>
          </w:tcPr>
          <w:p w14:paraId="18189940" w14:textId="2D472786" w:rsidR="00C4570D" w:rsidRPr="0040534B" w:rsidRDefault="00C4570D" w:rsidP="00F27A86">
            <w:pPr>
              <w:pStyle w:val="TableText0"/>
              <w:keepNext w:val="0"/>
              <w:jc w:val="center"/>
              <w:rPr>
                <w:bCs w:val="0"/>
                <w:szCs w:val="20"/>
              </w:rPr>
            </w:pPr>
            <w:r w:rsidRPr="0040534B">
              <w:rPr>
                <w:bCs w:val="0"/>
                <w:szCs w:val="20"/>
              </w:rPr>
              <w:t>0.66 (-1.23, 2.55)</w:t>
            </w:r>
          </w:p>
        </w:tc>
      </w:tr>
      <w:tr w:rsidR="00C4570D" w:rsidRPr="0040534B" w14:paraId="34A5C15C" w14:textId="77777777" w:rsidTr="007E3A95">
        <w:trPr>
          <w:jc w:val="center"/>
        </w:trPr>
        <w:tc>
          <w:tcPr>
            <w:tcW w:w="4079" w:type="pct"/>
            <w:gridSpan w:val="5"/>
          </w:tcPr>
          <w:p w14:paraId="6177ECE8" w14:textId="6BF5B187" w:rsidR="00C4570D" w:rsidRPr="0040534B" w:rsidRDefault="00C4570D" w:rsidP="00F27A86">
            <w:pPr>
              <w:pStyle w:val="TableText0"/>
              <w:keepNext w:val="0"/>
            </w:pPr>
            <w:r w:rsidRPr="0040534B">
              <w:lastRenderedPageBreak/>
              <w:t>Atogepant vs fremanezumab excluding FOCUS trial due to heterogeneity (95% CI)</w:t>
            </w:r>
          </w:p>
        </w:tc>
        <w:tc>
          <w:tcPr>
            <w:tcW w:w="921" w:type="pct"/>
          </w:tcPr>
          <w:p w14:paraId="50C8710C" w14:textId="0A7BE023" w:rsidR="00C4570D" w:rsidRPr="0040534B" w:rsidRDefault="00C4570D" w:rsidP="00F27A86">
            <w:pPr>
              <w:pStyle w:val="TableText0"/>
              <w:keepNext w:val="0"/>
              <w:jc w:val="center"/>
              <w:rPr>
                <w:bCs w:val="0"/>
                <w:szCs w:val="20"/>
              </w:rPr>
            </w:pPr>
            <w:r w:rsidRPr="0040534B">
              <w:rPr>
                <w:bCs w:val="0"/>
                <w:szCs w:val="20"/>
              </w:rPr>
              <w:t>-0.08 (-1.45, 1.29)</w:t>
            </w:r>
          </w:p>
        </w:tc>
      </w:tr>
    </w:tbl>
    <w:p w14:paraId="1ABF5680" w14:textId="1444A421" w:rsidR="0027410A" w:rsidRPr="0040534B" w:rsidRDefault="0027410A" w:rsidP="0027410A">
      <w:pPr>
        <w:pStyle w:val="FooterTableFigure"/>
      </w:pPr>
      <w:r w:rsidRPr="0040534B">
        <w:t>Source: Tables 2-20, 2-23</w:t>
      </w:r>
      <w:r w:rsidR="009C264E" w:rsidRPr="0040534B">
        <w:t>,</w:t>
      </w:r>
      <w:r w:rsidRPr="0040534B">
        <w:t xml:space="preserve"> 2-43</w:t>
      </w:r>
      <w:r w:rsidR="009C264E" w:rsidRPr="0040534B">
        <w:t xml:space="preserve"> &amp; 2-47</w:t>
      </w:r>
      <w:r w:rsidRPr="0040534B">
        <w:t>, pp83, 88</w:t>
      </w:r>
      <w:r w:rsidR="009C264E" w:rsidRPr="0040534B">
        <w:t>,</w:t>
      </w:r>
      <w:r w:rsidRPr="0040534B">
        <w:t xml:space="preserve"> 139</w:t>
      </w:r>
      <w:r w:rsidR="009C264E" w:rsidRPr="0040534B">
        <w:t xml:space="preserve"> &amp; 145</w:t>
      </w:r>
      <w:r w:rsidRPr="0040534B">
        <w:t xml:space="preserve"> of the submission, Figures 2-7</w:t>
      </w:r>
      <w:r w:rsidR="009C264E" w:rsidRPr="0040534B">
        <w:t>-2-10</w:t>
      </w:r>
      <w:r w:rsidRPr="0040534B">
        <w:t>, pp120</w:t>
      </w:r>
      <w:r w:rsidR="009C264E" w:rsidRPr="0040534B">
        <w:t>,</w:t>
      </w:r>
      <w:r w:rsidRPr="0040534B">
        <w:t xml:space="preserve"> 122</w:t>
      </w:r>
      <w:r w:rsidR="009C264E" w:rsidRPr="0040534B">
        <w:t>, 123 &amp; 125</w:t>
      </w:r>
      <w:r w:rsidRPr="0040534B">
        <w:t xml:space="preserve"> of the submission.</w:t>
      </w:r>
      <w:r w:rsidRPr="0040534B">
        <w:rPr>
          <w:b/>
        </w:rPr>
        <w:t xml:space="preserve"> Bold </w:t>
      </w:r>
      <w:r w:rsidRPr="0040534B">
        <w:rPr>
          <w:bCs/>
        </w:rPr>
        <w:t>indicates statistically significant results. LSMD from RevMan) added during the evaluation.</w:t>
      </w:r>
    </w:p>
    <w:p w14:paraId="393C376A" w14:textId="2C4F42EF" w:rsidR="00F03CD4" w:rsidRPr="0040534B" w:rsidRDefault="00F03CD4" w:rsidP="00F03CD4">
      <w:pPr>
        <w:pStyle w:val="FooterTableFigure"/>
      </w:pPr>
      <w:r w:rsidRPr="0040534B">
        <w:t xml:space="preserve">CI = confidence interval; </w:t>
      </w:r>
      <w:r w:rsidR="009E17B7" w:rsidRPr="0040534B">
        <w:t xml:space="preserve">CM = chronic migraine; </w:t>
      </w:r>
      <w:r w:rsidRPr="0040534B">
        <w:t xml:space="preserve">FREM = Fremanezumab; GAL = Galcanezumab; LSM = least square mean; LSMD = least square mean difference; PBO = placebo; SD = standard deviation; SE = standard error. </w:t>
      </w:r>
    </w:p>
    <w:p w14:paraId="1819C66F" w14:textId="77777777" w:rsidR="0027410A" w:rsidRPr="0040534B" w:rsidRDefault="0027410A" w:rsidP="0027410A">
      <w:pPr>
        <w:pStyle w:val="FooterTableFigure"/>
      </w:pPr>
      <w:r w:rsidRPr="0040534B">
        <w:rPr>
          <w:vertAlign w:val="superscript"/>
        </w:rPr>
        <w:t>a</w:t>
      </w:r>
      <w:r w:rsidRPr="0040534B">
        <w:t xml:space="preserve"> LSMD calculated in RevMan</w:t>
      </w:r>
    </w:p>
    <w:p w14:paraId="02D4282D" w14:textId="77777777" w:rsidR="00CB56D9" w:rsidRPr="0040534B" w:rsidRDefault="00950E8B" w:rsidP="0027410A">
      <w:pPr>
        <w:pStyle w:val="FooterTableFigure"/>
      </w:pPr>
      <w:r w:rsidRPr="0040534B">
        <w:rPr>
          <w:vertAlign w:val="superscript"/>
        </w:rPr>
        <w:t>b</w:t>
      </w:r>
      <w:r w:rsidRPr="0040534B">
        <w:t xml:space="preserve"> included partici</w:t>
      </w:r>
      <w:r w:rsidR="00D75465" w:rsidRPr="0040534B">
        <w:t>p</w:t>
      </w:r>
      <w:r w:rsidRPr="0040534B">
        <w:t>ants with chronic and episodic migraine.</w:t>
      </w:r>
      <w:r w:rsidR="001A6BAE" w:rsidRPr="0040534B">
        <w:t xml:space="preserve"> </w:t>
      </w:r>
    </w:p>
    <w:p w14:paraId="2FDE4334" w14:textId="342ECF51" w:rsidR="0027410A" w:rsidRPr="0040534B" w:rsidRDefault="00950E8B" w:rsidP="0027410A">
      <w:pPr>
        <w:pStyle w:val="FooterTableFigure"/>
      </w:pPr>
      <w:r w:rsidRPr="0040534B">
        <w:rPr>
          <w:vertAlign w:val="superscript"/>
        </w:rPr>
        <w:t>c</w:t>
      </w:r>
      <w:r w:rsidRPr="0040534B">
        <w:t xml:space="preserve"> </w:t>
      </w:r>
      <w:r w:rsidR="0027410A" w:rsidRPr="0040534B">
        <w:t>Submission presented results for headache days, italicised text presents results for migraine days.</w:t>
      </w:r>
    </w:p>
    <w:p w14:paraId="77B5E4DC" w14:textId="328316A0" w:rsidR="0027410A" w:rsidRPr="0040534B" w:rsidRDefault="0027410A" w:rsidP="00F03CD4">
      <w:pPr>
        <w:pStyle w:val="FooterTableFigure"/>
      </w:pPr>
      <w:r w:rsidRPr="0040534B">
        <w:t xml:space="preserve">Note 1: Deviations in confidence intervals from </w:t>
      </w:r>
      <w:r w:rsidR="00727A77" w:rsidRPr="0040534B">
        <w:fldChar w:fldCharType="begin" w:fldLock="1"/>
      </w:r>
      <w:r w:rsidR="00727A77" w:rsidRPr="0040534B">
        <w:instrText xml:space="preserve"> REF _Ref134031783 \h  \* MERGEFORMAT </w:instrText>
      </w:r>
      <w:r w:rsidR="00727A77" w:rsidRPr="0040534B">
        <w:fldChar w:fldCharType="separate"/>
      </w:r>
      <w:r w:rsidR="004E201F" w:rsidRPr="0040534B">
        <w:t xml:space="preserve">Table </w:t>
      </w:r>
      <w:r w:rsidR="004E201F">
        <w:t>6</w:t>
      </w:r>
      <w:r w:rsidR="00727A77" w:rsidRPr="0040534B">
        <w:fldChar w:fldCharType="end"/>
      </w:r>
      <w:r w:rsidR="00727A77" w:rsidRPr="0040534B">
        <w:t xml:space="preserve"> </w:t>
      </w:r>
      <w:r w:rsidRPr="0040534B">
        <w:t xml:space="preserve">due to </w:t>
      </w:r>
      <w:r w:rsidR="00887237" w:rsidRPr="0040534B">
        <w:t xml:space="preserve">SEs </w:t>
      </w:r>
      <w:r w:rsidRPr="0040534B">
        <w:t>were converted to SDs using SD=SE*Sqrt(N)</w:t>
      </w:r>
    </w:p>
    <w:p w14:paraId="308C972C" w14:textId="4B926C49" w:rsidR="008B5A08" w:rsidRPr="0040534B" w:rsidRDefault="008B5A08" w:rsidP="00F03CD4">
      <w:pPr>
        <w:pStyle w:val="FooterTableFigure"/>
      </w:pPr>
      <w:r w:rsidRPr="0040534B">
        <w:t>Note 2: pooled fremanezumab results and indirect comparisons comparing atogepant to fremanezumab with and without the FOCUS trial use headache days in the NCT03303079 trial, not migraine days.</w:t>
      </w:r>
    </w:p>
    <w:p w14:paraId="5626A85C" w14:textId="43A14EE4" w:rsidR="00F03CD4" w:rsidRPr="0040534B" w:rsidRDefault="00F03CD4" w:rsidP="00E26B41">
      <w:pPr>
        <w:pStyle w:val="3-BodyText"/>
      </w:pPr>
      <w:bookmarkStart w:id="50" w:name="_Ref138064231"/>
      <w:r w:rsidRPr="0040534B">
        <w:t>The indirect comparison results demonstrated no statistical difference between atogepant and galcanezumab or fremanezumab</w:t>
      </w:r>
      <w:r w:rsidR="00F478FB" w:rsidRPr="0040534B">
        <w:t xml:space="preserve"> in terms of the number of mean monthly migraine days in patients with chronic migraine</w:t>
      </w:r>
      <w:r w:rsidRPr="0040534B">
        <w:t xml:space="preserve">. The </w:t>
      </w:r>
      <w:r w:rsidR="00CB56D9" w:rsidRPr="0040534B">
        <w:t xml:space="preserve">ESC noted that the </w:t>
      </w:r>
      <w:r w:rsidRPr="0040534B">
        <w:t xml:space="preserve">point estimates of the indirect comparison results suggest that galcanezumab and fremanezumab resulted in a greater reduction in monthly migraine days than atogepant. The </w:t>
      </w:r>
      <w:r w:rsidR="00CB56D9" w:rsidRPr="0040534B">
        <w:t xml:space="preserve">ESC noted that the </w:t>
      </w:r>
      <w:r w:rsidRPr="0040534B">
        <w:t>upper bound of the 95% confidence interval was greater than the non-inferiority margin of two days in the comparison</w:t>
      </w:r>
      <w:r w:rsidR="00CB56D9" w:rsidRPr="0040534B">
        <w:t>s</w:t>
      </w:r>
      <w:r w:rsidRPr="0040534B">
        <w:t xml:space="preserve"> between atogepant and galcanezumab, suggesting that atogepant was potentially inferior to galcanezumab. </w:t>
      </w:r>
      <w:r w:rsidR="00CB56D9" w:rsidRPr="0040534B">
        <w:t>The non</w:t>
      </w:r>
      <w:r w:rsidRPr="0040534B">
        <w:t xml:space="preserve">-inferiority </w:t>
      </w:r>
      <w:r w:rsidR="00CB56D9" w:rsidRPr="0040534B">
        <w:t xml:space="preserve">margin of 2 days was also exceeded </w:t>
      </w:r>
      <w:r w:rsidRPr="0040534B">
        <w:t xml:space="preserve">for </w:t>
      </w:r>
      <w:r w:rsidR="00CB56D9" w:rsidRPr="0040534B">
        <w:t xml:space="preserve">the comparisons between </w:t>
      </w:r>
      <w:r w:rsidRPr="0040534B">
        <w:t xml:space="preserve">atogepant </w:t>
      </w:r>
      <w:r w:rsidR="00CB56D9" w:rsidRPr="0040534B">
        <w:t xml:space="preserve">and </w:t>
      </w:r>
      <w:r w:rsidRPr="0040534B">
        <w:t>fremanezumab when the FOCUS trial was included in the analys</w:t>
      </w:r>
      <w:r w:rsidR="00AB38D4" w:rsidRPr="0040534B">
        <w:t>e</w:t>
      </w:r>
      <w:r w:rsidRPr="0040534B">
        <w:t>s</w:t>
      </w:r>
      <w:r w:rsidR="00CB56D9" w:rsidRPr="0040534B">
        <w:t>; however,</w:t>
      </w:r>
      <w:r w:rsidRPr="0040534B">
        <w:t xml:space="preserve"> when the FOCUS trial was excluded</w:t>
      </w:r>
      <w:r w:rsidR="00CB56D9" w:rsidRPr="0040534B">
        <w:t xml:space="preserve"> the non-inferiority margin was met</w:t>
      </w:r>
      <w:r w:rsidRPr="0040534B">
        <w:t>.</w:t>
      </w:r>
      <w:r w:rsidR="00E26B41" w:rsidRPr="0040534B">
        <w:t xml:space="preserve"> </w:t>
      </w:r>
      <w:bookmarkStart w:id="51" w:name="_Hlk138061066"/>
      <w:r w:rsidR="00396D9B" w:rsidRPr="0040534B">
        <w:t xml:space="preserve">The ESC noted that of the three fremanezumab trials, it was likely FOCUS was the most applicable to the PBS population (as patients had failed 2 to 4 prior </w:t>
      </w:r>
      <w:r w:rsidR="007B5B63" w:rsidRPr="0040534B">
        <w:t xml:space="preserve">prophylactic </w:t>
      </w:r>
      <w:r w:rsidR="00396D9B" w:rsidRPr="0040534B">
        <w:t>medications) and considered excluding the results for FOCUS from the ITC was not appropriate</w:t>
      </w:r>
      <w:bookmarkEnd w:id="51"/>
      <w:r w:rsidR="00396D9B" w:rsidRPr="0040534B">
        <w:t xml:space="preserve">. Additionally, the ESC noted the indirect comparison used headache days (rather than migraine days) for fremanezumab which would favour atogepant in the ITC. </w:t>
      </w:r>
      <w:r w:rsidR="00E26B41" w:rsidRPr="0040534B">
        <w:t>There was a higher response with placebo in the atogepant trials compared to the galcanezumab and fremanezumab trials, suggesting there could be unobserved differences across the trials reducing transitivity.</w:t>
      </w:r>
      <w:r w:rsidR="00CB56D9" w:rsidRPr="0040534B">
        <w:t xml:space="preserve"> The PSCR stated that the higher placebo rates in the atogepant trials might have biased the results in favour of the comparators, further supporting the claim of non-inferiority. The ESC considered that differences in placebo response would be accounted for as part of the Bucher indirect comparison method.</w:t>
      </w:r>
      <w:bookmarkEnd w:id="50"/>
    </w:p>
    <w:p w14:paraId="2415BCDF" w14:textId="20CC1BAC" w:rsidR="00F03CD4" w:rsidRPr="0040534B" w:rsidRDefault="00B951B8" w:rsidP="00F03CD4">
      <w:pPr>
        <w:pStyle w:val="3-BodyText"/>
      </w:pPr>
      <w:bookmarkStart w:id="52" w:name="_Hlk134441950"/>
      <w:r w:rsidRPr="0040534B">
        <w:t>The PBAC recommended the PBS listing of eptinezumab for the treatment of chronic migraine in patients who have experienced an inadequate response, intolerance or a contraindication to at least three prophylactic migraine medications based on</w:t>
      </w:r>
      <w:r w:rsidR="004F6141" w:rsidRPr="0040534B">
        <w:t xml:space="preserve"> a claim of non-inferiority to galcanezumab and fremanezumab (paragraphs 7.1 and 7.6, eptinezumab PSD, July 2022 PBAC meeting). </w:t>
      </w:r>
      <w:r w:rsidR="00F03CD4" w:rsidRPr="0040534B">
        <w:t xml:space="preserve">The indirect comparisons between eptinezumab and galcanezumab and eptinezumab and fremanezumab focused on the subgroup of participants with chronic migraine with two to four and three or more preventive treatment failures. The atogepant submission stated that the subgroup analyses it presented for participants with two to four treatment failures should be interpreted with caution due to statistical heterogeneity and use of multiple </w:t>
      </w:r>
      <w:r w:rsidR="00F03CD4" w:rsidRPr="0040534B">
        <w:lastRenderedPageBreak/>
        <w:t>subgroups. The atogepant submission did not present a subgroup analysis for participants with three or more treatment failures.</w:t>
      </w:r>
    </w:p>
    <w:p w14:paraId="70FB7C9E" w14:textId="514E619C" w:rsidR="00F03CD4" w:rsidRPr="0040534B" w:rsidRDefault="00F03CD4" w:rsidP="006045A2">
      <w:pPr>
        <w:pStyle w:val="3-BodyText"/>
        <w:numPr>
          <w:ilvl w:val="0"/>
          <w:numId w:val="9"/>
        </w:numPr>
      </w:pPr>
      <w:r w:rsidRPr="0040534B">
        <w:t>The least squares mean difference between eptinezumab and galcanezumab in participants with two to four preventive treatment failures was 0.6 days (95% CI</w:t>
      </w:r>
      <w:r w:rsidR="00CB56D9" w:rsidRPr="0040534B">
        <w:t>:</w:t>
      </w:r>
      <w:r w:rsidRPr="0040534B">
        <w:t xml:space="preserve"> -2.05, 3.25; p = 0.658) (paragraph 6.20, eptinezumab PSD, July 2022 PBAC meeting). For atogepant versus galcanezumab this was 2.33 days (95% CI</w:t>
      </w:r>
      <w:r w:rsidR="00CB56D9" w:rsidRPr="0040534B">
        <w:t>:</w:t>
      </w:r>
      <w:r w:rsidRPr="0040534B">
        <w:t xml:space="preserve"> -0.09, 4.75).</w:t>
      </w:r>
    </w:p>
    <w:p w14:paraId="7AE8AFC8" w14:textId="3F58A25C" w:rsidR="00F03CD4" w:rsidRPr="0040534B" w:rsidRDefault="00F03CD4" w:rsidP="006045A2">
      <w:pPr>
        <w:pStyle w:val="3-BodyText"/>
        <w:numPr>
          <w:ilvl w:val="0"/>
          <w:numId w:val="9"/>
        </w:numPr>
      </w:pPr>
      <w:r w:rsidRPr="0040534B">
        <w:t>The least squares mean difference between eptinezumab and fremanezumab in participants with two to four preventive treatment failures was 0.62 days (95% CI: -1.43, 2.67; p=0.554) (paragraph 6.20, eptinezumab PSD, July 2022 PBAC meeting). For atogepant versus fremanezumab this was 1.91 days (95% CI</w:t>
      </w:r>
      <w:r w:rsidR="00CB56D9" w:rsidRPr="0040534B">
        <w:t>:</w:t>
      </w:r>
      <w:r w:rsidRPr="0040534B">
        <w:t xml:space="preserve"> -0.10, 3.92).</w:t>
      </w:r>
    </w:p>
    <w:bookmarkEnd w:id="52"/>
    <w:p w14:paraId="4BAC8B8F" w14:textId="33FBC760" w:rsidR="00F03CD4" w:rsidRPr="0040534B" w:rsidRDefault="00F03CD4" w:rsidP="00F03CD4">
      <w:pPr>
        <w:pStyle w:val="3-BodyText"/>
      </w:pPr>
      <w:r w:rsidRPr="0040534B">
        <w:fldChar w:fldCharType="begin" w:fldLock="1"/>
      </w:r>
      <w:r w:rsidRPr="0040534B">
        <w:instrText xml:space="preserve"> REF _Ref133584404 \h </w:instrText>
      </w:r>
      <w:r w:rsidR="00653EEA" w:rsidRPr="0040534B">
        <w:instrText xml:space="preserve"> \* MERGEFORMAT </w:instrText>
      </w:r>
      <w:r w:rsidRPr="0040534B">
        <w:fldChar w:fldCharType="separate"/>
      </w:r>
      <w:r w:rsidR="004E201F" w:rsidRPr="0040534B">
        <w:t xml:space="preserve">Table </w:t>
      </w:r>
      <w:r w:rsidR="004E201F">
        <w:t>8</w:t>
      </w:r>
      <w:r w:rsidRPr="0040534B">
        <w:fldChar w:fldCharType="end"/>
      </w:r>
      <w:r w:rsidRPr="0040534B">
        <w:t xml:space="preserve"> presents the indirect comparison results for ≥50% reduction in monthly migraine days </w:t>
      </w:r>
      <w:r w:rsidR="0037685D" w:rsidRPr="0040534B">
        <w:t xml:space="preserve">in </w:t>
      </w:r>
      <w:r w:rsidRPr="0040534B">
        <w:t xml:space="preserve">the whole populations in chronic migraine. </w:t>
      </w:r>
      <w:r w:rsidR="0037685D" w:rsidRPr="0040534B">
        <w:t xml:space="preserve">The submission did not present an indirect comparison for ≥50% reduction in monthly migraine days in the chronic migraine population/subpopulations. </w:t>
      </w:r>
      <w:r w:rsidRPr="0040534B">
        <w:t>This outcome was relied upon for the clinical claim. This outcome also aligns with the proposed continuation criteria.</w:t>
      </w:r>
    </w:p>
    <w:p w14:paraId="0F9D00EB" w14:textId="108CF905" w:rsidR="00F03CD4" w:rsidRPr="0040534B" w:rsidRDefault="00F03CD4" w:rsidP="00F03CD4">
      <w:pPr>
        <w:pStyle w:val="Caption"/>
        <w:rPr>
          <w:rStyle w:val="CommentReference"/>
          <w:b/>
          <w:szCs w:val="24"/>
        </w:rPr>
      </w:pPr>
      <w:bookmarkStart w:id="53" w:name="_Ref133584404"/>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8</w:t>
      </w:r>
      <w:r w:rsidR="001968FD">
        <w:rPr>
          <w:noProof/>
        </w:rPr>
        <w:fldChar w:fldCharType="end"/>
      </w:r>
      <w:bookmarkEnd w:id="53"/>
      <w:r w:rsidRPr="0040534B">
        <w:rPr>
          <w:rStyle w:val="CommentReference"/>
          <w:b/>
          <w:szCs w:val="24"/>
        </w:rPr>
        <w:t>: Summary of results of the indirect comparison for ≥50% reduction in monthly migraine days for the whole populations in chronic migraine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605"/>
        <w:gridCol w:w="1154"/>
        <w:gridCol w:w="1109"/>
        <w:gridCol w:w="1264"/>
        <w:gridCol w:w="1264"/>
        <w:gridCol w:w="1338"/>
      </w:tblGrid>
      <w:tr w:rsidR="0027410A" w:rsidRPr="0040534B" w14:paraId="00A7703E" w14:textId="77777777" w:rsidTr="00C124DD">
        <w:trPr>
          <w:tblHeader/>
        </w:trPr>
        <w:tc>
          <w:tcPr>
            <w:tcW w:w="711" w:type="pct"/>
            <w:vAlign w:val="center"/>
          </w:tcPr>
          <w:p w14:paraId="6897D3D6" w14:textId="77777777" w:rsidR="0027410A" w:rsidRPr="0040534B" w:rsidRDefault="0027410A" w:rsidP="0027410A">
            <w:pPr>
              <w:pStyle w:val="In-tableHeading"/>
              <w:rPr>
                <w:lang w:val="en-AU"/>
              </w:rPr>
            </w:pPr>
            <w:r w:rsidRPr="0040534B">
              <w:rPr>
                <w:lang w:val="en-AU"/>
              </w:rPr>
              <w:t>Trial ID</w:t>
            </w:r>
          </w:p>
        </w:tc>
        <w:tc>
          <w:tcPr>
            <w:tcW w:w="890" w:type="pct"/>
            <w:shd w:val="clear" w:color="auto" w:fill="auto"/>
            <w:vAlign w:val="center"/>
          </w:tcPr>
          <w:p w14:paraId="23A6A398" w14:textId="77777777" w:rsidR="0027410A" w:rsidRPr="0040534B" w:rsidRDefault="0027410A" w:rsidP="002D3A58">
            <w:pPr>
              <w:pStyle w:val="In-tableHeading"/>
              <w:jc w:val="center"/>
              <w:rPr>
                <w:lang w:val="en-AU"/>
              </w:rPr>
            </w:pPr>
            <w:r w:rsidRPr="0040534B">
              <w:rPr>
                <w:lang w:val="en-AU"/>
              </w:rPr>
              <w:t>Treatment arms</w:t>
            </w:r>
          </w:p>
        </w:tc>
        <w:tc>
          <w:tcPr>
            <w:tcW w:w="640" w:type="pct"/>
            <w:shd w:val="clear" w:color="auto" w:fill="auto"/>
            <w:vAlign w:val="center"/>
          </w:tcPr>
          <w:p w14:paraId="4ADEB272" w14:textId="77777777" w:rsidR="0027410A" w:rsidRPr="0040534B" w:rsidRDefault="0027410A" w:rsidP="002D3A58">
            <w:pPr>
              <w:pStyle w:val="In-tableHeading"/>
              <w:jc w:val="center"/>
              <w:rPr>
                <w:lang w:val="en-AU"/>
              </w:rPr>
            </w:pPr>
            <w:r w:rsidRPr="0040534B">
              <w:rPr>
                <w:lang w:val="en-AU"/>
              </w:rPr>
              <w:t>CGRP inhibitor</w:t>
            </w:r>
          </w:p>
          <w:p w14:paraId="5C708A0B" w14:textId="77777777" w:rsidR="0027410A" w:rsidRPr="0040534B" w:rsidRDefault="0027410A" w:rsidP="002D3A58">
            <w:pPr>
              <w:pStyle w:val="In-tableHeading"/>
              <w:jc w:val="center"/>
              <w:rPr>
                <w:lang w:val="en-AU"/>
              </w:rPr>
            </w:pPr>
            <w:r w:rsidRPr="0040534B">
              <w:rPr>
                <w:lang w:val="en-AU"/>
              </w:rPr>
              <w:t>n/N (%)</w:t>
            </w:r>
          </w:p>
        </w:tc>
        <w:tc>
          <w:tcPr>
            <w:tcW w:w="615" w:type="pct"/>
            <w:shd w:val="clear" w:color="auto" w:fill="auto"/>
            <w:vAlign w:val="center"/>
          </w:tcPr>
          <w:p w14:paraId="646C9E89" w14:textId="77777777" w:rsidR="0027410A" w:rsidRPr="0040534B" w:rsidRDefault="0027410A" w:rsidP="002D3A58">
            <w:pPr>
              <w:pStyle w:val="In-tableHeading"/>
              <w:jc w:val="center"/>
              <w:rPr>
                <w:lang w:val="en-AU"/>
              </w:rPr>
            </w:pPr>
            <w:r w:rsidRPr="0040534B">
              <w:rPr>
                <w:lang w:val="en-AU"/>
              </w:rPr>
              <w:t>Placebo</w:t>
            </w:r>
          </w:p>
          <w:p w14:paraId="360AE61B" w14:textId="77777777" w:rsidR="0027410A" w:rsidRPr="0040534B" w:rsidRDefault="0027410A" w:rsidP="002D3A58">
            <w:pPr>
              <w:pStyle w:val="In-tableHeading"/>
              <w:jc w:val="center"/>
              <w:rPr>
                <w:lang w:val="en-AU"/>
              </w:rPr>
            </w:pPr>
            <w:r w:rsidRPr="0040534B">
              <w:rPr>
                <w:lang w:val="en-AU"/>
              </w:rPr>
              <w:t>n /N (%)</w:t>
            </w:r>
          </w:p>
        </w:tc>
        <w:tc>
          <w:tcPr>
            <w:tcW w:w="701" w:type="pct"/>
            <w:vAlign w:val="center"/>
          </w:tcPr>
          <w:p w14:paraId="5B2A68B5" w14:textId="77777777" w:rsidR="0027410A" w:rsidRPr="0040534B" w:rsidRDefault="0027410A" w:rsidP="002D3A58">
            <w:pPr>
              <w:pStyle w:val="In-tableHeading"/>
              <w:jc w:val="center"/>
              <w:rPr>
                <w:lang w:val="en-AU"/>
              </w:rPr>
            </w:pPr>
            <w:r w:rsidRPr="0040534B">
              <w:rPr>
                <w:lang w:val="en-AU"/>
              </w:rPr>
              <w:t>Odds Ratio (95% CI)</w:t>
            </w:r>
          </w:p>
        </w:tc>
        <w:tc>
          <w:tcPr>
            <w:tcW w:w="701" w:type="pct"/>
            <w:vAlign w:val="center"/>
          </w:tcPr>
          <w:p w14:paraId="04FFCBDD" w14:textId="6292082A" w:rsidR="0027410A" w:rsidRPr="0040534B" w:rsidRDefault="0027410A" w:rsidP="002D3A58">
            <w:pPr>
              <w:pStyle w:val="In-tableHeading"/>
              <w:jc w:val="center"/>
              <w:rPr>
                <w:lang w:val="en-AU"/>
              </w:rPr>
            </w:pPr>
            <w:r w:rsidRPr="0040534B">
              <w:rPr>
                <w:lang w:val="en-AU"/>
              </w:rPr>
              <w:t xml:space="preserve">Relative Risk </w:t>
            </w:r>
            <w:r w:rsidR="007B5B63" w:rsidRPr="0040534B">
              <w:rPr>
                <w:lang w:val="en-AU"/>
              </w:rPr>
              <w:br/>
            </w:r>
            <w:r w:rsidRPr="0040534B">
              <w:rPr>
                <w:lang w:val="en-AU"/>
              </w:rPr>
              <w:t>(95% CI)</w:t>
            </w:r>
          </w:p>
        </w:tc>
        <w:tc>
          <w:tcPr>
            <w:tcW w:w="742" w:type="pct"/>
            <w:shd w:val="clear" w:color="auto" w:fill="auto"/>
            <w:vAlign w:val="center"/>
          </w:tcPr>
          <w:p w14:paraId="643C842C" w14:textId="77777777" w:rsidR="0027410A" w:rsidRPr="0040534B" w:rsidRDefault="0027410A" w:rsidP="002D3A58">
            <w:pPr>
              <w:pStyle w:val="In-tableHeading"/>
              <w:jc w:val="center"/>
              <w:rPr>
                <w:lang w:val="en-AU"/>
              </w:rPr>
            </w:pPr>
            <w:r w:rsidRPr="0040534B">
              <w:rPr>
                <w:lang w:val="en-AU"/>
              </w:rPr>
              <w:t>Risk Difference (95% CI)</w:t>
            </w:r>
          </w:p>
        </w:tc>
      </w:tr>
      <w:tr w:rsidR="0027410A" w:rsidRPr="0040534B" w14:paraId="6718C558" w14:textId="77777777" w:rsidTr="00C124DD">
        <w:trPr>
          <w:tblHeader/>
        </w:trPr>
        <w:tc>
          <w:tcPr>
            <w:tcW w:w="5000" w:type="pct"/>
            <w:gridSpan w:val="7"/>
          </w:tcPr>
          <w:p w14:paraId="3289AF59" w14:textId="77777777" w:rsidR="0027410A" w:rsidRPr="0040534B" w:rsidRDefault="0027410A" w:rsidP="002D3A58">
            <w:pPr>
              <w:pStyle w:val="In-tableHeading"/>
              <w:rPr>
                <w:lang w:val="en-AU"/>
              </w:rPr>
            </w:pPr>
            <w:r w:rsidRPr="0040534B">
              <w:rPr>
                <w:lang w:val="en-AU"/>
              </w:rPr>
              <w:t>Atogepant vs placebo</w:t>
            </w:r>
          </w:p>
        </w:tc>
      </w:tr>
      <w:tr w:rsidR="0027410A" w:rsidRPr="0040534B" w14:paraId="4541C797" w14:textId="77777777" w:rsidTr="00C124DD">
        <w:tc>
          <w:tcPr>
            <w:tcW w:w="711" w:type="pct"/>
            <w:vAlign w:val="center"/>
          </w:tcPr>
          <w:p w14:paraId="3C57A868" w14:textId="77777777" w:rsidR="0027410A" w:rsidRPr="0040534B" w:rsidRDefault="0027410A" w:rsidP="002D3A58">
            <w:pPr>
              <w:pStyle w:val="TableText0"/>
            </w:pPr>
            <w:r w:rsidRPr="0040534B">
              <w:t>PROGRESS</w:t>
            </w:r>
          </w:p>
        </w:tc>
        <w:tc>
          <w:tcPr>
            <w:tcW w:w="890" w:type="pct"/>
            <w:shd w:val="clear" w:color="auto" w:fill="auto"/>
            <w:vAlign w:val="center"/>
          </w:tcPr>
          <w:p w14:paraId="09E48171" w14:textId="574A7466" w:rsidR="0027410A" w:rsidRPr="0040534B" w:rsidRDefault="0027410A" w:rsidP="002D3A58">
            <w:pPr>
              <w:pStyle w:val="TableText0"/>
            </w:pPr>
            <w:r w:rsidRPr="0040534B">
              <w:t>ATOG 60</w:t>
            </w:r>
            <w:r w:rsidR="006F04A7" w:rsidRPr="0040534B">
              <w:t xml:space="preserve"> </w:t>
            </w:r>
            <w:r w:rsidRPr="0040534B">
              <w:t>mg vs. PBO</w:t>
            </w:r>
          </w:p>
        </w:tc>
        <w:tc>
          <w:tcPr>
            <w:tcW w:w="640" w:type="pct"/>
          </w:tcPr>
          <w:p w14:paraId="1E466F7F" w14:textId="77777777" w:rsidR="0027410A" w:rsidRPr="0040534B" w:rsidRDefault="0027410A" w:rsidP="002D3A58">
            <w:pPr>
              <w:pStyle w:val="TableText0"/>
              <w:jc w:val="center"/>
            </w:pPr>
            <w:r w:rsidRPr="0040534B">
              <w:t>105/256 (41.0)</w:t>
            </w:r>
          </w:p>
        </w:tc>
        <w:tc>
          <w:tcPr>
            <w:tcW w:w="615" w:type="pct"/>
          </w:tcPr>
          <w:p w14:paraId="0F300B65" w14:textId="77777777" w:rsidR="0027410A" w:rsidRPr="0040534B" w:rsidRDefault="0027410A" w:rsidP="002D3A58">
            <w:pPr>
              <w:pStyle w:val="TableText0"/>
              <w:jc w:val="center"/>
            </w:pPr>
            <w:r w:rsidRPr="0040534B">
              <w:t>64/246 (26.0)</w:t>
            </w:r>
          </w:p>
        </w:tc>
        <w:tc>
          <w:tcPr>
            <w:tcW w:w="701" w:type="pct"/>
          </w:tcPr>
          <w:p w14:paraId="4131D445" w14:textId="77777777" w:rsidR="0027410A" w:rsidRPr="0040534B" w:rsidRDefault="0027410A" w:rsidP="002D3A58">
            <w:pPr>
              <w:pStyle w:val="TableText0"/>
              <w:jc w:val="center"/>
              <w:rPr>
                <w:b/>
                <w:bCs w:val="0"/>
              </w:rPr>
            </w:pPr>
            <w:r w:rsidRPr="0040534B">
              <w:rPr>
                <w:b/>
                <w:bCs w:val="0"/>
              </w:rPr>
              <w:t xml:space="preserve">1.98 </w:t>
            </w:r>
          </w:p>
          <w:p w14:paraId="2FA925D9" w14:textId="77777777" w:rsidR="0027410A" w:rsidRPr="0040534B" w:rsidRDefault="0027410A" w:rsidP="002D3A58">
            <w:pPr>
              <w:pStyle w:val="TableText0"/>
              <w:jc w:val="center"/>
              <w:rPr>
                <w:b/>
                <w:bCs w:val="0"/>
              </w:rPr>
            </w:pPr>
            <w:r w:rsidRPr="0040534B">
              <w:rPr>
                <w:b/>
                <w:bCs w:val="0"/>
              </w:rPr>
              <w:t>(1.35, 2.89)</w:t>
            </w:r>
          </w:p>
        </w:tc>
        <w:tc>
          <w:tcPr>
            <w:tcW w:w="701" w:type="pct"/>
          </w:tcPr>
          <w:p w14:paraId="071DB3F4" w14:textId="77777777" w:rsidR="0027410A" w:rsidRPr="0040534B" w:rsidRDefault="0027410A" w:rsidP="002D3A58">
            <w:pPr>
              <w:pStyle w:val="TableText0"/>
              <w:jc w:val="center"/>
              <w:rPr>
                <w:b/>
                <w:bCs w:val="0"/>
              </w:rPr>
            </w:pPr>
            <w:r w:rsidRPr="0040534B">
              <w:rPr>
                <w:b/>
                <w:bCs w:val="0"/>
              </w:rPr>
              <w:t xml:space="preserve">1.58 </w:t>
            </w:r>
          </w:p>
          <w:p w14:paraId="198D3B02" w14:textId="77777777" w:rsidR="0027410A" w:rsidRPr="0040534B" w:rsidRDefault="0027410A" w:rsidP="002D3A58">
            <w:pPr>
              <w:pStyle w:val="TableText0"/>
              <w:jc w:val="center"/>
              <w:rPr>
                <w:b/>
                <w:bCs w:val="0"/>
              </w:rPr>
            </w:pPr>
            <w:r w:rsidRPr="0040534B">
              <w:rPr>
                <w:b/>
                <w:bCs w:val="0"/>
              </w:rPr>
              <w:t>(1.22, 2.04)</w:t>
            </w:r>
          </w:p>
        </w:tc>
        <w:tc>
          <w:tcPr>
            <w:tcW w:w="742" w:type="pct"/>
          </w:tcPr>
          <w:p w14:paraId="5A1D8B60" w14:textId="77777777" w:rsidR="0027410A" w:rsidRPr="0040534B" w:rsidRDefault="0027410A" w:rsidP="002D3A58">
            <w:pPr>
              <w:pStyle w:val="TableText0"/>
              <w:jc w:val="center"/>
              <w:rPr>
                <w:b/>
                <w:bCs w:val="0"/>
              </w:rPr>
            </w:pPr>
            <w:r w:rsidRPr="0040534B">
              <w:rPr>
                <w:b/>
                <w:bCs w:val="0"/>
              </w:rPr>
              <w:t xml:space="preserve">0.15 </w:t>
            </w:r>
          </w:p>
          <w:p w14:paraId="3A78BEF0" w14:textId="77777777" w:rsidR="0027410A" w:rsidRPr="0040534B" w:rsidRDefault="0027410A" w:rsidP="002D3A58">
            <w:pPr>
              <w:pStyle w:val="TableText0"/>
              <w:jc w:val="center"/>
              <w:rPr>
                <w:b/>
                <w:bCs w:val="0"/>
              </w:rPr>
            </w:pPr>
            <w:r w:rsidRPr="0040534B">
              <w:rPr>
                <w:b/>
                <w:bCs w:val="0"/>
              </w:rPr>
              <w:t>(0.07, 0.23)</w:t>
            </w:r>
          </w:p>
        </w:tc>
      </w:tr>
      <w:tr w:rsidR="0027410A" w:rsidRPr="0040534B" w14:paraId="3ACD581E" w14:textId="77777777" w:rsidTr="00C124DD">
        <w:tc>
          <w:tcPr>
            <w:tcW w:w="5000" w:type="pct"/>
            <w:gridSpan w:val="7"/>
          </w:tcPr>
          <w:p w14:paraId="1459242C" w14:textId="77777777" w:rsidR="0027410A" w:rsidRPr="0040534B" w:rsidRDefault="0027410A" w:rsidP="002D3A58">
            <w:pPr>
              <w:pStyle w:val="TableText0"/>
              <w:rPr>
                <w:b/>
              </w:rPr>
            </w:pPr>
            <w:r w:rsidRPr="0040534B">
              <w:rPr>
                <w:b/>
              </w:rPr>
              <w:t>Galcanezumab vs placebo</w:t>
            </w:r>
          </w:p>
        </w:tc>
      </w:tr>
      <w:tr w:rsidR="0027410A" w:rsidRPr="0040534B" w14:paraId="2101E2BD" w14:textId="77777777" w:rsidTr="00C124DD">
        <w:tc>
          <w:tcPr>
            <w:tcW w:w="711" w:type="pct"/>
            <w:vAlign w:val="center"/>
          </w:tcPr>
          <w:p w14:paraId="72BA5036" w14:textId="77777777" w:rsidR="0027410A" w:rsidRPr="0040534B" w:rsidRDefault="0027410A" w:rsidP="002D3A58">
            <w:pPr>
              <w:pStyle w:val="TableText0"/>
            </w:pPr>
            <w:r w:rsidRPr="0040534B">
              <w:t>REGAIN</w:t>
            </w:r>
          </w:p>
        </w:tc>
        <w:tc>
          <w:tcPr>
            <w:tcW w:w="890" w:type="pct"/>
            <w:shd w:val="clear" w:color="auto" w:fill="auto"/>
            <w:vAlign w:val="center"/>
          </w:tcPr>
          <w:p w14:paraId="70A4153C" w14:textId="5E605700" w:rsidR="0027410A" w:rsidRPr="0040534B" w:rsidRDefault="0027410A" w:rsidP="002D3A58">
            <w:pPr>
              <w:pStyle w:val="TableText0"/>
            </w:pPr>
            <w:r w:rsidRPr="0040534B">
              <w:t>GAL 120</w:t>
            </w:r>
            <w:r w:rsidR="006F04A7" w:rsidRPr="0040534B">
              <w:t xml:space="preserve"> </w:t>
            </w:r>
            <w:r w:rsidRPr="0040534B">
              <w:t>mg vs. PBO</w:t>
            </w:r>
          </w:p>
        </w:tc>
        <w:tc>
          <w:tcPr>
            <w:tcW w:w="640" w:type="pct"/>
          </w:tcPr>
          <w:p w14:paraId="61CF951B" w14:textId="77777777" w:rsidR="0027410A" w:rsidRPr="0040534B" w:rsidRDefault="0027410A" w:rsidP="002D3A58">
            <w:pPr>
              <w:pStyle w:val="TableText0"/>
              <w:jc w:val="center"/>
            </w:pPr>
            <w:r w:rsidRPr="0040534B">
              <w:t>75/273 (27.6)</w:t>
            </w:r>
          </w:p>
        </w:tc>
        <w:tc>
          <w:tcPr>
            <w:tcW w:w="615" w:type="pct"/>
          </w:tcPr>
          <w:p w14:paraId="739825D1" w14:textId="77777777" w:rsidR="0027410A" w:rsidRPr="0040534B" w:rsidRDefault="0027410A" w:rsidP="002D3A58">
            <w:pPr>
              <w:pStyle w:val="TableText0"/>
              <w:jc w:val="center"/>
            </w:pPr>
            <w:r w:rsidRPr="0040534B">
              <w:t>83/538 (15.4)</w:t>
            </w:r>
          </w:p>
        </w:tc>
        <w:tc>
          <w:tcPr>
            <w:tcW w:w="701" w:type="pct"/>
          </w:tcPr>
          <w:p w14:paraId="2EEFAA2E" w14:textId="77777777" w:rsidR="0027410A" w:rsidRPr="0040534B" w:rsidRDefault="0027410A" w:rsidP="002D3A58">
            <w:pPr>
              <w:pStyle w:val="TableText0"/>
              <w:jc w:val="center"/>
              <w:rPr>
                <w:b/>
                <w:bCs w:val="0"/>
              </w:rPr>
            </w:pPr>
            <w:r w:rsidRPr="0040534B">
              <w:rPr>
                <w:b/>
                <w:bCs w:val="0"/>
              </w:rPr>
              <w:t xml:space="preserve">3.92 </w:t>
            </w:r>
          </w:p>
          <w:p w14:paraId="3B6065E0" w14:textId="77777777" w:rsidR="0027410A" w:rsidRPr="0040534B" w:rsidRDefault="0027410A" w:rsidP="002D3A58">
            <w:pPr>
              <w:pStyle w:val="TableText0"/>
              <w:jc w:val="center"/>
              <w:rPr>
                <w:b/>
                <w:bCs w:val="0"/>
              </w:rPr>
            </w:pPr>
            <w:r w:rsidRPr="0040534B">
              <w:rPr>
                <w:b/>
                <w:bCs w:val="0"/>
              </w:rPr>
              <w:t>(2.47, 6.23)</w:t>
            </w:r>
          </w:p>
        </w:tc>
        <w:tc>
          <w:tcPr>
            <w:tcW w:w="701" w:type="pct"/>
          </w:tcPr>
          <w:p w14:paraId="7C3120EE" w14:textId="77777777" w:rsidR="0027410A" w:rsidRPr="0040534B" w:rsidRDefault="0027410A" w:rsidP="002D3A58">
            <w:pPr>
              <w:pStyle w:val="TableText0"/>
              <w:jc w:val="center"/>
              <w:rPr>
                <w:b/>
                <w:bCs w:val="0"/>
              </w:rPr>
            </w:pPr>
            <w:r w:rsidRPr="0040534B">
              <w:rPr>
                <w:b/>
                <w:bCs w:val="0"/>
              </w:rPr>
              <w:t xml:space="preserve">1.78 </w:t>
            </w:r>
          </w:p>
          <w:p w14:paraId="03C95382" w14:textId="77777777" w:rsidR="0027410A" w:rsidRPr="0040534B" w:rsidRDefault="0027410A" w:rsidP="002D3A58">
            <w:pPr>
              <w:pStyle w:val="TableText0"/>
              <w:jc w:val="center"/>
              <w:rPr>
                <w:b/>
                <w:bCs w:val="0"/>
              </w:rPr>
            </w:pPr>
            <w:r w:rsidRPr="0040534B">
              <w:rPr>
                <w:b/>
                <w:bCs w:val="0"/>
              </w:rPr>
              <w:t>(1.35, 2.35)</w:t>
            </w:r>
          </w:p>
        </w:tc>
        <w:tc>
          <w:tcPr>
            <w:tcW w:w="742" w:type="pct"/>
          </w:tcPr>
          <w:p w14:paraId="5D955E3E" w14:textId="77777777" w:rsidR="0027410A" w:rsidRPr="0040534B" w:rsidRDefault="0027410A" w:rsidP="002D3A58">
            <w:pPr>
              <w:pStyle w:val="TableText0"/>
              <w:jc w:val="center"/>
              <w:rPr>
                <w:b/>
                <w:bCs w:val="0"/>
              </w:rPr>
            </w:pPr>
            <w:r w:rsidRPr="0040534B">
              <w:rPr>
                <w:b/>
                <w:bCs w:val="0"/>
              </w:rPr>
              <w:t xml:space="preserve">0.12 </w:t>
            </w:r>
          </w:p>
          <w:p w14:paraId="464D5D52" w14:textId="77777777" w:rsidR="0027410A" w:rsidRPr="0040534B" w:rsidRDefault="0027410A" w:rsidP="002D3A58">
            <w:pPr>
              <w:pStyle w:val="TableText0"/>
              <w:jc w:val="center"/>
              <w:rPr>
                <w:b/>
                <w:bCs w:val="0"/>
              </w:rPr>
            </w:pPr>
            <w:r w:rsidRPr="0040534B">
              <w:rPr>
                <w:b/>
                <w:bCs w:val="0"/>
              </w:rPr>
              <w:t>(0.06, 0.18)</w:t>
            </w:r>
          </w:p>
        </w:tc>
      </w:tr>
      <w:tr w:rsidR="0027410A" w:rsidRPr="0040534B" w14:paraId="5C4E802B" w14:textId="77777777" w:rsidTr="00C124DD">
        <w:tc>
          <w:tcPr>
            <w:tcW w:w="711" w:type="pct"/>
            <w:vAlign w:val="center"/>
          </w:tcPr>
          <w:p w14:paraId="60643F3B" w14:textId="648F68F8" w:rsidR="0027410A" w:rsidRPr="0040534B" w:rsidRDefault="0027410A" w:rsidP="002D3A58">
            <w:pPr>
              <w:pStyle w:val="TableText0"/>
            </w:pPr>
            <w:r w:rsidRPr="0040534B">
              <w:t>CONQUER</w:t>
            </w:r>
            <w:r w:rsidR="004F6141" w:rsidRPr="0040534B">
              <w:rPr>
                <w:vertAlign w:val="superscript"/>
              </w:rPr>
              <w:t>a</w:t>
            </w:r>
            <w:r w:rsidRPr="0040534B">
              <w:t xml:space="preserve"> </w:t>
            </w:r>
          </w:p>
        </w:tc>
        <w:tc>
          <w:tcPr>
            <w:tcW w:w="890" w:type="pct"/>
            <w:shd w:val="clear" w:color="auto" w:fill="auto"/>
            <w:vAlign w:val="center"/>
          </w:tcPr>
          <w:p w14:paraId="00DA9AB8" w14:textId="30F6950F" w:rsidR="0027410A" w:rsidRPr="0040534B" w:rsidRDefault="0027410A" w:rsidP="002D3A58">
            <w:pPr>
              <w:pStyle w:val="TableText0"/>
            </w:pPr>
            <w:r w:rsidRPr="0040534B">
              <w:t>GAL 120</w:t>
            </w:r>
            <w:r w:rsidR="006F04A7" w:rsidRPr="0040534B">
              <w:t xml:space="preserve"> </w:t>
            </w:r>
            <w:r w:rsidRPr="0040534B">
              <w:t>mg vs. PBO</w:t>
            </w:r>
          </w:p>
        </w:tc>
        <w:tc>
          <w:tcPr>
            <w:tcW w:w="640" w:type="pct"/>
          </w:tcPr>
          <w:p w14:paraId="5D6E47FA" w14:textId="77777777" w:rsidR="0027410A" w:rsidRPr="0040534B" w:rsidRDefault="0027410A" w:rsidP="002D3A58">
            <w:pPr>
              <w:pStyle w:val="TableText0"/>
              <w:jc w:val="center"/>
            </w:pPr>
            <w:r w:rsidRPr="0040534B">
              <w:t>88/232 (37.9)</w:t>
            </w:r>
          </w:p>
        </w:tc>
        <w:tc>
          <w:tcPr>
            <w:tcW w:w="615" w:type="pct"/>
          </w:tcPr>
          <w:p w14:paraId="6ACC386E" w14:textId="77777777" w:rsidR="0027410A" w:rsidRPr="0040534B" w:rsidRDefault="0027410A" w:rsidP="002D3A58">
            <w:pPr>
              <w:pStyle w:val="TableText0"/>
              <w:jc w:val="center"/>
            </w:pPr>
            <w:r w:rsidRPr="0040534B">
              <w:t>31/230 (13.5)</w:t>
            </w:r>
          </w:p>
        </w:tc>
        <w:tc>
          <w:tcPr>
            <w:tcW w:w="701" w:type="pct"/>
          </w:tcPr>
          <w:p w14:paraId="379DCDDF" w14:textId="77777777" w:rsidR="0027410A" w:rsidRPr="0040534B" w:rsidRDefault="0027410A" w:rsidP="002D3A58">
            <w:pPr>
              <w:pStyle w:val="TableText0"/>
              <w:jc w:val="center"/>
              <w:rPr>
                <w:b/>
                <w:bCs w:val="0"/>
              </w:rPr>
            </w:pPr>
            <w:r w:rsidRPr="0040534B">
              <w:rPr>
                <w:b/>
                <w:bCs w:val="0"/>
              </w:rPr>
              <w:t xml:space="preserve">2.08 </w:t>
            </w:r>
          </w:p>
          <w:p w14:paraId="3BEFABDE" w14:textId="77777777" w:rsidR="0027410A" w:rsidRPr="0040534B" w:rsidRDefault="0027410A" w:rsidP="002D3A58">
            <w:pPr>
              <w:pStyle w:val="TableText0"/>
              <w:jc w:val="center"/>
              <w:rPr>
                <w:b/>
                <w:bCs w:val="0"/>
              </w:rPr>
            </w:pPr>
            <w:r w:rsidRPr="0040534B">
              <w:rPr>
                <w:b/>
                <w:bCs w:val="0"/>
              </w:rPr>
              <w:t>(1.46, 2.96)</w:t>
            </w:r>
          </w:p>
        </w:tc>
        <w:tc>
          <w:tcPr>
            <w:tcW w:w="701" w:type="pct"/>
          </w:tcPr>
          <w:p w14:paraId="74A144E7" w14:textId="77777777" w:rsidR="0027410A" w:rsidRPr="0040534B" w:rsidRDefault="0027410A" w:rsidP="002D3A58">
            <w:pPr>
              <w:pStyle w:val="TableText0"/>
              <w:jc w:val="center"/>
              <w:rPr>
                <w:b/>
                <w:bCs w:val="0"/>
              </w:rPr>
            </w:pPr>
            <w:r w:rsidRPr="0040534B">
              <w:rPr>
                <w:b/>
                <w:bCs w:val="0"/>
              </w:rPr>
              <w:t xml:space="preserve">2.81 </w:t>
            </w:r>
          </w:p>
          <w:p w14:paraId="69DD4947" w14:textId="77777777" w:rsidR="0027410A" w:rsidRPr="0040534B" w:rsidRDefault="0027410A" w:rsidP="002D3A58">
            <w:pPr>
              <w:pStyle w:val="TableText0"/>
              <w:jc w:val="center"/>
              <w:rPr>
                <w:b/>
                <w:bCs w:val="0"/>
              </w:rPr>
            </w:pPr>
            <w:r w:rsidRPr="0040534B">
              <w:rPr>
                <w:b/>
                <w:bCs w:val="0"/>
              </w:rPr>
              <w:t>(1.95, 4.06)</w:t>
            </w:r>
          </w:p>
        </w:tc>
        <w:tc>
          <w:tcPr>
            <w:tcW w:w="742" w:type="pct"/>
          </w:tcPr>
          <w:p w14:paraId="69511044" w14:textId="77777777" w:rsidR="0027410A" w:rsidRPr="0040534B" w:rsidRDefault="0027410A" w:rsidP="002D3A58">
            <w:pPr>
              <w:pStyle w:val="TableText0"/>
              <w:jc w:val="center"/>
              <w:rPr>
                <w:b/>
                <w:bCs w:val="0"/>
              </w:rPr>
            </w:pPr>
            <w:r w:rsidRPr="0040534B">
              <w:rPr>
                <w:b/>
                <w:bCs w:val="0"/>
              </w:rPr>
              <w:t xml:space="preserve">0.24 </w:t>
            </w:r>
          </w:p>
          <w:p w14:paraId="65E9FAFC" w14:textId="77777777" w:rsidR="0027410A" w:rsidRPr="0040534B" w:rsidRDefault="0027410A" w:rsidP="002D3A58">
            <w:pPr>
              <w:pStyle w:val="TableText0"/>
              <w:jc w:val="center"/>
              <w:rPr>
                <w:b/>
                <w:bCs w:val="0"/>
              </w:rPr>
            </w:pPr>
            <w:r w:rsidRPr="0040534B">
              <w:rPr>
                <w:b/>
                <w:bCs w:val="0"/>
              </w:rPr>
              <w:t>(0.17, 0.32)</w:t>
            </w:r>
          </w:p>
        </w:tc>
      </w:tr>
      <w:tr w:rsidR="0027410A" w:rsidRPr="0040534B" w14:paraId="613FD4D1" w14:textId="77777777" w:rsidTr="00C124DD">
        <w:tc>
          <w:tcPr>
            <w:tcW w:w="1601" w:type="pct"/>
            <w:gridSpan w:val="2"/>
            <w:vAlign w:val="center"/>
          </w:tcPr>
          <w:p w14:paraId="4A97DDAB" w14:textId="77777777" w:rsidR="0027410A" w:rsidRPr="0040534B" w:rsidRDefault="0027410A" w:rsidP="004F6141">
            <w:pPr>
              <w:pStyle w:val="TableText0"/>
            </w:pPr>
            <w:r w:rsidRPr="0040534B">
              <w:t>Pooled galcanezumab</w:t>
            </w:r>
          </w:p>
        </w:tc>
        <w:tc>
          <w:tcPr>
            <w:tcW w:w="640" w:type="pct"/>
            <w:shd w:val="clear" w:color="auto" w:fill="auto"/>
            <w:vAlign w:val="center"/>
          </w:tcPr>
          <w:p w14:paraId="3F1FC01D" w14:textId="77777777" w:rsidR="0027410A" w:rsidRPr="0040534B" w:rsidRDefault="0027410A" w:rsidP="002D3A58">
            <w:pPr>
              <w:pStyle w:val="TableText0"/>
              <w:jc w:val="center"/>
            </w:pPr>
            <w:r w:rsidRPr="0040534B">
              <w:t>163/505 (32.3)</w:t>
            </w:r>
          </w:p>
        </w:tc>
        <w:tc>
          <w:tcPr>
            <w:tcW w:w="615" w:type="pct"/>
            <w:shd w:val="clear" w:color="auto" w:fill="auto"/>
            <w:vAlign w:val="center"/>
          </w:tcPr>
          <w:p w14:paraId="4019EDF4" w14:textId="77777777" w:rsidR="0027410A" w:rsidRPr="0040534B" w:rsidRDefault="0027410A" w:rsidP="002D3A58">
            <w:pPr>
              <w:pStyle w:val="TableText0"/>
              <w:jc w:val="center"/>
            </w:pPr>
            <w:r w:rsidRPr="0040534B">
              <w:t>114/768 (14.8)</w:t>
            </w:r>
          </w:p>
        </w:tc>
        <w:tc>
          <w:tcPr>
            <w:tcW w:w="701" w:type="pct"/>
          </w:tcPr>
          <w:p w14:paraId="3DCA862D" w14:textId="77777777" w:rsidR="0027410A" w:rsidRPr="0040534B" w:rsidRDefault="0027410A" w:rsidP="002D3A58">
            <w:pPr>
              <w:pStyle w:val="TableText0"/>
              <w:jc w:val="center"/>
              <w:rPr>
                <w:b/>
              </w:rPr>
            </w:pPr>
            <w:r w:rsidRPr="0040534B">
              <w:rPr>
                <w:b/>
              </w:rPr>
              <w:t xml:space="preserve">2.80 </w:t>
            </w:r>
          </w:p>
          <w:p w14:paraId="1D8A52B4" w14:textId="77777777" w:rsidR="0027410A" w:rsidRPr="0040534B" w:rsidRDefault="0027410A" w:rsidP="002D3A58">
            <w:pPr>
              <w:pStyle w:val="TableText0"/>
              <w:jc w:val="center"/>
              <w:rPr>
                <w:b/>
              </w:rPr>
            </w:pPr>
            <w:r w:rsidRPr="0040534B">
              <w:rPr>
                <w:b/>
              </w:rPr>
              <w:t>(1.50, 5.23)</w:t>
            </w:r>
          </w:p>
        </w:tc>
        <w:tc>
          <w:tcPr>
            <w:tcW w:w="701" w:type="pct"/>
          </w:tcPr>
          <w:p w14:paraId="5E937B83" w14:textId="77777777" w:rsidR="0027410A" w:rsidRPr="0040534B" w:rsidRDefault="0027410A" w:rsidP="002D3A58">
            <w:pPr>
              <w:pStyle w:val="TableText0"/>
              <w:jc w:val="center"/>
              <w:rPr>
                <w:b/>
              </w:rPr>
            </w:pPr>
            <w:r w:rsidRPr="0040534B">
              <w:rPr>
                <w:b/>
              </w:rPr>
              <w:t xml:space="preserve">2.20 </w:t>
            </w:r>
          </w:p>
          <w:p w14:paraId="5AF62C4D" w14:textId="77777777" w:rsidR="0027410A" w:rsidRPr="0040534B" w:rsidRDefault="0027410A" w:rsidP="002D3A58">
            <w:pPr>
              <w:pStyle w:val="TableText0"/>
              <w:jc w:val="center"/>
            </w:pPr>
            <w:r w:rsidRPr="0040534B">
              <w:rPr>
                <w:b/>
              </w:rPr>
              <w:t>(1.40, 3.45)</w:t>
            </w:r>
          </w:p>
        </w:tc>
        <w:tc>
          <w:tcPr>
            <w:tcW w:w="742" w:type="pct"/>
          </w:tcPr>
          <w:p w14:paraId="310E6C67" w14:textId="77777777" w:rsidR="0027410A" w:rsidRPr="0040534B" w:rsidRDefault="0027410A" w:rsidP="002D3A58">
            <w:pPr>
              <w:pStyle w:val="TableText0"/>
              <w:jc w:val="center"/>
              <w:rPr>
                <w:b/>
              </w:rPr>
            </w:pPr>
            <w:r w:rsidRPr="0040534B">
              <w:rPr>
                <w:b/>
              </w:rPr>
              <w:t xml:space="preserve">0.18 </w:t>
            </w:r>
          </w:p>
          <w:p w14:paraId="11616A83" w14:textId="77777777" w:rsidR="0027410A" w:rsidRPr="0040534B" w:rsidRDefault="0027410A" w:rsidP="002D3A58">
            <w:pPr>
              <w:pStyle w:val="TableText0"/>
              <w:jc w:val="center"/>
            </w:pPr>
            <w:r w:rsidRPr="0040534B">
              <w:rPr>
                <w:b/>
              </w:rPr>
              <w:t>(0.06, 0.30)</w:t>
            </w:r>
          </w:p>
        </w:tc>
      </w:tr>
      <w:tr w:rsidR="0027410A" w:rsidRPr="0040534B" w14:paraId="312A8D81" w14:textId="77777777" w:rsidTr="00C124DD">
        <w:tc>
          <w:tcPr>
            <w:tcW w:w="5000" w:type="pct"/>
            <w:gridSpan w:val="7"/>
          </w:tcPr>
          <w:p w14:paraId="68D43CBA" w14:textId="77777777" w:rsidR="0027410A" w:rsidRPr="0040534B" w:rsidRDefault="0027410A" w:rsidP="002D3A58">
            <w:pPr>
              <w:pStyle w:val="TableText0"/>
              <w:rPr>
                <w:b/>
              </w:rPr>
            </w:pPr>
            <w:r w:rsidRPr="0040534B">
              <w:rPr>
                <w:b/>
              </w:rPr>
              <w:t>Fremanezumab vs placebo</w:t>
            </w:r>
          </w:p>
        </w:tc>
      </w:tr>
      <w:tr w:rsidR="0027410A" w:rsidRPr="0040534B" w14:paraId="6A98CC5C" w14:textId="77777777" w:rsidTr="00C124DD">
        <w:tc>
          <w:tcPr>
            <w:tcW w:w="711" w:type="pct"/>
            <w:vAlign w:val="center"/>
          </w:tcPr>
          <w:p w14:paraId="488350D9" w14:textId="77777777" w:rsidR="0027410A" w:rsidRPr="0040534B" w:rsidRDefault="0027410A" w:rsidP="002D3A58">
            <w:pPr>
              <w:pStyle w:val="TableText0"/>
            </w:pPr>
            <w:r w:rsidRPr="0040534B">
              <w:t>HALO-CM</w:t>
            </w:r>
          </w:p>
        </w:tc>
        <w:tc>
          <w:tcPr>
            <w:tcW w:w="890" w:type="pct"/>
            <w:vAlign w:val="center"/>
          </w:tcPr>
          <w:p w14:paraId="70C17D81" w14:textId="7EC1362A" w:rsidR="0027410A" w:rsidRPr="0040534B" w:rsidRDefault="0027410A" w:rsidP="002D3A58">
            <w:pPr>
              <w:pStyle w:val="TableText0"/>
            </w:pPr>
            <w:r w:rsidRPr="0040534B">
              <w:t>FREM 225</w:t>
            </w:r>
            <w:r w:rsidR="006F04A7" w:rsidRPr="0040534B">
              <w:t xml:space="preserve"> </w:t>
            </w:r>
            <w:r w:rsidRPr="0040534B">
              <w:t>mg vs. PBO</w:t>
            </w:r>
          </w:p>
        </w:tc>
        <w:tc>
          <w:tcPr>
            <w:tcW w:w="640" w:type="pct"/>
            <w:vAlign w:val="center"/>
          </w:tcPr>
          <w:p w14:paraId="49F8B48D" w14:textId="77777777" w:rsidR="0027410A" w:rsidRPr="0040534B" w:rsidRDefault="0027410A" w:rsidP="002D3A58">
            <w:pPr>
              <w:pStyle w:val="TableText0"/>
              <w:jc w:val="center"/>
            </w:pPr>
            <w:r w:rsidRPr="0040534B">
              <w:t>153/375 (40.8)</w:t>
            </w:r>
          </w:p>
        </w:tc>
        <w:tc>
          <w:tcPr>
            <w:tcW w:w="615" w:type="pct"/>
            <w:vAlign w:val="center"/>
          </w:tcPr>
          <w:p w14:paraId="65335445" w14:textId="77777777" w:rsidR="0027410A" w:rsidRPr="0040534B" w:rsidRDefault="0027410A" w:rsidP="002D3A58">
            <w:pPr>
              <w:pStyle w:val="TableText0"/>
              <w:jc w:val="center"/>
            </w:pPr>
            <w:r w:rsidRPr="0040534B">
              <w:t>67/371 (18.1)</w:t>
            </w:r>
          </w:p>
        </w:tc>
        <w:tc>
          <w:tcPr>
            <w:tcW w:w="701" w:type="pct"/>
            <w:vAlign w:val="center"/>
          </w:tcPr>
          <w:p w14:paraId="7D34CD1B" w14:textId="77777777" w:rsidR="0027410A" w:rsidRPr="0040534B" w:rsidRDefault="0027410A" w:rsidP="002D3A58">
            <w:pPr>
              <w:pStyle w:val="TableText0"/>
              <w:jc w:val="center"/>
              <w:rPr>
                <w:b/>
                <w:bCs w:val="0"/>
              </w:rPr>
            </w:pPr>
            <w:r w:rsidRPr="0040534B">
              <w:rPr>
                <w:b/>
                <w:bCs w:val="0"/>
              </w:rPr>
              <w:t xml:space="preserve">5.52 </w:t>
            </w:r>
          </w:p>
          <w:p w14:paraId="6DAD702E" w14:textId="77777777" w:rsidR="0027410A" w:rsidRPr="0040534B" w:rsidRDefault="0027410A" w:rsidP="002D3A58">
            <w:pPr>
              <w:pStyle w:val="TableText0"/>
              <w:jc w:val="center"/>
              <w:rPr>
                <w:b/>
                <w:bCs w:val="0"/>
              </w:rPr>
            </w:pPr>
            <w:r w:rsidRPr="0040534B">
              <w:rPr>
                <w:b/>
                <w:bCs w:val="0"/>
              </w:rPr>
              <w:t>(3.40, 8.97)</w:t>
            </w:r>
          </w:p>
        </w:tc>
        <w:tc>
          <w:tcPr>
            <w:tcW w:w="701" w:type="pct"/>
            <w:vAlign w:val="center"/>
          </w:tcPr>
          <w:p w14:paraId="31B579CA" w14:textId="77777777" w:rsidR="0027410A" w:rsidRPr="0040534B" w:rsidRDefault="0027410A" w:rsidP="002D3A58">
            <w:pPr>
              <w:pStyle w:val="TableText0"/>
              <w:jc w:val="center"/>
              <w:rPr>
                <w:b/>
                <w:bCs w:val="0"/>
              </w:rPr>
            </w:pPr>
            <w:r w:rsidRPr="0040534B">
              <w:rPr>
                <w:b/>
                <w:bCs w:val="0"/>
              </w:rPr>
              <w:t xml:space="preserve">2.26 </w:t>
            </w:r>
          </w:p>
          <w:p w14:paraId="1A0E1593" w14:textId="77777777" w:rsidR="0027410A" w:rsidRPr="0040534B" w:rsidRDefault="0027410A" w:rsidP="002D3A58">
            <w:pPr>
              <w:pStyle w:val="TableText0"/>
              <w:jc w:val="center"/>
              <w:rPr>
                <w:b/>
                <w:bCs w:val="0"/>
              </w:rPr>
            </w:pPr>
            <w:r w:rsidRPr="0040534B">
              <w:rPr>
                <w:b/>
                <w:bCs w:val="0"/>
              </w:rPr>
              <w:t>(1.76, 2.90)</w:t>
            </w:r>
          </w:p>
        </w:tc>
        <w:tc>
          <w:tcPr>
            <w:tcW w:w="742" w:type="pct"/>
            <w:vAlign w:val="center"/>
          </w:tcPr>
          <w:p w14:paraId="295E5E0D" w14:textId="77777777" w:rsidR="0027410A" w:rsidRPr="0040534B" w:rsidRDefault="0027410A" w:rsidP="002D3A58">
            <w:pPr>
              <w:pStyle w:val="TableText0"/>
              <w:jc w:val="center"/>
              <w:rPr>
                <w:b/>
                <w:bCs w:val="0"/>
              </w:rPr>
            </w:pPr>
            <w:r w:rsidRPr="0040534B">
              <w:rPr>
                <w:b/>
                <w:bCs w:val="0"/>
              </w:rPr>
              <w:t xml:space="preserve">0.23 </w:t>
            </w:r>
          </w:p>
          <w:p w14:paraId="244AF4A9" w14:textId="77777777" w:rsidR="0027410A" w:rsidRPr="0040534B" w:rsidRDefault="0027410A" w:rsidP="002D3A58">
            <w:pPr>
              <w:pStyle w:val="TableText0"/>
              <w:jc w:val="center"/>
              <w:rPr>
                <w:b/>
                <w:bCs w:val="0"/>
              </w:rPr>
            </w:pPr>
            <w:r w:rsidRPr="0040534B">
              <w:rPr>
                <w:b/>
                <w:bCs w:val="0"/>
              </w:rPr>
              <w:t>(0.16, 0.29)</w:t>
            </w:r>
          </w:p>
        </w:tc>
      </w:tr>
      <w:tr w:rsidR="0027410A" w:rsidRPr="0040534B" w14:paraId="05473EDF" w14:textId="77777777" w:rsidTr="00C124DD">
        <w:tc>
          <w:tcPr>
            <w:tcW w:w="711" w:type="pct"/>
            <w:vAlign w:val="center"/>
          </w:tcPr>
          <w:p w14:paraId="02E4E4E1" w14:textId="03CBD380" w:rsidR="0027410A" w:rsidRPr="0040534B" w:rsidRDefault="0027410A" w:rsidP="002D3A58">
            <w:pPr>
              <w:pStyle w:val="TableText0"/>
            </w:pPr>
            <w:r w:rsidRPr="0040534B">
              <w:t>FOCUS</w:t>
            </w:r>
            <w:r w:rsidR="004F6141" w:rsidRPr="0040534B">
              <w:rPr>
                <w:vertAlign w:val="superscript"/>
              </w:rPr>
              <w:t>a</w:t>
            </w:r>
          </w:p>
        </w:tc>
        <w:tc>
          <w:tcPr>
            <w:tcW w:w="890" w:type="pct"/>
            <w:vAlign w:val="center"/>
          </w:tcPr>
          <w:p w14:paraId="222D3E18" w14:textId="5547E1AB" w:rsidR="0027410A" w:rsidRPr="0040534B" w:rsidRDefault="0027410A" w:rsidP="002D3A58">
            <w:pPr>
              <w:pStyle w:val="TableText0"/>
            </w:pPr>
            <w:r w:rsidRPr="0040534B">
              <w:t>FREM 225</w:t>
            </w:r>
            <w:r w:rsidR="006F04A7" w:rsidRPr="0040534B">
              <w:t xml:space="preserve"> </w:t>
            </w:r>
            <w:r w:rsidRPr="0040534B">
              <w:t>mg vs. PBO</w:t>
            </w:r>
          </w:p>
        </w:tc>
        <w:tc>
          <w:tcPr>
            <w:tcW w:w="640" w:type="pct"/>
            <w:vAlign w:val="center"/>
          </w:tcPr>
          <w:p w14:paraId="3CB3D498" w14:textId="77777777" w:rsidR="0027410A" w:rsidRPr="0040534B" w:rsidRDefault="0027410A" w:rsidP="002D3A58">
            <w:pPr>
              <w:pStyle w:val="TableText0"/>
              <w:jc w:val="center"/>
            </w:pPr>
            <w:r w:rsidRPr="0040534B">
              <w:t>97/283 (34.3)</w:t>
            </w:r>
          </w:p>
        </w:tc>
        <w:tc>
          <w:tcPr>
            <w:tcW w:w="615" w:type="pct"/>
            <w:vAlign w:val="center"/>
          </w:tcPr>
          <w:p w14:paraId="59EFACB3" w14:textId="422B7280" w:rsidR="0027410A" w:rsidRPr="0040534B" w:rsidRDefault="0027410A" w:rsidP="002D3A58">
            <w:pPr>
              <w:pStyle w:val="TableText0"/>
              <w:jc w:val="center"/>
            </w:pPr>
            <w:r w:rsidRPr="0040534B">
              <w:t xml:space="preserve">24/278 </w:t>
            </w:r>
            <w:r w:rsidR="00E34A5B" w:rsidRPr="0040534B">
              <w:br/>
            </w:r>
            <w:r w:rsidRPr="0040534B">
              <w:t>(8.6)</w:t>
            </w:r>
          </w:p>
        </w:tc>
        <w:tc>
          <w:tcPr>
            <w:tcW w:w="701" w:type="pct"/>
            <w:vAlign w:val="center"/>
          </w:tcPr>
          <w:p w14:paraId="5AC134EE" w14:textId="77777777" w:rsidR="0027410A" w:rsidRPr="0040534B" w:rsidRDefault="0027410A" w:rsidP="002D3A58">
            <w:pPr>
              <w:pStyle w:val="TableText0"/>
              <w:jc w:val="center"/>
              <w:rPr>
                <w:b/>
                <w:bCs w:val="0"/>
              </w:rPr>
            </w:pPr>
            <w:r w:rsidRPr="0040534B">
              <w:rPr>
                <w:b/>
                <w:bCs w:val="0"/>
              </w:rPr>
              <w:t xml:space="preserve">3.13 </w:t>
            </w:r>
          </w:p>
          <w:p w14:paraId="41186980" w14:textId="77777777" w:rsidR="0027410A" w:rsidRPr="0040534B" w:rsidRDefault="0027410A" w:rsidP="002D3A58">
            <w:pPr>
              <w:pStyle w:val="TableText0"/>
              <w:jc w:val="center"/>
              <w:rPr>
                <w:b/>
                <w:bCs w:val="0"/>
              </w:rPr>
            </w:pPr>
            <w:r w:rsidRPr="0040534B">
              <w:rPr>
                <w:b/>
                <w:bCs w:val="0"/>
              </w:rPr>
              <w:t>(2.24, 4.37)</w:t>
            </w:r>
          </w:p>
        </w:tc>
        <w:tc>
          <w:tcPr>
            <w:tcW w:w="701" w:type="pct"/>
            <w:vAlign w:val="center"/>
          </w:tcPr>
          <w:p w14:paraId="60942193" w14:textId="77777777" w:rsidR="0027410A" w:rsidRPr="0040534B" w:rsidRDefault="0027410A" w:rsidP="002D3A58">
            <w:pPr>
              <w:pStyle w:val="TableText0"/>
              <w:jc w:val="center"/>
              <w:rPr>
                <w:b/>
                <w:bCs w:val="0"/>
              </w:rPr>
            </w:pPr>
            <w:r w:rsidRPr="0040534B">
              <w:rPr>
                <w:b/>
                <w:bCs w:val="0"/>
              </w:rPr>
              <w:t xml:space="preserve">3.97 </w:t>
            </w:r>
          </w:p>
          <w:p w14:paraId="2DD8E895" w14:textId="77777777" w:rsidR="0027410A" w:rsidRPr="0040534B" w:rsidRDefault="0027410A" w:rsidP="002D3A58">
            <w:pPr>
              <w:pStyle w:val="TableText0"/>
              <w:jc w:val="center"/>
              <w:rPr>
                <w:b/>
                <w:bCs w:val="0"/>
              </w:rPr>
            </w:pPr>
            <w:r w:rsidRPr="0040534B">
              <w:rPr>
                <w:b/>
                <w:bCs w:val="0"/>
              </w:rPr>
              <w:t>(2.62, 6.01)</w:t>
            </w:r>
          </w:p>
        </w:tc>
        <w:tc>
          <w:tcPr>
            <w:tcW w:w="742" w:type="pct"/>
            <w:vAlign w:val="center"/>
          </w:tcPr>
          <w:p w14:paraId="755F7058" w14:textId="77777777" w:rsidR="0027410A" w:rsidRPr="0040534B" w:rsidRDefault="0027410A" w:rsidP="002D3A58">
            <w:pPr>
              <w:pStyle w:val="TableText0"/>
              <w:jc w:val="center"/>
              <w:rPr>
                <w:b/>
                <w:bCs w:val="0"/>
              </w:rPr>
            </w:pPr>
            <w:r w:rsidRPr="0040534B">
              <w:rPr>
                <w:b/>
                <w:bCs w:val="0"/>
              </w:rPr>
              <w:t xml:space="preserve">0.26 </w:t>
            </w:r>
          </w:p>
          <w:p w14:paraId="6965E676" w14:textId="77777777" w:rsidR="0027410A" w:rsidRPr="0040534B" w:rsidRDefault="0027410A" w:rsidP="002D3A58">
            <w:pPr>
              <w:pStyle w:val="TableText0"/>
              <w:jc w:val="center"/>
              <w:rPr>
                <w:b/>
                <w:bCs w:val="0"/>
              </w:rPr>
            </w:pPr>
            <w:r w:rsidRPr="0040534B">
              <w:rPr>
                <w:b/>
                <w:bCs w:val="0"/>
              </w:rPr>
              <w:t>(0.19, 0.32)</w:t>
            </w:r>
          </w:p>
        </w:tc>
      </w:tr>
      <w:tr w:rsidR="0027410A" w:rsidRPr="0040534B" w14:paraId="766853EF" w14:textId="77777777" w:rsidTr="00C124DD">
        <w:tc>
          <w:tcPr>
            <w:tcW w:w="711" w:type="pct"/>
            <w:vAlign w:val="center"/>
          </w:tcPr>
          <w:p w14:paraId="1943AA1C" w14:textId="77777777" w:rsidR="0027410A" w:rsidRPr="0040534B" w:rsidRDefault="0027410A" w:rsidP="002D3A58">
            <w:pPr>
              <w:pStyle w:val="TableText0"/>
            </w:pPr>
            <w:r w:rsidRPr="0040534B">
              <w:t>NCT03303079</w:t>
            </w:r>
          </w:p>
        </w:tc>
        <w:tc>
          <w:tcPr>
            <w:tcW w:w="890" w:type="pct"/>
            <w:vAlign w:val="center"/>
          </w:tcPr>
          <w:p w14:paraId="53E1B762" w14:textId="41A93310" w:rsidR="0027410A" w:rsidRPr="0040534B" w:rsidRDefault="0027410A" w:rsidP="002D3A58">
            <w:pPr>
              <w:pStyle w:val="TableText0"/>
            </w:pPr>
            <w:r w:rsidRPr="0040534B">
              <w:t>FREM 225</w:t>
            </w:r>
            <w:r w:rsidR="006F04A7" w:rsidRPr="0040534B">
              <w:t xml:space="preserve"> </w:t>
            </w:r>
            <w:r w:rsidRPr="0040534B">
              <w:t>mg vs. PBO</w:t>
            </w:r>
          </w:p>
        </w:tc>
        <w:tc>
          <w:tcPr>
            <w:tcW w:w="640" w:type="pct"/>
            <w:vAlign w:val="center"/>
          </w:tcPr>
          <w:p w14:paraId="154501D2" w14:textId="77777777" w:rsidR="0027410A" w:rsidRPr="0040534B" w:rsidRDefault="0027410A" w:rsidP="002D3A58">
            <w:pPr>
              <w:pStyle w:val="TableText0"/>
              <w:jc w:val="center"/>
            </w:pPr>
            <w:r w:rsidRPr="0040534B">
              <w:t>54/186 (29.0)</w:t>
            </w:r>
          </w:p>
        </w:tc>
        <w:tc>
          <w:tcPr>
            <w:tcW w:w="615" w:type="pct"/>
            <w:vAlign w:val="center"/>
          </w:tcPr>
          <w:p w14:paraId="13639941" w14:textId="77777777" w:rsidR="0027410A" w:rsidRPr="0040534B" w:rsidRDefault="0027410A" w:rsidP="002D3A58">
            <w:pPr>
              <w:pStyle w:val="TableText0"/>
              <w:jc w:val="center"/>
            </w:pPr>
            <w:r w:rsidRPr="0040534B">
              <w:t>25/190 (13.2)</w:t>
            </w:r>
          </w:p>
        </w:tc>
        <w:tc>
          <w:tcPr>
            <w:tcW w:w="701" w:type="pct"/>
            <w:vAlign w:val="center"/>
          </w:tcPr>
          <w:p w14:paraId="6EFAFC6C" w14:textId="77777777" w:rsidR="0027410A" w:rsidRPr="0040534B" w:rsidRDefault="0027410A" w:rsidP="002D3A58">
            <w:pPr>
              <w:pStyle w:val="TableText0"/>
              <w:jc w:val="center"/>
              <w:rPr>
                <w:b/>
                <w:bCs w:val="0"/>
              </w:rPr>
            </w:pPr>
            <w:r w:rsidRPr="0040534B">
              <w:rPr>
                <w:b/>
                <w:bCs w:val="0"/>
              </w:rPr>
              <w:t xml:space="preserve">2.70 </w:t>
            </w:r>
          </w:p>
          <w:p w14:paraId="2DB2A2B6" w14:textId="77777777" w:rsidR="0027410A" w:rsidRPr="0040534B" w:rsidRDefault="0027410A" w:rsidP="002D3A58">
            <w:pPr>
              <w:pStyle w:val="TableText0"/>
              <w:jc w:val="center"/>
              <w:rPr>
                <w:b/>
                <w:bCs w:val="0"/>
              </w:rPr>
            </w:pPr>
            <w:r w:rsidRPr="0040534B">
              <w:rPr>
                <w:b/>
                <w:bCs w:val="0"/>
              </w:rPr>
              <w:t>(1.59, 4.57)</w:t>
            </w:r>
          </w:p>
        </w:tc>
        <w:tc>
          <w:tcPr>
            <w:tcW w:w="701" w:type="pct"/>
            <w:tcBorders>
              <w:bottom w:val="single" w:sz="4" w:space="0" w:color="auto"/>
            </w:tcBorders>
            <w:vAlign w:val="center"/>
          </w:tcPr>
          <w:p w14:paraId="3918F41D" w14:textId="77777777" w:rsidR="0027410A" w:rsidRPr="0040534B" w:rsidRDefault="0027410A" w:rsidP="002D3A58">
            <w:pPr>
              <w:pStyle w:val="TableText0"/>
              <w:jc w:val="center"/>
              <w:rPr>
                <w:b/>
                <w:bCs w:val="0"/>
              </w:rPr>
            </w:pPr>
            <w:r w:rsidRPr="0040534B">
              <w:rPr>
                <w:b/>
                <w:bCs w:val="0"/>
              </w:rPr>
              <w:t>2.21</w:t>
            </w:r>
          </w:p>
          <w:p w14:paraId="0D59C7C4" w14:textId="77777777" w:rsidR="0027410A" w:rsidRPr="0040534B" w:rsidRDefault="0027410A" w:rsidP="002D3A58">
            <w:pPr>
              <w:pStyle w:val="TableText0"/>
              <w:jc w:val="center"/>
              <w:rPr>
                <w:b/>
                <w:bCs w:val="0"/>
              </w:rPr>
            </w:pPr>
            <w:r w:rsidRPr="0040534B">
              <w:rPr>
                <w:b/>
                <w:bCs w:val="0"/>
              </w:rPr>
              <w:t>(1.44, 3.39)</w:t>
            </w:r>
          </w:p>
        </w:tc>
        <w:tc>
          <w:tcPr>
            <w:tcW w:w="742" w:type="pct"/>
            <w:tcBorders>
              <w:bottom w:val="single" w:sz="4" w:space="0" w:color="auto"/>
            </w:tcBorders>
            <w:vAlign w:val="center"/>
          </w:tcPr>
          <w:p w14:paraId="48516BC4" w14:textId="77777777" w:rsidR="0027410A" w:rsidRPr="0040534B" w:rsidRDefault="0027410A" w:rsidP="002D3A58">
            <w:pPr>
              <w:pStyle w:val="TableText0"/>
              <w:jc w:val="center"/>
              <w:rPr>
                <w:b/>
                <w:bCs w:val="0"/>
              </w:rPr>
            </w:pPr>
            <w:r w:rsidRPr="0040534B">
              <w:rPr>
                <w:b/>
                <w:bCs w:val="0"/>
              </w:rPr>
              <w:t xml:space="preserve">0.16 </w:t>
            </w:r>
          </w:p>
          <w:p w14:paraId="76A01591" w14:textId="77777777" w:rsidR="0027410A" w:rsidRPr="0040534B" w:rsidRDefault="0027410A" w:rsidP="002D3A58">
            <w:pPr>
              <w:pStyle w:val="TableText0"/>
              <w:jc w:val="center"/>
              <w:rPr>
                <w:b/>
                <w:bCs w:val="0"/>
              </w:rPr>
            </w:pPr>
            <w:r w:rsidRPr="0040534B">
              <w:rPr>
                <w:b/>
                <w:bCs w:val="0"/>
              </w:rPr>
              <w:t>(0.08, 0.24)</w:t>
            </w:r>
          </w:p>
        </w:tc>
      </w:tr>
      <w:tr w:rsidR="0027410A" w:rsidRPr="0040534B" w14:paraId="3A794985" w14:textId="77777777" w:rsidTr="00B434C6">
        <w:tc>
          <w:tcPr>
            <w:tcW w:w="1601" w:type="pct"/>
            <w:gridSpan w:val="2"/>
            <w:tcBorders>
              <w:bottom w:val="single" w:sz="4" w:space="0" w:color="auto"/>
            </w:tcBorders>
            <w:vAlign w:val="center"/>
          </w:tcPr>
          <w:p w14:paraId="1B68E632" w14:textId="77777777" w:rsidR="0027410A" w:rsidRPr="0040534B" w:rsidRDefault="0027410A" w:rsidP="00B434C6">
            <w:pPr>
              <w:pStyle w:val="TableText0"/>
            </w:pPr>
            <w:r w:rsidRPr="0040534B">
              <w:t>Pooled fremanezumab</w:t>
            </w:r>
          </w:p>
        </w:tc>
        <w:tc>
          <w:tcPr>
            <w:tcW w:w="640" w:type="pct"/>
            <w:tcBorders>
              <w:bottom w:val="single" w:sz="4" w:space="0" w:color="auto"/>
            </w:tcBorders>
            <w:shd w:val="clear" w:color="auto" w:fill="auto"/>
            <w:vAlign w:val="center"/>
          </w:tcPr>
          <w:p w14:paraId="2253D512" w14:textId="77777777" w:rsidR="0027410A" w:rsidRPr="0040534B" w:rsidRDefault="0027410A" w:rsidP="002D3A58">
            <w:pPr>
              <w:pStyle w:val="TableText0"/>
              <w:jc w:val="center"/>
            </w:pPr>
            <w:r w:rsidRPr="0040534B">
              <w:t>304/844 (36.0)</w:t>
            </w:r>
          </w:p>
        </w:tc>
        <w:tc>
          <w:tcPr>
            <w:tcW w:w="615" w:type="pct"/>
            <w:tcBorders>
              <w:bottom w:val="single" w:sz="4" w:space="0" w:color="auto"/>
            </w:tcBorders>
            <w:shd w:val="clear" w:color="auto" w:fill="auto"/>
            <w:vAlign w:val="center"/>
          </w:tcPr>
          <w:p w14:paraId="0521E344" w14:textId="77777777" w:rsidR="0027410A" w:rsidRPr="0040534B" w:rsidRDefault="0027410A" w:rsidP="002D3A58">
            <w:pPr>
              <w:pStyle w:val="TableText0"/>
              <w:jc w:val="center"/>
            </w:pPr>
            <w:r w:rsidRPr="0040534B">
              <w:t>116/839 (13.8)</w:t>
            </w:r>
          </w:p>
        </w:tc>
        <w:tc>
          <w:tcPr>
            <w:tcW w:w="701" w:type="pct"/>
            <w:tcBorders>
              <w:bottom w:val="single" w:sz="4" w:space="0" w:color="auto"/>
            </w:tcBorders>
          </w:tcPr>
          <w:p w14:paraId="00186560" w14:textId="77777777" w:rsidR="0027410A" w:rsidRPr="0040534B" w:rsidRDefault="0027410A" w:rsidP="002D3A58">
            <w:pPr>
              <w:pStyle w:val="TableText0"/>
              <w:jc w:val="center"/>
              <w:rPr>
                <w:b/>
              </w:rPr>
            </w:pPr>
            <w:r w:rsidRPr="0040534B">
              <w:rPr>
                <w:b/>
              </w:rPr>
              <w:t xml:space="preserve">3.57 </w:t>
            </w:r>
          </w:p>
          <w:p w14:paraId="42F5B3CB" w14:textId="77777777" w:rsidR="0027410A" w:rsidRPr="0040534B" w:rsidRDefault="0027410A" w:rsidP="002D3A58">
            <w:pPr>
              <w:pStyle w:val="TableText0"/>
              <w:jc w:val="center"/>
              <w:rPr>
                <w:b/>
              </w:rPr>
            </w:pPr>
            <w:r w:rsidRPr="0040534B">
              <w:rPr>
                <w:b/>
              </w:rPr>
              <w:t>(2.41, 5.31)</w:t>
            </w:r>
          </w:p>
        </w:tc>
        <w:tc>
          <w:tcPr>
            <w:tcW w:w="701" w:type="pct"/>
            <w:tcBorders>
              <w:bottom w:val="single" w:sz="4" w:space="0" w:color="auto"/>
            </w:tcBorders>
            <w:vAlign w:val="center"/>
          </w:tcPr>
          <w:p w14:paraId="66FF5B1F" w14:textId="77777777" w:rsidR="0027410A" w:rsidRPr="0040534B" w:rsidRDefault="0027410A" w:rsidP="002D3A58">
            <w:pPr>
              <w:pStyle w:val="TableText0"/>
              <w:jc w:val="center"/>
              <w:rPr>
                <w:b/>
              </w:rPr>
            </w:pPr>
            <w:r w:rsidRPr="0040534B">
              <w:rPr>
                <w:b/>
              </w:rPr>
              <w:t xml:space="preserve">2.66 </w:t>
            </w:r>
          </w:p>
          <w:p w14:paraId="6D579CB6" w14:textId="77777777" w:rsidR="0027410A" w:rsidRPr="0040534B" w:rsidRDefault="0027410A" w:rsidP="002D3A58">
            <w:pPr>
              <w:pStyle w:val="TableText0"/>
              <w:jc w:val="center"/>
              <w:rPr>
                <w:b/>
              </w:rPr>
            </w:pPr>
            <w:r w:rsidRPr="0040534B">
              <w:rPr>
                <w:b/>
              </w:rPr>
              <w:t>(1.87, 3.78)</w:t>
            </w:r>
          </w:p>
        </w:tc>
        <w:tc>
          <w:tcPr>
            <w:tcW w:w="742" w:type="pct"/>
            <w:tcBorders>
              <w:bottom w:val="single" w:sz="4" w:space="0" w:color="auto"/>
            </w:tcBorders>
            <w:vAlign w:val="center"/>
          </w:tcPr>
          <w:p w14:paraId="5523D3E6" w14:textId="77777777" w:rsidR="0027410A" w:rsidRPr="0040534B" w:rsidRDefault="0027410A" w:rsidP="002D3A58">
            <w:pPr>
              <w:pStyle w:val="TableText0"/>
              <w:jc w:val="center"/>
              <w:rPr>
                <w:b/>
              </w:rPr>
            </w:pPr>
            <w:r w:rsidRPr="0040534B">
              <w:rPr>
                <w:b/>
              </w:rPr>
              <w:t xml:space="preserve">0.22 </w:t>
            </w:r>
          </w:p>
          <w:p w14:paraId="5A84FA0A" w14:textId="77777777" w:rsidR="0027410A" w:rsidRPr="0040534B" w:rsidRDefault="0027410A" w:rsidP="002D3A58">
            <w:pPr>
              <w:pStyle w:val="TableText0"/>
              <w:jc w:val="center"/>
              <w:rPr>
                <w:b/>
              </w:rPr>
            </w:pPr>
            <w:r w:rsidRPr="0040534B">
              <w:rPr>
                <w:b/>
              </w:rPr>
              <w:t>(0.17, 0.27)</w:t>
            </w:r>
          </w:p>
        </w:tc>
      </w:tr>
      <w:tr w:rsidR="0027410A" w:rsidRPr="0040534B" w14:paraId="0764942E" w14:textId="77777777" w:rsidTr="00C124DD">
        <w:tc>
          <w:tcPr>
            <w:tcW w:w="1601" w:type="pct"/>
            <w:gridSpan w:val="2"/>
            <w:tcBorders>
              <w:bottom w:val="single" w:sz="12" w:space="0" w:color="auto"/>
            </w:tcBorders>
          </w:tcPr>
          <w:p w14:paraId="5A063EC5" w14:textId="4E2F1F0F" w:rsidR="0027410A" w:rsidRPr="0040534B" w:rsidRDefault="0027410A" w:rsidP="002D3A58">
            <w:pPr>
              <w:pStyle w:val="TableText0"/>
            </w:pPr>
            <w:r w:rsidRPr="0040534B">
              <w:t>Pooled fremanezumab (excluding FOCUS</w:t>
            </w:r>
            <w:r w:rsidR="004F6141" w:rsidRPr="0040534B">
              <w:t xml:space="preserve"> due to heterogeneity</w:t>
            </w:r>
            <w:r w:rsidRPr="0040534B">
              <w:t>)</w:t>
            </w:r>
          </w:p>
        </w:tc>
        <w:tc>
          <w:tcPr>
            <w:tcW w:w="640" w:type="pct"/>
            <w:tcBorders>
              <w:bottom w:val="single" w:sz="12" w:space="0" w:color="auto"/>
            </w:tcBorders>
            <w:shd w:val="clear" w:color="auto" w:fill="auto"/>
            <w:vAlign w:val="center"/>
          </w:tcPr>
          <w:p w14:paraId="3CA2E209" w14:textId="77777777" w:rsidR="0027410A" w:rsidRPr="0040534B" w:rsidRDefault="0027410A" w:rsidP="002D3A58">
            <w:pPr>
              <w:pStyle w:val="TableText0"/>
              <w:jc w:val="center"/>
            </w:pPr>
            <w:r w:rsidRPr="0040534B">
              <w:t>207/561 (36.7)</w:t>
            </w:r>
          </w:p>
        </w:tc>
        <w:tc>
          <w:tcPr>
            <w:tcW w:w="615" w:type="pct"/>
            <w:tcBorders>
              <w:bottom w:val="single" w:sz="12" w:space="0" w:color="auto"/>
            </w:tcBorders>
            <w:shd w:val="clear" w:color="auto" w:fill="auto"/>
            <w:vAlign w:val="center"/>
          </w:tcPr>
          <w:p w14:paraId="4FC63E46" w14:textId="77777777" w:rsidR="0027410A" w:rsidRPr="0040534B" w:rsidRDefault="0027410A" w:rsidP="002D3A58">
            <w:pPr>
              <w:pStyle w:val="TableText0"/>
              <w:jc w:val="center"/>
            </w:pPr>
            <w:r w:rsidRPr="0040534B">
              <w:t>92/561 (16.4)</w:t>
            </w:r>
          </w:p>
        </w:tc>
        <w:tc>
          <w:tcPr>
            <w:tcW w:w="701" w:type="pct"/>
            <w:tcBorders>
              <w:bottom w:val="single" w:sz="12" w:space="0" w:color="auto"/>
            </w:tcBorders>
          </w:tcPr>
          <w:p w14:paraId="034FD674" w14:textId="77777777" w:rsidR="0027410A" w:rsidRPr="0040534B" w:rsidRDefault="0027410A" w:rsidP="002D3A58">
            <w:pPr>
              <w:pStyle w:val="TableText0"/>
              <w:jc w:val="center"/>
              <w:rPr>
                <w:b/>
              </w:rPr>
            </w:pPr>
            <w:r w:rsidRPr="0040534B">
              <w:rPr>
                <w:b/>
              </w:rPr>
              <w:t xml:space="preserve">3.00 </w:t>
            </w:r>
          </w:p>
          <w:p w14:paraId="28E2DD82" w14:textId="77777777" w:rsidR="0027410A" w:rsidRPr="0040534B" w:rsidRDefault="0027410A" w:rsidP="002D3A58">
            <w:pPr>
              <w:pStyle w:val="TableText0"/>
              <w:jc w:val="center"/>
              <w:rPr>
                <w:b/>
              </w:rPr>
            </w:pPr>
            <w:r w:rsidRPr="0040534B">
              <w:rPr>
                <w:b/>
              </w:rPr>
              <w:t>(2.26, 3.98)</w:t>
            </w:r>
          </w:p>
        </w:tc>
        <w:tc>
          <w:tcPr>
            <w:tcW w:w="701" w:type="pct"/>
            <w:tcBorders>
              <w:bottom w:val="single" w:sz="12" w:space="0" w:color="auto"/>
            </w:tcBorders>
            <w:vAlign w:val="center"/>
          </w:tcPr>
          <w:p w14:paraId="22589501" w14:textId="77777777" w:rsidR="0027410A" w:rsidRPr="0040534B" w:rsidRDefault="0027410A" w:rsidP="002D3A58">
            <w:pPr>
              <w:pStyle w:val="TableText0"/>
              <w:jc w:val="center"/>
              <w:rPr>
                <w:b/>
              </w:rPr>
            </w:pPr>
            <w:r w:rsidRPr="0040534B">
              <w:rPr>
                <w:b/>
              </w:rPr>
              <w:t xml:space="preserve">2.25 </w:t>
            </w:r>
          </w:p>
          <w:p w14:paraId="3B590A80" w14:textId="77777777" w:rsidR="0027410A" w:rsidRPr="0040534B" w:rsidRDefault="0027410A" w:rsidP="002D3A58">
            <w:pPr>
              <w:pStyle w:val="TableText0"/>
              <w:jc w:val="center"/>
              <w:rPr>
                <w:b/>
              </w:rPr>
            </w:pPr>
            <w:r w:rsidRPr="0040534B">
              <w:rPr>
                <w:b/>
              </w:rPr>
              <w:t>(1.81, 2.78)</w:t>
            </w:r>
          </w:p>
        </w:tc>
        <w:tc>
          <w:tcPr>
            <w:tcW w:w="742" w:type="pct"/>
            <w:tcBorders>
              <w:bottom w:val="single" w:sz="12" w:space="0" w:color="auto"/>
            </w:tcBorders>
            <w:vAlign w:val="center"/>
          </w:tcPr>
          <w:p w14:paraId="61F4A0BF" w14:textId="77777777" w:rsidR="0027410A" w:rsidRPr="0040534B" w:rsidRDefault="0027410A" w:rsidP="002D3A58">
            <w:pPr>
              <w:pStyle w:val="TableText0"/>
              <w:jc w:val="center"/>
              <w:rPr>
                <w:b/>
              </w:rPr>
            </w:pPr>
            <w:r w:rsidRPr="0040534B">
              <w:rPr>
                <w:b/>
              </w:rPr>
              <w:t xml:space="preserve">0.20 </w:t>
            </w:r>
          </w:p>
          <w:p w14:paraId="00C7ADD6" w14:textId="77777777" w:rsidR="0027410A" w:rsidRPr="0040534B" w:rsidRDefault="0027410A" w:rsidP="002D3A58">
            <w:pPr>
              <w:pStyle w:val="TableText0"/>
              <w:jc w:val="center"/>
              <w:rPr>
                <w:b/>
              </w:rPr>
            </w:pPr>
            <w:r w:rsidRPr="0040534B">
              <w:rPr>
                <w:b/>
              </w:rPr>
              <w:t>(0.13, 0.26)</w:t>
            </w:r>
          </w:p>
        </w:tc>
      </w:tr>
      <w:tr w:rsidR="0027410A" w:rsidRPr="0040534B" w14:paraId="424FD6CE" w14:textId="77777777" w:rsidTr="00C124DD">
        <w:tc>
          <w:tcPr>
            <w:tcW w:w="1601" w:type="pct"/>
            <w:gridSpan w:val="2"/>
            <w:tcBorders>
              <w:top w:val="single" w:sz="12" w:space="0" w:color="auto"/>
            </w:tcBorders>
            <w:vAlign w:val="bottom"/>
          </w:tcPr>
          <w:p w14:paraId="38956D59" w14:textId="77777777" w:rsidR="0027410A" w:rsidRPr="0040534B" w:rsidRDefault="0027410A" w:rsidP="002D3A58">
            <w:pPr>
              <w:pStyle w:val="TableText0"/>
            </w:pPr>
            <w:r w:rsidRPr="0040534B">
              <w:t xml:space="preserve">Atogepant vs galcanezumab </w:t>
            </w:r>
          </w:p>
          <w:p w14:paraId="5790BCFE" w14:textId="77777777" w:rsidR="0027410A" w:rsidRPr="0040534B" w:rsidRDefault="0027410A" w:rsidP="002D3A58">
            <w:pPr>
              <w:pStyle w:val="TableText0"/>
            </w:pPr>
            <w:r w:rsidRPr="0040534B">
              <w:t>(95% CI)</w:t>
            </w:r>
          </w:p>
        </w:tc>
        <w:tc>
          <w:tcPr>
            <w:tcW w:w="640" w:type="pct"/>
            <w:tcBorders>
              <w:top w:val="single" w:sz="12" w:space="0" w:color="auto"/>
            </w:tcBorders>
            <w:shd w:val="clear" w:color="auto" w:fill="auto"/>
            <w:vAlign w:val="center"/>
          </w:tcPr>
          <w:p w14:paraId="66AF53B5" w14:textId="77777777" w:rsidR="0027410A" w:rsidRPr="0040534B" w:rsidRDefault="0027410A" w:rsidP="002D3A58">
            <w:pPr>
              <w:pStyle w:val="TableText0"/>
              <w:jc w:val="center"/>
            </w:pPr>
            <w:r w:rsidRPr="0040534B">
              <w:t>–</w:t>
            </w:r>
          </w:p>
        </w:tc>
        <w:tc>
          <w:tcPr>
            <w:tcW w:w="615" w:type="pct"/>
            <w:tcBorders>
              <w:top w:val="single" w:sz="12" w:space="0" w:color="auto"/>
            </w:tcBorders>
            <w:shd w:val="clear" w:color="auto" w:fill="auto"/>
            <w:vAlign w:val="center"/>
          </w:tcPr>
          <w:p w14:paraId="6F2B351F" w14:textId="77777777" w:rsidR="0027410A" w:rsidRPr="0040534B" w:rsidRDefault="0027410A" w:rsidP="002D3A58">
            <w:pPr>
              <w:pStyle w:val="TableText0"/>
              <w:jc w:val="center"/>
            </w:pPr>
            <w:r w:rsidRPr="0040534B">
              <w:t>–</w:t>
            </w:r>
          </w:p>
        </w:tc>
        <w:tc>
          <w:tcPr>
            <w:tcW w:w="701" w:type="pct"/>
            <w:tcBorders>
              <w:top w:val="single" w:sz="12" w:space="0" w:color="auto"/>
            </w:tcBorders>
          </w:tcPr>
          <w:p w14:paraId="67A1D574" w14:textId="77777777" w:rsidR="0027410A" w:rsidRPr="0040534B" w:rsidRDefault="0027410A" w:rsidP="002D3A58">
            <w:pPr>
              <w:pStyle w:val="TableText0"/>
              <w:jc w:val="center"/>
            </w:pPr>
            <w:r w:rsidRPr="0040534B">
              <w:t xml:space="preserve">0.71 </w:t>
            </w:r>
          </w:p>
          <w:p w14:paraId="4686B242" w14:textId="77777777" w:rsidR="0027410A" w:rsidRPr="0040534B" w:rsidRDefault="0027410A" w:rsidP="002D3A58">
            <w:pPr>
              <w:pStyle w:val="TableText0"/>
              <w:jc w:val="center"/>
            </w:pPr>
            <w:r w:rsidRPr="0040534B">
              <w:t>(0.34, 1.47)</w:t>
            </w:r>
          </w:p>
        </w:tc>
        <w:tc>
          <w:tcPr>
            <w:tcW w:w="701" w:type="pct"/>
            <w:tcBorders>
              <w:top w:val="single" w:sz="12" w:space="0" w:color="auto"/>
            </w:tcBorders>
          </w:tcPr>
          <w:p w14:paraId="38717621" w14:textId="77777777" w:rsidR="0027410A" w:rsidRPr="0040534B" w:rsidRDefault="0027410A" w:rsidP="002D3A58">
            <w:pPr>
              <w:pStyle w:val="TableText0"/>
              <w:jc w:val="center"/>
            </w:pPr>
            <w:r w:rsidRPr="0040534B">
              <w:t xml:space="preserve">0.72 </w:t>
            </w:r>
          </w:p>
          <w:p w14:paraId="73CD95E5" w14:textId="77777777" w:rsidR="0027410A" w:rsidRPr="0040534B" w:rsidRDefault="0027410A" w:rsidP="002D3A58">
            <w:pPr>
              <w:pStyle w:val="TableText0"/>
              <w:jc w:val="center"/>
              <w:rPr>
                <w:b/>
              </w:rPr>
            </w:pPr>
            <w:r w:rsidRPr="0040534B">
              <w:t>(0.43, 1.21)</w:t>
            </w:r>
          </w:p>
        </w:tc>
        <w:tc>
          <w:tcPr>
            <w:tcW w:w="742" w:type="pct"/>
            <w:tcBorders>
              <w:top w:val="single" w:sz="12" w:space="0" w:color="auto"/>
            </w:tcBorders>
          </w:tcPr>
          <w:p w14:paraId="30FC5E17" w14:textId="77777777" w:rsidR="0027410A" w:rsidRPr="0040534B" w:rsidRDefault="0027410A" w:rsidP="002D3A58">
            <w:pPr>
              <w:pStyle w:val="TableText0"/>
              <w:jc w:val="center"/>
            </w:pPr>
            <w:r w:rsidRPr="0040534B">
              <w:t xml:space="preserve">-0.03, </w:t>
            </w:r>
          </w:p>
          <w:p w14:paraId="5CB26169" w14:textId="77777777" w:rsidR="0027410A" w:rsidRPr="0040534B" w:rsidRDefault="0027410A" w:rsidP="002D3A58">
            <w:pPr>
              <w:pStyle w:val="TableText0"/>
              <w:jc w:val="center"/>
              <w:rPr>
                <w:b/>
              </w:rPr>
            </w:pPr>
            <w:r w:rsidRPr="0040534B">
              <w:t>(-0.17, 0.11)</w:t>
            </w:r>
          </w:p>
        </w:tc>
      </w:tr>
      <w:tr w:rsidR="0027410A" w:rsidRPr="0040534B" w14:paraId="23258929" w14:textId="77777777" w:rsidTr="00C124DD">
        <w:tc>
          <w:tcPr>
            <w:tcW w:w="1601" w:type="pct"/>
            <w:gridSpan w:val="2"/>
            <w:vAlign w:val="bottom"/>
          </w:tcPr>
          <w:p w14:paraId="0BF078A0" w14:textId="77777777" w:rsidR="0027410A" w:rsidRPr="0040534B" w:rsidRDefault="0027410A" w:rsidP="002D3A58">
            <w:pPr>
              <w:pStyle w:val="TableText0"/>
            </w:pPr>
            <w:r w:rsidRPr="0040534B">
              <w:t xml:space="preserve">Atogepant vs fremanezumab </w:t>
            </w:r>
          </w:p>
          <w:p w14:paraId="23505929" w14:textId="77777777" w:rsidR="0027410A" w:rsidRPr="0040534B" w:rsidRDefault="0027410A" w:rsidP="002D3A58">
            <w:pPr>
              <w:pStyle w:val="TableText0"/>
            </w:pPr>
            <w:r w:rsidRPr="0040534B">
              <w:t>(95% CI)</w:t>
            </w:r>
          </w:p>
        </w:tc>
        <w:tc>
          <w:tcPr>
            <w:tcW w:w="640" w:type="pct"/>
            <w:shd w:val="clear" w:color="auto" w:fill="auto"/>
            <w:vAlign w:val="center"/>
          </w:tcPr>
          <w:p w14:paraId="5C7934DD" w14:textId="77777777" w:rsidR="0027410A" w:rsidRPr="0040534B" w:rsidRDefault="0027410A" w:rsidP="002D3A58">
            <w:pPr>
              <w:pStyle w:val="TableText0"/>
              <w:jc w:val="center"/>
            </w:pPr>
            <w:r w:rsidRPr="0040534B">
              <w:t>–</w:t>
            </w:r>
          </w:p>
        </w:tc>
        <w:tc>
          <w:tcPr>
            <w:tcW w:w="615" w:type="pct"/>
            <w:shd w:val="clear" w:color="auto" w:fill="auto"/>
            <w:vAlign w:val="center"/>
          </w:tcPr>
          <w:p w14:paraId="30EDDA41" w14:textId="77777777" w:rsidR="0027410A" w:rsidRPr="0040534B" w:rsidRDefault="0027410A" w:rsidP="002D3A58">
            <w:pPr>
              <w:pStyle w:val="TableText0"/>
              <w:jc w:val="center"/>
            </w:pPr>
            <w:r w:rsidRPr="0040534B">
              <w:t>–</w:t>
            </w:r>
          </w:p>
        </w:tc>
        <w:tc>
          <w:tcPr>
            <w:tcW w:w="701" w:type="pct"/>
          </w:tcPr>
          <w:p w14:paraId="2FDAAC88" w14:textId="77777777" w:rsidR="0027410A" w:rsidRPr="0040534B" w:rsidRDefault="0027410A" w:rsidP="002D3A58">
            <w:pPr>
              <w:pStyle w:val="TableText0"/>
              <w:jc w:val="center"/>
              <w:rPr>
                <w:b/>
                <w:bCs w:val="0"/>
              </w:rPr>
            </w:pPr>
            <w:r w:rsidRPr="0040534B">
              <w:rPr>
                <w:b/>
                <w:bCs w:val="0"/>
              </w:rPr>
              <w:t xml:space="preserve">0.56 </w:t>
            </w:r>
          </w:p>
          <w:p w14:paraId="7319AABB" w14:textId="77777777" w:rsidR="0027410A" w:rsidRPr="0040534B" w:rsidRDefault="0027410A" w:rsidP="002D3A58">
            <w:pPr>
              <w:pStyle w:val="TableText0"/>
              <w:jc w:val="center"/>
              <w:rPr>
                <w:b/>
                <w:bCs w:val="0"/>
              </w:rPr>
            </w:pPr>
            <w:r w:rsidRPr="0040534B">
              <w:rPr>
                <w:b/>
                <w:bCs w:val="0"/>
              </w:rPr>
              <w:t>(0.32, 0.96)</w:t>
            </w:r>
          </w:p>
        </w:tc>
        <w:tc>
          <w:tcPr>
            <w:tcW w:w="701" w:type="pct"/>
          </w:tcPr>
          <w:p w14:paraId="3AB7B328" w14:textId="77777777" w:rsidR="0027410A" w:rsidRPr="0040534B" w:rsidRDefault="0027410A" w:rsidP="002D3A58">
            <w:pPr>
              <w:pStyle w:val="TableText0"/>
              <w:jc w:val="center"/>
              <w:rPr>
                <w:b/>
                <w:bCs w:val="0"/>
              </w:rPr>
            </w:pPr>
            <w:r w:rsidRPr="0040534B">
              <w:rPr>
                <w:b/>
                <w:bCs w:val="0"/>
              </w:rPr>
              <w:t xml:space="preserve">0.59 </w:t>
            </w:r>
          </w:p>
          <w:p w14:paraId="3460DCAD" w14:textId="77777777" w:rsidR="0027410A" w:rsidRPr="0040534B" w:rsidRDefault="0027410A" w:rsidP="002D3A58">
            <w:pPr>
              <w:pStyle w:val="TableText0"/>
              <w:jc w:val="center"/>
              <w:rPr>
                <w:b/>
                <w:bCs w:val="0"/>
              </w:rPr>
            </w:pPr>
            <w:r w:rsidRPr="0040534B">
              <w:rPr>
                <w:b/>
                <w:bCs w:val="0"/>
              </w:rPr>
              <w:t>(0.38, 0.92)</w:t>
            </w:r>
          </w:p>
        </w:tc>
        <w:tc>
          <w:tcPr>
            <w:tcW w:w="742" w:type="pct"/>
          </w:tcPr>
          <w:p w14:paraId="02FE95D8" w14:textId="77777777" w:rsidR="0027410A" w:rsidRPr="0040534B" w:rsidRDefault="0027410A" w:rsidP="002D3A58">
            <w:pPr>
              <w:pStyle w:val="TableText0"/>
              <w:jc w:val="center"/>
            </w:pPr>
            <w:r w:rsidRPr="0040534B">
              <w:t xml:space="preserve">-0.07 </w:t>
            </w:r>
          </w:p>
          <w:p w14:paraId="7BC72D65" w14:textId="77777777" w:rsidR="0027410A" w:rsidRPr="0040534B" w:rsidRDefault="0027410A" w:rsidP="002D3A58">
            <w:pPr>
              <w:pStyle w:val="TableText0"/>
              <w:jc w:val="center"/>
              <w:rPr>
                <w:b/>
              </w:rPr>
            </w:pPr>
            <w:r w:rsidRPr="0040534B">
              <w:t>(-0.16, 0.02)</w:t>
            </w:r>
          </w:p>
        </w:tc>
      </w:tr>
      <w:tr w:rsidR="0027410A" w:rsidRPr="0040534B" w14:paraId="73AD20DC" w14:textId="77777777" w:rsidTr="00C124DD">
        <w:tc>
          <w:tcPr>
            <w:tcW w:w="1601" w:type="pct"/>
            <w:gridSpan w:val="2"/>
            <w:vAlign w:val="bottom"/>
          </w:tcPr>
          <w:p w14:paraId="720BB20C" w14:textId="03C6358D" w:rsidR="0027410A" w:rsidRPr="0040534B" w:rsidRDefault="0027410A" w:rsidP="002D3A58">
            <w:pPr>
              <w:pStyle w:val="TableText0"/>
            </w:pPr>
            <w:r w:rsidRPr="0040534B">
              <w:t>Atogepant vs fremanezumab excluding FOCUS trial (95% CI)</w:t>
            </w:r>
          </w:p>
        </w:tc>
        <w:tc>
          <w:tcPr>
            <w:tcW w:w="640" w:type="pct"/>
            <w:shd w:val="clear" w:color="auto" w:fill="auto"/>
            <w:vAlign w:val="center"/>
          </w:tcPr>
          <w:p w14:paraId="45BA737D" w14:textId="77777777" w:rsidR="0027410A" w:rsidRPr="0040534B" w:rsidRDefault="0027410A" w:rsidP="002D3A58">
            <w:pPr>
              <w:pStyle w:val="TableText0"/>
              <w:jc w:val="center"/>
            </w:pPr>
            <w:r w:rsidRPr="0040534B">
              <w:t>–</w:t>
            </w:r>
          </w:p>
        </w:tc>
        <w:tc>
          <w:tcPr>
            <w:tcW w:w="615" w:type="pct"/>
            <w:shd w:val="clear" w:color="auto" w:fill="auto"/>
            <w:vAlign w:val="center"/>
          </w:tcPr>
          <w:p w14:paraId="1CED6970" w14:textId="77777777" w:rsidR="0027410A" w:rsidRPr="0040534B" w:rsidRDefault="0027410A" w:rsidP="002D3A58">
            <w:pPr>
              <w:pStyle w:val="TableText0"/>
              <w:jc w:val="center"/>
            </w:pPr>
            <w:r w:rsidRPr="0040534B">
              <w:t>–</w:t>
            </w:r>
          </w:p>
        </w:tc>
        <w:tc>
          <w:tcPr>
            <w:tcW w:w="701" w:type="pct"/>
          </w:tcPr>
          <w:p w14:paraId="5AF2BE29" w14:textId="77777777" w:rsidR="0027410A" w:rsidRPr="0040534B" w:rsidRDefault="0027410A" w:rsidP="002D3A58">
            <w:pPr>
              <w:pStyle w:val="TableText0"/>
              <w:jc w:val="center"/>
            </w:pPr>
            <w:r w:rsidRPr="0040534B">
              <w:t xml:space="preserve">0.66 </w:t>
            </w:r>
          </w:p>
          <w:p w14:paraId="2D7607E2" w14:textId="77777777" w:rsidR="0027410A" w:rsidRPr="0040534B" w:rsidRDefault="0027410A" w:rsidP="002D3A58">
            <w:pPr>
              <w:pStyle w:val="TableText0"/>
              <w:jc w:val="center"/>
            </w:pPr>
            <w:r w:rsidRPr="0040534B">
              <w:t>(0.41, 1.06)</w:t>
            </w:r>
          </w:p>
        </w:tc>
        <w:tc>
          <w:tcPr>
            <w:tcW w:w="701" w:type="pct"/>
            <w:vAlign w:val="center"/>
          </w:tcPr>
          <w:p w14:paraId="24192C8A" w14:textId="77777777" w:rsidR="0027410A" w:rsidRPr="0040534B" w:rsidRDefault="0027410A" w:rsidP="002D3A58">
            <w:pPr>
              <w:pStyle w:val="TableText0"/>
              <w:jc w:val="center"/>
              <w:rPr>
                <w:b/>
                <w:bCs w:val="0"/>
              </w:rPr>
            </w:pPr>
            <w:r w:rsidRPr="0040534B">
              <w:rPr>
                <w:b/>
                <w:bCs w:val="0"/>
              </w:rPr>
              <w:t xml:space="preserve">0.70 </w:t>
            </w:r>
          </w:p>
          <w:p w14:paraId="74CE6FE3" w14:textId="77777777" w:rsidR="0027410A" w:rsidRPr="0040534B" w:rsidRDefault="0027410A" w:rsidP="002D3A58">
            <w:pPr>
              <w:pStyle w:val="TableText0"/>
              <w:jc w:val="center"/>
            </w:pPr>
            <w:r w:rsidRPr="0040534B">
              <w:rPr>
                <w:b/>
                <w:bCs w:val="0"/>
              </w:rPr>
              <w:t>(0.50, 0.98)</w:t>
            </w:r>
          </w:p>
        </w:tc>
        <w:tc>
          <w:tcPr>
            <w:tcW w:w="742" w:type="pct"/>
            <w:vAlign w:val="center"/>
          </w:tcPr>
          <w:p w14:paraId="2EA75BCA" w14:textId="77777777" w:rsidR="0027410A" w:rsidRPr="0040534B" w:rsidRDefault="0027410A" w:rsidP="002D3A58">
            <w:pPr>
              <w:pStyle w:val="TableText0"/>
              <w:jc w:val="center"/>
            </w:pPr>
            <w:r w:rsidRPr="0040534B">
              <w:t xml:space="preserve">-0.05 </w:t>
            </w:r>
          </w:p>
          <w:p w14:paraId="657925D4" w14:textId="77777777" w:rsidR="0027410A" w:rsidRPr="0040534B" w:rsidRDefault="0027410A" w:rsidP="002D3A58">
            <w:pPr>
              <w:pStyle w:val="TableText0"/>
              <w:jc w:val="center"/>
            </w:pPr>
            <w:r w:rsidRPr="0040534B">
              <w:t>(-0.15, 0.05)</w:t>
            </w:r>
          </w:p>
        </w:tc>
      </w:tr>
    </w:tbl>
    <w:p w14:paraId="53D298DF" w14:textId="747FE49C" w:rsidR="0027410A" w:rsidRPr="0040534B" w:rsidRDefault="0027410A" w:rsidP="0027410A">
      <w:pPr>
        <w:pStyle w:val="FooterTableFigure"/>
        <w:rPr>
          <w:i/>
          <w:iCs/>
        </w:rPr>
      </w:pPr>
      <w:r w:rsidRPr="0040534B">
        <w:t>Source: Table 2-44, p140 of the submission; Figure 2-11, p126 of the submission.</w:t>
      </w:r>
      <w:r w:rsidRPr="0040534B">
        <w:rPr>
          <w:b/>
          <w:bCs/>
        </w:rPr>
        <w:t xml:space="preserve"> Bold</w:t>
      </w:r>
      <w:r w:rsidRPr="0040534B">
        <w:t xml:space="preserve"> indicates statistically significant results. </w:t>
      </w:r>
    </w:p>
    <w:p w14:paraId="513F9414" w14:textId="77777777" w:rsidR="0027410A" w:rsidRPr="0040534B" w:rsidRDefault="0027410A" w:rsidP="0027410A">
      <w:pPr>
        <w:pStyle w:val="FooterTableFigure"/>
      </w:pPr>
      <w:r w:rsidRPr="0040534B">
        <w:t>CGRP = Calcitonin gene-related peptide; CI = confidence interval; FREM = Fremanezumab; GAL = Galcanezumab; n = number of participants with the event; N = number of participants in the group; PBO = placebo.</w:t>
      </w:r>
    </w:p>
    <w:p w14:paraId="039D3471" w14:textId="720E9647" w:rsidR="004F6141" w:rsidRPr="0040534B" w:rsidRDefault="004F6141" w:rsidP="0027410A">
      <w:pPr>
        <w:pStyle w:val="FooterTableFigure"/>
      </w:pPr>
      <w:r w:rsidRPr="0040534B">
        <w:rPr>
          <w:vertAlign w:val="superscript"/>
        </w:rPr>
        <w:t>a</w:t>
      </w:r>
      <w:r w:rsidRPr="0040534B">
        <w:t xml:space="preserve"> include</w:t>
      </w:r>
      <w:r w:rsidR="00950E8B" w:rsidRPr="0040534B">
        <w:t>d</w:t>
      </w:r>
      <w:r w:rsidRPr="0040534B">
        <w:t xml:space="preserve"> pa</w:t>
      </w:r>
      <w:r w:rsidR="00950E8B" w:rsidRPr="0040534B">
        <w:t>rticipants</w:t>
      </w:r>
      <w:r w:rsidRPr="0040534B">
        <w:t xml:space="preserve"> with chronic and episodic migraine.</w:t>
      </w:r>
    </w:p>
    <w:p w14:paraId="2CBD717F" w14:textId="5053880A" w:rsidR="00F03CD4" w:rsidRPr="0040534B" w:rsidRDefault="00F03CD4" w:rsidP="00F03CD4">
      <w:pPr>
        <w:pStyle w:val="3-BodyText"/>
      </w:pPr>
      <w:r w:rsidRPr="0040534B">
        <w:t xml:space="preserve">The indirect comparison results for the ≥50% reduction in monthly migraine days demonstrated no statistical difference between atogepant and galcanezumab measured using the odds ratio, relative risk or risk difference. The indirect comparison between atogepant fremanezumab </w:t>
      </w:r>
      <w:r w:rsidR="00CB56D9" w:rsidRPr="0040534B">
        <w:t xml:space="preserve">(including FOCUS) </w:t>
      </w:r>
      <w:r w:rsidRPr="0040534B">
        <w:t xml:space="preserve">measured using the risk difference was also not statistically significant but </w:t>
      </w:r>
      <w:r w:rsidR="00CB56D9" w:rsidRPr="0040534B">
        <w:t>the results were</w:t>
      </w:r>
      <w:r w:rsidRPr="0040534B">
        <w:t xml:space="preserve"> statistically significant</w:t>
      </w:r>
      <w:r w:rsidR="00CB56D9" w:rsidRPr="0040534B">
        <w:t xml:space="preserve"> in favour of fremanezumab</w:t>
      </w:r>
      <w:r w:rsidRPr="0040534B">
        <w:t xml:space="preserve"> when measured using the odds ratio and relative risk. The point estimates of the indirect comparison results suggested that galcanezumab and fremanezumab resulted in a greater proportion of participants experiencing a ≥50% reduction in monthly migraine days than atogepant. No non-inferiority margin was proposed for this outcome.</w:t>
      </w:r>
    </w:p>
    <w:p w14:paraId="372DF22A" w14:textId="5C803143" w:rsidR="007802CB" w:rsidRPr="0040534B" w:rsidRDefault="007802CB" w:rsidP="007802CB">
      <w:pPr>
        <w:pStyle w:val="3-BodyText"/>
      </w:pPr>
      <w:r w:rsidRPr="0040534B">
        <w:t xml:space="preserve">The whole trial meta-analysis for the primary endpoint of change from baseline in mean monthly migraine days indicated that atogepant, galcanezumab and fremanezumab were superior to placebo in reducing the number of migraine days per month, with a total change from baseline (95% CI) across the treatments of -2.41 days </w:t>
      </w:r>
      <w:r w:rsidRPr="0040534B">
        <w:lastRenderedPageBreak/>
        <w:t>(-3.07, -1.75). The submission noted significant heterogeneity across the six chronic migraine trials (heterogeneity test; p=0.02, I</w:t>
      </w:r>
      <w:r w:rsidRPr="0040534B">
        <w:rPr>
          <w:vertAlign w:val="superscript"/>
        </w:rPr>
        <w:t>2</w:t>
      </w:r>
      <w:r w:rsidRPr="0040534B">
        <w:t>=61%). The fremanezumab FOCUS trial was identified as an outlier, with the trials becoming more homogenous when the trial was removed from the meta-analysis (heterogeneity test; p=0.19, I</w:t>
      </w:r>
      <w:r w:rsidRPr="0040534B">
        <w:rPr>
          <w:vertAlign w:val="superscript"/>
        </w:rPr>
        <w:t>2</w:t>
      </w:r>
      <w:r w:rsidRPr="0040534B">
        <w:t>=35%). When the FOCUS trial was removed, the meta-analysis showed that atogepant, galcanezumab and fremanezumab were superior to placebo in reducing the number of migraine days per month, with a total change from baseline (95% CI) across the treatments of -2.18 days (-2.77, -1.60). The submission reported a class effect across the three CGRP inhibitors with the test for subgroup differences between the three treatments being insignificant (with FOCUS: p=0.54, I</w:t>
      </w:r>
      <w:r w:rsidRPr="0040534B">
        <w:rPr>
          <w:vertAlign w:val="superscript"/>
        </w:rPr>
        <w:t>2</w:t>
      </w:r>
      <w:r w:rsidRPr="0040534B">
        <w:t>=0%); without FOCUS: p=0.32, I</w:t>
      </w:r>
      <w:r w:rsidRPr="0040534B">
        <w:rPr>
          <w:vertAlign w:val="superscript"/>
        </w:rPr>
        <w:t>2</w:t>
      </w:r>
      <w:r w:rsidRPr="0040534B">
        <w:t>=12.5%).</w:t>
      </w:r>
    </w:p>
    <w:p w14:paraId="00479A58" w14:textId="48938FD5" w:rsidR="00396D9B" w:rsidRPr="0040534B" w:rsidRDefault="00396D9B" w:rsidP="007802CB">
      <w:pPr>
        <w:pStyle w:val="3-BodyText"/>
      </w:pPr>
      <w:bookmarkStart w:id="54" w:name="_Ref138064312"/>
      <w:r w:rsidRPr="0040534B">
        <w:t>The ESC considered using the I</w:t>
      </w:r>
      <w:r w:rsidRPr="0040534B">
        <w:rPr>
          <w:vertAlign w:val="superscript"/>
        </w:rPr>
        <w:t>2</w:t>
      </w:r>
      <w:r w:rsidRPr="0040534B">
        <w:t xml:space="preserve"> statistic and Cochran‘s Q test (i.e., p value in paragraph above) to conclude there </w:t>
      </w:r>
      <w:r w:rsidR="004A5757" w:rsidRPr="0040534B">
        <w:t>we</w:t>
      </w:r>
      <w:r w:rsidRPr="0040534B">
        <w:t xml:space="preserve">re no significant differences between atogepant, galcanezumab and fremanezumab may not </w:t>
      </w:r>
      <w:r w:rsidR="004A5757" w:rsidRPr="0040534B">
        <w:t xml:space="preserve">have </w:t>
      </w:r>
      <w:r w:rsidRPr="0040534B">
        <w:t>be</w:t>
      </w:r>
      <w:r w:rsidR="004A5757" w:rsidRPr="0040534B">
        <w:t>en</w:t>
      </w:r>
      <w:r w:rsidRPr="0040534B">
        <w:t xml:space="preserve"> appropriate. The ESC noted the Cochran’s Q test may not be accurate if the individual trials have a moderate sample size</w:t>
      </w:r>
      <w:r w:rsidRPr="0040534B">
        <w:rPr>
          <w:rStyle w:val="FootnoteReference"/>
        </w:rPr>
        <w:footnoteReference w:id="2"/>
      </w:r>
      <w:r w:rsidRPr="0040534B">
        <w:t xml:space="preserve"> and </w:t>
      </w:r>
      <w:r w:rsidR="004A5757" w:rsidRPr="0040534B">
        <w:t xml:space="preserve">has a </w:t>
      </w:r>
      <w:r w:rsidRPr="0040534B">
        <w:t>low power to detect differences if there are a small number of studies in the meta-analysis</w:t>
      </w:r>
      <w:r w:rsidRPr="0040534B">
        <w:rPr>
          <w:rStyle w:val="FootnoteReference"/>
        </w:rPr>
        <w:footnoteReference w:id="3"/>
      </w:r>
      <w:r w:rsidRPr="0040534B">
        <w:t xml:space="preserve">. Additionally, the ESC noted a lack of significant difference does not necessarily support a claim of non-inferiority. The ESC also noted the issues raised in paragraph </w:t>
      </w:r>
      <w:r w:rsidRPr="0040534B">
        <w:fldChar w:fldCharType="begin" w:fldLock="1"/>
      </w:r>
      <w:r w:rsidRPr="0040534B">
        <w:instrText xml:space="preserve"> REF _Ref138064231 \r \h </w:instrText>
      </w:r>
      <w:r w:rsidR="006045A2" w:rsidRPr="0040534B">
        <w:instrText xml:space="preserve"> \* MERGEFORMAT </w:instrText>
      </w:r>
      <w:r w:rsidRPr="0040534B">
        <w:fldChar w:fldCharType="separate"/>
      </w:r>
      <w:r w:rsidR="004E201F">
        <w:t>6.32</w:t>
      </w:r>
      <w:r w:rsidRPr="0040534B">
        <w:fldChar w:fldCharType="end"/>
      </w:r>
      <w:r w:rsidRPr="0040534B">
        <w:t xml:space="preserve"> regarding the meta-analysis</w:t>
      </w:r>
      <w:bookmarkEnd w:id="54"/>
      <w:r w:rsidR="0040534B">
        <w:t xml:space="preserve">. </w:t>
      </w:r>
    </w:p>
    <w:p w14:paraId="7AB7F20B" w14:textId="77777777" w:rsidR="00F03CD4" w:rsidRPr="0040534B" w:rsidRDefault="00F03CD4" w:rsidP="00F03CD4">
      <w:pPr>
        <w:pStyle w:val="5-SubsectionSubheading"/>
      </w:pPr>
      <w:bookmarkStart w:id="55" w:name="_Toc135214014"/>
      <w:bookmarkStart w:id="56" w:name="_Toc22897642"/>
      <w:r w:rsidRPr="0040534B">
        <w:t>Episodic migraine</w:t>
      </w:r>
      <w:bookmarkEnd w:id="55"/>
    </w:p>
    <w:p w14:paraId="7DCD9930" w14:textId="2E69D57D" w:rsidR="00F03CD4" w:rsidRPr="0040534B" w:rsidRDefault="00F03CD4" w:rsidP="00F03CD4">
      <w:pPr>
        <w:pStyle w:val="3-BodyText"/>
      </w:pPr>
      <w:r w:rsidRPr="0040534B">
        <w:fldChar w:fldCharType="begin" w:fldLock="1"/>
      </w:r>
      <w:r w:rsidRPr="0040534B">
        <w:instrText xml:space="preserve"> REF _Ref133586628 \h </w:instrText>
      </w:r>
      <w:r w:rsidR="00653EEA" w:rsidRPr="0040534B">
        <w:instrText xml:space="preserve"> \* MERGEFORMAT </w:instrText>
      </w:r>
      <w:r w:rsidRPr="0040534B">
        <w:fldChar w:fldCharType="separate"/>
      </w:r>
      <w:r w:rsidR="004E201F" w:rsidRPr="0040534B">
        <w:t xml:space="preserve">Table </w:t>
      </w:r>
      <w:r w:rsidR="004E201F">
        <w:t>9</w:t>
      </w:r>
      <w:r w:rsidRPr="0040534B">
        <w:fldChar w:fldCharType="end"/>
      </w:r>
      <w:r w:rsidRPr="0040534B">
        <w:t xml:space="preserve"> presents the results of the key outcomes in the atogepant ADVANCE and </w:t>
      </w:r>
      <w:r w:rsidR="004F6141" w:rsidRPr="0040534B">
        <w:t>NCT028484326</w:t>
      </w:r>
      <w:r w:rsidRPr="0040534B">
        <w:t xml:space="preserve"> trials</w:t>
      </w:r>
      <w:r w:rsidR="00E34A5B" w:rsidRPr="0040534B">
        <w:t xml:space="preserve"> for episodic migraine</w:t>
      </w:r>
      <w:r w:rsidRPr="0040534B">
        <w:t xml:space="preserve">. </w:t>
      </w:r>
    </w:p>
    <w:p w14:paraId="25C1EEBE" w14:textId="765D88B6" w:rsidR="00F03CD4" w:rsidRPr="0040534B" w:rsidRDefault="00F03CD4" w:rsidP="00F03CD4">
      <w:pPr>
        <w:pStyle w:val="Caption"/>
        <w:rPr>
          <w:rStyle w:val="CommentReference"/>
          <w:b/>
          <w:szCs w:val="24"/>
        </w:rPr>
      </w:pPr>
      <w:bookmarkStart w:id="57" w:name="_Ref133586628"/>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9</w:t>
      </w:r>
      <w:r w:rsidR="001968FD">
        <w:rPr>
          <w:noProof/>
        </w:rPr>
        <w:fldChar w:fldCharType="end"/>
      </w:r>
      <w:bookmarkEnd w:id="57"/>
      <w:r w:rsidRPr="0040534B">
        <w:rPr>
          <w:rStyle w:val="CommentReference"/>
          <w:b/>
          <w:szCs w:val="24"/>
        </w:rPr>
        <w:t>: Summary of key secondary outcome results at 12 weeks from the atogepant ADVANCE trial</w:t>
      </w:r>
      <w:r w:rsidR="00F422A6" w:rsidRPr="0040534B">
        <w:rPr>
          <w:rStyle w:val="CommentReference"/>
          <w:b/>
          <w:szCs w:val="24"/>
        </w:rPr>
        <w:t xml:space="preserve"> and primary outcome at 12 weeks for the NCT02848326 trial</w:t>
      </w:r>
      <w:r w:rsidRPr="0040534B">
        <w:rPr>
          <w:rStyle w:val="CommentReference"/>
          <w:b/>
          <w:szCs w:val="24"/>
        </w:rPr>
        <w:t>: continuous data with outcome presented as change from baseline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5"/>
        <w:gridCol w:w="1392"/>
        <w:gridCol w:w="599"/>
        <w:gridCol w:w="959"/>
        <w:gridCol w:w="839"/>
        <w:gridCol w:w="601"/>
        <w:gridCol w:w="862"/>
        <w:gridCol w:w="887"/>
        <w:gridCol w:w="1098"/>
        <w:gridCol w:w="655"/>
      </w:tblGrid>
      <w:tr w:rsidR="00B868D1" w:rsidRPr="0040534B" w14:paraId="7E68A150" w14:textId="77777777" w:rsidTr="00F478FB">
        <w:trPr>
          <w:tblHeader/>
        </w:trPr>
        <w:tc>
          <w:tcPr>
            <w:tcW w:w="624" w:type="pct"/>
            <w:vMerge w:val="restart"/>
            <w:vAlign w:val="center"/>
          </w:tcPr>
          <w:p w14:paraId="1BF0C6B1" w14:textId="77777777" w:rsidR="00F03CD4" w:rsidRPr="0040534B" w:rsidRDefault="00F03CD4" w:rsidP="00AE0C79">
            <w:pPr>
              <w:pStyle w:val="In-tableHeading"/>
              <w:jc w:val="center"/>
              <w:rPr>
                <w:lang w:val="en-AU"/>
              </w:rPr>
            </w:pPr>
            <w:r w:rsidRPr="0040534B">
              <w:rPr>
                <w:lang w:val="en-AU"/>
              </w:rPr>
              <w:t>Trial ID</w:t>
            </w:r>
          </w:p>
        </w:tc>
        <w:tc>
          <w:tcPr>
            <w:tcW w:w="772" w:type="pct"/>
            <w:vMerge w:val="restart"/>
            <w:vAlign w:val="center"/>
          </w:tcPr>
          <w:p w14:paraId="7F033BB4" w14:textId="77777777" w:rsidR="00F03CD4" w:rsidRPr="0040534B" w:rsidRDefault="00F03CD4" w:rsidP="00AE0C79">
            <w:pPr>
              <w:pStyle w:val="In-tableHeading"/>
              <w:jc w:val="center"/>
              <w:rPr>
                <w:iCs/>
                <w:lang w:val="en-AU"/>
              </w:rPr>
            </w:pPr>
            <w:r w:rsidRPr="0040534B">
              <w:rPr>
                <w:iCs/>
                <w:lang w:val="en-AU"/>
              </w:rPr>
              <w:t>Treatment arms</w:t>
            </w:r>
          </w:p>
        </w:tc>
        <w:tc>
          <w:tcPr>
            <w:tcW w:w="1329" w:type="pct"/>
            <w:gridSpan w:val="3"/>
            <w:vMerge w:val="restart"/>
            <w:vAlign w:val="center"/>
          </w:tcPr>
          <w:p w14:paraId="3A166C91" w14:textId="77777777" w:rsidR="00F03CD4" w:rsidRPr="0040534B" w:rsidRDefault="00F03CD4" w:rsidP="00AE0C79">
            <w:pPr>
              <w:pStyle w:val="In-tableHeading"/>
              <w:jc w:val="center"/>
              <w:rPr>
                <w:lang w:val="en-AU"/>
              </w:rPr>
            </w:pPr>
            <w:r w:rsidRPr="0040534B">
              <w:rPr>
                <w:iCs/>
                <w:lang w:val="en-AU"/>
              </w:rPr>
              <w:t>Atogepant</w:t>
            </w:r>
          </w:p>
        </w:tc>
        <w:tc>
          <w:tcPr>
            <w:tcW w:w="1303" w:type="pct"/>
            <w:gridSpan w:val="3"/>
            <w:vMerge w:val="restart"/>
            <w:vAlign w:val="center"/>
          </w:tcPr>
          <w:p w14:paraId="094FBA0A" w14:textId="77777777" w:rsidR="00F03CD4" w:rsidRPr="0040534B" w:rsidRDefault="00F03CD4" w:rsidP="00AE0C79">
            <w:pPr>
              <w:pStyle w:val="In-tableHeading"/>
              <w:jc w:val="center"/>
              <w:rPr>
                <w:lang w:val="en-AU"/>
              </w:rPr>
            </w:pPr>
            <w:r w:rsidRPr="0040534B">
              <w:rPr>
                <w:iCs/>
                <w:lang w:val="en-AU"/>
              </w:rPr>
              <w:t>Placebo</w:t>
            </w:r>
          </w:p>
        </w:tc>
        <w:tc>
          <w:tcPr>
            <w:tcW w:w="972" w:type="pct"/>
            <w:gridSpan w:val="2"/>
            <w:vAlign w:val="center"/>
          </w:tcPr>
          <w:p w14:paraId="52A0D06C" w14:textId="77777777" w:rsidR="00F03CD4" w:rsidRPr="0040534B" w:rsidRDefault="00F03CD4" w:rsidP="00AE0C79">
            <w:pPr>
              <w:pStyle w:val="In-tableHeading"/>
              <w:jc w:val="center"/>
              <w:rPr>
                <w:iCs/>
                <w:lang w:val="en-AU"/>
              </w:rPr>
            </w:pPr>
            <w:r w:rsidRPr="0040534B">
              <w:rPr>
                <w:iCs/>
                <w:lang w:val="en-AU"/>
              </w:rPr>
              <w:t>Mean difference</w:t>
            </w:r>
          </w:p>
        </w:tc>
      </w:tr>
      <w:tr w:rsidR="00B868D1" w:rsidRPr="0040534B" w14:paraId="2ECD1F57" w14:textId="77777777" w:rsidTr="00F478FB">
        <w:trPr>
          <w:trHeight w:val="229"/>
          <w:tblHeader/>
        </w:trPr>
        <w:tc>
          <w:tcPr>
            <w:tcW w:w="624" w:type="pct"/>
            <w:vMerge/>
            <w:vAlign w:val="center"/>
          </w:tcPr>
          <w:p w14:paraId="0F01715A" w14:textId="77777777" w:rsidR="00F03CD4" w:rsidRPr="0040534B" w:rsidRDefault="00F03CD4" w:rsidP="00AE0C79">
            <w:pPr>
              <w:pStyle w:val="In-tableHeading"/>
              <w:jc w:val="center"/>
              <w:rPr>
                <w:lang w:val="en-AU"/>
              </w:rPr>
            </w:pPr>
          </w:p>
        </w:tc>
        <w:tc>
          <w:tcPr>
            <w:tcW w:w="772" w:type="pct"/>
            <w:vMerge/>
          </w:tcPr>
          <w:p w14:paraId="456643C4" w14:textId="77777777" w:rsidR="00F03CD4" w:rsidRPr="0040534B" w:rsidRDefault="00F03CD4" w:rsidP="00AE0C79">
            <w:pPr>
              <w:pStyle w:val="In-tableHeading"/>
              <w:jc w:val="center"/>
              <w:rPr>
                <w:iCs/>
                <w:lang w:val="en-AU"/>
              </w:rPr>
            </w:pPr>
          </w:p>
        </w:tc>
        <w:tc>
          <w:tcPr>
            <w:tcW w:w="1329" w:type="pct"/>
            <w:gridSpan w:val="3"/>
            <w:vMerge/>
            <w:vAlign w:val="center"/>
          </w:tcPr>
          <w:p w14:paraId="7F428746" w14:textId="77777777" w:rsidR="00F03CD4" w:rsidRPr="0040534B" w:rsidRDefault="00F03CD4" w:rsidP="00AE0C79">
            <w:pPr>
              <w:pStyle w:val="In-tableHeading"/>
              <w:jc w:val="center"/>
              <w:rPr>
                <w:iCs/>
                <w:lang w:val="en-AU"/>
              </w:rPr>
            </w:pPr>
          </w:p>
        </w:tc>
        <w:tc>
          <w:tcPr>
            <w:tcW w:w="1303" w:type="pct"/>
            <w:gridSpan w:val="3"/>
            <w:vMerge/>
            <w:vAlign w:val="center"/>
          </w:tcPr>
          <w:p w14:paraId="364C76CD" w14:textId="77777777" w:rsidR="00F03CD4" w:rsidRPr="0040534B" w:rsidRDefault="00F03CD4" w:rsidP="00AE0C79">
            <w:pPr>
              <w:pStyle w:val="In-tableHeading"/>
              <w:jc w:val="center"/>
              <w:rPr>
                <w:iCs/>
                <w:lang w:val="en-AU"/>
              </w:rPr>
            </w:pPr>
          </w:p>
        </w:tc>
        <w:tc>
          <w:tcPr>
            <w:tcW w:w="609" w:type="pct"/>
            <w:vMerge w:val="restart"/>
            <w:vAlign w:val="center"/>
          </w:tcPr>
          <w:p w14:paraId="2E765F61" w14:textId="34C0E2F4" w:rsidR="00F03CD4" w:rsidRPr="0040534B" w:rsidRDefault="00F03CD4" w:rsidP="00AE0C79">
            <w:pPr>
              <w:pStyle w:val="In-tableHeading"/>
              <w:jc w:val="center"/>
              <w:rPr>
                <w:iCs/>
                <w:lang w:val="en-AU"/>
              </w:rPr>
            </w:pPr>
            <w:r w:rsidRPr="0040534B">
              <w:rPr>
                <w:iCs/>
                <w:lang w:val="en-AU"/>
              </w:rPr>
              <w:t xml:space="preserve">LSMD </w:t>
            </w:r>
          </w:p>
          <w:p w14:paraId="0E35DBF7" w14:textId="77777777" w:rsidR="00F03CD4" w:rsidRPr="0040534B" w:rsidRDefault="00F03CD4" w:rsidP="00AE0C79">
            <w:pPr>
              <w:pStyle w:val="In-tableHeading"/>
              <w:jc w:val="center"/>
              <w:rPr>
                <w:iCs/>
                <w:lang w:val="en-AU"/>
              </w:rPr>
            </w:pPr>
            <w:r w:rsidRPr="0040534B">
              <w:rPr>
                <w:iCs/>
                <w:lang w:val="en-AU"/>
              </w:rPr>
              <w:t>(95%CI))</w:t>
            </w:r>
          </w:p>
        </w:tc>
        <w:tc>
          <w:tcPr>
            <w:tcW w:w="363" w:type="pct"/>
            <w:vMerge w:val="restart"/>
            <w:vAlign w:val="center"/>
          </w:tcPr>
          <w:p w14:paraId="43445066" w14:textId="77777777" w:rsidR="00F03CD4" w:rsidRPr="0040534B" w:rsidRDefault="00F03CD4" w:rsidP="00AE0C79">
            <w:pPr>
              <w:pStyle w:val="In-tableHeading"/>
              <w:jc w:val="center"/>
              <w:rPr>
                <w:iCs/>
                <w:lang w:val="en-AU"/>
              </w:rPr>
            </w:pPr>
            <w:r w:rsidRPr="0040534B">
              <w:rPr>
                <w:iCs/>
                <w:lang w:val="en-AU"/>
              </w:rPr>
              <w:t>p-value</w:t>
            </w:r>
          </w:p>
        </w:tc>
      </w:tr>
      <w:tr w:rsidR="00F478FB" w:rsidRPr="0040534B" w14:paraId="1E10B5A5" w14:textId="77777777" w:rsidTr="00F478FB">
        <w:trPr>
          <w:tblHeader/>
        </w:trPr>
        <w:tc>
          <w:tcPr>
            <w:tcW w:w="624" w:type="pct"/>
            <w:vMerge/>
            <w:vAlign w:val="center"/>
          </w:tcPr>
          <w:p w14:paraId="0E380E9F" w14:textId="77777777" w:rsidR="00F03CD4" w:rsidRPr="0040534B" w:rsidRDefault="00F03CD4" w:rsidP="00AE0C79">
            <w:pPr>
              <w:pStyle w:val="In-tableHeading"/>
              <w:jc w:val="center"/>
              <w:rPr>
                <w:lang w:val="en-AU"/>
              </w:rPr>
            </w:pPr>
          </w:p>
        </w:tc>
        <w:tc>
          <w:tcPr>
            <w:tcW w:w="772" w:type="pct"/>
            <w:vMerge/>
          </w:tcPr>
          <w:p w14:paraId="17959E37" w14:textId="77777777" w:rsidR="00F03CD4" w:rsidRPr="0040534B" w:rsidRDefault="00F03CD4" w:rsidP="00AE0C79">
            <w:pPr>
              <w:pStyle w:val="In-tableHeading"/>
              <w:jc w:val="center"/>
              <w:rPr>
                <w:iCs/>
                <w:lang w:val="en-AU"/>
              </w:rPr>
            </w:pPr>
          </w:p>
        </w:tc>
        <w:tc>
          <w:tcPr>
            <w:tcW w:w="332" w:type="pct"/>
            <w:vAlign w:val="center"/>
          </w:tcPr>
          <w:p w14:paraId="61E35D26" w14:textId="77777777" w:rsidR="00F03CD4" w:rsidRPr="0040534B" w:rsidRDefault="00F03CD4" w:rsidP="00AE0C79">
            <w:pPr>
              <w:pStyle w:val="In-tableHeading"/>
              <w:jc w:val="center"/>
              <w:rPr>
                <w:iCs/>
                <w:lang w:val="en-AU"/>
              </w:rPr>
            </w:pPr>
            <w:r w:rsidRPr="0040534B">
              <w:rPr>
                <w:iCs/>
                <w:lang w:val="en-AU"/>
              </w:rPr>
              <w:t>N</w:t>
            </w:r>
          </w:p>
        </w:tc>
        <w:tc>
          <w:tcPr>
            <w:tcW w:w="532" w:type="pct"/>
            <w:shd w:val="clear" w:color="auto" w:fill="auto"/>
          </w:tcPr>
          <w:p w14:paraId="6A796B58" w14:textId="77777777" w:rsidR="00F03CD4" w:rsidRPr="0040534B" w:rsidRDefault="00F03CD4" w:rsidP="00AE0C79">
            <w:pPr>
              <w:pStyle w:val="In-tableHeading"/>
              <w:jc w:val="center"/>
              <w:rPr>
                <w:iCs/>
                <w:lang w:val="en-AU"/>
              </w:rPr>
            </w:pPr>
            <w:r w:rsidRPr="0040534B">
              <w:rPr>
                <w:iCs/>
                <w:lang w:val="en-AU"/>
              </w:rPr>
              <w:t>Mean baseline (SD)</w:t>
            </w:r>
          </w:p>
        </w:tc>
        <w:tc>
          <w:tcPr>
            <w:tcW w:w="465" w:type="pct"/>
            <w:shd w:val="clear" w:color="auto" w:fill="auto"/>
          </w:tcPr>
          <w:p w14:paraId="4F18086D" w14:textId="77777777" w:rsidR="00F03CD4" w:rsidRPr="0040534B" w:rsidRDefault="00F03CD4" w:rsidP="00AE0C79">
            <w:pPr>
              <w:pStyle w:val="In-tableHeading"/>
              <w:jc w:val="center"/>
              <w:rPr>
                <w:iCs/>
                <w:lang w:val="en-AU"/>
              </w:rPr>
            </w:pPr>
            <w:r w:rsidRPr="0040534B">
              <w:rPr>
                <w:iCs/>
                <w:lang w:val="en-AU"/>
              </w:rPr>
              <w:t>Mean change, LSM [SE]</w:t>
            </w:r>
          </w:p>
        </w:tc>
        <w:tc>
          <w:tcPr>
            <w:tcW w:w="333" w:type="pct"/>
            <w:shd w:val="clear" w:color="auto" w:fill="auto"/>
            <w:vAlign w:val="center"/>
          </w:tcPr>
          <w:p w14:paraId="6808284B" w14:textId="77777777" w:rsidR="00F03CD4" w:rsidRPr="0040534B" w:rsidRDefault="00F03CD4" w:rsidP="00AE0C79">
            <w:pPr>
              <w:pStyle w:val="In-tableHeading"/>
              <w:jc w:val="center"/>
              <w:rPr>
                <w:iCs/>
                <w:lang w:val="en-AU"/>
              </w:rPr>
            </w:pPr>
            <w:r w:rsidRPr="0040534B">
              <w:rPr>
                <w:iCs/>
                <w:lang w:val="en-AU"/>
              </w:rPr>
              <w:t>N</w:t>
            </w:r>
          </w:p>
        </w:tc>
        <w:tc>
          <w:tcPr>
            <w:tcW w:w="478" w:type="pct"/>
            <w:shd w:val="clear" w:color="auto" w:fill="auto"/>
          </w:tcPr>
          <w:p w14:paraId="1BFEB843" w14:textId="136907BE" w:rsidR="00F03CD4" w:rsidRPr="0040534B" w:rsidRDefault="00F03CD4" w:rsidP="00AE0C79">
            <w:pPr>
              <w:pStyle w:val="In-tableHeading"/>
              <w:jc w:val="center"/>
              <w:rPr>
                <w:iCs/>
                <w:lang w:val="en-AU"/>
              </w:rPr>
            </w:pPr>
            <w:r w:rsidRPr="0040534B">
              <w:rPr>
                <w:iCs/>
                <w:lang w:val="en-AU"/>
              </w:rPr>
              <w:t>Mean baseline (SD)</w:t>
            </w:r>
          </w:p>
        </w:tc>
        <w:tc>
          <w:tcPr>
            <w:tcW w:w="492" w:type="pct"/>
            <w:shd w:val="clear" w:color="auto" w:fill="auto"/>
          </w:tcPr>
          <w:p w14:paraId="15EFB537" w14:textId="77777777" w:rsidR="00F03CD4" w:rsidRPr="0040534B" w:rsidRDefault="00F03CD4" w:rsidP="00AE0C79">
            <w:pPr>
              <w:pStyle w:val="In-tableHeading"/>
              <w:jc w:val="center"/>
              <w:rPr>
                <w:iCs/>
                <w:lang w:val="en-AU"/>
              </w:rPr>
            </w:pPr>
            <w:r w:rsidRPr="0040534B">
              <w:rPr>
                <w:iCs/>
                <w:lang w:val="en-AU"/>
              </w:rPr>
              <w:t>Mean change, LSM [SE]</w:t>
            </w:r>
          </w:p>
        </w:tc>
        <w:tc>
          <w:tcPr>
            <w:tcW w:w="609" w:type="pct"/>
            <w:vMerge/>
            <w:vAlign w:val="center"/>
          </w:tcPr>
          <w:p w14:paraId="2807AE69" w14:textId="77777777" w:rsidR="00F03CD4" w:rsidRPr="0040534B" w:rsidRDefault="00F03CD4" w:rsidP="00AE0C79">
            <w:pPr>
              <w:pStyle w:val="In-tableHeading"/>
              <w:jc w:val="center"/>
              <w:rPr>
                <w:iCs/>
                <w:lang w:val="en-AU"/>
              </w:rPr>
            </w:pPr>
          </w:p>
        </w:tc>
        <w:tc>
          <w:tcPr>
            <w:tcW w:w="363" w:type="pct"/>
            <w:vMerge/>
          </w:tcPr>
          <w:p w14:paraId="49BACB29" w14:textId="77777777" w:rsidR="00F03CD4" w:rsidRPr="0040534B" w:rsidRDefault="00F03CD4" w:rsidP="00AE0C79">
            <w:pPr>
              <w:pStyle w:val="In-tableHeading"/>
              <w:jc w:val="center"/>
              <w:rPr>
                <w:iCs/>
                <w:lang w:val="en-AU"/>
              </w:rPr>
            </w:pPr>
          </w:p>
        </w:tc>
      </w:tr>
      <w:tr w:rsidR="00B868D1" w:rsidRPr="0040534B" w14:paraId="029CA54C" w14:textId="77777777" w:rsidTr="00C124DD">
        <w:tc>
          <w:tcPr>
            <w:tcW w:w="5000" w:type="pct"/>
            <w:gridSpan w:val="10"/>
          </w:tcPr>
          <w:p w14:paraId="021534F1" w14:textId="77777777" w:rsidR="00F03CD4" w:rsidRPr="0040534B" w:rsidRDefault="00F03CD4" w:rsidP="00AE0C79">
            <w:pPr>
              <w:pStyle w:val="TableText0"/>
              <w:rPr>
                <w:b/>
                <w:bCs w:val="0"/>
              </w:rPr>
            </w:pPr>
            <w:r w:rsidRPr="0040534B">
              <w:rPr>
                <w:b/>
                <w:bCs w:val="0"/>
              </w:rPr>
              <w:t>Change from baseline in mean m</w:t>
            </w:r>
            <w:r w:rsidRPr="0040534B">
              <w:rPr>
                <w:b/>
              </w:rPr>
              <w:t xml:space="preserve">onthly </w:t>
            </w:r>
            <w:r w:rsidRPr="0040534B">
              <w:rPr>
                <w:b/>
                <w:bCs w:val="0"/>
              </w:rPr>
              <w:t>migraine days</w:t>
            </w:r>
          </w:p>
        </w:tc>
      </w:tr>
      <w:tr w:rsidR="00F478FB" w:rsidRPr="0040534B" w14:paraId="5ABB9353" w14:textId="77777777" w:rsidTr="00F478FB">
        <w:tc>
          <w:tcPr>
            <w:tcW w:w="624" w:type="pct"/>
            <w:vAlign w:val="center"/>
          </w:tcPr>
          <w:p w14:paraId="4E7DFA60" w14:textId="77777777" w:rsidR="00F03CD4" w:rsidRPr="0040534B" w:rsidRDefault="00F03CD4" w:rsidP="00AE0C79">
            <w:pPr>
              <w:pStyle w:val="TableText0"/>
              <w:rPr>
                <w:b/>
                <w:bCs w:val="0"/>
              </w:rPr>
            </w:pPr>
            <w:r w:rsidRPr="0040534B">
              <w:t>ADVANCE</w:t>
            </w:r>
          </w:p>
        </w:tc>
        <w:tc>
          <w:tcPr>
            <w:tcW w:w="772" w:type="pct"/>
            <w:vAlign w:val="center"/>
          </w:tcPr>
          <w:p w14:paraId="51FB1454" w14:textId="3A80CFB5" w:rsidR="00F03CD4" w:rsidRPr="0040534B" w:rsidRDefault="00F03CD4" w:rsidP="00AE0C79">
            <w:pPr>
              <w:pStyle w:val="TableText0"/>
              <w:rPr>
                <w:b/>
                <w:bCs w:val="0"/>
              </w:rPr>
            </w:pPr>
            <w:r w:rsidRPr="0040534B">
              <w:t>ATOG 60</w:t>
            </w:r>
            <w:r w:rsidR="006F04A7" w:rsidRPr="0040534B">
              <w:t xml:space="preserve"> </w:t>
            </w:r>
            <w:r w:rsidRPr="0040534B">
              <w:t>mg vs. PBO</w:t>
            </w:r>
          </w:p>
        </w:tc>
        <w:tc>
          <w:tcPr>
            <w:tcW w:w="332" w:type="pct"/>
            <w:vAlign w:val="center"/>
          </w:tcPr>
          <w:p w14:paraId="2847BC73" w14:textId="77777777" w:rsidR="00F03CD4" w:rsidRPr="0040534B" w:rsidRDefault="00F03CD4" w:rsidP="00AE0C79">
            <w:pPr>
              <w:pStyle w:val="TableText0"/>
              <w:jc w:val="center"/>
              <w:rPr>
                <w:b/>
                <w:bCs w:val="0"/>
              </w:rPr>
            </w:pPr>
            <w:r w:rsidRPr="0040534B">
              <w:t>222</w:t>
            </w:r>
          </w:p>
        </w:tc>
        <w:tc>
          <w:tcPr>
            <w:tcW w:w="532" w:type="pct"/>
            <w:vAlign w:val="center"/>
          </w:tcPr>
          <w:p w14:paraId="63154AC3" w14:textId="19D1A9D0" w:rsidR="00F03CD4" w:rsidRPr="0040534B" w:rsidRDefault="00F03CD4" w:rsidP="00AE0C79">
            <w:pPr>
              <w:pStyle w:val="TableText0"/>
              <w:jc w:val="center"/>
              <w:rPr>
                <w:b/>
                <w:bCs w:val="0"/>
              </w:rPr>
            </w:pPr>
            <w:r w:rsidRPr="0040534B">
              <w:t xml:space="preserve">7.75 </w:t>
            </w:r>
            <w:r w:rsidR="00F478FB" w:rsidRPr="0040534B">
              <w:br/>
            </w:r>
            <w:r w:rsidRPr="0040534B">
              <w:t>(2.3</w:t>
            </w:r>
            <w:r w:rsidR="00F478FB" w:rsidRPr="0040534B">
              <w:t>1</w:t>
            </w:r>
            <w:r w:rsidRPr="0040534B">
              <w:t>)</w:t>
            </w:r>
          </w:p>
        </w:tc>
        <w:tc>
          <w:tcPr>
            <w:tcW w:w="465" w:type="pct"/>
            <w:vAlign w:val="center"/>
          </w:tcPr>
          <w:p w14:paraId="42E20384" w14:textId="77777777" w:rsidR="00F03CD4" w:rsidRPr="0040534B" w:rsidRDefault="00F03CD4" w:rsidP="00AE0C79">
            <w:pPr>
              <w:pStyle w:val="TableText0"/>
              <w:jc w:val="center"/>
              <w:rPr>
                <w:b/>
                <w:bCs w:val="0"/>
              </w:rPr>
            </w:pPr>
            <w:r w:rsidRPr="0040534B">
              <w:t>-4.20 [0.20]</w:t>
            </w:r>
          </w:p>
        </w:tc>
        <w:tc>
          <w:tcPr>
            <w:tcW w:w="333" w:type="pct"/>
            <w:vAlign w:val="center"/>
          </w:tcPr>
          <w:p w14:paraId="73ADAF46" w14:textId="77777777" w:rsidR="00F03CD4" w:rsidRPr="0040534B" w:rsidRDefault="00F03CD4" w:rsidP="00AE0C79">
            <w:pPr>
              <w:pStyle w:val="TableText0"/>
              <w:jc w:val="center"/>
              <w:rPr>
                <w:b/>
                <w:bCs w:val="0"/>
              </w:rPr>
            </w:pPr>
            <w:r w:rsidRPr="0040534B">
              <w:t>214</w:t>
            </w:r>
          </w:p>
        </w:tc>
        <w:tc>
          <w:tcPr>
            <w:tcW w:w="478" w:type="pct"/>
            <w:vAlign w:val="center"/>
          </w:tcPr>
          <w:p w14:paraId="692A05D7" w14:textId="0434B84E" w:rsidR="00F03CD4" w:rsidRPr="0040534B" w:rsidRDefault="00F03CD4" w:rsidP="00AE0C79">
            <w:pPr>
              <w:pStyle w:val="TableText0"/>
              <w:jc w:val="center"/>
              <w:rPr>
                <w:b/>
                <w:bCs w:val="0"/>
              </w:rPr>
            </w:pPr>
            <w:r w:rsidRPr="0040534B">
              <w:t>7.51 (2.3</w:t>
            </w:r>
            <w:r w:rsidR="00F478FB" w:rsidRPr="0040534B">
              <w:t>9</w:t>
            </w:r>
            <w:r w:rsidRPr="0040534B">
              <w:t>)</w:t>
            </w:r>
          </w:p>
        </w:tc>
        <w:tc>
          <w:tcPr>
            <w:tcW w:w="492" w:type="pct"/>
            <w:vAlign w:val="center"/>
          </w:tcPr>
          <w:p w14:paraId="0C2EFB3A" w14:textId="07DE74EA" w:rsidR="00F03CD4" w:rsidRPr="0040534B" w:rsidRDefault="00F03CD4" w:rsidP="00AE0C79">
            <w:pPr>
              <w:pStyle w:val="TableText0"/>
              <w:jc w:val="center"/>
              <w:rPr>
                <w:b/>
                <w:bCs w:val="0"/>
              </w:rPr>
            </w:pPr>
            <w:r w:rsidRPr="0040534B">
              <w:t xml:space="preserve">-2.48 </w:t>
            </w:r>
            <w:r w:rsidR="00F478FB" w:rsidRPr="0040534B">
              <w:br/>
            </w:r>
            <w:r w:rsidRPr="0040534B">
              <w:t>[0.20]</w:t>
            </w:r>
          </w:p>
        </w:tc>
        <w:tc>
          <w:tcPr>
            <w:tcW w:w="609" w:type="pct"/>
            <w:vAlign w:val="center"/>
          </w:tcPr>
          <w:p w14:paraId="016885B0" w14:textId="66CF7066" w:rsidR="00F03CD4" w:rsidRPr="0040534B" w:rsidRDefault="00F03CD4" w:rsidP="00AE0C79">
            <w:pPr>
              <w:pStyle w:val="TableText0"/>
              <w:jc w:val="center"/>
              <w:rPr>
                <w:b/>
                <w:bCs w:val="0"/>
              </w:rPr>
            </w:pPr>
            <w:r w:rsidRPr="0040534B">
              <w:rPr>
                <w:b/>
                <w:bCs w:val="0"/>
              </w:rPr>
              <w:t xml:space="preserve">-1.72 </w:t>
            </w:r>
          </w:p>
          <w:p w14:paraId="21DD6B75" w14:textId="77777777" w:rsidR="00F03CD4" w:rsidRPr="0040534B" w:rsidRDefault="00F03CD4" w:rsidP="00AE0C79">
            <w:pPr>
              <w:pStyle w:val="TableText0"/>
              <w:jc w:val="center"/>
              <w:rPr>
                <w:b/>
                <w:bCs w:val="0"/>
              </w:rPr>
            </w:pPr>
            <w:r w:rsidRPr="0040534B">
              <w:rPr>
                <w:b/>
                <w:bCs w:val="0"/>
              </w:rPr>
              <w:t>(-2.28, -1.15)</w:t>
            </w:r>
          </w:p>
        </w:tc>
        <w:tc>
          <w:tcPr>
            <w:tcW w:w="363" w:type="pct"/>
            <w:vAlign w:val="center"/>
          </w:tcPr>
          <w:p w14:paraId="46703C06" w14:textId="77777777" w:rsidR="00F03CD4" w:rsidRPr="0040534B" w:rsidRDefault="00F03CD4" w:rsidP="00AE0C79">
            <w:pPr>
              <w:pStyle w:val="TableText0"/>
              <w:jc w:val="center"/>
              <w:rPr>
                <w:b/>
                <w:bCs w:val="0"/>
              </w:rPr>
            </w:pPr>
            <w:r w:rsidRPr="0040534B">
              <w:rPr>
                <w:b/>
                <w:bCs w:val="0"/>
              </w:rPr>
              <w:t>&lt;0.0001</w:t>
            </w:r>
          </w:p>
        </w:tc>
      </w:tr>
      <w:tr w:rsidR="00F478FB" w:rsidRPr="0040534B" w14:paraId="0C7210F7" w14:textId="77777777" w:rsidTr="00F478FB">
        <w:tc>
          <w:tcPr>
            <w:tcW w:w="624" w:type="pct"/>
            <w:vAlign w:val="center"/>
          </w:tcPr>
          <w:p w14:paraId="690FB0EA" w14:textId="77777777" w:rsidR="00F422A6" w:rsidRPr="0040534B" w:rsidRDefault="00F422A6" w:rsidP="00F422A6">
            <w:pPr>
              <w:pStyle w:val="TableText0"/>
            </w:pPr>
            <w:r w:rsidRPr="0040534B">
              <w:t>NCT02848326</w:t>
            </w:r>
          </w:p>
        </w:tc>
        <w:tc>
          <w:tcPr>
            <w:tcW w:w="772" w:type="pct"/>
            <w:vAlign w:val="center"/>
          </w:tcPr>
          <w:p w14:paraId="1A02F214" w14:textId="7AAD33DC" w:rsidR="00F422A6" w:rsidRPr="0040534B" w:rsidRDefault="00F422A6" w:rsidP="00F422A6">
            <w:pPr>
              <w:pStyle w:val="TableText0"/>
            </w:pPr>
            <w:r w:rsidRPr="0040534B">
              <w:t>ATOG 60</w:t>
            </w:r>
            <w:r w:rsidR="006F04A7" w:rsidRPr="0040534B">
              <w:t xml:space="preserve"> </w:t>
            </w:r>
            <w:r w:rsidRPr="0040534B">
              <w:t>mg vs. PBO</w:t>
            </w:r>
          </w:p>
        </w:tc>
        <w:tc>
          <w:tcPr>
            <w:tcW w:w="332" w:type="pct"/>
            <w:vAlign w:val="center"/>
          </w:tcPr>
          <w:p w14:paraId="7E0DA069" w14:textId="77777777" w:rsidR="00F422A6" w:rsidRPr="0040534B" w:rsidRDefault="00F422A6" w:rsidP="00F422A6">
            <w:pPr>
              <w:pStyle w:val="TableText0"/>
              <w:jc w:val="center"/>
            </w:pPr>
            <w:r w:rsidRPr="0040534B">
              <w:t>177</w:t>
            </w:r>
          </w:p>
        </w:tc>
        <w:tc>
          <w:tcPr>
            <w:tcW w:w="532" w:type="pct"/>
            <w:vAlign w:val="center"/>
          </w:tcPr>
          <w:p w14:paraId="6BCFD05B" w14:textId="1B6C5E7E" w:rsidR="00F422A6" w:rsidRPr="0040534B" w:rsidRDefault="00F422A6" w:rsidP="00F422A6">
            <w:pPr>
              <w:pStyle w:val="TableText0"/>
              <w:jc w:val="center"/>
            </w:pPr>
            <w:r w:rsidRPr="0040534B">
              <w:t xml:space="preserve">7.74 </w:t>
            </w:r>
            <w:r w:rsidR="00F478FB" w:rsidRPr="0040534B">
              <w:br/>
            </w:r>
            <w:r w:rsidRPr="0040534B">
              <w:t>(2.6)</w:t>
            </w:r>
          </w:p>
        </w:tc>
        <w:tc>
          <w:tcPr>
            <w:tcW w:w="465" w:type="pct"/>
            <w:vAlign w:val="center"/>
          </w:tcPr>
          <w:p w14:paraId="1E7928C6" w14:textId="55931D78" w:rsidR="00F422A6" w:rsidRPr="0040534B" w:rsidRDefault="00F422A6" w:rsidP="00F422A6">
            <w:pPr>
              <w:pStyle w:val="TableText0"/>
              <w:jc w:val="center"/>
            </w:pPr>
            <w:r w:rsidRPr="0040534B">
              <w:t xml:space="preserve">-3.55 </w:t>
            </w:r>
            <w:r w:rsidR="00F478FB" w:rsidRPr="0040534B">
              <w:br/>
            </w:r>
            <w:r w:rsidRPr="0040534B">
              <w:t>[0.2]</w:t>
            </w:r>
          </w:p>
        </w:tc>
        <w:tc>
          <w:tcPr>
            <w:tcW w:w="333" w:type="pct"/>
            <w:vAlign w:val="center"/>
          </w:tcPr>
          <w:p w14:paraId="291DF532" w14:textId="77777777" w:rsidR="00F422A6" w:rsidRPr="0040534B" w:rsidRDefault="00F422A6" w:rsidP="00F422A6">
            <w:pPr>
              <w:pStyle w:val="TableText0"/>
              <w:jc w:val="center"/>
            </w:pPr>
            <w:r w:rsidRPr="0040534B">
              <w:t>278</w:t>
            </w:r>
          </w:p>
        </w:tc>
        <w:tc>
          <w:tcPr>
            <w:tcW w:w="478" w:type="pct"/>
            <w:vAlign w:val="center"/>
          </w:tcPr>
          <w:p w14:paraId="7D543AA7" w14:textId="597CC3BF" w:rsidR="00F422A6" w:rsidRPr="0040534B" w:rsidRDefault="00F422A6" w:rsidP="00F422A6">
            <w:pPr>
              <w:pStyle w:val="TableText0"/>
              <w:jc w:val="center"/>
            </w:pPr>
            <w:r w:rsidRPr="0040534B">
              <w:t xml:space="preserve">7.81 </w:t>
            </w:r>
            <w:r w:rsidR="00F478FB" w:rsidRPr="0040534B">
              <w:br/>
            </w:r>
            <w:r w:rsidRPr="0040534B">
              <w:t>(2.5)</w:t>
            </w:r>
          </w:p>
        </w:tc>
        <w:tc>
          <w:tcPr>
            <w:tcW w:w="492" w:type="pct"/>
            <w:vAlign w:val="center"/>
          </w:tcPr>
          <w:p w14:paraId="235B216A" w14:textId="7C37F332" w:rsidR="00F422A6" w:rsidRPr="0040534B" w:rsidRDefault="00F422A6" w:rsidP="00F422A6">
            <w:pPr>
              <w:pStyle w:val="TableText0"/>
              <w:jc w:val="center"/>
            </w:pPr>
            <w:r w:rsidRPr="0040534B">
              <w:t xml:space="preserve">-2.85 </w:t>
            </w:r>
            <w:r w:rsidR="00F478FB" w:rsidRPr="0040534B">
              <w:br/>
            </w:r>
            <w:r w:rsidRPr="0040534B">
              <w:t>[0.2]</w:t>
            </w:r>
          </w:p>
        </w:tc>
        <w:tc>
          <w:tcPr>
            <w:tcW w:w="609" w:type="pct"/>
            <w:vAlign w:val="center"/>
          </w:tcPr>
          <w:p w14:paraId="7A1DA603" w14:textId="3F17D704" w:rsidR="00F422A6" w:rsidRPr="0040534B" w:rsidRDefault="00F422A6" w:rsidP="00F422A6">
            <w:pPr>
              <w:pStyle w:val="TableText0"/>
              <w:jc w:val="center"/>
              <w:rPr>
                <w:b/>
                <w:bCs w:val="0"/>
              </w:rPr>
            </w:pPr>
            <w:r w:rsidRPr="0040534B">
              <w:rPr>
                <w:b/>
                <w:bCs w:val="0"/>
              </w:rPr>
              <w:t>-0.7</w:t>
            </w:r>
            <w:r w:rsidR="00E34A5B" w:rsidRPr="0040534B">
              <w:rPr>
                <w:b/>
                <w:bCs w:val="0"/>
              </w:rPr>
              <w:t>0</w:t>
            </w:r>
            <w:r w:rsidRPr="0040534B">
              <w:rPr>
                <w:b/>
                <w:bCs w:val="0"/>
              </w:rPr>
              <w:t xml:space="preserve"> </w:t>
            </w:r>
            <w:r w:rsidRPr="0040534B">
              <w:rPr>
                <w:b/>
                <w:bCs w:val="0"/>
              </w:rPr>
              <w:br/>
              <w:t>(-1.35, -0.06)</w:t>
            </w:r>
          </w:p>
        </w:tc>
        <w:tc>
          <w:tcPr>
            <w:tcW w:w="363" w:type="pct"/>
            <w:vAlign w:val="center"/>
          </w:tcPr>
          <w:p w14:paraId="5E76BE5E" w14:textId="5FE726EC" w:rsidR="00F422A6" w:rsidRPr="0040534B" w:rsidRDefault="00F422A6" w:rsidP="00F422A6">
            <w:pPr>
              <w:pStyle w:val="TableText0"/>
              <w:jc w:val="center"/>
              <w:rPr>
                <w:b/>
                <w:bCs w:val="0"/>
              </w:rPr>
            </w:pPr>
            <w:r w:rsidRPr="0040534B">
              <w:rPr>
                <w:b/>
                <w:bCs w:val="0"/>
                <w:i/>
                <w:iCs/>
              </w:rPr>
              <w:t>0.0390</w:t>
            </w:r>
          </w:p>
        </w:tc>
      </w:tr>
      <w:tr w:rsidR="00B868D1" w:rsidRPr="0040534B" w14:paraId="49B26228" w14:textId="7ED80B61" w:rsidTr="00C124DD">
        <w:tc>
          <w:tcPr>
            <w:tcW w:w="5000" w:type="pct"/>
            <w:gridSpan w:val="10"/>
          </w:tcPr>
          <w:p w14:paraId="0F018E07" w14:textId="7B6667DE" w:rsidR="00F422A6" w:rsidRPr="0040534B" w:rsidRDefault="00F422A6" w:rsidP="00F422A6">
            <w:pPr>
              <w:pStyle w:val="TableText0"/>
              <w:rPr>
                <w:b/>
                <w:bCs w:val="0"/>
              </w:rPr>
            </w:pPr>
            <w:r w:rsidRPr="0040534B">
              <w:rPr>
                <w:b/>
                <w:bCs w:val="0"/>
              </w:rPr>
              <w:t>Change from baseline in mean m</w:t>
            </w:r>
            <w:r w:rsidRPr="0040534B">
              <w:rPr>
                <w:b/>
              </w:rPr>
              <w:t xml:space="preserve">onthly </w:t>
            </w:r>
            <w:r w:rsidRPr="0040534B">
              <w:rPr>
                <w:b/>
                <w:bCs w:val="0"/>
              </w:rPr>
              <w:t>h</w:t>
            </w:r>
            <w:r w:rsidRPr="0040534B">
              <w:rPr>
                <w:b/>
              </w:rPr>
              <w:t>eadache</w:t>
            </w:r>
            <w:r w:rsidRPr="0040534B">
              <w:rPr>
                <w:b/>
                <w:bCs w:val="0"/>
              </w:rPr>
              <w:t xml:space="preserve"> days</w:t>
            </w:r>
          </w:p>
        </w:tc>
      </w:tr>
      <w:tr w:rsidR="00F478FB" w:rsidRPr="0040534B" w14:paraId="0CC6A392" w14:textId="77777777" w:rsidTr="00F478FB">
        <w:tc>
          <w:tcPr>
            <w:tcW w:w="624" w:type="pct"/>
            <w:vAlign w:val="center"/>
          </w:tcPr>
          <w:p w14:paraId="5B6C7A89" w14:textId="2E16207F" w:rsidR="00F422A6" w:rsidRPr="0040534B" w:rsidRDefault="00F422A6" w:rsidP="00F422A6">
            <w:pPr>
              <w:pStyle w:val="TableText0"/>
            </w:pPr>
            <w:r w:rsidRPr="0040534B">
              <w:t>ADVANCE</w:t>
            </w:r>
          </w:p>
        </w:tc>
        <w:tc>
          <w:tcPr>
            <w:tcW w:w="772" w:type="pct"/>
            <w:vAlign w:val="center"/>
          </w:tcPr>
          <w:p w14:paraId="6BA5CA16" w14:textId="61AB6858" w:rsidR="00F422A6" w:rsidRPr="0040534B" w:rsidRDefault="00F422A6" w:rsidP="00F422A6">
            <w:pPr>
              <w:pStyle w:val="TableText0"/>
            </w:pPr>
            <w:r w:rsidRPr="0040534B">
              <w:t>ATOG 60</w:t>
            </w:r>
            <w:r w:rsidR="006F04A7" w:rsidRPr="0040534B">
              <w:t xml:space="preserve"> </w:t>
            </w:r>
            <w:r w:rsidRPr="0040534B">
              <w:t>mg vs. PBO</w:t>
            </w:r>
          </w:p>
        </w:tc>
        <w:tc>
          <w:tcPr>
            <w:tcW w:w="332" w:type="pct"/>
            <w:vAlign w:val="center"/>
          </w:tcPr>
          <w:p w14:paraId="5246928C" w14:textId="3F1D3D2B" w:rsidR="00F422A6" w:rsidRPr="0040534B" w:rsidRDefault="00F422A6" w:rsidP="00F422A6">
            <w:pPr>
              <w:pStyle w:val="TableText0"/>
              <w:jc w:val="center"/>
            </w:pPr>
            <w:r w:rsidRPr="0040534B">
              <w:t>222</w:t>
            </w:r>
          </w:p>
        </w:tc>
        <w:tc>
          <w:tcPr>
            <w:tcW w:w="532" w:type="pct"/>
            <w:vAlign w:val="center"/>
          </w:tcPr>
          <w:p w14:paraId="7870D5B4" w14:textId="2771B7A8" w:rsidR="00F422A6" w:rsidRPr="0040534B" w:rsidRDefault="00F422A6" w:rsidP="00F478FB">
            <w:pPr>
              <w:pStyle w:val="TableText0"/>
              <w:jc w:val="center"/>
            </w:pPr>
            <w:r w:rsidRPr="0040534B">
              <w:t>9.00</w:t>
            </w:r>
            <w:r w:rsidR="00F478FB" w:rsidRPr="0040534B">
              <w:t xml:space="preserve"> </w:t>
            </w:r>
            <w:r w:rsidR="00F478FB" w:rsidRPr="0040534B">
              <w:br/>
            </w:r>
            <w:r w:rsidRPr="0040534B">
              <w:rPr>
                <w:i/>
                <w:iCs/>
              </w:rPr>
              <w:t>(2.56)</w:t>
            </w:r>
          </w:p>
        </w:tc>
        <w:tc>
          <w:tcPr>
            <w:tcW w:w="465" w:type="pct"/>
            <w:vAlign w:val="center"/>
          </w:tcPr>
          <w:p w14:paraId="1BC35A39" w14:textId="548CB440" w:rsidR="00F422A6" w:rsidRPr="0040534B" w:rsidRDefault="00F422A6" w:rsidP="00F422A6">
            <w:pPr>
              <w:pStyle w:val="TableText0"/>
              <w:jc w:val="center"/>
            </w:pPr>
            <w:r w:rsidRPr="0040534B">
              <w:t>-4.23 [0.22]</w:t>
            </w:r>
          </w:p>
        </w:tc>
        <w:tc>
          <w:tcPr>
            <w:tcW w:w="333" w:type="pct"/>
            <w:vAlign w:val="center"/>
          </w:tcPr>
          <w:p w14:paraId="3068EBB0" w14:textId="0700A721" w:rsidR="00F422A6" w:rsidRPr="0040534B" w:rsidRDefault="00F422A6" w:rsidP="00F422A6">
            <w:pPr>
              <w:pStyle w:val="TableText0"/>
              <w:jc w:val="center"/>
            </w:pPr>
            <w:r w:rsidRPr="0040534B">
              <w:t>214</w:t>
            </w:r>
          </w:p>
        </w:tc>
        <w:tc>
          <w:tcPr>
            <w:tcW w:w="478" w:type="pct"/>
            <w:vAlign w:val="center"/>
          </w:tcPr>
          <w:p w14:paraId="2107CB99" w14:textId="77777777" w:rsidR="00F422A6" w:rsidRPr="0040534B" w:rsidRDefault="00F422A6" w:rsidP="00F422A6">
            <w:pPr>
              <w:pStyle w:val="TableText0"/>
              <w:jc w:val="center"/>
            </w:pPr>
            <w:r w:rsidRPr="0040534B">
              <w:t>8.43</w:t>
            </w:r>
          </w:p>
          <w:p w14:paraId="44269481" w14:textId="758F2AA6" w:rsidR="00F422A6" w:rsidRPr="0040534B" w:rsidRDefault="00F422A6" w:rsidP="00F422A6">
            <w:pPr>
              <w:pStyle w:val="TableText0"/>
              <w:jc w:val="center"/>
            </w:pPr>
            <w:r w:rsidRPr="0040534B">
              <w:rPr>
                <w:i/>
                <w:iCs/>
              </w:rPr>
              <w:t>(2.55)</w:t>
            </w:r>
          </w:p>
        </w:tc>
        <w:tc>
          <w:tcPr>
            <w:tcW w:w="492" w:type="pct"/>
            <w:vAlign w:val="center"/>
          </w:tcPr>
          <w:p w14:paraId="171C0357" w14:textId="0979BC3B" w:rsidR="00F422A6" w:rsidRPr="0040534B" w:rsidRDefault="00F422A6" w:rsidP="00F422A6">
            <w:pPr>
              <w:pStyle w:val="TableText0"/>
              <w:jc w:val="center"/>
            </w:pPr>
            <w:r w:rsidRPr="0040534B">
              <w:t xml:space="preserve">-2.52 </w:t>
            </w:r>
            <w:r w:rsidR="00F478FB" w:rsidRPr="0040534B">
              <w:br/>
            </w:r>
            <w:r w:rsidRPr="0040534B">
              <w:t>[0.2</w:t>
            </w:r>
            <w:r w:rsidR="00F478FB" w:rsidRPr="0040534B">
              <w:t>3</w:t>
            </w:r>
            <w:r w:rsidRPr="0040534B">
              <w:t>]</w:t>
            </w:r>
          </w:p>
        </w:tc>
        <w:tc>
          <w:tcPr>
            <w:tcW w:w="609" w:type="pct"/>
            <w:vAlign w:val="center"/>
          </w:tcPr>
          <w:p w14:paraId="4B6E7B27" w14:textId="10A085C1" w:rsidR="00F422A6" w:rsidRPr="0040534B" w:rsidRDefault="00F422A6" w:rsidP="00F422A6">
            <w:pPr>
              <w:pStyle w:val="TableText0"/>
              <w:jc w:val="center"/>
              <w:rPr>
                <w:b/>
                <w:bCs w:val="0"/>
              </w:rPr>
            </w:pPr>
            <w:r w:rsidRPr="0040534B">
              <w:rPr>
                <w:b/>
                <w:bCs w:val="0"/>
              </w:rPr>
              <w:t xml:space="preserve">-1.71 </w:t>
            </w:r>
          </w:p>
          <w:p w14:paraId="5650D3EE" w14:textId="68776C78" w:rsidR="00F422A6" w:rsidRPr="0040534B" w:rsidRDefault="00F422A6" w:rsidP="00F422A6">
            <w:pPr>
              <w:pStyle w:val="TableText0"/>
              <w:jc w:val="center"/>
              <w:rPr>
                <w:b/>
                <w:bCs w:val="0"/>
              </w:rPr>
            </w:pPr>
            <w:r w:rsidRPr="0040534B">
              <w:rPr>
                <w:b/>
                <w:bCs w:val="0"/>
              </w:rPr>
              <w:t>(-2.32, -1.10)</w:t>
            </w:r>
          </w:p>
        </w:tc>
        <w:tc>
          <w:tcPr>
            <w:tcW w:w="363" w:type="pct"/>
            <w:vAlign w:val="center"/>
          </w:tcPr>
          <w:p w14:paraId="75DF2620" w14:textId="50C17AB7" w:rsidR="00F422A6" w:rsidRPr="0040534B" w:rsidRDefault="00F422A6" w:rsidP="00F422A6">
            <w:pPr>
              <w:pStyle w:val="TableText0"/>
              <w:jc w:val="center"/>
              <w:rPr>
                <w:b/>
                <w:bCs w:val="0"/>
              </w:rPr>
            </w:pPr>
            <w:r w:rsidRPr="0040534B">
              <w:rPr>
                <w:b/>
                <w:bCs w:val="0"/>
              </w:rPr>
              <w:t>&lt;0.0001</w:t>
            </w:r>
          </w:p>
        </w:tc>
      </w:tr>
      <w:tr w:rsidR="00B868D1" w:rsidRPr="0040534B" w14:paraId="66457DFB" w14:textId="298D9FAA" w:rsidTr="00C124DD">
        <w:tc>
          <w:tcPr>
            <w:tcW w:w="5000" w:type="pct"/>
            <w:gridSpan w:val="10"/>
          </w:tcPr>
          <w:p w14:paraId="3B7DDAF3" w14:textId="6BBDF912" w:rsidR="00F422A6" w:rsidRPr="0040534B" w:rsidRDefault="00F422A6" w:rsidP="00F422A6">
            <w:pPr>
              <w:pStyle w:val="TableText0"/>
              <w:rPr>
                <w:b/>
                <w:bCs w:val="0"/>
              </w:rPr>
            </w:pPr>
            <w:r w:rsidRPr="0040534B">
              <w:rPr>
                <w:b/>
                <w:bCs w:val="0"/>
              </w:rPr>
              <w:t>Change from baseline in mean m</w:t>
            </w:r>
            <w:r w:rsidRPr="0040534B">
              <w:rPr>
                <w:b/>
              </w:rPr>
              <w:t>onthly acute medication use</w:t>
            </w:r>
            <w:r w:rsidRPr="0040534B">
              <w:rPr>
                <w:b/>
                <w:bCs w:val="0"/>
              </w:rPr>
              <w:t xml:space="preserve"> days</w:t>
            </w:r>
          </w:p>
        </w:tc>
      </w:tr>
      <w:tr w:rsidR="00F478FB" w:rsidRPr="0040534B" w14:paraId="7B06A9EA" w14:textId="77777777" w:rsidTr="00F478FB">
        <w:tc>
          <w:tcPr>
            <w:tcW w:w="624" w:type="pct"/>
            <w:vAlign w:val="center"/>
          </w:tcPr>
          <w:p w14:paraId="12FF00FE" w14:textId="62358D90" w:rsidR="00F422A6" w:rsidRPr="0040534B" w:rsidRDefault="00F422A6" w:rsidP="00F422A6">
            <w:pPr>
              <w:pStyle w:val="TableText0"/>
            </w:pPr>
            <w:r w:rsidRPr="0040534B">
              <w:t>ADVANCE</w:t>
            </w:r>
          </w:p>
        </w:tc>
        <w:tc>
          <w:tcPr>
            <w:tcW w:w="772" w:type="pct"/>
            <w:vAlign w:val="center"/>
          </w:tcPr>
          <w:p w14:paraId="5BD5DEF2" w14:textId="07CEE7B1" w:rsidR="00F422A6" w:rsidRPr="0040534B" w:rsidRDefault="00F422A6" w:rsidP="00F422A6">
            <w:pPr>
              <w:pStyle w:val="TableText0"/>
            </w:pPr>
            <w:r w:rsidRPr="0040534B">
              <w:t>ATOG 60</w:t>
            </w:r>
            <w:r w:rsidR="006F04A7" w:rsidRPr="0040534B">
              <w:t xml:space="preserve"> </w:t>
            </w:r>
            <w:r w:rsidRPr="0040534B">
              <w:t>mg vs. PBO</w:t>
            </w:r>
          </w:p>
        </w:tc>
        <w:tc>
          <w:tcPr>
            <w:tcW w:w="332" w:type="pct"/>
            <w:vAlign w:val="center"/>
          </w:tcPr>
          <w:p w14:paraId="36D6DF7A" w14:textId="6A9658C3" w:rsidR="00F422A6" w:rsidRPr="0040534B" w:rsidRDefault="00F422A6" w:rsidP="00F422A6">
            <w:pPr>
              <w:pStyle w:val="TableText0"/>
              <w:jc w:val="center"/>
            </w:pPr>
            <w:r w:rsidRPr="0040534B">
              <w:t>222</w:t>
            </w:r>
          </w:p>
        </w:tc>
        <w:tc>
          <w:tcPr>
            <w:tcW w:w="532" w:type="pct"/>
            <w:vAlign w:val="center"/>
          </w:tcPr>
          <w:p w14:paraId="6C4824EF" w14:textId="509F5E21" w:rsidR="00F422A6" w:rsidRPr="0040534B" w:rsidRDefault="00F422A6" w:rsidP="00F478FB">
            <w:pPr>
              <w:pStyle w:val="TableText0"/>
              <w:jc w:val="center"/>
            </w:pPr>
            <w:r w:rsidRPr="0040534B">
              <w:t>6.89</w:t>
            </w:r>
            <w:r w:rsidR="00F478FB" w:rsidRPr="0040534B">
              <w:t xml:space="preserve"> </w:t>
            </w:r>
            <w:r w:rsidR="00F478FB" w:rsidRPr="0040534B">
              <w:br/>
            </w:r>
            <w:r w:rsidRPr="0040534B">
              <w:rPr>
                <w:i/>
                <w:iCs/>
              </w:rPr>
              <w:t>(3.17)</w:t>
            </w:r>
          </w:p>
        </w:tc>
        <w:tc>
          <w:tcPr>
            <w:tcW w:w="465" w:type="pct"/>
            <w:vAlign w:val="center"/>
          </w:tcPr>
          <w:p w14:paraId="26BDC7F5" w14:textId="34EBEA38" w:rsidR="00F422A6" w:rsidRPr="0040534B" w:rsidRDefault="00F422A6" w:rsidP="00F422A6">
            <w:pPr>
              <w:pStyle w:val="TableText0"/>
              <w:jc w:val="center"/>
            </w:pPr>
            <w:r w:rsidRPr="0040534B">
              <w:t>-3.85 [0.18]</w:t>
            </w:r>
          </w:p>
        </w:tc>
        <w:tc>
          <w:tcPr>
            <w:tcW w:w="333" w:type="pct"/>
            <w:vAlign w:val="center"/>
          </w:tcPr>
          <w:p w14:paraId="59ACC178" w14:textId="0A7AD899" w:rsidR="00F422A6" w:rsidRPr="0040534B" w:rsidRDefault="00F422A6" w:rsidP="00F422A6">
            <w:pPr>
              <w:pStyle w:val="TableText0"/>
              <w:jc w:val="center"/>
            </w:pPr>
            <w:r w:rsidRPr="0040534B">
              <w:t>214</w:t>
            </w:r>
          </w:p>
        </w:tc>
        <w:tc>
          <w:tcPr>
            <w:tcW w:w="478" w:type="pct"/>
            <w:vAlign w:val="center"/>
          </w:tcPr>
          <w:p w14:paraId="55C39B42" w14:textId="77777777" w:rsidR="00F422A6" w:rsidRPr="0040534B" w:rsidRDefault="00F422A6" w:rsidP="00F422A6">
            <w:pPr>
              <w:pStyle w:val="TableText0"/>
              <w:jc w:val="center"/>
            </w:pPr>
            <w:r w:rsidRPr="0040534B">
              <w:t>6.48</w:t>
            </w:r>
          </w:p>
          <w:p w14:paraId="5386ECAA" w14:textId="21E3081A" w:rsidR="00F422A6" w:rsidRPr="0040534B" w:rsidRDefault="00F422A6" w:rsidP="00F422A6">
            <w:pPr>
              <w:pStyle w:val="TableText0"/>
              <w:jc w:val="center"/>
            </w:pPr>
            <w:r w:rsidRPr="0040534B">
              <w:rPr>
                <w:i/>
                <w:iCs/>
              </w:rPr>
              <w:t>(3.1</w:t>
            </w:r>
            <w:r w:rsidR="00F478FB" w:rsidRPr="0040534B">
              <w:rPr>
                <w:i/>
                <w:iCs/>
              </w:rPr>
              <w:t>5</w:t>
            </w:r>
            <w:r w:rsidRPr="0040534B">
              <w:rPr>
                <w:i/>
                <w:iCs/>
              </w:rPr>
              <w:t>)</w:t>
            </w:r>
          </w:p>
        </w:tc>
        <w:tc>
          <w:tcPr>
            <w:tcW w:w="492" w:type="pct"/>
            <w:vAlign w:val="center"/>
          </w:tcPr>
          <w:p w14:paraId="7A3207F3" w14:textId="1E36C8AD" w:rsidR="00F422A6" w:rsidRPr="0040534B" w:rsidRDefault="00F422A6" w:rsidP="00F422A6">
            <w:pPr>
              <w:pStyle w:val="TableText0"/>
              <w:jc w:val="center"/>
            </w:pPr>
            <w:r w:rsidRPr="0040534B">
              <w:t xml:space="preserve">-2.35 </w:t>
            </w:r>
            <w:r w:rsidR="00F478FB" w:rsidRPr="0040534B">
              <w:br/>
            </w:r>
            <w:r w:rsidRPr="0040534B">
              <w:t>[0.18]</w:t>
            </w:r>
          </w:p>
        </w:tc>
        <w:tc>
          <w:tcPr>
            <w:tcW w:w="609" w:type="pct"/>
            <w:vAlign w:val="center"/>
          </w:tcPr>
          <w:p w14:paraId="0D7FB7B0" w14:textId="7937F3A8" w:rsidR="00F422A6" w:rsidRPr="0040534B" w:rsidRDefault="00F422A6" w:rsidP="00F422A6">
            <w:pPr>
              <w:pStyle w:val="TableText0"/>
              <w:jc w:val="center"/>
              <w:rPr>
                <w:b/>
                <w:bCs w:val="0"/>
              </w:rPr>
            </w:pPr>
            <w:r w:rsidRPr="0040534B">
              <w:rPr>
                <w:b/>
                <w:bCs w:val="0"/>
              </w:rPr>
              <w:t xml:space="preserve">-1.50 </w:t>
            </w:r>
          </w:p>
          <w:p w14:paraId="6CBF9027" w14:textId="77B69A2D" w:rsidR="00F422A6" w:rsidRPr="0040534B" w:rsidRDefault="00F422A6" w:rsidP="00F422A6">
            <w:pPr>
              <w:pStyle w:val="TableText0"/>
              <w:jc w:val="center"/>
              <w:rPr>
                <w:b/>
                <w:bCs w:val="0"/>
              </w:rPr>
            </w:pPr>
            <w:r w:rsidRPr="0040534B">
              <w:rPr>
                <w:b/>
                <w:bCs w:val="0"/>
              </w:rPr>
              <w:t>(-2.00, -1.01)</w:t>
            </w:r>
          </w:p>
        </w:tc>
        <w:tc>
          <w:tcPr>
            <w:tcW w:w="363" w:type="pct"/>
            <w:vAlign w:val="center"/>
          </w:tcPr>
          <w:p w14:paraId="0C0A1CFC" w14:textId="0F939103" w:rsidR="00F422A6" w:rsidRPr="0040534B" w:rsidRDefault="00F422A6" w:rsidP="00F422A6">
            <w:pPr>
              <w:pStyle w:val="TableText0"/>
              <w:jc w:val="center"/>
              <w:rPr>
                <w:b/>
                <w:bCs w:val="0"/>
              </w:rPr>
            </w:pPr>
            <w:r w:rsidRPr="0040534B">
              <w:rPr>
                <w:b/>
                <w:bCs w:val="0"/>
              </w:rPr>
              <w:t>&lt;0.0001</w:t>
            </w:r>
          </w:p>
        </w:tc>
      </w:tr>
      <w:tr w:rsidR="00B868D1" w:rsidRPr="0040534B" w14:paraId="352E08AD" w14:textId="77777777" w:rsidTr="00C124DD">
        <w:tc>
          <w:tcPr>
            <w:tcW w:w="5000" w:type="pct"/>
            <w:gridSpan w:val="10"/>
          </w:tcPr>
          <w:p w14:paraId="49B162F4" w14:textId="40D5B80F" w:rsidR="00F422A6" w:rsidRPr="0040534B" w:rsidRDefault="00F422A6" w:rsidP="00F422A6">
            <w:pPr>
              <w:pStyle w:val="TableText0"/>
              <w:rPr>
                <w:b/>
                <w:bCs w:val="0"/>
              </w:rPr>
            </w:pPr>
            <w:r w:rsidRPr="0040534B">
              <w:rPr>
                <w:b/>
                <w:bCs w:val="0"/>
              </w:rPr>
              <w:t>Change from baseline in MSQ v2.1 RFR Score</w:t>
            </w:r>
          </w:p>
        </w:tc>
      </w:tr>
      <w:tr w:rsidR="00F478FB" w:rsidRPr="0040534B" w14:paraId="1473FD81" w14:textId="77777777" w:rsidTr="00F478FB">
        <w:tc>
          <w:tcPr>
            <w:tcW w:w="624" w:type="pct"/>
            <w:vAlign w:val="center"/>
          </w:tcPr>
          <w:p w14:paraId="420FAD1D" w14:textId="27C9C038" w:rsidR="00F422A6" w:rsidRPr="0040534B" w:rsidRDefault="00F422A6" w:rsidP="00F422A6">
            <w:pPr>
              <w:pStyle w:val="TableText0"/>
            </w:pPr>
            <w:r w:rsidRPr="0040534B">
              <w:t>ADVANCE</w:t>
            </w:r>
          </w:p>
        </w:tc>
        <w:tc>
          <w:tcPr>
            <w:tcW w:w="772" w:type="pct"/>
            <w:vAlign w:val="center"/>
          </w:tcPr>
          <w:p w14:paraId="6E710A53" w14:textId="279B1E1C" w:rsidR="00F422A6" w:rsidRPr="0040534B" w:rsidRDefault="00F422A6" w:rsidP="00F422A6">
            <w:pPr>
              <w:pStyle w:val="TableText0"/>
            </w:pPr>
            <w:r w:rsidRPr="0040534B">
              <w:t>ATOG 60</w:t>
            </w:r>
            <w:r w:rsidR="006F04A7" w:rsidRPr="0040534B">
              <w:t xml:space="preserve"> </w:t>
            </w:r>
            <w:r w:rsidRPr="0040534B">
              <w:t>mg vs. PBO</w:t>
            </w:r>
          </w:p>
        </w:tc>
        <w:tc>
          <w:tcPr>
            <w:tcW w:w="332" w:type="pct"/>
            <w:vAlign w:val="center"/>
          </w:tcPr>
          <w:p w14:paraId="01A5F55D" w14:textId="377CE512" w:rsidR="00F422A6" w:rsidRPr="0040534B" w:rsidRDefault="00F422A6" w:rsidP="00F422A6">
            <w:pPr>
              <w:pStyle w:val="TableText0"/>
              <w:jc w:val="center"/>
            </w:pPr>
            <w:r w:rsidRPr="0040534B">
              <w:t>222</w:t>
            </w:r>
          </w:p>
        </w:tc>
        <w:tc>
          <w:tcPr>
            <w:tcW w:w="532" w:type="pct"/>
            <w:vAlign w:val="center"/>
          </w:tcPr>
          <w:p w14:paraId="56C290C7" w14:textId="0CEAF760" w:rsidR="00F422A6" w:rsidRPr="0040534B" w:rsidRDefault="00F422A6" w:rsidP="00F422A6">
            <w:pPr>
              <w:pStyle w:val="TableText0"/>
              <w:jc w:val="center"/>
            </w:pPr>
            <w:r w:rsidRPr="0040534B">
              <w:t xml:space="preserve">47.48 </w:t>
            </w:r>
            <w:r w:rsidR="00F478FB" w:rsidRPr="0040534B">
              <w:br/>
            </w:r>
            <w:r w:rsidRPr="0040534B">
              <w:t>(20.55)</w:t>
            </w:r>
          </w:p>
        </w:tc>
        <w:tc>
          <w:tcPr>
            <w:tcW w:w="465" w:type="pct"/>
            <w:vAlign w:val="center"/>
          </w:tcPr>
          <w:p w14:paraId="013911A4" w14:textId="5985408E" w:rsidR="00F422A6" w:rsidRPr="0040534B" w:rsidRDefault="00F422A6" w:rsidP="00F422A6">
            <w:pPr>
              <w:pStyle w:val="TableText0"/>
              <w:jc w:val="center"/>
            </w:pPr>
            <w:r w:rsidRPr="0040534B">
              <w:t>31.25 [1.59]</w:t>
            </w:r>
          </w:p>
        </w:tc>
        <w:tc>
          <w:tcPr>
            <w:tcW w:w="333" w:type="pct"/>
            <w:vAlign w:val="center"/>
          </w:tcPr>
          <w:p w14:paraId="05667C60" w14:textId="1E57B8B5" w:rsidR="00F422A6" w:rsidRPr="0040534B" w:rsidRDefault="00F422A6" w:rsidP="00F422A6">
            <w:pPr>
              <w:pStyle w:val="TableText0"/>
              <w:jc w:val="center"/>
            </w:pPr>
            <w:r w:rsidRPr="0040534B">
              <w:t>214</w:t>
            </w:r>
          </w:p>
        </w:tc>
        <w:tc>
          <w:tcPr>
            <w:tcW w:w="478" w:type="pct"/>
            <w:vAlign w:val="center"/>
          </w:tcPr>
          <w:p w14:paraId="47BE2067" w14:textId="1DBA95E7" w:rsidR="00F422A6" w:rsidRPr="0040534B" w:rsidRDefault="00F422A6" w:rsidP="00F422A6">
            <w:pPr>
              <w:pStyle w:val="TableText0"/>
              <w:jc w:val="center"/>
            </w:pPr>
            <w:r w:rsidRPr="0040534B">
              <w:t>46.78 (19.87)</w:t>
            </w:r>
          </w:p>
        </w:tc>
        <w:tc>
          <w:tcPr>
            <w:tcW w:w="492" w:type="pct"/>
            <w:vAlign w:val="center"/>
          </w:tcPr>
          <w:p w14:paraId="63EDF739" w14:textId="5FA34ED5" w:rsidR="00F422A6" w:rsidRPr="0040534B" w:rsidRDefault="00F422A6" w:rsidP="00F422A6">
            <w:pPr>
              <w:pStyle w:val="TableText0"/>
              <w:jc w:val="center"/>
            </w:pPr>
            <w:r w:rsidRPr="0040534B">
              <w:t>20.45 [1.6</w:t>
            </w:r>
            <w:r w:rsidR="00F478FB" w:rsidRPr="0040534B">
              <w:t>2</w:t>
            </w:r>
            <w:r w:rsidRPr="0040534B">
              <w:t>]</w:t>
            </w:r>
          </w:p>
        </w:tc>
        <w:tc>
          <w:tcPr>
            <w:tcW w:w="609" w:type="pct"/>
            <w:vAlign w:val="center"/>
          </w:tcPr>
          <w:p w14:paraId="0307AB49" w14:textId="728B7D39" w:rsidR="00F422A6" w:rsidRPr="0040534B" w:rsidRDefault="00F422A6" w:rsidP="00F422A6">
            <w:pPr>
              <w:pStyle w:val="TableText0"/>
              <w:jc w:val="center"/>
              <w:rPr>
                <w:b/>
                <w:bCs w:val="0"/>
              </w:rPr>
            </w:pPr>
            <w:r w:rsidRPr="0040534B">
              <w:rPr>
                <w:b/>
                <w:bCs w:val="0"/>
              </w:rPr>
              <w:t xml:space="preserve">10.80 </w:t>
            </w:r>
          </w:p>
          <w:p w14:paraId="127D0FA6" w14:textId="5842CA56" w:rsidR="00F422A6" w:rsidRPr="0040534B" w:rsidRDefault="00F422A6" w:rsidP="00F422A6">
            <w:pPr>
              <w:pStyle w:val="TableText0"/>
              <w:jc w:val="center"/>
              <w:rPr>
                <w:b/>
                <w:bCs w:val="0"/>
              </w:rPr>
            </w:pPr>
            <w:r w:rsidRPr="0040534B">
              <w:rPr>
                <w:b/>
                <w:bCs w:val="0"/>
              </w:rPr>
              <w:t>(6.42, 15.18)</w:t>
            </w:r>
          </w:p>
        </w:tc>
        <w:tc>
          <w:tcPr>
            <w:tcW w:w="363" w:type="pct"/>
            <w:vAlign w:val="center"/>
          </w:tcPr>
          <w:p w14:paraId="62CE03C8" w14:textId="1A6B8A61" w:rsidR="00F422A6" w:rsidRPr="0040534B" w:rsidRDefault="00F422A6" w:rsidP="00F422A6">
            <w:pPr>
              <w:pStyle w:val="TableText0"/>
              <w:jc w:val="center"/>
              <w:rPr>
                <w:b/>
                <w:bCs w:val="0"/>
              </w:rPr>
            </w:pPr>
            <w:r w:rsidRPr="0040534B">
              <w:rPr>
                <w:b/>
                <w:bCs w:val="0"/>
              </w:rPr>
              <w:t>&lt;0.0001</w:t>
            </w:r>
          </w:p>
        </w:tc>
      </w:tr>
      <w:tr w:rsidR="00B868D1" w:rsidRPr="0040534B" w14:paraId="2C6B1566" w14:textId="77777777" w:rsidTr="00C124DD">
        <w:tc>
          <w:tcPr>
            <w:tcW w:w="5000" w:type="pct"/>
            <w:gridSpan w:val="10"/>
            <w:vAlign w:val="center"/>
          </w:tcPr>
          <w:p w14:paraId="40D0FC47" w14:textId="1AAD887B" w:rsidR="00F422A6" w:rsidRPr="0040534B" w:rsidRDefault="00F422A6" w:rsidP="00F422A6">
            <w:pPr>
              <w:pStyle w:val="TableText0"/>
              <w:rPr>
                <w:b/>
                <w:bCs w:val="0"/>
              </w:rPr>
            </w:pPr>
            <w:r w:rsidRPr="0040534B">
              <w:rPr>
                <w:b/>
                <w:bCs w:val="0"/>
              </w:rPr>
              <w:t xml:space="preserve">Change from baseline in mean AIM-D </w:t>
            </w:r>
            <w:r w:rsidRPr="0040534B">
              <w:rPr>
                <w:b/>
              </w:rPr>
              <w:t>(performance of daily activities)</w:t>
            </w:r>
          </w:p>
        </w:tc>
      </w:tr>
      <w:tr w:rsidR="00F478FB" w:rsidRPr="0040534B" w14:paraId="449EBD80" w14:textId="77777777" w:rsidTr="00F478FB">
        <w:tc>
          <w:tcPr>
            <w:tcW w:w="624" w:type="pct"/>
            <w:vAlign w:val="center"/>
          </w:tcPr>
          <w:p w14:paraId="2320A939" w14:textId="1C161892" w:rsidR="00F422A6" w:rsidRPr="0040534B" w:rsidRDefault="00F422A6" w:rsidP="00F422A6">
            <w:pPr>
              <w:pStyle w:val="TableText0"/>
            </w:pPr>
            <w:r w:rsidRPr="0040534B">
              <w:t>ADVANCE</w:t>
            </w:r>
          </w:p>
        </w:tc>
        <w:tc>
          <w:tcPr>
            <w:tcW w:w="772" w:type="pct"/>
            <w:vAlign w:val="center"/>
          </w:tcPr>
          <w:p w14:paraId="3708A7E7" w14:textId="04DEE37B" w:rsidR="00F422A6" w:rsidRPr="0040534B" w:rsidRDefault="00F422A6" w:rsidP="00F422A6">
            <w:pPr>
              <w:pStyle w:val="TableText0"/>
            </w:pPr>
            <w:r w:rsidRPr="0040534B">
              <w:t>ATOG 60</w:t>
            </w:r>
            <w:r w:rsidR="006F04A7" w:rsidRPr="0040534B">
              <w:t xml:space="preserve"> </w:t>
            </w:r>
            <w:r w:rsidRPr="0040534B">
              <w:t>mg vs. PBO</w:t>
            </w:r>
          </w:p>
        </w:tc>
        <w:tc>
          <w:tcPr>
            <w:tcW w:w="332" w:type="pct"/>
            <w:vAlign w:val="center"/>
          </w:tcPr>
          <w:p w14:paraId="621E2B99" w14:textId="3894F8F6" w:rsidR="00F422A6" w:rsidRPr="0040534B" w:rsidRDefault="00F422A6" w:rsidP="00F422A6">
            <w:pPr>
              <w:pStyle w:val="TableText0"/>
              <w:jc w:val="center"/>
            </w:pPr>
            <w:r w:rsidRPr="0040534B">
              <w:t>222</w:t>
            </w:r>
          </w:p>
        </w:tc>
        <w:tc>
          <w:tcPr>
            <w:tcW w:w="532" w:type="pct"/>
            <w:vAlign w:val="center"/>
          </w:tcPr>
          <w:p w14:paraId="3A7B6EE3" w14:textId="2D20DA1E" w:rsidR="00F422A6" w:rsidRPr="0040534B" w:rsidRDefault="00F422A6" w:rsidP="00F422A6">
            <w:pPr>
              <w:pStyle w:val="TableText0"/>
              <w:jc w:val="center"/>
            </w:pPr>
            <w:r w:rsidRPr="0040534B">
              <w:t xml:space="preserve">15.74 </w:t>
            </w:r>
            <w:r w:rsidR="00F478FB" w:rsidRPr="0040534B">
              <w:br/>
            </w:r>
            <w:r w:rsidRPr="0040534B">
              <w:t>(8.3</w:t>
            </w:r>
            <w:r w:rsidR="00F478FB" w:rsidRPr="0040534B">
              <w:t>4</w:t>
            </w:r>
            <w:r w:rsidRPr="0040534B">
              <w:t>)</w:t>
            </w:r>
          </w:p>
        </w:tc>
        <w:tc>
          <w:tcPr>
            <w:tcW w:w="465" w:type="pct"/>
            <w:vAlign w:val="center"/>
          </w:tcPr>
          <w:p w14:paraId="2C59E04B" w14:textId="680A7C19" w:rsidR="00F422A6" w:rsidRPr="0040534B" w:rsidRDefault="00F422A6" w:rsidP="00F422A6">
            <w:pPr>
              <w:pStyle w:val="TableText0"/>
              <w:jc w:val="center"/>
            </w:pPr>
            <w:r w:rsidRPr="0040534B">
              <w:t>-9.41 [0.50]</w:t>
            </w:r>
          </w:p>
        </w:tc>
        <w:tc>
          <w:tcPr>
            <w:tcW w:w="333" w:type="pct"/>
            <w:vAlign w:val="center"/>
          </w:tcPr>
          <w:p w14:paraId="0EFE7152" w14:textId="058C54A8" w:rsidR="00F422A6" w:rsidRPr="0040534B" w:rsidRDefault="00F422A6" w:rsidP="00F422A6">
            <w:pPr>
              <w:pStyle w:val="TableText0"/>
              <w:jc w:val="center"/>
            </w:pPr>
            <w:r w:rsidRPr="0040534B">
              <w:t>214</w:t>
            </w:r>
          </w:p>
        </w:tc>
        <w:tc>
          <w:tcPr>
            <w:tcW w:w="478" w:type="pct"/>
            <w:vAlign w:val="center"/>
          </w:tcPr>
          <w:p w14:paraId="524E029F" w14:textId="0D85D8FD" w:rsidR="00F422A6" w:rsidRPr="0040534B" w:rsidRDefault="00F422A6" w:rsidP="00F422A6">
            <w:pPr>
              <w:pStyle w:val="TableText0"/>
              <w:jc w:val="center"/>
            </w:pPr>
            <w:r w:rsidRPr="0040534B">
              <w:t>15.06 (8.3</w:t>
            </w:r>
            <w:r w:rsidR="00F478FB" w:rsidRPr="0040534B">
              <w:t>2</w:t>
            </w:r>
            <w:r w:rsidRPr="0040534B">
              <w:t>)</w:t>
            </w:r>
          </w:p>
        </w:tc>
        <w:tc>
          <w:tcPr>
            <w:tcW w:w="492" w:type="pct"/>
            <w:vAlign w:val="center"/>
          </w:tcPr>
          <w:p w14:paraId="15C77192" w14:textId="36BD52E4" w:rsidR="00F422A6" w:rsidRPr="0040534B" w:rsidRDefault="00F422A6" w:rsidP="00F422A6">
            <w:pPr>
              <w:pStyle w:val="TableText0"/>
              <w:jc w:val="center"/>
            </w:pPr>
            <w:r w:rsidRPr="0040534B">
              <w:t xml:space="preserve">-6.09 </w:t>
            </w:r>
            <w:r w:rsidR="00F478FB" w:rsidRPr="0040534B">
              <w:br/>
            </w:r>
            <w:r w:rsidRPr="0040534B">
              <w:t>[0.50]</w:t>
            </w:r>
          </w:p>
        </w:tc>
        <w:tc>
          <w:tcPr>
            <w:tcW w:w="609" w:type="pct"/>
            <w:vAlign w:val="center"/>
          </w:tcPr>
          <w:p w14:paraId="39E946F4" w14:textId="6C4FE406" w:rsidR="00F422A6" w:rsidRPr="0040534B" w:rsidRDefault="00F422A6" w:rsidP="00F422A6">
            <w:pPr>
              <w:pStyle w:val="TableText0"/>
              <w:jc w:val="center"/>
              <w:rPr>
                <w:b/>
                <w:bCs w:val="0"/>
              </w:rPr>
            </w:pPr>
            <w:r w:rsidRPr="0040534B">
              <w:rPr>
                <w:b/>
                <w:bCs w:val="0"/>
              </w:rPr>
              <w:t xml:space="preserve">-3.32 </w:t>
            </w:r>
          </w:p>
          <w:p w14:paraId="3F5C9A3F" w14:textId="4553E37E" w:rsidR="00F422A6" w:rsidRPr="0040534B" w:rsidRDefault="00F422A6" w:rsidP="00F422A6">
            <w:pPr>
              <w:pStyle w:val="TableText0"/>
              <w:jc w:val="center"/>
              <w:rPr>
                <w:b/>
                <w:bCs w:val="0"/>
              </w:rPr>
            </w:pPr>
            <w:r w:rsidRPr="0040534B">
              <w:rPr>
                <w:b/>
                <w:bCs w:val="0"/>
              </w:rPr>
              <w:t>(-4.68, -1.96)</w:t>
            </w:r>
          </w:p>
        </w:tc>
        <w:tc>
          <w:tcPr>
            <w:tcW w:w="363" w:type="pct"/>
            <w:vAlign w:val="center"/>
          </w:tcPr>
          <w:p w14:paraId="5E963C93" w14:textId="68B02260" w:rsidR="00F422A6" w:rsidRPr="0040534B" w:rsidRDefault="00F422A6" w:rsidP="00F422A6">
            <w:pPr>
              <w:pStyle w:val="TableText0"/>
              <w:jc w:val="center"/>
              <w:rPr>
                <w:b/>
                <w:bCs w:val="0"/>
              </w:rPr>
            </w:pPr>
            <w:r w:rsidRPr="0040534B">
              <w:rPr>
                <w:b/>
                <w:bCs w:val="0"/>
              </w:rPr>
              <w:t>&lt;0.0001</w:t>
            </w:r>
          </w:p>
        </w:tc>
      </w:tr>
      <w:tr w:rsidR="00B868D1" w:rsidRPr="0040534B" w14:paraId="4D431AD4" w14:textId="77777777" w:rsidTr="00C124DD">
        <w:tc>
          <w:tcPr>
            <w:tcW w:w="5000" w:type="pct"/>
            <w:gridSpan w:val="10"/>
            <w:vAlign w:val="center"/>
          </w:tcPr>
          <w:p w14:paraId="18D8B922" w14:textId="191D335C" w:rsidR="00F422A6" w:rsidRPr="0040534B" w:rsidRDefault="00F422A6" w:rsidP="00F422A6">
            <w:pPr>
              <w:pStyle w:val="TableText0"/>
            </w:pPr>
            <w:r w:rsidRPr="0040534B">
              <w:rPr>
                <w:b/>
                <w:bCs w:val="0"/>
              </w:rPr>
              <w:t xml:space="preserve">Change from baseline in mean AIM-D </w:t>
            </w:r>
            <w:r w:rsidRPr="0040534B">
              <w:rPr>
                <w:b/>
              </w:rPr>
              <w:t>(physical impairment domain)</w:t>
            </w:r>
          </w:p>
        </w:tc>
      </w:tr>
      <w:tr w:rsidR="00F478FB" w:rsidRPr="0040534B" w14:paraId="1B601897" w14:textId="77777777" w:rsidTr="00F478FB">
        <w:tc>
          <w:tcPr>
            <w:tcW w:w="624" w:type="pct"/>
            <w:vAlign w:val="center"/>
          </w:tcPr>
          <w:p w14:paraId="226909D0" w14:textId="39B872F7" w:rsidR="00F422A6" w:rsidRPr="0040534B" w:rsidRDefault="00F422A6" w:rsidP="00F422A6">
            <w:pPr>
              <w:pStyle w:val="TableText0"/>
            </w:pPr>
            <w:r w:rsidRPr="0040534B">
              <w:t>ADVANCE</w:t>
            </w:r>
          </w:p>
        </w:tc>
        <w:tc>
          <w:tcPr>
            <w:tcW w:w="772" w:type="pct"/>
            <w:vAlign w:val="center"/>
          </w:tcPr>
          <w:p w14:paraId="32AA3F63" w14:textId="75C987D9" w:rsidR="00F422A6" w:rsidRPr="0040534B" w:rsidRDefault="00F422A6" w:rsidP="00F422A6">
            <w:pPr>
              <w:pStyle w:val="TableText0"/>
            </w:pPr>
            <w:r w:rsidRPr="0040534B">
              <w:t>ATOG 60</w:t>
            </w:r>
            <w:r w:rsidR="006F04A7" w:rsidRPr="0040534B">
              <w:t xml:space="preserve"> </w:t>
            </w:r>
            <w:r w:rsidRPr="0040534B">
              <w:t>mg vs. PBO</w:t>
            </w:r>
          </w:p>
        </w:tc>
        <w:tc>
          <w:tcPr>
            <w:tcW w:w="332" w:type="pct"/>
            <w:vAlign w:val="center"/>
          </w:tcPr>
          <w:p w14:paraId="484E961A" w14:textId="5B0DB201" w:rsidR="00F422A6" w:rsidRPr="0040534B" w:rsidRDefault="00F422A6" w:rsidP="00F422A6">
            <w:pPr>
              <w:pStyle w:val="TableText0"/>
              <w:jc w:val="center"/>
            </w:pPr>
            <w:r w:rsidRPr="0040534B">
              <w:t>222</w:t>
            </w:r>
          </w:p>
        </w:tc>
        <w:tc>
          <w:tcPr>
            <w:tcW w:w="532" w:type="pct"/>
            <w:vAlign w:val="center"/>
          </w:tcPr>
          <w:p w14:paraId="09E134D2" w14:textId="605C8C3C" w:rsidR="00F422A6" w:rsidRPr="0040534B" w:rsidRDefault="00F422A6" w:rsidP="00F422A6">
            <w:pPr>
              <w:pStyle w:val="TableText0"/>
              <w:jc w:val="center"/>
            </w:pPr>
            <w:r w:rsidRPr="0040534B">
              <w:t xml:space="preserve">11.48 </w:t>
            </w:r>
            <w:r w:rsidR="00F478FB" w:rsidRPr="0040534B">
              <w:br/>
            </w:r>
            <w:r w:rsidRPr="0040534B">
              <w:t>(7.77)</w:t>
            </w:r>
          </w:p>
        </w:tc>
        <w:tc>
          <w:tcPr>
            <w:tcW w:w="465" w:type="pct"/>
            <w:vAlign w:val="center"/>
          </w:tcPr>
          <w:p w14:paraId="1FB419CF" w14:textId="7974D2FC" w:rsidR="00F422A6" w:rsidRPr="0040534B" w:rsidRDefault="00F422A6" w:rsidP="00F422A6">
            <w:pPr>
              <w:pStyle w:val="TableText0"/>
              <w:jc w:val="center"/>
            </w:pPr>
            <w:r w:rsidRPr="0040534B">
              <w:t>-6.49 [0.4</w:t>
            </w:r>
            <w:r w:rsidR="00F478FB" w:rsidRPr="0040534B">
              <w:t>4</w:t>
            </w:r>
            <w:r w:rsidRPr="0040534B">
              <w:t>]</w:t>
            </w:r>
          </w:p>
        </w:tc>
        <w:tc>
          <w:tcPr>
            <w:tcW w:w="333" w:type="pct"/>
            <w:vAlign w:val="center"/>
          </w:tcPr>
          <w:p w14:paraId="5B4ED28B" w14:textId="5C621F8B" w:rsidR="00F422A6" w:rsidRPr="0040534B" w:rsidRDefault="00F422A6" w:rsidP="00F422A6">
            <w:pPr>
              <w:pStyle w:val="TableText0"/>
              <w:jc w:val="center"/>
            </w:pPr>
            <w:r w:rsidRPr="0040534B">
              <w:t>214</w:t>
            </w:r>
          </w:p>
        </w:tc>
        <w:tc>
          <w:tcPr>
            <w:tcW w:w="478" w:type="pct"/>
            <w:vAlign w:val="center"/>
          </w:tcPr>
          <w:p w14:paraId="79F00F1C" w14:textId="62E212B0" w:rsidR="00F422A6" w:rsidRPr="0040534B" w:rsidRDefault="00F422A6" w:rsidP="00F422A6">
            <w:pPr>
              <w:pStyle w:val="TableText0"/>
              <w:jc w:val="center"/>
            </w:pPr>
            <w:r w:rsidRPr="0040534B">
              <w:t>10.99 (8.03)</w:t>
            </w:r>
          </w:p>
        </w:tc>
        <w:tc>
          <w:tcPr>
            <w:tcW w:w="492" w:type="pct"/>
            <w:vAlign w:val="center"/>
          </w:tcPr>
          <w:p w14:paraId="0980A59A" w14:textId="1821B798" w:rsidR="00F422A6" w:rsidRPr="0040534B" w:rsidRDefault="00F422A6" w:rsidP="00F422A6">
            <w:pPr>
              <w:pStyle w:val="TableText0"/>
              <w:jc w:val="center"/>
            </w:pPr>
            <w:r w:rsidRPr="0040534B">
              <w:t xml:space="preserve">-4.03 </w:t>
            </w:r>
            <w:r w:rsidR="00F478FB" w:rsidRPr="0040534B">
              <w:br/>
            </w:r>
            <w:r w:rsidRPr="0040534B">
              <w:t>[0.4</w:t>
            </w:r>
            <w:r w:rsidR="00F478FB" w:rsidRPr="0040534B">
              <w:t>4</w:t>
            </w:r>
            <w:r w:rsidRPr="0040534B">
              <w:t>]</w:t>
            </w:r>
          </w:p>
        </w:tc>
        <w:tc>
          <w:tcPr>
            <w:tcW w:w="609" w:type="pct"/>
            <w:vAlign w:val="center"/>
          </w:tcPr>
          <w:p w14:paraId="7752F204" w14:textId="4FEB9ECF" w:rsidR="00F422A6" w:rsidRPr="0040534B" w:rsidRDefault="00F422A6" w:rsidP="00F422A6">
            <w:pPr>
              <w:pStyle w:val="TableText0"/>
              <w:jc w:val="center"/>
              <w:rPr>
                <w:b/>
                <w:bCs w:val="0"/>
              </w:rPr>
            </w:pPr>
            <w:r w:rsidRPr="0040534B">
              <w:rPr>
                <w:b/>
                <w:bCs w:val="0"/>
              </w:rPr>
              <w:t xml:space="preserve">-2.46 </w:t>
            </w:r>
          </w:p>
          <w:p w14:paraId="536742A9" w14:textId="441B8CCC" w:rsidR="00F422A6" w:rsidRPr="0040534B" w:rsidRDefault="00F422A6" w:rsidP="00F422A6">
            <w:pPr>
              <w:pStyle w:val="TableText0"/>
              <w:jc w:val="center"/>
              <w:rPr>
                <w:b/>
                <w:bCs w:val="0"/>
              </w:rPr>
            </w:pPr>
            <w:r w:rsidRPr="0040534B">
              <w:rPr>
                <w:b/>
                <w:bCs w:val="0"/>
              </w:rPr>
              <w:t>(-3.65, -1.28)</w:t>
            </w:r>
          </w:p>
        </w:tc>
        <w:tc>
          <w:tcPr>
            <w:tcW w:w="363" w:type="pct"/>
            <w:vAlign w:val="center"/>
          </w:tcPr>
          <w:p w14:paraId="2F8B4A50" w14:textId="77777777" w:rsidR="00F422A6" w:rsidRPr="0040534B" w:rsidRDefault="00F422A6" w:rsidP="00F422A6">
            <w:pPr>
              <w:pStyle w:val="TableText0"/>
              <w:jc w:val="center"/>
              <w:rPr>
                <w:b/>
                <w:bCs w:val="0"/>
              </w:rPr>
            </w:pPr>
            <w:r w:rsidRPr="0040534B">
              <w:rPr>
                <w:b/>
                <w:bCs w:val="0"/>
              </w:rPr>
              <w:t>&lt;0.0001</w:t>
            </w:r>
          </w:p>
          <w:p w14:paraId="3B753ADE" w14:textId="0DAEB083" w:rsidR="00F422A6" w:rsidRPr="0040534B" w:rsidRDefault="00F422A6" w:rsidP="00F422A6">
            <w:pPr>
              <w:pStyle w:val="TableText0"/>
              <w:jc w:val="center"/>
              <w:rPr>
                <w:b/>
                <w:bCs w:val="0"/>
              </w:rPr>
            </w:pPr>
            <w:r w:rsidRPr="0040534B">
              <w:rPr>
                <w:b/>
                <w:bCs w:val="0"/>
                <w:i/>
                <w:iCs/>
              </w:rPr>
              <w:t>0.0002</w:t>
            </w:r>
          </w:p>
        </w:tc>
      </w:tr>
      <w:tr w:rsidR="00B868D1" w:rsidRPr="0040534B" w14:paraId="0CABF4E6" w14:textId="77777777" w:rsidTr="00C124DD">
        <w:tc>
          <w:tcPr>
            <w:tcW w:w="5000" w:type="pct"/>
            <w:gridSpan w:val="10"/>
            <w:vAlign w:val="center"/>
          </w:tcPr>
          <w:p w14:paraId="509C0656" w14:textId="4B10F17E" w:rsidR="00F422A6" w:rsidRPr="0040534B" w:rsidRDefault="00F422A6" w:rsidP="00F422A6">
            <w:pPr>
              <w:pStyle w:val="TableText0"/>
              <w:rPr>
                <w:b/>
                <w:bCs w:val="0"/>
              </w:rPr>
            </w:pPr>
            <w:r w:rsidRPr="0040534B">
              <w:rPr>
                <w:b/>
                <w:bCs w:val="0"/>
              </w:rPr>
              <w:t>Change from baseline in mean HIT-6</w:t>
            </w:r>
          </w:p>
        </w:tc>
      </w:tr>
      <w:tr w:rsidR="00F478FB" w:rsidRPr="0040534B" w14:paraId="01FFAC72" w14:textId="77777777" w:rsidTr="00F478FB">
        <w:tc>
          <w:tcPr>
            <w:tcW w:w="624" w:type="pct"/>
            <w:vAlign w:val="center"/>
          </w:tcPr>
          <w:p w14:paraId="3BDEE55C" w14:textId="6A6011F6" w:rsidR="00F422A6" w:rsidRPr="0040534B" w:rsidRDefault="00F422A6" w:rsidP="00F422A6">
            <w:pPr>
              <w:pStyle w:val="TableText0"/>
            </w:pPr>
            <w:r w:rsidRPr="0040534B">
              <w:t>ADVANCE</w:t>
            </w:r>
          </w:p>
        </w:tc>
        <w:tc>
          <w:tcPr>
            <w:tcW w:w="772" w:type="pct"/>
            <w:vAlign w:val="center"/>
          </w:tcPr>
          <w:p w14:paraId="7111D109" w14:textId="4F6D8971" w:rsidR="00F422A6" w:rsidRPr="0040534B" w:rsidRDefault="00F422A6" w:rsidP="00F422A6">
            <w:pPr>
              <w:pStyle w:val="TableText0"/>
            </w:pPr>
            <w:r w:rsidRPr="0040534B">
              <w:t>ATOG 60</w:t>
            </w:r>
            <w:r w:rsidR="006F04A7" w:rsidRPr="0040534B">
              <w:t xml:space="preserve"> </w:t>
            </w:r>
            <w:r w:rsidRPr="0040534B">
              <w:t>mg vs. PBO</w:t>
            </w:r>
          </w:p>
        </w:tc>
        <w:tc>
          <w:tcPr>
            <w:tcW w:w="332" w:type="pct"/>
            <w:shd w:val="clear" w:color="auto" w:fill="auto"/>
            <w:vAlign w:val="center"/>
          </w:tcPr>
          <w:p w14:paraId="538D4592" w14:textId="007CC9A1" w:rsidR="00F422A6" w:rsidRPr="0040534B" w:rsidRDefault="00F422A6" w:rsidP="00F422A6">
            <w:pPr>
              <w:pStyle w:val="TableText0"/>
              <w:jc w:val="center"/>
            </w:pPr>
            <w:r w:rsidRPr="0040534B">
              <w:t>222</w:t>
            </w:r>
          </w:p>
        </w:tc>
        <w:tc>
          <w:tcPr>
            <w:tcW w:w="532" w:type="pct"/>
            <w:shd w:val="clear" w:color="auto" w:fill="auto"/>
            <w:vAlign w:val="center"/>
          </w:tcPr>
          <w:p w14:paraId="6DB2E341" w14:textId="663824F0" w:rsidR="00F422A6" w:rsidRPr="0040534B" w:rsidRDefault="00F422A6" w:rsidP="00F422A6">
            <w:pPr>
              <w:pStyle w:val="TableText0"/>
              <w:jc w:val="center"/>
            </w:pPr>
            <w:r w:rsidRPr="0040534B">
              <w:rPr>
                <w:i/>
                <w:iCs/>
              </w:rPr>
              <w:t>NR</w:t>
            </w:r>
          </w:p>
        </w:tc>
        <w:tc>
          <w:tcPr>
            <w:tcW w:w="465" w:type="pct"/>
            <w:shd w:val="clear" w:color="auto" w:fill="auto"/>
            <w:vAlign w:val="center"/>
          </w:tcPr>
          <w:p w14:paraId="02C52011" w14:textId="69C7A314" w:rsidR="00F422A6" w:rsidRPr="0040534B" w:rsidRDefault="00F422A6" w:rsidP="00F422A6">
            <w:pPr>
              <w:pStyle w:val="TableText0"/>
              <w:jc w:val="center"/>
            </w:pPr>
            <w:r w:rsidRPr="0040534B">
              <w:t>-9.20 [0.5</w:t>
            </w:r>
            <w:r w:rsidR="00F478FB" w:rsidRPr="0040534B">
              <w:t>3</w:t>
            </w:r>
            <w:r w:rsidRPr="0040534B">
              <w:t>]</w:t>
            </w:r>
          </w:p>
        </w:tc>
        <w:tc>
          <w:tcPr>
            <w:tcW w:w="333" w:type="pct"/>
            <w:shd w:val="clear" w:color="auto" w:fill="auto"/>
            <w:vAlign w:val="center"/>
          </w:tcPr>
          <w:p w14:paraId="5F6BCB92" w14:textId="2F6793BA" w:rsidR="00F422A6" w:rsidRPr="0040534B" w:rsidRDefault="00F422A6" w:rsidP="00F422A6">
            <w:pPr>
              <w:pStyle w:val="TableText0"/>
              <w:jc w:val="center"/>
            </w:pPr>
            <w:r w:rsidRPr="0040534B">
              <w:t>214</w:t>
            </w:r>
          </w:p>
        </w:tc>
        <w:tc>
          <w:tcPr>
            <w:tcW w:w="478" w:type="pct"/>
            <w:shd w:val="clear" w:color="auto" w:fill="auto"/>
            <w:vAlign w:val="center"/>
          </w:tcPr>
          <w:p w14:paraId="456D7E00" w14:textId="5CEA3F59" w:rsidR="00F422A6" w:rsidRPr="0040534B" w:rsidRDefault="00F422A6" w:rsidP="00F422A6">
            <w:pPr>
              <w:pStyle w:val="TableText0"/>
              <w:jc w:val="center"/>
            </w:pPr>
            <w:r w:rsidRPr="0040534B">
              <w:rPr>
                <w:i/>
                <w:iCs/>
              </w:rPr>
              <w:t>NR</w:t>
            </w:r>
          </w:p>
        </w:tc>
        <w:tc>
          <w:tcPr>
            <w:tcW w:w="492" w:type="pct"/>
            <w:shd w:val="clear" w:color="auto" w:fill="auto"/>
            <w:vAlign w:val="center"/>
          </w:tcPr>
          <w:p w14:paraId="1487AE4E" w14:textId="608CEFA0" w:rsidR="00F422A6" w:rsidRPr="0040534B" w:rsidRDefault="00F422A6" w:rsidP="00F422A6">
            <w:pPr>
              <w:pStyle w:val="TableText0"/>
              <w:jc w:val="center"/>
            </w:pPr>
            <w:r w:rsidRPr="0040534B">
              <w:t xml:space="preserve">-5.24 </w:t>
            </w:r>
            <w:r w:rsidR="00F478FB" w:rsidRPr="0040534B">
              <w:br/>
            </w:r>
            <w:r w:rsidRPr="0040534B">
              <w:t>[0.5</w:t>
            </w:r>
            <w:r w:rsidR="00F478FB" w:rsidRPr="0040534B">
              <w:t>4</w:t>
            </w:r>
            <w:r w:rsidRPr="0040534B">
              <w:t>]</w:t>
            </w:r>
          </w:p>
        </w:tc>
        <w:tc>
          <w:tcPr>
            <w:tcW w:w="609" w:type="pct"/>
            <w:vAlign w:val="center"/>
          </w:tcPr>
          <w:p w14:paraId="6F25F90B" w14:textId="1D3842F1" w:rsidR="00F422A6" w:rsidRPr="000C4C75" w:rsidRDefault="00F422A6" w:rsidP="00F422A6">
            <w:pPr>
              <w:pStyle w:val="TableText0"/>
              <w:jc w:val="center"/>
              <w:rPr>
                <w:b/>
                <w:bCs w:val="0"/>
              </w:rPr>
            </w:pPr>
            <w:r w:rsidRPr="000C4C75">
              <w:rPr>
                <w:b/>
                <w:bCs w:val="0"/>
              </w:rPr>
              <w:t xml:space="preserve">-3.96 </w:t>
            </w:r>
          </w:p>
          <w:p w14:paraId="2CD19C95" w14:textId="1ED00758" w:rsidR="00F422A6" w:rsidRPr="000C4C75" w:rsidRDefault="00F422A6" w:rsidP="00F422A6">
            <w:pPr>
              <w:pStyle w:val="TableText0"/>
              <w:jc w:val="center"/>
              <w:rPr>
                <w:b/>
                <w:bCs w:val="0"/>
              </w:rPr>
            </w:pPr>
            <w:r w:rsidRPr="000C4C75">
              <w:rPr>
                <w:b/>
                <w:bCs w:val="0"/>
              </w:rPr>
              <w:t>(-5.42, -2.50)</w:t>
            </w:r>
          </w:p>
        </w:tc>
        <w:tc>
          <w:tcPr>
            <w:tcW w:w="363" w:type="pct"/>
            <w:vAlign w:val="center"/>
          </w:tcPr>
          <w:p w14:paraId="0070C9F0" w14:textId="4E7DB1A2" w:rsidR="00F422A6" w:rsidRPr="000C4C75" w:rsidRDefault="00F422A6" w:rsidP="00F422A6">
            <w:pPr>
              <w:pStyle w:val="TableText0"/>
              <w:jc w:val="center"/>
              <w:rPr>
                <w:b/>
                <w:bCs w:val="0"/>
              </w:rPr>
            </w:pPr>
            <w:r w:rsidRPr="000C4C75">
              <w:rPr>
                <w:b/>
                <w:bCs w:val="0"/>
              </w:rPr>
              <w:t>&lt;0.0001</w:t>
            </w:r>
          </w:p>
        </w:tc>
      </w:tr>
    </w:tbl>
    <w:p w14:paraId="5995A6E2" w14:textId="16763207" w:rsidR="0027410A" w:rsidRPr="0040534B" w:rsidRDefault="00F03CD4" w:rsidP="0027410A">
      <w:pPr>
        <w:pStyle w:val="FooterTableFigure"/>
        <w:rPr>
          <w:b/>
          <w:bCs/>
          <w:sz w:val="20"/>
        </w:rPr>
      </w:pPr>
      <w:r w:rsidRPr="0040534B">
        <w:t xml:space="preserve">Source: </w:t>
      </w:r>
      <w:r w:rsidR="00F422A6" w:rsidRPr="0040534B">
        <w:t xml:space="preserve">Table 2-27, pp94-95 of the submission; Tables 11-1, 11-7 &amp; 11-8 of the ADVANCE CSR. </w:t>
      </w:r>
      <w:r w:rsidR="00F422A6" w:rsidRPr="0040534B">
        <w:rPr>
          <w:rFonts w:eastAsia="Calibri"/>
          <w:b/>
        </w:rPr>
        <w:t>Bold</w:t>
      </w:r>
      <w:r w:rsidR="00F422A6" w:rsidRPr="0040534B">
        <w:rPr>
          <w:rFonts w:eastAsia="Calibri"/>
        </w:rPr>
        <w:t xml:space="preserve"> indicates statistically significant results.</w:t>
      </w:r>
      <w:r w:rsidR="00F422A6" w:rsidRPr="0040534B">
        <w:rPr>
          <w:rFonts w:eastAsia="Calibri"/>
          <w:i/>
          <w:iCs/>
        </w:rPr>
        <w:t xml:space="preserve"> Italicised text (values from the CSR and p-values with multiplicity adjustment) added during the evaluation. Change from baseline in mean HIT-6 was assessed without adjusting for multiplicity so is nominally significant.</w:t>
      </w:r>
    </w:p>
    <w:p w14:paraId="08483D8E" w14:textId="79D36BAB" w:rsidR="00F03CD4" w:rsidRPr="0040534B" w:rsidRDefault="00F03CD4" w:rsidP="00F03CD4">
      <w:pPr>
        <w:pStyle w:val="FooterTableFigure"/>
      </w:pPr>
      <w:r w:rsidRPr="0040534B">
        <w:t xml:space="preserve">AIM-D = activity impairment in migraine diary; ATOG = Atogepant; CI = confidence interval; HIT-6 = headache impact test-6; LSM = least-squares mean; </w:t>
      </w:r>
      <w:r w:rsidRPr="0040534B">
        <w:rPr>
          <w:szCs w:val="18"/>
        </w:rPr>
        <w:t>LSMD = least-squares mean difference;</w:t>
      </w:r>
      <w:r w:rsidRPr="0040534B">
        <w:t xml:space="preserve"> MMRM = mixed model for repeated measure; MSQ-RFR = Migraine-Specific Quality of Life Questionnaire version 2.1 </w:t>
      </w:r>
      <w:r w:rsidR="00D476ED" w:rsidRPr="0040534B">
        <w:t>–</w:t>
      </w:r>
      <w:r w:rsidRPr="0040534B">
        <w:t xml:space="preserve"> role function-restrictive domain score; </w:t>
      </w:r>
      <w:r w:rsidRPr="0040534B">
        <w:rPr>
          <w:szCs w:val="18"/>
        </w:rPr>
        <w:t xml:space="preserve">N = total participants in group; PBO = placebo; </w:t>
      </w:r>
      <w:r w:rsidRPr="0040534B">
        <w:t>SD = standard deviation; SE = standard error.</w:t>
      </w:r>
    </w:p>
    <w:p w14:paraId="566E2662" w14:textId="47777A62" w:rsidR="00F03CD4" w:rsidRPr="0040534B" w:rsidRDefault="00F03CD4" w:rsidP="00F03CD4">
      <w:pPr>
        <w:pStyle w:val="3-BodyText"/>
      </w:pPr>
      <w:r w:rsidRPr="0040534B">
        <w:t>The whole trial analysis of the atogepant ADVANCE and NCT02848432</w:t>
      </w:r>
      <w:r w:rsidR="00950E8B" w:rsidRPr="0040534B">
        <w:t>6</w:t>
      </w:r>
      <w:r w:rsidRPr="0040534B">
        <w:t xml:space="preserve"> trials indicated that atogepant was superior to placebo in terms of the primary outcome (change of mean monthly migraine days) and </w:t>
      </w:r>
      <w:r w:rsidR="00CB56D9" w:rsidRPr="0040534B">
        <w:t>the majority of</w:t>
      </w:r>
      <w:r w:rsidRPr="0040534B">
        <w:t xml:space="preserve"> secondary outcomes.</w:t>
      </w:r>
    </w:p>
    <w:p w14:paraId="5AC36779" w14:textId="5AE6522F" w:rsidR="00F03CD4" w:rsidRPr="0040534B" w:rsidRDefault="00F03CD4" w:rsidP="00F03CD4">
      <w:pPr>
        <w:pStyle w:val="3-BodyText"/>
        <w:rPr>
          <w:color w:val="0066FF"/>
        </w:rPr>
      </w:pPr>
      <w:r w:rsidRPr="0040534B">
        <w:rPr>
          <w:rFonts w:eastAsia="Calibri"/>
        </w:rPr>
        <w:t>The submission stated that the comparative improvement in the change from baseline in the HIT-6 score of -3.96 (95%</w:t>
      </w:r>
      <w:r w:rsidR="00104D9F" w:rsidRPr="0040534B">
        <w:rPr>
          <w:rFonts w:eastAsia="Calibri"/>
        </w:rPr>
        <w:t xml:space="preserve"> </w:t>
      </w:r>
      <w:r w:rsidRPr="0040534B">
        <w:rPr>
          <w:rFonts w:eastAsia="Calibri"/>
        </w:rPr>
        <w:t>CI</w:t>
      </w:r>
      <w:r w:rsidR="00104D9F" w:rsidRPr="0040534B">
        <w:rPr>
          <w:rFonts w:eastAsia="Calibri"/>
        </w:rPr>
        <w:t>:</w:t>
      </w:r>
      <w:r w:rsidRPr="0040534B">
        <w:rPr>
          <w:rFonts w:eastAsia="Calibri"/>
        </w:rPr>
        <w:t xml:space="preserve"> -5.42, -2.50) between atogepant and placebo was above the MCID of -2.5 for episodic migraine, demonstrating a clinically meaningful improvement in headache-specific quality of life with atogepant treatment. </w:t>
      </w:r>
    </w:p>
    <w:p w14:paraId="3BE28331" w14:textId="77777777" w:rsidR="0034596A" w:rsidRPr="0040534B" w:rsidRDefault="0034596A" w:rsidP="0034596A">
      <w:pPr>
        <w:pStyle w:val="3-BodyText"/>
      </w:pPr>
      <w:r w:rsidRPr="0040534B">
        <w:t>The submission also presented results for response defined as the proportion of patients achieving a ≥50% reduction in mean monthly migraine days as a dichotomous outcome for the ADVANCE trial (not presented below). A statistically significant higher proportion of participants achieved a ≥50% reduction in monthly migraine days with atogepant 60 mg once daily (134/222; 60.8%) compared with placebo (62/214; 29.0%) with an odds ratio of 3.82 (95% CI: 2.56, 5.71; p&lt;0.0001).</w:t>
      </w:r>
    </w:p>
    <w:p w14:paraId="1565800D" w14:textId="5EC90158" w:rsidR="00F03CD4" w:rsidRPr="0040534B" w:rsidRDefault="00F03CD4" w:rsidP="00F03CD4">
      <w:pPr>
        <w:pStyle w:val="3-BodyText"/>
      </w:pPr>
      <w:r w:rsidRPr="0040534B">
        <w:lastRenderedPageBreak/>
        <w:fldChar w:fldCharType="begin" w:fldLock="1"/>
      </w:r>
      <w:r w:rsidRPr="0040534B">
        <w:instrText xml:space="preserve"> REF _Ref133585700 \h </w:instrText>
      </w:r>
      <w:r w:rsidR="00653EEA" w:rsidRPr="0040534B">
        <w:instrText xml:space="preserve"> \* MERGEFORMAT </w:instrText>
      </w:r>
      <w:r w:rsidRPr="0040534B">
        <w:fldChar w:fldCharType="separate"/>
      </w:r>
      <w:r w:rsidR="004E201F" w:rsidRPr="0040534B">
        <w:t xml:space="preserve">Table </w:t>
      </w:r>
      <w:r w:rsidR="004E201F">
        <w:t>10</w:t>
      </w:r>
      <w:r w:rsidRPr="0040534B">
        <w:fldChar w:fldCharType="end"/>
      </w:r>
      <w:r w:rsidRPr="0040534B">
        <w:t xml:space="preserve"> presents the subgroup analysis of the atogepant ADVANCE trial for the change from baseline in mean monthly migraine days based on the use of prior migraine prevention medication failures</w:t>
      </w:r>
      <w:r w:rsidR="0093618F" w:rsidRPr="0040534B">
        <w:t xml:space="preserve"> (yes/no)</w:t>
      </w:r>
      <w:r w:rsidRPr="0040534B">
        <w:t>. The submission stated that subgroup results based on the number of prior preventive migraine treatments in the ADVANCE trial was not presented as data for such an analysis were limited. No information was presented regarding prior preventive migraine medication use in the atogepant NCT02848326 trial. The submission’s claim that differences in prior treatment was unlikely to have an effect was uncertain.</w:t>
      </w:r>
    </w:p>
    <w:p w14:paraId="71EE2632" w14:textId="61CAAC80" w:rsidR="00F03CD4" w:rsidRPr="0040534B" w:rsidRDefault="00F03CD4" w:rsidP="00F03CD4">
      <w:pPr>
        <w:pStyle w:val="Caption"/>
        <w:rPr>
          <w:rStyle w:val="CommentReference"/>
          <w:b/>
          <w:szCs w:val="24"/>
        </w:rPr>
      </w:pPr>
      <w:bookmarkStart w:id="58" w:name="_Ref133585700"/>
      <w:bookmarkStart w:id="59" w:name="_Ref134032793"/>
      <w:r w:rsidRPr="0040534B">
        <w:t xml:space="preserve">Table </w:t>
      </w:r>
      <w:r w:rsidR="001968FD">
        <w:fldChar w:fldCharType="begin" w:fldLock="1"/>
      </w:r>
      <w:r w:rsidR="001968FD">
        <w:instrText xml:space="preserve"> SEQ Table \* ARABIC </w:instrText>
      </w:r>
      <w:r w:rsidR="001968FD">
        <w:fldChar w:fldCharType="separate"/>
      </w:r>
      <w:r w:rsidR="004E201F">
        <w:rPr>
          <w:noProof/>
        </w:rPr>
        <w:t>10</w:t>
      </w:r>
      <w:r w:rsidR="001968FD">
        <w:rPr>
          <w:noProof/>
        </w:rPr>
        <w:fldChar w:fldCharType="end"/>
      </w:r>
      <w:bookmarkEnd w:id="58"/>
      <w:r w:rsidRPr="0040534B">
        <w:rPr>
          <w:rStyle w:val="CommentReference"/>
          <w:b/>
          <w:szCs w:val="24"/>
        </w:rPr>
        <w:t>: Results of change in mean monthly migraine days at 12 weeks in the ADVANCE trial (whole trial and subgroup analysis): continuous data with outcome presented as change from baseline</w:t>
      </w:r>
      <w:bookmarkEnd w:id="59"/>
      <w:r w:rsidRPr="0040534B">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8"/>
        <w:gridCol w:w="1739"/>
        <w:gridCol w:w="395"/>
        <w:gridCol w:w="833"/>
        <w:gridCol w:w="840"/>
        <w:gridCol w:w="480"/>
        <w:gridCol w:w="824"/>
        <w:gridCol w:w="977"/>
        <w:gridCol w:w="1080"/>
        <w:gridCol w:w="741"/>
      </w:tblGrid>
      <w:tr w:rsidR="00F03CD4" w:rsidRPr="0040534B" w14:paraId="54E1C1E9" w14:textId="77777777" w:rsidTr="00F478FB">
        <w:trPr>
          <w:tblHeader/>
        </w:trPr>
        <w:tc>
          <w:tcPr>
            <w:tcW w:w="614" w:type="pct"/>
            <w:vMerge w:val="restart"/>
            <w:vAlign w:val="center"/>
          </w:tcPr>
          <w:p w14:paraId="583C4433" w14:textId="77777777" w:rsidR="00F03CD4" w:rsidRPr="0040534B" w:rsidRDefault="00F03CD4" w:rsidP="00AE0C79">
            <w:pPr>
              <w:pStyle w:val="In-tableHeading"/>
              <w:jc w:val="center"/>
              <w:rPr>
                <w:lang w:val="en-AU"/>
              </w:rPr>
            </w:pPr>
            <w:r w:rsidRPr="0040534B">
              <w:rPr>
                <w:lang w:val="en-AU"/>
              </w:rPr>
              <w:t>Subgroup</w:t>
            </w:r>
          </w:p>
        </w:tc>
        <w:tc>
          <w:tcPr>
            <w:tcW w:w="964" w:type="pct"/>
            <w:vMerge w:val="restart"/>
            <w:vAlign w:val="center"/>
          </w:tcPr>
          <w:p w14:paraId="1B113212" w14:textId="77777777" w:rsidR="00F03CD4" w:rsidRPr="0040534B" w:rsidRDefault="00F03CD4" w:rsidP="00AE0C79">
            <w:pPr>
              <w:pStyle w:val="In-tableHeading"/>
              <w:jc w:val="center"/>
              <w:rPr>
                <w:iCs/>
                <w:lang w:val="en-AU"/>
              </w:rPr>
            </w:pPr>
            <w:r w:rsidRPr="0040534B">
              <w:rPr>
                <w:iCs/>
                <w:lang w:val="en-AU"/>
              </w:rPr>
              <w:t>Treatment arms</w:t>
            </w:r>
          </w:p>
        </w:tc>
        <w:tc>
          <w:tcPr>
            <w:tcW w:w="1147" w:type="pct"/>
            <w:gridSpan w:val="3"/>
            <w:vMerge w:val="restart"/>
            <w:vAlign w:val="center"/>
          </w:tcPr>
          <w:p w14:paraId="7DBA9256" w14:textId="77777777" w:rsidR="00F03CD4" w:rsidRPr="0040534B" w:rsidRDefault="00F03CD4" w:rsidP="00AE0C79">
            <w:pPr>
              <w:pStyle w:val="In-tableHeading"/>
              <w:jc w:val="center"/>
              <w:rPr>
                <w:lang w:val="en-AU"/>
              </w:rPr>
            </w:pPr>
            <w:r w:rsidRPr="0040534B">
              <w:rPr>
                <w:iCs/>
                <w:lang w:val="en-AU"/>
              </w:rPr>
              <w:t>Atogepant</w:t>
            </w:r>
          </w:p>
        </w:tc>
        <w:tc>
          <w:tcPr>
            <w:tcW w:w="1265" w:type="pct"/>
            <w:gridSpan w:val="3"/>
            <w:vMerge w:val="restart"/>
            <w:vAlign w:val="center"/>
          </w:tcPr>
          <w:p w14:paraId="798CD71D" w14:textId="77777777" w:rsidR="00F03CD4" w:rsidRPr="0040534B" w:rsidRDefault="00F03CD4" w:rsidP="00AE0C79">
            <w:pPr>
              <w:pStyle w:val="In-tableHeading"/>
              <w:jc w:val="center"/>
              <w:rPr>
                <w:lang w:val="en-AU"/>
              </w:rPr>
            </w:pPr>
            <w:r w:rsidRPr="0040534B">
              <w:rPr>
                <w:iCs/>
                <w:lang w:val="en-AU"/>
              </w:rPr>
              <w:t>Placebo</w:t>
            </w:r>
          </w:p>
        </w:tc>
        <w:tc>
          <w:tcPr>
            <w:tcW w:w="1010" w:type="pct"/>
            <w:gridSpan w:val="2"/>
            <w:vAlign w:val="center"/>
          </w:tcPr>
          <w:p w14:paraId="2B2566B4" w14:textId="77777777" w:rsidR="00F03CD4" w:rsidRPr="0040534B" w:rsidRDefault="00F03CD4" w:rsidP="00AE0C79">
            <w:pPr>
              <w:pStyle w:val="In-tableHeading"/>
              <w:jc w:val="center"/>
              <w:rPr>
                <w:iCs/>
                <w:lang w:val="en-AU"/>
              </w:rPr>
            </w:pPr>
            <w:r w:rsidRPr="0040534B">
              <w:rPr>
                <w:iCs/>
                <w:lang w:val="en-AU"/>
              </w:rPr>
              <w:t>Mean difference</w:t>
            </w:r>
          </w:p>
        </w:tc>
      </w:tr>
      <w:tr w:rsidR="00F03CD4" w:rsidRPr="0040534B" w14:paraId="5FF5DE59" w14:textId="77777777" w:rsidTr="00F478FB">
        <w:trPr>
          <w:trHeight w:val="229"/>
          <w:tblHeader/>
        </w:trPr>
        <w:tc>
          <w:tcPr>
            <w:tcW w:w="614" w:type="pct"/>
            <w:vMerge/>
            <w:vAlign w:val="center"/>
          </w:tcPr>
          <w:p w14:paraId="73D8DC29" w14:textId="77777777" w:rsidR="00F03CD4" w:rsidRPr="0040534B" w:rsidRDefault="00F03CD4" w:rsidP="00AE0C79">
            <w:pPr>
              <w:pStyle w:val="In-tableHeading"/>
              <w:jc w:val="center"/>
              <w:rPr>
                <w:lang w:val="en-AU"/>
              </w:rPr>
            </w:pPr>
          </w:p>
        </w:tc>
        <w:tc>
          <w:tcPr>
            <w:tcW w:w="964" w:type="pct"/>
            <w:vMerge/>
          </w:tcPr>
          <w:p w14:paraId="61830CE6" w14:textId="77777777" w:rsidR="00F03CD4" w:rsidRPr="0040534B" w:rsidRDefault="00F03CD4" w:rsidP="00AE0C79">
            <w:pPr>
              <w:pStyle w:val="In-tableHeading"/>
              <w:jc w:val="center"/>
              <w:rPr>
                <w:iCs/>
                <w:lang w:val="en-AU"/>
              </w:rPr>
            </w:pPr>
          </w:p>
        </w:tc>
        <w:tc>
          <w:tcPr>
            <w:tcW w:w="1147" w:type="pct"/>
            <w:gridSpan w:val="3"/>
            <w:vMerge/>
            <w:vAlign w:val="center"/>
          </w:tcPr>
          <w:p w14:paraId="7B92C511" w14:textId="77777777" w:rsidR="00F03CD4" w:rsidRPr="0040534B" w:rsidRDefault="00F03CD4" w:rsidP="00AE0C79">
            <w:pPr>
              <w:pStyle w:val="In-tableHeading"/>
              <w:jc w:val="center"/>
              <w:rPr>
                <w:iCs/>
                <w:lang w:val="en-AU"/>
              </w:rPr>
            </w:pPr>
          </w:p>
        </w:tc>
        <w:tc>
          <w:tcPr>
            <w:tcW w:w="1265" w:type="pct"/>
            <w:gridSpan w:val="3"/>
            <w:vMerge/>
            <w:vAlign w:val="center"/>
          </w:tcPr>
          <w:p w14:paraId="489F247F" w14:textId="77777777" w:rsidR="00F03CD4" w:rsidRPr="0040534B" w:rsidRDefault="00F03CD4" w:rsidP="00AE0C79">
            <w:pPr>
              <w:pStyle w:val="In-tableHeading"/>
              <w:jc w:val="center"/>
              <w:rPr>
                <w:iCs/>
                <w:lang w:val="en-AU"/>
              </w:rPr>
            </w:pPr>
          </w:p>
        </w:tc>
        <w:tc>
          <w:tcPr>
            <w:tcW w:w="599" w:type="pct"/>
            <w:vMerge w:val="restart"/>
            <w:vAlign w:val="center"/>
          </w:tcPr>
          <w:p w14:paraId="0FF94664" w14:textId="3E9FDA1C" w:rsidR="00F03CD4" w:rsidRPr="0040534B" w:rsidRDefault="00F03CD4" w:rsidP="00F478FB">
            <w:pPr>
              <w:pStyle w:val="In-tableHeading"/>
              <w:jc w:val="center"/>
              <w:rPr>
                <w:iCs/>
                <w:lang w:val="en-AU"/>
              </w:rPr>
            </w:pPr>
            <w:r w:rsidRPr="0040534B">
              <w:rPr>
                <w:iCs/>
                <w:lang w:val="en-AU"/>
              </w:rPr>
              <w:t>LSMD (95%CI)</w:t>
            </w:r>
          </w:p>
        </w:tc>
        <w:tc>
          <w:tcPr>
            <w:tcW w:w="411" w:type="pct"/>
            <w:vMerge w:val="restart"/>
            <w:vAlign w:val="center"/>
          </w:tcPr>
          <w:p w14:paraId="690E2D89" w14:textId="77777777" w:rsidR="00F03CD4" w:rsidRPr="0040534B" w:rsidRDefault="00F03CD4" w:rsidP="00AE0C79">
            <w:pPr>
              <w:pStyle w:val="In-tableHeading"/>
              <w:jc w:val="center"/>
              <w:rPr>
                <w:iCs/>
                <w:lang w:val="en-AU"/>
              </w:rPr>
            </w:pPr>
            <w:r w:rsidRPr="0040534B">
              <w:rPr>
                <w:iCs/>
                <w:lang w:val="en-AU"/>
              </w:rPr>
              <w:t>p-value</w:t>
            </w:r>
          </w:p>
        </w:tc>
      </w:tr>
      <w:tr w:rsidR="00F03CD4" w:rsidRPr="0040534B" w14:paraId="1FC7F31F" w14:textId="77777777" w:rsidTr="00F478FB">
        <w:trPr>
          <w:tblHeader/>
        </w:trPr>
        <w:tc>
          <w:tcPr>
            <w:tcW w:w="614" w:type="pct"/>
            <w:vMerge/>
            <w:vAlign w:val="center"/>
          </w:tcPr>
          <w:p w14:paraId="765FE6A7" w14:textId="77777777" w:rsidR="00F03CD4" w:rsidRPr="0040534B" w:rsidRDefault="00F03CD4" w:rsidP="00AE0C79">
            <w:pPr>
              <w:pStyle w:val="In-tableHeading"/>
              <w:jc w:val="center"/>
              <w:rPr>
                <w:lang w:val="en-AU"/>
              </w:rPr>
            </w:pPr>
          </w:p>
        </w:tc>
        <w:tc>
          <w:tcPr>
            <w:tcW w:w="964" w:type="pct"/>
            <w:vMerge/>
          </w:tcPr>
          <w:p w14:paraId="58208B34" w14:textId="77777777" w:rsidR="00F03CD4" w:rsidRPr="0040534B" w:rsidRDefault="00F03CD4" w:rsidP="00AE0C79">
            <w:pPr>
              <w:pStyle w:val="In-tableHeading"/>
              <w:jc w:val="center"/>
              <w:rPr>
                <w:iCs/>
                <w:lang w:val="en-AU"/>
              </w:rPr>
            </w:pPr>
          </w:p>
        </w:tc>
        <w:tc>
          <w:tcPr>
            <w:tcW w:w="219" w:type="pct"/>
            <w:vAlign w:val="center"/>
          </w:tcPr>
          <w:p w14:paraId="73893183" w14:textId="77777777" w:rsidR="00F03CD4" w:rsidRPr="0040534B" w:rsidRDefault="00F03CD4" w:rsidP="00AE0C79">
            <w:pPr>
              <w:pStyle w:val="In-tableHeading"/>
              <w:jc w:val="center"/>
              <w:rPr>
                <w:iCs/>
                <w:lang w:val="en-AU"/>
              </w:rPr>
            </w:pPr>
            <w:r w:rsidRPr="0040534B">
              <w:rPr>
                <w:iCs/>
                <w:lang w:val="en-AU"/>
              </w:rPr>
              <w:t>N</w:t>
            </w:r>
          </w:p>
        </w:tc>
        <w:tc>
          <w:tcPr>
            <w:tcW w:w="462" w:type="pct"/>
            <w:shd w:val="clear" w:color="auto" w:fill="auto"/>
          </w:tcPr>
          <w:p w14:paraId="713D76CF" w14:textId="77777777" w:rsidR="00F03CD4" w:rsidRPr="0040534B" w:rsidRDefault="00F03CD4" w:rsidP="00AE0C79">
            <w:pPr>
              <w:pStyle w:val="In-tableHeading"/>
              <w:jc w:val="center"/>
              <w:rPr>
                <w:iCs/>
                <w:lang w:val="en-AU"/>
              </w:rPr>
            </w:pPr>
            <w:r w:rsidRPr="0040534B">
              <w:rPr>
                <w:iCs/>
                <w:lang w:val="en-AU"/>
              </w:rPr>
              <w:t>Mean baseline (SD)</w:t>
            </w:r>
          </w:p>
        </w:tc>
        <w:tc>
          <w:tcPr>
            <w:tcW w:w="466" w:type="pct"/>
            <w:shd w:val="clear" w:color="auto" w:fill="auto"/>
          </w:tcPr>
          <w:p w14:paraId="5E03C5BA" w14:textId="77777777" w:rsidR="00F03CD4" w:rsidRPr="0040534B" w:rsidRDefault="00F03CD4" w:rsidP="00AE0C79">
            <w:pPr>
              <w:pStyle w:val="In-tableHeading"/>
              <w:jc w:val="center"/>
              <w:rPr>
                <w:iCs/>
                <w:lang w:val="en-AU"/>
              </w:rPr>
            </w:pPr>
            <w:r w:rsidRPr="0040534B">
              <w:rPr>
                <w:iCs/>
                <w:lang w:val="en-AU"/>
              </w:rPr>
              <w:t>Mean change, LSM [SE]</w:t>
            </w:r>
          </w:p>
        </w:tc>
        <w:tc>
          <w:tcPr>
            <w:tcW w:w="266" w:type="pct"/>
            <w:shd w:val="clear" w:color="auto" w:fill="auto"/>
            <w:vAlign w:val="center"/>
          </w:tcPr>
          <w:p w14:paraId="51C56B61" w14:textId="77777777" w:rsidR="00F03CD4" w:rsidRPr="0040534B" w:rsidRDefault="00F03CD4" w:rsidP="00AE0C79">
            <w:pPr>
              <w:pStyle w:val="In-tableHeading"/>
              <w:jc w:val="center"/>
              <w:rPr>
                <w:iCs/>
                <w:lang w:val="en-AU"/>
              </w:rPr>
            </w:pPr>
            <w:r w:rsidRPr="0040534B">
              <w:rPr>
                <w:iCs/>
                <w:lang w:val="en-AU"/>
              </w:rPr>
              <w:t>N</w:t>
            </w:r>
          </w:p>
        </w:tc>
        <w:tc>
          <w:tcPr>
            <w:tcW w:w="457" w:type="pct"/>
            <w:shd w:val="clear" w:color="auto" w:fill="auto"/>
          </w:tcPr>
          <w:p w14:paraId="1DB536EA" w14:textId="77777777" w:rsidR="00F03CD4" w:rsidRPr="0040534B" w:rsidRDefault="00F03CD4" w:rsidP="00AE0C79">
            <w:pPr>
              <w:pStyle w:val="In-tableHeading"/>
              <w:jc w:val="center"/>
              <w:rPr>
                <w:iCs/>
                <w:lang w:val="en-AU"/>
              </w:rPr>
            </w:pPr>
            <w:r w:rsidRPr="0040534B">
              <w:rPr>
                <w:iCs/>
                <w:lang w:val="en-AU"/>
              </w:rPr>
              <w:t>Mean baseline, (SD)</w:t>
            </w:r>
          </w:p>
        </w:tc>
        <w:tc>
          <w:tcPr>
            <w:tcW w:w="541" w:type="pct"/>
            <w:shd w:val="clear" w:color="auto" w:fill="auto"/>
          </w:tcPr>
          <w:p w14:paraId="4C087E35" w14:textId="77777777" w:rsidR="00F03CD4" w:rsidRPr="0040534B" w:rsidRDefault="00F03CD4" w:rsidP="00AE0C79">
            <w:pPr>
              <w:pStyle w:val="In-tableHeading"/>
              <w:jc w:val="center"/>
              <w:rPr>
                <w:iCs/>
                <w:lang w:val="en-AU"/>
              </w:rPr>
            </w:pPr>
            <w:r w:rsidRPr="0040534B">
              <w:rPr>
                <w:iCs/>
                <w:lang w:val="en-AU"/>
              </w:rPr>
              <w:t>Mean change, LSM [SE]</w:t>
            </w:r>
          </w:p>
        </w:tc>
        <w:tc>
          <w:tcPr>
            <w:tcW w:w="599" w:type="pct"/>
            <w:vMerge/>
            <w:vAlign w:val="center"/>
          </w:tcPr>
          <w:p w14:paraId="7CDE90DD" w14:textId="77777777" w:rsidR="00F03CD4" w:rsidRPr="0040534B" w:rsidRDefault="00F03CD4" w:rsidP="00AE0C79">
            <w:pPr>
              <w:pStyle w:val="In-tableHeading"/>
              <w:jc w:val="center"/>
              <w:rPr>
                <w:iCs/>
                <w:lang w:val="en-AU"/>
              </w:rPr>
            </w:pPr>
          </w:p>
        </w:tc>
        <w:tc>
          <w:tcPr>
            <w:tcW w:w="411" w:type="pct"/>
            <w:vMerge/>
          </w:tcPr>
          <w:p w14:paraId="016877C8" w14:textId="77777777" w:rsidR="00F03CD4" w:rsidRPr="0040534B" w:rsidRDefault="00F03CD4" w:rsidP="00AE0C79">
            <w:pPr>
              <w:pStyle w:val="In-tableHeading"/>
              <w:jc w:val="center"/>
              <w:rPr>
                <w:iCs/>
                <w:lang w:val="en-AU"/>
              </w:rPr>
            </w:pPr>
          </w:p>
        </w:tc>
      </w:tr>
      <w:tr w:rsidR="00F03CD4" w:rsidRPr="0040534B" w14:paraId="4C18ABE4" w14:textId="77777777" w:rsidTr="00F478FB">
        <w:tc>
          <w:tcPr>
            <w:tcW w:w="4589" w:type="pct"/>
            <w:gridSpan w:val="9"/>
          </w:tcPr>
          <w:p w14:paraId="54C6C055" w14:textId="77777777" w:rsidR="00F03CD4" w:rsidRPr="0040534B" w:rsidRDefault="00F03CD4" w:rsidP="00AE0C79">
            <w:pPr>
              <w:pStyle w:val="TableText0"/>
              <w:rPr>
                <w:b/>
                <w:bCs w:val="0"/>
              </w:rPr>
            </w:pPr>
            <w:r w:rsidRPr="0040534B">
              <w:rPr>
                <w:b/>
                <w:bCs w:val="0"/>
              </w:rPr>
              <w:t>W</w:t>
            </w:r>
            <w:r w:rsidRPr="0040534B">
              <w:rPr>
                <w:b/>
              </w:rPr>
              <w:t>hole trial results</w:t>
            </w:r>
          </w:p>
        </w:tc>
        <w:tc>
          <w:tcPr>
            <w:tcW w:w="411" w:type="pct"/>
          </w:tcPr>
          <w:p w14:paraId="67CD5A93" w14:textId="77777777" w:rsidR="00F03CD4" w:rsidRPr="0040534B" w:rsidRDefault="00F03CD4" w:rsidP="00AE0C79">
            <w:pPr>
              <w:pStyle w:val="TableText0"/>
              <w:rPr>
                <w:b/>
                <w:bCs w:val="0"/>
              </w:rPr>
            </w:pPr>
          </w:p>
        </w:tc>
      </w:tr>
      <w:tr w:rsidR="00F03CD4" w:rsidRPr="0040534B" w14:paraId="51BFAD0E" w14:textId="77777777" w:rsidTr="00F478FB">
        <w:tc>
          <w:tcPr>
            <w:tcW w:w="614" w:type="pct"/>
            <w:vAlign w:val="center"/>
          </w:tcPr>
          <w:p w14:paraId="698738A5" w14:textId="77777777" w:rsidR="00F03CD4" w:rsidRPr="0040534B" w:rsidRDefault="00F03CD4" w:rsidP="00AE0C79">
            <w:pPr>
              <w:pStyle w:val="TableText0"/>
            </w:pPr>
            <w:r w:rsidRPr="0040534B">
              <w:t>Whole trial population</w:t>
            </w:r>
          </w:p>
        </w:tc>
        <w:tc>
          <w:tcPr>
            <w:tcW w:w="964" w:type="pct"/>
            <w:vAlign w:val="center"/>
          </w:tcPr>
          <w:p w14:paraId="03950496" w14:textId="6B4DEBD2" w:rsidR="00F03CD4" w:rsidRPr="0040534B" w:rsidRDefault="00F03CD4" w:rsidP="00AE0C79">
            <w:pPr>
              <w:pStyle w:val="TableText0"/>
            </w:pPr>
            <w:r w:rsidRPr="0040534B">
              <w:t>ATOG 60</w:t>
            </w:r>
            <w:r w:rsidR="006F04A7" w:rsidRPr="0040534B">
              <w:t xml:space="preserve"> </w:t>
            </w:r>
            <w:r w:rsidRPr="0040534B">
              <w:t>mg vs. PBO</w:t>
            </w:r>
          </w:p>
        </w:tc>
        <w:tc>
          <w:tcPr>
            <w:tcW w:w="219" w:type="pct"/>
            <w:vAlign w:val="center"/>
          </w:tcPr>
          <w:p w14:paraId="06DD9E86" w14:textId="77777777" w:rsidR="00F03CD4" w:rsidRPr="0040534B" w:rsidRDefault="00F03CD4" w:rsidP="00AE0C79">
            <w:pPr>
              <w:pStyle w:val="TableText0"/>
              <w:jc w:val="center"/>
            </w:pPr>
            <w:r w:rsidRPr="0040534B">
              <w:t>222</w:t>
            </w:r>
          </w:p>
        </w:tc>
        <w:tc>
          <w:tcPr>
            <w:tcW w:w="462" w:type="pct"/>
            <w:vAlign w:val="center"/>
          </w:tcPr>
          <w:p w14:paraId="7F173EB6" w14:textId="4BB7D003" w:rsidR="00F03CD4" w:rsidRPr="0040534B" w:rsidRDefault="00F03CD4" w:rsidP="00AE0C79">
            <w:pPr>
              <w:pStyle w:val="TableText0"/>
              <w:jc w:val="center"/>
            </w:pPr>
            <w:r w:rsidRPr="0040534B">
              <w:t xml:space="preserve">7.75 </w:t>
            </w:r>
            <w:r w:rsidR="00F478FB" w:rsidRPr="0040534B">
              <w:br/>
            </w:r>
            <w:r w:rsidRPr="0040534B">
              <w:t>(2.307)</w:t>
            </w:r>
          </w:p>
        </w:tc>
        <w:tc>
          <w:tcPr>
            <w:tcW w:w="466" w:type="pct"/>
            <w:vAlign w:val="center"/>
          </w:tcPr>
          <w:p w14:paraId="39CDC99F" w14:textId="4E3CDAF1" w:rsidR="00F03CD4" w:rsidRPr="0040534B" w:rsidRDefault="00F03CD4" w:rsidP="00AE0C79">
            <w:pPr>
              <w:pStyle w:val="TableText0"/>
              <w:jc w:val="center"/>
            </w:pPr>
            <w:r w:rsidRPr="0040534B">
              <w:t xml:space="preserve">-4.20 </w:t>
            </w:r>
            <w:r w:rsidR="00F478FB" w:rsidRPr="0040534B">
              <w:br/>
            </w:r>
            <w:r w:rsidRPr="0040534B">
              <w:t>[0.20]</w:t>
            </w:r>
          </w:p>
        </w:tc>
        <w:tc>
          <w:tcPr>
            <w:tcW w:w="266" w:type="pct"/>
            <w:vAlign w:val="center"/>
          </w:tcPr>
          <w:p w14:paraId="26BCBC32" w14:textId="77777777" w:rsidR="00F03CD4" w:rsidRPr="0040534B" w:rsidRDefault="00F03CD4" w:rsidP="00AE0C79">
            <w:pPr>
              <w:pStyle w:val="TableText0"/>
              <w:jc w:val="center"/>
            </w:pPr>
            <w:r w:rsidRPr="0040534B">
              <w:t>214</w:t>
            </w:r>
          </w:p>
        </w:tc>
        <w:tc>
          <w:tcPr>
            <w:tcW w:w="457" w:type="pct"/>
            <w:vAlign w:val="center"/>
          </w:tcPr>
          <w:p w14:paraId="318C7F11" w14:textId="77777777" w:rsidR="00F03CD4" w:rsidRPr="0040534B" w:rsidRDefault="00F03CD4" w:rsidP="00AE0C79">
            <w:pPr>
              <w:pStyle w:val="TableText0"/>
              <w:jc w:val="center"/>
            </w:pPr>
            <w:r w:rsidRPr="0040534B">
              <w:t>7.51 (2.388)</w:t>
            </w:r>
          </w:p>
        </w:tc>
        <w:tc>
          <w:tcPr>
            <w:tcW w:w="541" w:type="pct"/>
            <w:vAlign w:val="center"/>
          </w:tcPr>
          <w:p w14:paraId="75F36BCA" w14:textId="77777777" w:rsidR="00F03CD4" w:rsidRPr="0040534B" w:rsidRDefault="00F03CD4" w:rsidP="00AE0C79">
            <w:pPr>
              <w:pStyle w:val="TableText0"/>
              <w:jc w:val="center"/>
            </w:pPr>
            <w:r w:rsidRPr="0040534B">
              <w:t>-2.48 [0.201]</w:t>
            </w:r>
          </w:p>
        </w:tc>
        <w:tc>
          <w:tcPr>
            <w:tcW w:w="599" w:type="pct"/>
            <w:vAlign w:val="center"/>
          </w:tcPr>
          <w:p w14:paraId="0CE9C3A9" w14:textId="517A7EB6" w:rsidR="00F03CD4" w:rsidRPr="0040534B" w:rsidRDefault="00F03CD4" w:rsidP="00F478FB">
            <w:pPr>
              <w:pStyle w:val="TableText0"/>
              <w:jc w:val="center"/>
              <w:rPr>
                <w:b/>
                <w:bCs w:val="0"/>
              </w:rPr>
            </w:pPr>
            <w:r w:rsidRPr="0040534B">
              <w:rPr>
                <w:b/>
                <w:bCs w:val="0"/>
              </w:rPr>
              <w:t xml:space="preserve">-1.72 </w:t>
            </w:r>
            <w:r w:rsidR="00F478FB" w:rsidRPr="0040534B">
              <w:rPr>
                <w:b/>
                <w:bCs w:val="0"/>
              </w:rPr>
              <w:br/>
            </w:r>
            <w:r w:rsidRPr="0040534B">
              <w:rPr>
                <w:b/>
                <w:bCs w:val="0"/>
              </w:rPr>
              <w:t>(-2.28, -1.15)</w:t>
            </w:r>
          </w:p>
        </w:tc>
        <w:tc>
          <w:tcPr>
            <w:tcW w:w="411" w:type="pct"/>
            <w:vAlign w:val="center"/>
          </w:tcPr>
          <w:p w14:paraId="7F03D999" w14:textId="77777777" w:rsidR="00F03CD4" w:rsidRPr="0040534B" w:rsidRDefault="00F03CD4" w:rsidP="00AE0C79">
            <w:pPr>
              <w:pStyle w:val="TableText0"/>
              <w:jc w:val="center"/>
              <w:rPr>
                <w:b/>
                <w:bCs w:val="0"/>
              </w:rPr>
            </w:pPr>
            <w:r w:rsidRPr="0040534B">
              <w:rPr>
                <w:b/>
                <w:bCs w:val="0"/>
              </w:rPr>
              <w:t>&lt;0.0001</w:t>
            </w:r>
          </w:p>
        </w:tc>
      </w:tr>
      <w:tr w:rsidR="00F03CD4" w:rsidRPr="0040534B" w14:paraId="6D68CD44" w14:textId="77777777" w:rsidTr="00C124DD">
        <w:tc>
          <w:tcPr>
            <w:tcW w:w="5000" w:type="pct"/>
            <w:gridSpan w:val="10"/>
            <w:vAlign w:val="center"/>
          </w:tcPr>
          <w:p w14:paraId="415ED045" w14:textId="77777777" w:rsidR="00F03CD4" w:rsidRPr="0040534B" w:rsidRDefault="00F03CD4" w:rsidP="00AE0C79">
            <w:pPr>
              <w:pStyle w:val="TableText0"/>
              <w:rPr>
                <w:b/>
                <w:bCs w:val="0"/>
              </w:rPr>
            </w:pPr>
            <w:r w:rsidRPr="0040534B">
              <w:rPr>
                <w:b/>
                <w:bCs w:val="0"/>
              </w:rPr>
              <w:t>Prior exposure to preventive migraine medication</w:t>
            </w:r>
          </w:p>
        </w:tc>
      </w:tr>
      <w:tr w:rsidR="0027410A" w:rsidRPr="0040534B" w14:paraId="0EBDCCE0" w14:textId="77777777" w:rsidTr="007E3A95">
        <w:tc>
          <w:tcPr>
            <w:tcW w:w="614" w:type="pct"/>
            <w:vAlign w:val="center"/>
          </w:tcPr>
          <w:p w14:paraId="6897A09D" w14:textId="77777777" w:rsidR="0027410A" w:rsidRPr="0040534B" w:rsidRDefault="0027410A" w:rsidP="0027410A">
            <w:pPr>
              <w:pStyle w:val="TableText0"/>
            </w:pPr>
            <w:r w:rsidRPr="0040534B">
              <w:t>Yes</w:t>
            </w:r>
          </w:p>
        </w:tc>
        <w:tc>
          <w:tcPr>
            <w:tcW w:w="964" w:type="pct"/>
            <w:vAlign w:val="center"/>
          </w:tcPr>
          <w:p w14:paraId="1BF98B11" w14:textId="275CCCC7" w:rsidR="0027410A" w:rsidRPr="0040534B" w:rsidRDefault="0027410A" w:rsidP="0027410A">
            <w:pPr>
              <w:pStyle w:val="TableText0"/>
            </w:pPr>
            <w:r w:rsidRPr="0040534B">
              <w:t>ATOG 60</w:t>
            </w:r>
            <w:r w:rsidR="006F04A7" w:rsidRPr="0040534B">
              <w:t xml:space="preserve"> </w:t>
            </w:r>
            <w:r w:rsidRPr="0040534B">
              <w:t>mg vs. PBO</w:t>
            </w:r>
          </w:p>
        </w:tc>
        <w:tc>
          <w:tcPr>
            <w:tcW w:w="219" w:type="pct"/>
            <w:tcBorders>
              <w:left w:val="single" w:sz="4" w:space="0" w:color="auto"/>
            </w:tcBorders>
            <w:vAlign w:val="center"/>
          </w:tcPr>
          <w:p w14:paraId="4F58D175" w14:textId="77777777" w:rsidR="0027410A" w:rsidRPr="0040534B" w:rsidRDefault="0027410A" w:rsidP="007E3A95">
            <w:pPr>
              <w:pStyle w:val="TableText0"/>
              <w:jc w:val="center"/>
            </w:pPr>
            <w:r w:rsidRPr="0040534B">
              <w:t>152</w:t>
            </w:r>
          </w:p>
        </w:tc>
        <w:tc>
          <w:tcPr>
            <w:tcW w:w="462" w:type="pct"/>
            <w:vAlign w:val="center"/>
          </w:tcPr>
          <w:p w14:paraId="5655FECF" w14:textId="77777777" w:rsidR="0027410A" w:rsidRPr="0040534B" w:rsidRDefault="0027410A" w:rsidP="0027410A">
            <w:pPr>
              <w:pStyle w:val="TableText0"/>
              <w:jc w:val="center"/>
              <w:rPr>
                <w:i/>
                <w:iCs/>
              </w:rPr>
            </w:pPr>
            <w:r w:rsidRPr="0040534B">
              <w:rPr>
                <w:i/>
                <w:iCs/>
              </w:rPr>
              <w:t xml:space="preserve">7.95 </w:t>
            </w:r>
          </w:p>
          <w:p w14:paraId="1D685DE2" w14:textId="3C1D3F44" w:rsidR="0027410A" w:rsidRPr="0040534B" w:rsidRDefault="0027410A" w:rsidP="0027410A">
            <w:pPr>
              <w:pStyle w:val="TableText0"/>
              <w:jc w:val="center"/>
            </w:pPr>
            <w:r w:rsidRPr="0040534B">
              <w:rPr>
                <w:i/>
                <w:iCs/>
              </w:rPr>
              <w:t>(2.257)</w:t>
            </w:r>
          </w:p>
        </w:tc>
        <w:tc>
          <w:tcPr>
            <w:tcW w:w="466" w:type="pct"/>
            <w:tcBorders>
              <w:right w:val="single" w:sz="4" w:space="0" w:color="auto"/>
            </w:tcBorders>
            <w:vAlign w:val="center"/>
          </w:tcPr>
          <w:p w14:paraId="47E65B8D" w14:textId="25C9C976" w:rsidR="0027410A" w:rsidRPr="0040534B" w:rsidRDefault="0027410A" w:rsidP="0027410A">
            <w:pPr>
              <w:pStyle w:val="TableText0"/>
              <w:jc w:val="center"/>
            </w:pPr>
            <w:r w:rsidRPr="0040534B">
              <w:rPr>
                <w:i/>
                <w:iCs/>
              </w:rPr>
              <w:t>-4.42 [0.247]</w:t>
            </w:r>
          </w:p>
        </w:tc>
        <w:tc>
          <w:tcPr>
            <w:tcW w:w="266" w:type="pct"/>
            <w:tcBorders>
              <w:left w:val="single" w:sz="4" w:space="0" w:color="auto"/>
            </w:tcBorders>
            <w:vAlign w:val="center"/>
          </w:tcPr>
          <w:p w14:paraId="6B530FC1" w14:textId="142D0503" w:rsidR="0027410A" w:rsidRPr="0040534B" w:rsidRDefault="0027410A" w:rsidP="0027410A">
            <w:pPr>
              <w:pStyle w:val="TableText0"/>
              <w:jc w:val="center"/>
            </w:pPr>
            <w:r w:rsidRPr="0040534B">
              <w:t>152</w:t>
            </w:r>
          </w:p>
        </w:tc>
        <w:tc>
          <w:tcPr>
            <w:tcW w:w="457" w:type="pct"/>
            <w:vAlign w:val="center"/>
          </w:tcPr>
          <w:p w14:paraId="6C904FA7" w14:textId="35547C48" w:rsidR="0027410A" w:rsidRPr="0040534B" w:rsidRDefault="0027410A" w:rsidP="0027410A">
            <w:pPr>
              <w:pStyle w:val="TableText0"/>
              <w:jc w:val="center"/>
            </w:pPr>
            <w:r w:rsidRPr="0040534B">
              <w:rPr>
                <w:i/>
                <w:iCs/>
              </w:rPr>
              <w:t>7.59 (2.414)</w:t>
            </w:r>
          </w:p>
        </w:tc>
        <w:tc>
          <w:tcPr>
            <w:tcW w:w="541" w:type="pct"/>
            <w:tcBorders>
              <w:right w:val="single" w:sz="4" w:space="0" w:color="auto"/>
            </w:tcBorders>
            <w:vAlign w:val="center"/>
          </w:tcPr>
          <w:p w14:paraId="774CB346" w14:textId="391BACF4" w:rsidR="0027410A" w:rsidRPr="0040534B" w:rsidRDefault="0027410A" w:rsidP="0027410A">
            <w:pPr>
              <w:pStyle w:val="TableText0"/>
              <w:jc w:val="center"/>
            </w:pPr>
            <w:r w:rsidRPr="0040534B">
              <w:rPr>
                <w:i/>
                <w:iCs/>
              </w:rPr>
              <w:t>-2.26 [0.246]</w:t>
            </w:r>
          </w:p>
        </w:tc>
        <w:tc>
          <w:tcPr>
            <w:tcW w:w="599" w:type="pct"/>
            <w:tcBorders>
              <w:left w:val="single" w:sz="4" w:space="0" w:color="auto"/>
              <w:right w:val="single" w:sz="4" w:space="0" w:color="auto"/>
            </w:tcBorders>
            <w:vAlign w:val="center"/>
          </w:tcPr>
          <w:p w14:paraId="54867D23" w14:textId="635BF158" w:rsidR="0027410A" w:rsidRPr="0040534B" w:rsidRDefault="0027410A" w:rsidP="0027410A">
            <w:pPr>
              <w:pStyle w:val="TableText0"/>
              <w:jc w:val="center"/>
              <w:rPr>
                <w:b/>
                <w:bCs w:val="0"/>
              </w:rPr>
            </w:pPr>
            <w:r w:rsidRPr="0040534B">
              <w:rPr>
                <w:b/>
                <w:bCs w:val="0"/>
              </w:rPr>
              <w:t xml:space="preserve">-2.2 </w:t>
            </w:r>
            <w:r w:rsidR="00F478FB" w:rsidRPr="0040534B">
              <w:rPr>
                <w:b/>
                <w:bCs w:val="0"/>
              </w:rPr>
              <w:br/>
            </w:r>
            <w:r w:rsidRPr="0040534B">
              <w:rPr>
                <w:b/>
                <w:bCs w:val="0"/>
              </w:rPr>
              <w:t>(-2.9, -1.5)</w:t>
            </w:r>
          </w:p>
        </w:tc>
        <w:tc>
          <w:tcPr>
            <w:tcW w:w="411" w:type="pct"/>
            <w:vAlign w:val="center"/>
          </w:tcPr>
          <w:p w14:paraId="467B9988" w14:textId="3416278C" w:rsidR="0027410A" w:rsidRPr="0040534B" w:rsidRDefault="00F478FB" w:rsidP="0027410A">
            <w:pPr>
              <w:pStyle w:val="TableText0"/>
              <w:jc w:val="center"/>
            </w:pPr>
            <w:r w:rsidRPr="0040534B">
              <w:t>-</w:t>
            </w:r>
          </w:p>
        </w:tc>
      </w:tr>
      <w:tr w:rsidR="0027410A" w:rsidRPr="0040534B" w14:paraId="2BC5E166" w14:textId="77777777" w:rsidTr="007E3A95">
        <w:tc>
          <w:tcPr>
            <w:tcW w:w="614" w:type="pct"/>
            <w:vAlign w:val="center"/>
          </w:tcPr>
          <w:p w14:paraId="22697861" w14:textId="77777777" w:rsidR="0027410A" w:rsidRPr="0040534B" w:rsidRDefault="0027410A" w:rsidP="0027410A">
            <w:pPr>
              <w:pStyle w:val="TableText0"/>
            </w:pPr>
            <w:r w:rsidRPr="0040534B">
              <w:t>No</w:t>
            </w:r>
          </w:p>
        </w:tc>
        <w:tc>
          <w:tcPr>
            <w:tcW w:w="964" w:type="pct"/>
            <w:vAlign w:val="center"/>
          </w:tcPr>
          <w:p w14:paraId="433BF442" w14:textId="2E28C0F1" w:rsidR="0027410A" w:rsidRPr="0040534B" w:rsidRDefault="0027410A" w:rsidP="0027410A">
            <w:pPr>
              <w:pStyle w:val="TableText0"/>
            </w:pPr>
            <w:r w:rsidRPr="0040534B">
              <w:t>ATOG 60</w:t>
            </w:r>
            <w:r w:rsidR="006F04A7" w:rsidRPr="0040534B">
              <w:t xml:space="preserve"> </w:t>
            </w:r>
            <w:r w:rsidRPr="0040534B">
              <w:t>mg vs. PBO</w:t>
            </w:r>
          </w:p>
        </w:tc>
        <w:tc>
          <w:tcPr>
            <w:tcW w:w="219" w:type="pct"/>
            <w:tcBorders>
              <w:left w:val="single" w:sz="4" w:space="0" w:color="auto"/>
            </w:tcBorders>
            <w:vAlign w:val="center"/>
          </w:tcPr>
          <w:p w14:paraId="6E166BB4" w14:textId="77777777" w:rsidR="0027410A" w:rsidRPr="0040534B" w:rsidRDefault="0027410A" w:rsidP="007E3A95">
            <w:pPr>
              <w:pStyle w:val="TableText0"/>
              <w:jc w:val="center"/>
            </w:pPr>
            <w:r w:rsidRPr="0040534B">
              <w:t>70</w:t>
            </w:r>
          </w:p>
        </w:tc>
        <w:tc>
          <w:tcPr>
            <w:tcW w:w="462" w:type="pct"/>
            <w:vAlign w:val="center"/>
          </w:tcPr>
          <w:p w14:paraId="2F5A0AA4" w14:textId="77777777" w:rsidR="0027410A" w:rsidRPr="0040534B" w:rsidRDefault="0027410A" w:rsidP="0027410A">
            <w:pPr>
              <w:pStyle w:val="TableText0"/>
              <w:jc w:val="center"/>
              <w:rPr>
                <w:i/>
                <w:iCs/>
              </w:rPr>
            </w:pPr>
            <w:r w:rsidRPr="0040534B">
              <w:rPr>
                <w:i/>
                <w:iCs/>
              </w:rPr>
              <w:t xml:space="preserve">7.32 </w:t>
            </w:r>
          </w:p>
          <w:p w14:paraId="6D2ECF86" w14:textId="2C57030E" w:rsidR="0027410A" w:rsidRPr="0040534B" w:rsidRDefault="0027410A" w:rsidP="0027410A">
            <w:pPr>
              <w:pStyle w:val="TableText0"/>
              <w:jc w:val="center"/>
            </w:pPr>
            <w:r w:rsidRPr="0040534B">
              <w:rPr>
                <w:i/>
                <w:iCs/>
              </w:rPr>
              <w:t>(2.370)</w:t>
            </w:r>
          </w:p>
        </w:tc>
        <w:tc>
          <w:tcPr>
            <w:tcW w:w="466" w:type="pct"/>
            <w:tcBorders>
              <w:right w:val="single" w:sz="4" w:space="0" w:color="auto"/>
            </w:tcBorders>
            <w:vAlign w:val="center"/>
          </w:tcPr>
          <w:p w14:paraId="37DC40B1" w14:textId="710466EC" w:rsidR="0027410A" w:rsidRPr="0040534B" w:rsidRDefault="0027410A" w:rsidP="0027410A">
            <w:pPr>
              <w:pStyle w:val="TableText0"/>
              <w:jc w:val="center"/>
            </w:pPr>
            <w:r w:rsidRPr="0040534B">
              <w:rPr>
                <w:i/>
                <w:iCs/>
              </w:rPr>
              <w:t>-3.58 [0.344]</w:t>
            </w:r>
          </w:p>
        </w:tc>
        <w:tc>
          <w:tcPr>
            <w:tcW w:w="266" w:type="pct"/>
            <w:tcBorders>
              <w:left w:val="single" w:sz="4" w:space="0" w:color="auto"/>
            </w:tcBorders>
            <w:vAlign w:val="center"/>
          </w:tcPr>
          <w:p w14:paraId="17AA8744" w14:textId="3FD1223F" w:rsidR="0027410A" w:rsidRPr="0040534B" w:rsidRDefault="0027410A" w:rsidP="0027410A">
            <w:pPr>
              <w:pStyle w:val="TableText0"/>
              <w:jc w:val="center"/>
            </w:pPr>
            <w:r w:rsidRPr="0040534B">
              <w:t>62</w:t>
            </w:r>
          </w:p>
        </w:tc>
        <w:tc>
          <w:tcPr>
            <w:tcW w:w="457" w:type="pct"/>
            <w:vAlign w:val="center"/>
          </w:tcPr>
          <w:p w14:paraId="041401B1" w14:textId="1D580A1A" w:rsidR="0027410A" w:rsidRPr="0040534B" w:rsidRDefault="0027410A" w:rsidP="0027410A">
            <w:pPr>
              <w:pStyle w:val="TableText0"/>
              <w:jc w:val="center"/>
            </w:pPr>
            <w:r w:rsidRPr="0040534B">
              <w:rPr>
                <w:i/>
                <w:iCs/>
              </w:rPr>
              <w:t>7.32 (2.333)</w:t>
            </w:r>
          </w:p>
        </w:tc>
        <w:tc>
          <w:tcPr>
            <w:tcW w:w="541" w:type="pct"/>
            <w:tcBorders>
              <w:right w:val="single" w:sz="4" w:space="0" w:color="auto"/>
            </w:tcBorders>
            <w:vAlign w:val="center"/>
          </w:tcPr>
          <w:p w14:paraId="0E918971" w14:textId="69C17971" w:rsidR="0027410A" w:rsidRPr="0040534B" w:rsidRDefault="0027410A" w:rsidP="0027410A">
            <w:pPr>
              <w:pStyle w:val="TableText0"/>
              <w:jc w:val="center"/>
            </w:pPr>
            <w:r w:rsidRPr="0040534B">
              <w:rPr>
                <w:i/>
                <w:iCs/>
              </w:rPr>
              <w:t>-2.92 [0.364]</w:t>
            </w:r>
          </w:p>
        </w:tc>
        <w:tc>
          <w:tcPr>
            <w:tcW w:w="599" w:type="pct"/>
            <w:tcBorders>
              <w:left w:val="single" w:sz="4" w:space="0" w:color="auto"/>
              <w:right w:val="single" w:sz="4" w:space="0" w:color="auto"/>
            </w:tcBorders>
            <w:vAlign w:val="center"/>
          </w:tcPr>
          <w:p w14:paraId="005278FD" w14:textId="5946A604" w:rsidR="0027410A" w:rsidRPr="0040534B" w:rsidRDefault="0027410A" w:rsidP="0027410A">
            <w:pPr>
              <w:pStyle w:val="TableText0"/>
              <w:jc w:val="center"/>
            </w:pPr>
            <w:r w:rsidRPr="0040534B">
              <w:t xml:space="preserve">-0.7 </w:t>
            </w:r>
            <w:r w:rsidR="00F478FB" w:rsidRPr="0040534B">
              <w:br/>
            </w:r>
            <w:r w:rsidRPr="0040534B">
              <w:t>(-1.7, 0.3)</w:t>
            </w:r>
          </w:p>
        </w:tc>
        <w:tc>
          <w:tcPr>
            <w:tcW w:w="411" w:type="pct"/>
            <w:vAlign w:val="center"/>
          </w:tcPr>
          <w:p w14:paraId="76F83994" w14:textId="50F7EB51" w:rsidR="0027410A" w:rsidRPr="0040534B" w:rsidRDefault="00F478FB" w:rsidP="0027410A">
            <w:pPr>
              <w:pStyle w:val="TableText0"/>
              <w:jc w:val="center"/>
            </w:pPr>
            <w:r w:rsidRPr="0040534B">
              <w:t>-</w:t>
            </w:r>
          </w:p>
        </w:tc>
      </w:tr>
    </w:tbl>
    <w:p w14:paraId="22A21232" w14:textId="77777777" w:rsidR="0027410A" w:rsidRPr="0040534B" w:rsidRDefault="00F03CD4" w:rsidP="00F03CD4">
      <w:pPr>
        <w:pStyle w:val="FooterTableFigure"/>
        <w:rPr>
          <w:rFonts w:eastAsia="Calibri"/>
          <w:i/>
          <w:iCs/>
        </w:rPr>
      </w:pPr>
      <w:r w:rsidRPr="0040534B">
        <w:t xml:space="preserve">Source: </w:t>
      </w:r>
      <w:r w:rsidR="0027410A" w:rsidRPr="0040534B">
        <w:t xml:space="preserve">Table 2-25, pp90-91 of the submission; p118 of the submission; Table 11-26 of the ADVANCE CSR. </w:t>
      </w:r>
      <w:r w:rsidR="0027410A" w:rsidRPr="0040534B">
        <w:rPr>
          <w:rFonts w:eastAsia="Calibri"/>
          <w:b/>
        </w:rPr>
        <w:t>Bold</w:t>
      </w:r>
      <w:r w:rsidR="0027410A" w:rsidRPr="0040534B">
        <w:rPr>
          <w:rFonts w:eastAsia="Calibri"/>
        </w:rPr>
        <w:t xml:space="preserve"> indicates statistically significant results. </w:t>
      </w:r>
      <w:r w:rsidR="0027410A" w:rsidRPr="0040534B">
        <w:rPr>
          <w:rFonts w:eastAsia="Calibri"/>
          <w:i/>
          <w:iCs/>
        </w:rPr>
        <w:t>Italicised text (data from ADVANCE CSR) added during the evaluation.</w:t>
      </w:r>
    </w:p>
    <w:p w14:paraId="722E110E" w14:textId="44379027" w:rsidR="00F03CD4" w:rsidRPr="0040534B" w:rsidRDefault="00F03CD4" w:rsidP="00F03CD4">
      <w:pPr>
        <w:pStyle w:val="FooterTableFigure"/>
      </w:pPr>
      <w:r w:rsidRPr="0040534B">
        <w:t xml:space="preserve">ATOG = Atogepant; CI = confidence interval; LSM = least-squares mean; </w:t>
      </w:r>
      <w:r w:rsidRPr="0040534B">
        <w:rPr>
          <w:szCs w:val="18"/>
        </w:rPr>
        <w:t>LSMD = least-squares mean difference;</w:t>
      </w:r>
      <w:r w:rsidRPr="0040534B">
        <w:t xml:space="preserve"> </w:t>
      </w:r>
      <w:r w:rsidRPr="0040534B">
        <w:rPr>
          <w:szCs w:val="18"/>
        </w:rPr>
        <w:t xml:space="preserve">N = total participants in group; PBO = placebo; </w:t>
      </w:r>
      <w:r w:rsidRPr="0040534B">
        <w:t>SD = standard deviation; SE = standard error.</w:t>
      </w:r>
    </w:p>
    <w:p w14:paraId="6C514131" w14:textId="29087FBC" w:rsidR="00F03CD4" w:rsidRPr="0040534B" w:rsidRDefault="00F03CD4" w:rsidP="00F03CD4">
      <w:pPr>
        <w:pStyle w:val="3-BodyText"/>
      </w:pPr>
      <w:r w:rsidRPr="0040534B">
        <w:t xml:space="preserve">The submission stated that participants were naïve to preventive migraine treatment showed a smaller reduction in monthly migraine headache days, largely driven by a higher placebo response in the naïve subgroup. </w:t>
      </w:r>
      <w:r w:rsidR="007E3A95" w:rsidRPr="0040534B">
        <w:t>N</w:t>
      </w:r>
      <w:r w:rsidRPr="0040534B">
        <w:t xml:space="preserve">o conclusions could be </w:t>
      </w:r>
      <w:r w:rsidR="00D27931" w:rsidRPr="0040534B">
        <w:t>drawn regarding</w:t>
      </w:r>
      <w:r w:rsidRPr="0040534B">
        <w:t xml:space="preserve"> the role of prior treatments as </w:t>
      </w:r>
      <w:r w:rsidR="003E5F11" w:rsidRPr="0040534B">
        <w:t>a</w:t>
      </w:r>
      <w:r w:rsidRPr="0040534B">
        <w:t xml:space="preserve"> treatment effect modifier since no statistical tests for treatment interaction were presented in the submission.</w:t>
      </w:r>
    </w:p>
    <w:p w14:paraId="53C98E3F" w14:textId="0CA20101" w:rsidR="00950E8B" w:rsidRPr="0040534B" w:rsidRDefault="00950E8B" w:rsidP="00F03CD4">
      <w:pPr>
        <w:pStyle w:val="3-BodyText"/>
      </w:pPr>
      <w:r w:rsidRPr="0040534B">
        <w:t xml:space="preserve">The mean number of migraine days </w:t>
      </w:r>
      <w:r w:rsidR="0093618F" w:rsidRPr="0040534B">
        <w:t xml:space="preserve">at baseline </w:t>
      </w:r>
      <w:r w:rsidRPr="0040534B">
        <w:t>in the ADVANCE trial whole population</w:t>
      </w:r>
      <w:r w:rsidR="00CB56D9" w:rsidRPr="0040534B">
        <w:t xml:space="preserve"> (7.75)</w:t>
      </w:r>
      <w:r w:rsidRPr="0040534B">
        <w:t xml:space="preserve"> and sub-populations with </w:t>
      </w:r>
      <w:r w:rsidR="00CB56D9" w:rsidRPr="0040534B">
        <w:t xml:space="preserve">(7.95) </w:t>
      </w:r>
      <w:r w:rsidRPr="0040534B">
        <w:t xml:space="preserve">and without </w:t>
      </w:r>
      <w:r w:rsidR="00CB56D9" w:rsidRPr="0040534B">
        <w:t xml:space="preserve">(7.32) </w:t>
      </w:r>
      <w:r w:rsidRPr="0040534B">
        <w:t>prior preventive treatment was less than the HFEM threshold defined by the PBS eligibility criteria as eight or more migraine headache days per month.</w:t>
      </w:r>
    </w:p>
    <w:p w14:paraId="23094F5B" w14:textId="233D601E" w:rsidR="00F03CD4" w:rsidRPr="0040534B" w:rsidRDefault="00F03CD4" w:rsidP="00F03CD4">
      <w:pPr>
        <w:pStyle w:val="3-BodyText"/>
        <w:rPr>
          <w:color w:val="0066FF"/>
        </w:rPr>
      </w:pPr>
      <w:r w:rsidRPr="0040534B">
        <w:fldChar w:fldCharType="begin" w:fldLock="1"/>
      </w:r>
      <w:r w:rsidRPr="0040534B">
        <w:instrText xml:space="preserve"> REF _Ref133585283 \h </w:instrText>
      </w:r>
      <w:r w:rsidR="00653EEA" w:rsidRPr="0040534B">
        <w:instrText xml:space="preserve"> \* MERGEFORMAT </w:instrText>
      </w:r>
      <w:r w:rsidRPr="0040534B">
        <w:fldChar w:fldCharType="separate"/>
      </w:r>
      <w:r w:rsidR="004E201F" w:rsidRPr="0040534B">
        <w:t xml:space="preserve">Table </w:t>
      </w:r>
      <w:r w:rsidR="004E201F">
        <w:t>11</w:t>
      </w:r>
      <w:r w:rsidRPr="0040534B">
        <w:fldChar w:fldCharType="end"/>
      </w:r>
      <w:r w:rsidRPr="0040534B">
        <w:t xml:space="preserve"> presents the indirect comparison results for change from baseline in mean monthly migraine days for participants with episodic migraine (whole trial populations). This was the primary outcome in all the trials and relied upon for the clinical claim.</w:t>
      </w:r>
      <w:r w:rsidR="00262030" w:rsidRPr="0040534B">
        <w:t xml:space="preserve"> </w:t>
      </w:r>
      <w:r w:rsidR="009C264E" w:rsidRPr="0040534B">
        <w:t xml:space="preserve">The submission stated that the FOCUS trial was excluded from the fremanezumab meta-analysis as the episodic migraine subgroup data was not publicly available. The </w:t>
      </w:r>
      <w:r w:rsidR="005D6E54" w:rsidRPr="0040534B">
        <w:t xml:space="preserve">evaluation noted that </w:t>
      </w:r>
      <w:r w:rsidR="009C264E" w:rsidRPr="0040534B">
        <w:t>FOCUS trial episodic migraine subgroup data for this outcome was available in Ferrari 2019</w:t>
      </w:r>
      <w:r w:rsidR="007E3A95" w:rsidRPr="0040534B">
        <w:t xml:space="preserve"> (not presented below)</w:t>
      </w:r>
      <w:r w:rsidR="009C264E" w:rsidRPr="0040534B">
        <w:t>.</w:t>
      </w:r>
      <w:r w:rsidR="00396D9B" w:rsidRPr="0040534B">
        <w:t xml:space="preserve"> The ESC noted that of the three fremanezumab trials, it was likely FOCUS was the most applicable to the PBS population as patients had failed 2 to 4 prior </w:t>
      </w:r>
      <w:r w:rsidR="007B5B63" w:rsidRPr="0040534B">
        <w:t xml:space="preserve">prophylactic </w:t>
      </w:r>
      <w:r w:rsidR="00396D9B" w:rsidRPr="0040534B">
        <w:t xml:space="preserve">medications. </w:t>
      </w:r>
    </w:p>
    <w:p w14:paraId="37360B55" w14:textId="33BFA294" w:rsidR="00F03CD4" w:rsidRPr="0040534B" w:rsidRDefault="00F03CD4" w:rsidP="00F27A86">
      <w:pPr>
        <w:pStyle w:val="Caption"/>
      </w:pPr>
      <w:bookmarkStart w:id="60" w:name="_Ref133585283"/>
      <w:bookmarkStart w:id="61" w:name="_Ref138087519"/>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11</w:t>
      </w:r>
      <w:r w:rsidR="001968FD">
        <w:rPr>
          <w:noProof/>
        </w:rPr>
        <w:fldChar w:fldCharType="end"/>
      </w:r>
      <w:bookmarkEnd w:id="60"/>
      <w:bookmarkEnd w:id="61"/>
      <w:r w:rsidRPr="0040534B">
        <w:rPr>
          <w:rStyle w:val="CommentReference"/>
          <w:b/>
          <w:szCs w:val="24"/>
        </w:rPr>
        <w:t>: Results of the indirect comparison for change from baseline in mean monthly migraine days for participants with episodic migraine (whole trial populations)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78"/>
        <w:gridCol w:w="1318"/>
        <w:gridCol w:w="1439"/>
        <w:gridCol w:w="1441"/>
        <w:gridCol w:w="1461"/>
      </w:tblGrid>
      <w:tr w:rsidR="00F03CD4" w:rsidRPr="0040534B" w14:paraId="3717AA98" w14:textId="77777777" w:rsidTr="00233388">
        <w:trPr>
          <w:tblHeader/>
          <w:jc w:val="center"/>
        </w:trPr>
        <w:tc>
          <w:tcPr>
            <w:tcW w:w="765" w:type="pct"/>
            <w:vMerge w:val="restart"/>
            <w:shd w:val="clear" w:color="auto" w:fill="auto"/>
            <w:tcMar>
              <w:left w:w="40" w:type="dxa"/>
              <w:right w:w="40" w:type="dxa"/>
            </w:tcMar>
            <w:vAlign w:val="center"/>
          </w:tcPr>
          <w:p w14:paraId="2F5D9B57" w14:textId="77777777" w:rsidR="00F03CD4" w:rsidRPr="0040534B" w:rsidRDefault="00F03CD4" w:rsidP="00F27A86">
            <w:pPr>
              <w:pStyle w:val="In-tableHeading"/>
              <w:keepLines/>
              <w:jc w:val="center"/>
              <w:rPr>
                <w:lang w:val="en-AU"/>
              </w:rPr>
            </w:pPr>
            <w:r w:rsidRPr="0040534B">
              <w:rPr>
                <w:lang w:val="en-AU"/>
              </w:rPr>
              <w:t>Trial</w:t>
            </w:r>
          </w:p>
        </w:tc>
        <w:tc>
          <w:tcPr>
            <w:tcW w:w="1097" w:type="pct"/>
            <w:vMerge w:val="restart"/>
            <w:tcMar>
              <w:left w:w="40" w:type="dxa"/>
              <w:right w:w="40" w:type="dxa"/>
            </w:tcMar>
            <w:vAlign w:val="center"/>
          </w:tcPr>
          <w:p w14:paraId="351D1BD1" w14:textId="77777777" w:rsidR="00F03CD4" w:rsidRPr="0040534B" w:rsidRDefault="00F03CD4" w:rsidP="00F27A86">
            <w:pPr>
              <w:pStyle w:val="In-tableHeading"/>
              <w:keepLines/>
              <w:jc w:val="center"/>
              <w:rPr>
                <w:lang w:val="en-AU"/>
              </w:rPr>
            </w:pPr>
            <w:r w:rsidRPr="0040534B">
              <w:rPr>
                <w:lang w:val="en-AU"/>
              </w:rPr>
              <w:t>Treatment arms</w:t>
            </w:r>
          </w:p>
        </w:tc>
        <w:tc>
          <w:tcPr>
            <w:tcW w:w="2328" w:type="pct"/>
            <w:gridSpan w:val="3"/>
            <w:shd w:val="clear" w:color="auto" w:fill="auto"/>
            <w:tcMar>
              <w:left w:w="40" w:type="dxa"/>
              <w:right w:w="40" w:type="dxa"/>
            </w:tcMar>
            <w:vAlign w:val="center"/>
          </w:tcPr>
          <w:p w14:paraId="38C0F825" w14:textId="77777777" w:rsidR="00F03CD4" w:rsidRPr="0040534B" w:rsidRDefault="00F03CD4" w:rsidP="00F27A86">
            <w:pPr>
              <w:pStyle w:val="In-tableHeading"/>
              <w:keepLines/>
              <w:jc w:val="center"/>
              <w:rPr>
                <w:lang w:val="en-AU"/>
              </w:rPr>
            </w:pPr>
            <w:r w:rsidRPr="0040534B">
              <w:rPr>
                <w:lang w:val="en-AU"/>
              </w:rPr>
              <w:t>Change from baseline, days, LSM [SE]</w:t>
            </w:r>
          </w:p>
        </w:tc>
        <w:tc>
          <w:tcPr>
            <w:tcW w:w="810" w:type="pct"/>
            <w:vMerge w:val="restart"/>
            <w:shd w:val="clear" w:color="auto" w:fill="auto"/>
            <w:tcMar>
              <w:left w:w="40" w:type="dxa"/>
              <w:right w:w="40" w:type="dxa"/>
            </w:tcMar>
            <w:vAlign w:val="center"/>
          </w:tcPr>
          <w:p w14:paraId="5DFC6766" w14:textId="77777777" w:rsidR="00F03CD4" w:rsidRPr="0040534B" w:rsidRDefault="00F03CD4" w:rsidP="00F27A86">
            <w:pPr>
              <w:pStyle w:val="In-tableHeading"/>
              <w:keepLines/>
              <w:jc w:val="center"/>
              <w:rPr>
                <w:lang w:val="en-AU"/>
              </w:rPr>
            </w:pPr>
            <w:r w:rsidRPr="0040534B">
              <w:rPr>
                <w:lang w:val="en-AU"/>
              </w:rPr>
              <w:t>LSMD (95% CI)</w:t>
            </w:r>
          </w:p>
        </w:tc>
      </w:tr>
      <w:tr w:rsidR="00F03CD4" w:rsidRPr="0040534B" w14:paraId="6C290585" w14:textId="77777777" w:rsidTr="00233388">
        <w:trPr>
          <w:tblHeader/>
          <w:jc w:val="center"/>
        </w:trPr>
        <w:tc>
          <w:tcPr>
            <w:tcW w:w="765" w:type="pct"/>
            <w:vMerge/>
            <w:shd w:val="clear" w:color="auto" w:fill="auto"/>
            <w:tcMar>
              <w:left w:w="40" w:type="dxa"/>
              <w:right w:w="40" w:type="dxa"/>
            </w:tcMar>
            <w:vAlign w:val="center"/>
          </w:tcPr>
          <w:p w14:paraId="21F84A55" w14:textId="77777777" w:rsidR="00F03CD4" w:rsidRPr="0040534B" w:rsidRDefault="00F03CD4" w:rsidP="00F27A86">
            <w:pPr>
              <w:pStyle w:val="Tabletext"/>
              <w:keepNext/>
              <w:keepLines/>
            </w:pPr>
          </w:p>
        </w:tc>
        <w:tc>
          <w:tcPr>
            <w:tcW w:w="1097" w:type="pct"/>
            <w:vMerge/>
            <w:tcMar>
              <w:left w:w="40" w:type="dxa"/>
              <w:right w:w="40" w:type="dxa"/>
            </w:tcMar>
          </w:tcPr>
          <w:p w14:paraId="4D4872CC" w14:textId="77777777" w:rsidR="00F03CD4" w:rsidRPr="0040534B" w:rsidRDefault="00F03CD4" w:rsidP="00F27A86">
            <w:pPr>
              <w:pStyle w:val="In-tableHeading"/>
              <w:keepLines/>
              <w:jc w:val="center"/>
              <w:rPr>
                <w:lang w:val="en-AU"/>
              </w:rPr>
            </w:pPr>
          </w:p>
        </w:tc>
        <w:tc>
          <w:tcPr>
            <w:tcW w:w="731" w:type="pct"/>
            <w:shd w:val="clear" w:color="auto" w:fill="auto"/>
            <w:tcMar>
              <w:left w:w="40" w:type="dxa"/>
              <w:right w:w="40" w:type="dxa"/>
            </w:tcMar>
            <w:vAlign w:val="center"/>
          </w:tcPr>
          <w:p w14:paraId="6F68E6BB" w14:textId="77777777" w:rsidR="00F03CD4" w:rsidRPr="0040534B" w:rsidRDefault="00F03CD4" w:rsidP="00F27A86">
            <w:pPr>
              <w:pStyle w:val="In-tableHeading"/>
              <w:keepLines/>
              <w:jc w:val="center"/>
              <w:rPr>
                <w:lang w:val="en-AU"/>
              </w:rPr>
            </w:pPr>
            <w:r w:rsidRPr="0040534B">
              <w:rPr>
                <w:lang w:val="en-AU"/>
              </w:rPr>
              <w:t>Atogepant</w:t>
            </w:r>
          </w:p>
        </w:tc>
        <w:tc>
          <w:tcPr>
            <w:tcW w:w="798" w:type="pct"/>
            <w:shd w:val="clear" w:color="auto" w:fill="auto"/>
            <w:tcMar>
              <w:left w:w="40" w:type="dxa"/>
              <w:right w:w="40" w:type="dxa"/>
            </w:tcMar>
            <w:vAlign w:val="center"/>
          </w:tcPr>
          <w:p w14:paraId="26687FFB" w14:textId="77777777" w:rsidR="00F03CD4" w:rsidRPr="0040534B" w:rsidRDefault="00F03CD4" w:rsidP="00F27A86">
            <w:pPr>
              <w:pStyle w:val="In-tableHeading"/>
              <w:keepLines/>
              <w:jc w:val="center"/>
              <w:rPr>
                <w:lang w:val="en-AU"/>
              </w:rPr>
            </w:pPr>
            <w:r w:rsidRPr="0040534B">
              <w:rPr>
                <w:lang w:val="en-AU"/>
              </w:rPr>
              <w:t>Placebo</w:t>
            </w:r>
          </w:p>
        </w:tc>
        <w:tc>
          <w:tcPr>
            <w:tcW w:w="799" w:type="pct"/>
            <w:shd w:val="clear" w:color="auto" w:fill="auto"/>
            <w:tcMar>
              <w:left w:w="40" w:type="dxa"/>
              <w:right w:w="40" w:type="dxa"/>
            </w:tcMar>
            <w:vAlign w:val="center"/>
          </w:tcPr>
          <w:p w14:paraId="12029754" w14:textId="77777777" w:rsidR="00F03CD4" w:rsidRPr="0040534B" w:rsidRDefault="00F03CD4" w:rsidP="00F27A86">
            <w:pPr>
              <w:pStyle w:val="In-tableHeading"/>
              <w:keepLines/>
              <w:jc w:val="center"/>
              <w:rPr>
                <w:lang w:val="en-AU"/>
              </w:rPr>
            </w:pPr>
            <w:r w:rsidRPr="0040534B">
              <w:rPr>
                <w:lang w:val="en-AU"/>
              </w:rPr>
              <w:t>GALC/FREM</w:t>
            </w:r>
          </w:p>
        </w:tc>
        <w:tc>
          <w:tcPr>
            <w:tcW w:w="810" w:type="pct"/>
            <w:vMerge/>
            <w:shd w:val="clear" w:color="auto" w:fill="auto"/>
            <w:tcMar>
              <w:left w:w="40" w:type="dxa"/>
              <w:right w:w="40" w:type="dxa"/>
            </w:tcMar>
            <w:vAlign w:val="center"/>
          </w:tcPr>
          <w:p w14:paraId="08742E83" w14:textId="77777777" w:rsidR="00F03CD4" w:rsidRPr="0040534B" w:rsidRDefault="00F03CD4" w:rsidP="00F27A86">
            <w:pPr>
              <w:pStyle w:val="Tabletext"/>
              <w:keepNext/>
              <w:keepLines/>
              <w:jc w:val="center"/>
            </w:pPr>
          </w:p>
        </w:tc>
      </w:tr>
      <w:tr w:rsidR="00F03CD4" w:rsidRPr="0040534B" w14:paraId="458E2E50" w14:textId="77777777" w:rsidTr="00233388">
        <w:trPr>
          <w:jc w:val="center"/>
        </w:trPr>
        <w:tc>
          <w:tcPr>
            <w:tcW w:w="5000" w:type="pct"/>
            <w:gridSpan w:val="6"/>
            <w:tcMar>
              <w:left w:w="40" w:type="dxa"/>
              <w:right w:w="40" w:type="dxa"/>
            </w:tcMar>
          </w:tcPr>
          <w:p w14:paraId="7CC5A66A" w14:textId="24599706" w:rsidR="00F03CD4" w:rsidRPr="0040534B" w:rsidRDefault="00560D81" w:rsidP="00F27A86">
            <w:pPr>
              <w:pStyle w:val="TableText0"/>
              <w:keepLines/>
              <w:rPr>
                <w:b/>
                <w:bCs w:val="0"/>
              </w:rPr>
            </w:pPr>
            <w:r w:rsidRPr="0040534B">
              <w:rPr>
                <w:b/>
                <w:bCs w:val="0"/>
              </w:rPr>
              <w:t xml:space="preserve"> Whole trial populations</w:t>
            </w:r>
          </w:p>
        </w:tc>
      </w:tr>
      <w:tr w:rsidR="00560D81" w:rsidRPr="0040534B" w14:paraId="02FAEACC" w14:textId="77777777" w:rsidTr="00233388">
        <w:trPr>
          <w:jc w:val="center"/>
        </w:trPr>
        <w:tc>
          <w:tcPr>
            <w:tcW w:w="5000" w:type="pct"/>
            <w:gridSpan w:val="6"/>
            <w:tcMar>
              <w:left w:w="40" w:type="dxa"/>
              <w:right w:w="40" w:type="dxa"/>
            </w:tcMar>
          </w:tcPr>
          <w:p w14:paraId="1B3608C3" w14:textId="62E8D314" w:rsidR="00560D81" w:rsidRPr="0040534B" w:rsidRDefault="00560D81" w:rsidP="00F27A86">
            <w:pPr>
              <w:pStyle w:val="TableText0"/>
              <w:keepLines/>
              <w:rPr>
                <w:b/>
                <w:bCs w:val="0"/>
              </w:rPr>
            </w:pPr>
            <w:r w:rsidRPr="0040534B">
              <w:rPr>
                <w:b/>
                <w:bCs w:val="0"/>
              </w:rPr>
              <w:t>Atogepant vs placebo</w:t>
            </w:r>
          </w:p>
        </w:tc>
      </w:tr>
      <w:tr w:rsidR="00F03CD4" w:rsidRPr="0040534B" w14:paraId="5818B32C" w14:textId="77777777" w:rsidTr="00233388">
        <w:trPr>
          <w:jc w:val="center"/>
        </w:trPr>
        <w:tc>
          <w:tcPr>
            <w:tcW w:w="765" w:type="pct"/>
            <w:shd w:val="clear" w:color="auto" w:fill="auto"/>
            <w:tcMar>
              <w:left w:w="40" w:type="dxa"/>
              <w:right w:w="40" w:type="dxa"/>
            </w:tcMar>
            <w:vAlign w:val="center"/>
          </w:tcPr>
          <w:p w14:paraId="7A938C00" w14:textId="77777777" w:rsidR="00F03CD4" w:rsidRPr="0040534B" w:rsidRDefault="00F03CD4" w:rsidP="00F27A86">
            <w:pPr>
              <w:pStyle w:val="TableText0"/>
              <w:keepLines/>
            </w:pPr>
            <w:r w:rsidRPr="0040534B">
              <w:t>ADVANCE</w:t>
            </w:r>
          </w:p>
        </w:tc>
        <w:tc>
          <w:tcPr>
            <w:tcW w:w="1097" w:type="pct"/>
            <w:tcMar>
              <w:left w:w="40" w:type="dxa"/>
              <w:right w:w="40" w:type="dxa"/>
            </w:tcMar>
            <w:vAlign w:val="center"/>
          </w:tcPr>
          <w:p w14:paraId="096ECD25" w14:textId="7D1F875A" w:rsidR="00F03CD4" w:rsidRPr="0040534B" w:rsidRDefault="00F03CD4" w:rsidP="00F27A86">
            <w:pPr>
              <w:pStyle w:val="TableText0"/>
              <w:keepLines/>
            </w:pPr>
            <w:r w:rsidRPr="0040534B">
              <w:t>ATOG 60</w:t>
            </w:r>
            <w:r w:rsidR="006F04A7" w:rsidRPr="0040534B">
              <w:t xml:space="preserve"> </w:t>
            </w:r>
            <w:r w:rsidRPr="0040534B">
              <w:t>mg vs. PBO</w:t>
            </w:r>
          </w:p>
        </w:tc>
        <w:tc>
          <w:tcPr>
            <w:tcW w:w="731" w:type="pct"/>
            <w:shd w:val="clear" w:color="auto" w:fill="auto"/>
            <w:tcMar>
              <w:left w:w="40" w:type="dxa"/>
              <w:right w:w="40" w:type="dxa"/>
            </w:tcMar>
            <w:vAlign w:val="center"/>
          </w:tcPr>
          <w:p w14:paraId="7AC0C2B4" w14:textId="77777777" w:rsidR="00F03CD4" w:rsidRPr="0040534B" w:rsidRDefault="00F03CD4" w:rsidP="00F27A86">
            <w:pPr>
              <w:pStyle w:val="TableText0"/>
              <w:keepLines/>
              <w:jc w:val="center"/>
            </w:pPr>
            <w:r w:rsidRPr="0040534B">
              <w:t>N = 222</w:t>
            </w:r>
          </w:p>
          <w:p w14:paraId="4FFA716B" w14:textId="77777777" w:rsidR="00F03CD4" w:rsidRPr="0040534B" w:rsidRDefault="00F03CD4" w:rsidP="00F27A86">
            <w:pPr>
              <w:pStyle w:val="TableText0"/>
              <w:keepLines/>
              <w:jc w:val="center"/>
            </w:pPr>
            <w:r w:rsidRPr="0040534B">
              <w:t>-4.0 [0.2]</w:t>
            </w:r>
          </w:p>
        </w:tc>
        <w:tc>
          <w:tcPr>
            <w:tcW w:w="798" w:type="pct"/>
            <w:shd w:val="clear" w:color="auto" w:fill="auto"/>
            <w:tcMar>
              <w:left w:w="40" w:type="dxa"/>
              <w:right w:w="40" w:type="dxa"/>
            </w:tcMar>
            <w:vAlign w:val="center"/>
          </w:tcPr>
          <w:p w14:paraId="55DE03CA" w14:textId="77777777" w:rsidR="00F03CD4" w:rsidRPr="0040534B" w:rsidRDefault="00F03CD4" w:rsidP="00F27A86">
            <w:pPr>
              <w:pStyle w:val="TableText0"/>
              <w:keepLines/>
              <w:jc w:val="center"/>
            </w:pPr>
            <w:r w:rsidRPr="0040534B">
              <w:t>N = 214</w:t>
            </w:r>
          </w:p>
          <w:p w14:paraId="41444821" w14:textId="77777777" w:rsidR="00F03CD4" w:rsidRPr="0040534B" w:rsidRDefault="00F03CD4" w:rsidP="00F27A86">
            <w:pPr>
              <w:pStyle w:val="TableText0"/>
              <w:keepLines/>
              <w:jc w:val="center"/>
            </w:pPr>
            <w:r w:rsidRPr="0040534B">
              <w:t>-2.5 [0.2]</w:t>
            </w:r>
          </w:p>
        </w:tc>
        <w:tc>
          <w:tcPr>
            <w:tcW w:w="799" w:type="pct"/>
            <w:shd w:val="clear" w:color="auto" w:fill="auto"/>
            <w:tcMar>
              <w:left w:w="40" w:type="dxa"/>
              <w:right w:w="40" w:type="dxa"/>
            </w:tcMar>
            <w:vAlign w:val="center"/>
          </w:tcPr>
          <w:p w14:paraId="738FFB78" w14:textId="77777777" w:rsidR="00F03CD4" w:rsidRPr="0040534B" w:rsidRDefault="00F03CD4" w:rsidP="00F27A86">
            <w:pPr>
              <w:pStyle w:val="TableText0"/>
              <w:keepLines/>
              <w:jc w:val="center"/>
            </w:pPr>
            <w:r w:rsidRPr="0040534B">
              <w:t>-</w:t>
            </w:r>
          </w:p>
        </w:tc>
        <w:tc>
          <w:tcPr>
            <w:tcW w:w="810" w:type="pct"/>
            <w:tcMar>
              <w:left w:w="40" w:type="dxa"/>
              <w:right w:w="40" w:type="dxa"/>
            </w:tcMar>
            <w:vAlign w:val="center"/>
          </w:tcPr>
          <w:p w14:paraId="75AF107E" w14:textId="77777777" w:rsidR="00F03CD4" w:rsidRPr="0040534B" w:rsidRDefault="00F03CD4" w:rsidP="00F27A86">
            <w:pPr>
              <w:pStyle w:val="TableText0"/>
              <w:keepLines/>
              <w:jc w:val="center"/>
              <w:rPr>
                <w:b/>
                <w:bCs w:val="0"/>
              </w:rPr>
            </w:pPr>
            <w:r w:rsidRPr="0040534B">
              <w:rPr>
                <w:b/>
                <w:bCs w:val="0"/>
                <w:szCs w:val="20"/>
              </w:rPr>
              <w:t>-1.72 (-2.30, -1.14)</w:t>
            </w:r>
          </w:p>
        </w:tc>
      </w:tr>
      <w:tr w:rsidR="00F03CD4" w:rsidRPr="0040534B" w14:paraId="7D343905" w14:textId="77777777" w:rsidTr="00233388">
        <w:trPr>
          <w:jc w:val="center"/>
        </w:trPr>
        <w:tc>
          <w:tcPr>
            <w:tcW w:w="765" w:type="pct"/>
            <w:shd w:val="clear" w:color="auto" w:fill="auto"/>
            <w:tcMar>
              <w:left w:w="40" w:type="dxa"/>
              <w:right w:w="40" w:type="dxa"/>
            </w:tcMar>
            <w:vAlign w:val="center"/>
          </w:tcPr>
          <w:p w14:paraId="469E937F" w14:textId="77777777" w:rsidR="00F03CD4" w:rsidRPr="0040534B" w:rsidRDefault="00F03CD4" w:rsidP="00F27A86">
            <w:pPr>
              <w:pStyle w:val="TableText0"/>
              <w:keepLines/>
            </w:pPr>
            <w:r w:rsidRPr="0040534B">
              <w:t>NCT02848326</w:t>
            </w:r>
          </w:p>
        </w:tc>
        <w:tc>
          <w:tcPr>
            <w:tcW w:w="1097" w:type="pct"/>
            <w:tcMar>
              <w:left w:w="40" w:type="dxa"/>
              <w:right w:w="40" w:type="dxa"/>
            </w:tcMar>
            <w:vAlign w:val="center"/>
          </w:tcPr>
          <w:p w14:paraId="4C8D5A49" w14:textId="3D9874F1" w:rsidR="00F03CD4" w:rsidRPr="0040534B" w:rsidRDefault="00F03CD4" w:rsidP="00F27A86">
            <w:pPr>
              <w:pStyle w:val="TableText0"/>
              <w:keepLines/>
            </w:pPr>
            <w:r w:rsidRPr="0040534B">
              <w:t>ATOG 60</w:t>
            </w:r>
            <w:r w:rsidR="006F04A7" w:rsidRPr="0040534B">
              <w:t xml:space="preserve"> </w:t>
            </w:r>
            <w:r w:rsidRPr="0040534B">
              <w:t>mg vs. PBO</w:t>
            </w:r>
          </w:p>
        </w:tc>
        <w:tc>
          <w:tcPr>
            <w:tcW w:w="731" w:type="pct"/>
            <w:shd w:val="clear" w:color="auto" w:fill="auto"/>
            <w:tcMar>
              <w:left w:w="40" w:type="dxa"/>
              <w:right w:w="40" w:type="dxa"/>
            </w:tcMar>
            <w:vAlign w:val="center"/>
          </w:tcPr>
          <w:p w14:paraId="65CD729E" w14:textId="77777777" w:rsidR="00F03CD4" w:rsidRPr="0040534B" w:rsidRDefault="00F03CD4" w:rsidP="00F27A86">
            <w:pPr>
              <w:pStyle w:val="TableText0"/>
              <w:keepLines/>
              <w:jc w:val="center"/>
            </w:pPr>
            <w:r w:rsidRPr="0040534B">
              <w:t>N = 177</w:t>
            </w:r>
          </w:p>
          <w:p w14:paraId="15B2F7E9" w14:textId="77777777" w:rsidR="00F03CD4" w:rsidRPr="0040534B" w:rsidRDefault="00F03CD4" w:rsidP="00F27A86">
            <w:pPr>
              <w:pStyle w:val="TableText0"/>
              <w:keepLines/>
              <w:jc w:val="center"/>
            </w:pPr>
            <w:r w:rsidRPr="0040534B">
              <w:t>-3.55 [0.2]</w:t>
            </w:r>
          </w:p>
        </w:tc>
        <w:tc>
          <w:tcPr>
            <w:tcW w:w="798" w:type="pct"/>
            <w:shd w:val="clear" w:color="auto" w:fill="auto"/>
            <w:tcMar>
              <w:left w:w="40" w:type="dxa"/>
              <w:right w:w="40" w:type="dxa"/>
            </w:tcMar>
            <w:vAlign w:val="center"/>
          </w:tcPr>
          <w:p w14:paraId="0DDD5753" w14:textId="77777777" w:rsidR="00F03CD4" w:rsidRPr="0040534B" w:rsidRDefault="00F03CD4" w:rsidP="00F27A86">
            <w:pPr>
              <w:pStyle w:val="TableText0"/>
              <w:keepLines/>
              <w:jc w:val="center"/>
            </w:pPr>
            <w:r w:rsidRPr="0040534B">
              <w:t>N = 178</w:t>
            </w:r>
          </w:p>
          <w:p w14:paraId="7F6BCF09" w14:textId="77777777" w:rsidR="00F03CD4" w:rsidRPr="0040534B" w:rsidRDefault="00F03CD4" w:rsidP="00F27A86">
            <w:pPr>
              <w:pStyle w:val="TableText0"/>
              <w:keepLines/>
              <w:jc w:val="center"/>
            </w:pPr>
            <w:r w:rsidRPr="0040534B">
              <w:t>-2.85 [0.2]</w:t>
            </w:r>
          </w:p>
        </w:tc>
        <w:tc>
          <w:tcPr>
            <w:tcW w:w="799" w:type="pct"/>
            <w:shd w:val="clear" w:color="auto" w:fill="auto"/>
            <w:tcMar>
              <w:left w:w="40" w:type="dxa"/>
              <w:right w:w="40" w:type="dxa"/>
            </w:tcMar>
            <w:vAlign w:val="center"/>
          </w:tcPr>
          <w:p w14:paraId="65F27BD6" w14:textId="77777777" w:rsidR="00F03CD4" w:rsidRPr="0040534B" w:rsidRDefault="00F03CD4" w:rsidP="00F27A86">
            <w:pPr>
              <w:pStyle w:val="TableText0"/>
              <w:keepLines/>
              <w:jc w:val="center"/>
            </w:pPr>
            <w:r w:rsidRPr="0040534B">
              <w:t>-</w:t>
            </w:r>
          </w:p>
        </w:tc>
        <w:tc>
          <w:tcPr>
            <w:tcW w:w="810" w:type="pct"/>
            <w:tcMar>
              <w:left w:w="40" w:type="dxa"/>
              <w:right w:w="40" w:type="dxa"/>
            </w:tcMar>
            <w:vAlign w:val="center"/>
          </w:tcPr>
          <w:p w14:paraId="2285AC6B" w14:textId="77777777" w:rsidR="00F03CD4" w:rsidRPr="0040534B" w:rsidRDefault="00F03CD4" w:rsidP="00F27A86">
            <w:pPr>
              <w:pStyle w:val="TableText0"/>
              <w:keepLines/>
              <w:jc w:val="center"/>
              <w:rPr>
                <w:b/>
                <w:bCs w:val="0"/>
              </w:rPr>
            </w:pPr>
            <w:r w:rsidRPr="0040534B">
              <w:rPr>
                <w:szCs w:val="20"/>
              </w:rPr>
              <w:t>-0.70 (-1.49, 0.09)</w:t>
            </w:r>
          </w:p>
        </w:tc>
      </w:tr>
      <w:tr w:rsidR="00F03CD4" w:rsidRPr="0040534B" w14:paraId="4F448F09" w14:textId="77777777" w:rsidTr="00233388">
        <w:trPr>
          <w:jc w:val="center"/>
        </w:trPr>
        <w:tc>
          <w:tcPr>
            <w:tcW w:w="4190" w:type="pct"/>
            <w:gridSpan w:val="5"/>
            <w:tcMar>
              <w:left w:w="40" w:type="dxa"/>
              <w:right w:w="40" w:type="dxa"/>
            </w:tcMar>
          </w:tcPr>
          <w:p w14:paraId="577C5ED7" w14:textId="77777777" w:rsidR="00F03CD4" w:rsidRPr="0040534B" w:rsidRDefault="00F03CD4" w:rsidP="00F27A86">
            <w:pPr>
              <w:pStyle w:val="TableText0"/>
              <w:keepLines/>
              <w:rPr>
                <w:b/>
                <w:bCs w:val="0"/>
              </w:rPr>
            </w:pPr>
            <w:r w:rsidRPr="0040534B">
              <w:t xml:space="preserve">Pooled atogepant </w:t>
            </w:r>
            <w:r w:rsidRPr="0040534B">
              <w:rPr>
                <w:b/>
                <w:bCs w:val="0"/>
              </w:rPr>
              <w:t>I</w:t>
            </w:r>
            <w:r w:rsidRPr="0040534B">
              <w:rPr>
                <w:b/>
                <w:bCs w:val="0"/>
                <w:vertAlign w:val="superscript"/>
              </w:rPr>
              <w:t xml:space="preserve">2 </w:t>
            </w:r>
            <w:r w:rsidRPr="0040534B">
              <w:rPr>
                <w:b/>
                <w:bCs w:val="0"/>
              </w:rPr>
              <w:t>= 76%; p = 0.04</w:t>
            </w:r>
          </w:p>
        </w:tc>
        <w:tc>
          <w:tcPr>
            <w:tcW w:w="810" w:type="pct"/>
            <w:shd w:val="clear" w:color="auto" w:fill="auto"/>
            <w:tcMar>
              <w:left w:w="40" w:type="dxa"/>
              <w:right w:w="40" w:type="dxa"/>
            </w:tcMar>
            <w:vAlign w:val="center"/>
          </w:tcPr>
          <w:p w14:paraId="594F38D8" w14:textId="77777777" w:rsidR="00F03CD4" w:rsidRPr="0040534B" w:rsidRDefault="00F03CD4" w:rsidP="00F27A86">
            <w:pPr>
              <w:pStyle w:val="TableText0"/>
              <w:keepLines/>
              <w:jc w:val="center"/>
              <w:rPr>
                <w:b/>
              </w:rPr>
            </w:pPr>
            <w:r w:rsidRPr="0040534B">
              <w:rPr>
                <w:b/>
              </w:rPr>
              <w:t>-1.25 (-2.24, -0.25)</w:t>
            </w:r>
          </w:p>
        </w:tc>
      </w:tr>
      <w:tr w:rsidR="00F03CD4" w:rsidRPr="0040534B" w14:paraId="147825C3" w14:textId="77777777" w:rsidTr="00233388">
        <w:trPr>
          <w:jc w:val="center"/>
        </w:trPr>
        <w:tc>
          <w:tcPr>
            <w:tcW w:w="5000" w:type="pct"/>
            <w:gridSpan w:val="6"/>
            <w:tcMar>
              <w:left w:w="40" w:type="dxa"/>
              <w:right w:w="40" w:type="dxa"/>
            </w:tcMar>
          </w:tcPr>
          <w:p w14:paraId="14301A93" w14:textId="77777777" w:rsidR="00F03CD4" w:rsidRPr="0040534B" w:rsidRDefault="00F03CD4" w:rsidP="002F115A">
            <w:pPr>
              <w:pStyle w:val="TableText0"/>
              <w:keepNext w:val="0"/>
              <w:rPr>
                <w:b/>
              </w:rPr>
            </w:pPr>
            <w:r w:rsidRPr="0040534B">
              <w:rPr>
                <w:b/>
              </w:rPr>
              <w:t>Galcanezumab vs placebo</w:t>
            </w:r>
          </w:p>
        </w:tc>
      </w:tr>
      <w:tr w:rsidR="00517F57" w:rsidRPr="0040534B" w14:paraId="684BF55F" w14:textId="77777777" w:rsidTr="00233388">
        <w:trPr>
          <w:jc w:val="center"/>
        </w:trPr>
        <w:tc>
          <w:tcPr>
            <w:tcW w:w="765" w:type="pct"/>
            <w:shd w:val="clear" w:color="auto" w:fill="auto"/>
            <w:tcMar>
              <w:left w:w="40" w:type="dxa"/>
              <w:right w:w="40" w:type="dxa"/>
            </w:tcMar>
            <w:vAlign w:val="center"/>
          </w:tcPr>
          <w:p w14:paraId="604D71B2" w14:textId="77777777" w:rsidR="00517F57" w:rsidRPr="0040534B" w:rsidRDefault="00517F57" w:rsidP="002F115A">
            <w:pPr>
              <w:pStyle w:val="TableText0"/>
              <w:keepNext w:val="0"/>
            </w:pPr>
            <w:r w:rsidRPr="0040534B">
              <w:t>EVOLVE-1</w:t>
            </w:r>
          </w:p>
        </w:tc>
        <w:tc>
          <w:tcPr>
            <w:tcW w:w="1097" w:type="pct"/>
            <w:tcMar>
              <w:left w:w="40" w:type="dxa"/>
              <w:right w:w="40" w:type="dxa"/>
            </w:tcMar>
            <w:vAlign w:val="center"/>
          </w:tcPr>
          <w:p w14:paraId="160F9AED" w14:textId="1CCB207D" w:rsidR="00517F57" w:rsidRPr="0040534B" w:rsidRDefault="00517F57" w:rsidP="002F115A">
            <w:pPr>
              <w:pStyle w:val="TableText0"/>
              <w:keepNext w:val="0"/>
            </w:pPr>
            <w:r w:rsidRPr="0040534B">
              <w:t>GAL 120</w:t>
            </w:r>
            <w:r w:rsidR="006F04A7" w:rsidRPr="0040534B">
              <w:t xml:space="preserve"> </w:t>
            </w:r>
            <w:r w:rsidRPr="0040534B">
              <w:t>mg vs. PBO</w:t>
            </w:r>
          </w:p>
        </w:tc>
        <w:tc>
          <w:tcPr>
            <w:tcW w:w="731" w:type="pct"/>
            <w:shd w:val="clear" w:color="auto" w:fill="auto"/>
            <w:tcMar>
              <w:left w:w="40" w:type="dxa"/>
              <w:right w:w="40" w:type="dxa"/>
            </w:tcMar>
            <w:vAlign w:val="center"/>
          </w:tcPr>
          <w:p w14:paraId="6FB720BB" w14:textId="09737084" w:rsidR="00517F57" w:rsidRPr="0040534B" w:rsidRDefault="00517F57" w:rsidP="002F115A">
            <w:pPr>
              <w:pStyle w:val="TableText0"/>
              <w:keepNext w:val="0"/>
              <w:jc w:val="center"/>
            </w:pPr>
            <w:r w:rsidRPr="0040534B">
              <w:t>-</w:t>
            </w:r>
          </w:p>
        </w:tc>
        <w:tc>
          <w:tcPr>
            <w:tcW w:w="798" w:type="pct"/>
            <w:shd w:val="clear" w:color="auto" w:fill="auto"/>
            <w:tcMar>
              <w:left w:w="40" w:type="dxa"/>
              <w:right w:w="40" w:type="dxa"/>
            </w:tcMar>
            <w:vAlign w:val="center"/>
          </w:tcPr>
          <w:p w14:paraId="7A07A988" w14:textId="77777777" w:rsidR="00517F57" w:rsidRPr="0040534B" w:rsidRDefault="00517F57" w:rsidP="002F115A">
            <w:pPr>
              <w:pStyle w:val="TableText0"/>
              <w:keepNext w:val="0"/>
              <w:jc w:val="center"/>
            </w:pPr>
            <w:r w:rsidRPr="0040534B">
              <w:t>N = 425</w:t>
            </w:r>
          </w:p>
          <w:p w14:paraId="558DE931" w14:textId="0B26A6E7" w:rsidR="00517F57" w:rsidRPr="0040534B" w:rsidRDefault="00517F57" w:rsidP="002F115A">
            <w:pPr>
              <w:pStyle w:val="TableText0"/>
              <w:keepNext w:val="0"/>
              <w:jc w:val="center"/>
            </w:pPr>
            <w:r w:rsidRPr="0040534B">
              <w:t>-2.8 [NR]</w:t>
            </w:r>
          </w:p>
        </w:tc>
        <w:tc>
          <w:tcPr>
            <w:tcW w:w="799" w:type="pct"/>
            <w:shd w:val="clear" w:color="auto" w:fill="auto"/>
            <w:tcMar>
              <w:left w:w="40" w:type="dxa"/>
              <w:right w:w="40" w:type="dxa"/>
            </w:tcMar>
            <w:vAlign w:val="center"/>
          </w:tcPr>
          <w:p w14:paraId="7A19D8EA" w14:textId="77777777" w:rsidR="00517F57" w:rsidRPr="0040534B" w:rsidRDefault="00517F57" w:rsidP="002F115A">
            <w:pPr>
              <w:pStyle w:val="TableText0"/>
              <w:keepNext w:val="0"/>
              <w:jc w:val="center"/>
            </w:pPr>
            <w:r w:rsidRPr="0040534B">
              <w:t>N = 210</w:t>
            </w:r>
          </w:p>
          <w:p w14:paraId="3C541F2B" w14:textId="6646F9AD" w:rsidR="00517F57" w:rsidRPr="0040534B" w:rsidRDefault="00517F57" w:rsidP="002F115A">
            <w:pPr>
              <w:pStyle w:val="TableText0"/>
              <w:keepNext w:val="0"/>
              <w:jc w:val="center"/>
            </w:pPr>
            <w:r w:rsidRPr="0040534B">
              <w:t>-4.7 [NR]</w:t>
            </w:r>
          </w:p>
        </w:tc>
        <w:tc>
          <w:tcPr>
            <w:tcW w:w="810" w:type="pct"/>
            <w:tcMar>
              <w:left w:w="40" w:type="dxa"/>
              <w:right w:w="40" w:type="dxa"/>
            </w:tcMar>
            <w:vAlign w:val="center"/>
          </w:tcPr>
          <w:p w14:paraId="023C8F23" w14:textId="77777777" w:rsidR="00517F57" w:rsidRPr="0040534B" w:rsidRDefault="00517F57" w:rsidP="002F115A">
            <w:pPr>
              <w:pStyle w:val="TableText0"/>
              <w:keepNext w:val="0"/>
              <w:jc w:val="center"/>
              <w:rPr>
                <w:b/>
                <w:bCs w:val="0"/>
              </w:rPr>
            </w:pPr>
            <w:r w:rsidRPr="0040534B">
              <w:rPr>
                <w:b/>
                <w:bCs w:val="0"/>
                <w:szCs w:val="20"/>
              </w:rPr>
              <w:t>-1.90 (-2.61, -1.19)</w:t>
            </w:r>
          </w:p>
        </w:tc>
      </w:tr>
      <w:tr w:rsidR="00517F57" w:rsidRPr="0040534B" w14:paraId="08F3D5BA" w14:textId="77777777" w:rsidTr="00233388">
        <w:trPr>
          <w:jc w:val="center"/>
        </w:trPr>
        <w:tc>
          <w:tcPr>
            <w:tcW w:w="765" w:type="pct"/>
            <w:shd w:val="clear" w:color="auto" w:fill="auto"/>
            <w:tcMar>
              <w:left w:w="40" w:type="dxa"/>
              <w:right w:w="40" w:type="dxa"/>
            </w:tcMar>
            <w:vAlign w:val="center"/>
          </w:tcPr>
          <w:p w14:paraId="45113E8A" w14:textId="77777777" w:rsidR="00517F57" w:rsidRPr="0040534B" w:rsidRDefault="00517F57" w:rsidP="002F115A">
            <w:pPr>
              <w:pStyle w:val="TableText0"/>
              <w:keepNext w:val="0"/>
            </w:pPr>
            <w:r w:rsidRPr="0040534B">
              <w:t>EVOLVE-2</w:t>
            </w:r>
          </w:p>
        </w:tc>
        <w:tc>
          <w:tcPr>
            <w:tcW w:w="1097" w:type="pct"/>
            <w:tcMar>
              <w:left w:w="40" w:type="dxa"/>
              <w:right w:w="40" w:type="dxa"/>
            </w:tcMar>
            <w:vAlign w:val="center"/>
          </w:tcPr>
          <w:p w14:paraId="41991CBC" w14:textId="37AA1435" w:rsidR="00517F57" w:rsidRPr="0040534B" w:rsidRDefault="00517F57" w:rsidP="002F115A">
            <w:pPr>
              <w:pStyle w:val="TableText0"/>
              <w:keepNext w:val="0"/>
            </w:pPr>
            <w:r w:rsidRPr="0040534B">
              <w:t>GAL 120</w:t>
            </w:r>
            <w:r w:rsidR="006F04A7" w:rsidRPr="0040534B">
              <w:t xml:space="preserve"> </w:t>
            </w:r>
            <w:r w:rsidRPr="0040534B">
              <w:t>mg vs. PBO</w:t>
            </w:r>
          </w:p>
        </w:tc>
        <w:tc>
          <w:tcPr>
            <w:tcW w:w="731" w:type="pct"/>
            <w:shd w:val="clear" w:color="auto" w:fill="auto"/>
            <w:tcMar>
              <w:left w:w="40" w:type="dxa"/>
              <w:right w:w="40" w:type="dxa"/>
            </w:tcMar>
            <w:vAlign w:val="center"/>
          </w:tcPr>
          <w:p w14:paraId="29F021A7" w14:textId="364E6786" w:rsidR="00517F57" w:rsidRPr="0040534B" w:rsidRDefault="00517F57" w:rsidP="002F115A">
            <w:pPr>
              <w:pStyle w:val="TableText0"/>
              <w:keepNext w:val="0"/>
              <w:jc w:val="center"/>
            </w:pPr>
            <w:r w:rsidRPr="0040534B">
              <w:t>-</w:t>
            </w:r>
          </w:p>
        </w:tc>
        <w:tc>
          <w:tcPr>
            <w:tcW w:w="798" w:type="pct"/>
            <w:shd w:val="clear" w:color="auto" w:fill="auto"/>
            <w:tcMar>
              <w:left w:w="40" w:type="dxa"/>
              <w:right w:w="40" w:type="dxa"/>
            </w:tcMar>
            <w:vAlign w:val="center"/>
          </w:tcPr>
          <w:p w14:paraId="387A924D" w14:textId="77777777" w:rsidR="00517F57" w:rsidRPr="0040534B" w:rsidRDefault="00517F57" w:rsidP="002F115A">
            <w:pPr>
              <w:pStyle w:val="TableText0"/>
              <w:keepNext w:val="0"/>
              <w:jc w:val="center"/>
            </w:pPr>
            <w:r w:rsidRPr="0040534B">
              <w:t>N = 461</w:t>
            </w:r>
          </w:p>
          <w:p w14:paraId="6B09C168" w14:textId="2195C887" w:rsidR="00517F57" w:rsidRPr="0040534B" w:rsidRDefault="00517F57" w:rsidP="002F115A">
            <w:pPr>
              <w:pStyle w:val="TableText0"/>
              <w:keepNext w:val="0"/>
              <w:jc w:val="center"/>
            </w:pPr>
            <w:r w:rsidRPr="0040534B">
              <w:t>-2.3 [0.2]</w:t>
            </w:r>
          </w:p>
        </w:tc>
        <w:tc>
          <w:tcPr>
            <w:tcW w:w="799" w:type="pct"/>
            <w:shd w:val="clear" w:color="auto" w:fill="auto"/>
            <w:tcMar>
              <w:left w:w="40" w:type="dxa"/>
              <w:right w:w="40" w:type="dxa"/>
            </w:tcMar>
            <w:vAlign w:val="center"/>
          </w:tcPr>
          <w:p w14:paraId="51D5635E" w14:textId="77777777" w:rsidR="00517F57" w:rsidRPr="0040534B" w:rsidRDefault="00517F57" w:rsidP="002F115A">
            <w:pPr>
              <w:pStyle w:val="TableText0"/>
              <w:keepNext w:val="0"/>
              <w:jc w:val="center"/>
            </w:pPr>
            <w:r w:rsidRPr="0040534B">
              <w:t>N = 231</w:t>
            </w:r>
          </w:p>
          <w:p w14:paraId="6D431D09" w14:textId="23DC678A" w:rsidR="00517F57" w:rsidRPr="0040534B" w:rsidRDefault="00517F57" w:rsidP="002F115A">
            <w:pPr>
              <w:pStyle w:val="TableText0"/>
              <w:keepNext w:val="0"/>
              <w:jc w:val="center"/>
            </w:pPr>
            <w:r w:rsidRPr="0040534B">
              <w:t>-4.3 [0.3]</w:t>
            </w:r>
          </w:p>
        </w:tc>
        <w:tc>
          <w:tcPr>
            <w:tcW w:w="810" w:type="pct"/>
            <w:tcMar>
              <w:left w:w="40" w:type="dxa"/>
              <w:right w:w="40" w:type="dxa"/>
            </w:tcMar>
            <w:vAlign w:val="center"/>
          </w:tcPr>
          <w:p w14:paraId="42BDDDD4" w14:textId="77777777" w:rsidR="00517F57" w:rsidRPr="0040534B" w:rsidRDefault="00517F57" w:rsidP="002F115A">
            <w:pPr>
              <w:pStyle w:val="TableText0"/>
              <w:keepNext w:val="0"/>
              <w:jc w:val="center"/>
              <w:rPr>
                <w:b/>
                <w:bCs w:val="0"/>
              </w:rPr>
            </w:pPr>
            <w:r w:rsidRPr="0040534B">
              <w:rPr>
                <w:b/>
                <w:bCs w:val="0"/>
                <w:szCs w:val="20"/>
              </w:rPr>
              <w:t>-2.00 (-2.71, -1.29)</w:t>
            </w:r>
          </w:p>
        </w:tc>
      </w:tr>
      <w:tr w:rsidR="00517F57" w:rsidRPr="0040534B" w14:paraId="278ECD73" w14:textId="77777777" w:rsidTr="00233388">
        <w:trPr>
          <w:jc w:val="center"/>
        </w:trPr>
        <w:tc>
          <w:tcPr>
            <w:tcW w:w="765" w:type="pct"/>
            <w:shd w:val="clear" w:color="auto" w:fill="auto"/>
            <w:tcMar>
              <w:left w:w="40" w:type="dxa"/>
              <w:right w:w="40" w:type="dxa"/>
            </w:tcMar>
            <w:vAlign w:val="center"/>
          </w:tcPr>
          <w:p w14:paraId="0D5AED88" w14:textId="4A02EA6D" w:rsidR="00517F57" w:rsidRPr="0040534B" w:rsidRDefault="00517F57" w:rsidP="002F115A">
            <w:pPr>
              <w:pStyle w:val="TableText0"/>
              <w:keepNext w:val="0"/>
            </w:pPr>
            <w:r w:rsidRPr="0040534B">
              <w:t>CONQUER</w:t>
            </w:r>
            <w:r w:rsidRPr="0040534B">
              <w:rPr>
                <w:vertAlign w:val="superscript"/>
              </w:rPr>
              <w:t>a</w:t>
            </w:r>
          </w:p>
        </w:tc>
        <w:tc>
          <w:tcPr>
            <w:tcW w:w="1097" w:type="pct"/>
            <w:tcMar>
              <w:left w:w="40" w:type="dxa"/>
              <w:right w:w="40" w:type="dxa"/>
            </w:tcMar>
            <w:vAlign w:val="center"/>
          </w:tcPr>
          <w:p w14:paraId="74572D48" w14:textId="12D602F5" w:rsidR="00517F57" w:rsidRPr="0040534B" w:rsidRDefault="00517F57" w:rsidP="002F115A">
            <w:pPr>
              <w:pStyle w:val="TableText0"/>
              <w:keepNext w:val="0"/>
            </w:pPr>
            <w:r w:rsidRPr="0040534B">
              <w:t>GAL 120</w:t>
            </w:r>
            <w:r w:rsidR="006F04A7" w:rsidRPr="0040534B">
              <w:t xml:space="preserve"> </w:t>
            </w:r>
            <w:r w:rsidRPr="0040534B">
              <w:t>mg vs. PBO</w:t>
            </w:r>
          </w:p>
        </w:tc>
        <w:tc>
          <w:tcPr>
            <w:tcW w:w="731" w:type="pct"/>
            <w:shd w:val="clear" w:color="auto" w:fill="auto"/>
            <w:tcMar>
              <w:left w:w="40" w:type="dxa"/>
              <w:right w:w="40" w:type="dxa"/>
            </w:tcMar>
            <w:vAlign w:val="center"/>
          </w:tcPr>
          <w:p w14:paraId="4F7109CF" w14:textId="40887959" w:rsidR="00517F57" w:rsidRPr="0040534B" w:rsidRDefault="00517F57" w:rsidP="002F115A">
            <w:pPr>
              <w:pStyle w:val="TableText0"/>
              <w:keepNext w:val="0"/>
              <w:jc w:val="center"/>
            </w:pPr>
            <w:r w:rsidRPr="0040534B">
              <w:t>-</w:t>
            </w:r>
          </w:p>
        </w:tc>
        <w:tc>
          <w:tcPr>
            <w:tcW w:w="798" w:type="pct"/>
            <w:shd w:val="clear" w:color="auto" w:fill="auto"/>
            <w:tcMar>
              <w:left w:w="40" w:type="dxa"/>
              <w:right w:w="40" w:type="dxa"/>
            </w:tcMar>
            <w:vAlign w:val="center"/>
          </w:tcPr>
          <w:p w14:paraId="1DD789E6" w14:textId="4D9EEF12" w:rsidR="00517F57" w:rsidRPr="0040534B" w:rsidRDefault="00517F57" w:rsidP="002F115A">
            <w:pPr>
              <w:pStyle w:val="TableText0"/>
              <w:keepNext w:val="0"/>
              <w:jc w:val="center"/>
            </w:pPr>
            <w:r w:rsidRPr="0040534B">
              <w:t xml:space="preserve">N = </w:t>
            </w:r>
            <w:r w:rsidR="00CB56D9" w:rsidRPr="0040534B">
              <w:t>230</w:t>
            </w:r>
          </w:p>
          <w:p w14:paraId="06A2EF23" w14:textId="65466DD6" w:rsidR="00517F57" w:rsidRPr="0040534B" w:rsidRDefault="00517F57" w:rsidP="002F115A">
            <w:pPr>
              <w:pStyle w:val="TableText0"/>
              <w:keepNext w:val="0"/>
              <w:jc w:val="center"/>
            </w:pPr>
            <w:r w:rsidRPr="0040534B">
              <w:t>-</w:t>
            </w:r>
            <w:r w:rsidR="00CB56D9" w:rsidRPr="0040534B">
              <w:t>1</w:t>
            </w:r>
            <w:r w:rsidRPr="0040534B">
              <w:t>.0 [0.3]</w:t>
            </w:r>
          </w:p>
        </w:tc>
        <w:tc>
          <w:tcPr>
            <w:tcW w:w="799" w:type="pct"/>
            <w:shd w:val="clear" w:color="auto" w:fill="auto"/>
            <w:tcMar>
              <w:left w:w="40" w:type="dxa"/>
              <w:right w:w="40" w:type="dxa"/>
            </w:tcMar>
            <w:vAlign w:val="center"/>
          </w:tcPr>
          <w:p w14:paraId="44CC3F39" w14:textId="77777777" w:rsidR="00517F57" w:rsidRPr="0040534B" w:rsidRDefault="00517F57" w:rsidP="002F115A">
            <w:pPr>
              <w:pStyle w:val="TableText0"/>
              <w:keepNext w:val="0"/>
              <w:jc w:val="center"/>
            </w:pPr>
            <w:r w:rsidRPr="0040534B">
              <w:t>N = 232</w:t>
            </w:r>
          </w:p>
          <w:p w14:paraId="6CC5F062" w14:textId="2CF8FFE7" w:rsidR="00517F57" w:rsidRPr="0040534B" w:rsidRDefault="00517F57" w:rsidP="002F115A">
            <w:pPr>
              <w:pStyle w:val="TableText0"/>
              <w:keepNext w:val="0"/>
              <w:jc w:val="center"/>
            </w:pPr>
            <w:r w:rsidRPr="0040534B">
              <w:t>-4.1 [0.3]</w:t>
            </w:r>
          </w:p>
        </w:tc>
        <w:tc>
          <w:tcPr>
            <w:tcW w:w="810" w:type="pct"/>
            <w:tcMar>
              <w:left w:w="40" w:type="dxa"/>
              <w:right w:w="40" w:type="dxa"/>
            </w:tcMar>
            <w:vAlign w:val="center"/>
          </w:tcPr>
          <w:p w14:paraId="00A3D0D3" w14:textId="77777777" w:rsidR="00517F57" w:rsidRPr="0040534B" w:rsidRDefault="00517F57" w:rsidP="002F115A">
            <w:pPr>
              <w:pStyle w:val="TableText0"/>
              <w:keepNext w:val="0"/>
              <w:jc w:val="center"/>
              <w:rPr>
                <w:b/>
                <w:bCs w:val="0"/>
              </w:rPr>
            </w:pPr>
            <w:r w:rsidRPr="0040534B">
              <w:rPr>
                <w:b/>
                <w:bCs w:val="0"/>
                <w:szCs w:val="20"/>
              </w:rPr>
              <w:t>-3.10 (-3.93, -2.27)</w:t>
            </w:r>
          </w:p>
        </w:tc>
      </w:tr>
      <w:tr w:rsidR="00517F57" w:rsidRPr="0040534B" w14:paraId="730ED1B0" w14:textId="77777777" w:rsidTr="00233388">
        <w:trPr>
          <w:jc w:val="center"/>
        </w:trPr>
        <w:tc>
          <w:tcPr>
            <w:tcW w:w="765" w:type="pct"/>
            <w:shd w:val="clear" w:color="auto" w:fill="auto"/>
            <w:tcMar>
              <w:left w:w="40" w:type="dxa"/>
              <w:right w:w="40" w:type="dxa"/>
            </w:tcMar>
            <w:vAlign w:val="center"/>
          </w:tcPr>
          <w:p w14:paraId="2C6C815B" w14:textId="77777777" w:rsidR="00517F57" w:rsidRPr="0040534B" w:rsidRDefault="00517F57" w:rsidP="002F115A">
            <w:pPr>
              <w:pStyle w:val="TableText0"/>
              <w:keepNext w:val="0"/>
            </w:pPr>
            <w:r w:rsidRPr="0040534B">
              <w:t>PERSIST</w:t>
            </w:r>
          </w:p>
        </w:tc>
        <w:tc>
          <w:tcPr>
            <w:tcW w:w="1097" w:type="pct"/>
            <w:tcMar>
              <w:left w:w="40" w:type="dxa"/>
              <w:right w:w="40" w:type="dxa"/>
            </w:tcMar>
            <w:vAlign w:val="center"/>
          </w:tcPr>
          <w:p w14:paraId="59AB5776" w14:textId="373C3258" w:rsidR="00517F57" w:rsidRPr="0040534B" w:rsidRDefault="00517F57" w:rsidP="002F115A">
            <w:pPr>
              <w:pStyle w:val="TableText0"/>
              <w:keepNext w:val="0"/>
            </w:pPr>
            <w:r w:rsidRPr="0040534B">
              <w:t>GAL 120</w:t>
            </w:r>
            <w:r w:rsidR="006F04A7" w:rsidRPr="0040534B">
              <w:t xml:space="preserve"> </w:t>
            </w:r>
            <w:r w:rsidRPr="0040534B">
              <w:t>mg vs. PBO</w:t>
            </w:r>
          </w:p>
        </w:tc>
        <w:tc>
          <w:tcPr>
            <w:tcW w:w="731" w:type="pct"/>
            <w:shd w:val="clear" w:color="auto" w:fill="auto"/>
            <w:tcMar>
              <w:left w:w="40" w:type="dxa"/>
              <w:right w:w="40" w:type="dxa"/>
            </w:tcMar>
            <w:vAlign w:val="center"/>
          </w:tcPr>
          <w:p w14:paraId="1D47326F" w14:textId="0AC63F75" w:rsidR="00517F57" w:rsidRPr="0040534B" w:rsidRDefault="00517F57" w:rsidP="002F115A">
            <w:pPr>
              <w:pStyle w:val="TableText0"/>
              <w:keepNext w:val="0"/>
              <w:jc w:val="center"/>
            </w:pPr>
            <w:r w:rsidRPr="0040534B">
              <w:t>-</w:t>
            </w:r>
          </w:p>
        </w:tc>
        <w:tc>
          <w:tcPr>
            <w:tcW w:w="798" w:type="pct"/>
            <w:shd w:val="clear" w:color="auto" w:fill="auto"/>
            <w:tcMar>
              <w:left w:w="40" w:type="dxa"/>
              <w:right w:w="40" w:type="dxa"/>
            </w:tcMar>
            <w:vAlign w:val="center"/>
          </w:tcPr>
          <w:p w14:paraId="6E159DBD" w14:textId="77777777" w:rsidR="00517F57" w:rsidRPr="0040534B" w:rsidRDefault="00517F57" w:rsidP="002F115A">
            <w:pPr>
              <w:pStyle w:val="TableText0"/>
              <w:keepNext w:val="0"/>
              <w:jc w:val="center"/>
            </w:pPr>
            <w:r w:rsidRPr="0040534B">
              <w:t>N = 259</w:t>
            </w:r>
          </w:p>
          <w:p w14:paraId="2A220E92" w14:textId="1A334F14" w:rsidR="00517F57" w:rsidRPr="0040534B" w:rsidRDefault="00517F57" w:rsidP="002F115A">
            <w:pPr>
              <w:pStyle w:val="TableText0"/>
              <w:keepNext w:val="0"/>
              <w:jc w:val="center"/>
            </w:pPr>
            <w:r w:rsidRPr="0040534B">
              <w:t>-2.0 [0.2]</w:t>
            </w:r>
          </w:p>
        </w:tc>
        <w:tc>
          <w:tcPr>
            <w:tcW w:w="799" w:type="pct"/>
            <w:shd w:val="clear" w:color="auto" w:fill="auto"/>
            <w:tcMar>
              <w:left w:w="40" w:type="dxa"/>
              <w:right w:w="40" w:type="dxa"/>
            </w:tcMar>
            <w:vAlign w:val="center"/>
          </w:tcPr>
          <w:p w14:paraId="1D52F7AE" w14:textId="77777777" w:rsidR="00517F57" w:rsidRPr="0040534B" w:rsidRDefault="00517F57" w:rsidP="002F115A">
            <w:pPr>
              <w:pStyle w:val="TableText0"/>
              <w:keepNext w:val="0"/>
              <w:jc w:val="center"/>
            </w:pPr>
            <w:r w:rsidRPr="0040534B">
              <w:t>N = 261</w:t>
            </w:r>
          </w:p>
          <w:p w14:paraId="44B57060" w14:textId="1CC08D77" w:rsidR="00517F57" w:rsidRPr="0040534B" w:rsidRDefault="00517F57" w:rsidP="002F115A">
            <w:pPr>
              <w:pStyle w:val="TableText0"/>
              <w:keepNext w:val="0"/>
              <w:jc w:val="center"/>
            </w:pPr>
            <w:r w:rsidRPr="0040534B">
              <w:t>-3.8 [0.2]</w:t>
            </w:r>
          </w:p>
        </w:tc>
        <w:tc>
          <w:tcPr>
            <w:tcW w:w="810" w:type="pct"/>
            <w:tcMar>
              <w:left w:w="40" w:type="dxa"/>
              <w:right w:w="40" w:type="dxa"/>
            </w:tcMar>
            <w:vAlign w:val="center"/>
          </w:tcPr>
          <w:p w14:paraId="7FA4DF13" w14:textId="63175CC8" w:rsidR="00517F57" w:rsidRPr="0040534B" w:rsidRDefault="00517F57" w:rsidP="002F115A">
            <w:pPr>
              <w:pStyle w:val="TableText0"/>
              <w:keepNext w:val="0"/>
              <w:jc w:val="center"/>
              <w:rPr>
                <w:b/>
                <w:bCs w:val="0"/>
              </w:rPr>
            </w:pPr>
            <w:r w:rsidRPr="0040534B">
              <w:rPr>
                <w:b/>
                <w:bCs w:val="0"/>
                <w:szCs w:val="20"/>
              </w:rPr>
              <w:t>-1.80 (-2.35, -1.25)</w:t>
            </w:r>
            <w:r w:rsidRPr="0040534B">
              <w:rPr>
                <w:b/>
                <w:bCs w:val="0"/>
              </w:rPr>
              <w:t xml:space="preserve"> </w:t>
            </w:r>
          </w:p>
        </w:tc>
      </w:tr>
      <w:tr w:rsidR="00517F57" w:rsidRPr="0040534B" w14:paraId="7C76E696" w14:textId="77777777" w:rsidTr="00233388">
        <w:trPr>
          <w:jc w:val="center"/>
        </w:trPr>
        <w:tc>
          <w:tcPr>
            <w:tcW w:w="765" w:type="pct"/>
            <w:shd w:val="clear" w:color="auto" w:fill="auto"/>
            <w:tcMar>
              <w:left w:w="40" w:type="dxa"/>
              <w:right w:w="40" w:type="dxa"/>
            </w:tcMar>
            <w:vAlign w:val="center"/>
          </w:tcPr>
          <w:p w14:paraId="1A8F3B76" w14:textId="77777777" w:rsidR="00517F57" w:rsidRPr="0040534B" w:rsidRDefault="00517F57" w:rsidP="002F115A">
            <w:pPr>
              <w:pStyle w:val="TableText0"/>
              <w:keepNext w:val="0"/>
            </w:pPr>
            <w:r w:rsidRPr="0040534B">
              <w:t>NCT02959177</w:t>
            </w:r>
          </w:p>
        </w:tc>
        <w:tc>
          <w:tcPr>
            <w:tcW w:w="1097" w:type="pct"/>
            <w:tcMar>
              <w:left w:w="40" w:type="dxa"/>
              <w:right w:w="40" w:type="dxa"/>
            </w:tcMar>
            <w:vAlign w:val="center"/>
          </w:tcPr>
          <w:p w14:paraId="03E8CE5A" w14:textId="1B641C6F" w:rsidR="00517F57" w:rsidRPr="0040534B" w:rsidRDefault="00517F57" w:rsidP="002F115A">
            <w:pPr>
              <w:pStyle w:val="TableText0"/>
              <w:keepNext w:val="0"/>
            </w:pPr>
            <w:r w:rsidRPr="0040534B">
              <w:t>GAL 120</w:t>
            </w:r>
            <w:r w:rsidR="006F04A7" w:rsidRPr="0040534B">
              <w:t xml:space="preserve"> </w:t>
            </w:r>
            <w:r w:rsidRPr="0040534B">
              <w:t>mg vs. PBO</w:t>
            </w:r>
          </w:p>
        </w:tc>
        <w:tc>
          <w:tcPr>
            <w:tcW w:w="731" w:type="pct"/>
            <w:shd w:val="clear" w:color="auto" w:fill="auto"/>
            <w:tcMar>
              <w:left w:w="40" w:type="dxa"/>
              <w:right w:w="40" w:type="dxa"/>
            </w:tcMar>
            <w:vAlign w:val="center"/>
          </w:tcPr>
          <w:p w14:paraId="1540F3D1" w14:textId="6DC39E80" w:rsidR="00517F57" w:rsidRPr="0040534B" w:rsidRDefault="00517F57" w:rsidP="002F115A">
            <w:pPr>
              <w:pStyle w:val="TableText0"/>
              <w:keepNext w:val="0"/>
              <w:jc w:val="center"/>
            </w:pPr>
            <w:r w:rsidRPr="0040534B">
              <w:t>-</w:t>
            </w:r>
          </w:p>
        </w:tc>
        <w:tc>
          <w:tcPr>
            <w:tcW w:w="798" w:type="pct"/>
            <w:shd w:val="clear" w:color="auto" w:fill="auto"/>
            <w:tcMar>
              <w:left w:w="40" w:type="dxa"/>
              <w:right w:w="40" w:type="dxa"/>
            </w:tcMar>
            <w:vAlign w:val="center"/>
          </w:tcPr>
          <w:p w14:paraId="4A64DFFF" w14:textId="77777777" w:rsidR="00517F57" w:rsidRPr="0040534B" w:rsidRDefault="00517F57" w:rsidP="002F115A">
            <w:pPr>
              <w:pStyle w:val="TableText0"/>
              <w:keepNext w:val="0"/>
              <w:jc w:val="center"/>
            </w:pPr>
            <w:r w:rsidRPr="0040534B">
              <w:t>N = 230</w:t>
            </w:r>
          </w:p>
          <w:p w14:paraId="74E18A35" w14:textId="71D661FC" w:rsidR="00517F57" w:rsidRPr="0040534B" w:rsidRDefault="00517F57" w:rsidP="002F115A">
            <w:pPr>
              <w:pStyle w:val="TableText0"/>
              <w:keepNext w:val="0"/>
              <w:jc w:val="center"/>
            </w:pPr>
            <w:r w:rsidRPr="0040534B">
              <w:t>-0.6 [0.2]</w:t>
            </w:r>
          </w:p>
        </w:tc>
        <w:tc>
          <w:tcPr>
            <w:tcW w:w="799" w:type="pct"/>
            <w:shd w:val="clear" w:color="auto" w:fill="auto"/>
            <w:tcMar>
              <w:left w:w="40" w:type="dxa"/>
              <w:right w:w="40" w:type="dxa"/>
            </w:tcMar>
            <w:vAlign w:val="center"/>
          </w:tcPr>
          <w:p w14:paraId="5304AAF3" w14:textId="77777777" w:rsidR="00517F57" w:rsidRPr="0040534B" w:rsidRDefault="00517F57" w:rsidP="002F115A">
            <w:pPr>
              <w:pStyle w:val="TableText0"/>
              <w:keepNext w:val="0"/>
              <w:jc w:val="center"/>
            </w:pPr>
            <w:r w:rsidRPr="0040534B">
              <w:t>N = 115</w:t>
            </w:r>
          </w:p>
          <w:p w14:paraId="4777EF4A" w14:textId="5538175B" w:rsidR="00517F57" w:rsidRPr="0040534B" w:rsidRDefault="00517F57" w:rsidP="002F115A">
            <w:pPr>
              <w:pStyle w:val="TableText0"/>
              <w:keepNext w:val="0"/>
              <w:jc w:val="center"/>
            </w:pPr>
            <w:r w:rsidRPr="0040534B">
              <w:t>-3.6 [0.3]</w:t>
            </w:r>
          </w:p>
        </w:tc>
        <w:tc>
          <w:tcPr>
            <w:tcW w:w="810" w:type="pct"/>
            <w:tcMar>
              <w:left w:w="40" w:type="dxa"/>
              <w:right w:w="40" w:type="dxa"/>
            </w:tcMar>
            <w:vAlign w:val="center"/>
          </w:tcPr>
          <w:p w14:paraId="5F23D388" w14:textId="2E4CC6C2" w:rsidR="00517F57" w:rsidRPr="0040534B" w:rsidRDefault="005D6E54" w:rsidP="002F115A">
            <w:pPr>
              <w:pStyle w:val="TableText0"/>
              <w:keepNext w:val="0"/>
              <w:jc w:val="center"/>
              <w:rPr>
                <w:b/>
                <w:bCs w:val="0"/>
              </w:rPr>
            </w:pPr>
            <w:r w:rsidRPr="0040534B">
              <w:rPr>
                <w:b/>
                <w:bCs w:val="0"/>
                <w:szCs w:val="20"/>
              </w:rPr>
              <w:t>-</w:t>
            </w:r>
            <w:r w:rsidR="00517F57" w:rsidRPr="0040534B">
              <w:rPr>
                <w:b/>
                <w:bCs w:val="0"/>
                <w:szCs w:val="20"/>
              </w:rPr>
              <w:t>3.01 (-3.80, -2.22)</w:t>
            </w:r>
          </w:p>
        </w:tc>
      </w:tr>
      <w:tr w:rsidR="00517F57" w:rsidRPr="0040534B" w14:paraId="52780AAA" w14:textId="77777777" w:rsidTr="00B434C6">
        <w:trPr>
          <w:jc w:val="center"/>
        </w:trPr>
        <w:tc>
          <w:tcPr>
            <w:tcW w:w="4190" w:type="pct"/>
            <w:gridSpan w:val="5"/>
            <w:tcMar>
              <w:left w:w="40" w:type="dxa"/>
              <w:right w:w="40" w:type="dxa"/>
            </w:tcMar>
            <w:vAlign w:val="center"/>
          </w:tcPr>
          <w:p w14:paraId="7879150E" w14:textId="77777777" w:rsidR="00517F57" w:rsidRPr="0040534B" w:rsidRDefault="00517F57" w:rsidP="00B434C6">
            <w:pPr>
              <w:pStyle w:val="TableText0"/>
              <w:keepNext w:val="0"/>
              <w:rPr>
                <w:b/>
                <w:bCs w:val="0"/>
              </w:rPr>
            </w:pPr>
            <w:r w:rsidRPr="0040534B">
              <w:t xml:space="preserve">Pooled galcanezumab </w:t>
            </w:r>
            <w:r w:rsidRPr="0040534B">
              <w:rPr>
                <w:b/>
                <w:bCs w:val="0"/>
              </w:rPr>
              <w:t>I</w:t>
            </w:r>
            <w:r w:rsidRPr="0040534B">
              <w:rPr>
                <w:b/>
                <w:bCs w:val="0"/>
                <w:vertAlign w:val="superscript"/>
              </w:rPr>
              <w:t xml:space="preserve">2 </w:t>
            </w:r>
            <w:r w:rsidRPr="0040534B">
              <w:rPr>
                <w:b/>
                <w:bCs w:val="0"/>
              </w:rPr>
              <w:t>= 65%; p = 0.02</w:t>
            </w:r>
          </w:p>
        </w:tc>
        <w:tc>
          <w:tcPr>
            <w:tcW w:w="810" w:type="pct"/>
            <w:shd w:val="clear" w:color="auto" w:fill="auto"/>
            <w:tcMar>
              <w:left w:w="40" w:type="dxa"/>
              <w:right w:w="40" w:type="dxa"/>
            </w:tcMar>
            <w:vAlign w:val="center"/>
          </w:tcPr>
          <w:p w14:paraId="46792AD3" w14:textId="77777777" w:rsidR="00517F57" w:rsidRPr="0040534B" w:rsidRDefault="00517F57" w:rsidP="002F115A">
            <w:pPr>
              <w:pStyle w:val="TableText0"/>
              <w:keepNext w:val="0"/>
              <w:jc w:val="center"/>
              <w:rPr>
                <w:b/>
                <w:bCs w:val="0"/>
              </w:rPr>
            </w:pPr>
            <w:r w:rsidRPr="0040534B">
              <w:rPr>
                <w:b/>
                <w:bCs w:val="0"/>
              </w:rPr>
              <w:t>-2.21 (-2.66, -1.77)</w:t>
            </w:r>
          </w:p>
          <w:p w14:paraId="5829B0FF" w14:textId="316CB360" w:rsidR="00517F57" w:rsidRPr="0040534B" w:rsidRDefault="00517F57" w:rsidP="002F115A">
            <w:pPr>
              <w:pStyle w:val="TableText0"/>
              <w:keepNext w:val="0"/>
              <w:jc w:val="center"/>
              <w:rPr>
                <w:b/>
                <w:bCs w:val="0"/>
              </w:rPr>
            </w:pPr>
            <w:r w:rsidRPr="0040534B">
              <w:rPr>
                <w:b/>
                <w:bCs w:val="0"/>
                <w:i/>
                <w:iCs/>
              </w:rPr>
              <w:t>-2.32 (-2.85, -1.78)</w:t>
            </w:r>
          </w:p>
        </w:tc>
      </w:tr>
      <w:tr w:rsidR="00517F57" w:rsidRPr="0040534B" w14:paraId="00D53FCC" w14:textId="77777777" w:rsidTr="00233388">
        <w:trPr>
          <w:jc w:val="center"/>
        </w:trPr>
        <w:tc>
          <w:tcPr>
            <w:tcW w:w="5000" w:type="pct"/>
            <w:gridSpan w:val="6"/>
            <w:tcMar>
              <w:left w:w="40" w:type="dxa"/>
              <w:right w:w="40" w:type="dxa"/>
            </w:tcMar>
          </w:tcPr>
          <w:p w14:paraId="623E0867" w14:textId="77777777" w:rsidR="00517F57" w:rsidRPr="0040534B" w:rsidRDefault="00517F57" w:rsidP="002F115A">
            <w:pPr>
              <w:pStyle w:val="TableText0"/>
              <w:keepNext w:val="0"/>
              <w:rPr>
                <w:b/>
                <w:bCs w:val="0"/>
              </w:rPr>
            </w:pPr>
            <w:r w:rsidRPr="0040534B">
              <w:rPr>
                <w:b/>
                <w:bCs w:val="0"/>
              </w:rPr>
              <w:t>Fremanezumab vs placebo</w:t>
            </w:r>
          </w:p>
        </w:tc>
      </w:tr>
      <w:tr w:rsidR="00517F57" w:rsidRPr="0040534B" w14:paraId="78C8492F" w14:textId="77777777" w:rsidTr="00233388">
        <w:trPr>
          <w:jc w:val="center"/>
        </w:trPr>
        <w:tc>
          <w:tcPr>
            <w:tcW w:w="765" w:type="pct"/>
            <w:tcMar>
              <w:left w:w="40" w:type="dxa"/>
              <w:right w:w="40" w:type="dxa"/>
            </w:tcMar>
            <w:vAlign w:val="center"/>
          </w:tcPr>
          <w:p w14:paraId="0FFD2990" w14:textId="77777777" w:rsidR="00517F57" w:rsidRPr="0040534B" w:rsidRDefault="00517F57" w:rsidP="002F115A">
            <w:pPr>
              <w:pStyle w:val="TableText0"/>
              <w:keepNext w:val="0"/>
            </w:pPr>
            <w:r w:rsidRPr="0040534B">
              <w:t>HALO-EM</w:t>
            </w:r>
          </w:p>
        </w:tc>
        <w:tc>
          <w:tcPr>
            <w:tcW w:w="1097" w:type="pct"/>
            <w:tcMar>
              <w:left w:w="40" w:type="dxa"/>
              <w:right w:w="40" w:type="dxa"/>
            </w:tcMar>
            <w:vAlign w:val="center"/>
          </w:tcPr>
          <w:p w14:paraId="7E30327B" w14:textId="6AA38638" w:rsidR="00517F57" w:rsidRPr="0040534B" w:rsidRDefault="00517F57" w:rsidP="002F115A">
            <w:pPr>
              <w:pStyle w:val="TableText0"/>
              <w:keepNext w:val="0"/>
            </w:pPr>
            <w:r w:rsidRPr="0040534B">
              <w:t>FREM 225</w:t>
            </w:r>
            <w:r w:rsidR="006F04A7" w:rsidRPr="0040534B">
              <w:t xml:space="preserve"> </w:t>
            </w:r>
            <w:r w:rsidRPr="0040534B">
              <w:t>mg vs. PBO</w:t>
            </w:r>
          </w:p>
        </w:tc>
        <w:tc>
          <w:tcPr>
            <w:tcW w:w="731" w:type="pct"/>
            <w:tcMar>
              <w:left w:w="40" w:type="dxa"/>
              <w:right w:w="40" w:type="dxa"/>
            </w:tcMar>
            <w:vAlign w:val="center"/>
          </w:tcPr>
          <w:p w14:paraId="1A0D94BB" w14:textId="5591034C" w:rsidR="00517F57" w:rsidRPr="0040534B" w:rsidRDefault="00517F57" w:rsidP="002F115A">
            <w:pPr>
              <w:pStyle w:val="TableText0"/>
              <w:keepNext w:val="0"/>
              <w:jc w:val="center"/>
            </w:pPr>
            <w:r w:rsidRPr="0040534B">
              <w:t>-</w:t>
            </w:r>
          </w:p>
        </w:tc>
        <w:tc>
          <w:tcPr>
            <w:tcW w:w="798" w:type="pct"/>
            <w:tcMar>
              <w:left w:w="40" w:type="dxa"/>
              <w:right w:w="40" w:type="dxa"/>
            </w:tcMar>
            <w:vAlign w:val="center"/>
          </w:tcPr>
          <w:p w14:paraId="3A04B043" w14:textId="77777777" w:rsidR="00517F57" w:rsidRPr="0040534B" w:rsidRDefault="00517F57" w:rsidP="002F115A">
            <w:pPr>
              <w:pStyle w:val="TableText0"/>
              <w:keepNext w:val="0"/>
              <w:jc w:val="center"/>
            </w:pPr>
            <w:r w:rsidRPr="0040534B">
              <w:t>N = 294</w:t>
            </w:r>
          </w:p>
          <w:p w14:paraId="6C7BA91B" w14:textId="14F6C4D0" w:rsidR="00517F57" w:rsidRPr="0040534B" w:rsidRDefault="00517F57" w:rsidP="002F115A">
            <w:pPr>
              <w:pStyle w:val="TableText0"/>
              <w:keepNext w:val="0"/>
              <w:jc w:val="center"/>
            </w:pPr>
            <w:r w:rsidRPr="0040534B">
              <w:t>-2.2 [0.2]</w:t>
            </w:r>
          </w:p>
        </w:tc>
        <w:tc>
          <w:tcPr>
            <w:tcW w:w="799" w:type="pct"/>
            <w:tcMar>
              <w:left w:w="40" w:type="dxa"/>
              <w:right w:w="40" w:type="dxa"/>
            </w:tcMar>
            <w:vAlign w:val="center"/>
          </w:tcPr>
          <w:p w14:paraId="2887E0AA" w14:textId="77777777" w:rsidR="00517F57" w:rsidRPr="0040534B" w:rsidRDefault="00517F57" w:rsidP="002F115A">
            <w:pPr>
              <w:pStyle w:val="TableText0"/>
              <w:keepNext w:val="0"/>
              <w:jc w:val="center"/>
            </w:pPr>
            <w:r w:rsidRPr="0040534B">
              <w:t>N = 290</w:t>
            </w:r>
          </w:p>
          <w:p w14:paraId="0598EC39" w14:textId="0A307C6A" w:rsidR="00517F57" w:rsidRPr="0040534B" w:rsidRDefault="00517F57" w:rsidP="002F115A">
            <w:pPr>
              <w:pStyle w:val="TableText0"/>
              <w:keepNext w:val="0"/>
              <w:jc w:val="center"/>
            </w:pPr>
            <w:r w:rsidRPr="0040534B">
              <w:t>-3.7 [0.2]</w:t>
            </w:r>
          </w:p>
        </w:tc>
        <w:tc>
          <w:tcPr>
            <w:tcW w:w="810" w:type="pct"/>
            <w:tcMar>
              <w:left w:w="40" w:type="dxa"/>
              <w:right w:w="40" w:type="dxa"/>
            </w:tcMar>
            <w:vAlign w:val="center"/>
          </w:tcPr>
          <w:p w14:paraId="56AAFD67" w14:textId="77777777" w:rsidR="00517F57" w:rsidRPr="0040534B" w:rsidRDefault="00517F57" w:rsidP="002F115A">
            <w:pPr>
              <w:pStyle w:val="TableText0"/>
              <w:keepNext w:val="0"/>
              <w:jc w:val="center"/>
              <w:rPr>
                <w:b/>
                <w:bCs w:val="0"/>
              </w:rPr>
            </w:pPr>
            <w:r w:rsidRPr="0040534B">
              <w:rPr>
                <w:szCs w:val="20"/>
              </w:rPr>
              <w:t>-</w:t>
            </w:r>
            <w:r w:rsidRPr="0040534B">
              <w:rPr>
                <w:b/>
                <w:bCs w:val="0"/>
                <w:szCs w:val="20"/>
              </w:rPr>
              <w:t>1.50 (-2.19, -0.81)</w:t>
            </w:r>
          </w:p>
        </w:tc>
      </w:tr>
      <w:tr w:rsidR="00517F57" w:rsidRPr="0040534B" w14:paraId="6ECC3831" w14:textId="77777777" w:rsidTr="00233388">
        <w:trPr>
          <w:jc w:val="center"/>
        </w:trPr>
        <w:tc>
          <w:tcPr>
            <w:tcW w:w="765" w:type="pct"/>
            <w:tcMar>
              <w:left w:w="40" w:type="dxa"/>
              <w:right w:w="40" w:type="dxa"/>
            </w:tcMar>
            <w:vAlign w:val="center"/>
          </w:tcPr>
          <w:p w14:paraId="36AC7813" w14:textId="6DCCAC6B" w:rsidR="00517F57" w:rsidRPr="0040534B" w:rsidRDefault="00517F57" w:rsidP="002F115A">
            <w:pPr>
              <w:pStyle w:val="TableText0"/>
              <w:keepNext w:val="0"/>
            </w:pPr>
            <w:r w:rsidRPr="0040534B">
              <w:t>FOCUS</w:t>
            </w:r>
            <w:r w:rsidRPr="0040534B">
              <w:rPr>
                <w:vertAlign w:val="superscript"/>
              </w:rPr>
              <w:t>a</w:t>
            </w:r>
          </w:p>
        </w:tc>
        <w:tc>
          <w:tcPr>
            <w:tcW w:w="1097" w:type="pct"/>
            <w:tcMar>
              <w:left w:w="40" w:type="dxa"/>
              <w:right w:w="40" w:type="dxa"/>
            </w:tcMar>
            <w:vAlign w:val="center"/>
          </w:tcPr>
          <w:p w14:paraId="11874F3D" w14:textId="1E60FF84" w:rsidR="00517F57" w:rsidRPr="0040534B" w:rsidRDefault="00517F57" w:rsidP="002F115A">
            <w:pPr>
              <w:pStyle w:val="TableText0"/>
              <w:keepNext w:val="0"/>
            </w:pPr>
            <w:r w:rsidRPr="0040534B">
              <w:t>FREM 225</w:t>
            </w:r>
            <w:r w:rsidR="006F04A7" w:rsidRPr="0040534B">
              <w:t xml:space="preserve"> </w:t>
            </w:r>
            <w:r w:rsidRPr="0040534B">
              <w:t>mg vs. PBO</w:t>
            </w:r>
          </w:p>
        </w:tc>
        <w:tc>
          <w:tcPr>
            <w:tcW w:w="731" w:type="pct"/>
            <w:tcMar>
              <w:left w:w="40" w:type="dxa"/>
              <w:right w:w="40" w:type="dxa"/>
            </w:tcMar>
            <w:vAlign w:val="center"/>
          </w:tcPr>
          <w:p w14:paraId="0EF7A4F0" w14:textId="26D704F3" w:rsidR="00517F57" w:rsidRPr="0040534B" w:rsidRDefault="00517F57" w:rsidP="002F115A">
            <w:pPr>
              <w:pStyle w:val="TableText0"/>
              <w:keepNext w:val="0"/>
              <w:jc w:val="center"/>
            </w:pPr>
            <w:r w:rsidRPr="0040534B">
              <w:t>-</w:t>
            </w:r>
          </w:p>
        </w:tc>
        <w:tc>
          <w:tcPr>
            <w:tcW w:w="798" w:type="pct"/>
            <w:tcMar>
              <w:left w:w="40" w:type="dxa"/>
              <w:right w:w="40" w:type="dxa"/>
            </w:tcMar>
            <w:vAlign w:val="center"/>
          </w:tcPr>
          <w:p w14:paraId="6A34947A" w14:textId="77777777" w:rsidR="00517F57" w:rsidRPr="0040534B" w:rsidRDefault="00517F57" w:rsidP="002F115A">
            <w:pPr>
              <w:pStyle w:val="TableText0"/>
              <w:keepNext w:val="0"/>
              <w:jc w:val="center"/>
            </w:pPr>
            <w:r w:rsidRPr="0040534B">
              <w:t>N = 279</w:t>
            </w:r>
          </w:p>
          <w:p w14:paraId="28B2ED7B" w14:textId="17F0580C" w:rsidR="00517F57" w:rsidRPr="0040534B" w:rsidRDefault="00517F57" w:rsidP="002F115A">
            <w:pPr>
              <w:pStyle w:val="TableText0"/>
              <w:keepNext w:val="0"/>
              <w:jc w:val="center"/>
            </w:pPr>
            <w:r w:rsidRPr="0040534B">
              <w:t>-0.6 [0.3]</w:t>
            </w:r>
          </w:p>
        </w:tc>
        <w:tc>
          <w:tcPr>
            <w:tcW w:w="799" w:type="pct"/>
            <w:tcMar>
              <w:left w:w="40" w:type="dxa"/>
              <w:right w:w="40" w:type="dxa"/>
            </w:tcMar>
            <w:vAlign w:val="center"/>
          </w:tcPr>
          <w:p w14:paraId="399ACF49" w14:textId="77777777" w:rsidR="00517F57" w:rsidRPr="0040534B" w:rsidRDefault="00517F57" w:rsidP="002F115A">
            <w:pPr>
              <w:pStyle w:val="TableText0"/>
              <w:keepNext w:val="0"/>
              <w:jc w:val="center"/>
            </w:pPr>
            <w:r w:rsidRPr="0040534B">
              <w:t>N = 283</w:t>
            </w:r>
          </w:p>
          <w:p w14:paraId="759B5D49" w14:textId="59F0A4F3" w:rsidR="00517F57" w:rsidRPr="0040534B" w:rsidRDefault="00517F57" w:rsidP="002F115A">
            <w:pPr>
              <w:pStyle w:val="TableText0"/>
              <w:keepNext w:val="0"/>
              <w:jc w:val="center"/>
            </w:pPr>
            <w:r w:rsidRPr="0040534B">
              <w:t>-</w:t>
            </w:r>
            <w:r w:rsidR="00CB56D9" w:rsidRPr="0040534B">
              <w:t>4.1</w:t>
            </w:r>
            <w:r w:rsidRPr="0040534B">
              <w:t xml:space="preserve"> [0.3]</w:t>
            </w:r>
          </w:p>
        </w:tc>
        <w:tc>
          <w:tcPr>
            <w:tcW w:w="810" w:type="pct"/>
            <w:shd w:val="clear" w:color="auto" w:fill="auto"/>
            <w:tcMar>
              <w:left w:w="40" w:type="dxa"/>
              <w:right w:w="40" w:type="dxa"/>
            </w:tcMar>
            <w:vAlign w:val="center"/>
          </w:tcPr>
          <w:p w14:paraId="6456BE37" w14:textId="77777777" w:rsidR="00517F57" w:rsidRPr="0040534B" w:rsidRDefault="00517F57" w:rsidP="002F115A">
            <w:pPr>
              <w:pStyle w:val="TableText0"/>
              <w:keepNext w:val="0"/>
              <w:jc w:val="center"/>
              <w:rPr>
                <w:b/>
                <w:bCs w:val="0"/>
              </w:rPr>
            </w:pPr>
            <w:r w:rsidRPr="0040534B">
              <w:rPr>
                <w:b/>
                <w:bCs w:val="0"/>
              </w:rPr>
              <w:t>-3.50 (-4.33, -2.67)</w:t>
            </w:r>
          </w:p>
        </w:tc>
      </w:tr>
      <w:tr w:rsidR="00517F57" w:rsidRPr="0040534B" w14:paraId="7F02D62E" w14:textId="77777777" w:rsidTr="00233388">
        <w:trPr>
          <w:jc w:val="center"/>
        </w:trPr>
        <w:tc>
          <w:tcPr>
            <w:tcW w:w="765" w:type="pct"/>
            <w:tcBorders>
              <w:bottom w:val="single" w:sz="4" w:space="0" w:color="auto"/>
            </w:tcBorders>
            <w:tcMar>
              <w:left w:w="40" w:type="dxa"/>
              <w:right w:w="40" w:type="dxa"/>
            </w:tcMar>
            <w:vAlign w:val="center"/>
          </w:tcPr>
          <w:p w14:paraId="2B94A571" w14:textId="77777777" w:rsidR="00517F57" w:rsidRPr="0040534B" w:rsidRDefault="00517F57" w:rsidP="002F115A">
            <w:pPr>
              <w:pStyle w:val="TableText0"/>
              <w:keepNext w:val="0"/>
            </w:pPr>
            <w:r w:rsidRPr="0040534B">
              <w:t>NCT03303092</w:t>
            </w:r>
          </w:p>
        </w:tc>
        <w:tc>
          <w:tcPr>
            <w:tcW w:w="1097" w:type="pct"/>
            <w:tcBorders>
              <w:bottom w:val="single" w:sz="4" w:space="0" w:color="auto"/>
            </w:tcBorders>
            <w:tcMar>
              <w:left w:w="40" w:type="dxa"/>
              <w:right w:w="40" w:type="dxa"/>
            </w:tcMar>
            <w:vAlign w:val="center"/>
          </w:tcPr>
          <w:p w14:paraId="009B9A6D" w14:textId="0A373762" w:rsidR="00517F57" w:rsidRPr="0040534B" w:rsidRDefault="00517F57" w:rsidP="002F115A">
            <w:pPr>
              <w:pStyle w:val="TableText0"/>
              <w:keepNext w:val="0"/>
            </w:pPr>
            <w:r w:rsidRPr="0040534B">
              <w:t>FREM 225</w:t>
            </w:r>
            <w:r w:rsidR="006F04A7" w:rsidRPr="0040534B">
              <w:t xml:space="preserve"> </w:t>
            </w:r>
            <w:r w:rsidRPr="0040534B">
              <w:t>mg vs. PBO</w:t>
            </w:r>
          </w:p>
        </w:tc>
        <w:tc>
          <w:tcPr>
            <w:tcW w:w="731" w:type="pct"/>
            <w:tcBorders>
              <w:bottom w:val="single" w:sz="4" w:space="0" w:color="auto"/>
            </w:tcBorders>
            <w:tcMar>
              <w:left w:w="40" w:type="dxa"/>
              <w:right w:w="40" w:type="dxa"/>
            </w:tcMar>
            <w:vAlign w:val="center"/>
          </w:tcPr>
          <w:p w14:paraId="6C7FE7D0" w14:textId="40DF54B3" w:rsidR="00517F57" w:rsidRPr="0040534B" w:rsidRDefault="00517F57" w:rsidP="002F115A">
            <w:pPr>
              <w:pStyle w:val="TableText0"/>
              <w:keepNext w:val="0"/>
              <w:jc w:val="center"/>
            </w:pPr>
            <w:r w:rsidRPr="0040534B">
              <w:t>-</w:t>
            </w:r>
          </w:p>
        </w:tc>
        <w:tc>
          <w:tcPr>
            <w:tcW w:w="798" w:type="pct"/>
            <w:tcBorders>
              <w:bottom w:val="single" w:sz="4" w:space="0" w:color="auto"/>
            </w:tcBorders>
            <w:tcMar>
              <w:left w:w="40" w:type="dxa"/>
              <w:right w:w="40" w:type="dxa"/>
            </w:tcMar>
            <w:vAlign w:val="center"/>
          </w:tcPr>
          <w:p w14:paraId="6F9395AE" w14:textId="77777777" w:rsidR="00517F57" w:rsidRPr="0040534B" w:rsidRDefault="00517F57" w:rsidP="002F115A">
            <w:pPr>
              <w:pStyle w:val="TableText0"/>
              <w:keepNext w:val="0"/>
              <w:jc w:val="center"/>
            </w:pPr>
            <w:r w:rsidRPr="0040534B">
              <w:t>N = 117</w:t>
            </w:r>
          </w:p>
          <w:p w14:paraId="002A7382" w14:textId="1E370FEA" w:rsidR="00517F57" w:rsidRPr="0040534B" w:rsidRDefault="00517F57" w:rsidP="002F115A">
            <w:pPr>
              <w:pStyle w:val="TableText0"/>
              <w:keepNext w:val="0"/>
              <w:jc w:val="center"/>
            </w:pPr>
            <w:r w:rsidRPr="0040534B">
              <w:t>-1.0 [0.4]</w:t>
            </w:r>
          </w:p>
        </w:tc>
        <w:tc>
          <w:tcPr>
            <w:tcW w:w="799" w:type="pct"/>
            <w:tcBorders>
              <w:bottom w:val="single" w:sz="4" w:space="0" w:color="auto"/>
            </w:tcBorders>
            <w:tcMar>
              <w:left w:w="40" w:type="dxa"/>
              <w:right w:w="40" w:type="dxa"/>
            </w:tcMar>
            <w:vAlign w:val="center"/>
          </w:tcPr>
          <w:p w14:paraId="7DB189D2" w14:textId="77777777" w:rsidR="00517F57" w:rsidRPr="0040534B" w:rsidRDefault="00517F57" w:rsidP="002F115A">
            <w:pPr>
              <w:pStyle w:val="TableText0"/>
              <w:keepNext w:val="0"/>
              <w:jc w:val="center"/>
            </w:pPr>
            <w:r w:rsidRPr="0040534B">
              <w:t>N = 121</w:t>
            </w:r>
          </w:p>
          <w:p w14:paraId="03DEEC6F" w14:textId="6AA8A6E4" w:rsidR="00517F57" w:rsidRPr="0040534B" w:rsidRDefault="00517F57" w:rsidP="002F115A">
            <w:pPr>
              <w:pStyle w:val="TableText0"/>
              <w:keepNext w:val="0"/>
              <w:jc w:val="center"/>
            </w:pPr>
            <w:r w:rsidRPr="0040534B">
              <w:t>-4.0 [0.4]</w:t>
            </w:r>
          </w:p>
        </w:tc>
        <w:tc>
          <w:tcPr>
            <w:tcW w:w="810" w:type="pct"/>
            <w:tcBorders>
              <w:bottom w:val="single" w:sz="4" w:space="0" w:color="auto"/>
            </w:tcBorders>
            <w:shd w:val="clear" w:color="auto" w:fill="auto"/>
            <w:tcMar>
              <w:left w:w="40" w:type="dxa"/>
              <w:right w:w="40" w:type="dxa"/>
            </w:tcMar>
            <w:vAlign w:val="center"/>
          </w:tcPr>
          <w:p w14:paraId="1A20FFD2" w14:textId="77777777" w:rsidR="00517F57" w:rsidRPr="0040534B" w:rsidRDefault="00517F57" w:rsidP="002F115A">
            <w:pPr>
              <w:pStyle w:val="TableText0"/>
              <w:keepNext w:val="0"/>
              <w:jc w:val="center"/>
              <w:rPr>
                <w:b/>
                <w:bCs w:val="0"/>
              </w:rPr>
            </w:pPr>
            <w:r w:rsidRPr="0040534B">
              <w:rPr>
                <w:b/>
                <w:bCs w:val="0"/>
              </w:rPr>
              <w:t>-3.00 (-4.11, -1.89)</w:t>
            </w:r>
          </w:p>
        </w:tc>
      </w:tr>
      <w:tr w:rsidR="00517F57" w:rsidRPr="0040534B" w14:paraId="0BC9AC23" w14:textId="77777777" w:rsidTr="00233388">
        <w:trPr>
          <w:jc w:val="center"/>
        </w:trPr>
        <w:tc>
          <w:tcPr>
            <w:tcW w:w="4190" w:type="pct"/>
            <w:gridSpan w:val="5"/>
            <w:tcBorders>
              <w:bottom w:val="single" w:sz="12" w:space="0" w:color="auto"/>
            </w:tcBorders>
            <w:tcMar>
              <w:left w:w="40" w:type="dxa"/>
              <w:right w:w="40" w:type="dxa"/>
            </w:tcMar>
          </w:tcPr>
          <w:p w14:paraId="5F268C03" w14:textId="3516DD99" w:rsidR="00517F57" w:rsidRPr="0040534B" w:rsidRDefault="00517F57" w:rsidP="002F115A">
            <w:pPr>
              <w:pStyle w:val="TableText0"/>
              <w:keepNext w:val="0"/>
              <w:rPr>
                <w:b/>
                <w:bCs w:val="0"/>
              </w:rPr>
            </w:pPr>
            <w:r w:rsidRPr="0040534B">
              <w:t>Pooled fremanezumab (</w:t>
            </w:r>
            <w:r w:rsidRPr="0040534B">
              <w:rPr>
                <w:b/>
                <w:bCs w:val="0"/>
              </w:rPr>
              <w:t>I</w:t>
            </w:r>
            <w:r w:rsidRPr="0040534B">
              <w:rPr>
                <w:b/>
                <w:bCs w:val="0"/>
                <w:vertAlign w:val="superscript"/>
              </w:rPr>
              <w:t xml:space="preserve">2 </w:t>
            </w:r>
            <w:r w:rsidRPr="0040534B">
              <w:rPr>
                <w:b/>
                <w:bCs w:val="0"/>
              </w:rPr>
              <w:t>= 86%; p = 0.0007)</w:t>
            </w:r>
          </w:p>
        </w:tc>
        <w:tc>
          <w:tcPr>
            <w:tcW w:w="810" w:type="pct"/>
            <w:tcBorders>
              <w:bottom w:val="single" w:sz="12" w:space="0" w:color="auto"/>
            </w:tcBorders>
            <w:shd w:val="clear" w:color="auto" w:fill="auto"/>
            <w:tcMar>
              <w:left w:w="40" w:type="dxa"/>
              <w:right w:w="40" w:type="dxa"/>
            </w:tcMar>
            <w:vAlign w:val="center"/>
          </w:tcPr>
          <w:p w14:paraId="64D6495F" w14:textId="77777777" w:rsidR="00517F57" w:rsidRPr="0040534B" w:rsidRDefault="00517F57" w:rsidP="002F115A">
            <w:pPr>
              <w:pStyle w:val="TableText0"/>
              <w:keepNext w:val="0"/>
              <w:jc w:val="center"/>
              <w:rPr>
                <w:b/>
                <w:bCs w:val="0"/>
              </w:rPr>
            </w:pPr>
            <w:r w:rsidRPr="0040534B">
              <w:rPr>
                <w:b/>
                <w:bCs w:val="0"/>
              </w:rPr>
              <w:t>-2.64 (-3.97, -1.30)</w:t>
            </w:r>
          </w:p>
        </w:tc>
      </w:tr>
      <w:tr w:rsidR="00517F57" w:rsidRPr="0040534B" w14:paraId="386FC1C7" w14:textId="77777777" w:rsidTr="00233388">
        <w:trPr>
          <w:jc w:val="center"/>
        </w:trPr>
        <w:tc>
          <w:tcPr>
            <w:tcW w:w="4190" w:type="pct"/>
            <w:gridSpan w:val="5"/>
            <w:tcBorders>
              <w:top w:val="single" w:sz="12" w:space="0" w:color="auto"/>
              <w:bottom w:val="single" w:sz="4" w:space="0" w:color="auto"/>
            </w:tcBorders>
            <w:tcMar>
              <w:left w:w="40" w:type="dxa"/>
              <w:right w:w="40" w:type="dxa"/>
            </w:tcMar>
          </w:tcPr>
          <w:p w14:paraId="52DD8066" w14:textId="77777777" w:rsidR="00517F57" w:rsidRPr="0040534B" w:rsidRDefault="00517F57" w:rsidP="002F115A">
            <w:pPr>
              <w:pStyle w:val="TableText0"/>
              <w:keepNext w:val="0"/>
            </w:pPr>
            <w:r w:rsidRPr="0040534B">
              <w:t>Atogepant vs galcanezumab (95% CI)</w:t>
            </w:r>
          </w:p>
        </w:tc>
        <w:tc>
          <w:tcPr>
            <w:tcW w:w="810" w:type="pct"/>
            <w:tcBorders>
              <w:top w:val="single" w:sz="12" w:space="0" w:color="auto"/>
              <w:bottom w:val="single" w:sz="4" w:space="0" w:color="auto"/>
            </w:tcBorders>
            <w:tcMar>
              <w:left w:w="40" w:type="dxa"/>
              <w:right w:w="40" w:type="dxa"/>
            </w:tcMar>
          </w:tcPr>
          <w:p w14:paraId="1693A00D" w14:textId="77777777" w:rsidR="00517F57" w:rsidRPr="0040534B" w:rsidRDefault="00517F57" w:rsidP="002F115A">
            <w:pPr>
              <w:pStyle w:val="TableText0"/>
              <w:keepNext w:val="0"/>
              <w:jc w:val="center"/>
              <w:rPr>
                <w:bCs w:val="0"/>
              </w:rPr>
            </w:pPr>
            <w:r w:rsidRPr="0040534B">
              <w:rPr>
                <w:bCs w:val="0"/>
                <w:szCs w:val="20"/>
              </w:rPr>
              <w:t>1.07 (-0.06, 2.20)</w:t>
            </w:r>
          </w:p>
        </w:tc>
      </w:tr>
      <w:tr w:rsidR="00517F57" w:rsidRPr="0040534B" w14:paraId="40A676A2" w14:textId="77777777" w:rsidTr="00233388">
        <w:trPr>
          <w:jc w:val="center"/>
        </w:trPr>
        <w:tc>
          <w:tcPr>
            <w:tcW w:w="4190" w:type="pct"/>
            <w:gridSpan w:val="5"/>
            <w:tcBorders>
              <w:bottom w:val="double" w:sz="4" w:space="0" w:color="auto"/>
            </w:tcBorders>
            <w:tcMar>
              <w:left w:w="40" w:type="dxa"/>
              <w:right w:w="40" w:type="dxa"/>
            </w:tcMar>
          </w:tcPr>
          <w:p w14:paraId="3269CBD5" w14:textId="77777777" w:rsidR="00517F57" w:rsidRPr="0040534B" w:rsidRDefault="00517F57" w:rsidP="002F115A">
            <w:pPr>
              <w:pStyle w:val="TableText0"/>
              <w:keepNext w:val="0"/>
            </w:pPr>
            <w:r w:rsidRPr="0040534B">
              <w:t>Atogepant vs fremanezumab (95% CI)</w:t>
            </w:r>
          </w:p>
        </w:tc>
        <w:tc>
          <w:tcPr>
            <w:tcW w:w="810" w:type="pct"/>
            <w:tcBorders>
              <w:bottom w:val="double" w:sz="4" w:space="0" w:color="auto"/>
            </w:tcBorders>
            <w:tcMar>
              <w:left w:w="40" w:type="dxa"/>
              <w:right w:w="40" w:type="dxa"/>
            </w:tcMar>
          </w:tcPr>
          <w:p w14:paraId="1FBD6A5F" w14:textId="77777777" w:rsidR="00517F57" w:rsidRPr="0040534B" w:rsidRDefault="00517F57" w:rsidP="002F115A">
            <w:pPr>
              <w:pStyle w:val="TableText0"/>
              <w:keepNext w:val="0"/>
              <w:jc w:val="center"/>
              <w:rPr>
                <w:bCs w:val="0"/>
              </w:rPr>
            </w:pPr>
            <w:r w:rsidRPr="0040534B">
              <w:rPr>
                <w:bCs w:val="0"/>
                <w:szCs w:val="20"/>
              </w:rPr>
              <w:t>1.39 (-0.28, 3.06)</w:t>
            </w:r>
          </w:p>
        </w:tc>
      </w:tr>
      <w:tr w:rsidR="00560D81" w:rsidRPr="0040534B" w14:paraId="0BDFC666" w14:textId="77777777" w:rsidTr="00233388">
        <w:trPr>
          <w:jc w:val="center"/>
        </w:trPr>
        <w:tc>
          <w:tcPr>
            <w:tcW w:w="5000" w:type="pct"/>
            <w:gridSpan w:val="6"/>
            <w:tcBorders>
              <w:top w:val="double" w:sz="4" w:space="0" w:color="auto"/>
            </w:tcBorders>
            <w:tcMar>
              <w:left w:w="40" w:type="dxa"/>
              <w:right w:w="40" w:type="dxa"/>
            </w:tcMar>
          </w:tcPr>
          <w:p w14:paraId="6D8B1634" w14:textId="072C6FFC" w:rsidR="00560D81" w:rsidRPr="0040534B" w:rsidRDefault="00560D81" w:rsidP="002F115A">
            <w:pPr>
              <w:pStyle w:val="TableText0"/>
              <w:keepNext w:val="0"/>
              <w:rPr>
                <w:bCs w:val="0"/>
                <w:szCs w:val="20"/>
              </w:rPr>
            </w:pPr>
            <w:r w:rsidRPr="0040534B">
              <w:rPr>
                <w:b/>
                <w:bCs w:val="0"/>
              </w:rPr>
              <w:t>Episodic migraine population/subpopulations only</w:t>
            </w:r>
          </w:p>
        </w:tc>
      </w:tr>
      <w:tr w:rsidR="00560D81" w:rsidRPr="0040534B" w14:paraId="1BEDC903" w14:textId="77777777" w:rsidTr="00233388">
        <w:trPr>
          <w:jc w:val="center"/>
        </w:trPr>
        <w:tc>
          <w:tcPr>
            <w:tcW w:w="5000" w:type="pct"/>
            <w:gridSpan w:val="6"/>
            <w:tcMar>
              <w:left w:w="40" w:type="dxa"/>
              <w:right w:w="40" w:type="dxa"/>
            </w:tcMar>
          </w:tcPr>
          <w:p w14:paraId="1A431E4A" w14:textId="079D605C" w:rsidR="00560D81" w:rsidRPr="0040534B" w:rsidRDefault="00560D81" w:rsidP="002F115A">
            <w:pPr>
              <w:pStyle w:val="TableText0"/>
              <w:keepNext w:val="0"/>
              <w:rPr>
                <w:bCs w:val="0"/>
                <w:szCs w:val="20"/>
              </w:rPr>
            </w:pPr>
            <w:r w:rsidRPr="0040534B">
              <w:rPr>
                <w:b/>
                <w:bCs w:val="0"/>
              </w:rPr>
              <w:t>Atogepant vs placebo</w:t>
            </w:r>
          </w:p>
        </w:tc>
      </w:tr>
      <w:tr w:rsidR="00560D81" w:rsidRPr="0040534B" w14:paraId="065432DD" w14:textId="77777777" w:rsidTr="00233388">
        <w:trPr>
          <w:jc w:val="center"/>
        </w:trPr>
        <w:tc>
          <w:tcPr>
            <w:tcW w:w="4190" w:type="pct"/>
            <w:gridSpan w:val="5"/>
            <w:tcMar>
              <w:left w:w="40" w:type="dxa"/>
              <w:right w:w="40" w:type="dxa"/>
            </w:tcMar>
          </w:tcPr>
          <w:p w14:paraId="06D41DA1" w14:textId="309E5BE1" w:rsidR="00560D81" w:rsidRPr="0040534B" w:rsidRDefault="00560D81" w:rsidP="002F115A">
            <w:pPr>
              <w:pStyle w:val="TableText0"/>
              <w:keepNext w:val="0"/>
            </w:pPr>
            <w:r w:rsidRPr="0040534B">
              <w:t>ADVANCE (same as whole population analysis above)</w:t>
            </w:r>
          </w:p>
        </w:tc>
        <w:tc>
          <w:tcPr>
            <w:tcW w:w="810" w:type="pct"/>
            <w:tcMar>
              <w:left w:w="40" w:type="dxa"/>
              <w:right w:w="40" w:type="dxa"/>
            </w:tcMar>
          </w:tcPr>
          <w:p w14:paraId="128152DA" w14:textId="01BF1387" w:rsidR="00560D81" w:rsidRPr="0040534B" w:rsidRDefault="00CB56D9" w:rsidP="002F115A">
            <w:pPr>
              <w:pStyle w:val="TableText0"/>
              <w:keepNext w:val="0"/>
              <w:jc w:val="center"/>
              <w:rPr>
                <w:bCs w:val="0"/>
                <w:szCs w:val="20"/>
              </w:rPr>
            </w:pPr>
            <w:r w:rsidRPr="0040534B">
              <w:rPr>
                <w:b/>
                <w:bCs w:val="0"/>
                <w:szCs w:val="20"/>
              </w:rPr>
              <w:t>-1.72 (-2.30, -1.14)</w:t>
            </w:r>
          </w:p>
        </w:tc>
      </w:tr>
      <w:tr w:rsidR="00560D81" w:rsidRPr="0040534B" w14:paraId="2A7AD917" w14:textId="77777777" w:rsidTr="00233388">
        <w:trPr>
          <w:jc w:val="center"/>
        </w:trPr>
        <w:tc>
          <w:tcPr>
            <w:tcW w:w="4190" w:type="pct"/>
            <w:gridSpan w:val="5"/>
            <w:tcMar>
              <w:left w:w="40" w:type="dxa"/>
              <w:right w:w="40" w:type="dxa"/>
            </w:tcMar>
          </w:tcPr>
          <w:p w14:paraId="62F245A8" w14:textId="3501C068" w:rsidR="00560D81" w:rsidRPr="0040534B" w:rsidRDefault="00560D81" w:rsidP="002F115A">
            <w:pPr>
              <w:pStyle w:val="TableText0"/>
              <w:keepNext w:val="0"/>
            </w:pPr>
            <w:r w:rsidRPr="0040534B">
              <w:t>NCT02848326 (same as whole population analysis above)</w:t>
            </w:r>
          </w:p>
        </w:tc>
        <w:tc>
          <w:tcPr>
            <w:tcW w:w="810" w:type="pct"/>
            <w:tcMar>
              <w:left w:w="40" w:type="dxa"/>
              <w:right w:w="40" w:type="dxa"/>
            </w:tcMar>
          </w:tcPr>
          <w:p w14:paraId="03673C24" w14:textId="71FAEA0B" w:rsidR="00560D81" w:rsidRPr="0040534B" w:rsidRDefault="00CB56D9" w:rsidP="002F115A">
            <w:pPr>
              <w:pStyle w:val="TableText0"/>
              <w:keepNext w:val="0"/>
              <w:jc w:val="center"/>
              <w:rPr>
                <w:bCs w:val="0"/>
                <w:szCs w:val="20"/>
              </w:rPr>
            </w:pPr>
            <w:r w:rsidRPr="0040534B">
              <w:rPr>
                <w:szCs w:val="20"/>
              </w:rPr>
              <w:t>-0.70 (-1.49, 0.09)</w:t>
            </w:r>
          </w:p>
        </w:tc>
      </w:tr>
      <w:tr w:rsidR="00560D81" w:rsidRPr="0040534B" w14:paraId="3C201783" w14:textId="77777777" w:rsidTr="00233388">
        <w:trPr>
          <w:jc w:val="center"/>
        </w:trPr>
        <w:tc>
          <w:tcPr>
            <w:tcW w:w="4190" w:type="pct"/>
            <w:gridSpan w:val="5"/>
            <w:tcMar>
              <w:left w:w="40" w:type="dxa"/>
              <w:right w:w="40" w:type="dxa"/>
            </w:tcMar>
          </w:tcPr>
          <w:p w14:paraId="6F120333" w14:textId="37723A1F" w:rsidR="00560D81" w:rsidRPr="0040534B" w:rsidRDefault="00560D81" w:rsidP="002F115A">
            <w:pPr>
              <w:pStyle w:val="TableText0"/>
              <w:keepNext w:val="0"/>
            </w:pPr>
            <w:r w:rsidRPr="0040534B">
              <w:t>Pooled atogepant (I</w:t>
            </w:r>
            <w:r w:rsidRPr="0040534B">
              <w:rPr>
                <w:vertAlign w:val="superscript"/>
              </w:rPr>
              <w:t>2</w:t>
            </w:r>
            <w:r w:rsidRPr="0040534B">
              <w:t xml:space="preserve"> = 76%; p = 0.04)</w:t>
            </w:r>
            <w:r w:rsidRPr="0040534B">
              <w:tab/>
            </w:r>
          </w:p>
        </w:tc>
        <w:tc>
          <w:tcPr>
            <w:tcW w:w="810" w:type="pct"/>
            <w:tcMar>
              <w:left w:w="40" w:type="dxa"/>
              <w:right w:w="40" w:type="dxa"/>
            </w:tcMar>
          </w:tcPr>
          <w:p w14:paraId="21119F7C" w14:textId="342C86B0" w:rsidR="00560D81" w:rsidRPr="0040534B" w:rsidRDefault="00560D81" w:rsidP="002F115A">
            <w:pPr>
              <w:pStyle w:val="TableText0"/>
              <w:keepNext w:val="0"/>
              <w:jc w:val="center"/>
              <w:rPr>
                <w:bCs w:val="0"/>
                <w:szCs w:val="20"/>
              </w:rPr>
            </w:pPr>
            <w:r w:rsidRPr="0040534B">
              <w:t>-1.25 (-2.24, -0.25)</w:t>
            </w:r>
          </w:p>
        </w:tc>
      </w:tr>
      <w:tr w:rsidR="00560D81" w:rsidRPr="0040534B" w14:paraId="5E834BD6" w14:textId="77777777" w:rsidTr="00233388">
        <w:trPr>
          <w:jc w:val="center"/>
        </w:trPr>
        <w:tc>
          <w:tcPr>
            <w:tcW w:w="5000" w:type="pct"/>
            <w:gridSpan w:val="6"/>
            <w:tcMar>
              <w:left w:w="40" w:type="dxa"/>
              <w:right w:w="40" w:type="dxa"/>
            </w:tcMar>
          </w:tcPr>
          <w:p w14:paraId="6DE3FD8F" w14:textId="7CCEF2D0" w:rsidR="00560D81" w:rsidRPr="0040534B" w:rsidRDefault="00560D81" w:rsidP="002F115A">
            <w:pPr>
              <w:pStyle w:val="TableText0"/>
              <w:keepNext w:val="0"/>
              <w:rPr>
                <w:bCs w:val="0"/>
                <w:szCs w:val="20"/>
              </w:rPr>
            </w:pPr>
            <w:r w:rsidRPr="0040534B">
              <w:rPr>
                <w:b/>
                <w:bCs w:val="0"/>
              </w:rPr>
              <w:t>Galcanezumab vs placebo</w:t>
            </w:r>
          </w:p>
        </w:tc>
      </w:tr>
      <w:tr w:rsidR="00CB56D9" w:rsidRPr="0040534B" w14:paraId="7CDAADAD" w14:textId="77777777" w:rsidTr="00CB56D9">
        <w:trPr>
          <w:jc w:val="center"/>
        </w:trPr>
        <w:tc>
          <w:tcPr>
            <w:tcW w:w="4190" w:type="pct"/>
            <w:gridSpan w:val="5"/>
            <w:tcMar>
              <w:left w:w="40" w:type="dxa"/>
              <w:right w:w="40" w:type="dxa"/>
            </w:tcMar>
          </w:tcPr>
          <w:p w14:paraId="57BA41A7" w14:textId="67F0060F" w:rsidR="00CB56D9" w:rsidRPr="0040534B" w:rsidRDefault="00CB56D9" w:rsidP="00CB56D9">
            <w:pPr>
              <w:pStyle w:val="TableText0"/>
              <w:keepNext w:val="0"/>
            </w:pPr>
            <w:r w:rsidRPr="0040534B">
              <w:t xml:space="preserve">EVOLVE-1 </w:t>
            </w:r>
            <w:r w:rsidRPr="0040534B">
              <w:rPr>
                <w:i/>
                <w:iCs/>
              </w:rPr>
              <w:t>(</w:t>
            </w:r>
            <w:r w:rsidRPr="0040534B">
              <w:t>same as whole population analysis above)</w:t>
            </w:r>
          </w:p>
        </w:tc>
        <w:tc>
          <w:tcPr>
            <w:tcW w:w="810" w:type="pct"/>
            <w:tcMar>
              <w:left w:w="40" w:type="dxa"/>
              <w:right w:w="40" w:type="dxa"/>
            </w:tcMar>
            <w:vAlign w:val="center"/>
          </w:tcPr>
          <w:p w14:paraId="1F7594D0" w14:textId="2202A514" w:rsidR="00CB56D9" w:rsidRPr="0040534B" w:rsidRDefault="00CB56D9" w:rsidP="00CB56D9">
            <w:pPr>
              <w:pStyle w:val="TableText0"/>
              <w:keepNext w:val="0"/>
              <w:jc w:val="center"/>
              <w:rPr>
                <w:bCs w:val="0"/>
                <w:szCs w:val="20"/>
              </w:rPr>
            </w:pPr>
            <w:r w:rsidRPr="0040534B">
              <w:rPr>
                <w:b/>
                <w:bCs w:val="0"/>
                <w:szCs w:val="20"/>
              </w:rPr>
              <w:t>-1.90 (-2.61, -1.19)</w:t>
            </w:r>
          </w:p>
        </w:tc>
      </w:tr>
      <w:tr w:rsidR="00CB56D9" w:rsidRPr="0040534B" w14:paraId="4C2FD853" w14:textId="77777777" w:rsidTr="00CB56D9">
        <w:trPr>
          <w:jc w:val="center"/>
        </w:trPr>
        <w:tc>
          <w:tcPr>
            <w:tcW w:w="4190" w:type="pct"/>
            <w:gridSpan w:val="5"/>
            <w:tcMar>
              <w:left w:w="40" w:type="dxa"/>
              <w:right w:w="40" w:type="dxa"/>
            </w:tcMar>
          </w:tcPr>
          <w:p w14:paraId="497E827F" w14:textId="0250ABE6" w:rsidR="00CB56D9" w:rsidRPr="0040534B" w:rsidRDefault="00CB56D9" w:rsidP="00CB56D9">
            <w:pPr>
              <w:pStyle w:val="TableText0"/>
              <w:keepNext w:val="0"/>
            </w:pPr>
            <w:r w:rsidRPr="0040534B">
              <w:t>EVOLVE-2 (same as whole population analysis above)</w:t>
            </w:r>
          </w:p>
        </w:tc>
        <w:tc>
          <w:tcPr>
            <w:tcW w:w="810" w:type="pct"/>
            <w:tcMar>
              <w:left w:w="40" w:type="dxa"/>
              <w:right w:w="40" w:type="dxa"/>
            </w:tcMar>
            <w:vAlign w:val="center"/>
          </w:tcPr>
          <w:p w14:paraId="15612E09" w14:textId="5A83C682" w:rsidR="00CB56D9" w:rsidRPr="0040534B" w:rsidRDefault="00CB56D9" w:rsidP="00CB56D9">
            <w:pPr>
              <w:pStyle w:val="TableText0"/>
              <w:keepNext w:val="0"/>
              <w:jc w:val="center"/>
              <w:rPr>
                <w:bCs w:val="0"/>
                <w:szCs w:val="20"/>
              </w:rPr>
            </w:pPr>
            <w:r w:rsidRPr="0040534B">
              <w:rPr>
                <w:b/>
                <w:bCs w:val="0"/>
                <w:szCs w:val="20"/>
              </w:rPr>
              <w:t>-2.00 (-2.71, -1.29)</w:t>
            </w:r>
          </w:p>
        </w:tc>
      </w:tr>
      <w:tr w:rsidR="00F478FB" w:rsidRPr="0040534B" w14:paraId="37C42356" w14:textId="77777777" w:rsidTr="00233388">
        <w:trPr>
          <w:jc w:val="center"/>
        </w:trPr>
        <w:tc>
          <w:tcPr>
            <w:tcW w:w="765" w:type="pct"/>
            <w:tcMar>
              <w:left w:w="40" w:type="dxa"/>
              <w:right w:w="40" w:type="dxa"/>
            </w:tcMar>
            <w:vAlign w:val="center"/>
          </w:tcPr>
          <w:p w14:paraId="5A3F2D5C" w14:textId="77777777" w:rsidR="00560D81" w:rsidRPr="0040534B" w:rsidRDefault="00560D81" w:rsidP="002F115A">
            <w:pPr>
              <w:pStyle w:val="TableText0"/>
              <w:keepNext w:val="0"/>
            </w:pPr>
            <w:r w:rsidRPr="0040534B">
              <w:t>CONQUER</w:t>
            </w:r>
          </w:p>
          <w:p w14:paraId="7659AC61" w14:textId="44BC1B95" w:rsidR="00560D81" w:rsidRPr="0040534B" w:rsidRDefault="00560D81" w:rsidP="002F115A">
            <w:pPr>
              <w:pStyle w:val="TableText0"/>
              <w:keepNext w:val="0"/>
            </w:pPr>
            <w:r w:rsidRPr="0040534B">
              <w:t>(EM subgroup)</w:t>
            </w:r>
          </w:p>
        </w:tc>
        <w:tc>
          <w:tcPr>
            <w:tcW w:w="1097" w:type="pct"/>
            <w:tcMar>
              <w:left w:w="40" w:type="dxa"/>
              <w:right w:w="40" w:type="dxa"/>
            </w:tcMar>
            <w:vAlign w:val="center"/>
          </w:tcPr>
          <w:p w14:paraId="6936F34E" w14:textId="03546892" w:rsidR="00560D81" w:rsidRPr="0040534B" w:rsidRDefault="00560D81" w:rsidP="002F115A">
            <w:pPr>
              <w:pStyle w:val="TableText0"/>
              <w:keepNext w:val="0"/>
            </w:pPr>
            <w:r w:rsidRPr="0040534B">
              <w:t>GAL 120</w:t>
            </w:r>
            <w:r w:rsidR="006F04A7" w:rsidRPr="0040534B">
              <w:t xml:space="preserve"> </w:t>
            </w:r>
            <w:r w:rsidRPr="0040534B">
              <w:t>mg vs. PBO</w:t>
            </w:r>
          </w:p>
        </w:tc>
        <w:tc>
          <w:tcPr>
            <w:tcW w:w="731" w:type="pct"/>
            <w:tcMar>
              <w:left w:w="40" w:type="dxa"/>
              <w:right w:w="40" w:type="dxa"/>
            </w:tcMar>
            <w:vAlign w:val="center"/>
          </w:tcPr>
          <w:p w14:paraId="7C20F117" w14:textId="2AA0FAC7" w:rsidR="00560D81" w:rsidRPr="0040534B" w:rsidRDefault="00560D81" w:rsidP="002F115A">
            <w:pPr>
              <w:pStyle w:val="TableText0"/>
              <w:keepNext w:val="0"/>
              <w:jc w:val="center"/>
            </w:pPr>
            <w:r w:rsidRPr="0040534B">
              <w:t>-</w:t>
            </w:r>
          </w:p>
        </w:tc>
        <w:tc>
          <w:tcPr>
            <w:tcW w:w="798" w:type="pct"/>
            <w:tcMar>
              <w:left w:w="40" w:type="dxa"/>
              <w:right w:w="40" w:type="dxa"/>
            </w:tcMar>
            <w:vAlign w:val="center"/>
          </w:tcPr>
          <w:p w14:paraId="7CC175BD" w14:textId="77777777" w:rsidR="00560D81" w:rsidRPr="0040534B" w:rsidRDefault="00560D81" w:rsidP="002F115A">
            <w:pPr>
              <w:pStyle w:val="TableText0"/>
              <w:keepNext w:val="0"/>
              <w:jc w:val="center"/>
            </w:pPr>
            <w:r w:rsidRPr="0040534B">
              <w:t>N = 132</w:t>
            </w:r>
          </w:p>
          <w:p w14:paraId="16CE05EE" w14:textId="60C3F72D" w:rsidR="00560D81" w:rsidRPr="0040534B" w:rsidRDefault="00560D81" w:rsidP="002F115A">
            <w:pPr>
              <w:pStyle w:val="TableText0"/>
              <w:keepNext w:val="0"/>
              <w:jc w:val="center"/>
              <w:rPr>
                <w:i/>
                <w:iCs/>
                <w:sz w:val="18"/>
                <w:szCs w:val="22"/>
              </w:rPr>
            </w:pPr>
            <w:r w:rsidRPr="0040534B">
              <w:t xml:space="preserve">-0.3 (SD: 3.4) </w:t>
            </w:r>
            <w:r w:rsidRPr="0040534B">
              <w:rPr>
                <w:i/>
                <w:iCs/>
                <w:sz w:val="18"/>
                <w:szCs w:val="22"/>
              </w:rPr>
              <w:t>[0.3]</w:t>
            </w:r>
          </w:p>
        </w:tc>
        <w:tc>
          <w:tcPr>
            <w:tcW w:w="799" w:type="pct"/>
            <w:tcMar>
              <w:left w:w="40" w:type="dxa"/>
              <w:right w:w="40" w:type="dxa"/>
            </w:tcMar>
            <w:vAlign w:val="center"/>
          </w:tcPr>
          <w:p w14:paraId="2A6F5BF7" w14:textId="77777777" w:rsidR="00560D81" w:rsidRPr="0040534B" w:rsidRDefault="00560D81" w:rsidP="002F115A">
            <w:pPr>
              <w:pStyle w:val="TableText0"/>
              <w:keepNext w:val="0"/>
              <w:jc w:val="center"/>
            </w:pPr>
            <w:r w:rsidRPr="0040534B">
              <w:t>N = 137</w:t>
            </w:r>
          </w:p>
          <w:p w14:paraId="78D2F541" w14:textId="3E7C8656" w:rsidR="00560D81" w:rsidRPr="0040534B" w:rsidRDefault="00560D81" w:rsidP="002F115A">
            <w:pPr>
              <w:pStyle w:val="TableText0"/>
              <w:keepNext w:val="0"/>
              <w:jc w:val="center"/>
              <w:rPr>
                <w:i/>
                <w:iCs/>
              </w:rPr>
            </w:pPr>
            <w:r w:rsidRPr="0040534B">
              <w:t xml:space="preserve">-2.9 (SD: 3.5) </w:t>
            </w:r>
            <w:r w:rsidRPr="0040534B">
              <w:rPr>
                <w:i/>
                <w:iCs/>
              </w:rPr>
              <w:t>[</w:t>
            </w:r>
            <w:r w:rsidR="00A7549D" w:rsidRPr="0040534B">
              <w:rPr>
                <w:i/>
                <w:iCs/>
              </w:rPr>
              <w:t>0.3]</w:t>
            </w:r>
          </w:p>
        </w:tc>
        <w:tc>
          <w:tcPr>
            <w:tcW w:w="810" w:type="pct"/>
            <w:tcMar>
              <w:left w:w="40" w:type="dxa"/>
              <w:right w:w="40" w:type="dxa"/>
            </w:tcMar>
            <w:vAlign w:val="center"/>
          </w:tcPr>
          <w:p w14:paraId="17E9EF1B" w14:textId="77777777" w:rsidR="00560D81" w:rsidRPr="0040534B" w:rsidRDefault="00560D81" w:rsidP="002F115A">
            <w:pPr>
              <w:pStyle w:val="TableText0"/>
              <w:keepNext w:val="0"/>
              <w:jc w:val="center"/>
              <w:rPr>
                <w:b/>
                <w:bCs w:val="0"/>
                <w:szCs w:val="20"/>
              </w:rPr>
            </w:pPr>
            <w:r w:rsidRPr="0040534B">
              <w:rPr>
                <w:b/>
                <w:bCs w:val="0"/>
                <w:szCs w:val="20"/>
              </w:rPr>
              <w:t>-3.10 (-3.93, -2.27)</w:t>
            </w:r>
          </w:p>
          <w:p w14:paraId="5017AFE7" w14:textId="793910F5" w:rsidR="00A7549D" w:rsidRPr="0040534B" w:rsidRDefault="00A7549D" w:rsidP="002F115A">
            <w:pPr>
              <w:pStyle w:val="TableText0"/>
              <w:keepNext w:val="0"/>
              <w:jc w:val="center"/>
              <w:rPr>
                <w:bCs w:val="0"/>
                <w:i/>
                <w:iCs/>
                <w:szCs w:val="20"/>
              </w:rPr>
            </w:pPr>
            <w:r w:rsidRPr="0040534B">
              <w:rPr>
                <w:b/>
                <w:bCs w:val="0"/>
                <w:i/>
                <w:iCs/>
                <w:szCs w:val="20"/>
              </w:rPr>
              <w:t>-2.60 (-3.43, -1.77)</w:t>
            </w:r>
          </w:p>
        </w:tc>
      </w:tr>
      <w:tr w:rsidR="00CB56D9" w:rsidRPr="0040534B" w14:paraId="7840E6C3" w14:textId="77777777" w:rsidTr="00CB56D9">
        <w:trPr>
          <w:jc w:val="center"/>
        </w:trPr>
        <w:tc>
          <w:tcPr>
            <w:tcW w:w="4190" w:type="pct"/>
            <w:gridSpan w:val="5"/>
            <w:tcMar>
              <w:left w:w="40" w:type="dxa"/>
              <w:right w:w="40" w:type="dxa"/>
            </w:tcMar>
          </w:tcPr>
          <w:p w14:paraId="41CB0BAC" w14:textId="73B7D94E" w:rsidR="00CB56D9" w:rsidRPr="0040534B" w:rsidRDefault="00CB56D9" w:rsidP="00CB56D9">
            <w:pPr>
              <w:pStyle w:val="TableText0"/>
              <w:keepNext w:val="0"/>
            </w:pPr>
            <w:r w:rsidRPr="0040534B">
              <w:t>PERSIST (same as whole population analysis above)</w:t>
            </w:r>
          </w:p>
        </w:tc>
        <w:tc>
          <w:tcPr>
            <w:tcW w:w="810" w:type="pct"/>
            <w:tcMar>
              <w:left w:w="40" w:type="dxa"/>
              <w:right w:w="40" w:type="dxa"/>
            </w:tcMar>
            <w:vAlign w:val="center"/>
          </w:tcPr>
          <w:p w14:paraId="258B9E34" w14:textId="7F201B05" w:rsidR="00CB56D9" w:rsidRPr="0040534B" w:rsidRDefault="00CB56D9" w:rsidP="00CB56D9">
            <w:pPr>
              <w:pStyle w:val="TableText0"/>
              <w:keepNext w:val="0"/>
              <w:jc w:val="center"/>
              <w:rPr>
                <w:bCs w:val="0"/>
                <w:szCs w:val="20"/>
              </w:rPr>
            </w:pPr>
            <w:r w:rsidRPr="0040534B">
              <w:rPr>
                <w:b/>
                <w:bCs w:val="0"/>
                <w:szCs w:val="20"/>
              </w:rPr>
              <w:t>-1.80 (-2.35, -1.25)</w:t>
            </w:r>
            <w:r w:rsidRPr="0040534B">
              <w:rPr>
                <w:b/>
                <w:bCs w:val="0"/>
              </w:rPr>
              <w:t xml:space="preserve"> </w:t>
            </w:r>
          </w:p>
        </w:tc>
      </w:tr>
      <w:tr w:rsidR="00CB56D9" w:rsidRPr="0040534B" w14:paraId="440484C3" w14:textId="77777777" w:rsidTr="00CB56D9">
        <w:trPr>
          <w:jc w:val="center"/>
        </w:trPr>
        <w:tc>
          <w:tcPr>
            <w:tcW w:w="4190" w:type="pct"/>
            <w:gridSpan w:val="5"/>
            <w:tcMar>
              <w:left w:w="40" w:type="dxa"/>
              <w:right w:w="40" w:type="dxa"/>
            </w:tcMar>
          </w:tcPr>
          <w:p w14:paraId="074DC65C" w14:textId="06154010" w:rsidR="00CB56D9" w:rsidRPr="0040534B" w:rsidRDefault="00CB56D9" w:rsidP="00CB56D9">
            <w:pPr>
              <w:pStyle w:val="TableText0"/>
              <w:keepNext w:val="0"/>
            </w:pPr>
            <w:r w:rsidRPr="0040534B">
              <w:t xml:space="preserve">NCT02959177 </w:t>
            </w:r>
            <w:r w:rsidRPr="0040534B">
              <w:rPr>
                <w:i/>
                <w:iCs/>
              </w:rPr>
              <w:t>(</w:t>
            </w:r>
            <w:r w:rsidRPr="0040534B">
              <w:t>same as whole population analysis above)</w:t>
            </w:r>
          </w:p>
        </w:tc>
        <w:tc>
          <w:tcPr>
            <w:tcW w:w="810" w:type="pct"/>
            <w:tcMar>
              <w:left w:w="40" w:type="dxa"/>
              <w:right w:w="40" w:type="dxa"/>
            </w:tcMar>
            <w:vAlign w:val="center"/>
          </w:tcPr>
          <w:p w14:paraId="4DBF6EA5" w14:textId="0DB995EA" w:rsidR="00CB56D9" w:rsidRPr="0040534B" w:rsidRDefault="00CB56D9" w:rsidP="00CB56D9">
            <w:pPr>
              <w:pStyle w:val="TableText0"/>
              <w:keepNext w:val="0"/>
              <w:jc w:val="center"/>
              <w:rPr>
                <w:bCs w:val="0"/>
                <w:szCs w:val="20"/>
              </w:rPr>
            </w:pPr>
            <w:r w:rsidRPr="0040534B">
              <w:rPr>
                <w:b/>
                <w:bCs w:val="0"/>
                <w:szCs w:val="20"/>
              </w:rPr>
              <w:t>3.01 (-3.80, -2.22)</w:t>
            </w:r>
          </w:p>
        </w:tc>
      </w:tr>
      <w:tr w:rsidR="00560D81" w:rsidRPr="0040534B" w14:paraId="6B1B55ED" w14:textId="77777777" w:rsidTr="00233388">
        <w:trPr>
          <w:jc w:val="center"/>
        </w:trPr>
        <w:tc>
          <w:tcPr>
            <w:tcW w:w="4190" w:type="pct"/>
            <w:gridSpan w:val="5"/>
            <w:tcMar>
              <w:left w:w="40" w:type="dxa"/>
              <w:right w:w="40" w:type="dxa"/>
            </w:tcMar>
          </w:tcPr>
          <w:p w14:paraId="3B56845F" w14:textId="46BCDD59" w:rsidR="00560D81" w:rsidRPr="0040534B" w:rsidRDefault="00560D81" w:rsidP="002F115A">
            <w:pPr>
              <w:pStyle w:val="TableText0"/>
              <w:keepNext w:val="0"/>
            </w:pPr>
            <w:r w:rsidRPr="0040534B">
              <w:t>Pooled galcanezumab (I</w:t>
            </w:r>
            <w:r w:rsidRPr="0040534B">
              <w:rPr>
                <w:vertAlign w:val="superscript"/>
              </w:rPr>
              <w:t xml:space="preserve">2 </w:t>
            </w:r>
            <w:r w:rsidRPr="0040534B">
              <w:t>= 49%; p = 0.10)</w:t>
            </w:r>
          </w:p>
        </w:tc>
        <w:tc>
          <w:tcPr>
            <w:tcW w:w="810" w:type="pct"/>
            <w:tcMar>
              <w:left w:w="40" w:type="dxa"/>
              <w:right w:w="40" w:type="dxa"/>
            </w:tcMar>
            <w:vAlign w:val="center"/>
          </w:tcPr>
          <w:p w14:paraId="01210722" w14:textId="56847DF7" w:rsidR="00560D81" w:rsidRPr="0040534B" w:rsidRDefault="00560D81" w:rsidP="002F115A">
            <w:pPr>
              <w:pStyle w:val="TableText0"/>
              <w:keepNext w:val="0"/>
              <w:jc w:val="center"/>
              <w:rPr>
                <w:bCs w:val="0"/>
                <w:szCs w:val="20"/>
              </w:rPr>
            </w:pPr>
            <w:r w:rsidRPr="0040534B">
              <w:rPr>
                <w:b/>
                <w:bCs w:val="0"/>
              </w:rPr>
              <w:t>-2.21 (-2.66, -1.77)</w:t>
            </w:r>
          </w:p>
        </w:tc>
      </w:tr>
      <w:tr w:rsidR="00A7549D" w:rsidRPr="0040534B" w14:paraId="4BF0D706" w14:textId="77777777" w:rsidTr="00233388">
        <w:trPr>
          <w:jc w:val="center"/>
        </w:trPr>
        <w:tc>
          <w:tcPr>
            <w:tcW w:w="5000" w:type="pct"/>
            <w:gridSpan w:val="6"/>
            <w:tcMar>
              <w:left w:w="40" w:type="dxa"/>
              <w:right w:w="40" w:type="dxa"/>
            </w:tcMar>
          </w:tcPr>
          <w:p w14:paraId="7691A195" w14:textId="6DC2A011" w:rsidR="00A7549D" w:rsidRPr="0040534B" w:rsidRDefault="00A7549D" w:rsidP="002F115A">
            <w:pPr>
              <w:pStyle w:val="TableText0"/>
              <w:keepNext w:val="0"/>
              <w:rPr>
                <w:b/>
                <w:szCs w:val="20"/>
              </w:rPr>
            </w:pPr>
            <w:r w:rsidRPr="0040534B">
              <w:rPr>
                <w:b/>
                <w:szCs w:val="20"/>
              </w:rPr>
              <w:t>Fremanezumab vs placebo</w:t>
            </w:r>
          </w:p>
        </w:tc>
      </w:tr>
      <w:tr w:rsidR="00A7549D" w:rsidRPr="0040534B" w14:paraId="4FE276F3" w14:textId="77777777" w:rsidTr="00233388">
        <w:trPr>
          <w:jc w:val="center"/>
        </w:trPr>
        <w:tc>
          <w:tcPr>
            <w:tcW w:w="4190" w:type="pct"/>
            <w:gridSpan w:val="5"/>
            <w:tcMar>
              <w:left w:w="40" w:type="dxa"/>
              <w:right w:w="40" w:type="dxa"/>
            </w:tcMar>
          </w:tcPr>
          <w:p w14:paraId="0A91BFE3" w14:textId="4111F97B" w:rsidR="00A7549D" w:rsidRPr="0040534B" w:rsidRDefault="00A7549D" w:rsidP="002F115A">
            <w:pPr>
              <w:pStyle w:val="TableText0"/>
              <w:keepNext w:val="0"/>
            </w:pPr>
            <w:r w:rsidRPr="0040534B">
              <w:t xml:space="preserve">HALO-EM </w:t>
            </w:r>
            <w:r w:rsidRPr="0040534B">
              <w:rPr>
                <w:i/>
                <w:iCs/>
              </w:rPr>
              <w:t>(</w:t>
            </w:r>
            <w:r w:rsidRPr="0040534B">
              <w:t>same as whole population analysis above)</w:t>
            </w:r>
          </w:p>
        </w:tc>
        <w:tc>
          <w:tcPr>
            <w:tcW w:w="810" w:type="pct"/>
            <w:tcMar>
              <w:left w:w="40" w:type="dxa"/>
              <w:right w:w="40" w:type="dxa"/>
            </w:tcMar>
          </w:tcPr>
          <w:p w14:paraId="147B0E5B" w14:textId="0A28769D" w:rsidR="00A7549D" w:rsidRPr="0040534B" w:rsidRDefault="00CB56D9" w:rsidP="002F115A">
            <w:pPr>
              <w:pStyle w:val="TableText0"/>
              <w:keepNext w:val="0"/>
              <w:jc w:val="center"/>
              <w:rPr>
                <w:bCs w:val="0"/>
                <w:szCs w:val="20"/>
              </w:rPr>
            </w:pPr>
            <w:r w:rsidRPr="0040534B">
              <w:rPr>
                <w:szCs w:val="20"/>
              </w:rPr>
              <w:t>-</w:t>
            </w:r>
            <w:r w:rsidRPr="0040534B">
              <w:rPr>
                <w:b/>
                <w:bCs w:val="0"/>
                <w:szCs w:val="20"/>
              </w:rPr>
              <w:t>1.50 (-2.19, -0.81)</w:t>
            </w:r>
          </w:p>
        </w:tc>
      </w:tr>
      <w:tr w:rsidR="00A7549D" w:rsidRPr="0040534B" w14:paraId="42FC711C" w14:textId="77777777" w:rsidTr="00233388">
        <w:trPr>
          <w:jc w:val="center"/>
        </w:trPr>
        <w:tc>
          <w:tcPr>
            <w:tcW w:w="4190" w:type="pct"/>
            <w:gridSpan w:val="5"/>
            <w:tcBorders>
              <w:bottom w:val="single" w:sz="4" w:space="0" w:color="auto"/>
            </w:tcBorders>
            <w:tcMar>
              <w:left w:w="40" w:type="dxa"/>
              <w:right w:w="40" w:type="dxa"/>
            </w:tcMar>
            <w:vAlign w:val="center"/>
          </w:tcPr>
          <w:p w14:paraId="634B265E" w14:textId="5C771066" w:rsidR="00A7549D" w:rsidRPr="0040534B" w:rsidRDefault="00A7549D" w:rsidP="002F115A">
            <w:pPr>
              <w:pStyle w:val="TableText0"/>
              <w:keepNext w:val="0"/>
            </w:pPr>
            <w:r w:rsidRPr="0040534B">
              <w:t>NCT03303092 (same as whole population analysis above)</w:t>
            </w:r>
          </w:p>
        </w:tc>
        <w:tc>
          <w:tcPr>
            <w:tcW w:w="810" w:type="pct"/>
            <w:tcBorders>
              <w:bottom w:val="single" w:sz="4" w:space="0" w:color="auto"/>
            </w:tcBorders>
            <w:tcMar>
              <w:left w:w="40" w:type="dxa"/>
              <w:right w:w="40" w:type="dxa"/>
            </w:tcMar>
          </w:tcPr>
          <w:p w14:paraId="550BDBCF" w14:textId="5CF3EB65" w:rsidR="00A7549D" w:rsidRPr="0040534B" w:rsidRDefault="00CB56D9" w:rsidP="002F115A">
            <w:pPr>
              <w:pStyle w:val="TableText0"/>
              <w:keepNext w:val="0"/>
              <w:jc w:val="center"/>
              <w:rPr>
                <w:bCs w:val="0"/>
                <w:szCs w:val="20"/>
              </w:rPr>
            </w:pPr>
            <w:r w:rsidRPr="0040534B">
              <w:rPr>
                <w:b/>
                <w:bCs w:val="0"/>
              </w:rPr>
              <w:t>-3.00 (-4.11, -1.89)</w:t>
            </w:r>
          </w:p>
        </w:tc>
      </w:tr>
      <w:tr w:rsidR="00A7549D" w:rsidRPr="0040534B" w14:paraId="378E5533" w14:textId="77777777" w:rsidTr="00233388">
        <w:trPr>
          <w:jc w:val="center"/>
        </w:trPr>
        <w:tc>
          <w:tcPr>
            <w:tcW w:w="4190" w:type="pct"/>
            <w:gridSpan w:val="5"/>
            <w:tcBorders>
              <w:bottom w:val="single" w:sz="12" w:space="0" w:color="auto"/>
            </w:tcBorders>
            <w:tcMar>
              <w:left w:w="40" w:type="dxa"/>
              <w:right w:w="40" w:type="dxa"/>
            </w:tcMar>
            <w:vAlign w:val="center"/>
          </w:tcPr>
          <w:p w14:paraId="77C0AFC9" w14:textId="78441201" w:rsidR="00A7549D" w:rsidRPr="0040534B" w:rsidRDefault="00A7549D" w:rsidP="002F115A">
            <w:pPr>
              <w:pStyle w:val="TableText0"/>
              <w:keepNext w:val="0"/>
            </w:pPr>
            <w:r w:rsidRPr="0040534B">
              <w:t>Pooled fremanezumab (</w:t>
            </w:r>
            <w:r w:rsidRPr="0040534B">
              <w:rPr>
                <w:b/>
                <w:bCs w:val="0"/>
              </w:rPr>
              <w:t>I</w:t>
            </w:r>
            <w:r w:rsidRPr="0040534B">
              <w:rPr>
                <w:b/>
                <w:bCs w:val="0"/>
                <w:vertAlign w:val="superscript"/>
              </w:rPr>
              <w:t xml:space="preserve">2 </w:t>
            </w:r>
            <w:r w:rsidRPr="0040534B">
              <w:rPr>
                <w:b/>
                <w:bCs w:val="0"/>
              </w:rPr>
              <w:t>= 80%; p = 0.02)</w:t>
            </w:r>
          </w:p>
        </w:tc>
        <w:tc>
          <w:tcPr>
            <w:tcW w:w="810" w:type="pct"/>
            <w:tcBorders>
              <w:bottom w:val="single" w:sz="12" w:space="0" w:color="auto"/>
            </w:tcBorders>
            <w:tcMar>
              <w:left w:w="40" w:type="dxa"/>
              <w:right w:w="40" w:type="dxa"/>
            </w:tcMar>
            <w:vAlign w:val="center"/>
          </w:tcPr>
          <w:p w14:paraId="6673B476" w14:textId="77777777" w:rsidR="00A7549D" w:rsidRPr="0040534B" w:rsidRDefault="00A7549D" w:rsidP="002F115A">
            <w:pPr>
              <w:pStyle w:val="TableText0"/>
              <w:keepNext w:val="0"/>
              <w:jc w:val="center"/>
              <w:rPr>
                <w:b/>
                <w:szCs w:val="20"/>
              </w:rPr>
            </w:pPr>
            <w:r w:rsidRPr="0040534B">
              <w:rPr>
                <w:b/>
                <w:szCs w:val="20"/>
              </w:rPr>
              <w:t>-2.64 (-3.97, -1.30)</w:t>
            </w:r>
          </w:p>
          <w:p w14:paraId="3624A9AE" w14:textId="7FDEF5B2" w:rsidR="00A7549D" w:rsidRPr="0040534B" w:rsidRDefault="00A7549D" w:rsidP="002F115A">
            <w:pPr>
              <w:pStyle w:val="TableText0"/>
              <w:keepNext w:val="0"/>
              <w:jc w:val="center"/>
              <w:rPr>
                <w:bCs w:val="0"/>
                <w:szCs w:val="20"/>
              </w:rPr>
            </w:pPr>
            <w:r w:rsidRPr="0040534B">
              <w:rPr>
                <w:b/>
                <w:bCs w:val="0"/>
                <w:i/>
                <w:iCs/>
              </w:rPr>
              <w:t>-2.18 (-3.65, -0.72)</w:t>
            </w:r>
          </w:p>
        </w:tc>
      </w:tr>
      <w:tr w:rsidR="00A7549D" w:rsidRPr="0040534B" w14:paraId="722B5EC0" w14:textId="77777777" w:rsidTr="00233388">
        <w:trPr>
          <w:jc w:val="center"/>
        </w:trPr>
        <w:tc>
          <w:tcPr>
            <w:tcW w:w="4190" w:type="pct"/>
            <w:gridSpan w:val="5"/>
            <w:tcBorders>
              <w:top w:val="single" w:sz="12" w:space="0" w:color="auto"/>
            </w:tcBorders>
            <w:tcMar>
              <w:left w:w="40" w:type="dxa"/>
              <w:right w:w="40" w:type="dxa"/>
            </w:tcMar>
            <w:vAlign w:val="center"/>
          </w:tcPr>
          <w:p w14:paraId="245F5EF6" w14:textId="3DBB153C" w:rsidR="00A7549D" w:rsidRPr="0040534B" w:rsidRDefault="00A7549D" w:rsidP="002F115A">
            <w:pPr>
              <w:pStyle w:val="TableText0"/>
              <w:keepNext w:val="0"/>
            </w:pPr>
            <w:r w:rsidRPr="0040534B">
              <w:t>Atogepant vs galcanezumab (95% CI)</w:t>
            </w:r>
          </w:p>
        </w:tc>
        <w:tc>
          <w:tcPr>
            <w:tcW w:w="810" w:type="pct"/>
            <w:tcBorders>
              <w:top w:val="single" w:sz="12" w:space="0" w:color="auto"/>
            </w:tcBorders>
            <w:tcMar>
              <w:left w:w="40" w:type="dxa"/>
              <w:right w:w="40" w:type="dxa"/>
            </w:tcMar>
            <w:vAlign w:val="center"/>
          </w:tcPr>
          <w:p w14:paraId="79CABFC2" w14:textId="4D2A80A7" w:rsidR="00A7549D" w:rsidRPr="0040534B" w:rsidRDefault="00A7549D" w:rsidP="002F115A">
            <w:pPr>
              <w:pStyle w:val="TableText0"/>
              <w:keepNext w:val="0"/>
              <w:jc w:val="center"/>
              <w:rPr>
                <w:b/>
                <w:szCs w:val="20"/>
              </w:rPr>
            </w:pPr>
            <w:r w:rsidRPr="0040534B">
              <w:rPr>
                <w:szCs w:val="20"/>
              </w:rPr>
              <w:t>0.96 (-0.25, 2.17)</w:t>
            </w:r>
          </w:p>
        </w:tc>
      </w:tr>
      <w:tr w:rsidR="00A7549D" w:rsidRPr="0040534B" w14:paraId="7F399FCD" w14:textId="77777777" w:rsidTr="00233388">
        <w:trPr>
          <w:jc w:val="center"/>
        </w:trPr>
        <w:tc>
          <w:tcPr>
            <w:tcW w:w="4190" w:type="pct"/>
            <w:gridSpan w:val="5"/>
            <w:tcMar>
              <w:left w:w="40" w:type="dxa"/>
              <w:right w:w="40" w:type="dxa"/>
            </w:tcMar>
            <w:vAlign w:val="center"/>
          </w:tcPr>
          <w:p w14:paraId="5065913D" w14:textId="7296690C" w:rsidR="00A7549D" w:rsidRPr="0040534B" w:rsidRDefault="00A7549D" w:rsidP="002F115A">
            <w:pPr>
              <w:pStyle w:val="TableText0"/>
              <w:keepNext w:val="0"/>
            </w:pPr>
            <w:r w:rsidRPr="0040534B">
              <w:lastRenderedPageBreak/>
              <w:t>Atogepant vs fremanezumab excluding FOCUS trial (95% CI)</w:t>
            </w:r>
          </w:p>
        </w:tc>
        <w:tc>
          <w:tcPr>
            <w:tcW w:w="810" w:type="pct"/>
            <w:tcMar>
              <w:left w:w="40" w:type="dxa"/>
              <w:right w:w="40" w:type="dxa"/>
            </w:tcMar>
            <w:vAlign w:val="center"/>
          </w:tcPr>
          <w:p w14:paraId="1D988BEF" w14:textId="77777777" w:rsidR="00A7549D" w:rsidRPr="0040534B" w:rsidRDefault="00A7549D" w:rsidP="002F115A">
            <w:pPr>
              <w:pStyle w:val="TableText0"/>
              <w:keepNext w:val="0"/>
              <w:jc w:val="center"/>
              <w:rPr>
                <w:bCs w:val="0"/>
              </w:rPr>
            </w:pPr>
            <w:r w:rsidRPr="0040534B">
              <w:rPr>
                <w:bCs w:val="0"/>
              </w:rPr>
              <w:t>1.39 (-0.35, 3.13)</w:t>
            </w:r>
          </w:p>
          <w:p w14:paraId="6381A23B" w14:textId="08CF9374" w:rsidR="00A7549D" w:rsidRPr="0040534B" w:rsidRDefault="00A7549D" w:rsidP="002F115A">
            <w:pPr>
              <w:pStyle w:val="TableText0"/>
              <w:keepNext w:val="0"/>
              <w:jc w:val="center"/>
              <w:rPr>
                <w:bCs w:val="0"/>
                <w:i/>
                <w:iCs/>
                <w:szCs w:val="20"/>
              </w:rPr>
            </w:pPr>
            <w:r w:rsidRPr="0040534B">
              <w:rPr>
                <w:bCs w:val="0"/>
                <w:i/>
                <w:iCs/>
              </w:rPr>
              <w:t>0.93 (-0.84, 2.70)</w:t>
            </w:r>
          </w:p>
        </w:tc>
      </w:tr>
    </w:tbl>
    <w:p w14:paraId="4D220090" w14:textId="2A44FF73" w:rsidR="00F03CD4" w:rsidRPr="0040534B" w:rsidRDefault="00F03CD4" w:rsidP="002F115A">
      <w:pPr>
        <w:pStyle w:val="FooterTableFigure"/>
      </w:pPr>
      <w:r w:rsidRPr="0040534B">
        <w:t>Source: Tables 2-28</w:t>
      </w:r>
      <w:r w:rsidR="009C264E" w:rsidRPr="0040534B">
        <w:t>,</w:t>
      </w:r>
      <w:r w:rsidRPr="0040534B">
        <w:t xml:space="preserve"> 2-45</w:t>
      </w:r>
      <w:r w:rsidR="009C264E" w:rsidRPr="0040534B">
        <w:t xml:space="preserve"> &amp; 2-49</w:t>
      </w:r>
      <w:r w:rsidRPr="0040534B">
        <w:t>, pp96</w:t>
      </w:r>
      <w:r w:rsidR="009C264E" w:rsidRPr="0040534B">
        <w:t>,</w:t>
      </w:r>
      <w:r w:rsidRPr="0040534B">
        <w:t xml:space="preserve"> 142</w:t>
      </w:r>
      <w:r w:rsidR="009C264E" w:rsidRPr="0040534B">
        <w:t xml:space="preserve"> &amp; 147</w:t>
      </w:r>
      <w:r w:rsidRPr="0040534B">
        <w:t xml:space="preserve"> of the submission, Figure</w:t>
      </w:r>
      <w:r w:rsidR="009C264E" w:rsidRPr="0040534B">
        <w:t>s</w:t>
      </w:r>
      <w:r w:rsidRPr="0040534B">
        <w:t xml:space="preserve"> 2-13</w:t>
      </w:r>
      <w:r w:rsidR="009C264E" w:rsidRPr="0040534B">
        <w:t xml:space="preserve"> &amp; 2-14</w:t>
      </w:r>
      <w:r w:rsidRPr="0040534B">
        <w:t>, p</w:t>
      </w:r>
      <w:r w:rsidR="009C264E" w:rsidRPr="0040534B">
        <w:t>p</w:t>
      </w:r>
      <w:r w:rsidRPr="0040534B">
        <w:t>129</w:t>
      </w:r>
      <w:r w:rsidR="009C264E" w:rsidRPr="0040534B">
        <w:t xml:space="preserve"> &amp; 131</w:t>
      </w:r>
      <w:r w:rsidRPr="0040534B">
        <w:t xml:space="preserve"> of the submission.</w:t>
      </w:r>
      <w:r w:rsidRPr="0040534B">
        <w:rPr>
          <w:b/>
        </w:rPr>
        <w:t xml:space="preserve"> Bold </w:t>
      </w:r>
      <w:r w:rsidRPr="0040534B">
        <w:rPr>
          <w:bCs/>
        </w:rPr>
        <w:t>indicates statistically significant results.</w:t>
      </w:r>
      <w:r w:rsidR="00727A77" w:rsidRPr="0040534B">
        <w:rPr>
          <w:bCs/>
          <w:i/>
          <w:iCs/>
        </w:rPr>
        <w:t xml:space="preserve"> Italicised text </w:t>
      </w:r>
      <w:r w:rsidR="00A7549D" w:rsidRPr="0040534B">
        <w:rPr>
          <w:bCs/>
          <w:i/>
          <w:iCs/>
        </w:rPr>
        <w:t>based on corrected meta-analysis result</w:t>
      </w:r>
      <w:r w:rsidR="00B71C75" w:rsidRPr="0040534B">
        <w:rPr>
          <w:bCs/>
          <w:i/>
          <w:iCs/>
        </w:rPr>
        <w:t xml:space="preserve"> </w:t>
      </w:r>
      <w:r w:rsidR="00727A77" w:rsidRPr="0040534B">
        <w:rPr>
          <w:bCs/>
          <w:i/>
          <w:iCs/>
        </w:rPr>
        <w:t>added during the evaluation.</w:t>
      </w:r>
    </w:p>
    <w:p w14:paraId="2C7C7ABE" w14:textId="77777777" w:rsidR="00F03CD4" w:rsidRPr="0040534B" w:rsidRDefault="00F03CD4" w:rsidP="002F115A">
      <w:pPr>
        <w:pStyle w:val="FooterTableFigure"/>
      </w:pPr>
      <w:r w:rsidRPr="0040534B">
        <w:t xml:space="preserve">CI = confidence interval; FREM = Fremanezumab; GAL = Galcanezumab; LSM = least square mean; LSMD = least square mean difference; PBO = placebo; SD = standard deviation; SE = standard error. </w:t>
      </w:r>
    </w:p>
    <w:p w14:paraId="4E6002CC" w14:textId="747D106F" w:rsidR="00950E8B" w:rsidRPr="0040534B" w:rsidRDefault="00950E8B" w:rsidP="002F115A">
      <w:pPr>
        <w:pStyle w:val="FooterTableFigure"/>
      </w:pPr>
      <w:r w:rsidRPr="0040534B">
        <w:rPr>
          <w:vertAlign w:val="superscript"/>
        </w:rPr>
        <w:t>a</w:t>
      </w:r>
      <w:r w:rsidRPr="0040534B">
        <w:t xml:space="preserve"> included participants with chronic and episodic migraine.</w:t>
      </w:r>
    </w:p>
    <w:p w14:paraId="3E7D8A1D" w14:textId="188AA562" w:rsidR="00F03CD4" w:rsidRPr="0040534B" w:rsidRDefault="00F03CD4" w:rsidP="00517F57">
      <w:pPr>
        <w:pStyle w:val="3-BodyText"/>
      </w:pPr>
      <w:r w:rsidRPr="0040534B">
        <w:t>The indirect comparison results demonstrated no statistical difference between atogepant and galcanezumab or fremanezumab</w:t>
      </w:r>
      <w:r w:rsidR="00E34A5B" w:rsidRPr="0040534B">
        <w:t>, although t</w:t>
      </w:r>
      <w:r w:rsidRPr="0040534B">
        <w:t xml:space="preserve">he </w:t>
      </w:r>
      <w:r w:rsidR="00CB56D9" w:rsidRPr="0040534B">
        <w:t xml:space="preserve">ESC noted that the </w:t>
      </w:r>
      <w:r w:rsidRPr="0040534B">
        <w:t xml:space="preserve">point estimates of the indirect comparison results suggest that galcanezumab and fremanezumab </w:t>
      </w:r>
      <w:r w:rsidR="00CB56D9" w:rsidRPr="0040534B">
        <w:t xml:space="preserve">(corrected) </w:t>
      </w:r>
      <w:r w:rsidRPr="0040534B">
        <w:t xml:space="preserve">resulted in a greater reduction in monthly migraine days than atogepant. The </w:t>
      </w:r>
      <w:r w:rsidR="00CB56D9" w:rsidRPr="0040534B">
        <w:t xml:space="preserve">ESC noted that the </w:t>
      </w:r>
      <w:r w:rsidRPr="0040534B">
        <w:t xml:space="preserve">upper bounds of the 95% confidence intervals were greater than the non-inferiority margin of two days in the comparison between atogepant and galcanezumab and fremanezumab, suggesting that atogepant was potentially inferior to galcanezumab and fremanezumab. </w:t>
      </w:r>
      <w:r w:rsidR="00517F57" w:rsidRPr="0040534B">
        <w:t>There was a higher response with placebo in the atogepant trials compared to the galcanezumab and fremanezumab trials, suggesting there could be unobserved differences across the trials reducing transitivity.</w:t>
      </w:r>
      <w:r w:rsidR="00CB56D9" w:rsidRPr="0040534B">
        <w:t xml:space="preserve"> The PSCR stated that the higher placebo rates in the atogepant trials might have biased the results in favour of the comparators, further supporting the claim of non-inferiority. The ESC considered that differences in placebo response would be accounted for as part of the Bucher indirect comparison method.</w:t>
      </w:r>
    </w:p>
    <w:p w14:paraId="71285220" w14:textId="0B86CDDB" w:rsidR="00F03CD4" w:rsidRPr="0040534B" w:rsidRDefault="00F03CD4" w:rsidP="00F03CD4">
      <w:pPr>
        <w:pStyle w:val="3-BodyText"/>
      </w:pPr>
      <w:r w:rsidRPr="0040534B">
        <w:fldChar w:fldCharType="begin" w:fldLock="1"/>
      </w:r>
      <w:r w:rsidRPr="0040534B">
        <w:instrText xml:space="preserve"> REF _Ref133585858 \h </w:instrText>
      </w:r>
      <w:r w:rsidR="00653EEA" w:rsidRPr="0040534B">
        <w:instrText xml:space="preserve"> \* MERGEFORMAT </w:instrText>
      </w:r>
      <w:r w:rsidRPr="0040534B">
        <w:fldChar w:fldCharType="separate"/>
      </w:r>
      <w:r w:rsidR="004E201F" w:rsidRPr="0040534B">
        <w:t xml:space="preserve">Table </w:t>
      </w:r>
      <w:r w:rsidR="004E201F">
        <w:t>12</w:t>
      </w:r>
      <w:r w:rsidRPr="0040534B">
        <w:fldChar w:fldCharType="end"/>
      </w:r>
      <w:r w:rsidRPr="0040534B">
        <w:t xml:space="preserve"> presents the indirect comparison results for ≥50% reduction in monthly migraine </w:t>
      </w:r>
      <w:r w:rsidR="0037685D" w:rsidRPr="0040534B">
        <w:t xml:space="preserve">in </w:t>
      </w:r>
      <w:r w:rsidRPr="0040534B">
        <w:t xml:space="preserve">the whole populations in episodic migraine. </w:t>
      </w:r>
      <w:r w:rsidR="0037685D" w:rsidRPr="0040534B">
        <w:t xml:space="preserve">The submission did not present an indirect comparison for ≥50% reduction in monthly migraine days in the episodic migraine population/subpopulations. </w:t>
      </w:r>
      <w:r w:rsidRPr="0040534B">
        <w:t>This outcome was relied upon for the clinical claim. This outcome also aligns with the proposed continuation criteria.</w:t>
      </w:r>
    </w:p>
    <w:p w14:paraId="5C294387" w14:textId="0E5B9014" w:rsidR="00F03CD4" w:rsidRPr="0040534B" w:rsidRDefault="00F03CD4" w:rsidP="00F03CD4">
      <w:pPr>
        <w:pStyle w:val="Caption"/>
        <w:rPr>
          <w:rStyle w:val="CommentReference"/>
          <w:b/>
          <w:szCs w:val="24"/>
        </w:rPr>
      </w:pPr>
      <w:bookmarkStart w:id="62" w:name="_Ref133585858"/>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12</w:t>
      </w:r>
      <w:r w:rsidR="001968FD">
        <w:rPr>
          <w:noProof/>
        </w:rPr>
        <w:fldChar w:fldCharType="end"/>
      </w:r>
      <w:bookmarkEnd w:id="62"/>
      <w:r w:rsidRPr="0040534B">
        <w:rPr>
          <w:rStyle w:val="CommentReference"/>
          <w:b/>
          <w:szCs w:val="24"/>
        </w:rPr>
        <w:t>: Summary of results of the indirect comparison for ≥50% reduction in monthly migraine days for the whole populations in episodic migraine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615"/>
        <w:gridCol w:w="1098"/>
        <w:gridCol w:w="1122"/>
        <w:gridCol w:w="1275"/>
        <w:gridCol w:w="1275"/>
        <w:gridCol w:w="1349"/>
      </w:tblGrid>
      <w:tr w:rsidR="00727A77" w:rsidRPr="0040534B" w14:paraId="0C9E9AFC" w14:textId="77777777" w:rsidTr="00C124DD">
        <w:trPr>
          <w:tblHeader/>
        </w:trPr>
        <w:tc>
          <w:tcPr>
            <w:tcW w:w="711" w:type="pct"/>
            <w:vAlign w:val="center"/>
          </w:tcPr>
          <w:p w14:paraId="21E9DCF6" w14:textId="77777777" w:rsidR="00727A77" w:rsidRPr="0040534B" w:rsidRDefault="00727A77" w:rsidP="00727A77">
            <w:pPr>
              <w:pStyle w:val="In-tableHeading"/>
              <w:rPr>
                <w:lang w:val="en-AU"/>
              </w:rPr>
            </w:pPr>
            <w:r w:rsidRPr="0040534B">
              <w:rPr>
                <w:lang w:val="en-AU"/>
              </w:rPr>
              <w:t>Trial ID</w:t>
            </w:r>
          </w:p>
        </w:tc>
        <w:tc>
          <w:tcPr>
            <w:tcW w:w="896" w:type="pct"/>
            <w:shd w:val="clear" w:color="auto" w:fill="auto"/>
            <w:vAlign w:val="center"/>
          </w:tcPr>
          <w:p w14:paraId="23CE8DA1" w14:textId="77777777" w:rsidR="00727A77" w:rsidRPr="0040534B" w:rsidRDefault="00727A77" w:rsidP="002D3A58">
            <w:pPr>
              <w:pStyle w:val="In-tableHeading"/>
              <w:jc w:val="center"/>
              <w:rPr>
                <w:lang w:val="en-AU"/>
              </w:rPr>
            </w:pPr>
            <w:r w:rsidRPr="0040534B">
              <w:rPr>
                <w:lang w:val="en-AU"/>
              </w:rPr>
              <w:t>Treatment arms</w:t>
            </w:r>
          </w:p>
        </w:tc>
        <w:tc>
          <w:tcPr>
            <w:tcW w:w="609" w:type="pct"/>
            <w:shd w:val="clear" w:color="auto" w:fill="auto"/>
            <w:vAlign w:val="center"/>
          </w:tcPr>
          <w:p w14:paraId="461C1F2C" w14:textId="77777777" w:rsidR="00727A77" w:rsidRPr="0040534B" w:rsidRDefault="00727A77" w:rsidP="002D3A58">
            <w:pPr>
              <w:pStyle w:val="In-tableHeading"/>
              <w:jc w:val="center"/>
              <w:rPr>
                <w:lang w:val="en-AU"/>
              </w:rPr>
            </w:pPr>
            <w:r w:rsidRPr="0040534B">
              <w:rPr>
                <w:lang w:val="en-AU"/>
              </w:rPr>
              <w:t>CGRP inhibitor</w:t>
            </w:r>
          </w:p>
          <w:p w14:paraId="3FE4B1FA" w14:textId="77777777" w:rsidR="00727A77" w:rsidRPr="0040534B" w:rsidRDefault="00727A77" w:rsidP="002D3A58">
            <w:pPr>
              <w:pStyle w:val="In-tableHeading"/>
              <w:jc w:val="center"/>
              <w:rPr>
                <w:lang w:val="en-AU"/>
              </w:rPr>
            </w:pPr>
            <w:r w:rsidRPr="0040534B">
              <w:rPr>
                <w:lang w:val="en-AU"/>
              </w:rPr>
              <w:t>n/N (%)</w:t>
            </w:r>
          </w:p>
        </w:tc>
        <w:tc>
          <w:tcPr>
            <w:tcW w:w="622" w:type="pct"/>
            <w:shd w:val="clear" w:color="auto" w:fill="auto"/>
            <w:vAlign w:val="center"/>
          </w:tcPr>
          <w:p w14:paraId="438C993D" w14:textId="77777777" w:rsidR="00727A77" w:rsidRPr="0040534B" w:rsidRDefault="00727A77" w:rsidP="002D3A58">
            <w:pPr>
              <w:pStyle w:val="In-tableHeading"/>
              <w:jc w:val="center"/>
              <w:rPr>
                <w:lang w:val="en-AU"/>
              </w:rPr>
            </w:pPr>
            <w:r w:rsidRPr="0040534B">
              <w:rPr>
                <w:lang w:val="en-AU"/>
              </w:rPr>
              <w:t xml:space="preserve">Placebo </w:t>
            </w:r>
          </w:p>
          <w:p w14:paraId="03DF95B3" w14:textId="6E9DE70F" w:rsidR="00727A77" w:rsidRPr="0040534B" w:rsidRDefault="00727A77" w:rsidP="002D3A58">
            <w:pPr>
              <w:pStyle w:val="In-tableHeading"/>
              <w:jc w:val="center"/>
              <w:rPr>
                <w:lang w:val="en-AU"/>
              </w:rPr>
            </w:pPr>
            <w:r w:rsidRPr="0040534B">
              <w:rPr>
                <w:lang w:val="en-AU"/>
              </w:rPr>
              <w:t>n/N (%)</w:t>
            </w:r>
          </w:p>
        </w:tc>
        <w:tc>
          <w:tcPr>
            <w:tcW w:w="707" w:type="pct"/>
            <w:vAlign w:val="center"/>
          </w:tcPr>
          <w:p w14:paraId="337EB404" w14:textId="77777777" w:rsidR="00727A77" w:rsidRPr="0040534B" w:rsidRDefault="00727A77" w:rsidP="002D3A58">
            <w:pPr>
              <w:pStyle w:val="In-tableHeading"/>
              <w:jc w:val="center"/>
              <w:rPr>
                <w:lang w:val="en-AU"/>
              </w:rPr>
            </w:pPr>
            <w:r w:rsidRPr="0040534B">
              <w:rPr>
                <w:lang w:val="en-AU"/>
              </w:rPr>
              <w:t>Odds Ratio (95% CI)</w:t>
            </w:r>
          </w:p>
        </w:tc>
        <w:tc>
          <w:tcPr>
            <w:tcW w:w="707" w:type="pct"/>
            <w:vAlign w:val="center"/>
          </w:tcPr>
          <w:p w14:paraId="1ECCDBF1" w14:textId="77777777" w:rsidR="00727A77" w:rsidRPr="0040534B" w:rsidRDefault="00727A77" w:rsidP="002D3A58">
            <w:pPr>
              <w:pStyle w:val="In-tableHeading"/>
              <w:jc w:val="center"/>
              <w:rPr>
                <w:lang w:val="en-AU"/>
              </w:rPr>
            </w:pPr>
            <w:r w:rsidRPr="0040534B">
              <w:rPr>
                <w:lang w:val="en-AU"/>
              </w:rPr>
              <w:t>Treatment effect (RR)</w:t>
            </w:r>
          </w:p>
        </w:tc>
        <w:tc>
          <w:tcPr>
            <w:tcW w:w="748" w:type="pct"/>
            <w:shd w:val="clear" w:color="auto" w:fill="auto"/>
            <w:vAlign w:val="center"/>
          </w:tcPr>
          <w:p w14:paraId="341E61E7" w14:textId="77777777" w:rsidR="00727A77" w:rsidRPr="0040534B" w:rsidRDefault="00727A77" w:rsidP="002D3A58">
            <w:pPr>
              <w:pStyle w:val="In-tableHeading"/>
              <w:jc w:val="center"/>
              <w:rPr>
                <w:lang w:val="en-AU"/>
              </w:rPr>
            </w:pPr>
            <w:r w:rsidRPr="0040534B">
              <w:rPr>
                <w:lang w:val="en-AU"/>
              </w:rPr>
              <w:t>Treatment effect (RD)</w:t>
            </w:r>
          </w:p>
        </w:tc>
      </w:tr>
      <w:tr w:rsidR="00727A77" w:rsidRPr="0040534B" w14:paraId="620368CE" w14:textId="77777777" w:rsidTr="00C124DD">
        <w:trPr>
          <w:tblHeader/>
        </w:trPr>
        <w:tc>
          <w:tcPr>
            <w:tcW w:w="5000" w:type="pct"/>
            <w:gridSpan w:val="7"/>
          </w:tcPr>
          <w:p w14:paraId="3BAC74A3" w14:textId="77777777" w:rsidR="00727A77" w:rsidRPr="0040534B" w:rsidRDefault="00727A77" w:rsidP="002D3A58">
            <w:pPr>
              <w:pStyle w:val="In-tableHeading"/>
              <w:rPr>
                <w:lang w:val="en-AU"/>
              </w:rPr>
            </w:pPr>
            <w:r w:rsidRPr="0040534B">
              <w:rPr>
                <w:lang w:val="en-AU"/>
              </w:rPr>
              <w:t>Atogepant vs placebo</w:t>
            </w:r>
          </w:p>
        </w:tc>
      </w:tr>
      <w:tr w:rsidR="00727A77" w:rsidRPr="0040534B" w14:paraId="201E2929" w14:textId="77777777" w:rsidTr="00C124DD">
        <w:tc>
          <w:tcPr>
            <w:tcW w:w="711" w:type="pct"/>
            <w:vAlign w:val="center"/>
          </w:tcPr>
          <w:p w14:paraId="37D88DA3" w14:textId="77777777" w:rsidR="00727A77" w:rsidRPr="0040534B" w:rsidRDefault="00727A77" w:rsidP="002D3A58">
            <w:pPr>
              <w:pStyle w:val="TableText0"/>
            </w:pPr>
            <w:r w:rsidRPr="0040534B">
              <w:t>ADVANCE</w:t>
            </w:r>
          </w:p>
        </w:tc>
        <w:tc>
          <w:tcPr>
            <w:tcW w:w="896" w:type="pct"/>
            <w:shd w:val="clear" w:color="auto" w:fill="auto"/>
            <w:vAlign w:val="center"/>
          </w:tcPr>
          <w:p w14:paraId="09BE8826" w14:textId="19F768FC" w:rsidR="00727A77" w:rsidRPr="0040534B" w:rsidRDefault="00727A77" w:rsidP="002D3A58">
            <w:pPr>
              <w:pStyle w:val="TableText0"/>
            </w:pPr>
            <w:r w:rsidRPr="0040534B">
              <w:t>ATOG 60</w:t>
            </w:r>
            <w:r w:rsidR="006F04A7" w:rsidRPr="0040534B">
              <w:t xml:space="preserve"> </w:t>
            </w:r>
            <w:r w:rsidRPr="0040534B">
              <w:t>mg vs. PBO</w:t>
            </w:r>
          </w:p>
        </w:tc>
        <w:tc>
          <w:tcPr>
            <w:tcW w:w="609" w:type="pct"/>
          </w:tcPr>
          <w:p w14:paraId="6D79DCCA" w14:textId="77777777" w:rsidR="00727A77" w:rsidRPr="0040534B" w:rsidRDefault="00727A77" w:rsidP="002D3A58">
            <w:pPr>
              <w:pStyle w:val="TableText0"/>
              <w:jc w:val="center"/>
            </w:pPr>
            <w:r w:rsidRPr="0040534B">
              <w:t>135/222 (60.8)</w:t>
            </w:r>
          </w:p>
        </w:tc>
        <w:tc>
          <w:tcPr>
            <w:tcW w:w="622" w:type="pct"/>
          </w:tcPr>
          <w:p w14:paraId="77181A0E" w14:textId="77777777" w:rsidR="00727A77" w:rsidRPr="0040534B" w:rsidRDefault="00727A77" w:rsidP="002D3A58">
            <w:pPr>
              <w:pStyle w:val="TableText0"/>
              <w:jc w:val="center"/>
            </w:pPr>
            <w:r w:rsidRPr="0040534B">
              <w:t>62/214 (29.0)</w:t>
            </w:r>
          </w:p>
        </w:tc>
        <w:tc>
          <w:tcPr>
            <w:tcW w:w="707" w:type="pct"/>
          </w:tcPr>
          <w:p w14:paraId="72AC81D8" w14:textId="77777777" w:rsidR="00727A77" w:rsidRPr="0040534B" w:rsidRDefault="00727A77" w:rsidP="002D3A58">
            <w:pPr>
              <w:pStyle w:val="TableText0"/>
              <w:jc w:val="center"/>
              <w:rPr>
                <w:b/>
                <w:bCs w:val="0"/>
              </w:rPr>
            </w:pPr>
            <w:r w:rsidRPr="0040534B">
              <w:rPr>
                <w:b/>
                <w:bCs w:val="0"/>
              </w:rPr>
              <w:t xml:space="preserve">3.80 </w:t>
            </w:r>
          </w:p>
          <w:p w14:paraId="5EFE37EC" w14:textId="77777777" w:rsidR="00727A77" w:rsidRPr="0040534B" w:rsidRDefault="00727A77" w:rsidP="002D3A58">
            <w:pPr>
              <w:pStyle w:val="TableText0"/>
              <w:jc w:val="center"/>
              <w:rPr>
                <w:b/>
                <w:bCs w:val="0"/>
              </w:rPr>
            </w:pPr>
            <w:r w:rsidRPr="0040534B">
              <w:rPr>
                <w:b/>
                <w:bCs w:val="0"/>
              </w:rPr>
              <w:t>(2.55, 5.67)</w:t>
            </w:r>
          </w:p>
        </w:tc>
        <w:tc>
          <w:tcPr>
            <w:tcW w:w="707" w:type="pct"/>
          </w:tcPr>
          <w:p w14:paraId="59B44DB2" w14:textId="77777777" w:rsidR="00727A77" w:rsidRPr="0040534B" w:rsidRDefault="00727A77" w:rsidP="002D3A58">
            <w:pPr>
              <w:pStyle w:val="TableText0"/>
              <w:jc w:val="center"/>
              <w:rPr>
                <w:b/>
                <w:bCs w:val="0"/>
              </w:rPr>
            </w:pPr>
            <w:r w:rsidRPr="0040534B">
              <w:rPr>
                <w:b/>
                <w:bCs w:val="0"/>
              </w:rPr>
              <w:t xml:space="preserve">2.10 </w:t>
            </w:r>
          </w:p>
          <w:p w14:paraId="75159441" w14:textId="77777777" w:rsidR="00727A77" w:rsidRPr="0040534B" w:rsidRDefault="00727A77" w:rsidP="002D3A58">
            <w:pPr>
              <w:pStyle w:val="TableText0"/>
              <w:jc w:val="center"/>
              <w:rPr>
                <w:b/>
                <w:bCs w:val="0"/>
              </w:rPr>
            </w:pPr>
            <w:r w:rsidRPr="0040534B">
              <w:rPr>
                <w:b/>
                <w:bCs w:val="0"/>
              </w:rPr>
              <w:t>(1.66, 2.65)</w:t>
            </w:r>
          </w:p>
        </w:tc>
        <w:tc>
          <w:tcPr>
            <w:tcW w:w="748" w:type="pct"/>
          </w:tcPr>
          <w:p w14:paraId="57E585B6" w14:textId="77777777" w:rsidR="00727A77" w:rsidRPr="0040534B" w:rsidRDefault="00727A77" w:rsidP="002D3A58">
            <w:pPr>
              <w:pStyle w:val="TableText0"/>
              <w:jc w:val="center"/>
              <w:rPr>
                <w:b/>
                <w:bCs w:val="0"/>
              </w:rPr>
            </w:pPr>
            <w:r w:rsidRPr="0040534B">
              <w:rPr>
                <w:b/>
                <w:bCs w:val="0"/>
              </w:rPr>
              <w:t xml:space="preserve">0.32 </w:t>
            </w:r>
          </w:p>
          <w:p w14:paraId="1B4779F3" w14:textId="77777777" w:rsidR="00727A77" w:rsidRPr="0040534B" w:rsidRDefault="00727A77" w:rsidP="002D3A58">
            <w:pPr>
              <w:pStyle w:val="TableText0"/>
              <w:jc w:val="center"/>
              <w:rPr>
                <w:b/>
                <w:bCs w:val="0"/>
              </w:rPr>
            </w:pPr>
            <w:r w:rsidRPr="0040534B">
              <w:rPr>
                <w:b/>
                <w:bCs w:val="0"/>
              </w:rPr>
              <w:t>(0.23, 0.41)</w:t>
            </w:r>
          </w:p>
        </w:tc>
      </w:tr>
      <w:tr w:rsidR="00727A77" w:rsidRPr="0040534B" w14:paraId="61C814EF" w14:textId="77777777" w:rsidTr="00C124DD">
        <w:tc>
          <w:tcPr>
            <w:tcW w:w="711" w:type="pct"/>
            <w:vAlign w:val="center"/>
          </w:tcPr>
          <w:p w14:paraId="401DC11E" w14:textId="77777777" w:rsidR="00727A77" w:rsidRPr="0040534B" w:rsidRDefault="00727A77" w:rsidP="002D3A58">
            <w:pPr>
              <w:pStyle w:val="TableText0"/>
            </w:pPr>
            <w:r w:rsidRPr="0040534B">
              <w:t>NCT02848326</w:t>
            </w:r>
          </w:p>
        </w:tc>
        <w:tc>
          <w:tcPr>
            <w:tcW w:w="896" w:type="pct"/>
            <w:shd w:val="clear" w:color="auto" w:fill="auto"/>
            <w:vAlign w:val="center"/>
          </w:tcPr>
          <w:p w14:paraId="508670B7" w14:textId="438350DB" w:rsidR="00727A77" w:rsidRPr="0040534B" w:rsidRDefault="00727A77" w:rsidP="002D3A58">
            <w:pPr>
              <w:pStyle w:val="TableText0"/>
            </w:pPr>
            <w:r w:rsidRPr="0040534B">
              <w:t>ATOG 60</w:t>
            </w:r>
            <w:r w:rsidR="006F04A7" w:rsidRPr="0040534B">
              <w:t xml:space="preserve"> </w:t>
            </w:r>
            <w:r w:rsidRPr="0040534B">
              <w:t>mg vs. PBO</w:t>
            </w:r>
          </w:p>
        </w:tc>
        <w:tc>
          <w:tcPr>
            <w:tcW w:w="609" w:type="pct"/>
          </w:tcPr>
          <w:p w14:paraId="509F0DFF" w14:textId="77777777" w:rsidR="00727A77" w:rsidRPr="0040534B" w:rsidRDefault="00727A77" w:rsidP="002D3A58">
            <w:pPr>
              <w:pStyle w:val="TableText0"/>
              <w:jc w:val="center"/>
            </w:pPr>
            <w:r w:rsidRPr="0040534B">
              <w:t>86/176 (48.9)</w:t>
            </w:r>
          </w:p>
        </w:tc>
        <w:tc>
          <w:tcPr>
            <w:tcW w:w="622" w:type="pct"/>
          </w:tcPr>
          <w:p w14:paraId="00E8D099" w14:textId="77777777" w:rsidR="00727A77" w:rsidRPr="0040534B" w:rsidRDefault="00727A77" w:rsidP="002D3A58">
            <w:pPr>
              <w:pStyle w:val="TableText0"/>
              <w:jc w:val="center"/>
            </w:pPr>
            <w:r w:rsidRPr="0040534B">
              <w:t>58/177 (32.8)</w:t>
            </w:r>
          </w:p>
        </w:tc>
        <w:tc>
          <w:tcPr>
            <w:tcW w:w="707" w:type="pct"/>
          </w:tcPr>
          <w:p w14:paraId="7E9732B4" w14:textId="77777777" w:rsidR="00727A77" w:rsidRPr="0040534B" w:rsidRDefault="00727A77" w:rsidP="002D3A58">
            <w:pPr>
              <w:pStyle w:val="TableText0"/>
              <w:jc w:val="center"/>
              <w:rPr>
                <w:b/>
                <w:bCs w:val="0"/>
              </w:rPr>
            </w:pPr>
            <w:r w:rsidRPr="0040534B">
              <w:rPr>
                <w:b/>
                <w:bCs w:val="0"/>
              </w:rPr>
              <w:t xml:space="preserve">1.96 </w:t>
            </w:r>
          </w:p>
          <w:p w14:paraId="09811B48" w14:textId="77777777" w:rsidR="00727A77" w:rsidRPr="0040534B" w:rsidRDefault="00727A77" w:rsidP="002D3A58">
            <w:pPr>
              <w:pStyle w:val="TableText0"/>
              <w:jc w:val="center"/>
              <w:rPr>
                <w:b/>
                <w:bCs w:val="0"/>
              </w:rPr>
            </w:pPr>
            <w:r w:rsidRPr="0040534B">
              <w:rPr>
                <w:b/>
                <w:bCs w:val="0"/>
              </w:rPr>
              <w:t>(1.27, 3.02)</w:t>
            </w:r>
          </w:p>
        </w:tc>
        <w:tc>
          <w:tcPr>
            <w:tcW w:w="707" w:type="pct"/>
          </w:tcPr>
          <w:p w14:paraId="390049C9" w14:textId="77777777" w:rsidR="00727A77" w:rsidRPr="0040534B" w:rsidRDefault="00727A77" w:rsidP="002D3A58">
            <w:pPr>
              <w:pStyle w:val="TableText0"/>
              <w:jc w:val="center"/>
              <w:rPr>
                <w:b/>
                <w:bCs w:val="0"/>
              </w:rPr>
            </w:pPr>
            <w:r w:rsidRPr="0040534B">
              <w:rPr>
                <w:b/>
                <w:bCs w:val="0"/>
              </w:rPr>
              <w:t xml:space="preserve">1.49 </w:t>
            </w:r>
          </w:p>
          <w:p w14:paraId="5B1B7970" w14:textId="77777777" w:rsidR="00727A77" w:rsidRPr="0040534B" w:rsidRDefault="00727A77" w:rsidP="002D3A58">
            <w:pPr>
              <w:pStyle w:val="TableText0"/>
              <w:jc w:val="center"/>
              <w:rPr>
                <w:b/>
                <w:bCs w:val="0"/>
              </w:rPr>
            </w:pPr>
            <w:r w:rsidRPr="0040534B">
              <w:rPr>
                <w:b/>
                <w:bCs w:val="0"/>
              </w:rPr>
              <w:t>(1.15, 1.93)</w:t>
            </w:r>
          </w:p>
        </w:tc>
        <w:tc>
          <w:tcPr>
            <w:tcW w:w="748" w:type="pct"/>
          </w:tcPr>
          <w:p w14:paraId="480E9A39" w14:textId="77777777" w:rsidR="00727A77" w:rsidRPr="0040534B" w:rsidRDefault="00727A77" w:rsidP="002D3A58">
            <w:pPr>
              <w:pStyle w:val="TableText0"/>
              <w:jc w:val="center"/>
              <w:rPr>
                <w:b/>
                <w:bCs w:val="0"/>
              </w:rPr>
            </w:pPr>
            <w:r w:rsidRPr="0040534B">
              <w:rPr>
                <w:b/>
                <w:bCs w:val="0"/>
              </w:rPr>
              <w:t xml:space="preserve">0.16 </w:t>
            </w:r>
          </w:p>
          <w:p w14:paraId="733F630E" w14:textId="77777777" w:rsidR="00727A77" w:rsidRPr="0040534B" w:rsidRDefault="00727A77" w:rsidP="002D3A58">
            <w:pPr>
              <w:pStyle w:val="TableText0"/>
              <w:jc w:val="center"/>
              <w:rPr>
                <w:b/>
                <w:bCs w:val="0"/>
              </w:rPr>
            </w:pPr>
            <w:r w:rsidRPr="0040534B">
              <w:rPr>
                <w:b/>
                <w:bCs w:val="0"/>
              </w:rPr>
              <w:t>(0.06, 0.26)</w:t>
            </w:r>
          </w:p>
        </w:tc>
      </w:tr>
      <w:tr w:rsidR="00727A77" w:rsidRPr="0040534B" w14:paraId="1363920C" w14:textId="77777777" w:rsidTr="00C124DD">
        <w:tc>
          <w:tcPr>
            <w:tcW w:w="1607" w:type="pct"/>
            <w:gridSpan w:val="2"/>
            <w:vAlign w:val="center"/>
          </w:tcPr>
          <w:p w14:paraId="53D7F09C" w14:textId="77777777" w:rsidR="00727A77" w:rsidRPr="0040534B" w:rsidRDefault="00727A77" w:rsidP="00727A77">
            <w:pPr>
              <w:pStyle w:val="TableText0"/>
            </w:pPr>
            <w:r w:rsidRPr="0040534B">
              <w:t>Pooled atogepant</w:t>
            </w:r>
          </w:p>
        </w:tc>
        <w:tc>
          <w:tcPr>
            <w:tcW w:w="609" w:type="pct"/>
            <w:shd w:val="clear" w:color="auto" w:fill="auto"/>
          </w:tcPr>
          <w:p w14:paraId="1E367E12" w14:textId="77777777" w:rsidR="00727A77" w:rsidRPr="0040534B" w:rsidRDefault="00727A77" w:rsidP="002D3A58">
            <w:pPr>
              <w:pStyle w:val="TableText0"/>
              <w:jc w:val="center"/>
            </w:pPr>
          </w:p>
        </w:tc>
        <w:tc>
          <w:tcPr>
            <w:tcW w:w="622" w:type="pct"/>
            <w:shd w:val="clear" w:color="auto" w:fill="auto"/>
          </w:tcPr>
          <w:p w14:paraId="2B8F3382" w14:textId="77777777" w:rsidR="00727A77" w:rsidRPr="0040534B" w:rsidRDefault="00727A77" w:rsidP="002D3A58">
            <w:pPr>
              <w:pStyle w:val="TableText0"/>
              <w:jc w:val="center"/>
            </w:pPr>
          </w:p>
        </w:tc>
        <w:tc>
          <w:tcPr>
            <w:tcW w:w="707" w:type="pct"/>
          </w:tcPr>
          <w:p w14:paraId="2FB7DA32" w14:textId="77777777" w:rsidR="00727A77" w:rsidRPr="0040534B" w:rsidRDefault="00727A77" w:rsidP="002D3A58">
            <w:pPr>
              <w:pStyle w:val="TableText0"/>
              <w:jc w:val="center"/>
              <w:rPr>
                <w:b/>
              </w:rPr>
            </w:pPr>
            <w:r w:rsidRPr="0040534B">
              <w:rPr>
                <w:b/>
              </w:rPr>
              <w:t xml:space="preserve">2.74 </w:t>
            </w:r>
          </w:p>
          <w:p w14:paraId="3B3A6D15" w14:textId="77777777" w:rsidR="00727A77" w:rsidRPr="0040534B" w:rsidRDefault="00727A77" w:rsidP="002D3A58">
            <w:pPr>
              <w:pStyle w:val="TableText0"/>
              <w:jc w:val="center"/>
              <w:rPr>
                <w:b/>
              </w:rPr>
            </w:pPr>
            <w:r w:rsidRPr="0040534B">
              <w:rPr>
                <w:b/>
              </w:rPr>
              <w:t>(1.43, 5.26)</w:t>
            </w:r>
          </w:p>
        </w:tc>
        <w:tc>
          <w:tcPr>
            <w:tcW w:w="707" w:type="pct"/>
          </w:tcPr>
          <w:p w14:paraId="4B778BF4" w14:textId="77777777" w:rsidR="00727A77" w:rsidRPr="0040534B" w:rsidRDefault="00727A77" w:rsidP="002D3A58">
            <w:pPr>
              <w:pStyle w:val="TableText0"/>
              <w:jc w:val="center"/>
              <w:rPr>
                <w:b/>
              </w:rPr>
            </w:pPr>
            <w:r w:rsidRPr="0040534B">
              <w:rPr>
                <w:b/>
              </w:rPr>
              <w:t xml:space="preserve">1.78 </w:t>
            </w:r>
          </w:p>
          <w:p w14:paraId="4440FADD" w14:textId="77777777" w:rsidR="00727A77" w:rsidRPr="0040534B" w:rsidRDefault="00727A77" w:rsidP="002D3A58">
            <w:pPr>
              <w:pStyle w:val="TableText0"/>
              <w:jc w:val="center"/>
            </w:pPr>
            <w:r w:rsidRPr="0040534B">
              <w:rPr>
                <w:b/>
              </w:rPr>
              <w:t>(1.27, 2.48)</w:t>
            </w:r>
          </w:p>
        </w:tc>
        <w:tc>
          <w:tcPr>
            <w:tcW w:w="748" w:type="pct"/>
          </w:tcPr>
          <w:p w14:paraId="0BE4C75B" w14:textId="77777777" w:rsidR="00727A77" w:rsidRPr="0040534B" w:rsidRDefault="00727A77" w:rsidP="002D3A58">
            <w:pPr>
              <w:pStyle w:val="TableText0"/>
              <w:jc w:val="center"/>
              <w:rPr>
                <w:b/>
              </w:rPr>
            </w:pPr>
            <w:r w:rsidRPr="0040534B">
              <w:rPr>
                <w:b/>
              </w:rPr>
              <w:t xml:space="preserve">0.24 </w:t>
            </w:r>
          </w:p>
          <w:p w14:paraId="62C0A415" w14:textId="77777777" w:rsidR="00727A77" w:rsidRPr="0040534B" w:rsidRDefault="00727A77" w:rsidP="002D3A58">
            <w:pPr>
              <w:pStyle w:val="TableText0"/>
              <w:jc w:val="center"/>
            </w:pPr>
            <w:r w:rsidRPr="0040534B">
              <w:rPr>
                <w:b/>
              </w:rPr>
              <w:t>(0.09, 0.40)</w:t>
            </w:r>
          </w:p>
        </w:tc>
      </w:tr>
      <w:tr w:rsidR="00727A77" w:rsidRPr="0040534B" w14:paraId="4231122C" w14:textId="77777777" w:rsidTr="00C124DD">
        <w:tc>
          <w:tcPr>
            <w:tcW w:w="5000" w:type="pct"/>
            <w:gridSpan w:val="7"/>
          </w:tcPr>
          <w:p w14:paraId="6DE696B8" w14:textId="77777777" w:rsidR="00727A77" w:rsidRPr="0040534B" w:rsidRDefault="00727A77" w:rsidP="002D3A58">
            <w:pPr>
              <w:pStyle w:val="TableText0"/>
              <w:rPr>
                <w:b/>
              </w:rPr>
            </w:pPr>
            <w:r w:rsidRPr="0040534B">
              <w:rPr>
                <w:b/>
              </w:rPr>
              <w:t>Galcanezumab vs placebo</w:t>
            </w:r>
          </w:p>
        </w:tc>
      </w:tr>
      <w:tr w:rsidR="00727A77" w:rsidRPr="0040534B" w14:paraId="07ECD39E" w14:textId="77777777" w:rsidTr="00C124DD">
        <w:tc>
          <w:tcPr>
            <w:tcW w:w="711" w:type="pct"/>
            <w:vAlign w:val="center"/>
          </w:tcPr>
          <w:p w14:paraId="6F92E93D" w14:textId="77777777" w:rsidR="00727A77" w:rsidRPr="0040534B" w:rsidRDefault="00727A77" w:rsidP="002D3A58">
            <w:pPr>
              <w:pStyle w:val="TableText0"/>
            </w:pPr>
            <w:r w:rsidRPr="0040534B">
              <w:t>EVOLVE-1</w:t>
            </w:r>
          </w:p>
        </w:tc>
        <w:tc>
          <w:tcPr>
            <w:tcW w:w="896" w:type="pct"/>
            <w:shd w:val="clear" w:color="auto" w:fill="auto"/>
            <w:vAlign w:val="center"/>
          </w:tcPr>
          <w:p w14:paraId="720ABF65" w14:textId="1FC1BC13" w:rsidR="00727A77" w:rsidRPr="0040534B" w:rsidRDefault="00727A77" w:rsidP="002D3A58">
            <w:pPr>
              <w:pStyle w:val="TableText0"/>
            </w:pPr>
            <w:r w:rsidRPr="0040534B">
              <w:t>GAL 120</w:t>
            </w:r>
            <w:r w:rsidR="006F04A7" w:rsidRPr="0040534B">
              <w:t xml:space="preserve"> </w:t>
            </w:r>
            <w:r w:rsidRPr="0040534B">
              <w:t>mg vs. PBO</w:t>
            </w:r>
          </w:p>
        </w:tc>
        <w:tc>
          <w:tcPr>
            <w:tcW w:w="609" w:type="pct"/>
          </w:tcPr>
          <w:p w14:paraId="215D77CF" w14:textId="77777777" w:rsidR="00727A77" w:rsidRPr="0040534B" w:rsidRDefault="00727A77" w:rsidP="002D3A58">
            <w:pPr>
              <w:pStyle w:val="TableText0"/>
              <w:jc w:val="center"/>
            </w:pPr>
            <w:r w:rsidRPr="0040534B">
              <w:t>131/210 (62.3)</w:t>
            </w:r>
          </w:p>
        </w:tc>
        <w:tc>
          <w:tcPr>
            <w:tcW w:w="622" w:type="pct"/>
          </w:tcPr>
          <w:p w14:paraId="19CA0C41" w14:textId="77777777" w:rsidR="00727A77" w:rsidRPr="0040534B" w:rsidRDefault="00727A77" w:rsidP="002D3A58">
            <w:pPr>
              <w:pStyle w:val="TableText0"/>
              <w:jc w:val="center"/>
            </w:pPr>
            <w:r w:rsidRPr="0040534B">
              <w:t>164/425 (38.6)</w:t>
            </w:r>
          </w:p>
        </w:tc>
        <w:tc>
          <w:tcPr>
            <w:tcW w:w="707" w:type="pct"/>
          </w:tcPr>
          <w:p w14:paraId="7744DB19" w14:textId="77777777" w:rsidR="00727A77" w:rsidRPr="0040534B" w:rsidRDefault="00727A77" w:rsidP="002D3A58">
            <w:pPr>
              <w:pStyle w:val="TableText0"/>
              <w:jc w:val="center"/>
              <w:rPr>
                <w:b/>
                <w:bCs w:val="0"/>
              </w:rPr>
            </w:pPr>
            <w:r w:rsidRPr="0040534B">
              <w:rPr>
                <w:b/>
                <w:bCs w:val="0"/>
              </w:rPr>
              <w:t xml:space="preserve">2.64 </w:t>
            </w:r>
          </w:p>
          <w:p w14:paraId="279644D8" w14:textId="77777777" w:rsidR="00727A77" w:rsidRPr="0040534B" w:rsidRDefault="00727A77" w:rsidP="002D3A58">
            <w:pPr>
              <w:pStyle w:val="TableText0"/>
              <w:jc w:val="center"/>
              <w:rPr>
                <w:b/>
                <w:bCs w:val="0"/>
              </w:rPr>
            </w:pPr>
            <w:r w:rsidRPr="0040534B">
              <w:rPr>
                <w:b/>
                <w:bCs w:val="0"/>
              </w:rPr>
              <w:t>(1.88, 3.71)</w:t>
            </w:r>
          </w:p>
        </w:tc>
        <w:tc>
          <w:tcPr>
            <w:tcW w:w="707" w:type="pct"/>
          </w:tcPr>
          <w:p w14:paraId="4ADBE890" w14:textId="77777777" w:rsidR="00727A77" w:rsidRPr="0040534B" w:rsidRDefault="00727A77" w:rsidP="002D3A58">
            <w:pPr>
              <w:pStyle w:val="TableText0"/>
              <w:jc w:val="center"/>
              <w:rPr>
                <w:b/>
                <w:bCs w:val="0"/>
              </w:rPr>
            </w:pPr>
            <w:r w:rsidRPr="0040534B">
              <w:rPr>
                <w:b/>
                <w:bCs w:val="0"/>
              </w:rPr>
              <w:t xml:space="preserve">1.62 </w:t>
            </w:r>
          </w:p>
          <w:p w14:paraId="7175AAD6" w14:textId="77777777" w:rsidR="00727A77" w:rsidRPr="0040534B" w:rsidRDefault="00727A77" w:rsidP="002D3A58">
            <w:pPr>
              <w:pStyle w:val="TableText0"/>
              <w:jc w:val="center"/>
              <w:rPr>
                <w:b/>
                <w:bCs w:val="0"/>
              </w:rPr>
            </w:pPr>
            <w:r w:rsidRPr="0040534B">
              <w:rPr>
                <w:b/>
                <w:bCs w:val="0"/>
              </w:rPr>
              <w:t>(1.38, 1.90)</w:t>
            </w:r>
          </w:p>
        </w:tc>
        <w:tc>
          <w:tcPr>
            <w:tcW w:w="748" w:type="pct"/>
          </w:tcPr>
          <w:p w14:paraId="4A27BB5E" w14:textId="77777777" w:rsidR="00727A77" w:rsidRPr="0040534B" w:rsidRDefault="00727A77" w:rsidP="002D3A58">
            <w:pPr>
              <w:pStyle w:val="TableText0"/>
              <w:jc w:val="center"/>
              <w:rPr>
                <w:b/>
                <w:bCs w:val="0"/>
              </w:rPr>
            </w:pPr>
            <w:r w:rsidRPr="0040534B">
              <w:rPr>
                <w:b/>
                <w:bCs w:val="0"/>
              </w:rPr>
              <w:t xml:space="preserve">0.24 </w:t>
            </w:r>
          </w:p>
          <w:p w14:paraId="714BE714" w14:textId="77777777" w:rsidR="00727A77" w:rsidRPr="0040534B" w:rsidRDefault="00727A77" w:rsidP="002D3A58">
            <w:pPr>
              <w:pStyle w:val="TableText0"/>
              <w:jc w:val="center"/>
              <w:rPr>
                <w:b/>
                <w:bCs w:val="0"/>
              </w:rPr>
            </w:pPr>
            <w:r w:rsidRPr="0040534B">
              <w:rPr>
                <w:b/>
                <w:bCs w:val="0"/>
              </w:rPr>
              <w:t>(0.16, 0.32)</w:t>
            </w:r>
          </w:p>
        </w:tc>
      </w:tr>
      <w:tr w:rsidR="00727A77" w:rsidRPr="0040534B" w14:paraId="6D578ECF" w14:textId="77777777" w:rsidTr="00C124DD">
        <w:tc>
          <w:tcPr>
            <w:tcW w:w="711" w:type="pct"/>
            <w:vAlign w:val="center"/>
          </w:tcPr>
          <w:p w14:paraId="237F16DD" w14:textId="77777777" w:rsidR="00727A77" w:rsidRPr="0040534B" w:rsidRDefault="00727A77" w:rsidP="002D3A58">
            <w:pPr>
              <w:pStyle w:val="TableText0"/>
            </w:pPr>
            <w:r w:rsidRPr="0040534B">
              <w:t>EVOLVE-2</w:t>
            </w:r>
          </w:p>
        </w:tc>
        <w:tc>
          <w:tcPr>
            <w:tcW w:w="896" w:type="pct"/>
            <w:shd w:val="clear" w:color="auto" w:fill="auto"/>
            <w:vAlign w:val="center"/>
          </w:tcPr>
          <w:p w14:paraId="5D9CD42E" w14:textId="6658E890" w:rsidR="00727A77" w:rsidRPr="0040534B" w:rsidRDefault="00727A77" w:rsidP="002D3A58">
            <w:pPr>
              <w:pStyle w:val="TableText0"/>
            </w:pPr>
            <w:r w:rsidRPr="0040534B">
              <w:t>GAL 120</w:t>
            </w:r>
            <w:r w:rsidR="006F04A7" w:rsidRPr="0040534B">
              <w:t xml:space="preserve"> </w:t>
            </w:r>
            <w:r w:rsidRPr="0040534B">
              <w:t>mg vs. PBO</w:t>
            </w:r>
          </w:p>
        </w:tc>
        <w:tc>
          <w:tcPr>
            <w:tcW w:w="609" w:type="pct"/>
          </w:tcPr>
          <w:p w14:paraId="6484D5E1" w14:textId="77777777" w:rsidR="00727A77" w:rsidRPr="0040534B" w:rsidRDefault="00727A77" w:rsidP="002D3A58">
            <w:pPr>
              <w:pStyle w:val="TableText0"/>
              <w:jc w:val="center"/>
            </w:pPr>
            <w:r w:rsidRPr="0040534B">
              <w:t>137/231 (59.3)</w:t>
            </w:r>
          </w:p>
        </w:tc>
        <w:tc>
          <w:tcPr>
            <w:tcW w:w="622" w:type="pct"/>
          </w:tcPr>
          <w:p w14:paraId="570E0B87" w14:textId="77777777" w:rsidR="00727A77" w:rsidRPr="0040534B" w:rsidRDefault="00727A77" w:rsidP="002D3A58">
            <w:pPr>
              <w:pStyle w:val="TableText0"/>
              <w:jc w:val="center"/>
            </w:pPr>
            <w:r w:rsidRPr="0040534B">
              <w:t>166/461 (36.0)</w:t>
            </w:r>
          </w:p>
        </w:tc>
        <w:tc>
          <w:tcPr>
            <w:tcW w:w="707" w:type="pct"/>
          </w:tcPr>
          <w:p w14:paraId="50DD1E5F" w14:textId="77777777" w:rsidR="00727A77" w:rsidRPr="0040534B" w:rsidRDefault="00727A77" w:rsidP="002D3A58">
            <w:pPr>
              <w:pStyle w:val="TableText0"/>
              <w:jc w:val="center"/>
              <w:rPr>
                <w:b/>
                <w:bCs w:val="0"/>
              </w:rPr>
            </w:pPr>
            <w:r w:rsidRPr="0040534B">
              <w:rPr>
                <w:b/>
                <w:bCs w:val="0"/>
              </w:rPr>
              <w:t xml:space="preserve">2.59 </w:t>
            </w:r>
          </w:p>
          <w:p w14:paraId="4DE304AB" w14:textId="77777777" w:rsidR="00727A77" w:rsidRPr="0040534B" w:rsidRDefault="00727A77" w:rsidP="002D3A58">
            <w:pPr>
              <w:pStyle w:val="TableText0"/>
              <w:jc w:val="center"/>
              <w:rPr>
                <w:b/>
                <w:bCs w:val="0"/>
              </w:rPr>
            </w:pPr>
            <w:r w:rsidRPr="0040534B">
              <w:rPr>
                <w:b/>
                <w:bCs w:val="0"/>
              </w:rPr>
              <w:t>(1.87, 3.58)</w:t>
            </w:r>
          </w:p>
        </w:tc>
        <w:tc>
          <w:tcPr>
            <w:tcW w:w="707" w:type="pct"/>
          </w:tcPr>
          <w:p w14:paraId="1936EC04" w14:textId="77777777" w:rsidR="00727A77" w:rsidRPr="0040534B" w:rsidRDefault="00727A77" w:rsidP="002D3A58">
            <w:pPr>
              <w:pStyle w:val="TableText0"/>
              <w:jc w:val="center"/>
              <w:rPr>
                <w:b/>
                <w:bCs w:val="0"/>
              </w:rPr>
            </w:pPr>
            <w:r w:rsidRPr="0040534B">
              <w:rPr>
                <w:b/>
                <w:bCs w:val="0"/>
              </w:rPr>
              <w:t xml:space="preserve">1.65 </w:t>
            </w:r>
          </w:p>
          <w:p w14:paraId="6B090B66" w14:textId="77777777" w:rsidR="00727A77" w:rsidRPr="0040534B" w:rsidRDefault="00727A77" w:rsidP="002D3A58">
            <w:pPr>
              <w:pStyle w:val="TableText0"/>
              <w:jc w:val="center"/>
              <w:rPr>
                <w:b/>
                <w:bCs w:val="0"/>
              </w:rPr>
            </w:pPr>
            <w:r w:rsidRPr="0040534B">
              <w:rPr>
                <w:b/>
                <w:bCs w:val="0"/>
              </w:rPr>
              <w:t>(1.40, 1.94)</w:t>
            </w:r>
          </w:p>
        </w:tc>
        <w:tc>
          <w:tcPr>
            <w:tcW w:w="748" w:type="pct"/>
          </w:tcPr>
          <w:p w14:paraId="55073FDD" w14:textId="77777777" w:rsidR="00727A77" w:rsidRPr="0040534B" w:rsidRDefault="00727A77" w:rsidP="002D3A58">
            <w:pPr>
              <w:pStyle w:val="TableText0"/>
              <w:jc w:val="center"/>
              <w:rPr>
                <w:b/>
                <w:bCs w:val="0"/>
              </w:rPr>
            </w:pPr>
            <w:r w:rsidRPr="0040534B">
              <w:rPr>
                <w:b/>
                <w:bCs w:val="0"/>
              </w:rPr>
              <w:t xml:space="preserve">0.23 </w:t>
            </w:r>
          </w:p>
          <w:p w14:paraId="1229EC36" w14:textId="77777777" w:rsidR="00727A77" w:rsidRPr="0040534B" w:rsidRDefault="00727A77" w:rsidP="002D3A58">
            <w:pPr>
              <w:pStyle w:val="TableText0"/>
              <w:jc w:val="center"/>
              <w:rPr>
                <w:b/>
                <w:bCs w:val="0"/>
              </w:rPr>
            </w:pPr>
            <w:r w:rsidRPr="0040534B">
              <w:rPr>
                <w:b/>
                <w:bCs w:val="0"/>
              </w:rPr>
              <w:t>(0.16, 0.31)</w:t>
            </w:r>
          </w:p>
        </w:tc>
      </w:tr>
      <w:tr w:rsidR="00727A77" w:rsidRPr="0040534B" w14:paraId="5A08BD57" w14:textId="77777777" w:rsidTr="00C124DD">
        <w:tc>
          <w:tcPr>
            <w:tcW w:w="711" w:type="pct"/>
            <w:vAlign w:val="center"/>
          </w:tcPr>
          <w:p w14:paraId="530E8812" w14:textId="77777777" w:rsidR="00727A77" w:rsidRPr="0040534B" w:rsidRDefault="00727A77" w:rsidP="002D3A58">
            <w:pPr>
              <w:pStyle w:val="TableText0"/>
            </w:pPr>
            <w:r w:rsidRPr="0040534B">
              <w:t>CONQUER</w:t>
            </w:r>
          </w:p>
        </w:tc>
        <w:tc>
          <w:tcPr>
            <w:tcW w:w="896" w:type="pct"/>
            <w:shd w:val="clear" w:color="auto" w:fill="auto"/>
            <w:vAlign w:val="center"/>
          </w:tcPr>
          <w:p w14:paraId="6F86F187" w14:textId="2A1E666B" w:rsidR="00727A77" w:rsidRPr="0040534B" w:rsidRDefault="00727A77" w:rsidP="002D3A58">
            <w:pPr>
              <w:pStyle w:val="TableText0"/>
            </w:pPr>
            <w:r w:rsidRPr="0040534B">
              <w:t>GAL 120</w:t>
            </w:r>
            <w:r w:rsidR="006F04A7" w:rsidRPr="0040534B">
              <w:t xml:space="preserve"> </w:t>
            </w:r>
            <w:r w:rsidRPr="0040534B">
              <w:t>mg vs. PBO</w:t>
            </w:r>
            <w:r w:rsidR="006F04A7" w:rsidRPr="0040534B">
              <w:t xml:space="preserve"> </w:t>
            </w:r>
          </w:p>
        </w:tc>
        <w:tc>
          <w:tcPr>
            <w:tcW w:w="609" w:type="pct"/>
          </w:tcPr>
          <w:p w14:paraId="26ECC3D4" w14:textId="77777777" w:rsidR="00727A77" w:rsidRPr="0040534B" w:rsidRDefault="00727A77" w:rsidP="002D3A58">
            <w:pPr>
              <w:pStyle w:val="TableText0"/>
              <w:jc w:val="center"/>
            </w:pPr>
            <w:r w:rsidRPr="0040534B">
              <w:t>88/232 (37.9)</w:t>
            </w:r>
          </w:p>
        </w:tc>
        <w:tc>
          <w:tcPr>
            <w:tcW w:w="622" w:type="pct"/>
          </w:tcPr>
          <w:p w14:paraId="64215230" w14:textId="77777777" w:rsidR="00727A77" w:rsidRPr="0040534B" w:rsidRDefault="00727A77" w:rsidP="002D3A58">
            <w:pPr>
              <w:pStyle w:val="TableText0"/>
              <w:jc w:val="center"/>
            </w:pPr>
            <w:r w:rsidRPr="0040534B">
              <w:t>31/230 (13.5)</w:t>
            </w:r>
          </w:p>
        </w:tc>
        <w:tc>
          <w:tcPr>
            <w:tcW w:w="707" w:type="pct"/>
          </w:tcPr>
          <w:p w14:paraId="6D5AE1C9" w14:textId="77777777" w:rsidR="00727A77" w:rsidRPr="0040534B" w:rsidRDefault="00727A77" w:rsidP="002D3A58">
            <w:pPr>
              <w:pStyle w:val="TableText0"/>
              <w:jc w:val="center"/>
              <w:rPr>
                <w:b/>
                <w:bCs w:val="0"/>
              </w:rPr>
            </w:pPr>
            <w:r w:rsidRPr="0040534B">
              <w:rPr>
                <w:b/>
                <w:bCs w:val="0"/>
              </w:rPr>
              <w:t xml:space="preserve">3.92 </w:t>
            </w:r>
          </w:p>
          <w:p w14:paraId="5294E0DE" w14:textId="77777777" w:rsidR="00727A77" w:rsidRPr="0040534B" w:rsidRDefault="00727A77" w:rsidP="002D3A58">
            <w:pPr>
              <w:pStyle w:val="TableText0"/>
              <w:jc w:val="center"/>
              <w:rPr>
                <w:b/>
                <w:bCs w:val="0"/>
              </w:rPr>
            </w:pPr>
            <w:r w:rsidRPr="0040534B">
              <w:rPr>
                <w:b/>
                <w:bCs w:val="0"/>
              </w:rPr>
              <w:t>(2.47, 6.23)</w:t>
            </w:r>
          </w:p>
        </w:tc>
        <w:tc>
          <w:tcPr>
            <w:tcW w:w="707" w:type="pct"/>
          </w:tcPr>
          <w:p w14:paraId="34838070" w14:textId="77777777" w:rsidR="00727A77" w:rsidRPr="0040534B" w:rsidRDefault="00727A77" w:rsidP="002D3A58">
            <w:pPr>
              <w:pStyle w:val="TableText0"/>
              <w:jc w:val="center"/>
              <w:rPr>
                <w:b/>
                <w:bCs w:val="0"/>
              </w:rPr>
            </w:pPr>
            <w:r w:rsidRPr="0040534B">
              <w:rPr>
                <w:b/>
                <w:bCs w:val="0"/>
              </w:rPr>
              <w:t xml:space="preserve">2.81 </w:t>
            </w:r>
          </w:p>
          <w:p w14:paraId="33E30FB8" w14:textId="77777777" w:rsidR="00727A77" w:rsidRPr="0040534B" w:rsidRDefault="00727A77" w:rsidP="002D3A58">
            <w:pPr>
              <w:pStyle w:val="TableText0"/>
              <w:jc w:val="center"/>
              <w:rPr>
                <w:b/>
                <w:bCs w:val="0"/>
              </w:rPr>
            </w:pPr>
            <w:r w:rsidRPr="0040534B">
              <w:rPr>
                <w:b/>
                <w:bCs w:val="0"/>
              </w:rPr>
              <w:t>(1.95, 4.06)</w:t>
            </w:r>
          </w:p>
        </w:tc>
        <w:tc>
          <w:tcPr>
            <w:tcW w:w="748" w:type="pct"/>
          </w:tcPr>
          <w:p w14:paraId="28DEE72D" w14:textId="77777777" w:rsidR="00727A77" w:rsidRPr="0040534B" w:rsidRDefault="00727A77" w:rsidP="002D3A58">
            <w:pPr>
              <w:pStyle w:val="TableText0"/>
              <w:jc w:val="center"/>
              <w:rPr>
                <w:b/>
                <w:bCs w:val="0"/>
              </w:rPr>
            </w:pPr>
            <w:r w:rsidRPr="0040534B">
              <w:rPr>
                <w:b/>
                <w:bCs w:val="0"/>
              </w:rPr>
              <w:t xml:space="preserve">0.24 </w:t>
            </w:r>
          </w:p>
          <w:p w14:paraId="0A578151" w14:textId="77777777" w:rsidR="00727A77" w:rsidRPr="0040534B" w:rsidRDefault="00727A77" w:rsidP="002D3A58">
            <w:pPr>
              <w:pStyle w:val="TableText0"/>
              <w:jc w:val="center"/>
              <w:rPr>
                <w:b/>
                <w:bCs w:val="0"/>
              </w:rPr>
            </w:pPr>
            <w:r w:rsidRPr="0040534B">
              <w:rPr>
                <w:b/>
                <w:bCs w:val="0"/>
              </w:rPr>
              <w:t>(0.17, 0.32)</w:t>
            </w:r>
          </w:p>
        </w:tc>
      </w:tr>
      <w:tr w:rsidR="00727A77" w:rsidRPr="0040534B" w14:paraId="196FEE60" w14:textId="77777777" w:rsidTr="00C124DD">
        <w:tc>
          <w:tcPr>
            <w:tcW w:w="711" w:type="pct"/>
            <w:vAlign w:val="center"/>
          </w:tcPr>
          <w:p w14:paraId="1C54A64C" w14:textId="77777777" w:rsidR="00727A77" w:rsidRPr="0040534B" w:rsidRDefault="00727A77" w:rsidP="002D3A58">
            <w:pPr>
              <w:pStyle w:val="TableText0"/>
            </w:pPr>
            <w:r w:rsidRPr="0040534B">
              <w:t>PERSIST</w:t>
            </w:r>
          </w:p>
        </w:tc>
        <w:tc>
          <w:tcPr>
            <w:tcW w:w="896" w:type="pct"/>
            <w:shd w:val="clear" w:color="auto" w:fill="auto"/>
            <w:vAlign w:val="center"/>
          </w:tcPr>
          <w:p w14:paraId="767C7677" w14:textId="6B4BE95D" w:rsidR="00727A77" w:rsidRPr="0040534B" w:rsidRDefault="00727A77" w:rsidP="002D3A58">
            <w:pPr>
              <w:pStyle w:val="TableText0"/>
            </w:pPr>
            <w:r w:rsidRPr="0040534B">
              <w:t>GAL 120</w:t>
            </w:r>
            <w:r w:rsidR="006F04A7" w:rsidRPr="0040534B">
              <w:t xml:space="preserve"> </w:t>
            </w:r>
            <w:r w:rsidRPr="0040534B">
              <w:t>mg vs. PBO</w:t>
            </w:r>
          </w:p>
        </w:tc>
        <w:tc>
          <w:tcPr>
            <w:tcW w:w="609" w:type="pct"/>
          </w:tcPr>
          <w:p w14:paraId="1FD9B0AA" w14:textId="77777777" w:rsidR="00727A77" w:rsidRPr="0040534B" w:rsidRDefault="00727A77" w:rsidP="002D3A58">
            <w:pPr>
              <w:pStyle w:val="TableText0"/>
              <w:jc w:val="center"/>
            </w:pPr>
            <w:r w:rsidRPr="0040534B">
              <w:t>143/261 (54.8)</w:t>
            </w:r>
          </w:p>
        </w:tc>
        <w:tc>
          <w:tcPr>
            <w:tcW w:w="622" w:type="pct"/>
          </w:tcPr>
          <w:p w14:paraId="7D5B1FED" w14:textId="77777777" w:rsidR="00727A77" w:rsidRPr="0040534B" w:rsidRDefault="00727A77" w:rsidP="002D3A58">
            <w:pPr>
              <w:pStyle w:val="TableText0"/>
              <w:jc w:val="center"/>
            </w:pPr>
            <w:r w:rsidRPr="0040534B">
              <w:t>85/259 (32.8)</w:t>
            </w:r>
          </w:p>
        </w:tc>
        <w:tc>
          <w:tcPr>
            <w:tcW w:w="707" w:type="pct"/>
          </w:tcPr>
          <w:p w14:paraId="2BE4D3D1" w14:textId="77777777" w:rsidR="00727A77" w:rsidRPr="0040534B" w:rsidRDefault="00727A77" w:rsidP="002D3A58">
            <w:pPr>
              <w:pStyle w:val="TableText0"/>
              <w:jc w:val="center"/>
              <w:rPr>
                <w:b/>
                <w:bCs w:val="0"/>
              </w:rPr>
            </w:pPr>
            <w:r w:rsidRPr="0040534B">
              <w:rPr>
                <w:b/>
                <w:bCs w:val="0"/>
              </w:rPr>
              <w:t xml:space="preserve">3.83 </w:t>
            </w:r>
          </w:p>
          <w:p w14:paraId="049EB133" w14:textId="77777777" w:rsidR="00727A77" w:rsidRPr="0040534B" w:rsidRDefault="00727A77" w:rsidP="002D3A58">
            <w:pPr>
              <w:pStyle w:val="TableText0"/>
              <w:jc w:val="center"/>
              <w:rPr>
                <w:b/>
                <w:bCs w:val="0"/>
              </w:rPr>
            </w:pPr>
            <w:r w:rsidRPr="0040534B">
              <w:rPr>
                <w:b/>
                <w:bCs w:val="0"/>
              </w:rPr>
              <w:t>(2.35, 6.22)</w:t>
            </w:r>
          </w:p>
        </w:tc>
        <w:tc>
          <w:tcPr>
            <w:tcW w:w="707" w:type="pct"/>
          </w:tcPr>
          <w:p w14:paraId="5700B4D0" w14:textId="77777777" w:rsidR="00727A77" w:rsidRPr="0040534B" w:rsidRDefault="00727A77" w:rsidP="002D3A58">
            <w:pPr>
              <w:pStyle w:val="TableText0"/>
              <w:jc w:val="center"/>
              <w:rPr>
                <w:b/>
                <w:bCs w:val="0"/>
              </w:rPr>
            </w:pPr>
            <w:r w:rsidRPr="0040534B">
              <w:rPr>
                <w:b/>
                <w:bCs w:val="0"/>
              </w:rPr>
              <w:t xml:space="preserve">1.67 </w:t>
            </w:r>
          </w:p>
          <w:p w14:paraId="51256DBF" w14:textId="77777777" w:rsidR="00727A77" w:rsidRPr="0040534B" w:rsidRDefault="00727A77" w:rsidP="002D3A58">
            <w:pPr>
              <w:pStyle w:val="TableText0"/>
              <w:jc w:val="center"/>
              <w:rPr>
                <w:b/>
                <w:bCs w:val="0"/>
              </w:rPr>
            </w:pPr>
            <w:r w:rsidRPr="0040534B">
              <w:rPr>
                <w:b/>
                <w:bCs w:val="0"/>
              </w:rPr>
              <w:t>(1.36, 2.05)</w:t>
            </w:r>
          </w:p>
        </w:tc>
        <w:tc>
          <w:tcPr>
            <w:tcW w:w="748" w:type="pct"/>
          </w:tcPr>
          <w:p w14:paraId="23F01E97" w14:textId="77777777" w:rsidR="00727A77" w:rsidRPr="0040534B" w:rsidRDefault="00727A77" w:rsidP="002D3A58">
            <w:pPr>
              <w:pStyle w:val="TableText0"/>
              <w:jc w:val="center"/>
              <w:rPr>
                <w:b/>
                <w:bCs w:val="0"/>
              </w:rPr>
            </w:pPr>
            <w:r w:rsidRPr="0040534B">
              <w:rPr>
                <w:b/>
                <w:bCs w:val="0"/>
              </w:rPr>
              <w:t xml:space="preserve">0.22 </w:t>
            </w:r>
          </w:p>
          <w:p w14:paraId="4DD25767" w14:textId="77777777" w:rsidR="00727A77" w:rsidRPr="0040534B" w:rsidRDefault="00727A77" w:rsidP="002D3A58">
            <w:pPr>
              <w:pStyle w:val="TableText0"/>
              <w:jc w:val="center"/>
              <w:rPr>
                <w:b/>
                <w:bCs w:val="0"/>
              </w:rPr>
            </w:pPr>
            <w:r w:rsidRPr="0040534B">
              <w:rPr>
                <w:b/>
                <w:bCs w:val="0"/>
              </w:rPr>
              <w:t>(0.14, 0.30)</w:t>
            </w:r>
          </w:p>
        </w:tc>
      </w:tr>
      <w:tr w:rsidR="00727A77" w:rsidRPr="0040534B" w14:paraId="770F38B8" w14:textId="77777777" w:rsidTr="00C124DD">
        <w:tc>
          <w:tcPr>
            <w:tcW w:w="711" w:type="pct"/>
            <w:vAlign w:val="center"/>
          </w:tcPr>
          <w:p w14:paraId="76189830" w14:textId="77777777" w:rsidR="00727A77" w:rsidRPr="0040534B" w:rsidRDefault="00727A77" w:rsidP="002D3A58">
            <w:pPr>
              <w:pStyle w:val="TableText0"/>
            </w:pPr>
            <w:r w:rsidRPr="0040534B">
              <w:t>NCT02959177</w:t>
            </w:r>
          </w:p>
        </w:tc>
        <w:tc>
          <w:tcPr>
            <w:tcW w:w="896" w:type="pct"/>
            <w:shd w:val="clear" w:color="auto" w:fill="auto"/>
            <w:vAlign w:val="center"/>
          </w:tcPr>
          <w:p w14:paraId="289355EF" w14:textId="5A449476" w:rsidR="00727A77" w:rsidRPr="0040534B" w:rsidRDefault="00727A77" w:rsidP="002D3A58">
            <w:pPr>
              <w:pStyle w:val="TableText0"/>
            </w:pPr>
            <w:r w:rsidRPr="0040534B">
              <w:t>GAL 120</w:t>
            </w:r>
            <w:r w:rsidR="006F04A7" w:rsidRPr="0040534B">
              <w:t xml:space="preserve"> </w:t>
            </w:r>
            <w:r w:rsidRPr="0040534B">
              <w:t>mg vs. PBO</w:t>
            </w:r>
          </w:p>
        </w:tc>
        <w:tc>
          <w:tcPr>
            <w:tcW w:w="609" w:type="pct"/>
          </w:tcPr>
          <w:p w14:paraId="37548C43" w14:textId="77777777" w:rsidR="00727A77" w:rsidRPr="0040534B" w:rsidRDefault="00727A77" w:rsidP="002D3A58">
            <w:pPr>
              <w:pStyle w:val="TableText0"/>
              <w:jc w:val="center"/>
            </w:pPr>
            <w:r w:rsidRPr="0040534B">
              <w:t>57/115 (49.6)</w:t>
            </w:r>
          </w:p>
        </w:tc>
        <w:tc>
          <w:tcPr>
            <w:tcW w:w="622" w:type="pct"/>
          </w:tcPr>
          <w:p w14:paraId="4195C965" w14:textId="77777777" w:rsidR="00727A77" w:rsidRPr="0040534B" w:rsidRDefault="00727A77" w:rsidP="002D3A58">
            <w:pPr>
              <w:pStyle w:val="TableText0"/>
              <w:jc w:val="center"/>
            </w:pPr>
            <w:r w:rsidRPr="0040534B">
              <w:t>47/230 (20.4)</w:t>
            </w:r>
          </w:p>
        </w:tc>
        <w:tc>
          <w:tcPr>
            <w:tcW w:w="707" w:type="pct"/>
          </w:tcPr>
          <w:p w14:paraId="2A5C067A" w14:textId="77777777" w:rsidR="00727A77" w:rsidRPr="0040534B" w:rsidRDefault="00727A77" w:rsidP="002D3A58">
            <w:pPr>
              <w:pStyle w:val="TableText0"/>
              <w:jc w:val="center"/>
              <w:rPr>
                <w:b/>
                <w:bCs w:val="0"/>
              </w:rPr>
            </w:pPr>
            <w:r w:rsidRPr="0040534B">
              <w:rPr>
                <w:b/>
                <w:bCs w:val="0"/>
              </w:rPr>
              <w:t xml:space="preserve">2.48 </w:t>
            </w:r>
          </w:p>
          <w:p w14:paraId="2771478B" w14:textId="77777777" w:rsidR="00727A77" w:rsidRPr="0040534B" w:rsidRDefault="00727A77" w:rsidP="002D3A58">
            <w:pPr>
              <w:pStyle w:val="TableText0"/>
              <w:jc w:val="center"/>
              <w:rPr>
                <w:b/>
                <w:bCs w:val="0"/>
              </w:rPr>
            </w:pPr>
            <w:r w:rsidRPr="0040534B">
              <w:rPr>
                <w:b/>
                <w:bCs w:val="0"/>
              </w:rPr>
              <w:t>(1.74, 3.54)</w:t>
            </w:r>
          </w:p>
        </w:tc>
        <w:tc>
          <w:tcPr>
            <w:tcW w:w="707" w:type="pct"/>
          </w:tcPr>
          <w:p w14:paraId="3FD27570" w14:textId="77777777" w:rsidR="00727A77" w:rsidRPr="0040534B" w:rsidRDefault="00727A77" w:rsidP="002D3A58">
            <w:pPr>
              <w:pStyle w:val="TableText0"/>
              <w:jc w:val="center"/>
              <w:rPr>
                <w:b/>
                <w:bCs w:val="0"/>
              </w:rPr>
            </w:pPr>
            <w:r w:rsidRPr="0040534B">
              <w:rPr>
                <w:b/>
                <w:bCs w:val="0"/>
              </w:rPr>
              <w:t xml:space="preserve">2.43 </w:t>
            </w:r>
          </w:p>
          <w:p w14:paraId="07F030A5" w14:textId="77777777" w:rsidR="00727A77" w:rsidRPr="0040534B" w:rsidRDefault="00727A77" w:rsidP="002D3A58">
            <w:pPr>
              <w:pStyle w:val="TableText0"/>
              <w:jc w:val="center"/>
              <w:rPr>
                <w:b/>
                <w:bCs w:val="0"/>
              </w:rPr>
            </w:pPr>
            <w:r w:rsidRPr="0040534B">
              <w:rPr>
                <w:b/>
                <w:bCs w:val="0"/>
              </w:rPr>
              <w:t>(1.77, 3.32)</w:t>
            </w:r>
          </w:p>
        </w:tc>
        <w:tc>
          <w:tcPr>
            <w:tcW w:w="748" w:type="pct"/>
          </w:tcPr>
          <w:p w14:paraId="2486CD16" w14:textId="77777777" w:rsidR="00727A77" w:rsidRPr="0040534B" w:rsidRDefault="00727A77" w:rsidP="002D3A58">
            <w:pPr>
              <w:pStyle w:val="TableText0"/>
              <w:jc w:val="center"/>
              <w:rPr>
                <w:b/>
                <w:bCs w:val="0"/>
              </w:rPr>
            </w:pPr>
            <w:r w:rsidRPr="0040534B">
              <w:rPr>
                <w:b/>
                <w:bCs w:val="0"/>
              </w:rPr>
              <w:t xml:space="preserve">0.29 </w:t>
            </w:r>
          </w:p>
          <w:p w14:paraId="62767FBC" w14:textId="77777777" w:rsidR="00727A77" w:rsidRPr="0040534B" w:rsidRDefault="00727A77" w:rsidP="002D3A58">
            <w:pPr>
              <w:pStyle w:val="TableText0"/>
              <w:jc w:val="center"/>
              <w:rPr>
                <w:b/>
                <w:bCs w:val="0"/>
              </w:rPr>
            </w:pPr>
            <w:r w:rsidRPr="0040534B">
              <w:rPr>
                <w:b/>
                <w:bCs w:val="0"/>
              </w:rPr>
              <w:t>(0.14, 0.30)</w:t>
            </w:r>
          </w:p>
        </w:tc>
      </w:tr>
      <w:tr w:rsidR="00727A77" w:rsidRPr="0040534B" w14:paraId="0B9750A8" w14:textId="77777777" w:rsidTr="00C124DD">
        <w:tc>
          <w:tcPr>
            <w:tcW w:w="1607" w:type="pct"/>
            <w:gridSpan w:val="2"/>
            <w:vAlign w:val="center"/>
          </w:tcPr>
          <w:p w14:paraId="1DFFDA7D" w14:textId="77777777" w:rsidR="00727A77" w:rsidRPr="0040534B" w:rsidRDefault="00727A77" w:rsidP="00727A77">
            <w:pPr>
              <w:pStyle w:val="TableText0"/>
            </w:pPr>
            <w:r w:rsidRPr="0040534B">
              <w:t>Pooled galcanezumab</w:t>
            </w:r>
          </w:p>
        </w:tc>
        <w:tc>
          <w:tcPr>
            <w:tcW w:w="609" w:type="pct"/>
            <w:shd w:val="clear" w:color="auto" w:fill="auto"/>
            <w:vAlign w:val="center"/>
          </w:tcPr>
          <w:p w14:paraId="7B6DB9C2" w14:textId="77777777" w:rsidR="00727A77" w:rsidRPr="0040534B" w:rsidRDefault="00727A77" w:rsidP="002D3A58">
            <w:pPr>
              <w:pStyle w:val="TableText0"/>
              <w:jc w:val="center"/>
            </w:pPr>
          </w:p>
        </w:tc>
        <w:tc>
          <w:tcPr>
            <w:tcW w:w="622" w:type="pct"/>
            <w:shd w:val="clear" w:color="auto" w:fill="auto"/>
            <w:vAlign w:val="center"/>
          </w:tcPr>
          <w:p w14:paraId="3B7C4B33" w14:textId="77777777" w:rsidR="00727A77" w:rsidRPr="0040534B" w:rsidRDefault="00727A77" w:rsidP="002D3A58">
            <w:pPr>
              <w:pStyle w:val="TableText0"/>
              <w:jc w:val="center"/>
            </w:pPr>
          </w:p>
        </w:tc>
        <w:tc>
          <w:tcPr>
            <w:tcW w:w="707" w:type="pct"/>
          </w:tcPr>
          <w:p w14:paraId="2A5DC9F5" w14:textId="77777777" w:rsidR="00727A77" w:rsidRPr="0040534B" w:rsidRDefault="00727A77" w:rsidP="002D3A58">
            <w:pPr>
              <w:pStyle w:val="TableText0"/>
              <w:jc w:val="center"/>
              <w:rPr>
                <w:b/>
              </w:rPr>
            </w:pPr>
            <w:r w:rsidRPr="0040534B">
              <w:rPr>
                <w:b/>
              </w:rPr>
              <w:t xml:space="preserve">2.87 </w:t>
            </w:r>
          </w:p>
          <w:p w14:paraId="6B197B17" w14:textId="77777777" w:rsidR="00727A77" w:rsidRPr="0040534B" w:rsidRDefault="00727A77" w:rsidP="002D3A58">
            <w:pPr>
              <w:pStyle w:val="TableText0"/>
              <w:jc w:val="center"/>
              <w:rPr>
                <w:b/>
              </w:rPr>
            </w:pPr>
            <w:r w:rsidRPr="0040534B">
              <w:rPr>
                <w:b/>
              </w:rPr>
              <w:t>(2.40, 3.42)</w:t>
            </w:r>
          </w:p>
        </w:tc>
        <w:tc>
          <w:tcPr>
            <w:tcW w:w="707" w:type="pct"/>
          </w:tcPr>
          <w:p w14:paraId="4B941F4F" w14:textId="77777777" w:rsidR="00727A77" w:rsidRPr="0040534B" w:rsidRDefault="00727A77" w:rsidP="002D3A58">
            <w:pPr>
              <w:pStyle w:val="TableText0"/>
              <w:jc w:val="center"/>
              <w:rPr>
                <w:b/>
              </w:rPr>
            </w:pPr>
            <w:r w:rsidRPr="0040534B">
              <w:rPr>
                <w:b/>
              </w:rPr>
              <w:t xml:space="preserve">1.87 </w:t>
            </w:r>
          </w:p>
          <w:p w14:paraId="0C820094" w14:textId="77777777" w:rsidR="00727A77" w:rsidRPr="0040534B" w:rsidRDefault="00727A77" w:rsidP="002D3A58">
            <w:pPr>
              <w:pStyle w:val="TableText0"/>
              <w:jc w:val="center"/>
            </w:pPr>
            <w:r w:rsidRPr="0040534B">
              <w:rPr>
                <w:b/>
              </w:rPr>
              <w:t>(1.57, 2.24)</w:t>
            </w:r>
          </w:p>
        </w:tc>
        <w:tc>
          <w:tcPr>
            <w:tcW w:w="748" w:type="pct"/>
          </w:tcPr>
          <w:p w14:paraId="725CF04D" w14:textId="77777777" w:rsidR="00727A77" w:rsidRPr="0040534B" w:rsidRDefault="00727A77" w:rsidP="002D3A58">
            <w:pPr>
              <w:pStyle w:val="TableText0"/>
              <w:jc w:val="center"/>
              <w:rPr>
                <w:b/>
              </w:rPr>
            </w:pPr>
            <w:r w:rsidRPr="0040534B">
              <w:rPr>
                <w:b/>
              </w:rPr>
              <w:t xml:space="preserve">0.24 </w:t>
            </w:r>
          </w:p>
          <w:p w14:paraId="727B9F33" w14:textId="77777777" w:rsidR="00727A77" w:rsidRPr="0040534B" w:rsidRDefault="00727A77" w:rsidP="002D3A58">
            <w:pPr>
              <w:pStyle w:val="TableText0"/>
              <w:jc w:val="center"/>
            </w:pPr>
            <w:r w:rsidRPr="0040534B">
              <w:rPr>
                <w:b/>
              </w:rPr>
              <w:t>(0.20, 0.28)</w:t>
            </w:r>
          </w:p>
        </w:tc>
      </w:tr>
      <w:tr w:rsidR="00727A77" w:rsidRPr="0040534B" w14:paraId="161A873F" w14:textId="77777777" w:rsidTr="00C124DD">
        <w:tc>
          <w:tcPr>
            <w:tcW w:w="5000" w:type="pct"/>
            <w:gridSpan w:val="7"/>
          </w:tcPr>
          <w:p w14:paraId="46FDEA83" w14:textId="77777777" w:rsidR="00727A77" w:rsidRPr="0040534B" w:rsidRDefault="00727A77" w:rsidP="002D3A58">
            <w:pPr>
              <w:pStyle w:val="TableText0"/>
              <w:rPr>
                <w:b/>
              </w:rPr>
            </w:pPr>
            <w:r w:rsidRPr="0040534B">
              <w:rPr>
                <w:b/>
              </w:rPr>
              <w:t>Fremanezumab vs placebo</w:t>
            </w:r>
          </w:p>
        </w:tc>
      </w:tr>
      <w:tr w:rsidR="00727A77" w:rsidRPr="0040534B" w14:paraId="4D8F1778" w14:textId="77777777" w:rsidTr="00C124DD">
        <w:tc>
          <w:tcPr>
            <w:tcW w:w="711" w:type="pct"/>
            <w:vAlign w:val="center"/>
          </w:tcPr>
          <w:p w14:paraId="12C345B2" w14:textId="77777777" w:rsidR="00727A77" w:rsidRPr="0040534B" w:rsidRDefault="00727A77" w:rsidP="002D3A58">
            <w:pPr>
              <w:pStyle w:val="TableText0"/>
            </w:pPr>
            <w:r w:rsidRPr="0040534B">
              <w:t>HALO-EM</w:t>
            </w:r>
          </w:p>
        </w:tc>
        <w:tc>
          <w:tcPr>
            <w:tcW w:w="896" w:type="pct"/>
            <w:vAlign w:val="center"/>
          </w:tcPr>
          <w:p w14:paraId="68556DEA" w14:textId="1400607E" w:rsidR="00727A77" w:rsidRPr="0040534B" w:rsidRDefault="00727A77" w:rsidP="002D3A58">
            <w:pPr>
              <w:pStyle w:val="TableText0"/>
            </w:pPr>
            <w:r w:rsidRPr="0040534B">
              <w:t>FREM 225</w:t>
            </w:r>
            <w:r w:rsidR="006F04A7" w:rsidRPr="0040534B">
              <w:t xml:space="preserve"> </w:t>
            </w:r>
            <w:r w:rsidRPr="0040534B">
              <w:t>mg vs. PBO</w:t>
            </w:r>
          </w:p>
        </w:tc>
        <w:tc>
          <w:tcPr>
            <w:tcW w:w="609" w:type="pct"/>
            <w:vAlign w:val="center"/>
          </w:tcPr>
          <w:p w14:paraId="3066A950" w14:textId="77777777" w:rsidR="00727A77" w:rsidRPr="0040534B" w:rsidRDefault="00727A77" w:rsidP="002D3A58">
            <w:pPr>
              <w:pStyle w:val="TableText0"/>
              <w:jc w:val="center"/>
            </w:pPr>
            <w:r w:rsidRPr="0040534B">
              <w:t>137/287 (47.7)</w:t>
            </w:r>
          </w:p>
        </w:tc>
        <w:tc>
          <w:tcPr>
            <w:tcW w:w="622" w:type="pct"/>
            <w:vAlign w:val="center"/>
          </w:tcPr>
          <w:p w14:paraId="6D7A2CD7" w14:textId="77777777" w:rsidR="00727A77" w:rsidRPr="0040534B" w:rsidRDefault="00727A77" w:rsidP="002D3A58">
            <w:pPr>
              <w:pStyle w:val="TableText0"/>
              <w:jc w:val="center"/>
            </w:pPr>
            <w:r w:rsidRPr="0040534B">
              <w:t>81/290 (27.9)</w:t>
            </w:r>
          </w:p>
        </w:tc>
        <w:tc>
          <w:tcPr>
            <w:tcW w:w="707" w:type="pct"/>
            <w:vAlign w:val="center"/>
          </w:tcPr>
          <w:p w14:paraId="03171897" w14:textId="77777777" w:rsidR="00727A77" w:rsidRPr="0040534B" w:rsidRDefault="00727A77" w:rsidP="002D3A58">
            <w:pPr>
              <w:pStyle w:val="TableText0"/>
              <w:jc w:val="center"/>
              <w:rPr>
                <w:b/>
                <w:bCs w:val="0"/>
              </w:rPr>
            </w:pPr>
            <w:r w:rsidRPr="0040534B">
              <w:rPr>
                <w:b/>
                <w:bCs w:val="0"/>
              </w:rPr>
              <w:t xml:space="preserve">2.36 </w:t>
            </w:r>
          </w:p>
          <w:p w14:paraId="2816FC4C" w14:textId="77777777" w:rsidR="00727A77" w:rsidRPr="0040534B" w:rsidRDefault="00727A77" w:rsidP="002D3A58">
            <w:pPr>
              <w:pStyle w:val="TableText0"/>
              <w:jc w:val="center"/>
              <w:rPr>
                <w:b/>
                <w:bCs w:val="0"/>
              </w:rPr>
            </w:pPr>
            <w:r w:rsidRPr="0040534B">
              <w:rPr>
                <w:b/>
                <w:bCs w:val="0"/>
              </w:rPr>
              <w:t>(1.67, 3.33)</w:t>
            </w:r>
          </w:p>
        </w:tc>
        <w:tc>
          <w:tcPr>
            <w:tcW w:w="707" w:type="pct"/>
            <w:vAlign w:val="center"/>
          </w:tcPr>
          <w:p w14:paraId="14D9C63B" w14:textId="77777777" w:rsidR="00727A77" w:rsidRPr="0040534B" w:rsidRDefault="00727A77" w:rsidP="002D3A58">
            <w:pPr>
              <w:pStyle w:val="TableText0"/>
              <w:jc w:val="center"/>
              <w:rPr>
                <w:b/>
                <w:bCs w:val="0"/>
              </w:rPr>
            </w:pPr>
            <w:r w:rsidRPr="0040534B">
              <w:rPr>
                <w:b/>
                <w:bCs w:val="0"/>
              </w:rPr>
              <w:t xml:space="preserve">1.71 </w:t>
            </w:r>
          </w:p>
          <w:p w14:paraId="01968F04" w14:textId="77777777" w:rsidR="00727A77" w:rsidRPr="0040534B" w:rsidRDefault="00727A77" w:rsidP="002D3A58">
            <w:pPr>
              <w:pStyle w:val="TableText0"/>
              <w:jc w:val="center"/>
              <w:rPr>
                <w:b/>
                <w:bCs w:val="0"/>
              </w:rPr>
            </w:pPr>
            <w:r w:rsidRPr="0040534B">
              <w:rPr>
                <w:b/>
                <w:bCs w:val="0"/>
              </w:rPr>
              <w:t>(1.37, 2.13)</w:t>
            </w:r>
          </w:p>
        </w:tc>
        <w:tc>
          <w:tcPr>
            <w:tcW w:w="748" w:type="pct"/>
            <w:vAlign w:val="center"/>
          </w:tcPr>
          <w:p w14:paraId="07F94E2B" w14:textId="77777777" w:rsidR="00727A77" w:rsidRPr="0040534B" w:rsidRDefault="00727A77" w:rsidP="002D3A58">
            <w:pPr>
              <w:pStyle w:val="TableText0"/>
              <w:jc w:val="center"/>
              <w:rPr>
                <w:b/>
                <w:bCs w:val="0"/>
              </w:rPr>
            </w:pPr>
            <w:r w:rsidRPr="0040534B">
              <w:rPr>
                <w:b/>
                <w:bCs w:val="0"/>
              </w:rPr>
              <w:t xml:space="preserve">0.20 </w:t>
            </w:r>
          </w:p>
          <w:p w14:paraId="02388691" w14:textId="77777777" w:rsidR="00727A77" w:rsidRPr="0040534B" w:rsidRDefault="00727A77" w:rsidP="002D3A58">
            <w:pPr>
              <w:pStyle w:val="TableText0"/>
              <w:jc w:val="center"/>
              <w:rPr>
                <w:b/>
                <w:bCs w:val="0"/>
              </w:rPr>
            </w:pPr>
            <w:r w:rsidRPr="0040534B">
              <w:rPr>
                <w:b/>
                <w:bCs w:val="0"/>
              </w:rPr>
              <w:t>(0.12, 0.28)</w:t>
            </w:r>
          </w:p>
        </w:tc>
      </w:tr>
      <w:tr w:rsidR="00727A77" w:rsidRPr="0040534B" w14:paraId="422CAF5F" w14:textId="77777777" w:rsidTr="00C124DD">
        <w:tc>
          <w:tcPr>
            <w:tcW w:w="711" w:type="pct"/>
            <w:vAlign w:val="center"/>
          </w:tcPr>
          <w:p w14:paraId="05842DEE" w14:textId="77777777" w:rsidR="00727A77" w:rsidRPr="0040534B" w:rsidRDefault="00727A77" w:rsidP="002D3A58">
            <w:pPr>
              <w:pStyle w:val="TableText0"/>
            </w:pPr>
            <w:r w:rsidRPr="0040534B">
              <w:t>FOCUS</w:t>
            </w:r>
          </w:p>
        </w:tc>
        <w:tc>
          <w:tcPr>
            <w:tcW w:w="896" w:type="pct"/>
            <w:vAlign w:val="center"/>
          </w:tcPr>
          <w:p w14:paraId="3AE2AF4B" w14:textId="6D826B48" w:rsidR="00727A77" w:rsidRPr="0040534B" w:rsidRDefault="00727A77" w:rsidP="002D3A58">
            <w:pPr>
              <w:pStyle w:val="TableText0"/>
            </w:pPr>
            <w:r w:rsidRPr="0040534B">
              <w:t>FREM 225</w:t>
            </w:r>
            <w:r w:rsidR="006F04A7" w:rsidRPr="0040534B">
              <w:t xml:space="preserve"> </w:t>
            </w:r>
            <w:r w:rsidRPr="0040534B">
              <w:t>mg vs. PBO</w:t>
            </w:r>
          </w:p>
        </w:tc>
        <w:tc>
          <w:tcPr>
            <w:tcW w:w="609" w:type="pct"/>
            <w:vAlign w:val="center"/>
          </w:tcPr>
          <w:p w14:paraId="256BB40D" w14:textId="77777777" w:rsidR="00727A77" w:rsidRPr="0040534B" w:rsidRDefault="00727A77" w:rsidP="002D3A58">
            <w:pPr>
              <w:pStyle w:val="TableText0"/>
              <w:jc w:val="center"/>
            </w:pPr>
            <w:r w:rsidRPr="0040534B">
              <w:t>97/283 (34.3)</w:t>
            </w:r>
          </w:p>
        </w:tc>
        <w:tc>
          <w:tcPr>
            <w:tcW w:w="622" w:type="pct"/>
            <w:vAlign w:val="center"/>
          </w:tcPr>
          <w:p w14:paraId="2FE72E77" w14:textId="7660F67C" w:rsidR="00727A77" w:rsidRPr="0040534B" w:rsidRDefault="00727A77" w:rsidP="002D3A58">
            <w:pPr>
              <w:pStyle w:val="TableText0"/>
              <w:jc w:val="center"/>
            </w:pPr>
            <w:r w:rsidRPr="0040534B">
              <w:t xml:space="preserve">24/278 </w:t>
            </w:r>
            <w:r w:rsidR="00E34A5B" w:rsidRPr="0040534B">
              <w:br/>
            </w:r>
            <w:r w:rsidRPr="0040534B">
              <w:t>(8.6)</w:t>
            </w:r>
          </w:p>
        </w:tc>
        <w:tc>
          <w:tcPr>
            <w:tcW w:w="707" w:type="pct"/>
            <w:vAlign w:val="center"/>
          </w:tcPr>
          <w:p w14:paraId="52EE599B" w14:textId="77777777" w:rsidR="00727A77" w:rsidRPr="0040534B" w:rsidRDefault="00727A77" w:rsidP="002D3A58">
            <w:pPr>
              <w:pStyle w:val="TableText0"/>
              <w:jc w:val="center"/>
              <w:rPr>
                <w:b/>
                <w:bCs w:val="0"/>
              </w:rPr>
            </w:pPr>
            <w:r w:rsidRPr="0040534B">
              <w:rPr>
                <w:b/>
                <w:bCs w:val="0"/>
              </w:rPr>
              <w:t xml:space="preserve">5.52 </w:t>
            </w:r>
          </w:p>
          <w:p w14:paraId="1CF06900" w14:textId="77777777" w:rsidR="00727A77" w:rsidRPr="0040534B" w:rsidRDefault="00727A77" w:rsidP="002D3A58">
            <w:pPr>
              <w:pStyle w:val="TableText0"/>
              <w:jc w:val="center"/>
              <w:rPr>
                <w:b/>
                <w:bCs w:val="0"/>
              </w:rPr>
            </w:pPr>
            <w:r w:rsidRPr="0040534B">
              <w:rPr>
                <w:b/>
                <w:bCs w:val="0"/>
              </w:rPr>
              <w:t>(3.40, 8.97)</w:t>
            </w:r>
          </w:p>
        </w:tc>
        <w:tc>
          <w:tcPr>
            <w:tcW w:w="707" w:type="pct"/>
            <w:tcBorders>
              <w:bottom w:val="single" w:sz="4" w:space="0" w:color="auto"/>
            </w:tcBorders>
            <w:vAlign w:val="center"/>
          </w:tcPr>
          <w:p w14:paraId="4DF8E8BC" w14:textId="77777777" w:rsidR="00727A77" w:rsidRPr="0040534B" w:rsidRDefault="00727A77" w:rsidP="002D3A58">
            <w:pPr>
              <w:pStyle w:val="TableText0"/>
              <w:jc w:val="center"/>
              <w:rPr>
                <w:b/>
                <w:bCs w:val="0"/>
              </w:rPr>
            </w:pPr>
            <w:r w:rsidRPr="0040534B">
              <w:rPr>
                <w:b/>
                <w:bCs w:val="0"/>
              </w:rPr>
              <w:t xml:space="preserve">3.97 </w:t>
            </w:r>
          </w:p>
          <w:p w14:paraId="610555ED" w14:textId="77777777" w:rsidR="00727A77" w:rsidRPr="0040534B" w:rsidRDefault="00727A77" w:rsidP="002D3A58">
            <w:pPr>
              <w:pStyle w:val="TableText0"/>
              <w:jc w:val="center"/>
              <w:rPr>
                <w:b/>
                <w:bCs w:val="0"/>
              </w:rPr>
            </w:pPr>
            <w:r w:rsidRPr="0040534B">
              <w:rPr>
                <w:b/>
                <w:bCs w:val="0"/>
              </w:rPr>
              <w:t>(2.62, 6.01)</w:t>
            </w:r>
          </w:p>
        </w:tc>
        <w:tc>
          <w:tcPr>
            <w:tcW w:w="748" w:type="pct"/>
            <w:tcBorders>
              <w:bottom w:val="single" w:sz="4" w:space="0" w:color="auto"/>
            </w:tcBorders>
            <w:vAlign w:val="center"/>
          </w:tcPr>
          <w:p w14:paraId="24BE58F0" w14:textId="77777777" w:rsidR="00727A77" w:rsidRPr="0040534B" w:rsidRDefault="00727A77" w:rsidP="002D3A58">
            <w:pPr>
              <w:pStyle w:val="TableText0"/>
              <w:jc w:val="center"/>
              <w:rPr>
                <w:b/>
                <w:bCs w:val="0"/>
              </w:rPr>
            </w:pPr>
            <w:r w:rsidRPr="0040534B">
              <w:rPr>
                <w:b/>
                <w:bCs w:val="0"/>
              </w:rPr>
              <w:t xml:space="preserve">0.26 </w:t>
            </w:r>
          </w:p>
          <w:p w14:paraId="3566C1FC" w14:textId="77777777" w:rsidR="00727A77" w:rsidRPr="0040534B" w:rsidRDefault="00727A77" w:rsidP="002D3A58">
            <w:pPr>
              <w:pStyle w:val="TableText0"/>
              <w:jc w:val="center"/>
              <w:rPr>
                <w:b/>
                <w:bCs w:val="0"/>
              </w:rPr>
            </w:pPr>
            <w:r w:rsidRPr="0040534B">
              <w:rPr>
                <w:b/>
                <w:bCs w:val="0"/>
              </w:rPr>
              <w:t>(0.19, 0.32)</w:t>
            </w:r>
          </w:p>
        </w:tc>
      </w:tr>
      <w:tr w:rsidR="00727A77" w:rsidRPr="0040534B" w14:paraId="0573A232" w14:textId="77777777" w:rsidTr="00C124DD">
        <w:tc>
          <w:tcPr>
            <w:tcW w:w="711" w:type="pct"/>
            <w:tcBorders>
              <w:bottom w:val="single" w:sz="4" w:space="0" w:color="auto"/>
            </w:tcBorders>
            <w:vAlign w:val="center"/>
          </w:tcPr>
          <w:p w14:paraId="4750ACA6" w14:textId="77777777" w:rsidR="00727A77" w:rsidRPr="0040534B" w:rsidRDefault="00727A77" w:rsidP="002D3A58">
            <w:pPr>
              <w:pStyle w:val="TableText0"/>
            </w:pPr>
            <w:r w:rsidRPr="0040534B">
              <w:t>NCT03303092</w:t>
            </w:r>
          </w:p>
        </w:tc>
        <w:tc>
          <w:tcPr>
            <w:tcW w:w="896" w:type="pct"/>
            <w:tcBorders>
              <w:bottom w:val="single" w:sz="4" w:space="0" w:color="auto"/>
            </w:tcBorders>
            <w:vAlign w:val="center"/>
          </w:tcPr>
          <w:p w14:paraId="7CFC2DAC" w14:textId="3F5A9B1F" w:rsidR="00727A77" w:rsidRPr="0040534B" w:rsidRDefault="00727A77" w:rsidP="002D3A58">
            <w:pPr>
              <w:pStyle w:val="TableText0"/>
            </w:pPr>
            <w:r w:rsidRPr="0040534B">
              <w:t>FREM 225</w:t>
            </w:r>
            <w:r w:rsidR="006F04A7" w:rsidRPr="0040534B">
              <w:t xml:space="preserve"> </w:t>
            </w:r>
            <w:r w:rsidRPr="0040534B">
              <w:t>mg vs. PBO</w:t>
            </w:r>
          </w:p>
        </w:tc>
        <w:tc>
          <w:tcPr>
            <w:tcW w:w="609" w:type="pct"/>
            <w:tcBorders>
              <w:bottom w:val="single" w:sz="4" w:space="0" w:color="auto"/>
            </w:tcBorders>
            <w:vAlign w:val="center"/>
          </w:tcPr>
          <w:p w14:paraId="717129B9" w14:textId="77777777" w:rsidR="00727A77" w:rsidRPr="0040534B" w:rsidRDefault="00727A77" w:rsidP="002D3A58">
            <w:pPr>
              <w:pStyle w:val="TableText0"/>
              <w:jc w:val="center"/>
            </w:pPr>
            <w:r w:rsidRPr="0040534B">
              <w:t>50/121 (41.3)</w:t>
            </w:r>
          </w:p>
        </w:tc>
        <w:tc>
          <w:tcPr>
            <w:tcW w:w="622" w:type="pct"/>
            <w:tcBorders>
              <w:bottom w:val="single" w:sz="4" w:space="0" w:color="auto"/>
            </w:tcBorders>
            <w:vAlign w:val="center"/>
          </w:tcPr>
          <w:p w14:paraId="1D5AA35B" w14:textId="77777777" w:rsidR="00727A77" w:rsidRPr="0040534B" w:rsidRDefault="00727A77" w:rsidP="002D3A58">
            <w:pPr>
              <w:pStyle w:val="TableText0"/>
              <w:jc w:val="center"/>
            </w:pPr>
            <w:r w:rsidRPr="0040534B">
              <w:t>13/116 (11.2)</w:t>
            </w:r>
          </w:p>
        </w:tc>
        <w:tc>
          <w:tcPr>
            <w:tcW w:w="707" w:type="pct"/>
            <w:tcBorders>
              <w:bottom w:val="single" w:sz="4" w:space="0" w:color="auto"/>
            </w:tcBorders>
            <w:vAlign w:val="center"/>
          </w:tcPr>
          <w:p w14:paraId="3939AB5B" w14:textId="77777777" w:rsidR="00727A77" w:rsidRPr="0040534B" w:rsidRDefault="00727A77" w:rsidP="002D3A58">
            <w:pPr>
              <w:pStyle w:val="TableText0"/>
              <w:jc w:val="center"/>
              <w:rPr>
                <w:b/>
                <w:bCs w:val="0"/>
              </w:rPr>
            </w:pPr>
            <w:r w:rsidRPr="0040534B">
              <w:rPr>
                <w:b/>
                <w:bCs w:val="0"/>
              </w:rPr>
              <w:t xml:space="preserve">5.58 </w:t>
            </w:r>
          </w:p>
          <w:p w14:paraId="746F9EF8" w14:textId="77777777" w:rsidR="00727A77" w:rsidRPr="0040534B" w:rsidRDefault="00727A77" w:rsidP="002D3A58">
            <w:pPr>
              <w:pStyle w:val="TableText0"/>
              <w:jc w:val="center"/>
              <w:rPr>
                <w:b/>
                <w:bCs w:val="0"/>
              </w:rPr>
            </w:pPr>
            <w:r w:rsidRPr="0040534B">
              <w:rPr>
                <w:b/>
                <w:bCs w:val="0"/>
              </w:rPr>
              <w:t>(2.82, 11.02)</w:t>
            </w:r>
          </w:p>
        </w:tc>
        <w:tc>
          <w:tcPr>
            <w:tcW w:w="707" w:type="pct"/>
            <w:tcBorders>
              <w:bottom w:val="single" w:sz="4" w:space="0" w:color="auto"/>
            </w:tcBorders>
            <w:vAlign w:val="center"/>
          </w:tcPr>
          <w:p w14:paraId="793272EC" w14:textId="77777777" w:rsidR="00727A77" w:rsidRPr="0040534B" w:rsidRDefault="00727A77" w:rsidP="002D3A58">
            <w:pPr>
              <w:pStyle w:val="TableText0"/>
              <w:jc w:val="center"/>
              <w:rPr>
                <w:b/>
                <w:bCs w:val="0"/>
              </w:rPr>
            </w:pPr>
            <w:r w:rsidRPr="0040534B">
              <w:rPr>
                <w:b/>
                <w:bCs w:val="0"/>
              </w:rPr>
              <w:t xml:space="preserve">3.69 </w:t>
            </w:r>
          </w:p>
          <w:p w14:paraId="1F6FB80E" w14:textId="77777777" w:rsidR="00727A77" w:rsidRPr="0040534B" w:rsidRDefault="00727A77" w:rsidP="002D3A58">
            <w:pPr>
              <w:pStyle w:val="TableText0"/>
              <w:jc w:val="center"/>
              <w:rPr>
                <w:b/>
                <w:bCs w:val="0"/>
              </w:rPr>
            </w:pPr>
            <w:r w:rsidRPr="0040534B">
              <w:rPr>
                <w:b/>
                <w:bCs w:val="0"/>
              </w:rPr>
              <w:t>(2.12, 6.42)</w:t>
            </w:r>
          </w:p>
        </w:tc>
        <w:tc>
          <w:tcPr>
            <w:tcW w:w="748" w:type="pct"/>
            <w:tcBorders>
              <w:bottom w:val="single" w:sz="4" w:space="0" w:color="auto"/>
            </w:tcBorders>
            <w:vAlign w:val="center"/>
          </w:tcPr>
          <w:p w14:paraId="1BF4AF5B" w14:textId="77777777" w:rsidR="00727A77" w:rsidRPr="0040534B" w:rsidRDefault="00727A77" w:rsidP="002D3A58">
            <w:pPr>
              <w:pStyle w:val="TableText0"/>
              <w:jc w:val="center"/>
              <w:rPr>
                <w:b/>
                <w:bCs w:val="0"/>
              </w:rPr>
            </w:pPr>
            <w:r w:rsidRPr="0040534B">
              <w:rPr>
                <w:b/>
                <w:bCs w:val="0"/>
              </w:rPr>
              <w:t xml:space="preserve">0.30 </w:t>
            </w:r>
          </w:p>
          <w:p w14:paraId="14F7E75D" w14:textId="77777777" w:rsidR="00727A77" w:rsidRPr="0040534B" w:rsidRDefault="00727A77" w:rsidP="002D3A58">
            <w:pPr>
              <w:pStyle w:val="TableText0"/>
              <w:jc w:val="center"/>
              <w:rPr>
                <w:b/>
                <w:bCs w:val="0"/>
              </w:rPr>
            </w:pPr>
            <w:r w:rsidRPr="0040534B">
              <w:rPr>
                <w:b/>
                <w:bCs w:val="0"/>
              </w:rPr>
              <w:t>(0.20, 0.41)</w:t>
            </w:r>
          </w:p>
        </w:tc>
      </w:tr>
      <w:tr w:rsidR="00727A77" w:rsidRPr="0040534B" w14:paraId="575E3942" w14:textId="77777777" w:rsidTr="00E34A5B">
        <w:tc>
          <w:tcPr>
            <w:tcW w:w="1607" w:type="pct"/>
            <w:gridSpan w:val="2"/>
            <w:tcBorders>
              <w:bottom w:val="single" w:sz="12" w:space="0" w:color="auto"/>
            </w:tcBorders>
            <w:vAlign w:val="center"/>
          </w:tcPr>
          <w:p w14:paraId="40220F9C" w14:textId="77777777" w:rsidR="00727A77" w:rsidRPr="0040534B" w:rsidRDefault="00727A77" w:rsidP="00E34A5B">
            <w:pPr>
              <w:pStyle w:val="TableText0"/>
            </w:pPr>
            <w:r w:rsidRPr="0040534B">
              <w:t>Pooled fremanezumab</w:t>
            </w:r>
          </w:p>
        </w:tc>
        <w:tc>
          <w:tcPr>
            <w:tcW w:w="609" w:type="pct"/>
            <w:tcBorders>
              <w:bottom w:val="single" w:sz="12" w:space="0" w:color="auto"/>
            </w:tcBorders>
            <w:shd w:val="clear" w:color="auto" w:fill="auto"/>
            <w:vAlign w:val="center"/>
          </w:tcPr>
          <w:p w14:paraId="75BDBD65" w14:textId="77777777" w:rsidR="00727A77" w:rsidRPr="0040534B" w:rsidRDefault="00727A77" w:rsidP="002D3A58">
            <w:pPr>
              <w:pStyle w:val="TableText0"/>
              <w:jc w:val="center"/>
            </w:pPr>
          </w:p>
        </w:tc>
        <w:tc>
          <w:tcPr>
            <w:tcW w:w="622" w:type="pct"/>
            <w:tcBorders>
              <w:bottom w:val="single" w:sz="12" w:space="0" w:color="auto"/>
            </w:tcBorders>
            <w:shd w:val="clear" w:color="auto" w:fill="auto"/>
            <w:vAlign w:val="center"/>
          </w:tcPr>
          <w:p w14:paraId="0B17B0D9" w14:textId="77777777" w:rsidR="00727A77" w:rsidRPr="0040534B" w:rsidRDefault="00727A77" w:rsidP="002D3A58">
            <w:pPr>
              <w:pStyle w:val="TableText0"/>
              <w:jc w:val="center"/>
              <w:rPr>
                <w:i/>
                <w:iCs/>
              </w:rPr>
            </w:pPr>
          </w:p>
        </w:tc>
        <w:tc>
          <w:tcPr>
            <w:tcW w:w="707" w:type="pct"/>
            <w:tcBorders>
              <w:bottom w:val="single" w:sz="12" w:space="0" w:color="auto"/>
            </w:tcBorders>
            <w:vAlign w:val="center"/>
          </w:tcPr>
          <w:p w14:paraId="26E830B4" w14:textId="77777777" w:rsidR="00727A77" w:rsidRPr="0040534B" w:rsidRDefault="00727A77" w:rsidP="002D3A58">
            <w:pPr>
              <w:pStyle w:val="TableText0"/>
              <w:jc w:val="center"/>
              <w:rPr>
                <w:b/>
              </w:rPr>
            </w:pPr>
            <w:r w:rsidRPr="0040534B">
              <w:rPr>
                <w:b/>
              </w:rPr>
              <w:t xml:space="preserve">4.02 </w:t>
            </w:r>
          </w:p>
          <w:p w14:paraId="34A121E3" w14:textId="77777777" w:rsidR="00727A77" w:rsidRPr="0040534B" w:rsidRDefault="00727A77" w:rsidP="002D3A58">
            <w:pPr>
              <w:pStyle w:val="TableText0"/>
              <w:jc w:val="center"/>
              <w:rPr>
                <w:b/>
              </w:rPr>
            </w:pPr>
            <w:r w:rsidRPr="0040534B">
              <w:rPr>
                <w:b/>
              </w:rPr>
              <w:t>(2.12, 7.62)</w:t>
            </w:r>
          </w:p>
        </w:tc>
        <w:tc>
          <w:tcPr>
            <w:tcW w:w="707" w:type="pct"/>
            <w:tcBorders>
              <w:bottom w:val="single" w:sz="12" w:space="0" w:color="auto"/>
            </w:tcBorders>
          </w:tcPr>
          <w:p w14:paraId="249DD9A8" w14:textId="77777777" w:rsidR="00727A77" w:rsidRPr="0040534B" w:rsidRDefault="00727A77" w:rsidP="002D3A58">
            <w:pPr>
              <w:pStyle w:val="TableText0"/>
              <w:jc w:val="center"/>
              <w:rPr>
                <w:b/>
              </w:rPr>
            </w:pPr>
            <w:r w:rsidRPr="0040534B">
              <w:rPr>
                <w:b/>
              </w:rPr>
              <w:t xml:space="preserve">2.85 </w:t>
            </w:r>
          </w:p>
          <w:p w14:paraId="56B3D3DA" w14:textId="77777777" w:rsidR="00727A77" w:rsidRPr="0040534B" w:rsidRDefault="00727A77" w:rsidP="002D3A58">
            <w:pPr>
              <w:pStyle w:val="TableText0"/>
              <w:jc w:val="center"/>
              <w:rPr>
                <w:b/>
              </w:rPr>
            </w:pPr>
            <w:r w:rsidRPr="0040534B">
              <w:rPr>
                <w:b/>
              </w:rPr>
              <w:t>(1.49, 5.43)</w:t>
            </w:r>
          </w:p>
        </w:tc>
        <w:tc>
          <w:tcPr>
            <w:tcW w:w="748" w:type="pct"/>
            <w:tcBorders>
              <w:bottom w:val="single" w:sz="12" w:space="0" w:color="auto"/>
            </w:tcBorders>
          </w:tcPr>
          <w:p w14:paraId="4BD33985" w14:textId="77777777" w:rsidR="00727A77" w:rsidRPr="0040534B" w:rsidRDefault="00727A77" w:rsidP="002D3A58">
            <w:pPr>
              <w:pStyle w:val="TableText0"/>
              <w:jc w:val="center"/>
              <w:rPr>
                <w:b/>
              </w:rPr>
            </w:pPr>
            <w:r w:rsidRPr="0040534B">
              <w:rPr>
                <w:b/>
              </w:rPr>
              <w:t xml:space="preserve">0.25 </w:t>
            </w:r>
          </w:p>
          <w:p w14:paraId="01528FAB" w14:textId="77777777" w:rsidR="00727A77" w:rsidRPr="0040534B" w:rsidRDefault="00727A77" w:rsidP="002D3A58">
            <w:pPr>
              <w:pStyle w:val="TableText0"/>
              <w:jc w:val="center"/>
              <w:rPr>
                <w:b/>
              </w:rPr>
            </w:pPr>
            <w:r w:rsidRPr="0040534B">
              <w:rPr>
                <w:b/>
              </w:rPr>
              <w:t>(0.19, 0.30)</w:t>
            </w:r>
          </w:p>
        </w:tc>
      </w:tr>
      <w:tr w:rsidR="00727A77" w:rsidRPr="0040534B" w14:paraId="002BD083" w14:textId="77777777" w:rsidTr="00C124DD">
        <w:tc>
          <w:tcPr>
            <w:tcW w:w="1607" w:type="pct"/>
            <w:gridSpan w:val="2"/>
            <w:tcBorders>
              <w:top w:val="single" w:sz="12" w:space="0" w:color="auto"/>
            </w:tcBorders>
            <w:vAlign w:val="bottom"/>
          </w:tcPr>
          <w:p w14:paraId="54C78446" w14:textId="77777777" w:rsidR="00727A77" w:rsidRPr="0040534B" w:rsidRDefault="00727A77" w:rsidP="00727A77">
            <w:pPr>
              <w:pStyle w:val="TableText0"/>
            </w:pPr>
            <w:r w:rsidRPr="0040534B">
              <w:t xml:space="preserve">Atogepant vs galcanezumab </w:t>
            </w:r>
          </w:p>
          <w:p w14:paraId="052A5AEF" w14:textId="77777777" w:rsidR="00727A77" w:rsidRPr="0040534B" w:rsidRDefault="00727A77" w:rsidP="00727A77">
            <w:pPr>
              <w:pStyle w:val="TableText0"/>
            </w:pPr>
            <w:r w:rsidRPr="0040534B">
              <w:t>(95% CI)</w:t>
            </w:r>
          </w:p>
        </w:tc>
        <w:tc>
          <w:tcPr>
            <w:tcW w:w="609" w:type="pct"/>
            <w:tcBorders>
              <w:top w:val="single" w:sz="12" w:space="0" w:color="auto"/>
            </w:tcBorders>
            <w:shd w:val="clear" w:color="auto" w:fill="auto"/>
            <w:vAlign w:val="center"/>
          </w:tcPr>
          <w:p w14:paraId="44EF2CB6" w14:textId="77777777" w:rsidR="00727A77" w:rsidRPr="0040534B" w:rsidRDefault="00727A77" w:rsidP="002D3A58">
            <w:pPr>
              <w:pStyle w:val="TableText0"/>
              <w:jc w:val="center"/>
            </w:pPr>
            <w:r w:rsidRPr="0040534B">
              <w:t>–</w:t>
            </w:r>
          </w:p>
        </w:tc>
        <w:tc>
          <w:tcPr>
            <w:tcW w:w="622" w:type="pct"/>
            <w:tcBorders>
              <w:top w:val="single" w:sz="12" w:space="0" w:color="auto"/>
            </w:tcBorders>
            <w:shd w:val="clear" w:color="auto" w:fill="auto"/>
            <w:vAlign w:val="center"/>
          </w:tcPr>
          <w:p w14:paraId="26930A33" w14:textId="77777777" w:rsidR="00727A77" w:rsidRPr="0040534B" w:rsidRDefault="00727A77" w:rsidP="002D3A58">
            <w:pPr>
              <w:pStyle w:val="TableText0"/>
              <w:jc w:val="center"/>
            </w:pPr>
            <w:r w:rsidRPr="0040534B">
              <w:t>–</w:t>
            </w:r>
          </w:p>
        </w:tc>
        <w:tc>
          <w:tcPr>
            <w:tcW w:w="707" w:type="pct"/>
            <w:tcBorders>
              <w:top w:val="single" w:sz="12" w:space="0" w:color="auto"/>
            </w:tcBorders>
          </w:tcPr>
          <w:p w14:paraId="71FB1653" w14:textId="77777777" w:rsidR="00727A77" w:rsidRPr="0040534B" w:rsidRDefault="00727A77" w:rsidP="002D3A58">
            <w:pPr>
              <w:pStyle w:val="TableText0"/>
              <w:jc w:val="center"/>
            </w:pPr>
            <w:r w:rsidRPr="0040534B">
              <w:t xml:space="preserve">0.96 </w:t>
            </w:r>
          </w:p>
          <w:p w14:paraId="48945926" w14:textId="77777777" w:rsidR="00727A77" w:rsidRPr="0040534B" w:rsidRDefault="00727A77" w:rsidP="002D3A58">
            <w:pPr>
              <w:pStyle w:val="TableText0"/>
              <w:jc w:val="center"/>
            </w:pPr>
            <w:r w:rsidRPr="0040534B">
              <w:t>(0.49, 1.88)</w:t>
            </w:r>
          </w:p>
        </w:tc>
        <w:tc>
          <w:tcPr>
            <w:tcW w:w="707" w:type="pct"/>
            <w:tcBorders>
              <w:top w:val="single" w:sz="12" w:space="0" w:color="auto"/>
            </w:tcBorders>
          </w:tcPr>
          <w:p w14:paraId="7E2CEF54" w14:textId="77777777" w:rsidR="00727A77" w:rsidRPr="0040534B" w:rsidRDefault="00727A77" w:rsidP="002D3A58">
            <w:pPr>
              <w:pStyle w:val="TableText0"/>
              <w:jc w:val="center"/>
            </w:pPr>
            <w:r w:rsidRPr="0040534B">
              <w:t xml:space="preserve">0.95 </w:t>
            </w:r>
          </w:p>
          <w:p w14:paraId="1CE65245" w14:textId="77777777" w:rsidR="00727A77" w:rsidRPr="0040534B" w:rsidRDefault="00727A77" w:rsidP="002D3A58">
            <w:pPr>
              <w:pStyle w:val="TableText0"/>
              <w:jc w:val="center"/>
              <w:rPr>
                <w:b/>
              </w:rPr>
            </w:pPr>
            <w:r w:rsidRPr="0040534B">
              <w:t>(0.65, 1.39)</w:t>
            </w:r>
          </w:p>
        </w:tc>
        <w:tc>
          <w:tcPr>
            <w:tcW w:w="748" w:type="pct"/>
            <w:tcBorders>
              <w:top w:val="single" w:sz="12" w:space="0" w:color="auto"/>
            </w:tcBorders>
          </w:tcPr>
          <w:p w14:paraId="4AEED225" w14:textId="77777777" w:rsidR="00727A77" w:rsidRPr="0040534B" w:rsidRDefault="00727A77" w:rsidP="002D3A58">
            <w:pPr>
              <w:pStyle w:val="TableText0"/>
              <w:jc w:val="center"/>
            </w:pPr>
            <w:r w:rsidRPr="0040534B">
              <w:t xml:space="preserve">0.00 </w:t>
            </w:r>
          </w:p>
          <w:p w14:paraId="4700AE4E" w14:textId="77777777" w:rsidR="00727A77" w:rsidRPr="0040534B" w:rsidRDefault="00727A77" w:rsidP="002D3A58">
            <w:pPr>
              <w:pStyle w:val="TableText0"/>
              <w:jc w:val="center"/>
              <w:rPr>
                <w:b/>
              </w:rPr>
            </w:pPr>
            <w:r w:rsidRPr="0040534B">
              <w:t>(-0.16, 0.16)</w:t>
            </w:r>
          </w:p>
        </w:tc>
      </w:tr>
      <w:tr w:rsidR="00727A77" w:rsidRPr="0040534B" w14:paraId="5F5CD12D" w14:textId="77777777" w:rsidTr="00C124DD">
        <w:tc>
          <w:tcPr>
            <w:tcW w:w="1607" w:type="pct"/>
            <w:gridSpan w:val="2"/>
            <w:vAlign w:val="bottom"/>
          </w:tcPr>
          <w:p w14:paraId="2BEAF3D4" w14:textId="77777777" w:rsidR="00727A77" w:rsidRPr="0040534B" w:rsidRDefault="00727A77" w:rsidP="00727A77">
            <w:pPr>
              <w:pStyle w:val="TableText0"/>
            </w:pPr>
            <w:r w:rsidRPr="0040534B">
              <w:t xml:space="preserve">Atogepant vs fremanezumab </w:t>
            </w:r>
            <w:r w:rsidRPr="0040534B">
              <w:br/>
              <w:t>(95% CI)</w:t>
            </w:r>
          </w:p>
        </w:tc>
        <w:tc>
          <w:tcPr>
            <w:tcW w:w="609" w:type="pct"/>
            <w:shd w:val="clear" w:color="auto" w:fill="auto"/>
            <w:vAlign w:val="center"/>
          </w:tcPr>
          <w:p w14:paraId="6F98D55F" w14:textId="77777777" w:rsidR="00727A77" w:rsidRPr="0040534B" w:rsidRDefault="00727A77" w:rsidP="002D3A58">
            <w:pPr>
              <w:pStyle w:val="TableText0"/>
              <w:jc w:val="center"/>
            </w:pPr>
            <w:r w:rsidRPr="0040534B">
              <w:t>–</w:t>
            </w:r>
          </w:p>
        </w:tc>
        <w:tc>
          <w:tcPr>
            <w:tcW w:w="622" w:type="pct"/>
            <w:shd w:val="clear" w:color="auto" w:fill="auto"/>
            <w:vAlign w:val="center"/>
          </w:tcPr>
          <w:p w14:paraId="553E7F11" w14:textId="77777777" w:rsidR="00727A77" w:rsidRPr="0040534B" w:rsidRDefault="00727A77" w:rsidP="002D3A58">
            <w:pPr>
              <w:pStyle w:val="TableText0"/>
              <w:jc w:val="center"/>
            </w:pPr>
            <w:r w:rsidRPr="0040534B">
              <w:t>–</w:t>
            </w:r>
          </w:p>
        </w:tc>
        <w:tc>
          <w:tcPr>
            <w:tcW w:w="707" w:type="pct"/>
          </w:tcPr>
          <w:p w14:paraId="599D9C32" w14:textId="77777777" w:rsidR="00727A77" w:rsidRPr="0040534B" w:rsidRDefault="00727A77" w:rsidP="002D3A58">
            <w:pPr>
              <w:pStyle w:val="TableText0"/>
              <w:jc w:val="center"/>
            </w:pPr>
            <w:r w:rsidRPr="0040534B">
              <w:t xml:space="preserve">0.68 </w:t>
            </w:r>
          </w:p>
          <w:p w14:paraId="0E7E0F05" w14:textId="77777777" w:rsidR="00727A77" w:rsidRPr="0040534B" w:rsidRDefault="00727A77" w:rsidP="002D3A58">
            <w:pPr>
              <w:pStyle w:val="TableText0"/>
              <w:jc w:val="center"/>
            </w:pPr>
            <w:r w:rsidRPr="0040534B">
              <w:t>(0.27, 1.70)</w:t>
            </w:r>
          </w:p>
        </w:tc>
        <w:tc>
          <w:tcPr>
            <w:tcW w:w="707" w:type="pct"/>
          </w:tcPr>
          <w:p w14:paraId="1512F907" w14:textId="77777777" w:rsidR="00727A77" w:rsidRPr="0040534B" w:rsidRDefault="00727A77" w:rsidP="002D3A58">
            <w:pPr>
              <w:pStyle w:val="TableText0"/>
              <w:jc w:val="center"/>
            </w:pPr>
            <w:r w:rsidRPr="0040534B">
              <w:t xml:space="preserve">0.63 </w:t>
            </w:r>
          </w:p>
          <w:p w14:paraId="13E83C97" w14:textId="77777777" w:rsidR="00727A77" w:rsidRPr="0040534B" w:rsidRDefault="00727A77" w:rsidP="002D3A58">
            <w:pPr>
              <w:pStyle w:val="TableText0"/>
              <w:jc w:val="center"/>
              <w:rPr>
                <w:b/>
              </w:rPr>
            </w:pPr>
            <w:r w:rsidRPr="0040534B">
              <w:t>(0.30, 1.29)</w:t>
            </w:r>
          </w:p>
        </w:tc>
        <w:tc>
          <w:tcPr>
            <w:tcW w:w="748" w:type="pct"/>
          </w:tcPr>
          <w:p w14:paraId="4F69256D" w14:textId="77777777" w:rsidR="00727A77" w:rsidRPr="0040534B" w:rsidRDefault="00727A77" w:rsidP="002D3A58">
            <w:pPr>
              <w:pStyle w:val="TableText0"/>
              <w:jc w:val="center"/>
            </w:pPr>
            <w:r w:rsidRPr="0040534B">
              <w:t xml:space="preserve">-0.01 </w:t>
            </w:r>
          </w:p>
          <w:p w14:paraId="0FCDA5C3" w14:textId="77777777" w:rsidR="00727A77" w:rsidRPr="0040534B" w:rsidRDefault="00727A77" w:rsidP="002D3A58">
            <w:pPr>
              <w:pStyle w:val="TableText0"/>
              <w:jc w:val="center"/>
              <w:rPr>
                <w:b/>
              </w:rPr>
            </w:pPr>
            <w:r w:rsidRPr="0040534B">
              <w:t>(-0.17, 0.15)</w:t>
            </w:r>
          </w:p>
        </w:tc>
      </w:tr>
    </w:tbl>
    <w:p w14:paraId="06D1930D" w14:textId="13C4D721" w:rsidR="00727A77" w:rsidRPr="0040534B" w:rsidRDefault="00727A77" w:rsidP="00727A77">
      <w:pPr>
        <w:pStyle w:val="FooterTableFigure"/>
        <w:rPr>
          <w:i/>
          <w:iCs/>
        </w:rPr>
      </w:pPr>
      <w:r w:rsidRPr="0040534B">
        <w:t>Source: Table 2-46, p143 of the submission; Figure 2-15, p132 of the submission.</w:t>
      </w:r>
      <w:r w:rsidRPr="0040534B">
        <w:rPr>
          <w:b/>
          <w:bCs/>
        </w:rPr>
        <w:t xml:space="preserve"> Bold</w:t>
      </w:r>
      <w:r w:rsidRPr="0040534B">
        <w:t xml:space="preserve"> indicates statistically significant results. </w:t>
      </w:r>
    </w:p>
    <w:p w14:paraId="31031C2F" w14:textId="77777777" w:rsidR="00727A77" w:rsidRPr="0040534B" w:rsidRDefault="00727A77" w:rsidP="00727A77">
      <w:pPr>
        <w:pStyle w:val="FooterTableFigure"/>
      </w:pPr>
      <w:r w:rsidRPr="0040534B">
        <w:t>CGRP = Calcitonin gene-related peptide; CI = confidence interval; FREM = Fremanezumab; GAL = Galcanezumab; n = number of participants with the event; N = number of participants in the group; PBO = placebo.</w:t>
      </w:r>
    </w:p>
    <w:p w14:paraId="4627FD0C" w14:textId="77777777" w:rsidR="00F03CD4" w:rsidRPr="0040534B" w:rsidRDefault="00F03CD4" w:rsidP="00F03CD4">
      <w:pPr>
        <w:pStyle w:val="3-BodyText"/>
      </w:pPr>
      <w:r w:rsidRPr="0040534B">
        <w:t>The indirect comparison results for the ≥50% reduction in monthly migraine days demonstrated no statistical difference between atogepant and galcanezumab or fremanezumab measured using the odds ratio, relative risk or risk difference. No non-inferiority margin was proposed for this outcome.</w:t>
      </w:r>
    </w:p>
    <w:p w14:paraId="50335CE1" w14:textId="506FE55A" w:rsidR="005D6E54" w:rsidRPr="0040534B" w:rsidRDefault="005D6E54" w:rsidP="005D6E54">
      <w:pPr>
        <w:pStyle w:val="3-BodyText"/>
      </w:pPr>
      <w:r w:rsidRPr="0040534B">
        <w:t xml:space="preserve">The whole trial meta-analysis for the primary endpoint of change from baseline in mean monthly migraine days showed indicated that atogepant, galcanezumab and fremanezumab were superior to placebo in reducing the number of migraine days per month, with a total change from baseline (95% CI) across the treatments of -2.18 days (-2.69, -1.68). The submission noted significant heterogeneity across the ten episodic migraine trials (heterogeneity test; p=0.00001, I2=79%); however, sensitivity analysis </w:t>
      </w:r>
      <w:r w:rsidRPr="0040534B">
        <w:lastRenderedPageBreak/>
        <w:t>did not identify any single trial that significantly contributed to the heterogeneity. The submission reported a class effect across the three CGRP inhibitors with the test for subgroup differences between the three treatments being insignificant (p=0.13, I</w:t>
      </w:r>
      <w:r w:rsidRPr="0040534B">
        <w:rPr>
          <w:vertAlign w:val="superscript"/>
        </w:rPr>
        <w:t>2</w:t>
      </w:r>
      <w:r w:rsidRPr="0040534B">
        <w:t>=50.5%)</w:t>
      </w:r>
    </w:p>
    <w:p w14:paraId="00998F9C" w14:textId="22FA2CC2" w:rsidR="00396D9B" w:rsidRPr="0040534B" w:rsidRDefault="00396D9B" w:rsidP="006F04A7">
      <w:pPr>
        <w:pStyle w:val="3-BodyText"/>
      </w:pPr>
      <w:r w:rsidRPr="0040534B">
        <w:t xml:space="preserve">The ESC noted the issues discussed in paragraph </w:t>
      </w:r>
      <w:r w:rsidRPr="0040534B">
        <w:fldChar w:fldCharType="begin" w:fldLock="1"/>
      </w:r>
      <w:r w:rsidRPr="0040534B">
        <w:instrText xml:space="preserve"> REF _Ref138064312 \r \h </w:instrText>
      </w:r>
      <w:r w:rsidR="006045A2" w:rsidRPr="0040534B">
        <w:instrText xml:space="preserve"> \* MERGEFORMAT </w:instrText>
      </w:r>
      <w:r w:rsidRPr="0040534B">
        <w:fldChar w:fldCharType="separate"/>
      </w:r>
      <w:r w:rsidR="004E201F">
        <w:t>6.37</w:t>
      </w:r>
      <w:r w:rsidRPr="0040534B">
        <w:fldChar w:fldCharType="end"/>
      </w:r>
      <w:r w:rsidRPr="0040534B">
        <w:t xml:space="preserve"> were also relevant for this meta-analysis</w:t>
      </w:r>
      <w:r w:rsidR="0040534B">
        <w:t xml:space="preserve">. </w:t>
      </w:r>
    </w:p>
    <w:p w14:paraId="7A2DE9B7" w14:textId="77777777" w:rsidR="00F03CD4" w:rsidRPr="0040534B" w:rsidRDefault="00F03CD4" w:rsidP="00F03CD4">
      <w:pPr>
        <w:pStyle w:val="4-SubsectionHeading"/>
      </w:pPr>
      <w:bookmarkStart w:id="63" w:name="_Toc135214015"/>
      <w:r w:rsidRPr="0040534B">
        <w:t>Comparative harms</w:t>
      </w:r>
      <w:bookmarkEnd w:id="56"/>
      <w:bookmarkEnd w:id="63"/>
    </w:p>
    <w:p w14:paraId="4E6BFB5B" w14:textId="77777777" w:rsidR="00F03CD4" w:rsidRPr="0040534B" w:rsidRDefault="00F03CD4" w:rsidP="00F03CD4">
      <w:pPr>
        <w:pStyle w:val="5-SubsectionSubheading"/>
      </w:pPr>
      <w:bookmarkStart w:id="64" w:name="_Toc135214016"/>
      <w:r w:rsidRPr="0040534B">
        <w:t>Chronic migraine</w:t>
      </w:r>
      <w:bookmarkEnd w:id="64"/>
    </w:p>
    <w:p w14:paraId="1F969EDD" w14:textId="55391988" w:rsidR="00F03CD4" w:rsidRPr="0040534B" w:rsidRDefault="00F03CD4" w:rsidP="00F03CD4">
      <w:pPr>
        <w:pStyle w:val="3-BodyText"/>
        <w:rPr>
          <w:color w:val="0066FF"/>
        </w:rPr>
      </w:pPr>
      <w:r w:rsidRPr="0040534B">
        <w:fldChar w:fldCharType="begin" w:fldLock="1"/>
      </w:r>
      <w:r w:rsidRPr="0040534B">
        <w:instrText xml:space="preserve"> REF _Ref133588207 \h </w:instrText>
      </w:r>
      <w:r w:rsidR="00653EEA" w:rsidRPr="0040534B">
        <w:instrText xml:space="preserve"> \* MERGEFORMAT </w:instrText>
      </w:r>
      <w:r w:rsidRPr="0040534B">
        <w:fldChar w:fldCharType="separate"/>
      </w:r>
      <w:r w:rsidR="004E201F" w:rsidRPr="0040534B">
        <w:t xml:space="preserve">Table </w:t>
      </w:r>
      <w:r w:rsidR="004E201F">
        <w:t>13</w:t>
      </w:r>
      <w:r w:rsidRPr="0040534B">
        <w:fldChar w:fldCharType="end"/>
      </w:r>
      <w:r w:rsidRPr="0040534B">
        <w:t xml:space="preserve"> presents the summary safety outcomes for the trials included in the chronic migraine analysis. The safety results for the chronic and episodic migraine subpopulations in the galcanezumab CONQUER and fremanezumab FOCUS trials were presented together in the table below.</w:t>
      </w:r>
    </w:p>
    <w:p w14:paraId="70593EBA" w14:textId="6615BC83" w:rsidR="00F03CD4" w:rsidRPr="0040534B" w:rsidRDefault="00F03CD4" w:rsidP="004844B8">
      <w:pPr>
        <w:pStyle w:val="Caption"/>
      </w:pPr>
      <w:bookmarkStart w:id="65" w:name="_Ref133588207"/>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13</w:t>
      </w:r>
      <w:r w:rsidR="001968FD">
        <w:rPr>
          <w:noProof/>
        </w:rPr>
        <w:fldChar w:fldCharType="end"/>
      </w:r>
      <w:bookmarkEnd w:id="65"/>
      <w:r w:rsidRPr="0040534B">
        <w:t>: Summary of key adverse events in the randomised trials (chronic migraine)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957"/>
        <w:gridCol w:w="1408"/>
        <w:gridCol w:w="1414"/>
        <w:gridCol w:w="1264"/>
        <w:gridCol w:w="1632"/>
      </w:tblGrid>
      <w:tr w:rsidR="00F03CD4" w:rsidRPr="0040534B" w14:paraId="77544C06" w14:textId="77777777" w:rsidTr="00C124DD">
        <w:trPr>
          <w:tblHeader/>
        </w:trPr>
        <w:tc>
          <w:tcPr>
            <w:tcW w:w="744" w:type="pct"/>
            <w:vAlign w:val="center"/>
          </w:tcPr>
          <w:p w14:paraId="2AC8597C" w14:textId="77777777" w:rsidR="00F03CD4" w:rsidRPr="0040534B" w:rsidRDefault="00F03CD4" w:rsidP="004844B8">
            <w:pPr>
              <w:pStyle w:val="In-tableHeading"/>
              <w:keepLines/>
              <w:jc w:val="center"/>
              <w:rPr>
                <w:lang w:val="en-AU"/>
              </w:rPr>
            </w:pPr>
            <w:r w:rsidRPr="0040534B">
              <w:rPr>
                <w:lang w:val="en-AU"/>
              </w:rPr>
              <w:t>Trial ID</w:t>
            </w:r>
          </w:p>
        </w:tc>
        <w:tc>
          <w:tcPr>
            <w:tcW w:w="1085" w:type="pct"/>
            <w:vAlign w:val="center"/>
          </w:tcPr>
          <w:p w14:paraId="631DC3E2" w14:textId="77777777" w:rsidR="00F03CD4" w:rsidRPr="0040534B" w:rsidRDefault="00F03CD4" w:rsidP="004844B8">
            <w:pPr>
              <w:pStyle w:val="In-tableHeading"/>
              <w:keepLines/>
              <w:jc w:val="center"/>
              <w:rPr>
                <w:lang w:val="en-AU"/>
              </w:rPr>
            </w:pPr>
            <w:r w:rsidRPr="0040534B">
              <w:rPr>
                <w:lang w:val="en-AU"/>
              </w:rPr>
              <w:t>Treatment arms</w:t>
            </w:r>
          </w:p>
        </w:tc>
        <w:tc>
          <w:tcPr>
            <w:tcW w:w="781" w:type="pct"/>
            <w:vAlign w:val="center"/>
          </w:tcPr>
          <w:p w14:paraId="07F0AD24" w14:textId="77777777" w:rsidR="00F03CD4" w:rsidRPr="0040534B" w:rsidRDefault="00F03CD4" w:rsidP="004844B8">
            <w:pPr>
              <w:pStyle w:val="In-tableHeading"/>
              <w:keepLines/>
              <w:jc w:val="center"/>
              <w:rPr>
                <w:iCs/>
                <w:lang w:val="en-AU"/>
              </w:rPr>
            </w:pPr>
            <w:r w:rsidRPr="0040534B">
              <w:rPr>
                <w:iCs/>
                <w:lang w:val="en-AU"/>
              </w:rPr>
              <w:t xml:space="preserve">CGRP inhibitor, </w:t>
            </w:r>
          </w:p>
          <w:p w14:paraId="372EF11B" w14:textId="77777777" w:rsidR="00F03CD4" w:rsidRPr="0040534B" w:rsidRDefault="00F03CD4" w:rsidP="004844B8">
            <w:pPr>
              <w:pStyle w:val="In-tableHeading"/>
              <w:keepLines/>
              <w:jc w:val="center"/>
              <w:rPr>
                <w:iCs/>
                <w:lang w:val="en-AU"/>
              </w:rPr>
            </w:pPr>
            <w:r w:rsidRPr="0040534B">
              <w:rPr>
                <w:lang w:val="en-AU"/>
              </w:rPr>
              <w:t>n/N (%)</w:t>
            </w:r>
          </w:p>
        </w:tc>
        <w:tc>
          <w:tcPr>
            <w:tcW w:w="784" w:type="pct"/>
            <w:vAlign w:val="center"/>
          </w:tcPr>
          <w:p w14:paraId="1EE46709" w14:textId="77777777" w:rsidR="00F03CD4" w:rsidRPr="0040534B" w:rsidRDefault="00F03CD4" w:rsidP="004844B8">
            <w:pPr>
              <w:pStyle w:val="In-tableHeading"/>
              <w:keepLines/>
              <w:jc w:val="center"/>
              <w:rPr>
                <w:lang w:val="en-AU"/>
              </w:rPr>
            </w:pPr>
            <w:r w:rsidRPr="0040534B">
              <w:rPr>
                <w:lang w:val="en-AU"/>
              </w:rPr>
              <w:t>Placebo</w:t>
            </w:r>
          </w:p>
          <w:p w14:paraId="3B519006" w14:textId="77777777" w:rsidR="00F03CD4" w:rsidRPr="0040534B" w:rsidRDefault="00F03CD4" w:rsidP="004844B8">
            <w:pPr>
              <w:pStyle w:val="In-tableHeading"/>
              <w:keepLines/>
              <w:jc w:val="center"/>
              <w:rPr>
                <w:lang w:val="en-AU"/>
              </w:rPr>
            </w:pPr>
            <w:r w:rsidRPr="0040534B">
              <w:rPr>
                <w:lang w:val="en-AU"/>
              </w:rPr>
              <w:t>n/N (%)</w:t>
            </w:r>
          </w:p>
        </w:tc>
        <w:tc>
          <w:tcPr>
            <w:tcW w:w="701" w:type="pct"/>
            <w:vAlign w:val="center"/>
          </w:tcPr>
          <w:p w14:paraId="430F0228" w14:textId="77777777" w:rsidR="00F03CD4" w:rsidRPr="0040534B" w:rsidRDefault="00F03CD4" w:rsidP="004844B8">
            <w:pPr>
              <w:pStyle w:val="In-tableHeading"/>
              <w:keepLines/>
              <w:jc w:val="center"/>
              <w:rPr>
                <w:lang w:val="en-AU"/>
              </w:rPr>
            </w:pPr>
            <w:r w:rsidRPr="0040534B">
              <w:rPr>
                <w:lang w:val="en-AU"/>
              </w:rPr>
              <w:t>RR (95% CI)</w:t>
            </w:r>
          </w:p>
        </w:tc>
        <w:tc>
          <w:tcPr>
            <w:tcW w:w="905" w:type="pct"/>
            <w:vAlign w:val="center"/>
          </w:tcPr>
          <w:p w14:paraId="31D2996A" w14:textId="77777777" w:rsidR="00F03CD4" w:rsidRPr="0040534B" w:rsidRDefault="00F03CD4" w:rsidP="004844B8">
            <w:pPr>
              <w:pStyle w:val="In-tableHeading"/>
              <w:keepLines/>
              <w:jc w:val="center"/>
              <w:rPr>
                <w:lang w:val="en-AU"/>
              </w:rPr>
            </w:pPr>
            <w:r w:rsidRPr="0040534B">
              <w:rPr>
                <w:lang w:val="en-AU"/>
              </w:rPr>
              <w:t>RD (95% CI)</w:t>
            </w:r>
          </w:p>
        </w:tc>
      </w:tr>
      <w:tr w:rsidR="00F03CD4" w:rsidRPr="0040534B" w14:paraId="5893FBE3" w14:textId="77777777" w:rsidTr="00C124DD">
        <w:tc>
          <w:tcPr>
            <w:tcW w:w="4095" w:type="pct"/>
            <w:gridSpan w:val="5"/>
          </w:tcPr>
          <w:p w14:paraId="77F57E2F" w14:textId="77777777" w:rsidR="00F03CD4" w:rsidRPr="0040534B" w:rsidRDefault="00F03CD4" w:rsidP="004844B8">
            <w:pPr>
              <w:pStyle w:val="TableText0"/>
              <w:keepLines/>
              <w:rPr>
                <w:b/>
                <w:bCs w:val="0"/>
              </w:rPr>
            </w:pPr>
            <w:r w:rsidRPr="0040534B">
              <w:rPr>
                <w:b/>
                <w:bCs w:val="0"/>
              </w:rPr>
              <w:t>Any TEAE</w:t>
            </w:r>
          </w:p>
        </w:tc>
        <w:tc>
          <w:tcPr>
            <w:tcW w:w="905" w:type="pct"/>
          </w:tcPr>
          <w:p w14:paraId="1FF6C298" w14:textId="77777777" w:rsidR="00F03CD4" w:rsidRPr="0040534B" w:rsidRDefault="00F03CD4" w:rsidP="004844B8">
            <w:pPr>
              <w:pStyle w:val="TableText0"/>
              <w:keepLines/>
            </w:pPr>
          </w:p>
        </w:tc>
      </w:tr>
      <w:tr w:rsidR="00F03CD4" w:rsidRPr="0040534B" w14:paraId="05E80310" w14:textId="77777777" w:rsidTr="00C124DD">
        <w:tc>
          <w:tcPr>
            <w:tcW w:w="744" w:type="pct"/>
            <w:vAlign w:val="center"/>
          </w:tcPr>
          <w:p w14:paraId="403315EC" w14:textId="77777777" w:rsidR="00F03CD4" w:rsidRPr="0040534B" w:rsidRDefault="00F03CD4" w:rsidP="004844B8">
            <w:pPr>
              <w:pStyle w:val="TableText0"/>
              <w:keepLines/>
            </w:pPr>
            <w:r w:rsidRPr="0040534B">
              <w:t>PROGRESS</w:t>
            </w:r>
          </w:p>
        </w:tc>
        <w:tc>
          <w:tcPr>
            <w:tcW w:w="1085" w:type="pct"/>
          </w:tcPr>
          <w:p w14:paraId="02DCCC24" w14:textId="4E1C8EC5" w:rsidR="00F03CD4" w:rsidRPr="0040534B" w:rsidRDefault="00F03CD4" w:rsidP="004844B8">
            <w:pPr>
              <w:pStyle w:val="TableText0"/>
              <w:keepLines/>
            </w:pPr>
            <w:r w:rsidRPr="0040534B">
              <w:t>ATOG 60</w:t>
            </w:r>
            <w:r w:rsidR="006F04A7" w:rsidRPr="0040534B">
              <w:t xml:space="preserve"> </w:t>
            </w:r>
            <w:r w:rsidRPr="0040534B">
              <w:t>mg vs. PBO</w:t>
            </w:r>
          </w:p>
        </w:tc>
        <w:tc>
          <w:tcPr>
            <w:tcW w:w="781" w:type="pct"/>
          </w:tcPr>
          <w:p w14:paraId="6B90268A" w14:textId="77777777" w:rsidR="00F03CD4" w:rsidRPr="0040534B" w:rsidRDefault="00F03CD4" w:rsidP="004844B8">
            <w:pPr>
              <w:pStyle w:val="TableText0"/>
              <w:keepLines/>
              <w:jc w:val="center"/>
            </w:pPr>
            <w:r w:rsidRPr="0040534B">
              <w:t>165/261 (63.2)</w:t>
            </w:r>
          </w:p>
        </w:tc>
        <w:tc>
          <w:tcPr>
            <w:tcW w:w="784" w:type="pct"/>
          </w:tcPr>
          <w:p w14:paraId="14237572" w14:textId="77777777" w:rsidR="00F03CD4" w:rsidRPr="0040534B" w:rsidRDefault="00F03CD4" w:rsidP="004844B8">
            <w:pPr>
              <w:pStyle w:val="TableText0"/>
              <w:keepLines/>
              <w:jc w:val="center"/>
            </w:pPr>
            <w:r w:rsidRPr="0040534B">
              <w:t>126/255 (49.4)</w:t>
            </w:r>
          </w:p>
        </w:tc>
        <w:tc>
          <w:tcPr>
            <w:tcW w:w="701" w:type="pct"/>
            <w:shd w:val="clear" w:color="auto" w:fill="auto"/>
          </w:tcPr>
          <w:p w14:paraId="2F5D63D1" w14:textId="77777777" w:rsidR="00F03CD4" w:rsidRPr="0040534B" w:rsidRDefault="00F03CD4" w:rsidP="004844B8">
            <w:pPr>
              <w:pStyle w:val="TableText0"/>
              <w:keepLines/>
              <w:jc w:val="center"/>
              <w:rPr>
                <w:bCs w:val="0"/>
              </w:rPr>
            </w:pPr>
            <w:r w:rsidRPr="0040534B">
              <w:rPr>
                <w:bCs w:val="0"/>
              </w:rPr>
              <w:t>1.3 (1.1, 1.5)</w:t>
            </w:r>
          </w:p>
        </w:tc>
        <w:tc>
          <w:tcPr>
            <w:tcW w:w="905" w:type="pct"/>
            <w:shd w:val="clear" w:color="auto" w:fill="auto"/>
          </w:tcPr>
          <w:p w14:paraId="2CCB14C1" w14:textId="77777777" w:rsidR="00F03CD4" w:rsidRPr="0040534B" w:rsidRDefault="00F03CD4" w:rsidP="004844B8">
            <w:pPr>
              <w:pStyle w:val="TableText0"/>
              <w:keepLines/>
              <w:jc w:val="center"/>
              <w:rPr>
                <w:bCs w:val="0"/>
              </w:rPr>
            </w:pPr>
            <w:r w:rsidRPr="0040534B">
              <w:rPr>
                <w:bCs w:val="0"/>
              </w:rPr>
              <w:t>0.14 (0.05, 0.22)</w:t>
            </w:r>
          </w:p>
        </w:tc>
      </w:tr>
      <w:tr w:rsidR="00F03CD4" w:rsidRPr="0040534B" w14:paraId="05692593" w14:textId="77777777" w:rsidTr="00C124DD">
        <w:tc>
          <w:tcPr>
            <w:tcW w:w="744" w:type="pct"/>
            <w:vAlign w:val="center"/>
          </w:tcPr>
          <w:p w14:paraId="30CA3336" w14:textId="77777777" w:rsidR="00F03CD4" w:rsidRPr="0040534B" w:rsidRDefault="00F03CD4" w:rsidP="004844B8">
            <w:pPr>
              <w:pStyle w:val="TableText0"/>
              <w:keepLines/>
            </w:pPr>
            <w:r w:rsidRPr="0040534B">
              <w:t>REGAIN</w:t>
            </w:r>
          </w:p>
        </w:tc>
        <w:tc>
          <w:tcPr>
            <w:tcW w:w="1085" w:type="pct"/>
            <w:vAlign w:val="center"/>
          </w:tcPr>
          <w:p w14:paraId="581B7383" w14:textId="389DE8E5" w:rsidR="00F03CD4" w:rsidRPr="0040534B" w:rsidRDefault="00F03CD4" w:rsidP="004844B8">
            <w:pPr>
              <w:pStyle w:val="TableText0"/>
              <w:keepLines/>
            </w:pPr>
            <w:r w:rsidRPr="0040534B">
              <w:t>GAL 120</w:t>
            </w:r>
            <w:r w:rsidR="006F04A7" w:rsidRPr="0040534B">
              <w:t xml:space="preserve"> </w:t>
            </w:r>
            <w:r w:rsidRPr="0040534B">
              <w:t>mg vs. PBO</w:t>
            </w:r>
          </w:p>
        </w:tc>
        <w:tc>
          <w:tcPr>
            <w:tcW w:w="781" w:type="pct"/>
          </w:tcPr>
          <w:p w14:paraId="302B3AB6" w14:textId="77777777" w:rsidR="00F03CD4" w:rsidRPr="0040534B" w:rsidRDefault="00F03CD4" w:rsidP="004844B8">
            <w:pPr>
              <w:pStyle w:val="TableText0"/>
              <w:keepLines/>
              <w:jc w:val="center"/>
            </w:pPr>
            <w:r w:rsidRPr="0040534B">
              <w:t>159/273 (58)</w:t>
            </w:r>
          </w:p>
        </w:tc>
        <w:tc>
          <w:tcPr>
            <w:tcW w:w="784" w:type="pct"/>
          </w:tcPr>
          <w:p w14:paraId="057834F5" w14:textId="77777777" w:rsidR="00F03CD4" w:rsidRPr="0040534B" w:rsidRDefault="00F03CD4" w:rsidP="004844B8">
            <w:pPr>
              <w:pStyle w:val="TableText0"/>
              <w:keepLines/>
              <w:jc w:val="center"/>
            </w:pPr>
            <w:r w:rsidRPr="0040534B">
              <w:t>279/588 (50)</w:t>
            </w:r>
          </w:p>
        </w:tc>
        <w:tc>
          <w:tcPr>
            <w:tcW w:w="701" w:type="pct"/>
            <w:shd w:val="clear" w:color="auto" w:fill="auto"/>
          </w:tcPr>
          <w:p w14:paraId="6F945080" w14:textId="77777777" w:rsidR="00F03CD4" w:rsidRPr="0040534B" w:rsidRDefault="00F03CD4" w:rsidP="004844B8">
            <w:pPr>
              <w:pStyle w:val="TableText0"/>
              <w:keepLines/>
              <w:jc w:val="center"/>
              <w:rPr>
                <w:bCs w:val="0"/>
              </w:rPr>
            </w:pPr>
            <w:r w:rsidRPr="0040534B">
              <w:rPr>
                <w:bCs w:val="0"/>
              </w:rPr>
              <w:t>1.2 (1.1, 1.4)</w:t>
            </w:r>
          </w:p>
        </w:tc>
        <w:tc>
          <w:tcPr>
            <w:tcW w:w="905" w:type="pct"/>
            <w:shd w:val="clear" w:color="auto" w:fill="auto"/>
            <w:vAlign w:val="center"/>
          </w:tcPr>
          <w:p w14:paraId="27E132DE" w14:textId="77777777" w:rsidR="00F03CD4" w:rsidRPr="0040534B" w:rsidRDefault="00F03CD4" w:rsidP="004844B8">
            <w:pPr>
              <w:pStyle w:val="TableText0"/>
              <w:keepLines/>
              <w:jc w:val="center"/>
              <w:rPr>
                <w:bCs w:val="0"/>
              </w:rPr>
            </w:pPr>
            <w:r w:rsidRPr="0040534B">
              <w:rPr>
                <w:bCs w:val="0"/>
              </w:rPr>
              <w:t>0.11 (0.04, 0.18)</w:t>
            </w:r>
          </w:p>
        </w:tc>
      </w:tr>
      <w:tr w:rsidR="00F03CD4" w:rsidRPr="0040534B" w14:paraId="69E8EC7E" w14:textId="77777777" w:rsidTr="00C124DD">
        <w:tc>
          <w:tcPr>
            <w:tcW w:w="744" w:type="pct"/>
            <w:vAlign w:val="center"/>
          </w:tcPr>
          <w:p w14:paraId="2DD33159" w14:textId="77777777" w:rsidR="00F03CD4" w:rsidRPr="0040534B" w:rsidRDefault="00F03CD4" w:rsidP="004844B8">
            <w:pPr>
              <w:pStyle w:val="TableText0"/>
              <w:keepLines/>
            </w:pPr>
            <w:r w:rsidRPr="0040534B">
              <w:t>CONQUER</w:t>
            </w:r>
            <w:r w:rsidRPr="0040534B">
              <w:rPr>
                <w:vertAlign w:val="superscript"/>
              </w:rPr>
              <w:t>a</w:t>
            </w:r>
          </w:p>
        </w:tc>
        <w:tc>
          <w:tcPr>
            <w:tcW w:w="1085" w:type="pct"/>
            <w:vAlign w:val="center"/>
          </w:tcPr>
          <w:p w14:paraId="1A18FEF9" w14:textId="1CFC5E0E" w:rsidR="00F03CD4" w:rsidRPr="0040534B" w:rsidRDefault="00F03CD4" w:rsidP="004844B8">
            <w:pPr>
              <w:pStyle w:val="TableText0"/>
              <w:keepLines/>
            </w:pPr>
            <w:r w:rsidRPr="0040534B">
              <w:t>GAL 120</w:t>
            </w:r>
            <w:r w:rsidR="006F04A7" w:rsidRPr="0040534B">
              <w:t xml:space="preserve"> </w:t>
            </w:r>
            <w:r w:rsidRPr="0040534B">
              <w:t>mg vs. PBO</w:t>
            </w:r>
          </w:p>
        </w:tc>
        <w:tc>
          <w:tcPr>
            <w:tcW w:w="781" w:type="pct"/>
          </w:tcPr>
          <w:p w14:paraId="4BFA4F8D" w14:textId="77777777" w:rsidR="00F03CD4" w:rsidRPr="0040534B" w:rsidRDefault="00F03CD4" w:rsidP="004844B8">
            <w:pPr>
              <w:pStyle w:val="TableText0"/>
              <w:keepLines/>
              <w:jc w:val="center"/>
            </w:pPr>
            <w:r w:rsidRPr="0040534B">
              <w:t>119/232 (51)</w:t>
            </w:r>
          </w:p>
        </w:tc>
        <w:tc>
          <w:tcPr>
            <w:tcW w:w="784" w:type="pct"/>
          </w:tcPr>
          <w:p w14:paraId="5CCABDCC" w14:textId="77777777" w:rsidR="00F03CD4" w:rsidRPr="0040534B" w:rsidRDefault="00F03CD4" w:rsidP="004844B8">
            <w:pPr>
              <w:pStyle w:val="TableText0"/>
              <w:keepLines/>
              <w:jc w:val="center"/>
            </w:pPr>
            <w:r w:rsidRPr="0040534B">
              <w:t>122/230 (53)</w:t>
            </w:r>
          </w:p>
        </w:tc>
        <w:tc>
          <w:tcPr>
            <w:tcW w:w="701" w:type="pct"/>
            <w:shd w:val="clear" w:color="auto" w:fill="auto"/>
          </w:tcPr>
          <w:p w14:paraId="68E01253" w14:textId="77777777" w:rsidR="00F03CD4" w:rsidRPr="0040534B" w:rsidRDefault="00F03CD4" w:rsidP="004844B8">
            <w:pPr>
              <w:pStyle w:val="TableText0"/>
              <w:keepLines/>
              <w:jc w:val="center"/>
              <w:rPr>
                <w:bCs w:val="0"/>
              </w:rPr>
            </w:pPr>
            <w:r w:rsidRPr="0040534B">
              <w:rPr>
                <w:bCs w:val="0"/>
              </w:rPr>
              <w:t>1.0 (0.8, 1.2)</w:t>
            </w:r>
          </w:p>
        </w:tc>
        <w:tc>
          <w:tcPr>
            <w:tcW w:w="905" w:type="pct"/>
            <w:shd w:val="clear" w:color="auto" w:fill="auto"/>
            <w:vAlign w:val="center"/>
          </w:tcPr>
          <w:p w14:paraId="772BE479" w14:textId="77777777" w:rsidR="00F03CD4" w:rsidRPr="0040534B" w:rsidRDefault="00F03CD4" w:rsidP="004844B8">
            <w:pPr>
              <w:pStyle w:val="TableText0"/>
              <w:keepLines/>
              <w:jc w:val="center"/>
              <w:rPr>
                <w:bCs w:val="0"/>
              </w:rPr>
            </w:pPr>
            <w:r w:rsidRPr="0040534B">
              <w:rPr>
                <w:bCs w:val="0"/>
              </w:rPr>
              <w:t>-0.02 (-0.11, 0.07)</w:t>
            </w:r>
          </w:p>
        </w:tc>
      </w:tr>
      <w:tr w:rsidR="00F03CD4" w:rsidRPr="0040534B" w14:paraId="36C66300" w14:textId="77777777" w:rsidTr="00C124DD">
        <w:tc>
          <w:tcPr>
            <w:tcW w:w="744" w:type="pct"/>
            <w:vMerge w:val="restart"/>
            <w:vAlign w:val="center"/>
          </w:tcPr>
          <w:p w14:paraId="27C58567" w14:textId="77777777" w:rsidR="00F03CD4" w:rsidRPr="0040534B" w:rsidRDefault="00F03CD4" w:rsidP="004844B8">
            <w:pPr>
              <w:pStyle w:val="TableText0"/>
              <w:keepLines/>
            </w:pPr>
            <w:r w:rsidRPr="0040534B">
              <w:t>HALO-CM</w:t>
            </w:r>
            <w:r w:rsidRPr="0040534B">
              <w:rPr>
                <w:vertAlign w:val="superscript"/>
              </w:rPr>
              <w:t>b</w:t>
            </w:r>
          </w:p>
        </w:tc>
        <w:tc>
          <w:tcPr>
            <w:tcW w:w="1085" w:type="pct"/>
            <w:vAlign w:val="center"/>
          </w:tcPr>
          <w:p w14:paraId="5F9B7BE9" w14:textId="18B0EFCB"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6AED7C06" w14:textId="77777777" w:rsidR="00F03CD4" w:rsidRPr="0040534B" w:rsidRDefault="00F03CD4" w:rsidP="004844B8">
            <w:pPr>
              <w:pStyle w:val="TableText0"/>
              <w:keepLines/>
              <w:jc w:val="center"/>
            </w:pPr>
            <w:r w:rsidRPr="0040534B">
              <w:t>265/376 (70)</w:t>
            </w:r>
          </w:p>
        </w:tc>
        <w:tc>
          <w:tcPr>
            <w:tcW w:w="784" w:type="pct"/>
          </w:tcPr>
          <w:p w14:paraId="33BBDEFA" w14:textId="77777777" w:rsidR="00F03CD4" w:rsidRPr="0040534B" w:rsidRDefault="00F03CD4" w:rsidP="004844B8">
            <w:pPr>
              <w:pStyle w:val="TableText0"/>
              <w:keepLines/>
              <w:jc w:val="center"/>
            </w:pPr>
            <w:r w:rsidRPr="0040534B">
              <w:t>240/375 (64)</w:t>
            </w:r>
          </w:p>
        </w:tc>
        <w:tc>
          <w:tcPr>
            <w:tcW w:w="701" w:type="pct"/>
            <w:shd w:val="clear" w:color="auto" w:fill="auto"/>
          </w:tcPr>
          <w:p w14:paraId="4965ECC5" w14:textId="77777777" w:rsidR="00F03CD4" w:rsidRPr="0040534B" w:rsidRDefault="00F03CD4" w:rsidP="004844B8">
            <w:pPr>
              <w:pStyle w:val="TableText0"/>
              <w:keepLines/>
              <w:jc w:val="center"/>
              <w:rPr>
                <w:bCs w:val="0"/>
              </w:rPr>
            </w:pPr>
            <w:r w:rsidRPr="0040534B">
              <w:rPr>
                <w:bCs w:val="0"/>
              </w:rPr>
              <w:t>1.1 (1.0, 1.2)</w:t>
            </w:r>
          </w:p>
        </w:tc>
        <w:tc>
          <w:tcPr>
            <w:tcW w:w="905" w:type="pct"/>
            <w:shd w:val="clear" w:color="auto" w:fill="auto"/>
          </w:tcPr>
          <w:p w14:paraId="66391423" w14:textId="77777777" w:rsidR="00F03CD4" w:rsidRPr="0040534B" w:rsidRDefault="00F03CD4" w:rsidP="004844B8">
            <w:pPr>
              <w:pStyle w:val="TableText0"/>
              <w:keepLines/>
              <w:jc w:val="center"/>
              <w:rPr>
                <w:bCs w:val="0"/>
              </w:rPr>
            </w:pPr>
            <w:r w:rsidRPr="0040534B">
              <w:rPr>
                <w:bCs w:val="0"/>
              </w:rPr>
              <w:t>0.06 (-0.00, 0.13)</w:t>
            </w:r>
          </w:p>
        </w:tc>
      </w:tr>
      <w:tr w:rsidR="00F03CD4" w:rsidRPr="0040534B" w14:paraId="2E3759BE" w14:textId="77777777" w:rsidTr="00C124DD">
        <w:tc>
          <w:tcPr>
            <w:tcW w:w="744" w:type="pct"/>
            <w:vMerge/>
            <w:vAlign w:val="center"/>
          </w:tcPr>
          <w:p w14:paraId="73D0BA22" w14:textId="77777777" w:rsidR="00F03CD4" w:rsidRPr="0040534B" w:rsidRDefault="00F03CD4" w:rsidP="004844B8">
            <w:pPr>
              <w:pStyle w:val="TableText0"/>
              <w:keepLines/>
            </w:pPr>
          </w:p>
        </w:tc>
        <w:tc>
          <w:tcPr>
            <w:tcW w:w="1085" w:type="pct"/>
            <w:vAlign w:val="center"/>
          </w:tcPr>
          <w:p w14:paraId="2981A0F7" w14:textId="56EBF4C5"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6D08EBE2" w14:textId="77777777" w:rsidR="00F03CD4" w:rsidRPr="0040534B" w:rsidRDefault="00F03CD4" w:rsidP="004844B8">
            <w:pPr>
              <w:pStyle w:val="TableText0"/>
              <w:keepLines/>
              <w:jc w:val="center"/>
            </w:pPr>
            <w:r w:rsidRPr="0040534B">
              <w:t>270/379 (71)</w:t>
            </w:r>
          </w:p>
        </w:tc>
        <w:tc>
          <w:tcPr>
            <w:tcW w:w="784" w:type="pct"/>
          </w:tcPr>
          <w:p w14:paraId="0A4E3A3C" w14:textId="77777777" w:rsidR="00F03CD4" w:rsidRPr="0040534B" w:rsidRDefault="00F03CD4" w:rsidP="004844B8">
            <w:pPr>
              <w:pStyle w:val="TableText0"/>
              <w:keepLines/>
              <w:jc w:val="center"/>
            </w:pPr>
            <w:r w:rsidRPr="0040534B">
              <w:t>240/375 (64)</w:t>
            </w:r>
          </w:p>
        </w:tc>
        <w:tc>
          <w:tcPr>
            <w:tcW w:w="701" w:type="pct"/>
            <w:shd w:val="clear" w:color="auto" w:fill="auto"/>
          </w:tcPr>
          <w:p w14:paraId="761CD075" w14:textId="77777777" w:rsidR="00F03CD4" w:rsidRPr="0040534B" w:rsidRDefault="00F03CD4" w:rsidP="004844B8">
            <w:pPr>
              <w:pStyle w:val="TableText0"/>
              <w:keepLines/>
              <w:jc w:val="center"/>
              <w:rPr>
                <w:bCs w:val="0"/>
              </w:rPr>
            </w:pPr>
            <w:r w:rsidRPr="0040534B">
              <w:rPr>
                <w:bCs w:val="0"/>
              </w:rPr>
              <w:t>1.1 (1.0, 1.2)</w:t>
            </w:r>
          </w:p>
        </w:tc>
        <w:tc>
          <w:tcPr>
            <w:tcW w:w="905" w:type="pct"/>
            <w:shd w:val="clear" w:color="auto" w:fill="auto"/>
          </w:tcPr>
          <w:p w14:paraId="4A760F57" w14:textId="77777777" w:rsidR="00F03CD4" w:rsidRPr="0040534B" w:rsidRDefault="00F03CD4" w:rsidP="004844B8">
            <w:pPr>
              <w:pStyle w:val="TableText0"/>
              <w:keepLines/>
              <w:jc w:val="center"/>
              <w:rPr>
                <w:bCs w:val="0"/>
              </w:rPr>
            </w:pPr>
            <w:r w:rsidRPr="0040534B">
              <w:rPr>
                <w:bCs w:val="0"/>
              </w:rPr>
              <w:t>0.07 (0.01, 0.14)</w:t>
            </w:r>
          </w:p>
        </w:tc>
      </w:tr>
      <w:tr w:rsidR="00F03CD4" w:rsidRPr="0040534B" w14:paraId="19DEEB31" w14:textId="77777777" w:rsidTr="00C124DD">
        <w:tc>
          <w:tcPr>
            <w:tcW w:w="744" w:type="pct"/>
            <w:vMerge w:val="restart"/>
            <w:vAlign w:val="center"/>
          </w:tcPr>
          <w:p w14:paraId="1C7A9F66" w14:textId="77777777" w:rsidR="00F03CD4" w:rsidRPr="0040534B" w:rsidRDefault="00F03CD4" w:rsidP="004844B8">
            <w:pPr>
              <w:pStyle w:val="TableText0"/>
              <w:keepLines/>
            </w:pPr>
            <w:r w:rsidRPr="0040534B">
              <w:t>FOCUS</w:t>
            </w:r>
            <w:r w:rsidRPr="0040534B">
              <w:rPr>
                <w:vertAlign w:val="superscript"/>
              </w:rPr>
              <w:t>a,b</w:t>
            </w:r>
          </w:p>
        </w:tc>
        <w:tc>
          <w:tcPr>
            <w:tcW w:w="1085" w:type="pct"/>
            <w:vAlign w:val="center"/>
          </w:tcPr>
          <w:p w14:paraId="2741C993" w14:textId="351A01FC"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21DEC4C0" w14:textId="77777777" w:rsidR="00F03CD4" w:rsidRPr="0040534B" w:rsidRDefault="00F03CD4" w:rsidP="004844B8">
            <w:pPr>
              <w:pStyle w:val="TableText0"/>
              <w:keepLines/>
              <w:jc w:val="center"/>
            </w:pPr>
            <w:r w:rsidRPr="0040534B">
              <w:t>151/276 (55)</w:t>
            </w:r>
          </w:p>
        </w:tc>
        <w:tc>
          <w:tcPr>
            <w:tcW w:w="784" w:type="pct"/>
          </w:tcPr>
          <w:p w14:paraId="7A2EC400" w14:textId="77777777" w:rsidR="00F03CD4" w:rsidRPr="0040534B" w:rsidRDefault="00F03CD4" w:rsidP="004844B8">
            <w:pPr>
              <w:pStyle w:val="TableText0"/>
              <w:keepLines/>
              <w:jc w:val="center"/>
            </w:pPr>
            <w:r w:rsidRPr="0040534B">
              <w:t>134/277(48)</w:t>
            </w:r>
          </w:p>
        </w:tc>
        <w:tc>
          <w:tcPr>
            <w:tcW w:w="701" w:type="pct"/>
            <w:shd w:val="clear" w:color="auto" w:fill="auto"/>
          </w:tcPr>
          <w:p w14:paraId="6F22346D" w14:textId="77777777" w:rsidR="00F03CD4" w:rsidRPr="0040534B" w:rsidRDefault="00F03CD4" w:rsidP="004844B8">
            <w:pPr>
              <w:pStyle w:val="TableText0"/>
              <w:keepLines/>
              <w:jc w:val="center"/>
              <w:rPr>
                <w:bCs w:val="0"/>
              </w:rPr>
            </w:pPr>
            <w:r w:rsidRPr="0040534B">
              <w:rPr>
                <w:bCs w:val="0"/>
              </w:rPr>
              <w:t>1.1 (1.0, 1.3)</w:t>
            </w:r>
          </w:p>
        </w:tc>
        <w:tc>
          <w:tcPr>
            <w:tcW w:w="905" w:type="pct"/>
            <w:shd w:val="clear" w:color="auto" w:fill="auto"/>
          </w:tcPr>
          <w:p w14:paraId="0E422054" w14:textId="77777777" w:rsidR="00F03CD4" w:rsidRPr="0040534B" w:rsidRDefault="00F03CD4" w:rsidP="004844B8">
            <w:pPr>
              <w:pStyle w:val="TableText0"/>
              <w:keepLines/>
              <w:jc w:val="center"/>
              <w:rPr>
                <w:bCs w:val="0"/>
              </w:rPr>
            </w:pPr>
            <w:r w:rsidRPr="0040534B">
              <w:rPr>
                <w:bCs w:val="0"/>
              </w:rPr>
              <w:t>0.06 (-0.02, 0.15)</w:t>
            </w:r>
          </w:p>
        </w:tc>
      </w:tr>
      <w:tr w:rsidR="00F03CD4" w:rsidRPr="0040534B" w14:paraId="0FAFF9E8" w14:textId="77777777" w:rsidTr="00C124DD">
        <w:tc>
          <w:tcPr>
            <w:tcW w:w="744" w:type="pct"/>
            <w:vMerge/>
            <w:vAlign w:val="center"/>
          </w:tcPr>
          <w:p w14:paraId="17F184E1" w14:textId="77777777" w:rsidR="00F03CD4" w:rsidRPr="0040534B" w:rsidRDefault="00F03CD4" w:rsidP="004844B8">
            <w:pPr>
              <w:pStyle w:val="TableText0"/>
              <w:keepLines/>
            </w:pPr>
          </w:p>
        </w:tc>
        <w:tc>
          <w:tcPr>
            <w:tcW w:w="1085" w:type="pct"/>
            <w:vAlign w:val="center"/>
          </w:tcPr>
          <w:p w14:paraId="2783698E" w14:textId="41CAE0E9"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777540CD" w14:textId="77777777" w:rsidR="00F03CD4" w:rsidRPr="0040534B" w:rsidRDefault="00F03CD4" w:rsidP="004844B8">
            <w:pPr>
              <w:pStyle w:val="TableText0"/>
              <w:keepLines/>
              <w:jc w:val="center"/>
            </w:pPr>
            <w:r w:rsidRPr="0040534B">
              <w:t>129/285 (45)</w:t>
            </w:r>
          </w:p>
        </w:tc>
        <w:tc>
          <w:tcPr>
            <w:tcW w:w="784" w:type="pct"/>
          </w:tcPr>
          <w:p w14:paraId="6843FEF8" w14:textId="77777777" w:rsidR="00F03CD4" w:rsidRPr="0040534B" w:rsidRDefault="00F03CD4" w:rsidP="004844B8">
            <w:pPr>
              <w:pStyle w:val="TableText0"/>
              <w:keepLines/>
              <w:jc w:val="center"/>
            </w:pPr>
            <w:r w:rsidRPr="0040534B">
              <w:t>134/277 (48)</w:t>
            </w:r>
          </w:p>
        </w:tc>
        <w:tc>
          <w:tcPr>
            <w:tcW w:w="701" w:type="pct"/>
            <w:shd w:val="clear" w:color="auto" w:fill="auto"/>
          </w:tcPr>
          <w:p w14:paraId="13994BBC" w14:textId="77777777" w:rsidR="00F03CD4" w:rsidRPr="0040534B" w:rsidRDefault="00F03CD4" w:rsidP="004844B8">
            <w:pPr>
              <w:pStyle w:val="TableText0"/>
              <w:keepLines/>
              <w:jc w:val="center"/>
              <w:rPr>
                <w:bCs w:val="0"/>
              </w:rPr>
            </w:pPr>
            <w:r w:rsidRPr="0040534B">
              <w:rPr>
                <w:bCs w:val="0"/>
              </w:rPr>
              <w:t>0.9 (0.8, 1.1)</w:t>
            </w:r>
          </w:p>
        </w:tc>
        <w:tc>
          <w:tcPr>
            <w:tcW w:w="905" w:type="pct"/>
            <w:shd w:val="clear" w:color="auto" w:fill="auto"/>
          </w:tcPr>
          <w:p w14:paraId="7AFB2464" w14:textId="77777777" w:rsidR="00F03CD4" w:rsidRPr="0040534B" w:rsidRDefault="00F03CD4" w:rsidP="004844B8">
            <w:pPr>
              <w:pStyle w:val="TableText0"/>
              <w:keepLines/>
              <w:jc w:val="center"/>
              <w:rPr>
                <w:bCs w:val="0"/>
              </w:rPr>
            </w:pPr>
            <w:r w:rsidRPr="0040534B">
              <w:rPr>
                <w:bCs w:val="0"/>
              </w:rPr>
              <w:t>-0.03 (-0.11, 0.05)</w:t>
            </w:r>
          </w:p>
        </w:tc>
      </w:tr>
      <w:tr w:rsidR="00F03CD4" w:rsidRPr="0040534B" w14:paraId="731241F0" w14:textId="77777777" w:rsidTr="00C124DD">
        <w:tc>
          <w:tcPr>
            <w:tcW w:w="744" w:type="pct"/>
            <w:vMerge w:val="restart"/>
            <w:vAlign w:val="center"/>
          </w:tcPr>
          <w:p w14:paraId="6D12EA35" w14:textId="77777777" w:rsidR="00F03CD4" w:rsidRPr="0040534B" w:rsidRDefault="00F03CD4" w:rsidP="004844B8">
            <w:pPr>
              <w:pStyle w:val="TableText0"/>
              <w:keepLines/>
            </w:pPr>
            <w:r w:rsidRPr="0040534B">
              <w:t>NCT03303079</w:t>
            </w:r>
            <w:r w:rsidRPr="0040534B">
              <w:rPr>
                <w:vertAlign w:val="superscript"/>
              </w:rPr>
              <w:t>b</w:t>
            </w:r>
          </w:p>
        </w:tc>
        <w:tc>
          <w:tcPr>
            <w:tcW w:w="1085" w:type="pct"/>
            <w:vAlign w:val="center"/>
          </w:tcPr>
          <w:p w14:paraId="09AFE48D" w14:textId="1F23259C"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3BDF9AEA" w14:textId="77777777" w:rsidR="00F03CD4" w:rsidRPr="0040534B" w:rsidRDefault="00F03CD4" w:rsidP="004844B8">
            <w:pPr>
              <w:pStyle w:val="TableText0"/>
              <w:keepLines/>
              <w:jc w:val="center"/>
            </w:pPr>
            <w:r w:rsidRPr="0040534B">
              <w:t>116/190 (61.1)</w:t>
            </w:r>
          </w:p>
        </w:tc>
        <w:tc>
          <w:tcPr>
            <w:tcW w:w="784" w:type="pct"/>
          </w:tcPr>
          <w:p w14:paraId="0C46C480" w14:textId="77777777" w:rsidR="00F03CD4" w:rsidRPr="0040534B" w:rsidRDefault="00F03CD4" w:rsidP="004844B8">
            <w:pPr>
              <w:pStyle w:val="TableText0"/>
              <w:keepLines/>
              <w:jc w:val="center"/>
            </w:pPr>
            <w:r w:rsidRPr="0040534B">
              <w:t>118/191 (61.8)</w:t>
            </w:r>
          </w:p>
        </w:tc>
        <w:tc>
          <w:tcPr>
            <w:tcW w:w="701" w:type="pct"/>
            <w:shd w:val="clear" w:color="auto" w:fill="auto"/>
          </w:tcPr>
          <w:p w14:paraId="11ED0C8A" w14:textId="77777777" w:rsidR="00F03CD4" w:rsidRPr="0040534B" w:rsidRDefault="00F03CD4" w:rsidP="004844B8">
            <w:pPr>
              <w:pStyle w:val="TableText0"/>
              <w:keepLines/>
              <w:jc w:val="center"/>
              <w:rPr>
                <w:bCs w:val="0"/>
              </w:rPr>
            </w:pPr>
            <w:r w:rsidRPr="0040534B">
              <w:rPr>
                <w:bCs w:val="0"/>
              </w:rPr>
              <w:t>1.0 (0.8, 1.2)</w:t>
            </w:r>
          </w:p>
        </w:tc>
        <w:tc>
          <w:tcPr>
            <w:tcW w:w="905" w:type="pct"/>
            <w:shd w:val="clear" w:color="auto" w:fill="auto"/>
            <w:vAlign w:val="center"/>
          </w:tcPr>
          <w:p w14:paraId="4E06B9C9" w14:textId="77777777" w:rsidR="00F03CD4" w:rsidRPr="0040534B" w:rsidRDefault="00F03CD4" w:rsidP="004844B8">
            <w:pPr>
              <w:pStyle w:val="TableText0"/>
              <w:keepLines/>
              <w:jc w:val="center"/>
              <w:rPr>
                <w:bCs w:val="0"/>
              </w:rPr>
            </w:pPr>
            <w:r w:rsidRPr="0040534B">
              <w:rPr>
                <w:bCs w:val="0"/>
              </w:rPr>
              <w:t>-0.01 (-0.11, 0.09)</w:t>
            </w:r>
          </w:p>
        </w:tc>
      </w:tr>
      <w:tr w:rsidR="00F03CD4" w:rsidRPr="0040534B" w14:paraId="35CA61A9" w14:textId="77777777" w:rsidTr="00C124DD">
        <w:tc>
          <w:tcPr>
            <w:tcW w:w="744" w:type="pct"/>
            <w:vMerge/>
            <w:vAlign w:val="center"/>
          </w:tcPr>
          <w:p w14:paraId="1E787FF0" w14:textId="77777777" w:rsidR="00F03CD4" w:rsidRPr="0040534B" w:rsidRDefault="00F03CD4" w:rsidP="004844B8">
            <w:pPr>
              <w:pStyle w:val="TableText0"/>
              <w:keepLines/>
            </w:pPr>
          </w:p>
        </w:tc>
        <w:tc>
          <w:tcPr>
            <w:tcW w:w="1085" w:type="pct"/>
            <w:vAlign w:val="center"/>
          </w:tcPr>
          <w:p w14:paraId="0FD0D576" w14:textId="226698C8"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5999B6FB" w14:textId="77777777" w:rsidR="00F03CD4" w:rsidRPr="0040534B" w:rsidRDefault="00F03CD4" w:rsidP="004844B8">
            <w:pPr>
              <w:pStyle w:val="TableText0"/>
              <w:keepLines/>
              <w:jc w:val="center"/>
            </w:pPr>
            <w:r w:rsidRPr="0040534B">
              <w:t>116/188 (61.7)</w:t>
            </w:r>
          </w:p>
        </w:tc>
        <w:tc>
          <w:tcPr>
            <w:tcW w:w="784" w:type="pct"/>
          </w:tcPr>
          <w:p w14:paraId="790D8DFA" w14:textId="77777777" w:rsidR="00F03CD4" w:rsidRPr="0040534B" w:rsidRDefault="00F03CD4" w:rsidP="004844B8">
            <w:pPr>
              <w:pStyle w:val="TableText0"/>
              <w:keepLines/>
              <w:jc w:val="center"/>
            </w:pPr>
            <w:r w:rsidRPr="0040534B">
              <w:t>118/191 (61.8)</w:t>
            </w:r>
          </w:p>
        </w:tc>
        <w:tc>
          <w:tcPr>
            <w:tcW w:w="701" w:type="pct"/>
            <w:shd w:val="clear" w:color="auto" w:fill="auto"/>
          </w:tcPr>
          <w:p w14:paraId="180CA503" w14:textId="77777777" w:rsidR="00F03CD4" w:rsidRPr="0040534B" w:rsidRDefault="00F03CD4" w:rsidP="004844B8">
            <w:pPr>
              <w:pStyle w:val="TableText0"/>
              <w:keepLines/>
              <w:jc w:val="center"/>
            </w:pPr>
            <w:r w:rsidRPr="0040534B">
              <w:t>1.0 (0.9, 1.2)</w:t>
            </w:r>
          </w:p>
        </w:tc>
        <w:tc>
          <w:tcPr>
            <w:tcW w:w="905" w:type="pct"/>
            <w:shd w:val="clear" w:color="auto" w:fill="auto"/>
            <w:vAlign w:val="center"/>
          </w:tcPr>
          <w:p w14:paraId="38231ADD" w14:textId="77777777" w:rsidR="00F03CD4" w:rsidRPr="0040534B" w:rsidRDefault="00F03CD4" w:rsidP="004844B8">
            <w:pPr>
              <w:pStyle w:val="TableText0"/>
              <w:keepLines/>
              <w:jc w:val="center"/>
            </w:pPr>
            <w:r w:rsidRPr="0040534B">
              <w:t>-0.00 (-0.10, 0.10)</w:t>
            </w:r>
          </w:p>
        </w:tc>
      </w:tr>
      <w:tr w:rsidR="00F03CD4" w:rsidRPr="0040534B" w14:paraId="09BAE751" w14:textId="77777777" w:rsidTr="00C124DD">
        <w:tc>
          <w:tcPr>
            <w:tcW w:w="4095" w:type="pct"/>
            <w:gridSpan w:val="5"/>
          </w:tcPr>
          <w:p w14:paraId="30114DE9" w14:textId="77777777" w:rsidR="00F03CD4" w:rsidRPr="0040534B" w:rsidRDefault="00F03CD4" w:rsidP="004844B8">
            <w:pPr>
              <w:pStyle w:val="TableText0"/>
              <w:keepLines/>
              <w:rPr>
                <w:b/>
                <w:bCs w:val="0"/>
              </w:rPr>
            </w:pPr>
            <w:r w:rsidRPr="0040534B">
              <w:rPr>
                <w:b/>
                <w:bCs w:val="0"/>
              </w:rPr>
              <w:t>Any serious AE</w:t>
            </w:r>
          </w:p>
        </w:tc>
        <w:tc>
          <w:tcPr>
            <w:tcW w:w="905" w:type="pct"/>
          </w:tcPr>
          <w:p w14:paraId="22E6C25B" w14:textId="77777777" w:rsidR="00F03CD4" w:rsidRPr="0040534B" w:rsidRDefault="00F03CD4" w:rsidP="004844B8">
            <w:pPr>
              <w:pStyle w:val="TableText0"/>
              <w:keepLines/>
            </w:pPr>
          </w:p>
        </w:tc>
      </w:tr>
      <w:tr w:rsidR="00F03CD4" w:rsidRPr="0040534B" w14:paraId="24BAE845" w14:textId="77777777" w:rsidTr="00C124DD">
        <w:tc>
          <w:tcPr>
            <w:tcW w:w="744" w:type="pct"/>
            <w:vAlign w:val="center"/>
          </w:tcPr>
          <w:p w14:paraId="6248C220" w14:textId="77777777" w:rsidR="00F03CD4" w:rsidRPr="0040534B" w:rsidRDefault="00F03CD4" w:rsidP="004844B8">
            <w:pPr>
              <w:pStyle w:val="TableText0"/>
              <w:keepLines/>
            </w:pPr>
            <w:r w:rsidRPr="0040534B">
              <w:t>PROGRESS</w:t>
            </w:r>
          </w:p>
        </w:tc>
        <w:tc>
          <w:tcPr>
            <w:tcW w:w="1085" w:type="pct"/>
          </w:tcPr>
          <w:p w14:paraId="1C4C2C34" w14:textId="54FFF298" w:rsidR="00F03CD4" w:rsidRPr="0040534B" w:rsidRDefault="00F03CD4" w:rsidP="004844B8">
            <w:pPr>
              <w:pStyle w:val="TableText0"/>
              <w:keepLines/>
            </w:pPr>
            <w:r w:rsidRPr="0040534B">
              <w:t>ATOG 60</w:t>
            </w:r>
            <w:r w:rsidR="006F04A7" w:rsidRPr="0040534B">
              <w:t xml:space="preserve"> </w:t>
            </w:r>
            <w:r w:rsidRPr="0040534B">
              <w:t>mg vs. PBO</w:t>
            </w:r>
          </w:p>
        </w:tc>
        <w:tc>
          <w:tcPr>
            <w:tcW w:w="781" w:type="pct"/>
          </w:tcPr>
          <w:p w14:paraId="314893EB" w14:textId="77777777" w:rsidR="00F03CD4" w:rsidRPr="0040534B" w:rsidRDefault="00F03CD4" w:rsidP="004844B8">
            <w:pPr>
              <w:pStyle w:val="TableText0"/>
              <w:keepLines/>
              <w:jc w:val="center"/>
            </w:pPr>
            <w:r w:rsidRPr="0040534B">
              <w:t>7/261 (2.7)</w:t>
            </w:r>
          </w:p>
        </w:tc>
        <w:tc>
          <w:tcPr>
            <w:tcW w:w="784" w:type="pct"/>
          </w:tcPr>
          <w:p w14:paraId="485F6DB8" w14:textId="77777777" w:rsidR="00F03CD4" w:rsidRPr="0040534B" w:rsidRDefault="00F03CD4" w:rsidP="004844B8">
            <w:pPr>
              <w:pStyle w:val="TableText0"/>
              <w:keepLines/>
              <w:jc w:val="center"/>
            </w:pPr>
            <w:r w:rsidRPr="0040534B">
              <w:t>3/255 (1.2)</w:t>
            </w:r>
          </w:p>
        </w:tc>
        <w:tc>
          <w:tcPr>
            <w:tcW w:w="701" w:type="pct"/>
          </w:tcPr>
          <w:p w14:paraId="10011366" w14:textId="77777777" w:rsidR="00F03CD4" w:rsidRPr="0040534B" w:rsidRDefault="00F03CD4" w:rsidP="004844B8">
            <w:pPr>
              <w:pStyle w:val="TableText0"/>
              <w:keepLines/>
              <w:jc w:val="center"/>
            </w:pPr>
            <w:r w:rsidRPr="0040534B">
              <w:t>2.3 (0.6, 8.7)</w:t>
            </w:r>
          </w:p>
        </w:tc>
        <w:tc>
          <w:tcPr>
            <w:tcW w:w="905" w:type="pct"/>
          </w:tcPr>
          <w:p w14:paraId="1451E495" w14:textId="77777777" w:rsidR="00F03CD4" w:rsidRPr="0040534B" w:rsidRDefault="00F03CD4" w:rsidP="004844B8">
            <w:pPr>
              <w:pStyle w:val="TableText0"/>
              <w:keepLines/>
              <w:jc w:val="center"/>
            </w:pPr>
            <w:r w:rsidRPr="0040534B">
              <w:t>0.02 (-0.01, 0.04)</w:t>
            </w:r>
          </w:p>
        </w:tc>
      </w:tr>
      <w:tr w:rsidR="00F03CD4" w:rsidRPr="0040534B" w14:paraId="34E50DFF" w14:textId="77777777" w:rsidTr="00C124DD">
        <w:tc>
          <w:tcPr>
            <w:tcW w:w="744" w:type="pct"/>
            <w:vAlign w:val="center"/>
          </w:tcPr>
          <w:p w14:paraId="316D6520" w14:textId="77777777" w:rsidR="00F03CD4" w:rsidRPr="0040534B" w:rsidRDefault="00F03CD4" w:rsidP="004844B8">
            <w:pPr>
              <w:pStyle w:val="TableText0"/>
              <w:keepLines/>
            </w:pPr>
            <w:r w:rsidRPr="0040534B">
              <w:t>REGAIN</w:t>
            </w:r>
          </w:p>
        </w:tc>
        <w:tc>
          <w:tcPr>
            <w:tcW w:w="1085" w:type="pct"/>
            <w:vAlign w:val="center"/>
          </w:tcPr>
          <w:p w14:paraId="4CCD5018" w14:textId="05F5B78D" w:rsidR="00F03CD4" w:rsidRPr="0040534B" w:rsidRDefault="00F03CD4" w:rsidP="004844B8">
            <w:pPr>
              <w:pStyle w:val="TableText0"/>
              <w:keepLines/>
            </w:pPr>
            <w:r w:rsidRPr="0040534B">
              <w:t>GAL 120</w:t>
            </w:r>
            <w:r w:rsidR="006F04A7" w:rsidRPr="0040534B">
              <w:t xml:space="preserve"> </w:t>
            </w:r>
            <w:r w:rsidRPr="0040534B">
              <w:t>mg vs. PBO</w:t>
            </w:r>
          </w:p>
        </w:tc>
        <w:tc>
          <w:tcPr>
            <w:tcW w:w="781" w:type="pct"/>
          </w:tcPr>
          <w:p w14:paraId="7B868FE4" w14:textId="77777777" w:rsidR="00F03CD4" w:rsidRPr="0040534B" w:rsidRDefault="00F03CD4" w:rsidP="004844B8">
            <w:pPr>
              <w:pStyle w:val="TableText0"/>
              <w:keepLines/>
              <w:jc w:val="center"/>
            </w:pPr>
            <w:r w:rsidRPr="0040534B">
              <w:t>1/273 (&lt;1)</w:t>
            </w:r>
          </w:p>
        </w:tc>
        <w:tc>
          <w:tcPr>
            <w:tcW w:w="784" w:type="pct"/>
          </w:tcPr>
          <w:p w14:paraId="744B2299" w14:textId="77777777" w:rsidR="00F03CD4" w:rsidRPr="0040534B" w:rsidRDefault="00F03CD4" w:rsidP="004844B8">
            <w:pPr>
              <w:pStyle w:val="TableText0"/>
              <w:keepLines/>
              <w:jc w:val="center"/>
            </w:pPr>
            <w:r w:rsidRPr="0040534B">
              <w:t>4/588 (&lt;1)</w:t>
            </w:r>
          </w:p>
        </w:tc>
        <w:tc>
          <w:tcPr>
            <w:tcW w:w="701" w:type="pct"/>
          </w:tcPr>
          <w:p w14:paraId="017B42B2" w14:textId="77777777" w:rsidR="00F03CD4" w:rsidRPr="0040534B" w:rsidRDefault="00F03CD4" w:rsidP="004844B8">
            <w:pPr>
              <w:pStyle w:val="TableText0"/>
              <w:keepLines/>
              <w:jc w:val="center"/>
            </w:pPr>
            <w:r w:rsidRPr="0040534B">
              <w:t>0.54 (0.1, 4.8)</w:t>
            </w:r>
          </w:p>
        </w:tc>
        <w:tc>
          <w:tcPr>
            <w:tcW w:w="905" w:type="pct"/>
          </w:tcPr>
          <w:p w14:paraId="70BA448F" w14:textId="77777777" w:rsidR="00F03CD4" w:rsidRPr="0040534B" w:rsidRDefault="00F03CD4" w:rsidP="004844B8">
            <w:pPr>
              <w:pStyle w:val="TableText0"/>
              <w:keepLines/>
              <w:jc w:val="center"/>
            </w:pPr>
            <w:r w:rsidRPr="0040534B">
              <w:t>-0.00 (-0.01, 0.01)</w:t>
            </w:r>
          </w:p>
        </w:tc>
      </w:tr>
      <w:tr w:rsidR="00F03CD4" w:rsidRPr="0040534B" w14:paraId="63C8E713" w14:textId="77777777" w:rsidTr="00C124DD">
        <w:tc>
          <w:tcPr>
            <w:tcW w:w="744" w:type="pct"/>
            <w:vAlign w:val="center"/>
          </w:tcPr>
          <w:p w14:paraId="5256D22B" w14:textId="77777777" w:rsidR="00F03CD4" w:rsidRPr="0040534B" w:rsidRDefault="00F03CD4" w:rsidP="004844B8">
            <w:pPr>
              <w:pStyle w:val="TableText0"/>
              <w:keepLines/>
            </w:pPr>
            <w:r w:rsidRPr="0040534B">
              <w:t>CONQUER</w:t>
            </w:r>
            <w:r w:rsidRPr="0040534B">
              <w:rPr>
                <w:vertAlign w:val="superscript"/>
              </w:rPr>
              <w:t>a</w:t>
            </w:r>
          </w:p>
        </w:tc>
        <w:tc>
          <w:tcPr>
            <w:tcW w:w="1085" w:type="pct"/>
            <w:vAlign w:val="center"/>
          </w:tcPr>
          <w:p w14:paraId="67C98FFD" w14:textId="3E8F5A6A" w:rsidR="00F03CD4" w:rsidRPr="0040534B" w:rsidRDefault="00F03CD4" w:rsidP="004844B8">
            <w:pPr>
              <w:pStyle w:val="TableText0"/>
              <w:keepLines/>
            </w:pPr>
            <w:r w:rsidRPr="0040534B">
              <w:t>GAL 120</w:t>
            </w:r>
            <w:r w:rsidR="006F04A7" w:rsidRPr="0040534B">
              <w:t xml:space="preserve"> </w:t>
            </w:r>
            <w:r w:rsidRPr="0040534B">
              <w:t>mg vs. PBO</w:t>
            </w:r>
          </w:p>
        </w:tc>
        <w:tc>
          <w:tcPr>
            <w:tcW w:w="781" w:type="pct"/>
          </w:tcPr>
          <w:p w14:paraId="3AA5CAFB" w14:textId="77777777" w:rsidR="00F03CD4" w:rsidRPr="0040534B" w:rsidRDefault="00F03CD4" w:rsidP="004844B8">
            <w:pPr>
              <w:pStyle w:val="TableText0"/>
              <w:keepLines/>
              <w:jc w:val="center"/>
            </w:pPr>
            <w:r w:rsidRPr="0040534B">
              <w:t>2/232 (1)</w:t>
            </w:r>
          </w:p>
        </w:tc>
        <w:tc>
          <w:tcPr>
            <w:tcW w:w="784" w:type="pct"/>
          </w:tcPr>
          <w:p w14:paraId="0568D282" w14:textId="77777777" w:rsidR="00F03CD4" w:rsidRPr="0040534B" w:rsidRDefault="00F03CD4" w:rsidP="004844B8">
            <w:pPr>
              <w:pStyle w:val="TableText0"/>
              <w:keepLines/>
              <w:jc w:val="center"/>
            </w:pPr>
            <w:r w:rsidRPr="0040534B">
              <w:t>2/230 (1)</w:t>
            </w:r>
          </w:p>
        </w:tc>
        <w:tc>
          <w:tcPr>
            <w:tcW w:w="701" w:type="pct"/>
          </w:tcPr>
          <w:p w14:paraId="2160781B" w14:textId="77777777" w:rsidR="00F03CD4" w:rsidRPr="0040534B" w:rsidRDefault="00F03CD4" w:rsidP="004844B8">
            <w:pPr>
              <w:pStyle w:val="TableText0"/>
              <w:keepLines/>
              <w:jc w:val="center"/>
            </w:pPr>
            <w:r w:rsidRPr="0040534B">
              <w:t>1.0 (0.1, 7.0)</w:t>
            </w:r>
          </w:p>
        </w:tc>
        <w:tc>
          <w:tcPr>
            <w:tcW w:w="905" w:type="pct"/>
          </w:tcPr>
          <w:p w14:paraId="0CEC641A" w14:textId="77777777" w:rsidR="00F03CD4" w:rsidRPr="0040534B" w:rsidRDefault="00F03CD4" w:rsidP="004844B8">
            <w:pPr>
              <w:pStyle w:val="TableText0"/>
              <w:keepLines/>
              <w:jc w:val="center"/>
            </w:pPr>
            <w:r w:rsidRPr="0040534B">
              <w:t>-0.00 (-0.02, 0.02)</w:t>
            </w:r>
          </w:p>
        </w:tc>
      </w:tr>
      <w:tr w:rsidR="00F03CD4" w:rsidRPr="0040534B" w14:paraId="6DC1C0C3" w14:textId="77777777" w:rsidTr="00C124DD">
        <w:tc>
          <w:tcPr>
            <w:tcW w:w="744" w:type="pct"/>
            <w:vMerge w:val="restart"/>
            <w:vAlign w:val="center"/>
          </w:tcPr>
          <w:p w14:paraId="2D55B57F" w14:textId="77777777" w:rsidR="00F03CD4" w:rsidRPr="0040534B" w:rsidRDefault="00F03CD4" w:rsidP="004844B8">
            <w:pPr>
              <w:pStyle w:val="TableText0"/>
              <w:keepLines/>
            </w:pPr>
            <w:r w:rsidRPr="0040534B">
              <w:t>HALO-CM</w:t>
            </w:r>
            <w:r w:rsidRPr="0040534B">
              <w:rPr>
                <w:vertAlign w:val="superscript"/>
              </w:rPr>
              <w:t>b</w:t>
            </w:r>
          </w:p>
        </w:tc>
        <w:tc>
          <w:tcPr>
            <w:tcW w:w="1085" w:type="pct"/>
            <w:vAlign w:val="center"/>
          </w:tcPr>
          <w:p w14:paraId="4C208AB3" w14:textId="1C8C70B4"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1775CC66" w14:textId="77777777" w:rsidR="00F03CD4" w:rsidRPr="0040534B" w:rsidRDefault="00F03CD4" w:rsidP="004844B8">
            <w:pPr>
              <w:pStyle w:val="TableText0"/>
              <w:keepLines/>
              <w:jc w:val="center"/>
            </w:pPr>
            <w:r w:rsidRPr="0040534B">
              <w:t>3/376 (&lt;1)</w:t>
            </w:r>
          </w:p>
        </w:tc>
        <w:tc>
          <w:tcPr>
            <w:tcW w:w="784" w:type="pct"/>
          </w:tcPr>
          <w:p w14:paraId="1D2F1097" w14:textId="77777777" w:rsidR="00F03CD4" w:rsidRPr="0040534B" w:rsidRDefault="00F03CD4" w:rsidP="004844B8">
            <w:pPr>
              <w:pStyle w:val="TableText0"/>
              <w:keepLines/>
              <w:jc w:val="center"/>
            </w:pPr>
            <w:r w:rsidRPr="0040534B">
              <w:t>6/375 (2)</w:t>
            </w:r>
          </w:p>
        </w:tc>
        <w:tc>
          <w:tcPr>
            <w:tcW w:w="701" w:type="pct"/>
          </w:tcPr>
          <w:p w14:paraId="319C38CA" w14:textId="77777777" w:rsidR="00F03CD4" w:rsidRPr="0040534B" w:rsidRDefault="00F03CD4" w:rsidP="004844B8">
            <w:pPr>
              <w:pStyle w:val="TableText0"/>
              <w:keepLines/>
              <w:jc w:val="center"/>
            </w:pPr>
            <w:r w:rsidRPr="0040534B">
              <w:t>0.5 (0.1, 2.0)</w:t>
            </w:r>
          </w:p>
        </w:tc>
        <w:tc>
          <w:tcPr>
            <w:tcW w:w="905" w:type="pct"/>
          </w:tcPr>
          <w:p w14:paraId="513B5F3E" w14:textId="77777777" w:rsidR="00F03CD4" w:rsidRPr="0040534B" w:rsidRDefault="00F03CD4" w:rsidP="004844B8">
            <w:pPr>
              <w:pStyle w:val="TableText0"/>
              <w:keepLines/>
              <w:jc w:val="center"/>
            </w:pPr>
            <w:r w:rsidRPr="0040534B">
              <w:t>-0.01 (-0.02, 0.01)</w:t>
            </w:r>
          </w:p>
        </w:tc>
      </w:tr>
      <w:tr w:rsidR="00F03CD4" w:rsidRPr="0040534B" w14:paraId="4D6744EA" w14:textId="77777777" w:rsidTr="00C124DD">
        <w:tc>
          <w:tcPr>
            <w:tcW w:w="744" w:type="pct"/>
            <w:vMerge/>
            <w:vAlign w:val="center"/>
          </w:tcPr>
          <w:p w14:paraId="3D0CE09E" w14:textId="77777777" w:rsidR="00F03CD4" w:rsidRPr="0040534B" w:rsidRDefault="00F03CD4" w:rsidP="004844B8">
            <w:pPr>
              <w:pStyle w:val="TableText0"/>
              <w:keepLines/>
            </w:pPr>
          </w:p>
        </w:tc>
        <w:tc>
          <w:tcPr>
            <w:tcW w:w="1085" w:type="pct"/>
            <w:vAlign w:val="center"/>
          </w:tcPr>
          <w:p w14:paraId="3211D6E7" w14:textId="52CC7BF6"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716E3D06" w14:textId="77777777" w:rsidR="00F03CD4" w:rsidRPr="0040534B" w:rsidRDefault="00F03CD4" w:rsidP="004844B8">
            <w:pPr>
              <w:pStyle w:val="TableText0"/>
              <w:keepLines/>
              <w:jc w:val="center"/>
            </w:pPr>
            <w:r w:rsidRPr="0040534B">
              <w:t>5/379 (1)</w:t>
            </w:r>
          </w:p>
        </w:tc>
        <w:tc>
          <w:tcPr>
            <w:tcW w:w="784" w:type="pct"/>
          </w:tcPr>
          <w:p w14:paraId="2D27F89B" w14:textId="77777777" w:rsidR="00F03CD4" w:rsidRPr="0040534B" w:rsidRDefault="00F03CD4" w:rsidP="004844B8">
            <w:pPr>
              <w:pStyle w:val="TableText0"/>
              <w:keepLines/>
              <w:jc w:val="center"/>
            </w:pPr>
            <w:r w:rsidRPr="0040534B">
              <w:t>6/375 (2)</w:t>
            </w:r>
          </w:p>
        </w:tc>
        <w:tc>
          <w:tcPr>
            <w:tcW w:w="701" w:type="pct"/>
          </w:tcPr>
          <w:p w14:paraId="71791BA9" w14:textId="77777777" w:rsidR="00F03CD4" w:rsidRPr="0040534B" w:rsidRDefault="00F03CD4" w:rsidP="004844B8">
            <w:pPr>
              <w:pStyle w:val="TableText0"/>
              <w:keepLines/>
              <w:jc w:val="center"/>
            </w:pPr>
            <w:r w:rsidRPr="0040534B">
              <w:t>0.8 (0.3, 2.7)</w:t>
            </w:r>
          </w:p>
        </w:tc>
        <w:tc>
          <w:tcPr>
            <w:tcW w:w="905" w:type="pct"/>
          </w:tcPr>
          <w:p w14:paraId="4E271BED" w14:textId="77777777" w:rsidR="00F03CD4" w:rsidRPr="0040534B" w:rsidRDefault="00F03CD4" w:rsidP="004844B8">
            <w:pPr>
              <w:pStyle w:val="TableText0"/>
              <w:keepLines/>
              <w:jc w:val="center"/>
            </w:pPr>
            <w:r w:rsidRPr="0040534B">
              <w:t>-0.00 (-0.02, 0.01)</w:t>
            </w:r>
          </w:p>
        </w:tc>
      </w:tr>
      <w:tr w:rsidR="00F03CD4" w:rsidRPr="0040534B" w14:paraId="45DD147D" w14:textId="77777777" w:rsidTr="00C124DD">
        <w:tc>
          <w:tcPr>
            <w:tcW w:w="744" w:type="pct"/>
            <w:vMerge w:val="restart"/>
            <w:vAlign w:val="center"/>
          </w:tcPr>
          <w:p w14:paraId="0DCB9B7A" w14:textId="77777777" w:rsidR="00F03CD4" w:rsidRPr="0040534B" w:rsidRDefault="00F03CD4" w:rsidP="004844B8">
            <w:pPr>
              <w:pStyle w:val="TableText0"/>
              <w:keepLines/>
            </w:pPr>
            <w:r w:rsidRPr="0040534B">
              <w:t>FOCUS</w:t>
            </w:r>
            <w:r w:rsidRPr="0040534B">
              <w:rPr>
                <w:vertAlign w:val="superscript"/>
              </w:rPr>
              <w:t>a,b</w:t>
            </w:r>
          </w:p>
        </w:tc>
        <w:tc>
          <w:tcPr>
            <w:tcW w:w="1085" w:type="pct"/>
            <w:vAlign w:val="center"/>
          </w:tcPr>
          <w:p w14:paraId="57186253" w14:textId="09BC6CA7"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5D80DD2C" w14:textId="77777777" w:rsidR="00F03CD4" w:rsidRPr="0040534B" w:rsidRDefault="00F03CD4" w:rsidP="004844B8">
            <w:pPr>
              <w:pStyle w:val="TableText0"/>
              <w:keepLines/>
              <w:jc w:val="center"/>
            </w:pPr>
            <w:r w:rsidRPr="0040534B">
              <w:t>2/276 (&lt;1)</w:t>
            </w:r>
          </w:p>
        </w:tc>
        <w:tc>
          <w:tcPr>
            <w:tcW w:w="784" w:type="pct"/>
          </w:tcPr>
          <w:p w14:paraId="33B1C4B7" w14:textId="77777777" w:rsidR="00F03CD4" w:rsidRPr="0040534B" w:rsidRDefault="00F03CD4" w:rsidP="004844B8">
            <w:pPr>
              <w:pStyle w:val="TableText0"/>
              <w:keepLines/>
              <w:jc w:val="center"/>
            </w:pPr>
            <w:r w:rsidRPr="0040534B">
              <w:t>4/277 (1)</w:t>
            </w:r>
          </w:p>
        </w:tc>
        <w:tc>
          <w:tcPr>
            <w:tcW w:w="701" w:type="pct"/>
          </w:tcPr>
          <w:p w14:paraId="45D47141" w14:textId="77777777" w:rsidR="00F03CD4" w:rsidRPr="0040534B" w:rsidRDefault="00F03CD4" w:rsidP="004844B8">
            <w:pPr>
              <w:pStyle w:val="TableText0"/>
              <w:keepLines/>
              <w:jc w:val="center"/>
            </w:pPr>
            <w:r w:rsidRPr="0040534B">
              <w:t>0.5 (0.1, 2.7)</w:t>
            </w:r>
          </w:p>
        </w:tc>
        <w:tc>
          <w:tcPr>
            <w:tcW w:w="905" w:type="pct"/>
          </w:tcPr>
          <w:p w14:paraId="02099D1D" w14:textId="77777777" w:rsidR="00F03CD4" w:rsidRPr="0040534B" w:rsidRDefault="00F03CD4" w:rsidP="004844B8">
            <w:pPr>
              <w:pStyle w:val="TableText0"/>
              <w:keepLines/>
              <w:jc w:val="center"/>
            </w:pPr>
            <w:r w:rsidRPr="0040534B">
              <w:t>-0.01 (-0.02, 0.01)</w:t>
            </w:r>
          </w:p>
        </w:tc>
      </w:tr>
      <w:tr w:rsidR="00F03CD4" w:rsidRPr="0040534B" w14:paraId="1043558C" w14:textId="77777777" w:rsidTr="00C124DD">
        <w:tc>
          <w:tcPr>
            <w:tcW w:w="744" w:type="pct"/>
            <w:vMerge/>
            <w:vAlign w:val="center"/>
          </w:tcPr>
          <w:p w14:paraId="4D67C6AB" w14:textId="77777777" w:rsidR="00F03CD4" w:rsidRPr="0040534B" w:rsidRDefault="00F03CD4" w:rsidP="004844B8">
            <w:pPr>
              <w:pStyle w:val="TableText0"/>
              <w:keepLines/>
            </w:pPr>
          </w:p>
        </w:tc>
        <w:tc>
          <w:tcPr>
            <w:tcW w:w="1085" w:type="pct"/>
            <w:vAlign w:val="center"/>
          </w:tcPr>
          <w:p w14:paraId="213D7500" w14:textId="1CA105CE"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4DBE4389" w14:textId="77777777" w:rsidR="00F03CD4" w:rsidRPr="0040534B" w:rsidRDefault="00F03CD4" w:rsidP="004844B8">
            <w:pPr>
              <w:pStyle w:val="TableText0"/>
              <w:keepLines/>
              <w:jc w:val="center"/>
            </w:pPr>
            <w:r w:rsidRPr="0040534B">
              <w:t>4/285 (1)</w:t>
            </w:r>
          </w:p>
        </w:tc>
        <w:tc>
          <w:tcPr>
            <w:tcW w:w="784" w:type="pct"/>
          </w:tcPr>
          <w:p w14:paraId="1731C400" w14:textId="77777777" w:rsidR="00F03CD4" w:rsidRPr="0040534B" w:rsidRDefault="00F03CD4" w:rsidP="004844B8">
            <w:pPr>
              <w:keepNext/>
              <w:keepLines/>
              <w:jc w:val="center"/>
            </w:pPr>
            <w:r w:rsidRPr="0040534B">
              <w:rPr>
                <w:rFonts w:ascii="Arial Narrow" w:eastAsiaTheme="majorEastAsia" w:hAnsi="Arial Narrow" w:cstheme="majorBidi"/>
                <w:bCs/>
                <w:sz w:val="20"/>
              </w:rPr>
              <w:t xml:space="preserve">4/277 </w:t>
            </w:r>
            <w:r w:rsidRPr="0040534B">
              <w:rPr>
                <w:rFonts w:ascii="Arial Narrow" w:hAnsi="Arial Narrow" w:cstheme="majorBidi"/>
                <w:sz w:val="20"/>
              </w:rPr>
              <w:t>(1)</w:t>
            </w:r>
          </w:p>
        </w:tc>
        <w:tc>
          <w:tcPr>
            <w:tcW w:w="701" w:type="pct"/>
          </w:tcPr>
          <w:p w14:paraId="6B38F6AF" w14:textId="77777777" w:rsidR="00F03CD4" w:rsidRPr="0040534B" w:rsidRDefault="00F03CD4" w:rsidP="004844B8">
            <w:pPr>
              <w:keepNext/>
              <w:keepLines/>
            </w:pPr>
            <w:r w:rsidRPr="0040534B">
              <w:rPr>
                <w:rFonts w:ascii="Arial Narrow" w:eastAsiaTheme="majorEastAsia" w:hAnsi="Arial Narrow" w:cstheme="majorBidi"/>
                <w:bCs/>
                <w:sz w:val="20"/>
              </w:rPr>
              <w:t xml:space="preserve">1.0 </w:t>
            </w:r>
            <w:r w:rsidRPr="0040534B">
              <w:rPr>
                <w:rFonts w:ascii="Arial Narrow" w:hAnsi="Arial Narrow" w:cstheme="majorBidi"/>
                <w:sz w:val="20"/>
              </w:rPr>
              <w:t>(0.2, 3.8)</w:t>
            </w:r>
          </w:p>
        </w:tc>
        <w:tc>
          <w:tcPr>
            <w:tcW w:w="905" w:type="pct"/>
          </w:tcPr>
          <w:p w14:paraId="035C8ABE" w14:textId="77777777" w:rsidR="00F03CD4" w:rsidRPr="0040534B" w:rsidRDefault="00F03CD4" w:rsidP="004844B8">
            <w:pPr>
              <w:pStyle w:val="TableText0"/>
              <w:keepLines/>
              <w:jc w:val="center"/>
            </w:pPr>
            <w:r w:rsidRPr="0040534B">
              <w:t>-0.00 (-0.02, 0.02)</w:t>
            </w:r>
          </w:p>
        </w:tc>
      </w:tr>
      <w:tr w:rsidR="00F03CD4" w:rsidRPr="0040534B" w14:paraId="38F7AACC" w14:textId="77777777" w:rsidTr="00C124DD">
        <w:tc>
          <w:tcPr>
            <w:tcW w:w="744" w:type="pct"/>
            <w:vMerge w:val="restart"/>
            <w:vAlign w:val="center"/>
          </w:tcPr>
          <w:p w14:paraId="02358A05" w14:textId="77777777" w:rsidR="00F03CD4" w:rsidRPr="0040534B" w:rsidRDefault="00F03CD4" w:rsidP="004844B8">
            <w:pPr>
              <w:pStyle w:val="TableText0"/>
              <w:keepLines/>
            </w:pPr>
            <w:r w:rsidRPr="0040534B">
              <w:t>NCT03303079</w:t>
            </w:r>
            <w:r w:rsidRPr="0040534B">
              <w:rPr>
                <w:vertAlign w:val="superscript"/>
              </w:rPr>
              <w:t>b</w:t>
            </w:r>
          </w:p>
        </w:tc>
        <w:tc>
          <w:tcPr>
            <w:tcW w:w="1085" w:type="pct"/>
            <w:vAlign w:val="center"/>
          </w:tcPr>
          <w:p w14:paraId="5AFC9118" w14:textId="68688015"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2657372A" w14:textId="77777777" w:rsidR="00F03CD4" w:rsidRPr="0040534B" w:rsidRDefault="00F03CD4" w:rsidP="004844B8">
            <w:pPr>
              <w:pStyle w:val="TableText0"/>
              <w:keepLines/>
              <w:jc w:val="center"/>
            </w:pPr>
            <w:r w:rsidRPr="0040534B">
              <w:t>1/190 (&lt;1)</w:t>
            </w:r>
          </w:p>
        </w:tc>
        <w:tc>
          <w:tcPr>
            <w:tcW w:w="784" w:type="pct"/>
          </w:tcPr>
          <w:p w14:paraId="7AEC10E2" w14:textId="77777777" w:rsidR="00F03CD4" w:rsidRPr="0040534B" w:rsidRDefault="00F03CD4" w:rsidP="004844B8">
            <w:pPr>
              <w:pStyle w:val="TableText0"/>
              <w:keepLines/>
              <w:jc w:val="center"/>
            </w:pPr>
            <w:r w:rsidRPr="0040534B">
              <w:t>1/191 (&lt;1)</w:t>
            </w:r>
          </w:p>
        </w:tc>
        <w:tc>
          <w:tcPr>
            <w:tcW w:w="701" w:type="pct"/>
          </w:tcPr>
          <w:p w14:paraId="4D50AB02" w14:textId="77777777" w:rsidR="00F03CD4" w:rsidRPr="0040534B" w:rsidRDefault="00F03CD4" w:rsidP="004844B8">
            <w:pPr>
              <w:pStyle w:val="TableText0"/>
              <w:keepLines/>
              <w:jc w:val="center"/>
            </w:pPr>
            <w:r w:rsidRPr="0040534B">
              <w:t>1.0 (0.1, 16.)</w:t>
            </w:r>
          </w:p>
        </w:tc>
        <w:tc>
          <w:tcPr>
            <w:tcW w:w="905" w:type="pct"/>
          </w:tcPr>
          <w:p w14:paraId="2ABD3DC6" w14:textId="77777777" w:rsidR="00F03CD4" w:rsidRPr="0040534B" w:rsidRDefault="00F03CD4" w:rsidP="004844B8">
            <w:pPr>
              <w:pStyle w:val="TableText0"/>
              <w:keepLines/>
              <w:jc w:val="center"/>
            </w:pPr>
            <w:r w:rsidRPr="0040534B">
              <w:t>0.00 (-0.01, 0.01)</w:t>
            </w:r>
          </w:p>
        </w:tc>
      </w:tr>
      <w:tr w:rsidR="00F03CD4" w:rsidRPr="0040534B" w14:paraId="5A7181A4" w14:textId="77777777" w:rsidTr="00C124DD">
        <w:tc>
          <w:tcPr>
            <w:tcW w:w="744" w:type="pct"/>
            <w:vMerge/>
            <w:vAlign w:val="center"/>
          </w:tcPr>
          <w:p w14:paraId="10603419" w14:textId="77777777" w:rsidR="00F03CD4" w:rsidRPr="0040534B" w:rsidRDefault="00F03CD4" w:rsidP="004844B8">
            <w:pPr>
              <w:pStyle w:val="TableText0"/>
              <w:keepLines/>
            </w:pPr>
          </w:p>
        </w:tc>
        <w:tc>
          <w:tcPr>
            <w:tcW w:w="1085" w:type="pct"/>
            <w:vAlign w:val="center"/>
          </w:tcPr>
          <w:p w14:paraId="55BB4A58" w14:textId="0C069414"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0D1FF2B4" w14:textId="77777777" w:rsidR="00F03CD4" w:rsidRPr="0040534B" w:rsidRDefault="00F03CD4" w:rsidP="004844B8">
            <w:pPr>
              <w:pStyle w:val="TableText0"/>
              <w:keepLines/>
              <w:jc w:val="center"/>
            </w:pPr>
            <w:r w:rsidRPr="0040534B">
              <w:t>3/188 (1.6)</w:t>
            </w:r>
          </w:p>
        </w:tc>
        <w:tc>
          <w:tcPr>
            <w:tcW w:w="784" w:type="pct"/>
          </w:tcPr>
          <w:p w14:paraId="1DAEA9FA" w14:textId="77777777" w:rsidR="00F03CD4" w:rsidRPr="0040534B" w:rsidRDefault="00F03CD4" w:rsidP="004844B8">
            <w:pPr>
              <w:pStyle w:val="TableText0"/>
              <w:keepLines/>
              <w:jc w:val="center"/>
            </w:pPr>
            <w:r w:rsidRPr="0040534B">
              <w:t>1/191 (&lt;1)</w:t>
            </w:r>
          </w:p>
        </w:tc>
        <w:tc>
          <w:tcPr>
            <w:tcW w:w="701" w:type="pct"/>
          </w:tcPr>
          <w:p w14:paraId="50BB9357" w14:textId="77777777" w:rsidR="00F03CD4" w:rsidRPr="0040534B" w:rsidRDefault="00F03CD4" w:rsidP="004844B8">
            <w:pPr>
              <w:pStyle w:val="TableText0"/>
              <w:keepLines/>
              <w:jc w:val="center"/>
            </w:pPr>
            <w:r w:rsidRPr="0040534B">
              <w:t>3.0 (0.3, 29.0)</w:t>
            </w:r>
          </w:p>
        </w:tc>
        <w:tc>
          <w:tcPr>
            <w:tcW w:w="905" w:type="pct"/>
          </w:tcPr>
          <w:p w14:paraId="4710614C" w14:textId="77777777" w:rsidR="00F03CD4" w:rsidRPr="0040534B" w:rsidRDefault="00F03CD4" w:rsidP="004844B8">
            <w:pPr>
              <w:pStyle w:val="TableText0"/>
              <w:keepLines/>
              <w:jc w:val="center"/>
            </w:pPr>
            <w:r w:rsidRPr="0040534B">
              <w:t>0.01 (-0.01, 0.03)</w:t>
            </w:r>
          </w:p>
        </w:tc>
      </w:tr>
      <w:tr w:rsidR="00F03CD4" w:rsidRPr="0040534B" w14:paraId="15894DAC" w14:textId="77777777" w:rsidTr="00C124DD">
        <w:tc>
          <w:tcPr>
            <w:tcW w:w="5000" w:type="pct"/>
            <w:gridSpan w:val="6"/>
            <w:vAlign w:val="center"/>
          </w:tcPr>
          <w:p w14:paraId="4F875309" w14:textId="77777777" w:rsidR="00F03CD4" w:rsidRPr="0040534B" w:rsidRDefault="00F03CD4" w:rsidP="004844B8">
            <w:pPr>
              <w:pStyle w:val="TableText0"/>
              <w:keepLines/>
              <w:rPr>
                <w:b/>
                <w:bCs w:val="0"/>
              </w:rPr>
            </w:pPr>
            <w:r w:rsidRPr="0040534B">
              <w:rPr>
                <w:b/>
                <w:bCs w:val="0"/>
              </w:rPr>
              <w:t>Any TEAE leading to discontinuation</w:t>
            </w:r>
          </w:p>
        </w:tc>
      </w:tr>
      <w:tr w:rsidR="00F03CD4" w:rsidRPr="0040534B" w14:paraId="68E42D2B" w14:textId="77777777" w:rsidTr="00C124DD">
        <w:tc>
          <w:tcPr>
            <w:tcW w:w="744" w:type="pct"/>
            <w:vAlign w:val="center"/>
          </w:tcPr>
          <w:p w14:paraId="4F758B50" w14:textId="77777777" w:rsidR="00F03CD4" w:rsidRPr="0040534B" w:rsidRDefault="00F03CD4" w:rsidP="004844B8">
            <w:pPr>
              <w:pStyle w:val="TableText0"/>
              <w:keepLines/>
            </w:pPr>
            <w:r w:rsidRPr="0040534B">
              <w:t>PROGRESS</w:t>
            </w:r>
          </w:p>
        </w:tc>
        <w:tc>
          <w:tcPr>
            <w:tcW w:w="1085" w:type="pct"/>
          </w:tcPr>
          <w:p w14:paraId="6B6E4F01" w14:textId="736B6CB3" w:rsidR="00F03CD4" w:rsidRPr="0040534B" w:rsidRDefault="00F03CD4" w:rsidP="004844B8">
            <w:pPr>
              <w:pStyle w:val="TableText0"/>
              <w:keepLines/>
            </w:pPr>
            <w:r w:rsidRPr="0040534B">
              <w:t>ATOG 60</w:t>
            </w:r>
            <w:r w:rsidR="006F04A7" w:rsidRPr="0040534B">
              <w:t xml:space="preserve"> </w:t>
            </w:r>
            <w:r w:rsidRPr="0040534B">
              <w:t>mg vs. PBO</w:t>
            </w:r>
          </w:p>
        </w:tc>
        <w:tc>
          <w:tcPr>
            <w:tcW w:w="781" w:type="pct"/>
          </w:tcPr>
          <w:p w14:paraId="01D9DC7E" w14:textId="77777777" w:rsidR="00F03CD4" w:rsidRPr="0040534B" w:rsidRDefault="00F03CD4" w:rsidP="004844B8">
            <w:pPr>
              <w:pStyle w:val="TableText0"/>
              <w:keepLines/>
              <w:jc w:val="center"/>
            </w:pPr>
            <w:r w:rsidRPr="0040534B">
              <w:t>9/261 (3.4)</w:t>
            </w:r>
          </w:p>
        </w:tc>
        <w:tc>
          <w:tcPr>
            <w:tcW w:w="784" w:type="pct"/>
          </w:tcPr>
          <w:p w14:paraId="1DEC7C75" w14:textId="77777777" w:rsidR="00F03CD4" w:rsidRPr="0040534B" w:rsidRDefault="00F03CD4" w:rsidP="004844B8">
            <w:pPr>
              <w:pStyle w:val="TableText0"/>
              <w:keepLines/>
              <w:jc w:val="center"/>
            </w:pPr>
            <w:r w:rsidRPr="0040534B">
              <w:t>10/255 (3.9)</w:t>
            </w:r>
          </w:p>
        </w:tc>
        <w:tc>
          <w:tcPr>
            <w:tcW w:w="701" w:type="pct"/>
          </w:tcPr>
          <w:p w14:paraId="146F4E34" w14:textId="77777777" w:rsidR="00F03CD4" w:rsidRPr="0040534B" w:rsidRDefault="00F03CD4" w:rsidP="004844B8">
            <w:pPr>
              <w:pStyle w:val="TableText0"/>
              <w:keepLines/>
              <w:jc w:val="center"/>
            </w:pPr>
            <w:r w:rsidRPr="0040534B">
              <w:t>0.9 (0.4, 2.1)</w:t>
            </w:r>
          </w:p>
        </w:tc>
        <w:tc>
          <w:tcPr>
            <w:tcW w:w="905" w:type="pct"/>
          </w:tcPr>
          <w:p w14:paraId="0D17E621" w14:textId="77777777" w:rsidR="00F03CD4" w:rsidRPr="0040534B" w:rsidRDefault="00F03CD4" w:rsidP="004844B8">
            <w:pPr>
              <w:pStyle w:val="TableText0"/>
              <w:keepLines/>
              <w:jc w:val="center"/>
            </w:pPr>
            <w:r w:rsidRPr="0040534B">
              <w:t>-0.00 (-0.04, 0.03)</w:t>
            </w:r>
          </w:p>
        </w:tc>
      </w:tr>
      <w:tr w:rsidR="00F03CD4" w:rsidRPr="0040534B" w14:paraId="09E561B5" w14:textId="77777777" w:rsidTr="00C124DD">
        <w:tc>
          <w:tcPr>
            <w:tcW w:w="744" w:type="pct"/>
            <w:vAlign w:val="center"/>
          </w:tcPr>
          <w:p w14:paraId="14A5B8C5" w14:textId="77777777" w:rsidR="00F03CD4" w:rsidRPr="0040534B" w:rsidRDefault="00F03CD4" w:rsidP="004844B8">
            <w:pPr>
              <w:pStyle w:val="TableText0"/>
              <w:keepLines/>
            </w:pPr>
            <w:r w:rsidRPr="0040534B">
              <w:t>REGAIN</w:t>
            </w:r>
          </w:p>
        </w:tc>
        <w:tc>
          <w:tcPr>
            <w:tcW w:w="1085" w:type="pct"/>
            <w:vAlign w:val="center"/>
          </w:tcPr>
          <w:p w14:paraId="34AE117E" w14:textId="7B35FA06" w:rsidR="00F03CD4" w:rsidRPr="0040534B" w:rsidRDefault="00F03CD4" w:rsidP="004844B8">
            <w:pPr>
              <w:pStyle w:val="TableText0"/>
              <w:keepLines/>
            </w:pPr>
            <w:r w:rsidRPr="0040534B">
              <w:t>GAL 120</w:t>
            </w:r>
            <w:r w:rsidR="006F04A7" w:rsidRPr="0040534B">
              <w:t xml:space="preserve"> </w:t>
            </w:r>
            <w:r w:rsidRPr="0040534B">
              <w:t>mg vs. PBO</w:t>
            </w:r>
          </w:p>
        </w:tc>
        <w:tc>
          <w:tcPr>
            <w:tcW w:w="781" w:type="pct"/>
          </w:tcPr>
          <w:p w14:paraId="14E1E3E5" w14:textId="77777777" w:rsidR="00F03CD4" w:rsidRPr="0040534B" w:rsidRDefault="00F03CD4" w:rsidP="004844B8">
            <w:pPr>
              <w:pStyle w:val="TableText0"/>
              <w:keepLines/>
              <w:jc w:val="center"/>
            </w:pPr>
            <w:r w:rsidRPr="0040534B">
              <w:t>2/273 (&lt;1)</w:t>
            </w:r>
          </w:p>
        </w:tc>
        <w:tc>
          <w:tcPr>
            <w:tcW w:w="784" w:type="pct"/>
          </w:tcPr>
          <w:p w14:paraId="38F088DB" w14:textId="77777777" w:rsidR="00F03CD4" w:rsidRPr="0040534B" w:rsidRDefault="00F03CD4" w:rsidP="004844B8">
            <w:pPr>
              <w:pStyle w:val="TableText0"/>
              <w:keepLines/>
              <w:jc w:val="center"/>
            </w:pPr>
            <w:r w:rsidRPr="0040534B">
              <w:t>6/588 (1)</w:t>
            </w:r>
          </w:p>
        </w:tc>
        <w:tc>
          <w:tcPr>
            <w:tcW w:w="701" w:type="pct"/>
          </w:tcPr>
          <w:p w14:paraId="7EBF0A07" w14:textId="77777777" w:rsidR="00F03CD4" w:rsidRPr="0040534B" w:rsidRDefault="00F03CD4" w:rsidP="004844B8">
            <w:pPr>
              <w:pStyle w:val="TableText0"/>
              <w:keepLines/>
              <w:jc w:val="center"/>
            </w:pPr>
            <w:r w:rsidRPr="0040534B">
              <w:t>0.7 (0.1, 3.5)</w:t>
            </w:r>
          </w:p>
        </w:tc>
        <w:tc>
          <w:tcPr>
            <w:tcW w:w="905" w:type="pct"/>
          </w:tcPr>
          <w:p w14:paraId="01F0B1E5" w14:textId="77777777" w:rsidR="00F03CD4" w:rsidRPr="0040534B" w:rsidRDefault="00F03CD4" w:rsidP="004844B8">
            <w:pPr>
              <w:pStyle w:val="TableText0"/>
              <w:keepLines/>
              <w:jc w:val="center"/>
            </w:pPr>
            <w:r w:rsidRPr="0040534B">
              <w:t>-0.00 (-0.02, 0.01)</w:t>
            </w:r>
          </w:p>
        </w:tc>
      </w:tr>
      <w:tr w:rsidR="00F03CD4" w:rsidRPr="0040534B" w14:paraId="6CA75620" w14:textId="77777777" w:rsidTr="00C124DD">
        <w:tc>
          <w:tcPr>
            <w:tcW w:w="744" w:type="pct"/>
            <w:vAlign w:val="center"/>
          </w:tcPr>
          <w:p w14:paraId="3FE2031F" w14:textId="77777777" w:rsidR="00F03CD4" w:rsidRPr="0040534B" w:rsidRDefault="00F03CD4" w:rsidP="004844B8">
            <w:pPr>
              <w:pStyle w:val="TableText0"/>
              <w:keepLines/>
            </w:pPr>
            <w:r w:rsidRPr="0040534B">
              <w:t>CONQUER</w:t>
            </w:r>
            <w:r w:rsidRPr="0040534B">
              <w:rPr>
                <w:vertAlign w:val="superscript"/>
              </w:rPr>
              <w:t>a</w:t>
            </w:r>
          </w:p>
        </w:tc>
        <w:tc>
          <w:tcPr>
            <w:tcW w:w="1085" w:type="pct"/>
            <w:vAlign w:val="center"/>
          </w:tcPr>
          <w:p w14:paraId="5C9E86BB" w14:textId="60C5A0B4" w:rsidR="00F03CD4" w:rsidRPr="0040534B" w:rsidRDefault="00F03CD4" w:rsidP="004844B8">
            <w:pPr>
              <w:pStyle w:val="TableText0"/>
              <w:keepLines/>
            </w:pPr>
            <w:r w:rsidRPr="0040534B">
              <w:t>GAL 120</w:t>
            </w:r>
            <w:r w:rsidR="006F04A7" w:rsidRPr="0040534B">
              <w:t xml:space="preserve"> </w:t>
            </w:r>
            <w:r w:rsidRPr="0040534B">
              <w:t>mg vs. PBO</w:t>
            </w:r>
          </w:p>
        </w:tc>
        <w:tc>
          <w:tcPr>
            <w:tcW w:w="781" w:type="pct"/>
          </w:tcPr>
          <w:p w14:paraId="48A3939E" w14:textId="77777777" w:rsidR="00F03CD4" w:rsidRPr="0040534B" w:rsidRDefault="00F03CD4" w:rsidP="004844B8">
            <w:pPr>
              <w:pStyle w:val="TableText0"/>
              <w:keepLines/>
              <w:jc w:val="center"/>
            </w:pPr>
            <w:r w:rsidRPr="0040534B">
              <w:t>1/232 (&lt;1)</w:t>
            </w:r>
          </w:p>
        </w:tc>
        <w:tc>
          <w:tcPr>
            <w:tcW w:w="784" w:type="pct"/>
          </w:tcPr>
          <w:p w14:paraId="4662EC84" w14:textId="77777777" w:rsidR="00F03CD4" w:rsidRPr="0040534B" w:rsidRDefault="00F03CD4" w:rsidP="004844B8">
            <w:pPr>
              <w:keepNext/>
              <w:keepLines/>
              <w:jc w:val="center"/>
            </w:pPr>
            <w:r w:rsidRPr="0040534B">
              <w:rPr>
                <w:rFonts w:ascii="Arial Narrow" w:eastAsiaTheme="majorEastAsia" w:hAnsi="Arial Narrow" w:cstheme="majorBidi"/>
                <w:bCs/>
                <w:sz w:val="20"/>
              </w:rPr>
              <w:t xml:space="preserve">0*/230 </w:t>
            </w:r>
            <w:r w:rsidRPr="0040534B">
              <w:rPr>
                <w:rFonts w:ascii="Arial Narrow" w:hAnsi="Arial Narrow" w:cstheme="majorBidi"/>
                <w:sz w:val="20"/>
              </w:rPr>
              <w:t>(0)</w:t>
            </w:r>
          </w:p>
        </w:tc>
        <w:tc>
          <w:tcPr>
            <w:tcW w:w="701" w:type="pct"/>
          </w:tcPr>
          <w:p w14:paraId="5C184ECE" w14:textId="77777777" w:rsidR="00F03CD4" w:rsidRPr="0040534B" w:rsidRDefault="00F03CD4" w:rsidP="004844B8">
            <w:pPr>
              <w:keepNext/>
              <w:keepLines/>
            </w:pPr>
            <w:r w:rsidRPr="0040534B">
              <w:rPr>
                <w:rFonts w:ascii="Arial Narrow" w:eastAsiaTheme="majorEastAsia" w:hAnsi="Arial Narrow" w:cstheme="majorBidi"/>
                <w:bCs/>
                <w:sz w:val="20"/>
              </w:rPr>
              <w:t xml:space="preserve">1.0 </w:t>
            </w:r>
            <w:r w:rsidRPr="0040534B">
              <w:rPr>
                <w:rFonts w:ascii="Arial Narrow" w:hAnsi="Arial Narrow" w:cstheme="majorBidi"/>
                <w:sz w:val="20"/>
              </w:rPr>
              <w:t>(0.1, 15.8)</w:t>
            </w:r>
          </w:p>
        </w:tc>
        <w:tc>
          <w:tcPr>
            <w:tcW w:w="905" w:type="pct"/>
          </w:tcPr>
          <w:p w14:paraId="2B942049" w14:textId="77777777" w:rsidR="00F03CD4" w:rsidRPr="0040534B" w:rsidRDefault="00F03CD4" w:rsidP="004844B8">
            <w:pPr>
              <w:pStyle w:val="TableText0"/>
              <w:keepLines/>
              <w:jc w:val="center"/>
            </w:pPr>
            <w:r w:rsidRPr="0040534B">
              <w:t>0.00 (-0.01, 0.02)</w:t>
            </w:r>
          </w:p>
        </w:tc>
      </w:tr>
      <w:tr w:rsidR="00F03CD4" w:rsidRPr="0040534B" w14:paraId="2CF5E9B7" w14:textId="77777777" w:rsidTr="00C124DD">
        <w:tc>
          <w:tcPr>
            <w:tcW w:w="744" w:type="pct"/>
            <w:vMerge w:val="restart"/>
            <w:vAlign w:val="center"/>
          </w:tcPr>
          <w:p w14:paraId="6AA00002" w14:textId="77777777" w:rsidR="00F03CD4" w:rsidRPr="0040534B" w:rsidRDefault="00F03CD4" w:rsidP="004844B8">
            <w:pPr>
              <w:pStyle w:val="TableText0"/>
              <w:keepLines/>
            </w:pPr>
            <w:r w:rsidRPr="0040534B">
              <w:t>HALO-CM</w:t>
            </w:r>
            <w:r w:rsidRPr="0040534B">
              <w:rPr>
                <w:vertAlign w:val="superscript"/>
              </w:rPr>
              <w:t>b</w:t>
            </w:r>
          </w:p>
        </w:tc>
        <w:tc>
          <w:tcPr>
            <w:tcW w:w="1085" w:type="pct"/>
            <w:vAlign w:val="center"/>
          </w:tcPr>
          <w:p w14:paraId="172D4CA2" w14:textId="18B30238"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3FE198A7" w14:textId="77777777" w:rsidR="00F03CD4" w:rsidRPr="0040534B" w:rsidRDefault="00F03CD4" w:rsidP="004844B8">
            <w:pPr>
              <w:pStyle w:val="TableText0"/>
              <w:keepLines/>
              <w:jc w:val="center"/>
            </w:pPr>
            <w:r w:rsidRPr="0040534B">
              <w:t>5/376 (1)</w:t>
            </w:r>
          </w:p>
        </w:tc>
        <w:tc>
          <w:tcPr>
            <w:tcW w:w="784" w:type="pct"/>
          </w:tcPr>
          <w:p w14:paraId="4CAA022E" w14:textId="77777777" w:rsidR="00F03CD4" w:rsidRPr="0040534B" w:rsidRDefault="00F03CD4" w:rsidP="004844B8">
            <w:pPr>
              <w:pStyle w:val="TableText0"/>
              <w:keepLines/>
              <w:jc w:val="center"/>
            </w:pPr>
            <w:r w:rsidRPr="0040534B">
              <w:t>8/375 (2)</w:t>
            </w:r>
          </w:p>
        </w:tc>
        <w:tc>
          <w:tcPr>
            <w:tcW w:w="701" w:type="pct"/>
          </w:tcPr>
          <w:p w14:paraId="31226B70" w14:textId="77777777" w:rsidR="00F03CD4" w:rsidRPr="0040534B" w:rsidRDefault="00F03CD4" w:rsidP="004844B8">
            <w:pPr>
              <w:pStyle w:val="TableText0"/>
              <w:keepLines/>
              <w:jc w:val="center"/>
            </w:pPr>
            <w:r w:rsidRPr="0040534B">
              <w:t>0.5 (0.1, 2.0)</w:t>
            </w:r>
          </w:p>
        </w:tc>
        <w:tc>
          <w:tcPr>
            <w:tcW w:w="905" w:type="pct"/>
          </w:tcPr>
          <w:p w14:paraId="10808188" w14:textId="77777777" w:rsidR="00F03CD4" w:rsidRPr="0040534B" w:rsidRDefault="00F03CD4" w:rsidP="004844B8">
            <w:pPr>
              <w:pStyle w:val="TableText0"/>
              <w:keepLines/>
              <w:jc w:val="center"/>
            </w:pPr>
            <w:r w:rsidRPr="0040534B">
              <w:t>-0.01 (-0.03, 0.01)</w:t>
            </w:r>
          </w:p>
        </w:tc>
      </w:tr>
      <w:tr w:rsidR="00F03CD4" w:rsidRPr="0040534B" w14:paraId="1D152254" w14:textId="77777777" w:rsidTr="00C124DD">
        <w:tc>
          <w:tcPr>
            <w:tcW w:w="744" w:type="pct"/>
            <w:vMerge/>
            <w:vAlign w:val="center"/>
          </w:tcPr>
          <w:p w14:paraId="7113EADE" w14:textId="77777777" w:rsidR="00F03CD4" w:rsidRPr="0040534B" w:rsidRDefault="00F03CD4" w:rsidP="004844B8">
            <w:pPr>
              <w:pStyle w:val="TableText0"/>
              <w:keepLines/>
            </w:pPr>
          </w:p>
        </w:tc>
        <w:tc>
          <w:tcPr>
            <w:tcW w:w="1085" w:type="pct"/>
            <w:vAlign w:val="center"/>
          </w:tcPr>
          <w:p w14:paraId="24263B3D" w14:textId="2668D63E"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69BB5EE9" w14:textId="77777777" w:rsidR="00F03CD4" w:rsidRPr="0040534B" w:rsidRDefault="00F03CD4" w:rsidP="004844B8">
            <w:pPr>
              <w:pStyle w:val="TableText0"/>
              <w:keepLines/>
              <w:jc w:val="center"/>
            </w:pPr>
            <w:r w:rsidRPr="0040534B">
              <w:t>7/379 (2)</w:t>
            </w:r>
          </w:p>
        </w:tc>
        <w:tc>
          <w:tcPr>
            <w:tcW w:w="784" w:type="pct"/>
          </w:tcPr>
          <w:p w14:paraId="543502FC" w14:textId="77777777" w:rsidR="00F03CD4" w:rsidRPr="0040534B" w:rsidRDefault="00F03CD4" w:rsidP="004844B8">
            <w:pPr>
              <w:pStyle w:val="TableText0"/>
              <w:keepLines/>
              <w:jc w:val="center"/>
            </w:pPr>
            <w:r w:rsidRPr="0040534B">
              <w:t>8/375 (2)</w:t>
            </w:r>
          </w:p>
        </w:tc>
        <w:tc>
          <w:tcPr>
            <w:tcW w:w="701" w:type="pct"/>
          </w:tcPr>
          <w:p w14:paraId="10C05E6F" w14:textId="77777777" w:rsidR="00F03CD4" w:rsidRPr="0040534B" w:rsidRDefault="00F03CD4" w:rsidP="004844B8">
            <w:pPr>
              <w:pStyle w:val="TableText0"/>
              <w:keepLines/>
              <w:jc w:val="center"/>
            </w:pPr>
            <w:r w:rsidRPr="0040534B">
              <w:t>0.9 (0.3, 2.4)</w:t>
            </w:r>
          </w:p>
        </w:tc>
        <w:tc>
          <w:tcPr>
            <w:tcW w:w="905" w:type="pct"/>
          </w:tcPr>
          <w:p w14:paraId="3EF3767B" w14:textId="77777777" w:rsidR="00F03CD4" w:rsidRPr="0040534B" w:rsidRDefault="00F03CD4" w:rsidP="004844B8">
            <w:pPr>
              <w:pStyle w:val="TableText0"/>
              <w:keepLines/>
              <w:jc w:val="center"/>
            </w:pPr>
            <w:r w:rsidRPr="0040534B">
              <w:t>-0.00 (-0.02, 0.02)</w:t>
            </w:r>
          </w:p>
        </w:tc>
      </w:tr>
      <w:tr w:rsidR="00F03CD4" w:rsidRPr="0040534B" w14:paraId="1121DCB5" w14:textId="77777777" w:rsidTr="00C124DD">
        <w:tc>
          <w:tcPr>
            <w:tcW w:w="744" w:type="pct"/>
            <w:vMerge w:val="restart"/>
            <w:vAlign w:val="center"/>
          </w:tcPr>
          <w:p w14:paraId="4ED2BB98" w14:textId="77777777" w:rsidR="00F03CD4" w:rsidRPr="0040534B" w:rsidRDefault="00F03CD4" w:rsidP="004844B8">
            <w:pPr>
              <w:pStyle w:val="TableText0"/>
              <w:keepLines/>
            </w:pPr>
            <w:r w:rsidRPr="0040534B">
              <w:t>FOCUS</w:t>
            </w:r>
            <w:r w:rsidRPr="0040534B">
              <w:rPr>
                <w:vertAlign w:val="superscript"/>
              </w:rPr>
              <w:t>a,b</w:t>
            </w:r>
          </w:p>
        </w:tc>
        <w:tc>
          <w:tcPr>
            <w:tcW w:w="1085" w:type="pct"/>
            <w:vAlign w:val="center"/>
          </w:tcPr>
          <w:p w14:paraId="05739036" w14:textId="1EEFCF55"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3D7020DD" w14:textId="77777777" w:rsidR="00F03CD4" w:rsidRPr="0040534B" w:rsidRDefault="00F03CD4" w:rsidP="004844B8">
            <w:pPr>
              <w:pStyle w:val="TableText0"/>
              <w:keepLines/>
              <w:jc w:val="center"/>
            </w:pPr>
            <w:r w:rsidRPr="0040534B">
              <w:t>1/276 (&lt;1)</w:t>
            </w:r>
          </w:p>
        </w:tc>
        <w:tc>
          <w:tcPr>
            <w:tcW w:w="784" w:type="pct"/>
          </w:tcPr>
          <w:p w14:paraId="11A98F70" w14:textId="77777777" w:rsidR="00F03CD4" w:rsidRPr="0040534B" w:rsidRDefault="00F03CD4" w:rsidP="004844B8">
            <w:pPr>
              <w:pStyle w:val="TableText0"/>
              <w:keepLines/>
              <w:jc w:val="center"/>
            </w:pPr>
            <w:r w:rsidRPr="0040534B">
              <w:t>3/277 (1)</w:t>
            </w:r>
          </w:p>
        </w:tc>
        <w:tc>
          <w:tcPr>
            <w:tcW w:w="701" w:type="pct"/>
          </w:tcPr>
          <w:p w14:paraId="30F0644D" w14:textId="77777777" w:rsidR="00F03CD4" w:rsidRPr="0040534B" w:rsidRDefault="00F03CD4" w:rsidP="004844B8">
            <w:pPr>
              <w:pStyle w:val="TableText0"/>
              <w:keepLines/>
              <w:jc w:val="center"/>
            </w:pPr>
            <w:r w:rsidRPr="0040534B">
              <w:t>0.3 (0.01, 3.2)</w:t>
            </w:r>
          </w:p>
        </w:tc>
        <w:tc>
          <w:tcPr>
            <w:tcW w:w="905" w:type="pct"/>
          </w:tcPr>
          <w:p w14:paraId="1144A2AF" w14:textId="77777777" w:rsidR="00F03CD4" w:rsidRPr="0040534B" w:rsidRDefault="00F03CD4" w:rsidP="004844B8">
            <w:pPr>
              <w:pStyle w:val="TableText0"/>
              <w:keepLines/>
              <w:jc w:val="center"/>
            </w:pPr>
            <w:r w:rsidRPr="0040534B">
              <w:t>-0.01 (-0.02, 0.01)</w:t>
            </w:r>
          </w:p>
        </w:tc>
      </w:tr>
      <w:tr w:rsidR="00F03CD4" w:rsidRPr="0040534B" w14:paraId="77E77557" w14:textId="77777777" w:rsidTr="00C124DD">
        <w:tc>
          <w:tcPr>
            <w:tcW w:w="744" w:type="pct"/>
            <w:vMerge/>
            <w:vAlign w:val="center"/>
          </w:tcPr>
          <w:p w14:paraId="5B1CCA05" w14:textId="77777777" w:rsidR="00F03CD4" w:rsidRPr="0040534B" w:rsidRDefault="00F03CD4" w:rsidP="004844B8">
            <w:pPr>
              <w:pStyle w:val="TableText0"/>
              <w:keepLines/>
            </w:pPr>
          </w:p>
        </w:tc>
        <w:tc>
          <w:tcPr>
            <w:tcW w:w="1085" w:type="pct"/>
            <w:vAlign w:val="center"/>
          </w:tcPr>
          <w:p w14:paraId="7A7EF97B" w14:textId="70F1BC4E"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7435D173" w14:textId="77777777" w:rsidR="00F03CD4" w:rsidRPr="0040534B" w:rsidRDefault="00F03CD4" w:rsidP="004844B8">
            <w:pPr>
              <w:pStyle w:val="TableText0"/>
              <w:keepLines/>
              <w:jc w:val="center"/>
            </w:pPr>
            <w:r w:rsidRPr="0040534B">
              <w:t>4/285 (1)</w:t>
            </w:r>
          </w:p>
        </w:tc>
        <w:tc>
          <w:tcPr>
            <w:tcW w:w="784" w:type="pct"/>
          </w:tcPr>
          <w:p w14:paraId="4FB12D06" w14:textId="77777777" w:rsidR="00F03CD4" w:rsidRPr="0040534B" w:rsidRDefault="00F03CD4" w:rsidP="004844B8">
            <w:pPr>
              <w:pStyle w:val="TableText0"/>
              <w:keepLines/>
              <w:jc w:val="center"/>
            </w:pPr>
            <w:r w:rsidRPr="0040534B">
              <w:t>3/277 (1)</w:t>
            </w:r>
          </w:p>
        </w:tc>
        <w:tc>
          <w:tcPr>
            <w:tcW w:w="701" w:type="pct"/>
          </w:tcPr>
          <w:p w14:paraId="5B192FF2" w14:textId="77777777" w:rsidR="00F03CD4" w:rsidRPr="0040534B" w:rsidRDefault="00F03CD4" w:rsidP="004844B8">
            <w:pPr>
              <w:pStyle w:val="TableText0"/>
              <w:keepLines/>
              <w:jc w:val="center"/>
            </w:pPr>
            <w:r w:rsidRPr="0040534B">
              <w:t>1.3 (0.3, 5.7)</w:t>
            </w:r>
          </w:p>
        </w:tc>
        <w:tc>
          <w:tcPr>
            <w:tcW w:w="905" w:type="pct"/>
          </w:tcPr>
          <w:p w14:paraId="70513EE9" w14:textId="77777777" w:rsidR="00F03CD4" w:rsidRPr="0040534B" w:rsidRDefault="00F03CD4" w:rsidP="004844B8">
            <w:pPr>
              <w:pStyle w:val="TableText0"/>
              <w:keepLines/>
              <w:jc w:val="center"/>
            </w:pPr>
            <w:r w:rsidRPr="0040534B">
              <w:t>0.00 (-0.02, 0.02)</w:t>
            </w:r>
          </w:p>
        </w:tc>
      </w:tr>
      <w:tr w:rsidR="00F03CD4" w:rsidRPr="0040534B" w14:paraId="2466FC28" w14:textId="77777777" w:rsidTr="00C124DD">
        <w:tc>
          <w:tcPr>
            <w:tcW w:w="744" w:type="pct"/>
            <w:vMerge w:val="restart"/>
            <w:vAlign w:val="center"/>
          </w:tcPr>
          <w:p w14:paraId="058D7ED3" w14:textId="77777777" w:rsidR="00F03CD4" w:rsidRPr="0040534B" w:rsidRDefault="00F03CD4" w:rsidP="004844B8">
            <w:pPr>
              <w:pStyle w:val="TableText0"/>
              <w:keepLines/>
            </w:pPr>
            <w:r w:rsidRPr="0040534B">
              <w:t>NCT03303079</w:t>
            </w:r>
            <w:r w:rsidRPr="0040534B">
              <w:rPr>
                <w:vertAlign w:val="superscript"/>
              </w:rPr>
              <w:t>b</w:t>
            </w:r>
          </w:p>
        </w:tc>
        <w:tc>
          <w:tcPr>
            <w:tcW w:w="1085" w:type="pct"/>
            <w:vAlign w:val="center"/>
          </w:tcPr>
          <w:p w14:paraId="20470DA4" w14:textId="04D1E0AB" w:rsidR="00F03CD4" w:rsidRPr="0040534B" w:rsidRDefault="00F03CD4" w:rsidP="004844B8">
            <w:pPr>
              <w:pStyle w:val="TableText0"/>
              <w:keepLines/>
            </w:pPr>
            <w:r w:rsidRPr="0040534B">
              <w:t>FREM 675</w:t>
            </w:r>
            <w:r w:rsidR="006F04A7" w:rsidRPr="0040534B">
              <w:t xml:space="preserve"> </w:t>
            </w:r>
            <w:r w:rsidRPr="0040534B">
              <w:t>mg vs. PBO</w:t>
            </w:r>
          </w:p>
        </w:tc>
        <w:tc>
          <w:tcPr>
            <w:tcW w:w="781" w:type="pct"/>
          </w:tcPr>
          <w:p w14:paraId="60E30DC4" w14:textId="77777777" w:rsidR="00F03CD4" w:rsidRPr="0040534B" w:rsidRDefault="00F03CD4" w:rsidP="004844B8">
            <w:pPr>
              <w:pStyle w:val="TableText0"/>
              <w:keepLines/>
              <w:jc w:val="center"/>
            </w:pPr>
            <w:r w:rsidRPr="0040534B">
              <w:t>0</w:t>
            </w:r>
            <w:r w:rsidRPr="0040534B">
              <w:rPr>
                <w:vertAlign w:val="superscript"/>
              </w:rPr>
              <w:t>c</w:t>
            </w:r>
            <w:r w:rsidRPr="0040534B">
              <w:t>/190 (0)</w:t>
            </w:r>
          </w:p>
        </w:tc>
        <w:tc>
          <w:tcPr>
            <w:tcW w:w="784" w:type="pct"/>
          </w:tcPr>
          <w:p w14:paraId="0193F318" w14:textId="77777777" w:rsidR="00F03CD4" w:rsidRPr="0040534B" w:rsidRDefault="00F03CD4" w:rsidP="004844B8">
            <w:pPr>
              <w:pStyle w:val="TableText0"/>
              <w:keepLines/>
              <w:jc w:val="center"/>
            </w:pPr>
            <w:r w:rsidRPr="0040534B">
              <w:t>2/191 (1.0)</w:t>
            </w:r>
          </w:p>
        </w:tc>
        <w:tc>
          <w:tcPr>
            <w:tcW w:w="701" w:type="pct"/>
          </w:tcPr>
          <w:p w14:paraId="23E19FDC" w14:textId="77777777" w:rsidR="00F03CD4" w:rsidRPr="0040534B" w:rsidRDefault="00F03CD4" w:rsidP="004844B8">
            <w:pPr>
              <w:pStyle w:val="TableText0"/>
              <w:keepLines/>
              <w:jc w:val="center"/>
            </w:pPr>
            <w:r w:rsidRPr="0040534B">
              <w:t>0.5 (0.05, 5.5)</w:t>
            </w:r>
          </w:p>
        </w:tc>
        <w:tc>
          <w:tcPr>
            <w:tcW w:w="905" w:type="pct"/>
          </w:tcPr>
          <w:p w14:paraId="21BE80FC" w14:textId="77777777" w:rsidR="00F03CD4" w:rsidRPr="0040534B" w:rsidRDefault="00F03CD4" w:rsidP="004844B8">
            <w:pPr>
              <w:pStyle w:val="TableText0"/>
              <w:keepLines/>
              <w:jc w:val="center"/>
            </w:pPr>
            <w:r w:rsidRPr="0040534B">
              <w:t>-0.01 (-0.03, 0.01)</w:t>
            </w:r>
          </w:p>
        </w:tc>
      </w:tr>
      <w:tr w:rsidR="00F03CD4" w:rsidRPr="0040534B" w14:paraId="2EB2C443" w14:textId="77777777" w:rsidTr="00C124DD">
        <w:tc>
          <w:tcPr>
            <w:tcW w:w="744" w:type="pct"/>
            <w:vMerge/>
            <w:vAlign w:val="center"/>
          </w:tcPr>
          <w:p w14:paraId="1DE459FF" w14:textId="77777777" w:rsidR="00F03CD4" w:rsidRPr="0040534B" w:rsidRDefault="00F03CD4" w:rsidP="004844B8">
            <w:pPr>
              <w:pStyle w:val="TableText0"/>
              <w:keepLines/>
            </w:pPr>
          </w:p>
        </w:tc>
        <w:tc>
          <w:tcPr>
            <w:tcW w:w="1085" w:type="pct"/>
            <w:vAlign w:val="center"/>
          </w:tcPr>
          <w:p w14:paraId="5C5D4418" w14:textId="02A4BBFE" w:rsidR="00F03CD4" w:rsidRPr="0040534B" w:rsidRDefault="00F03CD4" w:rsidP="004844B8">
            <w:pPr>
              <w:pStyle w:val="TableText0"/>
              <w:keepLines/>
            </w:pPr>
            <w:r w:rsidRPr="0040534B">
              <w:t>FREM 225</w:t>
            </w:r>
            <w:r w:rsidR="006F04A7" w:rsidRPr="0040534B">
              <w:t xml:space="preserve"> </w:t>
            </w:r>
            <w:r w:rsidRPr="0040534B">
              <w:t>mg vs. PBO</w:t>
            </w:r>
          </w:p>
        </w:tc>
        <w:tc>
          <w:tcPr>
            <w:tcW w:w="781" w:type="pct"/>
          </w:tcPr>
          <w:p w14:paraId="010A349C" w14:textId="77777777" w:rsidR="00F03CD4" w:rsidRPr="0040534B" w:rsidRDefault="00F03CD4" w:rsidP="004844B8">
            <w:pPr>
              <w:pStyle w:val="TableText0"/>
              <w:keepLines/>
              <w:jc w:val="center"/>
            </w:pPr>
            <w:r w:rsidRPr="0040534B">
              <w:t>0</w:t>
            </w:r>
            <w:r w:rsidRPr="0040534B">
              <w:rPr>
                <w:vertAlign w:val="superscript"/>
              </w:rPr>
              <w:t>c</w:t>
            </w:r>
            <w:r w:rsidRPr="0040534B">
              <w:t>/188 (0)</w:t>
            </w:r>
          </w:p>
        </w:tc>
        <w:tc>
          <w:tcPr>
            <w:tcW w:w="784" w:type="pct"/>
          </w:tcPr>
          <w:p w14:paraId="7F910568" w14:textId="77777777" w:rsidR="00F03CD4" w:rsidRPr="0040534B" w:rsidRDefault="00F03CD4" w:rsidP="004844B8">
            <w:pPr>
              <w:pStyle w:val="TableText0"/>
              <w:keepLines/>
              <w:jc w:val="center"/>
            </w:pPr>
            <w:r w:rsidRPr="0040534B">
              <w:t>2/191 (1.0)</w:t>
            </w:r>
          </w:p>
        </w:tc>
        <w:tc>
          <w:tcPr>
            <w:tcW w:w="701" w:type="pct"/>
          </w:tcPr>
          <w:p w14:paraId="79896495" w14:textId="77777777" w:rsidR="00F03CD4" w:rsidRPr="0040534B" w:rsidRDefault="00F03CD4" w:rsidP="004844B8">
            <w:pPr>
              <w:pStyle w:val="TableText0"/>
              <w:keepLines/>
              <w:jc w:val="center"/>
            </w:pPr>
            <w:r w:rsidRPr="0040534B">
              <w:t>0.5 (0.05, 5.6)</w:t>
            </w:r>
          </w:p>
        </w:tc>
        <w:tc>
          <w:tcPr>
            <w:tcW w:w="905" w:type="pct"/>
          </w:tcPr>
          <w:p w14:paraId="26E4B2F9" w14:textId="77777777" w:rsidR="00F03CD4" w:rsidRPr="0040534B" w:rsidRDefault="00F03CD4" w:rsidP="004844B8">
            <w:pPr>
              <w:pStyle w:val="TableText0"/>
              <w:keepLines/>
              <w:jc w:val="center"/>
            </w:pPr>
            <w:r w:rsidRPr="0040534B">
              <w:t>-0.01 (-0.03, 0.01)</w:t>
            </w:r>
          </w:p>
        </w:tc>
      </w:tr>
    </w:tbl>
    <w:p w14:paraId="1B2014F6" w14:textId="77777777" w:rsidR="00F03CD4" w:rsidRPr="0040534B" w:rsidRDefault="00F03CD4" w:rsidP="004844B8">
      <w:pPr>
        <w:pStyle w:val="FooterTableFigure"/>
        <w:keepNext/>
        <w:keepLines/>
      </w:pPr>
      <w:r w:rsidRPr="0040534B">
        <w:t>Source: Table 2-30, pp100-101 of the submission.</w:t>
      </w:r>
    </w:p>
    <w:p w14:paraId="38D0D3F2" w14:textId="77777777" w:rsidR="00F03CD4" w:rsidRPr="0040534B" w:rsidRDefault="00F03CD4" w:rsidP="004844B8">
      <w:pPr>
        <w:pStyle w:val="FooterTableFigure"/>
        <w:keepNext/>
        <w:keepLines/>
        <w:rPr>
          <w:rFonts w:eastAsia="Calibri"/>
        </w:rPr>
      </w:pPr>
      <w:r w:rsidRPr="0040534B">
        <w:t xml:space="preserve">ATOG = Atogepant; CGRP = Calcitonin gene-related peptide; </w:t>
      </w:r>
      <w:r w:rsidRPr="0040534B">
        <w:rPr>
          <w:rFonts w:eastAsia="Calibri"/>
        </w:rPr>
        <w:t>CI = confidence interval;</w:t>
      </w:r>
      <w:r w:rsidRPr="0040534B">
        <w:t xml:space="preserve"> FREM = Fremanezumab; GAL = Galcanezumab; </w:t>
      </w:r>
      <w:r w:rsidRPr="0040534B">
        <w:rPr>
          <w:rFonts w:eastAsia="Calibri"/>
        </w:rPr>
        <w:t>n = number of participants experiencing event; N = total participants in group; PBO = placebo; RD = risk difference; RR = relative risk.</w:t>
      </w:r>
    </w:p>
    <w:p w14:paraId="3E5FB5B1" w14:textId="77777777" w:rsidR="00F03CD4" w:rsidRPr="0040534B" w:rsidRDefault="00F03CD4" w:rsidP="004844B8">
      <w:pPr>
        <w:pStyle w:val="FooterTableFigure"/>
        <w:keepNext/>
        <w:keepLines/>
        <w:rPr>
          <w:rFonts w:eastAsia="Calibri"/>
        </w:rPr>
      </w:pPr>
      <w:r w:rsidRPr="0040534B">
        <w:rPr>
          <w:rFonts w:eastAsia="Calibri"/>
          <w:vertAlign w:val="superscript"/>
        </w:rPr>
        <w:t>a</w:t>
      </w:r>
      <w:r w:rsidRPr="0040534B">
        <w:rPr>
          <w:rFonts w:eastAsia="Calibri"/>
        </w:rPr>
        <w:t xml:space="preserve"> Results for chronic migraine and episodic migraine subpopulations combined.</w:t>
      </w:r>
    </w:p>
    <w:p w14:paraId="78CA2BC7" w14:textId="0D5BAAA6" w:rsidR="00F03CD4" w:rsidRPr="0040534B" w:rsidRDefault="00F03CD4" w:rsidP="004844B8">
      <w:pPr>
        <w:pStyle w:val="FooterTableFigure"/>
        <w:keepNext/>
        <w:keepLines/>
      </w:pPr>
      <w:r w:rsidRPr="0040534B">
        <w:rPr>
          <w:vertAlign w:val="superscript"/>
        </w:rPr>
        <w:t>b</w:t>
      </w:r>
      <w:r w:rsidRPr="0040534B">
        <w:t xml:space="preserve"> The fremanezumab trials used a loading dose of fremanezumab 675mg followed by 4 weekly or monthly injections of fremanezumab 225</w:t>
      </w:r>
      <w:r w:rsidR="00CB56D9" w:rsidRPr="0040534B">
        <w:t xml:space="preserve"> </w:t>
      </w:r>
      <w:r w:rsidRPr="0040534B">
        <w:t>mg.</w:t>
      </w:r>
    </w:p>
    <w:p w14:paraId="7EFE6162" w14:textId="77777777" w:rsidR="00F03CD4" w:rsidRPr="0040534B" w:rsidRDefault="00F03CD4" w:rsidP="00F03CD4">
      <w:pPr>
        <w:pStyle w:val="FooterTableFigure"/>
      </w:pPr>
      <w:r w:rsidRPr="0040534B">
        <w:rPr>
          <w:vertAlign w:val="superscript"/>
        </w:rPr>
        <w:t>c</w:t>
      </w:r>
      <w:r w:rsidRPr="0040534B">
        <w:t xml:space="preserve"> An incidence of 1 was used in the submission for the relative risk calculation.</w:t>
      </w:r>
    </w:p>
    <w:p w14:paraId="7FEAE29C" w14:textId="64263FFE" w:rsidR="00F03CD4" w:rsidRPr="0040534B" w:rsidRDefault="00F03CD4" w:rsidP="00F03CD4">
      <w:pPr>
        <w:pStyle w:val="3-BodyText"/>
      </w:pPr>
      <w:r w:rsidRPr="0040534B">
        <w:t>The submission stated that overall, atogepant appeared to be safe and well tolerated in participants with chronic migraine. Most treatment-emergent adverse events were mild or moderate in severity. There were seven reported serious treatment-emergent adverse events in the atogepant 60</w:t>
      </w:r>
      <w:r w:rsidR="00E34A5B" w:rsidRPr="0040534B">
        <w:t xml:space="preserve"> </w:t>
      </w:r>
      <w:r w:rsidRPr="0040534B">
        <w:t>mg once daily group, the incidence of which did not differ significantly from placebo; infection and infestations (n=2), COVID-19 (n=1), bronchitis (n=1), injury, poisoning and procedural complications (n=2) and fall (n=1). There were no deaths reported during the PROGRESS trial.</w:t>
      </w:r>
    </w:p>
    <w:p w14:paraId="71047E2B" w14:textId="4F1A7C38" w:rsidR="00F03CD4" w:rsidRPr="0040534B" w:rsidRDefault="00F03CD4" w:rsidP="00F03CD4">
      <w:pPr>
        <w:pStyle w:val="3-BodyText"/>
      </w:pPr>
      <w:r w:rsidRPr="0040534B">
        <w:t xml:space="preserve">In comparison to galcanezumab and fremanezumab, atogepant had a similar safety profile apart from injection site </w:t>
      </w:r>
      <w:r w:rsidR="00672E85" w:rsidRPr="0040534B">
        <w:t xml:space="preserve">AEs </w:t>
      </w:r>
      <w:r w:rsidRPr="0040534B">
        <w:t xml:space="preserve">that arose from the subcutaneous administration of the two comparator treatments. Galcanezumab was associated with a higher </w:t>
      </w:r>
      <w:r w:rsidRPr="0040534B">
        <w:lastRenderedPageBreak/>
        <w:t xml:space="preserve">incidence of injection site related </w:t>
      </w:r>
      <w:r w:rsidR="00672E85" w:rsidRPr="0040534B">
        <w:t xml:space="preserve">AEs </w:t>
      </w:r>
      <w:r w:rsidRPr="0040534B">
        <w:t xml:space="preserve">compared to placebo such as injection site reactions (REGAIN; galcanezumab 5% vs placebo 2%) and erythema (REGAIN; galcanezumab 5% vs placebo 1%). </w:t>
      </w:r>
    </w:p>
    <w:p w14:paraId="54692F6E" w14:textId="77777777" w:rsidR="00F03CD4" w:rsidRPr="0040534B" w:rsidRDefault="00F03CD4" w:rsidP="00F03CD4">
      <w:pPr>
        <w:pStyle w:val="3-BodyText"/>
      </w:pPr>
      <w:r w:rsidRPr="0040534B">
        <w:t xml:space="preserve">Atogepant had a higher incidence of gastrointestinal events compared to galcanezumab and fremanezumab, although as stated in the submission these were of mild or moderate severity. </w:t>
      </w:r>
    </w:p>
    <w:p w14:paraId="624D79E2" w14:textId="77777777" w:rsidR="00F03CD4" w:rsidRPr="0040534B" w:rsidRDefault="00F03CD4" w:rsidP="00F03CD4">
      <w:pPr>
        <w:pStyle w:val="5-SubsectionSubheading"/>
      </w:pPr>
      <w:bookmarkStart w:id="66" w:name="_Toc135214017"/>
      <w:r w:rsidRPr="0040534B">
        <w:t>Episodic migraine</w:t>
      </w:r>
      <w:bookmarkEnd w:id="66"/>
    </w:p>
    <w:p w14:paraId="5149B4A8" w14:textId="5CBA612D" w:rsidR="00F03CD4" w:rsidRPr="0040534B" w:rsidRDefault="00F03CD4" w:rsidP="00F03CD4">
      <w:pPr>
        <w:pStyle w:val="3-BodyText"/>
        <w:rPr>
          <w:color w:val="0066FF"/>
        </w:rPr>
      </w:pPr>
      <w:r w:rsidRPr="0040534B">
        <w:fldChar w:fldCharType="begin" w:fldLock="1"/>
      </w:r>
      <w:r w:rsidRPr="0040534B">
        <w:instrText xml:space="preserve"> REF _Ref133588579 \h </w:instrText>
      </w:r>
      <w:r w:rsidR="00653EEA" w:rsidRPr="0040534B">
        <w:instrText xml:space="preserve"> \* MERGEFORMAT </w:instrText>
      </w:r>
      <w:r w:rsidRPr="0040534B">
        <w:fldChar w:fldCharType="separate"/>
      </w:r>
      <w:r w:rsidR="004E201F" w:rsidRPr="0040534B">
        <w:t xml:space="preserve">Table </w:t>
      </w:r>
      <w:r w:rsidR="004E201F">
        <w:t>14</w:t>
      </w:r>
      <w:r w:rsidRPr="0040534B">
        <w:fldChar w:fldCharType="end"/>
      </w:r>
      <w:r w:rsidRPr="0040534B">
        <w:t xml:space="preserve"> presents the summary safety outcomes for the trials included in the </w:t>
      </w:r>
      <w:r w:rsidR="00E34A5B" w:rsidRPr="0040534B">
        <w:t>ep</w:t>
      </w:r>
      <w:r w:rsidR="00104D9F" w:rsidRPr="0040534B">
        <w:t>iso</w:t>
      </w:r>
      <w:r w:rsidR="00E34A5B" w:rsidRPr="0040534B">
        <w:t xml:space="preserve">dic </w:t>
      </w:r>
      <w:r w:rsidRPr="0040534B">
        <w:t xml:space="preserve">migraine analysis. The safety results for the chronic and episodic migraine subpopulations in the CONQUER and FOCUS trials were presented together in </w:t>
      </w:r>
      <w:r w:rsidRPr="0040534B">
        <w:fldChar w:fldCharType="begin" w:fldLock="1"/>
      </w:r>
      <w:r w:rsidRPr="0040534B">
        <w:instrText xml:space="preserve"> REF _Ref133588207 \h  \* MERGEFORMAT </w:instrText>
      </w:r>
      <w:r w:rsidRPr="0040534B">
        <w:fldChar w:fldCharType="separate"/>
      </w:r>
      <w:r w:rsidR="004E201F" w:rsidRPr="0040534B">
        <w:t xml:space="preserve">Table </w:t>
      </w:r>
      <w:r w:rsidR="004E201F">
        <w:t>13</w:t>
      </w:r>
      <w:r w:rsidRPr="0040534B">
        <w:fldChar w:fldCharType="end"/>
      </w:r>
      <w:r w:rsidRPr="0040534B">
        <w:t xml:space="preserve"> and are not duplicated in </w:t>
      </w:r>
      <w:r w:rsidRPr="0040534B">
        <w:fldChar w:fldCharType="begin" w:fldLock="1"/>
      </w:r>
      <w:r w:rsidRPr="0040534B">
        <w:instrText xml:space="preserve"> REF _Ref133588579 \h  \* MERGEFORMAT </w:instrText>
      </w:r>
      <w:r w:rsidRPr="0040534B">
        <w:fldChar w:fldCharType="separate"/>
      </w:r>
      <w:r w:rsidR="004E201F" w:rsidRPr="0040534B">
        <w:t xml:space="preserve">Table </w:t>
      </w:r>
      <w:r w:rsidR="004E201F">
        <w:t>14</w:t>
      </w:r>
      <w:r w:rsidRPr="0040534B">
        <w:fldChar w:fldCharType="end"/>
      </w:r>
      <w:r w:rsidRPr="0040534B">
        <w:t>.</w:t>
      </w:r>
    </w:p>
    <w:p w14:paraId="13A47DE8" w14:textId="0C6D18A3" w:rsidR="00F03CD4" w:rsidRPr="0040534B" w:rsidRDefault="00F03CD4" w:rsidP="00F03CD4">
      <w:pPr>
        <w:pStyle w:val="3-BodyText"/>
      </w:pPr>
      <w:r w:rsidRPr="0040534B">
        <w:t xml:space="preserve">The submission stated that the majority of TEAEs were considered to be mild or moderate in severity. No serious treatment-emergent </w:t>
      </w:r>
      <w:r w:rsidR="00672E85" w:rsidRPr="0040534B">
        <w:t xml:space="preserve">AEs </w:t>
      </w:r>
      <w:r w:rsidRPr="0040534B">
        <w:t>were reported with atogepant 60</w:t>
      </w:r>
      <w:r w:rsidR="00E34A5B" w:rsidRPr="0040534B">
        <w:t xml:space="preserve"> </w:t>
      </w:r>
      <w:r w:rsidRPr="0040534B">
        <w:t>mg once daily arm of the atogepant ADVANCE trial. The submission stated that seven severe TEAEs were reported in NCT02848326 in the atogepant 60</w:t>
      </w:r>
      <w:r w:rsidR="00104D9F" w:rsidRPr="0040534B">
        <w:t xml:space="preserve"> </w:t>
      </w:r>
      <w:r w:rsidRPr="0040534B">
        <w:t>mg once daily arm, the incidence of which did not differ significantly from the placebo group; nausea (n=1), anaemia (n=1), gastrointestinal disorders (n=3), blood and lymphatic disorders (n=1) and diarrhoea (n=1).</w:t>
      </w:r>
    </w:p>
    <w:p w14:paraId="287EDDD6" w14:textId="63B19127" w:rsidR="00F03CD4" w:rsidRPr="0040534B" w:rsidRDefault="00F03CD4" w:rsidP="00F03CD4">
      <w:pPr>
        <w:pStyle w:val="3-BodyText"/>
      </w:pPr>
      <w:r w:rsidRPr="0040534B">
        <w:t xml:space="preserve">In comparison to galcanezumab and fremanezumab, atogepant had a similar safety profile apart from injection site </w:t>
      </w:r>
      <w:r w:rsidR="008C77E1" w:rsidRPr="0040534B">
        <w:t xml:space="preserve">AEs </w:t>
      </w:r>
      <w:r w:rsidRPr="0040534B">
        <w:t xml:space="preserve">that arose from the subcutaneous administration of the two comparator treatments. </w:t>
      </w:r>
    </w:p>
    <w:p w14:paraId="26112932" w14:textId="77777777" w:rsidR="00F03CD4" w:rsidRPr="0040534B" w:rsidRDefault="00F03CD4" w:rsidP="00F03CD4">
      <w:pPr>
        <w:pStyle w:val="3-BodyText"/>
      </w:pPr>
      <w:r w:rsidRPr="0040534B">
        <w:t>Atogepant had a higher incidence of gastrointestinal events compared to galcanezumab and fremanezumab, although as stated in the submission these were of mild or moderate severity. In the atogepant ADVANCE and NCT02848326 trials and 3101-302-002 study between 4.8% and 7.2% of participants receiving atogepant experienced constipation, whereas constipation was not reported as occurring in &gt;2% of participants in any of the galcanezumab or fremanezumab trials. In the atogepant ADVANCE and NCT02848326 trials and 3101-302-002 study between 4.3% and 11.8% of participants receiving atogepant experienced nausea, compared with between &lt;1% and 4.8% of patients receiving placebo. Less than 2% of participants receiving galcanezumab and 2.4% of participants receiving fremanezumab experienced nausea.</w:t>
      </w:r>
    </w:p>
    <w:p w14:paraId="7B661D74" w14:textId="348146F9" w:rsidR="00F03CD4" w:rsidRPr="0040534B" w:rsidRDefault="00F03CD4" w:rsidP="00F03CD4">
      <w:pPr>
        <w:pStyle w:val="Caption"/>
        <w:jc w:val="left"/>
      </w:pPr>
      <w:bookmarkStart w:id="67" w:name="_Ref133588579"/>
      <w:bookmarkStart w:id="68" w:name="_Ref134026377"/>
      <w:bookmarkStart w:id="69" w:name="_Toc22897643"/>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14</w:t>
      </w:r>
      <w:r w:rsidR="001968FD">
        <w:rPr>
          <w:noProof/>
        </w:rPr>
        <w:fldChar w:fldCharType="end"/>
      </w:r>
      <w:bookmarkEnd w:id="67"/>
      <w:r w:rsidRPr="0040534B">
        <w:t>: Summary of key adverse events in the randomised trials (episodic migraine)</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913"/>
        <w:gridCol w:w="1417"/>
        <w:gridCol w:w="1417"/>
        <w:gridCol w:w="1344"/>
        <w:gridCol w:w="1580"/>
      </w:tblGrid>
      <w:tr w:rsidR="00F03CD4" w:rsidRPr="0040534B" w14:paraId="0EA61EF1" w14:textId="77777777" w:rsidTr="006F04A7">
        <w:trPr>
          <w:tblHeader/>
        </w:trPr>
        <w:tc>
          <w:tcPr>
            <w:tcW w:w="746" w:type="pct"/>
            <w:tcMar>
              <w:left w:w="40" w:type="dxa"/>
              <w:right w:w="40" w:type="dxa"/>
            </w:tcMar>
            <w:vAlign w:val="center"/>
          </w:tcPr>
          <w:p w14:paraId="1784F77C" w14:textId="77777777" w:rsidR="00F03CD4" w:rsidRPr="0040534B" w:rsidRDefault="00F03CD4" w:rsidP="00AE0C79">
            <w:pPr>
              <w:pStyle w:val="In-tableHeading"/>
              <w:jc w:val="center"/>
              <w:rPr>
                <w:lang w:val="en-AU"/>
              </w:rPr>
            </w:pPr>
            <w:r w:rsidRPr="0040534B">
              <w:rPr>
                <w:lang w:val="en-AU"/>
              </w:rPr>
              <w:t>Trial ID</w:t>
            </w:r>
          </w:p>
        </w:tc>
        <w:tc>
          <w:tcPr>
            <w:tcW w:w="1061" w:type="pct"/>
            <w:tcMar>
              <w:left w:w="40" w:type="dxa"/>
              <w:right w:w="40" w:type="dxa"/>
            </w:tcMar>
            <w:vAlign w:val="center"/>
          </w:tcPr>
          <w:p w14:paraId="63170BC3" w14:textId="77777777" w:rsidR="00F03CD4" w:rsidRPr="0040534B" w:rsidRDefault="00F03CD4" w:rsidP="00AE0C79">
            <w:pPr>
              <w:pStyle w:val="In-tableHeading"/>
              <w:jc w:val="center"/>
              <w:rPr>
                <w:lang w:val="en-AU"/>
              </w:rPr>
            </w:pPr>
            <w:r w:rsidRPr="0040534B">
              <w:rPr>
                <w:lang w:val="en-AU"/>
              </w:rPr>
              <w:t>Treatment arms</w:t>
            </w:r>
          </w:p>
        </w:tc>
        <w:tc>
          <w:tcPr>
            <w:tcW w:w="786" w:type="pct"/>
            <w:tcMar>
              <w:left w:w="40" w:type="dxa"/>
              <w:right w:w="40" w:type="dxa"/>
            </w:tcMar>
            <w:vAlign w:val="center"/>
          </w:tcPr>
          <w:p w14:paraId="062B2F21" w14:textId="77777777" w:rsidR="00F03CD4" w:rsidRPr="0040534B" w:rsidRDefault="00F03CD4" w:rsidP="00AE0C79">
            <w:pPr>
              <w:pStyle w:val="In-tableHeading"/>
              <w:jc w:val="center"/>
              <w:rPr>
                <w:iCs/>
                <w:lang w:val="en-AU"/>
              </w:rPr>
            </w:pPr>
            <w:r w:rsidRPr="0040534B">
              <w:rPr>
                <w:iCs/>
                <w:lang w:val="en-AU"/>
              </w:rPr>
              <w:t xml:space="preserve">CGRP inhibitor, </w:t>
            </w:r>
          </w:p>
          <w:p w14:paraId="41BBBF0F" w14:textId="77777777" w:rsidR="00F03CD4" w:rsidRPr="0040534B" w:rsidRDefault="00F03CD4" w:rsidP="00AE0C79">
            <w:pPr>
              <w:pStyle w:val="In-tableHeading"/>
              <w:jc w:val="center"/>
              <w:rPr>
                <w:iCs/>
                <w:lang w:val="en-AU"/>
              </w:rPr>
            </w:pPr>
            <w:r w:rsidRPr="0040534B">
              <w:rPr>
                <w:lang w:val="en-AU"/>
              </w:rPr>
              <w:t>n/N (%)</w:t>
            </w:r>
          </w:p>
        </w:tc>
        <w:tc>
          <w:tcPr>
            <w:tcW w:w="786" w:type="pct"/>
            <w:tcMar>
              <w:left w:w="40" w:type="dxa"/>
              <w:right w:w="40" w:type="dxa"/>
            </w:tcMar>
            <w:vAlign w:val="center"/>
          </w:tcPr>
          <w:p w14:paraId="5A9D7385" w14:textId="77777777" w:rsidR="00F03CD4" w:rsidRPr="0040534B" w:rsidRDefault="00F03CD4" w:rsidP="00AE0C79">
            <w:pPr>
              <w:pStyle w:val="In-tableHeading"/>
              <w:jc w:val="center"/>
              <w:rPr>
                <w:lang w:val="en-AU"/>
              </w:rPr>
            </w:pPr>
            <w:r w:rsidRPr="0040534B">
              <w:rPr>
                <w:lang w:val="en-AU"/>
              </w:rPr>
              <w:t>Placebo</w:t>
            </w:r>
          </w:p>
          <w:p w14:paraId="6565A3AF" w14:textId="77777777" w:rsidR="00F03CD4" w:rsidRPr="0040534B" w:rsidRDefault="00F03CD4" w:rsidP="00AE0C79">
            <w:pPr>
              <w:pStyle w:val="In-tableHeading"/>
              <w:jc w:val="center"/>
              <w:rPr>
                <w:lang w:val="en-AU"/>
              </w:rPr>
            </w:pPr>
            <w:r w:rsidRPr="0040534B">
              <w:rPr>
                <w:lang w:val="en-AU"/>
              </w:rPr>
              <w:t>n/N (%)</w:t>
            </w:r>
          </w:p>
        </w:tc>
        <w:tc>
          <w:tcPr>
            <w:tcW w:w="745" w:type="pct"/>
            <w:tcMar>
              <w:left w:w="40" w:type="dxa"/>
              <w:right w:w="40" w:type="dxa"/>
            </w:tcMar>
            <w:vAlign w:val="center"/>
          </w:tcPr>
          <w:p w14:paraId="07455FC6" w14:textId="77777777" w:rsidR="00F03CD4" w:rsidRPr="0040534B" w:rsidRDefault="00F03CD4" w:rsidP="00AE0C79">
            <w:pPr>
              <w:pStyle w:val="In-tableHeading"/>
              <w:jc w:val="center"/>
              <w:rPr>
                <w:lang w:val="en-AU"/>
              </w:rPr>
            </w:pPr>
            <w:r w:rsidRPr="0040534B">
              <w:rPr>
                <w:lang w:val="en-AU"/>
              </w:rPr>
              <w:t>RR (95% CI)</w:t>
            </w:r>
          </w:p>
        </w:tc>
        <w:tc>
          <w:tcPr>
            <w:tcW w:w="877" w:type="pct"/>
            <w:tcMar>
              <w:left w:w="40" w:type="dxa"/>
              <w:right w:w="40" w:type="dxa"/>
            </w:tcMar>
            <w:vAlign w:val="center"/>
          </w:tcPr>
          <w:p w14:paraId="0B77D153" w14:textId="77777777" w:rsidR="00F03CD4" w:rsidRPr="0040534B" w:rsidRDefault="00F03CD4" w:rsidP="00AE0C79">
            <w:pPr>
              <w:pStyle w:val="In-tableHeading"/>
              <w:jc w:val="center"/>
              <w:rPr>
                <w:lang w:val="en-AU"/>
              </w:rPr>
            </w:pPr>
            <w:r w:rsidRPr="0040534B">
              <w:rPr>
                <w:lang w:val="en-AU"/>
              </w:rPr>
              <w:t>RD (95% CI)</w:t>
            </w:r>
          </w:p>
        </w:tc>
      </w:tr>
      <w:tr w:rsidR="00F03CD4" w:rsidRPr="0040534B" w14:paraId="44267967" w14:textId="77777777" w:rsidTr="006F04A7">
        <w:tc>
          <w:tcPr>
            <w:tcW w:w="5000" w:type="pct"/>
            <w:gridSpan w:val="6"/>
            <w:tcMar>
              <w:left w:w="40" w:type="dxa"/>
              <w:right w:w="40" w:type="dxa"/>
            </w:tcMar>
          </w:tcPr>
          <w:p w14:paraId="15FDC976" w14:textId="77777777" w:rsidR="00F03CD4" w:rsidRPr="0040534B" w:rsidRDefault="00F03CD4" w:rsidP="00AE0C79">
            <w:pPr>
              <w:pStyle w:val="TableText0"/>
            </w:pPr>
            <w:r w:rsidRPr="0040534B">
              <w:rPr>
                <w:b/>
                <w:bCs w:val="0"/>
              </w:rPr>
              <w:t>Any TEAE</w:t>
            </w:r>
          </w:p>
        </w:tc>
      </w:tr>
      <w:tr w:rsidR="00F03CD4" w:rsidRPr="0040534B" w14:paraId="38BC9A18" w14:textId="77777777" w:rsidTr="006F04A7">
        <w:tc>
          <w:tcPr>
            <w:tcW w:w="746" w:type="pct"/>
            <w:tcMar>
              <w:left w:w="40" w:type="dxa"/>
              <w:right w:w="40" w:type="dxa"/>
            </w:tcMar>
            <w:vAlign w:val="center"/>
          </w:tcPr>
          <w:p w14:paraId="130C2D7A" w14:textId="77777777" w:rsidR="00F03CD4" w:rsidRPr="0040534B" w:rsidRDefault="00F03CD4" w:rsidP="00AE0C79">
            <w:pPr>
              <w:pStyle w:val="TableText0"/>
            </w:pPr>
            <w:r w:rsidRPr="0040534B">
              <w:t>ADVANCE</w:t>
            </w:r>
          </w:p>
        </w:tc>
        <w:tc>
          <w:tcPr>
            <w:tcW w:w="1061" w:type="pct"/>
            <w:tcMar>
              <w:left w:w="40" w:type="dxa"/>
              <w:right w:w="40" w:type="dxa"/>
            </w:tcMar>
            <w:vAlign w:val="center"/>
          </w:tcPr>
          <w:p w14:paraId="5539589E" w14:textId="04CCB7C6" w:rsidR="00F03CD4" w:rsidRPr="0040534B" w:rsidRDefault="00F03CD4" w:rsidP="00AE0C79">
            <w:pPr>
              <w:pStyle w:val="TableText0"/>
            </w:pPr>
            <w:r w:rsidRPr="0040534B">
              <w:t>ATOG 60</w:t>
            </w:r>
            <w:r w:rsidR="006F04A7" w:rsidRPr="0040534B">
              <w:t xml:space="preserve"> </w:t>
            </w:r>
            <w:r w:rsidRPr="0040534B">
              <w:t>mg vs. PBO</w:t>
            </w:r>
          </w:p>
        </w:tc>
        <w:tc>
          <w:tcPr>
            <w:tcW w:w="786" w:type="pct"/>
            <w:tcMar>
              <w:left w:w="40" w:type="dxa"/>
              <w:right w:w="40" w:type="dxa"/>
            </w:tcMar>
          </w:tcPr>
          <w:p w14:paraId="14098130" w14:textId="77777777" w:rsidR="00F03CD4" w:rsidRPr="0040534B" w:rsidRDefault="00F03CD4" w:rsidP="00AE0C79">
            <w:pPr>
              <w:pStyle w:val="TableText0"/>
              <w:jc w:val="center"/>
            </w:pPr>
            <w:r w:rsidRPr="0040534B">
              <w:t>124/231 (53.7)</w:t>
            </w:r>
          </w:p>
        </w:tc>
        <w:tc>
          <w:tcPr>
            <w:tcW w:w="786" w:type="pct"/>
            <w:tcMar>
              <w:left w:w="40" w:type="dxa"/>
              <w:right w:w="40" w:type="dxa"/>
            </w:tcMar>
          </w:tcPr>
          <w:p w14:paraId="4BADD578" w14:textId="77777777" w:rsidR="00F03CD4" w:rsidRPr="0040534B" w:rsidRDefault="00F03CD4" w:rsidP="00AE0C79">
            <w:pPr>
              <w:pStyle w:val="TableText0"/>
              <w:jc w:val="center"/>
            </w:pPr>
            <w:r w:rsidRPr="0040534B">
              <w:t>126/222 (56.8)</w:t>
            </w:r>
          </w:p>
        </w:tc>
        <w:tc>
          <w:tcPr>
            <w:tcW w:w="745" w:type="pct"/>
            <w:shd w:val="clear" w:color="auto" w:fill="auto"/>
            <w:tcMar>
              <w:left w:w="40" w:type="dxa"/>
              <w:right w:w="40" w:type="dxa"/>
            </w:tcMar>
          </w:tcPr>
          <w:p w14:paraId="66E33DEC" w14:textId="77777777" w:rsidR="00F03CD4" w:rsidRPr="0040534B" w:rsidRDefault="00F03CD4" w:rsidP="00AE0C79">
            <w:pPr>
              <w:pStyle w:val="TableText0"/>
              <w:jc w:val="center"/>
            </w:pPr>
            <w:r w:rsidRPr="0040534B">
              <w:t>0.9 (0.8 – 1.1)</w:t>
            </w:r>
          </w:p>
        </w:tc>
        <w:tc>
          <w:tcPr>
            <w:tcW w:w="877" w:type="pct"/>
            <w:shd w:val="clear" w:color="auto" w:fill="auto"/>
            <w:tcMar>
              <w:left w:w="40" w:type="dxa"/>
              <w:right w:w="40" w:type="dxa"/>
            </w:tcMar>
          </w:tcPr>
          <w:p w14:paraId="36CB8510" w14:textId="77777777" w:rsidR="00F03CD4" w:rsidRPr="0040534B" w:rsidRDefault="00F03CD4" w:rsidP="00AE0C79">
            <w:pPr>
              <w:pStyle w:val="TableText0"/>
              <w:jc w:val="center"/>
            </w:pPr>
            <w:r w:rsidRPr="0040534B">
              <w:t>-0.1 (-0.2-0.1)</w:t>
            </w:r>
          </w:p>
        </w:tc>
      </w:tr>
      <w:tr w:rsidR="00F03CD4" w:rsidRPr="0040534B" w14:paraId="24891A4F" w14:textId="77777777" w:rsidTr="006F04A7">
        <w:tc>
          <w:tcPr>
            <w:tcW w:w="746" w:type="pct"/>
            <w:tcMar>
              <w:left w:w="40" w:type="dxa"/>
              <w:right w:w="40" w:type="dxa"/>
            </w:tcMar>
            <w:vAlign w:val="center"/>
          </w:tcPr>
          <w:p w14:paraId="3670580C" w14:textId="77777777" w:rsidR="00F03CD4" w:rsidRPr="0040534B" w:rsidRDefault="00F03CD4" w:rsidP="00AE0C79">
            <w:pPr>
              <w:pStyle w:val="TableText0"/>
            </w:pPr>
            <w:r w:rsidRPr="0040534B">
              <w:t>NCT02848326</w:t>
            </w:r>
          </w:p>
        </w:tc>
        <w:tc>
          <w:tcPr>
            <w:tcW w:w="1061" w:type="pct"/>
            <w:tcMar>
              <w:left w:w="40" w:type="dxa"/>
              <w:right w:w="40" w:type="dxa"/>
            </w:tcMar>
            <w:vAlign w:val="center"/>
          </w:tcPr>
          <w:p w14:paraId="0EEE8939" w14:textId="3CB2D8C3" w:rsidR="00F03CD4" w:rsidRPr="0040534B" w:rsidRDefault="00F03CD4" w:rsidP="00AE0C79">
            <w:pPr>
              <w:pStyle w:val="TableText0"/>
            </w:pPr>
            <w:r w:rsidRPr="0040534B">
              <w:t>ATOG 60</w:t>
            </w:r>
            <w:r w:rsidR="006F04A7" w:rsidRPr="0040534B">
              <w:t xml:space="preserve"> </w:t>
            </w:r>
            <w:r w:rsidRPr="0040534B">
              <w:t>mg vs. PBO</w:t>
            </w:r>
          </w:p>
        </w:tc>
        <w:tc>
          <w:tcPr>
            <w:tcW w:w="786" w:type="pct"/>
            <w:tcMar>
              <w:left w:w="40" w:type="dxa"/>
              <w:right w:w="40" w:type="dxa"/>
            </w:tcMar>
          </w:tcPr>
          <w:p w14:paraId="70130068" w14:textId="77777777" w:rsidR="00F03CD4" w:rsidRPr="0040534B" w:rsidRDefault="00F03CD4" w:rsidP="00AE0C79">
            <w:pPr>
              <w:pStyle w:val="TableText0"/>
              <w:jc w:val="center"/>
            </w:pPr>
            <w:r w:rsidRPr="0040534B">
              <w:t>107/186 (57.5)</w:t>
            </w:r>
          </w:p>
        </w:tc>
        <w:tc>
          <w:tcPr>
            <w:tcW w:w="786" w:type="pct"/>
            <w:tcMar>
              <w:left w:w="40" w:type="dxa"/>
              <w:right w:w="40" w:type="dxa"/>
            </w:tcMar>
          </w:tcPr>
          <w:p w14:paraId="24039888" w14:textId="77777777" w:rsidR="00F03CD4" w:rsidRPr="0040534B" w:rsidRDefault="00F03CD4" w:rsidP="00AE0C79">
            <w:pPr>
              <w:pStyle w:val="TableText0"/>
              <w:jc w:val="center"/>
            </w:pPr>
            <w:r w:rsidRPr="0040534B">
              <w:t>92/186 (49.5)</w:t>
            </w:r>
          </w:p>
        </w:tc>
        <w:tc>
          <w:tcPr>
            <w:tcW w:w="745" w:type="pct"/>
            <w:shd w:val="clear" w:color="auto" w:fill="auto"/>
            <w:tcMar>
              <w:left w:w="40" w:type="dxa"/>
              <w:right w:w="40" w:type="dxa"/>
            </w:tcMar>
          </w:tcPr>
          <w:p w14:paraId="38FF71E6" w14:textId="77777777" w:rsidR="00F03CD4" w:rsidRPr="0040534B" w:rsidRDefault="00F03CD4" w:rsidP="00AE0C79">
            <w:pPr>
              <w:pStyle w:val="TableText0"/>
              <w:jc w:val="center"/>
            </w:pPr>
            <w:r w:rsidRPr="0040534B">
              <w:t>1.2 (1.0 – 1.4)</w:t>
            </w:r>
          </w:p>
        </w:tc>
        <w:tc>
          <w:tcPr>
            <w:tcW w:w="877" w:type="pct"/>
            <w:shd w:val="clear" w:color="auto" w:fill="auto"/>
            <w:tcMar>
              <w:left w:w="40" w:type="dxa"/>
              <w:right w:w="40" w:type="dxa"/>
            </w:tcMar>
          </w:tcPr>
          <w:p w14:paraId="3AC14BE3" w14:textId="77777777" w:rsidR="00F03CD4" w:rsidRPr="0040534B" w:rsidRDefault="00F03CD4" w:rsidP="00AE0C79">
            <w:pPr>
              <w:pStyle w:val="TableText0"/>
              <w:jc w:val="center"/>
            </w:pPr>
            <w:r w:rsidRPr="0040534B">
              <w:t>-0.03 (-0.12,0.06)</w:t>
            </w:r>
          </w:p>
        </w:tc>
      </w:tr>
      <w:tr w:rsidR="00F03CD4" w:rsidRPr="0040534B" w14:paraId="020E0BC6" w14:textId="77777777" w:rsidTr="006F04A7">
        <w:tc>
          <w:tcPr>
            <w:tcW w:w="746" w:type="pct"/>
            <w:tcMar>
              <w:left w:w="40" w:type="dxa"/>
              <w:right w:w="40" w:type="dxa"/>
            </w:tcMar>
            <w:vAlign w:val="center"/>
          </w:tcPr>
          <w:p w14:paraId="3AC3102E" w14:textId="77777777" w:rsidR="00F03CD4" w:rsidRPr="0040534B" w:rsidRDefault="00F03CD4" w:rsidP="00AE0C79">
            <w:pPr>
              <w:pStyle w:val="TableText0"/>
            </w:pPr>
            <w:r w:rsidRPr="0040534B">
              <w:t>3101-302-002</w:t>
            </w:r>
          </w:p>
        </w:tc>
        <w:tc>
          <w:tcPr>
            <w:tcW w:w="1061" w:type="pct"/>
            <w:tcMar>
              <w:left w:w="40" w:type="dxa"/>
              <w:right w:w="40" w:type="dxa"/>
            </w:tcMar>
          </w:tcPr>
          <w:p w14:paraId="6850997D" w14:textId="3432734B" w:rsidR="00F03CD4" w:rsidRPr="0040534B" w:rsidRDefault="00F03CD4" w:rsidP="00AE0C79">
            <w:pPr>
              <w:pStyle w:val="TableText0"/>
            </w:pPr>
            <w:r w:rsidRPr="0040534B">
              <w:t>ATOG 60</w:t>
            </w:r>
            <w:r w:rsidR="006F04A7" w:rsidRPr="0040534B">
              <w:t xml:space="preserve"> </w:t>
            </w:r>
            <w:r w:rsidRPr="0040534B">
              <w:t>mg vs. SoC</w:t>
            </w:r>
            <w:r w:rsidRPr="0040534B">
              <w:rPr>
                <w:vertAlign w:val="superscript"/>
              </w:rPr>
              <w:t>a</w:t>
            </w:r>
          </w:p>
        </w:tc>
        <w:tc>
          <w:tcPr>
            <w:tcW w:w="786" w:type="pct"/>
            <w:tcMar>
              <w:left w:w="40" w:type="dxa"/>
              <w:right w:w="40" w:type="dxa"/>
            </w:tcMar>
          </w:tcPr>
          <w:p w14:paraId="771D3603" w14:textId="77777777" w:rsidR="00F03CD4" w:rsidRPr="0040534B" w:rsidRDefault="00F03CD4" w:rsidP="00AE0C79">
            <w:pPr>
              <w:pStyle w:val="TableText0"/>
              <w:jc w:val="center"/>
            </w:pPr>
            <w:r w:rsidRPr="0040534B">
              <w:t>364/543 (67.0)</w:t>
            </w:r>
          </w:p>
        </w:tc>
        <w:tc>
          <w:tcPr>
            <w:tcW w:w="786" w:type="pct"/>
            <w:tcMar>
              <w:left w:w="40" w:type="dxa"/>
              <w:right w:w="40" w:type="dxa"/>
            </w:tcMar>
          </w:tcPr>
          <w:p w14:paraId="36ADF69E" w14:textId="77777777" w:rsidR="00F03CD4" w:rsidRPr="0040534B" w:rsidRDefault="00F03CD4" w:rsidP="00AE0C79">
            <w:pPr>
              <w:pStyle w:val="TableText0"/>
              <w:jc w:val="center"/>
            </w:pPr>
            <w:r w:rsidRPr="0040534B">
              <w:t>154/196 (78.6)</w:t>
            </w:r>
          </w:p>
        </w:tc>
        <w:tc>
          <w:tcPr>
            <w:tcW w:w="745" w:type="pct"/>
            <w:shd w:val="clear" w:color="auto" w:fill="auto"/>
            <w:tcMar>
              <w:left w:w="40" w:type="dxa"/>
              <w:right w:w="40" w:type="dxa"/>
            </w:tcMar>
          </w:tcPr>
          <w:p w14:paraId="4ADAEA08" w14:textId="77777777" w:rsidR="00F03CD4" w:rsidRPr="0040534B" w:rsidRDefault="00F03CD4" w:rsidP="00AE0C79">
            <w:pPr>
              <w:pStyle w:val="TableText0"/>
              <w:jc w:val="center"/>
            </w:pPr>
            <w:r w:rsidRPr="0040534B">
              <w:t>0.9 (0.8 – 0.9)</w:t>
            </w:r>
          </w:p>
        </w:tc>
        <w:tc>
          <w:tcPr>
            <w:tcW w:w="877" w:type="pct"/>
            <w:shd w:val="clear" w:color="auto" w:fill="auto"/>
            <w:tcMar>
              <w:left w:w="40" w:type="dxa"/>
              <w:right w:w="40" w:type="dxa"/>
            </w:tcMar>
          </w:tcPr>
          <w:p w14:paraId="4B511E8E" w14:textId="77777777" w:rsidR="00F03CD4" w:rsidRPr="0040534B" w:rsidRDefault="00F03CD4" w:rsidP="00AE0C79">
            <w:pPr>
              <w:pStyle w:val="TableText0"/>
              <w:jc w:val="center"/>
            </w:pPr>
            <w:r w:rsidRPr="0040534B">
              <w:t>0.08 (-0.02, 0.18)</w:t>
            </w:r>
          </w:p>
        </w:tc>
      </w:tr>
      <w:tr w:rsidR="00F03CD4" w:rsidRPr="0040534B" w14:paraId="7C9D3071" w14:textId="77777777" w:rsidTr="006F04A7">
        <w:tc>
          <w:tcPr>
            <w:tcW w:w="746" w:type="pct"/>
            <w:tcMar>
              <w:left w:w="40" w:type="dxa"/>
              <w:right w:w="40" w:type="dxa"/>
            </w:tcMar>
            <w:vAlign w:val="center"/>
          </w:tcPr>
          <w:p w14:paraId="6FE66AC4" w14:textId="77777777" w:rsidR="00F03CD4" w:rsidRPr="0040534B" w:rsidRDefault="00F03CD4" w:rsidP="00AE0C79">
            <w:pPr>
              <w:pStyle w:val="TableText0"/>
            </w:pPr>
            <w:r w:rsidRPr="0040534B">
              <w:t>EVOLVE-1</w:t>
            </w:r>
          </w:p>
        </w:tc>
        <w:tc>
          <w:tcPr>
            <w:tcW w:w="1061" w:type="pct"/>
            <w:tcMar>
              <w:left w:w="40" w:type="dxa"/>
              <w:right w:w="40" w:type="dxa"/>
            </w:tcMar>
            <w:vAlign w:val="center"/>
          </w:tcPr>
          <w:p w14:paraId="759AD81D" w14:textId="0E7DD339"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5061CB7E" w14:textId="77777777" w:rsidR="00F03CD4" w:rsidRPr="0040534B" w:rsidRDefault="00F03CD4" w:rsidP="00AE0C79">
            <w:pPr>
              <w:pStyle w:val="TableText0"/>
              <w:jc w:val="center"/>
            </w:pPr>
            <w:r w:rsidRPr="0040534B">
              <w:t>135/206 (67.7)</w:t>
            </w:r>
          </w:p>
        </w:tc>
        <w:tc>
          <w:tcPr>
            <w:tcW w:w="786" w:type="pct"/>
            <w:tcMar>
              <w:left w:w="40" w:type="dxa"/>
              <w:right w:w="40" w:type="dxa"/>
            </w:tcMar>
          </w:tcPr>
          <w:p w14:paraId="52C87D75" w14:textId="77777777" w:rsidR="00F03CD4" w:rsidRPr="0040534B" w:rsidRDefault="00F03CD4" w:rsidP="00AE0C79">
            <w:pPr>
              <w:pStyle w:val="TableText0"/>
              <w:jc w:val="center"/>
            </w:pPr>
            <w:r w:rsidRPr="0040534B">
              <w:t>261/432 (60.4)</w:t>
            </w:r>
          </w:p>
        </w:tc>
        <w:tc>
          <w:tcPr>
            <w:tcW w:w="745" w:type="pct"/>
            <w:shd w:val="clear" w:color="auto" w:fill="auto"/>
            <w:tcMar>
              <w:left w:w="40" w:type="dxa"/>
              <w:right w:w="40" w:type="dxa"/>
            </w:tcMar>
          </w:tcPr>
          <w:p w14:paraId="7081E5CA" w14:textId="77777777" w:rsidR="00F03CD4" w:rsidRPr="0040534B" w:rsidRDefault="00F03CD4" w:rsidP="00AE0C79">
            <w:pPr>
              <w:pStyle w:val="TableText0"/>
              <w:jc w:val="center"/>
            </w:pPr>
            <w:r w:rsidRPr="0040534B">
              <w:t>1.1 (1.0 – 1.2)</w:t>
            </w:r>
          </w:p>
        </w:tc>
        <w:tc>
          <w:tcPr>
            <w:tcW w:w="877" w:type="pct"/>
            <w:shd w:val="clear" w:color="auto" w:fill="auto"/>
            <w:tcMar>
              <w:left w:w="40" w:type="dxa"/>
              <w:right w:w="40" w:type="dxa"/>
            </w:tcMar>
          </w:tcPr>
          <w:p w14:paraId="425972FD" w14:textId="77777777" w:rsidR="00F03CD4" w:rsidRPr="0040534B" w:rsidRDefault="00F03CD4" w:rsidP="00AE0C79">
            <w:pPr>
              <w:pStyle w:val="TableText0"/>
              <w:jc w:val="center"/>
            </w:pPr>
            <w:r w:rsidRPr="0040534B">
              <w:t>0.05 (-0.03, 0.13)</w:t>
            </w:r>
          </w:p>
        </w:tc>
      </w:tr>
      <w:tr w:rsidR="00F03CD4" w:rsidRPr="0040534B" w14:paraId="52F40533" w14:textId="77777777" w:rsidTr="006F04A7">
        <w:tc>
          <w:tcPr>
            <w:tcW w:w="746" w:type="pct"/>
            <w:tcMar>
              <w:left w:w="40" w:type="dxa"/>
              <w:right w:w="40" w:type="dxa"/>
            </w:tcMar>
            <w:vAlign w:val="center"/>
          </w:tcPr>
          <w:p w14:paraId="35586BC4" w14:textId="77777777" w:rsidR="00F03CD4" w:rsidRPr="0040534B" w:rsidRDefault="00F03CD4" w:rsidP="00AE0C79">
            <w:pPr>
              <w:pStyle w:val="TableText0"/>
            </w:pPr>
            <w:r w:rsidRPr="0040534B">
              <w:t>EVOLVE-2</w:t>
            </w:r>
          </w:p>
        </w:tc>
        <w:tc>
          <w:tcPr>
            <w:tcW w:w="1061" w:type="pct"/>
            <w:tcMar>
              <w:left w:w="40" w:type="dxa"/>
              <w:right w:w="40" w:type="dxa"/>
            </w:tcMar>
            <w:vAlign w:val="center"/>
          </w:tcPr>
          <w:p w14:paraId="1C2B1CD7" w14:textId="0C1CF66B"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3CFE2764" w14:textId="77777777" w:rsidR="00F03CD4" w:rsidRPr="0040534B" w:rsidRDefault="00F03CD4" w:rsidP="00AE0C79">
            <w:pPr>
              <w:pStyle w:val="TableText0"/>
              <w:jc w:val="center"/>
            </w:pPr>
            <w:r w:rsidRPr="0040534B">
              <w:t>147/226 (65.0)</w:t>
            </w:r>
          </w:p>
        </w:tc>
        <w:tc>
          <w:tcPr>
            <w:tcW w:w="786" w:type="pct"/>
            <w:tcMar>
              <w:left w:w="40" w:type="dxa"/>
              <w:right w:w="40" w:type="dxa"/>
            </w:tcMar>
          </w:tcPr>
          <w:p w14:paraId="7D3A0582" w14:textId="77777777" w:rsidR="00F03CD4" w:rsidRPr="0040534B" w:rsidRDefault="00F03CD4" w:rsidP="00AE0C79">
            <w:pPr>
              <w:pStyle w:val="TableText0"/>
              <w:jc w:val="center"/>
            </w:pPr>
            <w:r w:rsidRPr="0040534B">
              <w:t>287/461 (62.3)</w:t>
            </w:r>
          </w:p>
        </w:tc>
        <w:tc>
          <w:tcPr>
            <w:tcW w:w="745" w:type="pct"/>
            <w:shd w:val="clear" w:color="auto" w:fill="auto"/>
            <w:tcMar>
              <w:left w:w="40" w:type="dxa"/>
              <w:right w:w="40" w:type="dxa"/>
            </w:tcMar>
          </w:tcPr>
          <w:p w14:paraId="35F258CB" w14:textId="77777777" w:rsidR="00F03CD4" w:rsidRPr="0040534B" w:rsidRDefault="00F03CD4" w:rsidP="00AE0C79">
            <w:pPr>
              <w:pStyle w:val="TableText0"/>
              <w:jc w:val="center"/>
            </w:pPr>
            <w:r w:rsidRPr="0040534B">
              <w:t>1.0 (0.9 – 1.2)</w:t>
            </w:r>
          </w:p>
        </w:tc>
        <w:tc>
          <w:tcPr>
            <w:tcW w:w="877" w:type="pct"/>
            <w:shd w:val="clear" w:color="auto" w:fill="auto"/>
            <w:tcMar>
              <w:left w:w="40" w:type="dxa"/>
              <w:right w:w="40" w:type="dxa"/>
            </w:tcMar>
          </w:tcPr>
          <w:p w14:paraId="2D45344C" w14:textId="77777777" w:rsidR="00F03CD4" w:rsidRPr="0040534B" w:rsidRDefault="00F03CD4" w:rsidP="00AE0C79">
            <w:pPr>
              <w:pStyle w:val="TableText0"/>
              <w:jc w:val="center"/>
            </w:pPr>
            <w:r w:rsidRPr="0040534B">
              <w:t>0.03 (-0.05, 0.10)</w:t>
            </w:r>
          </w:p>
        </w:tc>
      </w:tr>
      <w:tr w:rsidR="00F03CD4" w:rsidRPr="0040534B" w14:paraId="5724CBA6" w14:textId="77777777" w:rsidTr="006F04A7">
        <w:tc>
          <w:tcPr>
            <w:tcW w:w="746" w:type="pct"/>
            <w:tcMar>
              <w:left w:w="40" w:type="dxa"/>
              <w:right w:w="40" w:type="dxa"/>
            </w:tcMar>
            <w:vAlign w:val="center"/>
          </w:tcPr>
          <w:p w14:paraId="76785B34" w14:textId="77777777" w:rsidR="00F03CD4" w:rsidRPr="0040534B" w:rsidRDefault="00F03CD4" w:rsidP="00AE0C79">
            <w:pPr>
              <w:pStyle w:val="TableText0"/>
            </w:pPr>
            <w:r w:rsidRPr="0040534B">
              <w:t>PERSIST</w:t>
            </w:r>
          </w:p>
        </w:tc>
        <w:tc>
          <w:tcPr>
            <w:tcW w:w="1061" w:type="pct"/>
            <w:tcMar>
              <w:left w:w="40" w:type="dxa"/>
              <w:right w:w="40" w:type="dxa"/>
            </w:tcMar>
            <w:vAlign w:val="center"/>
          </w:tcPr>
          <w:p w14:paraId="024FC664" w14:textId="4E263000"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497A9E67" w14:textId="77777777" w:rsidR="00F03CD4" w:rsidRPr="0040534B" w:rsidRDefault="00F03CD4" w:rsidP="00AE0C79">
            <w:pPr>
              <w:pStyle w:val="TableText0"/>
              <w:jc w:val="center"/>
            </w:pPr>
            <w:r w:rsidRPr="0040534B">
              <w:t>130/261 (49.8)</w:t>
            </w:r>
          </w:p>
        </w:tc>
        <w:tc>
          <w:tcPr>
            <w:tcW w:w="786" w:type="pct"/>
            <w:tcMar>
              <w:left w:w="40" w:type="dxa"/>
              <w:right w:w="40" w:type="dxa"/>
            </w:tcMar>
          </w:tcPr>
          <w:p w14:paraId="001BB87B" w14:textId="77777777" w:rsidR="00F03CD4" w:rsidRPr="0040534B" w:rsidRDefault="00F03CD4" w:rsidP="00AE0C79">
            <w:pPr>
              <w:pStyle w:val="TableText0"/>
              <w:jc w:val="center"/>
            </w:pPr>
            <w:r w:rsidRPr="0040534B">
              <w:t>112/259 (43.2)</w:t>
            </w:r>
          </w:p>
        </w:tc>
        <w:tc>
          <w:tcPr>
            <w:tcW w:w="745" w:type="pct"/>
            <w:shd w:val="clear" w:color="auto" w:fill="auto"/>
            <w:tcMar>
              <w:left w:w="40" w:type="dxa"/>
              <w:right w:w="40" w:type="dxa"/>
            </w:tcMar>
          </w:tcPr>
          <w:p w14:paraId="4280EFBF" w14:textId="77777777" w:rsidR="00F03CD4" w:rsidRPr="0040534B" w:rsidRDefault="00F03CD4" w:rsidP="00AE0C79">
            <w:pPr>
              <w:pStyle w:val="TableText0"/>
              <w:jc w:val="center"/>
            </w:pPr>
            <w:r w:rsidRPr="0040534B">
              <w:t>1.2 (1.0 – 1.4)</w:t>
            </w:r>
          </w:p>
        </w:tc>
        <w:tc>
          <w:tcPr>
            <w:tcW w:w="877" w:type="pct"/>
            <w:shd w:val="clear" w:color="auto" w:fill="auto"/>
            <w:tcMar>
              <w:left w:w="40" w:type="dxa"/>
              <w:right w:w="40" w:type="dxa"/>
            </w:tcMar>
          </w:tcPr>
          <w:p w14:paraId="677A3A8B" w14:textId="77777777" w:rsidR="00F03CD4" w:rsidRPr="0040534B" w:rsidRDefault="00F03CD4" w:rsidP="00AE0C79">
            <w:pPr>
              <w:pStyle w:val="TableText0"/>
              <w:jc w:val="center"/>
            </w:pPr>
            <w:r w:rsidRPr="0040534B">
              <w:t>0.07 (-0.02, 0.15)</w:t>
            </w:r>
          </w:p>
        </w:tc>
      </w:tr>
      <w:tr w:rsidR="00F03CD4" w:rsidRPr="0040534B" w14:paraId="0E8D7DDA" w14:textId="77777777" w:rsidTr="006F04A7">
        <w:tc>
          <w:tcPr>
            <w:tcW w:w="746" w:type="pct"/>
            <w:tcMar>
              <w:left w:w="40" w:type="dxa"/>
              <w:right w:w="40" w:type="dxa"/>
            </w:tcMar>
            <w:vAlign w:val="center"/>
          </w:tcPr>
          <w:p w14:paraId="39A58163" w14:textId="77777777" w:rsidR="00F03CD4" w:rsidRPr="0040534B" w:rsidRDefault="00F03CD4" w:rsidP="00AE0C79">
            <w:pPr>
              <w:pStyle w:val="TableText0"/>
            </w:pPr>
            <w:r w:rsidRPr="0040534B">
              <w:t>NCT02959177</w:t>
            </w:r>
          </w:p>
        </w:tc>
        <w:tc>
          <w:tcPr>
            <w:tcW w:w="1061" w:type="pct"/>
            <w:tcMar>
              <w:left w:w="40" w:type="dxa"/>
              <w:right w:w="40" w:type="dxa"/>
            </w:tcMar>
            <w:vAlign w:val="center"/>
          </w:tcPr>
          <w:p w14:paraId="1D6183E4" w14:textId="2A0C54A1"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410D7BE6" w14:textId="77777777" w:rsidR="00F03CD4" w:rsidRPr="0040534B" w:rsidRDefault="00F03CD4" w:rsidP="00AE0C79">
            <w:pPr>
              <w:pStyle w:val="TableText0"/>
              <w:jc w:val="center"/>
            </w:pPr>
            <w:r w:rsidRPr="0040534B">
              <w:t>98/115 (85.2)</w:t>
            </w:r>
          </w:p>
        </w:tc>
        <w:tc>
          <w:tcPr>
            <w:tcW w:w="786" w:type="pct"/>
            <w:tcMar>
              <w:left w:w="40" w:type="dxa"/>
              <w:right w:w="40" w:type="dxa"/>
            </w:tcMar>
          </w:tcPr>
          <w:p w14:paraId="3D56F7A1" w14:textId="77777777" w:rsidR="00F03CD4" w:rsidRPr="0040534B" w:rsidRDefault="00F03CD4" w:rsidP="00AE0C79">
            <w:pPr>
              <w:pStyle w:val="TableText0"/>
              <w:jc w:val="center"/>
            </w:pPr>
            <w:r w:rsidRPr="0040534B">
              <w:t>149/230 (64.8)</w:t>
            </w:r>
          </w:p>
        </w:tc>
        <w:tc>
          <w:tcPr>
            <w:tcW w:w="745" w:type="pct"/>
            <w:shd w:val="clear" w:color="auto" w:fill="auto"/>
            <w:tcMar>
              <w:left w:w="40" w:type="dxa"/>
              <w:right w:w="40" w:type="dxa"/>
            </w:tcMar>
          </w:tcPr>
          <w:p w14:paraId="4C66A37E" w14:textId="77777777" w:rsidR="00F03CD4" w:rsidRPr="0040534B" w:rsidRDefault="00F03CD4" w:rsidP="00AE0C79">
            <w:pPr>
              <w:pStyle w:val="TableText0"/>
              <w:jc w:val="center"/>
            </w:pPr>
            <w:r w:rsidRPr="0040534B">
              <w:t>1.3 (1.2 – 1.5)</w:t>
            </w:r>
          </w:p>
        </w:tc>
        <w:tc>
          <w:tcPr>
            <w:tcW w:w="877" w:type="pct"/>
            <w:shd w:val="clear" w:color="auto" w:fill="auto"/>
            <w:tcMar>
              <w:left w:w="40" w:type="dxa"/>
              <w:right w:w="40" w:type="dxa"/>
            </w:tcMar>
          </w:tcPr>
          <w:p w14:paraId="189B07F8" w14:textId="77777777" w:rsidR="00F03CD4" w:rsidRPr="0040534B" w:rsidRDefault="00F03CD4" w:rsidP="00AE0C79">
            <w:pPr>
              <w:pStyle w:val="TableText0"/>
              <w:jc w:val="center"/>
            </w:pPr>
            <w:r w:rsidRPr="0040534B">
              <w:t>0.20 (0.11, 0.29)</w:t>
            </w:r>
          </w:p>
        </w:tc>
      </w:tr>
      <w:tr w:rsidR="00F03CD4" w:rsidRPr="0040534B" w14:paraId="1F32A58C" w14:textId="77777777" w:rsidTr="006F04A7">
        <w:tc>
          <w:tcPr>
            <w:tcW w:w="746" w:type="pct"/>
            <w:vMerge w:val="restart"/>
            <w:tcMar>
              <w:left w:w="40" w:type="dxa"/>
              <w:right w:w="40" w:type="dxa"/>
            </w:tcMar>
            <w:vAlign w:val="center"/>
          </w:tcPr>
          <w:p w14:paraId="6521D5FB" w14:textId="77777777" w:rsidR="00F03CD4" w:rsidRPr="0040534B" w:rsidRDefault="00F03CD4" w:rsidP="00AE0C79">
            <w:pPr>
              <w:pStyle w:val="TableText0"/>
            </w:pPr>
            <w:r w:rsidRPr="0040534B">
              <w:t>HALO-EM</w:t>
            </w:r>
          </w:p>
        </w:tc>
        <w:tc>
          <w:tcPr>
            <w:tcW w:w="1061" w:type="pct"/>
            <w:tcMar>
              <w:left w:w="40" w:type="dxa"/>
              <w:right w:w="40" w:type="dxa"/>
            </w:tcMar>
            <w:vAlign w:val="center"/>
          </w:tcPr>
          <w:p w14:paraId="5E1AEA74" w14:textId="36177C28" w:rsidR="00F03CD4" w:rsidRPr="0040534B" w:rsidRDefault="00F03CD4" w:rsidP="00AE0C79">
            <w:pPr>
              <w:pStyle w:val="TableText0"/>
            </w:pPr>
            <w:r w:rsidRPr="0040534B">
              <w:t>FREM 675</w:t>
            </w:r>
            <w:r w:rsidR="006F04A7" w:rsidRPr="0040534B">
              <w:t xml:space="preserve"> </w:t>
            </w:r>
            <w:r w:rsidRPr="0040534B">
              <w:t>mg vs. PBO</w:t>
            </w:r>
          </w:p>
        </w:tc>
        <w:tc>
          <w:tcPr>
            <w:tcW w:w="786" w:type="pct"/>
            <w:tcMar>
              <w:left w:w="40" w:type="dxa"/>
              <w:right w:w="40" w:type="dxa"/>
            </w:tcMar>
          </w:tcPr>
          <w:p w14:paraId="49A15009" w14:textId="77777777" w:rsidR="00F03CD4" w:rsidRPr="0040534B" w:rsidRDefault="00F03CD4" w:rsidP="00AE0C79">
            <w:pPr>
              <w:pStyle w:val="TableText0"/>
              <w:jc w:val="center"/>
            </w:pPr>
            <w:r w:rsidRPr="0040534B">
              <w:t>193/291 (66.3)</w:t>
            </w:r>
          </w:p>
        </w:tc>
        <w:tc>
          <w:tcPr>
            <w:tcW w:w="786" w:type="pct"/>
            <w:tcMar>
              <w:left w:w="40" w:type="dxa"/>
              <w:right w:w="40" w:type="dxa"/>
            </w:tcMar>
          </w:tcPr>
          <w:p w14:paraId="4C8858B0" w14:textId="77777777" w:rsidR="00F03CD4" w:rsidRPr="0040534B" w:rsidRDefault="00F03CD4" w:rsidP="00AE0C79">
            <w:pPr>
              <w:pStyle w:val="TableText0"/>
              <w:jc w:val="center"/>
            </w:pPr>
            <w:r w:rsidRPr="0040534B">
              <w:t>171/293 (58.4)</w:t>
            </w:r>
          </w:p>
        </w:tc>
        <w:tc>
          <w:tcPr>
            <w:tcW w:w="745" w:type="pct"/>
            <w:shd w:val="clear" w:color="auto" w:fill="auto"/>
            <w:tcMar>
              <w:left w:w="40" w:type="dxa"/>
              <w:right w:w="40" w:type="dxa"/>
            </w:tcMar>
          </w:tcPr>
          <w:p w14:paraId="25BF359A" w14:textId="77777777" w:rsidR="00F03CD4" w:rsidRPr="0040534B" w:rsidRDefault="00F03CD4" w:rsidP="00AE0C79">
            <w:pPr>
              <w:pStyle w:val="TableText0"/>
              <w:jc w:val="center"/>
            </w:pPr>
            <w:r w:rsidRPr="0040534B">
              <w:t>1.1 (1.0 – 1.3)</w:t>
            </w:r>
          </w:p>
        </w:tc>
        <w:tc>
          <w:tcPr>
            <w:tcW w:w="877" w:type="pct"/>
            <w:shd w:val="clear" w:color="auto" w:fill="auto"/>
            <w:tcMar>
              <w:left w:w="40" w:type="dxa"/>
              <w:right w:w="40" w:type="dxa"/>
            </w:tcMar>
          </w:tcPr>
          <w:p w14:paraId="33780A5F" w14:textId="77777777" w:rsidR="00F03CD4" w:rsidRPr="0040534B" w:rsidRDefault="00F03CD4" w:rsidP="00AE0C79">
            <w:pPr>
              <w:pStyle w:val="TableText0"/>
              <w:jc w:val="center"/>
            </w:pPr>
            <w:r w:rsidRPr="0040534B">
              <w:t>0.08 (0.00, 0.16)</w:t>
            </w:r>
          </w:p>
        </w:tc>
      </w:tr>
      <w:tr w:rsidR="00F03CD4" w:rsidRPr="0040534B" w14:paraId="20E5C22E" w14:textId="77777777" w:rsidTr="006F04A7">
        <w:tc>
          <w:tcPr>
            <w:tcW w:w="746" w:type="pct"/>
            <w:vMerge/>
            <w:tcMar>
              <w:left w:w="40" w:type="dxa"/>
              <w:right w:w="40" w:type="dxa"/>
            </w:tcMar>
            <w:vAlign w:val="center"/>
          </w:tcPr>
          <w:p w14:paraId="7505A6D3" w14:textId="77777777" w:rsidR="00F03CD4" w:rsidRPr="0040534B" w:rsidRDefault="00F03CD4" w:rsidP="00AE0C79">
            <w:pPr>
              <w:pStyle w:val="TableText0"/>
            </w:pPr>
          </w:p>
        </w:tc>
        <w:tc>
          <w:tcPr>
            <w:tcW w:w="1061" w:type="pct"/>
            <w:tcMar>
              <w:left w:w="40" w:type="dxa"/>
              <w:right w:w="40" w:type="dxa"/>
            </w:tcMar>
            <w:vAlign w:val="center"/>
          </w:tcPr>
          <w:p w14:paraId="74DDEAFB" w14:textId="3E02D1F0" w:rsidR="00F03CD4" w:rsidRPr="0040534B" w:rsidRDefault="00F03CD4" w:rsidP="00AE0C79">
            <w:pPr>
              <w:pStyle w:val="TableText0"/>
            </w:pPr>
            <w:r w:rsidRPr="0040534B">
              <w:t>FREM 225</w:t>
            </w:r>
            <w:r w:rsidR="006F04A7" w:rsidRPr="0040534B">
              <w:t xml:space="preserve"> </w:t>
            </w:r>
            <w:r w:rsidRPr="0040534B">
              <w:t>mg vs. PBO</w:t>
            </w:r>
          </w:p>
        </w:tc>
        <w:tc>
          <w:tcPr>
            <w:tcW w:w="786" w:type="pct"/>
            <w:tcMar>
              <w:left w:w="40" w:type="dxa"/>
              <w:right w:w="40" w:type="dxa"/>
            </w:tcMar>
          </w:tcPr>
          <w:p w14:paraId="008C829E" w14:textId="77777777" w:rsidR="00F03CD4" w:rsidRPr="0040534B" w:rsidRDefault="00F03CD4" w:rsidP="00AE0C79">
            <w:pPr>
              <w:pStyle w:val="TableText0"/>
              <w:jc w:val="center"/>
            </w:pPr>
            <w:r w:rsidRPr="0040534B">
              <w:t>192/290 (66.2)</w:t>
            </w:r>
          </w:p>
        </w:tc>
        <w:tc>
          <w:tcPr>
            <w:tcW w:w="786" w:type="pct"/>
            <w:tcMar>
              <w:left w:w="40" w:type="dxa"/>
              <w:right w:w="40" w:type="dxa"/>
            </w:tcMar>
          </w:tcPr>
          <w:p w14:paraId="297B9C60" w14:textId="77777777" w:rsidR="00F03CD4" w:rsidRPr="0040534B" w:rsidRDefault="00F03CD4" w:rsidP="00AE0C79">
            <w:pPr>
              <w:pStyle w:val="TableText0"/>
              <w:jc w:val="center"/>
            </w:pPr>
            <w:r w:rsidRPr="0040534B">
              <w:t>171/293 (58.4)</w:t>
            </w:r>
          </w:p>
        </w:tc>
        <w:tc>
          <w:tcPr>
            <w:tcW w:w="745" w:type="pct"/>
            <w:shd w:val="clear" w:color="auto" w:fill="auto"/>
            <w:tcMar>
              <w:left w:w="40" w:type="dxa"/>
              <w:right w:w="40" w:type="dxa"/>
            </w:tcMar>
          </w:tcPr>
          <w:p w14:paraId="062AD277" w14:textId="77777777" w:rsidR="00F03CD4" w:rsidRPr="0040534B" w:rsidRDefault="00F03CD4" w:rsidP="00AE0C79">
            <w:pPr>
              <w:pStyle w:val="TableText0"/>
              <w:jc w:val="center"/>
            </w:pPr>
            <w:r w:rsidRPr="0040534B">
              <w:t>1.1 (1.0 – 1.3)</w:t>
            </w:r>
          </w:p>
        </w:tc>
        <w:tc>
          <w:tcPr>
            <w:tcW w:w="877" w:type="pct"/>
            <w:shd w:val="clear" w:color="auto" w:fill="auto"/>
            <w:tcMar>
              <w:left w:w="40" w:type="dxa"/>
              <w:right w:w="40" w:type="dxa"/>
            </w:tcMar>
          </w:tcPr>
          <w:p w14:paraId="33D8D811" w14:textId="77777777" w:rsidR="00F03CD4" w:rsidRPr="0040534B" w:rsidRDefault="00F03CD4" w:rsidP="00AE0C79">
            <w:pPr>
              <w:pStyle w:val="TableText0"/>
              <w:jc w:val="center"/>
            </w:pPr>
            <w:r w:rsidRPr="0040534B">
              <w:t>0.08 (0.00, 0.16)</w:t>
            </w:r>
          </w:p>
        </w:tc>
      </w:tr>
      <w:tr w:rsidR="00F03CD4" w:rsidRPr="0040534B" w14:paraId="75137EAE" w14:textId="77777777" w:rsidTr="006F04A7">
        <w:tc>
          <w:tcPr>
            <w:tcW w:w="746" w:type="pct"/>
            <w:vMerge w:val="restart"/>
            <w:tcMar>
              <w:left w:w="40" w:type="dxa"/>
              <w:right w:w="40" w:type="dxa"/>
            </w:tcMar>
            <w:vAlign w:val="center"/>
          </w:tcPr>
          <w:p w14:paraId="2957312C" w14:textId="77777777" w:rsidR="00F03CD4" w:rsidRPr="0040534B" w:rsidRDefault="00F03CD4" w:rsidP="00AE0C79">
            <w:pPr>
              <w:pStyle w:val="TableText0"/>
            </w:pPr>
            <w:r w:rsidRPr="0040534B">
              <w:t>NCT03303092</w:t>
            </w:r>
          </w:p>
        </w:tc>
        <w:tc>
          <w:tcPr>
            <w:tcW w:w="1061" w:type="pct"/>
            <w:tcMar>
              <w:left w:w="40" w:type="dxa"/>
              <w:right w:w="40" w:type="dxa"/>
            </w:tcMar>
            <w:vAlign w:val="center"/>
          </w:tcPr>
          <w:p w14:paraId="110627A3" w14:textId="0D3CC200" w:rsidR="00F03CD4" w:rsidRPr="0040534B" w:rsidRDefault="00F03CD4" w:rsidP="00AE0C79">
            <w:pPr>
              <w:pStyle w:val="TableText0"/>
            </w:pPr>
            <w:r w:rsidRPr="0040534B">
              <w:t>FREM 675</w:t>
            </w:r>
            <w:r w:rsidR="006F04A7" w:rsidRPr="0040534B">
              <w:t xml:space="preserve"> </w:t>
            </w:r>
            <w:r w:rsidRPr="0040534B">
              <w:t>mg vs. PBO</w:t>
            </w:r>
          </w:p>
        </w:tc>
        <w:tc>
          <w:tcPr>
            <w:tcW w:w="786" w:type="pct"/>
            <w:tcMar>
              <w:left w:w="40" w:type="dxa"/>
              <w:right w:w="40" w:type="dxa"/>
            </w:tcMar>
          </w:tcPr>
          <w:p w14:paraId="342B4E5A" w14:textId="77777777" w:rsidR="00F03CD4" w:rsidRPr="0040534B" w:rsidRDefault="00F03CD4" w:rsidP="00AE0C79">
            <w:pPr>
              <w:pStyle w:val="TableText0"/>
              <w:jc w:val="center"/>
            </w:pPr>
            <w:r w:rsidRPr="0040534B">
              <w:t>74/118 (62.7)</w:t>
            </w:r>
          </w:p>
        </w:tc>
        <w:tc>
          <w:tcPr>
            <w:tcW w:w="786" w:type="pct"/>
            <w:tcMar>
              <w:left w:w="40" w:type="dxa"/>
              <w:right w:w="40" w:type="dxa"/>
            </w:tcMar>
          </w:tcPr>
          <w:p w14:paraId="7C69A261" w14:textId="77777777" w:rsidR="00F03CD4" w:rsidRPr="0040534B" w:rsidRDefault="00F03CD4" w:rsidP="00AE0C79">
            <w:pPr>
              <w:pStyle w:val="TableText0"/>
              <w:jc w:val="center"/>
            </w:pPr>
            <w:r w:rsidRPr="0040534B">
              <w:t>77/117 (65.8)</w:t>
            </w:r>
          </w:p>
        </w:tc>
        <w:tc>
          <w:tcPr>
            <w:tcW w:w="745" w:type="pct"/>
            <w:shd w:val="clear" w:color="auto" w:fill="auto"/>
            <w:tcMar>
              <w:left w:w="40" w:type="dxa"/>
              <w:right w:w="40" w:type="dxa"/>
            </w:tcMar>
          </w:tcPr>
          <w:p w14:paraId="7B8756F6" w14:textId="77777777" w:rsidR="00F03CD4" w:rsidRPr="0040534B" w:rsidRDefault="00F03CD4" w:rsidP="00AE0C79">
            <w:pPr>
              <w:pStyle w:val="TableText0"/>
              <w:jc w:val="center"/>
            </w:pPr>
            <w:r w:rsidRPr="0040534B">
              <w:t>1.0 (0.8 – 1.2)</w:t>
            </w:r>
          </w:p>
        </w:tc>
        <w:tc>
          <w:tcPr>
            <w:tcW w:w="877" w:type="pct"/>
            <w:shd w:val="clear" w:color="auto" w:fill="auto"/>
            <w:tcMar>
              <w:left w:w="40" w:type="dxa"/>
              <w:right w:w="40" w:type="dxa"/>
            </w:tcMar>
          </w:tcPr>
          <w:p w14:paraId="12201D5F" w14:textId="77777777" w:rsidR="00F03CD4" w:rsidRPr="0040534B" w:rsidRDefault="00F03CD4" w:rsidP="00AE0C79">
            <w:pPr>
              <w:pStyle w:val="TableText0"/>
              <w:jc w:val="center"/>
            </w:pPr>
            <w:r w:rsidRPr="0040534B">
              <w:t>-0.03 (-0.15, 0.09)</w:t>
            </w:r>
          </w:p>
        </w:tc>
      </w:tr>
      <w:tr w:rsidR="00F03CD4" w:rsidRPr="0040534B" w14:paraId="53D30921" w14:textId="77777777" w:rsidTr="006F04A7">
        <w:tc>
          <w:tcPr>
            <w:tcW w:w="746" w:type="pct"/>
            <w:vMerge/>
            <w:tcMar>
              <w:left w:w="40" w:type="dxa"/>
              <w:right w:w="40" w:type="dxa"/>
            </w:tcMar>
            <w:vAlign w:val="center"/>
          </w:tcPr>
          <w:p w14:paraId="07EFC9C2" w14:textId="77777777" w:rsidR="00F03CD4" w:rsidRPr="0040534B" w:rsidRDefault="00F03CD4" w:rsidP="00AE0C79">
            <w:pPr>
              <w:pStyle w:val="TableText0"/>
            </w:pPr>
          </w:p>
        </w:tc>
        <w:tc>
          <w:tcPr>
            <w:tcW w:w="1061" w:type="pct"/>
            <w:tcMar>
              <w:left w:w="40" w:type="dxa"/>
              <w:right w:w="40" w:type="dxa"/>
            </w:tcMar>
            <w:vAlign w:val="center"/>
          </w:tcPr>
          <w:p w14:paraId="151BC45D" w14:textId="6EEB3D5C" w:rsidR="00F03CD4" w:rsidRPr="0040534B" w:rsidRDefault="00F03CD4" w:rsidP="00AE0C79">
            <w:pPr>
              <w:pStyle w:val="TableText0"/>
            </w:pPr>
            <w:r w:rsidRPr="0040534B">
              <w:t>FREM 225</w:t>
            </w:r>
            <w:r w:rsidR="006F04A7" w:rsidRPr="0040534B">
              <w:t xml:space="preserve"> </w:t>
            </w:r>
            <w:r w:rsidRPr="0040534B">
              <w:t>mg vs. PBO</w:t>
            </w:r>
          </w:p>
        </w:tc>
        <w:tc>
          <w:tcPr>
            <w:tcW w:w="786" w:type="pct"/>
            <w:tcMar>
              <w:left w:w="40" w:type="dxa"/>
              <w:right w:w="40" w:type="dxa"/>
            </w:tcMar>
          </w:tcPr>
          <w:p w14:paraId="6548CFB1" w14:textId="77777777" w:rsidR="00F03CD4" w:rsidRPr="0040534B" w:rsidRDefault="00F03CD4" w:rsidP="00AE0C79">
            <w:pPr>
              <w:pStyle w:val="TableText0"/>
              <w:jc w:val="center"/>
            </w:pPr>
            <w:r w:rsidRPr="0040534B">
              <w:t>69/121 (57.0)</w:t>
            </w:r>
          </w:p>
        </w:tc>
        <w:tc>
          <w:tcPr>
            <w:tcW w:w="786" w:type="pct"/>
            <w:tcMar>
              <w:left w:w="40" w:type="dxa"/>
              <w:right w:w="40" w:type="dxa"/>
            </w:tcMar>
          </w:tcPr>
          <w:p w14:paraId="3554A413" w14:textId="77777777" w:rsidR="00F03CD4" w:rsidRPr="0040534B" w:rsidRDefault="00F03CD4" w:rsidP="00AE0C79">
            <w:pPr>
              <w:pStyle w:val="TableText0"/>
              <w:jc w:val="center"/>
            </w:pPr>
            <w:r w:rsidRPr="0040534B">
              <w:t>77/117 (65.8)</w:t>
            </w:r>
          </w:p>
        </w:tc>
        <w:tc>
          <w:tcPr>
            <w:tcW w:w="745" w:type="pct"/>
            <w:tcMar>
              <w:left w:w="40" w:type="dxa"/>
              <w:right w:w="40" w:type="dxa"/>
            </w:tcMar>
          </w:tcPr>
          <w:p w14:paraId="0B274087" w14:textId="77777777" w:rsidR="00F03CD4" w:rsidRPr="0040534B" w:rsidRDefault="00F03CD4" w:rsidP="00AE0C79">
            <w:pPr>
              <w:pStyle w:val="TableText0"/>
              <w:jc w:val="center"/>
            </w:pPr>
            <w:r w:rsidRPr="0040534B">
              <w:t>0.9 (0.7 – 1.1)</w:t>
            </w:r>
          </w:p>
        </w:tc>
        <w:tc>
          <w:tcPr>
            <w:tcW w:w="877" w:type="pct"/>
            <w:tcMar>
              <w:left w:w="40" w:type="dxa"/>
              <w:right w:w="40" w:type="dxa"/>
            </w:tcMar>
          </w:tcPr>
          <w:p w14:paraId="7BE3236D" w14:textId="77777777" w:rsidR="00F03CD4" w:rsidRPr="0040534B" w:rsidRDefault="00F03CD4" w:rsidP="00AE0C79">
            <w:pPr>
              <w:pStyle w:val="TableText0"/>
              <w:jc w:val="center"/>
            </w:pPr>
            <w:r w:rsidRPr="0040534B">
              <w:t>-0.09 (-0.21, 0.04)</w:t>
            </w:r>
          </w:p>
        </w:tc>
      </w:tr>
      <w:tr w:rsidR="00F03CD4" w:rsidRPr="0040534B" w14:paraId="697B6DED" w14:textId="77777777" w:rsidTr="006F04A7">
        <w:tc>
          <w:tcPr>
            <w:tcW w:w="5000" w:type="pct"/>
            <w:gridSpan w:val="6"/>
            <w:tcMar>
              <w:left w:w="40" w:type="dxa"/>
              <w:right w:w="40" w:type="dxa"/>
            </w:tcMar>
          </w:tcPr>
          <w:p w14:paraId="62120CA1" w14:textId="77777777" w:rsidR="00F03CD4" w:rsidRPr="0040534B" w:rsidRDefault="00F03CD4" w:rsidP="00AE0C79">
            <w:pPr>
              <w:pStyle w:val="TableText0"/>
            </w:pPr>
            <w:r w:rsidRPr="0040534B">
              <w:rPr>
                <w:b/>
                <w:bCs w:val="0"/>
              </w:rPr>
              <w:t>Any serious AE</w:t>
            </w:r>
          </w:p>
        </w:tc>
      </w:tr>
      <w:tr w:rsidR="00F03CD4" w:rsidRPr="0040534B" w14:paraId="0E484548" w14:textId="77777777" w:rsidTr="006F04A7">
        <w:tc>
          <w:tcPr>
            <w:tcW w:w="746" w:type="pct"/>
            <w:tcMar>
              <w:left w:w="40" w:type="dxa"/>
              <w:right w:w="40" w:type="dxa"/>
            </w:tcMar>
            <w:vAlign w:val="center"/>
          </w:tcPr>
          <w:p w14:paraId="3F351D73" w14:textId="77777777" w:rsidR="00F03CD4" w:rsidRPr="0040534B" w:rsidRDefault="00F03CD4" w:rsidP="00AE0C79">
            <w:pPr>
              <w:pStyle w:val="TableText0"/>
            </w:pPr>
            <w:r w:rsidRPr="0040534B">
              <w:t>ADVANCE</w:t>
            </w:r>
          </w:p>
        </w:tc>
        <w:tc>
          <w:tcPr>
            <w:tcW w:w="1061" w:type="pct"/>
            <w:tcMar>
              <w:left w:w="40" w:type="dxa"/>
              <w:right w:w="40" w:type="dxa"/>
            </w:tcMar>
            <w:vAlign w:val="center"/>
          </w:tcPr>
          <w:p w14:paraId="73B7A462" w14:textId="519DD793" w:rsidR="00F03CD4" w:rsidRPr="0040534B" w:rsidRDefault="00F03CD4" w:rsidP="00AE0C79">
            <w:pPr>
              <w:pStyle w:val="TableText0"/>
            </w:pPr>
            <w:r w:rsidRPr="0040534B">
              <w:t>ATOG 60</w:t>
            </w:r>
            <w:r w:rsidR="006F04A7" w:rsidRPr="0040534B">
              <w:t xml:space="preserve"> </w:t>
            </w:r>
            <w:r w:rsidRPr="0040534B">
              <w:t>mg vs. PBO</w:t>
            </w:r>
          </w:p>
        </w:tc>
        <w:tc>
          <w:tcPr>
            <w:tcW w:w="786" w:type="pct"/>
            <w:tcMar>
              <w:left w:w="40" w:type="dxa"/>
              <w:right w:w="40" w:type="dxa"/>
            </w:tcMar>
          </w:tcPr>
          <w:p w14:paraId="672A3B1C" w14:textId="77777777" w:rsidR="00F03CD4" w:rsidRPr="0040534B" w:rsidRDefault="00F03CD4" w:rsidP="00AE0C79">
            <w:pPr>
              <w:pStyle w:val="TableText0"/>
              <w:jc w:val="center"/>
            </w:pPr>
            <w:r w:rsidRPr="0040534B">
              <w:t>0</w:t>
            </w:r>
            <w:r w:rsidRPr="0040534B">
              <w:rPr>
                <w:vertAlign w:val="superscript"/>
              </w:rPr>
              <w:t>d</w:t>
            </w:r>
            <w:r w:rsidRPr="0040534B">
              <w:t>/231 (0.0)</w:t>
            </w:r>
          </w:p>
        </w:tc>
        <w:tc>
          <w:tcPr>
            <w:tcW w:w="786" w:type="pct"/>
            <w:tcMar>
              <w:left w:w="40" w:type="dxa"/>
              <w:right w:w="40" w:type="dxa"/>
            </w:tcMar>
          </w:tcPr>
          <w:p w14:paraId="5A2A9695" w14:textId="77777777" w:rsidR="00F03CD4" w:rsidRPr="0040534B" w:rsidRDefault="00F03CD4" w:rsidP="00AE0C79">
            <w:pPr>
              <w:pStyle w:val="TableText0"/>
              <w:jc w:val="center"/>
            </w:pPr>
            <w:r w:rsidRPr="0040534B">
              <w:t>2/222 (0.9)</w:t>
            </w:r>
          </w:p>
        </w:tc>
        <w:tc>
          <w:tcPr>
            <w:tcW w:w="745" w:type="pct"/>
            <w:tcMar>
              <w:left w:w="40" w:type="dxa"/>
              <w:right w:w="40" w:type="dxa"/>
            </w:tcMar>
          </w:tcPr>
          <w:p w14:paraId="2EDFC42C" w14:textId="77777777" w:rsidR="00F03CD4" w:rsidRPr="0040534B" w:rsidRDefault="00F03CD4" w:rsidP="00AE0C79">
            <w:pPr>
              <w:pStyle w:val="TableText0"/>
              <w:jc w:val="center"/>
            </w:pPr>
            <w:r w:rsidRPr="0040534B">
              <w:t>0.5 (0.0 – 5.2)</w:t>
            </w:r>
          </w:p>
        </w:tc>
        <w:tc>
          <w:tcPr>
            <w:tcW w:w="877" w:type="pct"/>
            <w:tcMar>
              <w:left w:w="40" w:type="dxa"/>
              <w:right w:w="40" w:type="dxa"/>
            </w:tcMar>
          </w:tcPr>
          <w:p w14:paraId="597590FE" w14:textId="77777777" w:rsidR="00F03CD4" w:rsidRPr="0040534B" w:rsidRDefault="00F03CD4" w:rsidP="00AE0C79">
            <w:pPr>
              <w:pStyle w:val="TableText0"/>
              <w:jc w:val="center"/>
            </w:pPr>
            <w:r w:rsidRPr="0040534B">
              <w:t>-0.01 (-0.02, 0.01)</w:t>
            </w:r>
          </w:p>
        </w:tc>
      </w:tr>
      <w:tr w:rsidR="00F03CD4" w:rsidRPr="0040534B" w14:paraId="36B7DA88" w14:textId="77777777" w:rsidTr="006F04A7">
        <w:tc>
          <w:tcPr>
            <w:tcW w:w="746" w:type="pct"/>
            <w:tcMar>
              <w:left w:w="40" w:type="dxa"/>
              <w:right w:w="40" w:type="dxa"/>
            </w:tcMar>
            <w:vAlign w:val="center"/>
          </w:tcPr>
          <w:p w14:paraId="059688F1" w14:textId="77777777" w:rsidR="00F03CD4" w:rsidRPr="0040534B" w:rsidRDefault="00F03CD4" w:rsidP="00AE0C79">
            <w:pPr>
              <w:pStyle w:val="TableText0"/>
            </w:pPr>
            <w:r w:rsidRPr="0040534B">
              <w:t>NCT02848326</w:t>
            </w:r>
          </w:p>
        </w:tc>
        <w:tc>
          <w:tcPr>
            <w:tcW w:w="1061" w:type="pct"/>
            <w:tcMar>
              <w:left w:w="40" w:type="dxa"/>
              <w:right w:w="40" w:type="dxa"/>
            </w:tcMar>
            <w:vAlign w:val="center"/>
          </w:tcPr>
          <w:p w14:paraId="7B103859" w14:textId="2F6404A2" w:rsidR="00F03CD4" w:rsidRPr="0040534B" w:rsidRDefault="00F03CD4" w:rsidP="00AE0C79">
            <w:pPr>
              <w:pStyle w:val="TableText0"/>
            </w:pPr>
            <w:r w:rsidRPr="0040534B">
              <w:t>ATOG 60</w:t>
            </w:r>
            <w:r w:rsidR="006F04A7" w:rsidRPr="0040534B">
              <w:t xml:space="preserve"> </w:t>
            </w:r>
            <w:r w:rsidRPr="0040534B">
              <w:t>mg vs. PBO</w:t>
            </w:r>
          </w:p>
        </w:tc>
        <w:tc>
          <w:tcPr>
            <w:tcW w:w="786" w:type="pct"/>
            <w:tcMar>
              <w:left w:w="40" w:type="dxa"/>
              <w:right w:w="40" w:type="dxa"/>
            </w:tcMar>
          </w:tcPr>
          <w:p w14:paraId="384EB461" w14:textId="77777777" w:rsidR="00F03CD4" w:rsidRPr="0040534B" w:rsidRDefault="00F03CD4" w:rsidP="00AE0C79">
            <w:pPr>
              <w:pStyle w:val="TableText0"/>
              <w:jc w:val="center"/>
            </w:pPr>
            <w:r w:rsidRPr="0040534B">
              <w:t>2/186 (1.1)</w:t>
            </w:r>
          </w:p>
        </w:tc>
        <w:tc>
          <w:tcPr>
            <w:tcW w:w="786" w:type="pct"/>
            <w:tcMar>
              <w:left w:w="40" w:type="dxa"/>
              <w:right w:w="40" w:type="dxa"/>
            </w:tcMar>
          </w:tcPr>
          <w:p w14:paraId="3E6AC56E" w14:textId="77777777" w:rsidR="00F03CD4" w:rsidRPr="0040534B" w:rsidRDefault="00F03CD4" w:rsidP="00AE0C79">
            <w:pPr>
              <w:pStyle w:val="TableText0"/>
              <w:jc w:val="center"/>
            </w:pPr>
            <w:r w:rsidRPr="0040534B">
              <w:t>2/186 (1.1)</w:t>
            </w:r>
          </w:p>
        </w:tc>
        <w:tc>
          <w:tcPr>
            <w:tcW w:w="745" w:type="pct"/>
            <w:tcMar>
              <w:left w:w="40" w:type="dxa"/>
              <w:right w:w="40" w:type="dxa"/>
            </w:tcMar>
          </w:tcPr>
          <w:p w14:paraId="2124DEC9" w14:textId="77777777" w:rsidR="00F03CD4" w:rsidRPr="0040534B" w:rsidRDefault="00F03CD4" w:rsidP="00AE0C79">
            <w:pPr>
              <w:pStyle w:val="TableText0"/>
              <w:jc w:val="center"/>
            </w:pPr>
            <w:r w:rsidRPr="0040534B">
              <w:t>1.0 (0.1 – 7.0)</w:t>
            </w:r>
          </w:p>
        </w:tc>
        <w:tc>
          <w:tcPr>
            <w:tcW w:w="877" w:type="pct"/>
            <w:tcMar>
              <w:left w:w="40" w:type="dxa"/>
              <w:right w:w="40" w:type="dxa"/>
            </w:tcMar>
          </w:tcPr>
          <w:p w14:paraId="1E8385FC" w14:textId="77777777" w:rsidR="00F03CD4" w:rsidRPr="0040534B" w:rsidRDefault="00F03CD4" w:rsidP="00AE0C79">
            <w:pPr>
              <w:pStyle w:val="TableText0"/>
              <w:jc w:val="center"/>
            </w:pPr>
            <w:r w:rsidRPr="0040534B">
              <w:t>0.00 (-0.02, 0.02)</w:t>
            </w:r>
          </w:p>
        </w:tc>
      </w:tr>
      <w:tr w:rsidR="00F03CD4" w:rsidRPr="0040534B" w14:paraId="72DD47E7" w14:textId="77777777" w:rsidTr="006F04A7">
        <w:tc>
          <w:tcPr>
            <w:tcW w:w="746" w:type="pct"/>
            <w:tcMar>
              <w:left w:w="40" w:type="dxa"/>
              <w:right w:w="40" w:type="dxa"/>
            </w:tcMar>
            <w:vAlign w:val="center"/>
          </w:tcPr>
          <w:p w14:paraId="46475FE8" w14:textId="77777777" w:rsidR="00F03CD4" w:rsidRPr="0040534B" w:rsidRDefault="00F03CD4" w:rsidP="00AE0C79">
            <w:pPr>
              <w:pStyle w:val="TableText0"/>
            </w:pPr>
            <w:r w:rsidRPr="0040534B">
              <w:t>3101-302-002</w:t>
            </w:r>
          </w:p>
        </w:tc>
        <w:tc>
          <w:tcPr>
            <w:tcW w:w="1061" w:type="pct"/>
            <w:tcMar>
              <w:left w:w="40" w:type="dxa"/>
              <w:right w:w="40" w:type="dxa"/>
            </w:tcMar>
          </w:tcPr>
          <w:p w14:paraId="3B373294" w14:textId="2B1299B6" w:rsidR="00F03CD4" w:rsidRPr="0040534B" w:rsidRDefault="00F03CD4" w:rsidP="00AE0C79">
            <w:pPr>
              <w:pStyle w:val="TableText0"/>
            </w:pPr>
            <w:r w:rsidRPr="0040534B">
              <w:t>ATOG 60</w:t>
            </w:r>
            <w:r w:rsidR="006F04A7" w:rsidRPr="0040534B">
              <w:t xml:space="preserve"> </w:t>
            </w:r>
            <w:r w:rsidRPr="0040534B">
              <w:t>mg vs. SoC</w:t>
            </w:r>
            <w:r w:rsidRPr="0040534B">
              <w:rPr>
                <w:vertAlign w:val="superscript"/>
              </w:rPr>
              <w:t>a</w:t>
            </w:r>
          </w:p>
        </w:tc>
        <w:tc>
          <w:tcPr>
            <w:tcW w:w="786" w:type="pct"/>
            <w:tcMar>
              <w:left w:w="40" w:type="dxa"/>
              <w:right w:w="40" w:type="dxa"/>
            </w:tcMar>
          </w:tcPr>
          <w:p w14:paraId="4F9C35CD" w14:textId="77777777" w:rsidR="00F03CD4" w:rsidRPr="0040534B" w:rsidRDefault="00F03CD4" w:rsidP="00AE0C79">
            <w:pPr>
              <w:pStyle w:val="TableText0"/>
              <w:jc w:val="center"/>
            </w:pPr>
            <w:r w:rsidRPr="0040534B">
              <w:t>24/543 (4.4)</w:t>
            </w:r>
          </w:p>
        </w:tc>
        <w:tc>
          <w:tcPr>
            <w:tcW w:w="786" w:type="pct"/>
            <w:tcMar>
              <w:left w:w="40" w:type="dxa"/>
              <w:right w:w="40" w:type="dxa"/>
            </w:tcMar>
          </w:tcPr>
          <w:p w14:paraId="36C8D1BD" w14:textId="77777777" w:rsidR="00F03CD4" w:rsidRPr="0040534B" w:rsidRDefault="00F03CD4" w:rsidP="00AE0C79">
            <w:pPr>
              <w:pStyle w:val="TableText0"/>
              <w:jc w:val="center"/>
            </w:pPr>
            <w:r w:rsidRPr="0040534B">
              <w:t>7/196 (3.6)</w:t>
            </w:r>
          </w:p>
        </w:tc>
        <w:tc>
          <w:tcPr>
            <w:tcW w:w="745" w:type="pct"/>
            <w:shd w:val="clear" w:color="auto" w:fill="auto"/>
            <w:tcMar>
              <w:left w:w="40" w:type="dxa"/>
              <w:right w:w="40" w:type="dxa"/>
            </w:tcMar>
          </w:tcPr>
          <w:p w14:paraId="51231873" w14:textId="77777777" w:rsidR="00F03CD4" w:rsidRPr="0040534B" w:rsidRDefault="00F03CD4" w:rsidP="00AE0C79">
            <w:pPr>
              <w:pStyle w:val="TableText0"/>
              <w:jc w:val="center"/>
            </w:pPr>
            <w:r w:rsidRPr="0040534B">
              <w:t>1.2 (0.5 – 2.8)</w:t>
            </w:r>
          </w:p>
        </w:tc>
        <w:tc>
          <w:tcPr>
            <w:tcW w:w="877" w:type="pct"/>
            <w:tcMar>
              <w:left w:w="40" w:type="dxa"/>
              <w:right w:w="40" w:type="dxa"/>
            </w:tcMar>
          </w:tcPr>
          <w:p w14:paraId="4A6DD6FB" w14:textId="77777777" w:rsidR="00F03CD4" w:rsidRPr="0040534B" w:rsidRDefault="00F03CD4" w:rsidP="00AE0C79">
            <w:pPr>
              <w:pStyle w:val="TableText0"/>
              <w:jc w:val="center"/>
            </w:pPr>
            <w:r w:rsidRPr="0040534B">
              <w:t>0.01 (-0.02, 0.04)</w:t>
            </w:r>
          </w:p>
        </w:tc>
      </w:tr>
      <w:tr w:rsidR="00F03CD4" w:rsidRPr="0040534B" w14:paraId="76AD1F55" w14:textId="77777777" w:rsidTr="006F04A7">
        <w:trPr>
          <w:trHeight w:val="70"/>
        </w:trPr>
        <w:tc>
          <w:tcPr>
            <w:tcW w:w="746" w:type="pct"/>
            <w:tcMar>
              <w:left w:w="40" w:type="dxa"/>
              <w:right w:w="40" w:type="dxa"/>
            </w:tcMar>
            <w:vAlign w:val="center"/>
          </w:tcPr>
          <w:p w14:paraId="2E1C5843" w14:textId="77777777" w:rsidR="00F03CD4" w:rsidRPr="0040534B" w:rsidRDefault="00F03CD4" w:rsidP="00AE0C79">
            <w:pPr>
              <w:pStyle w:val="TableText0"/>
            </w:pPr>
            <w:r w:rsidRPr="0040534B">
              <w:t>EVOLVE-1</w:t>
            </w:r>
          </w:p>
        </w:tc>
        <w:tc>
          <w:tcPr>
            <w:tcW w:w="1061" w:type="pct"/>
            <w:tcMar>
              <w:left w:w="40" w:type="dxa"/>
              <w:right w:w="40" w:type="dxa"/>
            </w:tcMar>
            <w:vAlign w:val="center"/>
          </w:tcPr>
          <w:p w14:paraId="1072D92F" w14:textId="039FB350"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2102A78F" w14:textId="77777777" w:rsidR="00F03CD4" w:rsidRPr="0040534B" w:rsidRDefault="00F03CD4" w:rsidP="00AE0C79">
            <w:pPr>
              <w:pStyle w:val="TableText0"/>
              <w:jc w:val="center"/>
            </w:pPr>
            <w:r w:rsidRPr="0040534B">
              <w:t>6/206 (2.9)</w:t>
            </w:r>
          </w:p>
        </w:tc>
        <w:tc>
          <w:tcPr>
            <w:tcW w:w="786" w:type="pct"/>
            <w:tcMar>
              <w:left w:w="40" w:type="dxa"/>
              <w:right w:w="40" w:type="dxa"/>
            </w:tcMar>
          </w:tcPr>
          <w:p w14:paraId="7DE2D75C" w14:textId="77777777" w:rsidR="00F03CD4" w:rsidRPr="0040534B" w:rsidRDefault="00F03CD4" w:rsidP="00AE0C79">
            <w:pPr>
              <w:pStyle w:val="TableText0"/>
              <w:jc w:val="center"/>
            </w:pPr>
            <w:r w:rsidRPr="0040534B">
              <w:t>5/432 (1.2)</w:t>
            </w:r>
          </w:p>
        </w:tc>
        <w:tc>
          <w:tcPr>
            <w:tcW w:w="745" w:type="pct"/>
            <w:shd w:val="clear" w:color="auto" w:fill="auto"/>
            <w:tcMar>
              <w:left w:w="40" w:type="dxa"/>
              <w:right w:w="40" w:type="dxa"/>
            </w:tcMar>
            <w:vAlign w:val="bottom"/>
          </w:tcPr>
          <w:p w14:paraId="026CF064" w14:textId="77777777" w:rsidR="00F03CD4" w:rsidRPr="0040534B" w:rsidRDefault="00F03CD4" w:rsidP="00AE0C79">
            <w:pPr>
              <w:pStyle w:val="TableText0"/>
              <w:jc w:val="center"/>
            </w:pPr>
            <w:r w:rsidRPr="0040534B">
              <w:t>2.52 (1.1, 5.6)</w:t>
            </w:r>
          </w:p>
        </w:tc>
        <w:tc>
          <w:tcPr>
            <w:tcW w:w="877" w:type="pct"/>
            <w:tcMar>
              <w:left w:w="40" w:type="dxa"/>
              <w:right w:w="40" w:type="dxa"/>
            </w:tcMar>
            <w:vAlign w:val="bottom"/>
          </w:tcPr>
          <w:p w14:paraId="284EEB7F" w14:textId="77777777" w:rsidR="00F03CD4" w:rsidRPr="0040534B" w:rsidRDefault="00F03CD4" w:rsidP="00AE0C79">
            <w:pPr>
              <w:pStyle w:val="TableText0"/>
              <w:jc w:val="center"/>
            </w:pPr>
            <w:r w:rsidRPr="0040534B">
              <w:t>0.02 (-0.01, 0.04)</w:t>
            </w:r>
          </w:p>
        </w:tc>
      </w:tr>
      <w:tr w:rsidR="00F03CD4" w:rsidRPr="0040534B" w14:paraId="0797CCDD" w14:textId="77777777" w:rsidTr="006F04A7">
        <w:tc>
          <w:tcPr>
            <w:tcW w:w="746" w:type="pct"/>
            <w:tcMar>
              <w:left w:w="40" w:type="dxa"/>
              <w:right w:w="40" w:type="dxa"/>
            </w:tcMar>
            <w:vAlign w:val="center"/>
          </w:tcPr>
          <w:p w14:paraId="6A97F98F" w14:textId="77777777" w:rsidR="00F03CD4" w:rsidRPr="0040534B" w:rsidRDefault="00F03CD4" w:rsidP="00AE0C79">
            <w:pPr>
              <w:pStyle w:val="TableText0"/>
            </w:pPr>
            <w:r w:rsidRPr="0040534B">
              <w:t>EVOLVE-2</w:t>
            </w:r>
          </w:p>
        </w:tc>
        <w:tc>
          <w:tcPr>
            <w:tcW w:w="1061" w:type="pct"/>
            <w:tcMar>
              <w:left w:w="40" w:type="dxa"/>
              <w:right w:w="40" w:type="dxa"/>
            </w:tcMar>
            <w:vAlign w:val="center"/>
          </w:tcPr>
          <w:p w14:paraId="634DE28D" w14:textId="20AEAF86"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3DF921E0" w14:textId="77777777" w:rsidR="00F03CD4" w:rsidRPr="0040534B" w:rsidRDefault="00F03CD4" w:rsidP="00AE0C79">
            <w:pPr>
              <w:pStyle w:val="TableText0"/>
              <w:jc w:val="center"/>
            </w:pPr>
            <w:r w:rsidRPr="0040534B">
              <w:t>5/226 (2.2)</w:t>
            </w:r>
          </w:p>
        </w:tc>
        <w:tc>
          <w:tcPr>
            <w:tcW w:w="786" w:type="pct"/>
            <w:tcMar>
              <w:left w:w="40" w:type="dxa"/>
              <w:right w:w="40" w:type="dxa"/>
            </w:tcMar>
          </w:tcPr>
          <w:p w14:paraId="1995625F" w14:textId="77777777" w:rsidR="00F03CD4" w:rsidRPr="0040534B" w:rsidRDefault="00F03CD4" w:rsidP="00AE0C79">
            <w:pPr>
              <w:pStyle w:val="TableText0"/>
              <w:jc w:val="center"/>
            </w:pPr>
            <w:r w:rsidRPr="0040534B">
              <w:t>5/461 (1.1)</w:t>
            </w:r>
          </w:p>
        </w:tc>
        <w:tc>
          <w:tcPr>
            <w:tcW w:w="745" w:type="pct"/>
            <w:shd w:val="clear" w:color="auto" w:fill="auto"/>
            <w:tcMar>
              <w:left w:w="40" w:type="dxa"/>
              <w:right w:w="40" w:type="dxa"/>
            </w:tcMar>
          </w:tcPr>
          <w:p w14:paraId="12EBA1BE" w14:textId="77777777" w:rsidR="00F03CD4" w:rsidRPr="0040534B" w:rsidRDefault="00F03CD4" w:rsidP="00AE0C79">
            <w:pPr>
              <w:pStyle w:val="TableText0"/>
              <w:jc w:val="center"/>
            </w:pPr>
            <w:r w:rsidRPr="0040534B">
              <w:t>2.1 (0.6 – 7.0)</w:t>
            </w:r>
          </w:p>
        </w:tc>
        <w:tc>
          <w:tcPr>
            <w:tcW w:w="877" w:type="pct"/>
            <w:tcMar>
              <w:left w:w="40" w:type="dxa"/>
              <w:right w:w="40" w:type="dxa"/>
            </w:tcMar>
          </w:tcPr>
          <w:p w14:paraId="74A8B795" w14:textId="77777777" w:rsidR="00F03CD4" w:rsidRPr="0040534B" w:rsidRDefault="00F03CD4" w:rsidP="00AE0C79">
            <w:pPr>
              <w:pStyle w:val="TableText0"/>
              <w:jc w:val="center"/>
            </w:pPr>
            <w:r w:rsidRPr="0040534B">
              <w:t>0.01 (-0.01, 0.03)</w:t>
            </w:r>
          </w:p>
        </w:tc>
      </w:tr>
      <w:tr w:rsidR="00F03CD4" w:rsidRPr="0040534B" w14:paraId="21749CA9" w14:textId="77777777" w:rsidTr="006F04A7">
        <w:tc>
          <w:tcPr>
            <w:tcW w:w="746" w:type="pct"/>
            <w:tcMar>
              <w:left w:w="40" w:type="dxa"/>
              <w:right w:w="40" w:type="dxa"/>
            </w:tcMar>
            <w:vAlign w:val="center"/>
          </w:tcPr>
          <w:p w14:paraId="659AE5F7" w14:textId="77777777" w:rsidR="00F03CD4" w:rsidRPr="0040534B" w:rsidRDefault="00F03CD4" w:rsidP="00AE0C79">
            <w:pPr>
              <w:pStyle w:val="TableText0"/>
            </w:pPr>
            <w:r w:rsidRPr="0040534B">
              <w:t>PERSIST</w:t>
            </w:r>
          </w:p>
        </w:tc>
        <w:tc>
          <w:tcPr>
            <w:tcW w:w="1061" w:type="pct"/>
            <w:tcMar>
              <w:left w:w="40" w:type="dxa"/>
              <w:right w:w="40" w:type="dxa"/>
            </w:tcMar>
            <w:vAlign w:val="center"/>
          </w:tcPr>
          <w:p w14:paraId="027530F7" w14:textId="689068A4"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64E42D59" w14:textId="77777777" w:rsidR="00F03CD4" w:rsidRPr="0040534B" w:rsidRDefault="00F03CD4" w:rsidP="00AE0C79">
            <w:pPr>
              <w:pStyle w:val="TableText0"/>
              <w:jc w:val="center"/>
            </w:pPr>
            <w:r w:rsidRPr="0040534B">
              <w:t>NR</w:t>
            </w:r>
          </w:p>
        </w:tc>
        <w:tc>
          <w:tcPr>
            <w:tcW w:w="786" w:type="pct"/>
            <w:tcMar>
              <w:left w:w="40" w:type="dxa"/>
              <w:right w:w="40" w:type="dxa"/>
            </w:tcMar>
          </w:tcPr>
          <w:p w14:paraId="20ACA353" w14:textId="77777777" w:rsidR="00F03CD4" w:rsidRPr="0040534B" w:rsidRDefault="00F03CD4" w:rsidP="00AE0C79">
            <w:pPr>
              <w:pStyle w:val="TableText0"/>
              <w:jc w:val="center"/>
            </w:pPr>
            <w:r w:rsidRPr="0040534B">
              <w:t>NR</w:t>
            </w:r>
          </w:p>
        </w:tc>
        <w:tc>
          <w:tcPr>
            <w:tcW w:w="745" w:type="pct"/>
            <w:tcMar>
              <w:left w:w="40" w:type="dxa"/>
              <w:right w:w="40" w:type="dxa"/>
            </w:tcMar>
          </w:tcPr>
          <w:p w14:paraId="1A027887" w14:textId="77777777" w:rsidR="00F03CD4" w:rsidRPr="0040534B" w:rsidRDefault="00F03CD4" w:rsidP="00AE0C79">
            <w:pPr>
              <w:pStyle w:val="TableText0"/>
              <w:jc w:val="center"/>
            </w:pPr>
            <w:r w:rsidRPr="0040534B">
              <w:t>NA</w:t>
            </w:r>
          </w:p>
        </w:tc>
        <w:tc>
          <w:tcPr>
            <w:tcW w:w="877" w:type="pct"/>
            <w:tcMar>
              <w:left w:w="40" w:type="dxa"/>
              <w:right w:w="40" w:type="dxa"/>
            </w:tcMar>
          </w:tcPr>
          <w:p w14:paraId="6BD6908F" w14:textId="77777777" w:rsidR="00F03CD4" w:rsidRPr="0040534B" w:rsidRDefault="00F03CD4" w:rsidP="00AE0C79">
            <w:pPr>
              <w:pStyle w:val="TableText0"/>
              <w:jc w:val="center"/>
            </w:pPr>
            <w:r w:rsidRPr="0040534B">
              <w:t>NA</w:t>
            </w:r>
          </w:p>
        </w:tc>
      </w:tr>
      <w:tr w:rsidR="00F03CD4" w:rsidRPr="0040534B" w14:paraId="6152DEFA" w14:textId="77777777" w:rsidTr="006F04A7">
        <w:tc>
          <w:tcPr>
            <w:tcW w:w="746" w:type="pct"/>
            <w:tcMar>
              <w:left w:w="40" w:type="dxa"/>
              <w:right w:w="40" w:type="dxa"/>
            </w:tcMar>
            <w:vAlign w:val="center"/>
          </w:tcPr>
          <w:p w14:paraId="11AAC9A7" w14:textId="77777777" w:rsidR="00F03CD4" w:rsidRPr="0040534B" w:rsidRDefault="00F03CD4" w:rsidP="00AE0C79">
            <w:pPr>
              <w:pStyle w:val="TableText0"/>
            </w:pPr>
            <w:r w:rsidRPr="0040534B">
              <w:t>NCT02959177</w:t>
            </w:r>
          </w:p>
        </w:tc>
        <w:tc>
          <w:tcPr>
            <w:tcW w:w="1061" w:type="pct"/>
            <w:tcMar>
              <w:left w:w="40" w:type="dxa"/>
              <w:right w:w="40" w:type="dxa"/>
            </w:tcMar>
            <w:vAlign w:val="center"/>
          </w:tcPr>
          <w:p w14:paraId="6006BF5E" w14:textId="070B47EE"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7DE85FB9" w14:textId="77777777" w:rsidR="00F03CD4" w:rsidRPr="0040534B" w:rsidRDefault="00F03CD4" w:rsidP="00AE0C79">
            <w:pPr>
              <w:pStyle w:val="TableText0"/>
              <w:jc w:val="center"/>
            </w:pPr>
            <w:r w:rsidRPr="0040534B">
              <w:t>3/115 (2.6)</w:t>
            </w:r>
          </w:p>
        </w:tc>
        <w:tc>
          <w:tcPr>
            <w:tcW w:w="786" w:type="pct"/>
            <w:tcMar>
              <w:left w:w="40" w:type="dxa"/>
              <w:right w:w="40" w:type="dxa"/>
            </w:tcMar>
          </w:tcPr>
          <w:p w14:paraId="56AD2F98" w14:textId="77777777" w:rsidR="00F03CD4" w:rsidRPr="0040534B" w:rsidRDefault="00F03CD4" w:rsidP="00AE0C79">
            <w:pPr>
              <w:pStyle w:val="TableText0"/>
              <w:jc w:val="center"/>
            </w:pPr>
            <w:r w:rsidRPr="0040534B">
              <w:t>0/230 (0.0)</w:t>
            </w:r>
          </w:p>
        </w:tc>
        <w:tc>
          <w:tcPr>
            <w:tcW w:w="745" w:type="pct"/>
            <w:tcMar>
              <w:left w:w="40" w:type="dxa"/>
              <w:right w:w="40" w:type="dxa"/>
            </w:tcMar>
          </w:tcPr>
          <w:p w14:paraId="4D07CFEE" w14:textId="77777777" w:rsidR="00F03CD4" w:rsidRPr="0040534B" w:rsidRDefault="00F03CD4" w:rsidP="00AE0C79">
            <w:pPr>
              <w:pStyle w:val="TableText0"/>
              <w:jc w:val="center"/>
            </w:pPr>
            <w:r w:rsidRPr="0040534B">
              <w:t>6.0 (0.6 – 57)</w:t>
            </w:r>
          </w:p>
        </w:tc>
        <w:tc>
          <w:tcPr>
            <w:tcW w:w="877" w:type="pct"/>
            <w:tcMar>
              <w:left w:w="40" w:type="dxa"/>
              <w:right w:w="40" w:type="dxa"/>
            </w:tcMar>
          </w:tcPr>
          <w:p w14:paraId="3FC0C503" w14:textId="77777777" w:rsidR="00F03CD4" w:rsidRPr="0040534B" w:rsidRDefault="00F03CD4" w:rsidP="00AE0C79">
            <w:pPr>
              <w:pStyle w:val="TableText0"/>
              <w:jc w:val="center"/>
            </w:pPr>
            <w:r w:rsidRPr="0040534B">
              <w:t>0.03 (-0.01, 0.06)</w:t>
            </w:r>
          </w:p>
        </w:tc>
      </w:tr>
      <w:tr w:rsidR="00F03CD4" w:rsidRPr="0040534B" w14:paraId="181448DB" w14:textId="77777777" w:rsidTr="006F04A7">
        <w:tc>
          <w:tcPr>
            <w:tcW w:w="746" w:type="pct"/>
            <w:vMerge w:val="restart"/>
            <w:tcMar>
              <w:left w:w="40" w:type="dxa"/>
              <w:right w:w="40" w:type="dxa"/>
            </w:tcMar>
            <w:vAlign w:val="center"/>
          </w:tcPr>
          <w:p w14:paraId="43410353" w14:textId="77777777" w:rsidR="00F03CD4" w:rsidRPr="0040534B" w:rsidRDefault="00F03CD4" w:rsidP="00AE0C79">
            <w:pPr>
              <w:pStyle w:val="TableText0"/>
            </w:pPr>
            <w:r w:rsidRPr="0040534B">
              <w:t>HALO-EM</w:t>
            </w:r>
          </w:p>
        </w:tc>
        <w:tc>
          <w:tcPr>
            <w:tcW w:w="1061" w:type="pct"/>
            <w:tcMar>
              <w:left w:w="40" w:type="dxa"/>
              <w:right w:w="40" w:type="dxa"/>
            </w:tcMar>
            <w:vAlign w:val="center"/>
          </w:tcPr>
          <w:p w14:paraId="30294D36" w14:textId="56D31B99" w:rsidR="00F03CD4" w:rsidRPr="0040534B" w:rsidRDefault="00F03CD4" w:rsidP="00AE0C79">
            <w:pPr>
              <w:pStyle w:val="TableText0"/>
            </w:pPr>
            <w:r w:rsidRPr="0040534B">
              <w:t>FREM 675</w:t>
            </w:r>
            <w:r w:rsidR="006F04A7" w:rsidRPr="0040534B">
              <w:t xml:space="preserve"> </w:t>
            </w:r>
            <w:r w:rsidRPr="0040534B">
              <w:t>mg vs. PBO</w:t>
            </w:r>
          </w:p>
        </w:tc>
        <w:tc>
          <w:tcPr>
            <w:tcW w:w="786" w:type="pct"/>
            <w:tcMar>
              <w:left w:w="40" w:type="dxa"/>
              <w:right w:w="40" w:type="dxa"/>
            </w:tcMar>
          </w:tcPr>
          <w:p w14:paraId="3B83E417" w14:textId="77777777" w:rsidR="00F03CD4" w:rsidRPr="0040534B" w:rsidRDefault="00F03CD4" w:rsidP="00AE0C79">
            <w:pPr>
              <w:pStyle w:val="TableText0"/>
              <w:jc w:val="center"/>
            </w:pPr>
            <w:r w:rsidRPr="0040534B">
              <w:t>3/291 (1.0)</w:t>
            </w:r>
          </w:p>
        </w:tc>
        <w:tc>
          <w:tcPr>
            <w:tcW w:w="786" w:type="pct"/>
            <w:tcMar>
              <w:left w:w="40" w:type="dxa"/>
              <w:right w:w="40" w:type="dxa"/>
            </w:tcMar>
          </w:tcPr>
          <w:p w14:paraId="4DD2072B" w14:textId="77777777" w:rsidR="00F03CD4" w:rsidRPr="0040534B" w:rsidRDefault="00F03CD4" w:rsidP="00AE0C79">
            <w:pPr>
              <w:pStyle w:val="TableText0"/>
              <w:jc w:val="center"/>
            </w:pPr>
            <w:r w:rsidRPr="0040534B">
              <w:t>7/293 (2.4)</w:t>
            </w:r>
          </w:p>
        </w:tc>
        <w:tc>
          <w:tcPr>
            <w:tcW w:w="745" w:type="pct"/>
            <w:tcMar>
              <w:left w:w="40" w:type="dxa"/>
              <w:right w:w="40" w:type="dxa"/>
            </w:tcMar>
          </w:tcPr>
          <w:p w14:paraId="0D69DB09" w14:textId="77777777" w:rsidR="00F03CD4" w:rsidRPr="0040534B" w:rsidRDefault="00F03CD4" w:rsidP="00AE0C79">
            <w:pPr>
              <w:pStyle w:val="TableText0"/>
              <w:jc w:val="center"/>
            </w:pPr>
            <w:r w:rsidRPr="0040534B">
              <w:t>0.4 (0.1 – 1.7)</w:t>
            </w:r>
          </w:p>
        </w:tc>
        <w:tc>
          <w:tcPr>
            <w:tcW w:w="877" w:type="pct"/>
            <w:tcMar>
              <w:left w:w="40" w:type="dxa"/>
              <w:right w:w="40" w:type="dxa"/>
            </w:tcMar>
          </w:tcPr>
          <w:p w14:paraId="310496A7" w14:textId="77777777" w:rsidR="00F03CD4" w:rsidRPr="0040534B" w:rsidRDefault="00F03CD4" w:rsidP="00AE0C79">
            <w:pPr>
              <w:pStyle w:val="TableText0"/>
              <w:jc w:val="center"/>
            </w:pPr>
            <w:r w:rsidRPr="0040534B">
              <w:t>-0.01 (-0.03, 0.01)</w:t>
            </w:r>
          </w:p>
        </w:tc>
      </w:tr>
      <w:tr w:rsidR="00F03CD4" w:rsidRPr="0040534B" w14:paraId="4FA0A913" w14:textId="77777777" w:rsidTr="006F04A7">
        <w:tc>
          <w:tcPr>
            <w:tcW w:w="746" w:type="pct"/>
            <w:vMerge/>
            <w:tcMar>
              <w:left w:w="40" w:type="dxa"/>
              <w:right w:w="40" w:type="dxa"/>
            </w:tcMar>
            <w:vAlign w:val="center"/>
          </w:tcPr>
          <w:p w14:paraId="5D3BB846" w14:textId="77777777" w:rsidR="00F03CD4" w:rsidRPr="0040534B" w:rsidRDefault="00F03CD4" w:rsidP="00AE0C79">
            <w:pPr>
              <w:pStyle w:val="TableText0"/>
            </w:pPr>
          </w:p>
        </w:tc>
        <w:tc>
          <w:tcPr>
            <w:tcW w:w="1061" w:type="pct"/>
            <w:tcMar>
              <w:left w:w="40" w:type="dxa"/>
              <w:right w:w="40" w:type="dxa"/>
            </w:tcMar>
            <w:vAlign w:val="center"/>
          </w:tcPr>
          <w:p w14:paraId="5719308B" w14:textId="7BD6A7E0" w:rsidR="00F03CD4" w:rsidRPr="0040534B" w:rsidRDefault="00F03CD4" w:rsidP="00AE0C79">
            <w:pPr>
              <w:pStyle w:val="TableText0"/>
            </w:pPr>
            <w:r w:rsidRPr="0040534B">
              <w:t>FREM 225</w:t>
            </w:r>
            <w:r w:rsidR="006F04A7" w:rsidRPr="0040534B">
              <w:t xml:space="preserve"> </w:t>
            </w:r>
            <w:r w:rsidRPr="0040534B">
              <w:t>mg vs. PBO</w:t>
            </w:r>
          </w:p>
        </w:tc>
        <w:tc>
          <w:tcPr>
            <w:tcW w:w="786" w:type="pct"/>
            <w:tcMar>
              <w:left w:w="40" w:type="dxa"/>
              <w:right w:w="40" w:type="dxa"/>
            </w:tcMar>
          </w:tcPr>
          <w:p w14:paraId="7C681989" w14:textId="77777777" w:rsidR="00F03CD4" w:rsidRPr="0040534B" w:rsidRDefault="00F03CD4" w:rsidP="00AE0C79">
            <w:pPr>
              <w:pStyle w:val="TableText0"/>
              <w:jc w:val="center"/>
            </w:pPr>
            <w:r w:rsidRPr="0040534B">
              <w:t>3/290 (1.0)</w:t>
            </w:r>
          </w:p>
        </w:tc>
        <w:tc>
          <w:tcPr>
            <w:tcW w:w="786" w:type="pct"/>
            <w:tcMar>
              <w:left w:w="40" w:type="dxa"/>
              <w:right w:w="40" w:type="dxa"/>
            </w:tcMar>
          </w:tcPr>
          <w:p w14:paraId="40A8A331" w14:textId="77777777" w:rsidR="00F03CD4" w:rsidRPr="0040534B" w:rsidRDefault="00F03CD4" w:rsidP="00AE0C79">
            <w:pPr>
              <w:pStyle w:val="TableText0"/>
              <w:jc w:val="center"/>
            </w:pPr>
            <w:r w:rsidRPr="0040534B">
              <w:t>7/293 (2.4)</w:t>
            </w:r>
          </w:p>
        </w:tc>
        <w:tc>
          <w:tcPr>
            <w:tcW w:w="745" w:type="pct"/>
            <w:tcMar>
              <w:left w:w="40" w:type="dxa"/>
              <w:right w:w="40" w:type="dxa"/>
            </w:tcMar>
          </w:tcPr>
          <w:p w14:paraId="2089638C" w14:textId="77777777" w:rsidR="00F03CD4" w:rsidRPr="0040534B" w:rsidRDefault="00F03CD4" w:rsidP="00AE0C79">
            <w:pPr>
              <w:pStyle w:val="TableText0"/>
              <w:jc w:val="center"/>
            </w:pPr>
            <w:r w:rsidRPr="0040534B">
              <w:t>0.4 (0.1 – 1.7)</w:t>
            </w:r>
          </w:p>
        </w:tc>
        <w:tc>
          <w:tcPr>
            <w:tcW w:w="877" w:type="pct"/>
            <w:tcMar>
              <w:left w:w="40" w:type="dxa"/>
              <w:right w:w="40" w:type="dxa"/>
            </w:tcMar>
          </w:tcPr>
          <w:p w14:paraId="51BCB60B" w14:textId="77777777" w:rsidR="00F03CD4" w:rsidRPr="0040534B" w:rsidRDefault="00F03CD4" w:rsidP="00AE0C79">
            <w:pPr>
              <w:pStyle w:val="TableText0"/>
              <w:jc w:val="center"/>
            </w:pPr>
            <w:r w:rsidRPr="0040534B">
              <w:t>-0.01 (-0.03, 0.01)</w:t>
            </w:r>
          </w:p>
        </w:tc>
      </w:tr>
      <w:tr w:rsidR="00F03CD4" w:rsidRPr="0040534B" w14:paraId="13E086BA" w14:textId="77777777" w:rsidTr="006F04A7">
        <w:tc>
          <w:tcPr>
            <w:tcW w:w="746" w:type="pct"/>
            <w:vMerge w:val="restart"/>
            <w:tcMar>
              <w:left w:w="40" w:type="dxa"/>
              <w:right w:w="40" w:type="dxa"/>
            </w:tcMar>
            <w:vAlign w:val="center"/>
          </w:tcPr>
          <w:p w14:paraId="61831903" w14:textId="77777777" w:rsidR="00F03CD4" w:rsidRPr="0040534B" w:rsidRDefault="00F03CD4" w:rsidP="00AE0C79">
            <w:pPr>
              <w:pStyle w:val="TableText0"/>
            </w:pPr>
            <w:r w:rsidRPr="0040534B">
              <w:t>NCT03303092</w:t>
            </w:r>
          </w:p>
        </w:tc>
        <w:tc>
          <w:tcPr>
            <w:tcW w:w="1061" w:type="pct"/>
            <w:tcMar>
              <w:left w:w="40" w:type="dxa"/>
              <w:right w:w="40" w:type="dxa"/>
            </w:tcMar>
            <w:vAlign w:val="center"/>
          </w:tcPr>
          <w:p w14:paraId="7D63837E" w14:textId="74F340C5" w:rsidR="00F03CD4" w:rsidRPr="0040534B" w:rsidRDefault="00F03CD4" w:rsidP="00AE0C79">
            <w:pPr>
              <w:pStyle w:val="TableText0"/>
            </w:pPr>
            <w:r w:rsidRPr="0040534B">
              <w:t>FREM 675</w:t>
            </w:r>
            <w:r w:rsidR="006F04A7" w:rsidRPr="0040534B">
              <w:t xml:space="preserve"> </w:t>
            </w:r>
            <w:r w:rsidRPr="0040534B">
              <w:t>mg vs. PBO</w:t>
            </w:r>
          </w:p>
        </w:tc>
        <w:tc>
          <w:tcPr>
            <w:tcW w:w="786" w:type="pct"/>
            <w:tcMar>
              <w:left w:w="40" w:type="dxa"/>
              <w:right w:w="40" w:type="dxa"/>
            </w:tcMar>
          </w:tcPr>
          <w:p w14:paraId="6DB87F31" w14:textId="77777777" w:rsidR="00F03CD4" w:rsidRPr="0040534B" w:rsidRDefault="00F03CD4" w:rsidP="00AE0C79">
            <w:pPr>
              <w:pStyle w:val="TableText0"/>
              <w:jc w:val="center"/>
            </w:pPr>
            <w:r w:rsidRPr="0040534B">
              <w:t>0 (0.0)</w:t>
            </w:r>
          </w:p>
        </w:tc>
        <w:tc>
          <w:tcPr>
            <w:tcW w:w="786" w:type="pct"/>
            <w:tcMar>
              <w:left w:w="40" w:type="dxa"/>
              <w:right w:w="40" w:type="dxa"/>
            </w:tcMar>
          </w:tcPr>
          <w:p w14:paraId="59F475E8" w14:textId="77777777" w:rsidR="00F03CD4" w:rsidRPr="0040534B" w:rsidRDefault="00F03CD4" w:rsidP="00AE0C79">
            <w:pPr>
              <w:pStyle w:val="TableText0"/>
              <w:jc w:val="center"/>
            </w:pPr>
            <w:r w:rsidRPr="0040534B">
              <w:t>0 (0.0)</w:t>
            </w:r>
          </w:p>
        </w:tc>
        <w:tc>
          <w:tcPr>
            <w:tcW w:w="745" w:type="pct"/>
            <w:tcMar>
              <w:left w:w="40" w:type="dxa"/>
              <w:right w:w="40" w:type="dxa"/>
            </w:tcMar>
          </w:tcPr>
          <w:p w14:paraId="125C2FE8" w14:textId="77777777" w:rsidR="00F03CD4" w:rsidRPr="0040534B" w:rsidRDefault="00F03CD4" w:rsidP="00AE0C79">
            <w:pPr>
              <w:pStyle w:val="TableText0"/>
              <w:jc w:val="center"/>
            </w:pPr>
            <w:r w:rsidRPr="0040534B">
              <w:t>NA</w:t>
            </w:r>
          </w:p>
        </w:tc>
        <w:tc>
          <w:tcPr>
            <w:tcW w:w="877" w:type="pct"/>
            <w:tcMar>
              <w:left w:w="40" w:type="dxa"/>
              <w:right w:w="40" w:type="dxa"/>
            </w:tcMar>
          </w:tcPr>
          <w:p w14:paraId="75A69CF6" w14:textId="77777777" w:rsidR="00F03CD4" w:rsidRPr="0040534B" w:rsidRDefault="00F03CD4" w:rsidP="00AE0C79">
            <w:pPr>
              <w:pStyle w:val="TableText0"/>
              <w:jc w:val="center"/>
            </w:pPr>
            <w:r w:rsidRPr="0040534B">
              <w:t>NA</w:t>
            </w:r>
          </w:p>
        </w:tc>
      </w:tr>
      <w:tr w:rsidR="00F03CD4" w:rsidRPr="0040534B" w14:paraId="47909975" w14:textId="77777777" w:rsidTr="006F04A7">
        <w:tc>
          <w:tcPr>
            <w:tcW w:w="746" w:type="pct"/>
            <w:vMerge/>
            <w:tcMar>
              <w:left w:w="40" w:type="dxa"/>
              <w:right w:w="40" w:type="dxa"/>
            </w:tcMar>
            <w:vAlign w:val="center"/>
          </w:tcPr>
          <w:p w14:paraId="279D3CB4" w14:textId="77777777" w:rsidR="00F03CD4" w:rsidRPr="0040534B" w:rsidRDefault="00F03CD4" w:rsidP="00AE0C79">
            <w:pPr>
              <w:pStyle w:val="TableText0"/>
            </w:pPr>
          </w:p>
        </w:tc>
        <w:tc>
          <w:tcPr>
            <w:tcW w:w="1061" w:type="pct"/>
            <w:tcMar>
              <w:left w:w="40" w:type="dxa"/>
              <w:right w:w="40" w:type="dxa"/>
            </w:tcMar>
            <w:vAlign w:val="center"/>
          </w:tcPr>
          <w:p w14:paraId="562E8288" w14:textId="3308C445" w:rsidR="00F03CD4" w:rsidRPr="0040534B" w:rsidRDefault="00F03CD4" w:rsidP="00AE0C79">
            <w:pPr>
              <w:pStyle w:val="TableText0"/>
            </w:pPr>
            <w:r w:rsidRPr="0040534B">
              <w:t>FREM 225</w:t>
            </w:r>
            <w:r w:rsidR="006F04A7" w:rsidRPr="0040534B">
              <w:t xml:space="preserve"> </w:t>
            </w:r>
            <w:r w:rsidRPr="0040534B">
              <w:t>mg vs. PBO</w:t>
            </w:r>
          </w:p>
        </w:tc>
        <w:tc>
          <w:tcPr>
            <w:tcW w:w="786" w:type="pct"/>
            <w:tcMar>
              <w:left w:w="40" w:type="dxa"/>
              <w:right w:w="40" w:type="dxa"/>
            </w:tcMar>
          </w:tcPr>
          <w:p w14:paraId="51527DA3" w14:textId="77777777" w:rsidR="00F03CD4" w:rsidRPr="0040534B" w:rsidRDefault="00F03CD4" w:rsidP="00AE0C79">
            <w:pPr>
              <w:pStyle w:val="TableText0"/>
              <w:jc w:val="center"/>
            </w:pPr>
            <w:r w:rsidRPr="0040534B">
              <w:t>0 (0.0)</w:t>
            </w:r>
          </w:p>
        </w:tc>
        <w:tc>
          <w:tcPr>
            <w:tcW w:w="786" w:type="pct"/>
            <w:tcMar>
              <w:left w:w="40" w:type="dxa"/>
              <w:right w:w="40" w:type="dxa"/>
            </w:tcMar>
          </w:tcPr>
          <w:p w14:paraId="64AAB512" w14:textId="77777777" w:rsidR="00F03CD4" w:rsidRPr="0040534B" w:rsidRDefault="00F03CD4" w:rsidP="00AE0C79">
            <w:pPr>
              <w:pStyle w:val="TableText0"/>
              <w:jc w:val="center"/>
            </w:pPr>
            <w:r w:rsidRPr="0040534B">
              <w:t>0 (0.0)</w:t>
            </w:r>
          </w:p>
        </w:tc>
        <w:tc>
          <w:tcPr>
            <w:tcW w:w="745" w:type="pct"/>
            <w:tcMar>
              <w:left w:w="40" w:type="dxa"/>
              <w:right w:w="40" w:type="dxa"/>
            </w:tcMar>
          </w:tcPr>
          <w:p w14:paraId="03F17219" w14:textId="77777777" w:rsidR="00F03CD4" w:rsidRPr="0040534B" w:rsidRDefault="00F03CD4" w:rsidP="00AE0C79">
            <w:pPr>
              <w:pStyle w:val="TableText0"/>
              <w:jc w:val="center"/>
            </w:pPr>
            <w:r w:rsidRPr="0040534B">
              <w:t>NA</w:t>
            </w:r>
          </w:p>
        </w:tc>
        <w:tc>
          <w:tcPr>
            <w:tcW w:w="877" w:type="pct"/>
            <w:tcMar>
              <w:left w:w="40" w:type="dxa"/>
              <w:right w:w="40" w:type="dxa"/>
            </w:tcMar>
          </w:tcPr>
          <w:p w14:paraId="60B2D48A" w14:textId="77777777" w:rsidR="00F03CD4" w:rsidRPr="0040534B" w:rsidRDefault="00F03CD4" w:rsidP="00AE0C79">
            <w:pPr>
              <w:pStyle w:val="TableText0"/>
              <w:jc w:val="center"/>
            </w:pPr>
            <w:r w:rsidRPr="0040534B">
              <w:t>NA</w:t>
            </w:r>
          </w:p>
        </w:tc>
      </w:tr>
      <w:tr w:rsidR="00F03CD4" w:rsidRPr="0040534B" w14:paraId="12F2BCB3" w14:textId="77777777" w:rsidTr="006F04A7">
        <w:tc>
          <w:tcPr>
            <w:tcW w:w="5000" w:type="pct"/>
            <w:gridSpan w:val="6"/>
            <w:tcMar>
              <w:left w:w="40" w:type="dxa"/>
              <w:right w:w="40" w:type="dxa"/>
            </w:tcMar>
            <w:vAlign w:val="center"/>
          </w:tcPr>
          <w:p w14:paraId="115C09DA" w14:textId="77777777" w:rsidR="00F03CD4" w:rsidRPr="0040534B" w:rsidRDefault="00F03CD4" w:rsidP="00AE0C79">
            <w:pPr>
              <w:pStyle w:val="TableText0"/>
              <w:rPr>
                <w:b/>
                <w:bCs w:val="0"/>
              </w:rPr>
            </w:pPr>
            <w:r w:rsidRPr="0040534B">
              <w:rPr>
                <w:b/>
                <w:bCs w:val="0"/>
              </w:rPr>
              <w:t>Any TEAE leading to discontinuation</w:t>
            </w:r>
          </w:p>
        </w:tc>
      </w:tr>
      <w:tr w:rsidR="00F03CD4" w:rsidRPr="0040534B" w14:paraId="18CD4AE9" w14:textId="77777777" w:rsidTr="006F04A7">
        <w:tc>
          <w:tcPr>
            <w:tcW w:w="746" w:type="pct"/>
            <w:tcMar>
              <w:left w:w="40" w:type="dxa"/>
              <w:right w:w="40" w:type="dxa"/>
            </w:tcMar>
            <w:vAlign w:val="center"/>
          </w:tcPr>
          <w:p w14:paraId="053DE3F7" w14:textId="77777777" w:rsidR="00F03CD4" w:rsidRPr="0040534B" w:rsidRDefault="00F03CD4" w:rsidP="00AE0C79">
            <w:pPr>
              <w:pStyle w:val="TableText0"/>
            </w:pPr>
            <w:r w:rsidRPr="0040534B">
              <w:t>ADVANCE</w:t>
            </w:r>
          </w:p>
        </w:tc>
        <w:tc>
          <w:tcPr>
            <w:tcW w:w="1061" w:type="pct"/>
            <w:tcMar>
              <w:left w:w="40" w:type="dxa"/>
              <w:right w:w="40" w:type="dxa"/>
            </w:tcMar>
            <w:vAlign w:val="center"/>
          </w:tcPr>
          <w:p w14:paraId="325F3267" w14:textId="725E6AE6" w:rsidR="00F03CD4" w:rsidRPr="0040534B" w:rsidRDefault="00F03CD4" w:rsidP="00AE0C79">
            <w:pPr>
              <w:pStyle w:val="TableText0"/>
            </w:pPr>
            <w:r w:rsidRPr="0040534B">
              <w:t>ATOG 60</w:t>
            </w:r>
            <w:r w:rsidR="006F04A7" w:rsidRPr="0040534B">
              <w:t xml:space="preserve"> </w:t>
            </w:r>
            <w:r w:rsidRPr="0040534B">
              <w:t>mg vs. PBO</w:t>
            </w:r>
          </w:p>
        </w:tc>
        <w:tc>
          <w:tcPr>
            <w:tcW w:w="786" w:type="pct"/>
            <w:tcMar>
              <w:left w:w="40" w:type="dxa"/>
              <w:right w:w="40" w:type="dxa"/>
            </w:tcMar>
          </w:tcPr>
          <w:p w14:paraId="091D71B0" w14:textId="77777777" w:rsidR="00F03CD4" w:rsidRPr="0040534B" w:rsidRDefault="00F03CD4" w:rsidP="00AE0C79">
            <w:pPr>
              <w:pStyle w:val="TableText0"/>
              <w:jc w:val="center"/>
            </w:pPr>
            <w:r w:rsidRPr="0040534B">
              <w:t>6/231 (2.6)</w:t>
            </w:r>
          </w:p>
        </w:tc>
        <w:tc>
          <w:tcPr>
            <w:tcW w:w="786" w:type="pct"/>
            <w:tcMar>
              <w:left w:w="40" w:type="dxa"/>
              <w:right w:w="40" w:type="dxa"/>
            </w:tcMar>
          </w:tcPr>
          <w:p w14:paraId="499F1F5D" w14:textId="77777777" w:rsidR="00F03CD4" w:rsidRPr="0040534B" w:rsidRDefault="00F03CD4" w:rsidP="00AE0C79">
            <w:pPr>
              <w:pStyle w:val="TableText0"/>
              <w:jc w:val="center"/>
            </w:pPr>
            <w:r w:rsidRPr="0040534B">
              <w:t>6/222 (2.7)</w:t>
            </w:r>
          </w:p>
        </w:tc>
        <w:tc>
          <w:tcPr>
            <w:tcW w:w="745" w:type="pct"/>
            <w:tcMar>
              <w:left w:w="40" w:type="dxa"/>
              <w:right w:w="40" w:type="dxa"/>
            </w:tcMar>
          </w:tcPr>
          <w:p w14:paraId="788315FD" w14:textId="77777777" w:rsidR="00F03CD4" w:rsidRPr="0040534B" w:rsidRDefault="00F03CD4" w:rsidP="00AE0C79">
            <w:pPr>
              <w:pStyle w:val="TableText0"/>
              <w:jc w:val="center"/>
            </w:pPr>
            <w:r w:rsidRPr="0040534B">
              <w:t>1.0 (0.3 – 2.9)</w:t>
            </w:r>
          </w:p>
        </w:tc>
        <w:tc>
          <w:tcPr>
            <w:tcW w:w="877" w:type="pct"/>
            <w:tcMar>
              <w:left w:w="40" w:type="dxa"/>
              <w:right w:w="40" w:type="dxa"/>
            </w:tcMar>
          </w:tcPr>
          <w:p w14:paraId="57EF77A1" w14:textId="77777777" w:rsidR="00F03CD4" w:rsidRPr="0040534B" w:rsidRDefault="00F03CD4" w:rsidP="00AE0C79">
            <w:pPr>
              <w:pStyle w:val="TableText0"/>
              <w:jc w:val="center"/>
            </w:pPr>
            <w:r w:rsidRPr="0040534B">
              <w:t>0.0 (-0.1-0.1)</w:t>
            </w:r>
          </w:p>
        </w:tc>
      </w:tr>
      <w:tr w:rsidR="00F03CD4" w:rsidRPr="0040534B" w14:paraId="45DD0326" w14:textId="77777777" w:rsidTr="006F04A7">
        <w:tc>
          <w:tcPr>
            <w:tcW w:w="746" w:type="pct"/>
            <w:tcMar>
              <w:left w:w="40" w:type="dxa"/>
              <w:right w:w="40" w:type="dxa"/>
            </w:tcMar>
            <w:vAlign w:val="center"/>
          </w:tcPr>
          <w:p w14:paraId="16BF83F2" w14:textId="77777777" w:rsidR="00F03CD4" w:rsidRPr="0040534B" w:rsidRDefault="00F03CD4" w:rsidP="00AE0C79">
            <w:pPr>
              <w:pStyle w:val="TableText0"/>
            </w:pPr>
            <w:r w:rsidRPr="0040534B">
              <w:t>NCT02848326</w:t>
            </w:r>
          </w:p>
        </w:tc>
        <w:tc>
          <w:tcPr>
            <w:tcW w:w="1061" w:type="pct"/>
            <w:tcMar>
              <w:left w:w="40" w:type="dxa"/>
              <w:right w:w="40" w:type="dxa"/>
            </w:tcMar>
            <w:vAlign w:val="center"/>
          </w:tcPr>
          <w:p w14:paraId="4C359056" w14:textId="2B37DF9C" w:rsidR="00F03CD4" w:rsidRPr="0040534B" w:rsidRDefault="00F03CD4" w:rsidP="00AE0C79">
            <w:pPr>
              <w:pStyle w:val="TableText0"/>
            </w:pPr>
            <w:r w:rsidRPr="0040534B">
              <w:t>ATOG 60</w:t>
            </w:r>
            <w:r w:rsidR="006F04A7" w:rsidRPr="0040534B">
              <w:t xml:space="preserve"> </w:t>
            </w:r>
            <w:r w:rsidRPr="0040534B">
              <w:t>mg vs. PBO</w:t>
            </w:r>
          </w:p>
        </w:tc>
        <w:tc>
          <w:tcPr>
            <w:tcW w:w="786" w:type="pct"/>
            <w:tcMar>
              <w:left w:w="40" w:type="dxa"/>
              <w:right w:w="40" w:type="dxa"/>
            </w:tcMar>
          </w:tcPr>
          <w:p w14:paraId="3DEF20A3" w14:textId="77777777" w:rsidR="00F03CD4" w:rsidRPr="0040534B" w:rsidRDefault="00F03CD4" w:rsidP="00AE0C79">
            <w:pPr>
              <w:pStyle w:val="TableText0"/>
              <w:jc w:val="center"/>
            </w:pPr>
            <w:r w:rsidRPr="0040534B">
              <w:t>6/186 (3.2)</w:t>
            </w:r>
          </w:p>
        </w:tc>
        <w:tc>
          <w:tcPr>
            <w:tcW w:w="786" w:type="pct"/>
            <w:tcMar>
              <w:left w:w="40" w:type="dxa"/>
              <w:right w:w="40" w:type="dxa"/>
            </w:tcMar>
          </w:tcPr>
          <w:p w14:paraId="19C3EE8D" w14:textId="77777777" w:rsidR="00F03CD4" w:rsidRPr="0040534B" w:rsidRDefault="00F03CD4" w:rsidP="00AE0C79">
            <w:pPr>
              <w:pStyle w:val="TableText0"/>
              <w:jc w:val="center"/>
            </w:pPr>
            <w:r w:rsidRPr="0040534B">
              <w:t>5/186 (2.7)</w:t>
            </w:r>
          </w:p>
        </w:tc>
        <w:tc>
          <w:tcPr>
            <w:tcW w:w="745" w:type="pct"/>
            <w:tcMar>
              <w:left w:w="40" w:type="dxa"/>
              <w:right w:w="40" w:type="dxa"/>
            </w:tcMar>
          </w:tcPr>
          <w:p w14:paraId="0CA348D4" w14:textId="77777777" w:rsidR="00F03CD4" w:rsidRPr="0040534B" w:rsidRDefault="00F03CD4" w:rsidP="00AE0C79">
            <w:pPr>
              <w:pStyle w:val="TableText0"/>
              <w:jc w:val="center"/>
            </w:pPr>
            <w:r w:rsidRPr="0040534B">
              <w:t>1.2 (0.4 – 3.9)</w:t>
            </w:r>
          </w:p>
        </w:tc>
        <w:tc>
          <w:tcPr>
            <w:tcW w:w="877" w:type="pct"/>
            <w:tcMar>
              <w:left w:w="40" w:type="dxa"/>
              <w:right w:w="40" w:type="dxa"/>
            </w:tcMar>
          </w:tcPr>
          <w:p w14:paraId="6F2DA9EE" w14:textId="77777777" w:rsidR="00F03CD4" w:rsidRPr="0040534B" w:rsidRDefault="00F03CD4" w:rsidP="00AE0C79">
            <w:pPr>
              <w:pStyle w:val="TableText0"/>
              <w:jc w:val="center"/>
            </w:pPr>
            <w:r w:rsidRPr="0040534B">
              <w:t>0.01 (-0.03, 0.04)</w:t>
            </w:r>
          </w:p>
        </w:tc>
      </w:tr>
      <w:tr w:rsidR="00F03CD4" w:rsidRPr="0040534B" w14:paraId="67FA8566" w14:textId="77777777" w:rsidTr="006F04A7">
        <w:trPr>
          <w:trHeight w:val="227"/>
        </w:trPr>
        <w:tc>
          <w:tcPr>
            <w:tcW w:w="746" w:type="pct"/>
            <w:tcMar>
              <w:left w:w="40" w:type="dxa"/>
              <w:right w:w="40" w:type="dxa"/>
            </w:tcMar>
            <w:vAlign w:val="center"/>
          </w:tcPr>
          <w:p w14:paraId="4ACEB407" w14:textId="77777777" w:rsidR="00F03CD4" w:rsidRPr="0040534B" w:rsidRDefault="00F03CD4" w:rsidP="00AE0C79">
            <w:pPr>
              <w:pStyle w:val="TableText0"/>
            </w:pPr>
            <w:r w:rsidRPr="0040534B">
              <w:t>3101-302-002</w:t>
            </w:r>
          </w:p>
        </w:tc>
        <w:tc>
          <w:tcPr>
            <w:tcW w:w="1061" w:type="pct"/>
            <w:tcMar>
              <w:left w:w="40" w:type="dxa"/>
              <w:right w:w="40" w:type="dxa"/>
            </w:tcMar>
          </w:tcPr>
          <w:p w14:paraId="76DD479B" w14:textId="198A2670" w:rsidR="00F03CD4" w:rsidRPr="0040534B" w:rsidRDefault="00F03CD4" w:rsidP="00AE0C79">
            <w:pPr>
              <w:pStyle w:val="TableText0"/>
            </w:pPr>
            <w:r w:rsidRPr="0040534B">
              <w:t>ATOG 60</w:t>
            </w:r>
            <w:r w:rsidR="006F04A7" w:rsidRPr="0040534B">
              <w:t xml:space="preserve"> </w:t>
            </w:r>
            <w:r w:rsidRPr="0040534B">
              <w:t>mg vs. SoC</w:t>
            </w:r>
            <w:r w:rsidRPr="0040534B">
              <w:rPr>
                <w:vertAlign w:val="superscript"/>
              </w:rPr>
              <w:t>a</w:t>
            </w:r>
          </w:p>
        </w:tc>
        <w:tc>
          <w:tcPr>
            <w:tcW w:w="786" w:type="pct"/>
            <w:tcMar>
              <w:left w:w="40" w:type="dxa"/>
              <w:right w:w="40" w:type="dxa"/>
            </w:tcMar>
          </w:tcPr>
          <w:p w14:paraId="22110810" w14:textId="77777777" w:rsidR="00F03CD4" w:rsidRPr="0040534B" w:rsidRDefault="00F03CD4" w:rsidP="00AE0C79">
            <w:pPr>
              <w:pStyle w:val="TableText0"/>
              <w:jc w:val="center"/>
            </w:pPr>
            <w:r w:rsidRPr="0040534B">
              <w:t>31/543 (5.7)</w:t>
            </w:r>
          </w:p>
        </w:tc>
        <w:tc>
          <w:tcPr>
            <w:tcW w:w="786" w:type="pct"/>
            <w:tcMar>
              <w:left w:w="40" w:type="dxa"/>
              <w:right w:w="40" w:type="dxa"/>
            </w:tcMar>
          </w:tcPr>
          <w:p w14:paraId="026EFFF2" w14:textId="77777777" w:rsidR="00F03CD4" w:rsidRPr="0040534B" w:rsidRDefault="00F03CD4" w:rsidP="00AE0C79">
            <w:pPr>
              <w:pStyle w:val="TableText0"/>
              <w:jc w:val="center"/>
            </w:pPr>
            <w:r w:rsidRPr="0040534B">
              <w:t>5/196 (2.6)</w:t>
            </w:r>
          </w:p>
        </w:tc>
        <w:tc>
          <w:tcPr>
            <w:tcW w:w="745" w:type="pct"/>
            <w:shd w:val="clear" w:color="auto" w:fill="auto"/>
            <w:tcMar>
              <w:left w:w="40" w:type="dxa"/>
              <w:right w:w="40" w:type="dxa"/>
            </w:tcMar>
          </w:tcPr>
          <w:p w14:paraId="775D87E1" w14:textId="77777777" w:rsidR="00F03CD4" w:rsidRPr="0040534B" w:rsidRDefault="00F03CD4" w:rsidP="00AE0C79">
            <w:pPr>
              <w:pStyle w:val="TableText0"/>
              <w:jc w:val="center"/>
            </w:pPr>
            <w:r w:rsidRPr="0040534B">
              <w:t>2.2 (0.9 – 5.7)</w:t>
            </w:r>
          </w:p>
        </w:tc>
        <w:tc>
          <w:tcPr>
            <w:tcW w:w="877" w:type="pct"/>
            <w:shd w:val="clear" w:color="auto" w:fill="auto"/>
            <w:tcMar>
              <w:left w:w="40" w:type="dxa"/>
              <w:right w:w="40" w:type="dxa"/>
            </w:tcMar>
          </w:tcPr>
          <w:p w14:paraId="5A32BFF2" w14:textId="77777777" w:rsidR="00F03CD4" w:rsidRPr="0040534B" w:rsidRDefault="00F03CD4" w:rsidP="00AE0C79">
            <w:pPr>
              <w:pStyle w:val="TableText0"/>
              <w:jc w:val="center"/>
            </w:pPr>
            <w:r w:rsidRPr="0040534B">
              <w:t>0.03 (0.00, 0.06)</w:t>
            </w:r>
          </w:p>
        </w:tc>
      </w:tr>
      <w:tr w:rsidR="00F03CD4" w:rsidRPr="0040534B" w14:paraId="2D228D9E" w14:textId="77777777" w:rsidTr="006F04A7">
        <w:tc>
          <w:tcPr>
            <w:tcW w:w="746" w:type="pct"/>
            <w:tcMar>
              <w:left w:w="40" w:type="dxa"/>
              <w:right w:w="40" w:type="dxa"/>
            </w:tcMar>
            <w:vAlign w:val="center"/>
          </w:tcPr>
          <w:p w14:paraId="10DC75C5" w14:textId="77777777" w:rsidR="00F03CD4" w:rsidRPr="0040534B" w:rsidRDefault="00F03CD4" w:rsidP="00AE0C79">
            <w:pPr>
              <w:pStyle w:val="TableText0"/>
            </w:pPr>
            <w:r w:rsidRPr="0040534B">
              <w:t>EVOLVE-1</w:t>
            </w:r>
          </w:p>
        </w:tc>
        <w:tc>
          <w:tcPr>
            <w:tcW w:w="1061" w:type="pct"/>
            <w:tcMar>
              <w:left w:w="40" w:type="dxa"/>
              <w:right w:w="40" w:type="dxa"/>
            </w:tcMar>
            <w:vAlign w:val="center"/>
          </w:tcPr>
          <w:p w14:paraId="749EC6A1" w14:textId="63F14418"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0A36F3F2" w14:textId="77777777" w:rsidR="00F03CD4" w:rsidRPr="0040534B" w:rsidRDefault="00F03CD4" w:rsidP="00AE0C79">
            <w:pPr>
              <w:pStyle w:val="TableText0"/>
              <w:jc w:val="center"/>
            </w:pPr>
            <w:r w:rsidRPr="0040534B">
              <w:t>2/206 (&lt;1)</w:t>
            </w:r>
          </w:p>
        </w:tc>
        <w:tc>
          <w:tcPr>
            <w:tcW w:w="786" w:type="pct"/>
            <w:tcMar>
              <w:left w:w="40" w:type="dxa"/>
              <w:right w:w="40" w:type="dxa"/>
            </w:tcMar>
          </w:tcPr>
          <w:p w14:paraId="79393C4A" w14:textId="77777777" w:rsidR="00F03CD4" w:rsidRPr="0040534B" w:rsidRDefault="00F03CD4" w:rsidP="00AE0C79">
            <w:pPr>
              <w:pStyle w:val="TableText0"/>
              <w:jc w:val="center"/>
            </w:pPr>
            <w:r w:rsidRPr="0040534B">
              <w:t>0/432 (0)</w:t>
            </w:r>
          </w:p>
        </w:tc>
        <w:tc>
          <w:tcPr>
            <w:tcW w:w="745" w:type="pct"/>
            <w:shd w:val="clear" w:color="auto" w:fill="auto"/>
            <w:tcMar>
              <w:left w:w="40" w:type="dxa"/>
              <w:right w:w="40" w:type="dxa"/>
            </w:tcMar>
          </w:tcPr>
          <w:p w14:paraId="23CAD7A0" w14:textId="77777777" w:rsidR="00F03CD4" w:rsidRPr="0040534B" w:rsidRDefault="00F03CD4" w:rsidP="00AE0C79">
            <w:pPr>
              <w:pStyle w:val="TableText0"/>
              <w:jc w:val="center"/>
            </w:pPr>
            <w:r w:rsidRPr="0040534B">
              <w:t>4.2 (0.4 – 46)</w:t>
            </w:r>
          </w:p>
        </w:tc>
        <w:tc>
          <w:tcPr>
            <w:tcW w:w="877" w:type="pct"/>
            <w:shd w:val="clear" w:color="auto" w:fill="auto"/>
            <w:tcMar>
              <w:left w:w="40" w:type="dxa"/>
              <w:right w:w="40" w:type="dxa"/>
            </w:tcMar>
          </w:tcPr>
          <w:p w14:paraId="37BEC89A" w14:textId="77777777" w:rsidR="00F03CD4" w:rsidRPr="0040534B" w:rsidRDefault="00F03CD4" w:rsidP="00AE0C79">
            <w:pPr>
              <w:pStyle w:val="TableText0"/>
              <w:jc w:val="center"/>
            </w:pPr>
            <w:r w:rsidRPr="0040534B">
              <w:t>NA</w:t>
            </w:r>
          </w:p>
        </w:tc>
      </w:tr>
      <w:tr w:rsidR="00F03CD4" w:rsidRPr="0040534B" w14:paraId="59D2DD46" w14:textId="77777777" w:rsidTr="006F04A7">
        <w:tc>
          <w:tcPr>
            <w:tcW w:w="746" w:type="pct"/>
            <w:tcMar>
              <w:left w:w="40" w:type="dxa"/>
              <w:right w:w="40" w:type="dxa"/>
            </w:tcMar>
            <w:vAlign w:val="center"/>
          </w:tcPr>
          <w:p w14:paraId="219FBFCA" w14:textId="77777777" w:rsidR="00F03CD4" w:rsidRPr="0040534B" w:rsidRDefault="00F03CD4" w:rsidP="00AE0C79">
            <w:pPr>
              <w:pStyle w:val="TableText0"/>
            </w:pPr>
            <w:r w:rsidRPr="0040534B">
              <w:t>EVOLVE-2</w:t>
            </w:r>
          </w:p>
        </w:tc>
        <w:tc>
          <w:tcPr>
            <w:tcW w:w="1061" w:type="pct"/>
            <w:tcMar>
              <w:left w:w="40" w:type="dxa"/>
              <w:right w:w="40" w:type="dxa"/>
            </w:tcMar>
            <w:vAlign w:val="center"/>
          </w:tcPr>
          <w:p w14:paraId="088D769D" w14:textId="39CE2968"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360C0A6D" w14:textId="77777777" w:rsidR="00F03CD4" w:rsidRPr="0040534B" w:rsidRDefault="00F03CD4" w:rsidP="00AE0C79">
            <w:pPr>
              <w:pStyle w:val="TableText0"/>
              <w:jc w:val="center"/>
            </w:pPr>
            <w:r w:rsidRPr="0040534B">
              <w:t>5/226 (2.2)</w:t>
            </w:r>
          </w:p>
        </w:tc>
        <w:tc>
          <w:tcPr>
            <w:tcW w:w="786" w:type="pct"/>
            <w:tcMar>
              <w:left w:w="40" w:type="dxa"/>
              <w:right w:w="40" w:type="dxa"/>
            </w:tcMar>
          </w:tcPr>
          <w:p w14:paraId="06F8C394" w14:textId="77777777" w:rsidR="00F03CD4" w:rsidRPr="0040534B" w:rsidRDefault="00F03CD4" w:rsidP="00AE0C79">
            <w:pPr>
              <w:pStyle w:val="TableText0"/>
              <w:jc w:val="center"/>
            </w:pPr>
            <w:r w:rsidRPr="0040534B">
              <w:t>8/461 (1.7)</w:t>
            </w:r>
          </w:p>
        </w:tc>
        <w:tc>
          <w:tcPr>
            <w:tcW w:w="745" w:type="pct"/>
            <w:shd w:val="clear" w:color="auto" w:fill="auto"/>
            <w:tcMar>
              <w:left w:w="40" w:type="dxa"/>
              <w:right w:w="40" w:type="dxa"/>
            </w:tcMar>
          </w:tcPr>
          <w:p w14:paraId="1073BF4A" w14:textId="77777777" w:rsidR="00F03CD4" w:rsidRPr="0040534B" w:rsidRDefault="00F03CD4" w:rsidP="00AE0C79">
            <w:pPr>
              <w:pStyle w:val="TableText0"/>
              <w:jc w:val="center"/>
            </w:pPr>
            <w:r w:rsidRPr="0040534B">
              <w:t>1.3 (0.4 – 3.9)</w:t>
            </w:r>
          </w:p>
        </w:tc>
        <w:tc>
          <w:tcPr>
            <w:tcW w:w="877" w:type="pct"/>
            <w:shd w:val="clear" w:color="auto" w:fill="auto"/>
            <w:tcMar>
              <w:left w:w="40" w:type="dxa"/>
              <w:right w:w="40" w:type="dxa"/>
            </w:tcMar>
          </w:tcPr>
          <w:p w14:paraId="437E280A" w14:textId="77777777" w:rsidR="00F03CD4" w:rsidRPr="0040534B" w:rsidRDefault="00F03CD4" w:rsidP="00AE0C79">
            <w:pPr>
              <w:pStyle w:val="TableText0"/>
              <w:jc w:val="center"/>
            </w:pPr>
            <w:r w:rsidRPr="0040534B">
              <w:t>0.00 (-0.02, 0.03)</w:t>
            </w:r>
          </w:p>
        </w:tc>
      </w:tr>
      <w:tr w:rsidR="00F03CD4" w:rsidRPr="0040534B" w14:paraId="7DE32FA2" w14:textId="77777777" w:rsidTr="006F04A7">
        <w:tc>
          <w:tcPr>
            <w:tcW w:w="746" w:type="pct"/>
            <w:tcMar>
              <w:left w:w="40" w:type="dxa"/>
              <w:right w:w="40" w:type="dxa"/>
            </w:tcMar>
            <w:vAlign w:val="center"/>
          </w:tcPr>
          <w:p w14:paraId="097FB7E0" w14:textId="77777777" w:rsidR="00F03CD4" w:rsidRPr="0040534B" w:rsidRDefault="00F03CD4" w:rsidP="00AE0C79">
            <w:pPr>
              <w:pStyle w:val="TableText0"/>
            </w:pPr>
            <w:r w:rsidRPr="0040534B">
              <w:t>PERSIST</w:t>
            </w:r>
          </w:p>
        </w:tc>
        <w:tc>
          <w:tcPr>
            <w:tcW w:w="1061" w:type="pct"/>
            <w:tcMar>
              <w:left w:w="40" w:type="dxa"/>
              <w:right w:w="40" w:type="dxa"/>
            </w:tcMar>
            <w:vAlign w:val="center"/>
          </w:tcPr>
          <w:p w14:paraId="03BDC001" w14:textId="351748B5"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217B9F9C" w14:textId="77777777" w:rsidR="00F03CD4" w:rsidRPr="0040534B" w:rsidRDefault="00F03CD4" w:rsidP="00AE0C79">
            <w:pPr>
              <w:pStyle w:val="TableText0"/>
              <w:jc w:val="center"/>
            </w:pPr>
            <w:r w:rsidRPr="0040534B">
              <w:t>NR</w:t>
            </w:r>
          </w:p>
        </w:tc>
        <w:tc>
          <w:tcPr>
            <w:tcW w:w="786" w:type="pct"/>
            <w:tcMar>
              <w:left w:w="40" w:type="dxa"/>
              <w:right w:w="40" w:type="dxa"/>
            </w:tcMar>
          </w:tcPr>
          <w:p w14:paraId="1EA6F4D2" w14:textId="77777777" w:rsidR="00F03CD4" w:rsidRPr="0040534B" w:rsidRDefault="00F03CD4" w:rsidP="00AE0C79">
            <w:pPr>
              <w:pStyle w:val="TableText0"/>
              <w:jc w:val="center"/>
            </w:pPr>
            <w:r w:rsidRPr="0040534B">
              <w:t>NR</w:t>
            </w:r>
          </w:p>
        </w:tc>
        <w:tc>
          <w:tcPr>
            <w:tcW w:w="745" w:type="pct"/>
            <w:shd w:val="clear" w:color="auto" w:fill="auto"/>
            <w:tcMar>
              <w:left w:w="40" w:type="dxa"/>
              <w:right w:w="40" w:type="dxa"/>
            </w:tcMar>
          </w:tcPr>
          <w:p w14:paraId="060AEB44" w14:textId="77777777" w:rsidR="00F03CD4" w:rsidRPr="0040534B" w:rsidRDefault="00F03CD4" w:rsidP="00AE0C79">
            <w:pPr>
              <w:pStyle w:val="TableText0"/>
              <w:jc w:val="center"/>
            </w:pPr>
            <w:r w:rsidRPr="0040534B">
              <w:t>NA</w:t>
            </w:r>
          </w:p>
        </w:tc>
        <w:tc>
          <w:tcPr>
            <w:tcW w:w="877" w:type="pct"/>
            <w:shd w:val="clear" w:color="auto" w:fill="auto"/>
            <w:tcMar>
              <w:left w:w="40" w:type="dxa"/>
              <w:right w:w="40" w:type="dxa"/>
            </w:tcMar>
          </w:tcPr>
          <w:p w14:paraId="6BF05469" w14:textId="77777777" w:rsidR="00F03CD4" w:rsidRPr="0040534B" w:rsidRDefault="00F03CD4" w:rsidP="00AE0C79">
            <w:pPr>
              <w:pStyle w:val="TableText0"/>
              <w:jc w:val="center"/>
            </w:pPr>
            <w:r w:rsidRPr="0040534B">
              <w:t>NA</w:t>
            </w:r>
          </w:p>
        </w:tc>
      </w:tr>
      <w:tr w:rsidR="00F03CD4" w:rsidRPr="0040534B" w14:paraId="21AE8CC3" w14:textId="77777777" w:rsidTr="006F04A7">
        <w:tc>
          <w:tcPr>
            <w:tcW w:w="746" w:type="pct"/>
            <w:tcMar>
              <w:left w:w="40" w:type="dxa"/>
              <w:right w:w="40" w:type="dxa"/>
            </w:tcMar>
            <w:vAlign w:val="center"/>
          </w:tcPr>
          <w:p w14:paraId="0FA764D9" w14:textId="77777777" w:rsidR="00F03CD4" w:rsidRPr="0040534B" w:rsidRDefault="00F03CD4" w:rsidP="00AE0C79">
            <w:pPr>
              <w:pStyle w:val="TableText0"/>
            </w:pPr>
            <w:r w:rsidRPr="0040534B">
              <w:t>NCT02959177</w:t>
            </w:r>
          </w:p>
        </w:tc>
        <w:tc>
          <w:tcPr>
            <w:tcW w:w="1061" w:type="pct"/>
            <w:tcMar>
              <w:left w:w="40" w:type="dxa"/>
              <w:right w:w="40" w:type="dxa"/>
            </w:tcMar>
            <w:vAlign w:val="center"/>
          </w:tcPr>
          <w:p w14:paraId="23D48A36" w14:textId="594D1DFF" w:rsidR="00F03CD4" w:rsidRPr="0040534B" w:rsidRDefault="00F03CD4" w:rsidP="00AE0C79">
            <w:pPr>
              <w:pStyle w:val="TableText0"/>
            </w:pPr>
            <w:r w:rsidRPr="0040534B">
              <w:t>GAL 120</w:t>
            </w:r>
            <w:r w:rsidR="006F04A7" w:rsidRPr="0040534B">
              <w:t xml:space="preserve"> </w:t>
            </w:r>
            <w:r w:rsidRPr="0040534B">
              <w:t>mg vs. PBO</w:t>
            </w:r>
          </w:p>
        </w:tc>
        <w:tc>
          <w:tcPr>
            <w:tcW w:w="786" w:type="pct"/>
            <w:tcMar>
              <w:left w:w="40" w:type="dxa"/>
              <w:right w:w="40" w:type="dxa"/>
            </w:tcMar>
          </w:tcPr>
          <w:p w14:paraId="2BC707FE" w14:textId="77777777" w:rsidR="00F03CD4" w:rsidRPr="0040534B" w:rsidRDefault="00F03CD4" w:rsidP="00AE0C79">
            <w:pPr>
              <w:pStyle w:val="TableText0"/>
              <w:jc w:val="center"/>
            </w:pPr>
            <w:r w:rsidRPr="0040534B">
              <w:t>5/115 (4.4)</w:t>
            </w:r>
          </w:p>
        </w:tc>
        <w:tc>
          <w:tcPr>
            <w:tcW w:w="786" w:type="pct"/>
            <w:tcMar>
              <w:left w:w="40" w:type="dxa"/>
              <w:right w:w="40" w:type="dxa"/>
            </w:tcMar>
          </w:tcPr>
          <w:p w14:paraId="0D8A74F7" w14:textId="77777777" w:rsidR="00F03CD4" w:rsidRPr="0040534B" w:rsidRDefault="00F03CD4" w:rsidP="00AE0C79">
            <w:pPr>
              <w:pStyle w:val="TableText0"/>
              <w:jc w:val="center"/>
            </w:pPr>
            <w:r w:rsidRPr="0040534B">
              <w:t>0</w:t>
            </w:r>
            <w:r w:rsidRPr="0040534B">
              <w:rPr>
                <w:vertAlign w:val="superscript"/>
              </w:rPr>
              <w:t>d</w:t>
            </w:r>
            <w:r w:rsidRPr="0040534B">
              <w:t>/230 (0.0)</w:t>
            </w:r>
          </w:p>
        </w:tc>
        <w:tc>
          <w:tcPr>
            <w:tcW w:w="745" w:type="pct"/>
            <w:shd w:val="clear" w:color="auto" w:fill="auto"/>
            <w:tcMar>
              <w:left w:w="40" w:type="dxa"/>
              <w:right w:w="40" w:type="dxa"/>
            </w:tcMar>
          </w:tcPr>
          <w:p w14:paraId="13B5EB78" w14:textId="2BA494FA" w:rsidR="00F03CD4" w:rsidRPr="0040534B" w:rsidRDefault="00F03CD4" w:rsidP="00AE0C79">
            <w:pPr>
              <w:pStyle w:val="TableText0"/>
              <w:jc w:val="center"/>
            </w:pPr>
            <w:r w:rsidRPr="0040534B">
              <w:t xml:space="preserve">10.0 (1.2 </w:t>
            </w:r>
            <w:r w:rsidR="00A7549D" w:rsidRPr="0040534B">
              <w:t>–</w:t>
            </w:r>
            <w:r w:rsidRPr="0040534B">
              <w:t xml:space="preserve"> 85)</w:t>
            </w:r>
          </w:p>
        </w:tc>
        <w:tc>
          <w:tcPr>
            <w:tcW w:w="877" w:type="pct"/>
            <w:shd w:val="clear" w:color="auto" w:fill="auto"/>
            <w:tcMar>
              <w:left w:w="40" w:type="dxa"/>
              <w:right w:w="40" w:type="dxa"/>
            </w:tcMar>
          </w:tcPr>
          <w:p w14:paraId="451715DD" w14:textId="77777777" w:rsidR="00F03CD4" w:rsidRPr="0040534B" w:rsidRDefault="00F03CD4" w:rsidP="00AE0C79">
            <w:pPr>
              <w:pStyle w:val="TableText0"/>
              <w:jc w:val="center"/>
            </w:pPr>
            <w:r w:rsidRPr="0040534B">
              <w:t>0.04 (0.00, 0.08)</w:t>
            </w:r>
          </w:p>
        </w:tc>
      </w:tr>
      <w:tr w:rsidR="00F03CD4" w:rsidRPr="0040534B" w14:paraId="3EFBE2D0" w14:textId="77777777" w:rsidTr="006F04A7">
        <w:tc>
          <w:tcPr>
            <w:tcW w:w="746" w:type="pct"/>
            <w:vMerge w:val="restart"/>
            <w:tcMar>
              <w:left w:w="40" w:type="dxa"/>
              <w:right w:w="40" w:type="dxa"/>
            </w:tcMar>
            <w:vAlign w:val="center"/>
          </w:tcPr>
          <w:p w14:paraId="405AE7A3" w14:textId="77777777" w:rsidR="00F03CD4" w:rsidRPr="0040534B" w:rsidRDefault="00F03CD4" w:rsidP="00AE0C79">
            <w:pPr>
              <w:pStyle w:val="TableText0"/>
            </w:pPr>
            <w:r w:rsidRPr="0040534B">
              <w:t>HALO-EM</w:t>
            </w:r>
          </w:p>
        </w:tc>
        <w:tc>
          <w:tcPr>
            <w:tcW w:w="1061" w:type="pct"/>
            <w:tcMar>
              <w:left w:w="40" w:type="dxa"/>
              <w:right w:w="40" w:type="dxa"/>
            </w:tcMar>
            <w:vAlign w:val="center"/>
          </w:tcPr>
          <w:p w14:paraId="7A752709" w14:textId="08E699EA" w:rsidR="00F03CD4" w:rsidRPr="0040534B" w:rsidRDefault="00F03CD4" w:rsidP="00AE0C79">
            <w:pPr>
              <w:pStyle w:val="TableText0"/>
            </w:pPr>
            <w:r w:rsidRPr="0040534B">
              <w:t>FREM 675</w:t>
            </w:r>
            <w:r w:rsidR="006F04A7" w:rsidRPr="0040534B">
              <w:t xml:space="preserve"> </w:t>
            </w:r>
            <w:r w:rsidRPr="0040534B">
              <w:t>mg vs. PBO</w:t>
            </w:r>
          </w:p>
        </w:tc>
        <w:tc>
          <w:tcPr>
            <w:tcW w:w="786" w:type="pct"/>
            <w:tcMar>
              <w:left w:w="40" w:type="dxa"/>
              <w:right w:w="40" w:type="dxa"/>
            </w:tcMar>
          </w:tcPr>
          <w:p w14:paraId="7B6787C4" w14:textId="77777777" w:rsidR="00F03CD4" w:rsidRPr="0040534B" w:rsidRDefault="00F03CD4" w:rsidP="00AE0C79">
            <w:pPr>
              <w:pStyle w:val="TableText0"/>
              <w:jc w:val="center"/>
            </w:pPr>
            <w:r w:rsidRPr="0040534B">
              <w:t>5/291 (1.7)</w:t>
            </w:r>
          </w:p>
        </w:tc>
        <w:tc>
          <w:tcPr>
            <w:tcW w:w="786" w:type="pct"/>
            <w:tcMar>
              <w:left w:w="40" w:type="dxa"/>
              <w:right w:w="40" w:type="dxa"/>
            </w:tcMar>
          </w:tcPr>
          <w:p w14:paraId="4DD06203" w14:textId="77777777" w:rsidR="00F03CD4" w:rsidRPr="0040534B" w:rsidRDefault="00F03CD4" w:rsidP="00AE0C79">
            <w:pPr>
              <w:pStyle w:val="TableText0"/>
              <w:jc w:val="center"/>
            </w:pPr>
            <w:r w:rsidRPr="0040534B">
              <w:t>5/293 (1.7)</w:t>
            </w:r>
          </w:p>
        </w:tc>
        <w:tc>
          <w:tcPr>
            <w:tcW w:w="745" w:type="pct"/>
            <w:shd w:val="clear" w:color="auto" w:fill="auto"/>
            <w:tcMar>
              <w:left w:w="40" w:type="dxa"/>
              <w:right w:w="40" w:type="dxa"/>
            </w:tcMar>
          </w:tcPr>
          <w:p w14:paraId="4E4CF803" w14:textId="77777777" w:rsidR="00F03CD4" w:rsidRPr="0040534B" w:rsidRDefault="00F03CD4" w:rsidP="00AE0C79">
            <w:pPr>
              <w:pStyle w:val="TableText0"/>
              <w:jc w:val="center"/>
            </w:pPr>
            <w:r w:rsidRPr="0040534B">
              <w:t>1.0 (0.3 – 3.4)</w:t>
            </w:r>
          </w:p>
        </w:tc>
        <w:tc>
          <w:tcPr>
            <w:tcW w:w="877" w:type="pct"/>
            <w:shd w:val="clear" w:color="auto" w:fill="auto"/>
            <w:tcMar>
              <w:left w:w="40" w:type="dxa"/>
              <w:right w:w="40" w:type="dxa"/>
            </w:tcMar>
          </w:tcPr>
          <w:p w14:paraId="79D36CA5" w14:textId="77777777" w:rsidR="00F03CD4" w:rsidRPr="0040534B" w:rsidRDefault="00F03CD4" w:rsidP="00AE0C79">
            <w:pPr>
              <w:pStyle w:val="TableText0"/>
              <w:jc w:val="center"/>
            </w:pPr>
            <w:r w:rsidRPr="0040534B">
              <w:t>0.00 (-0.02, 0.02)</w:t>
            </w:r>
          </w:p>
        </w:tc>
      </w:tr>
      <w:tr w:rsidR="00F03CD4" w:rsidRPr="0040534B" w14:paraId="1A594370" w14:textId="77777777" w:rsidTr="006F04A7">
        <w:tc>
          <w:tcPr>
            <w:tcW w:w="746" w:type="pct"/>
            <w:vMerge/>
            <w:tcMar>
              <w:left w:w="40" w:type="dxa"/>
              <w:right w:w="40" w:type="dxa"/>
            </w:tcMar>
            <w:vAlign w:val="center"/>
          </w:tcPr>
          <w:p w14:paraId="60391C8D" w14:textId="77777777" w:rsidR="00F03CD4" w:rsidRPr="0040534B" w:rsidRDefault="00F03CD4" w:rsidP="00AE0C79">
            <w:pPr>
              <w:pStyle w:val="TableText0"/>
            </w:pPr>
          </w:p>
        </w:tc>
        <w:tc>
          <w:tcPr>
            <w:tcW w:w="1061" w:type="pct"/>
            <w:tcMar>
              <w:left w:w="40" w:type="dxa"/>
              <w:right w:w="40" w:type="dxa"/>
            </w:tcMar>
            <w:vAlign w:val="center"/>
          </w:tcPr>
          <w:p w14:paraId="0A094902" w14:textId="11AB61F4" w:rsidR="00F03CD4" w:rsidRPr="0040534B" w:rsidRDefault="00F03CD4" w:rsidP="00AE0C79">
            <w:pPr>
              <w:pStyle w:val="TableText0"/>
            </w:pPr>
            <w:r w:rsidRPr="0040534B">
              <w:t>FREM 225</w:t>
            </w:r>
            <w:r w:rsidR="006F04A7" w:rsidRPr="0040534B">
              <w:t xml:space="preserve"> </w:t>
            </w:r>
            <w:r w:rsidRPr="0040534B">
              <w:t>mg vs. PBO</w:t>
            </w:r>
          </w:p>
        </w:tc>
        <w:tc>
          <w:tcPr>
            <w:tcW w:w="786" w:type="pct"/>
            <w:tcMar>
              <w:left w:w="40" w:type="dxa"/>
              <w:right w:w="40" w:type="dxa"/>
            </w:tcMar>
          </w:tcPr>
          <w:p w14:paraId="214287E7" w14:textId="77777777" w:rsidR="00F03CD4" w:rsidRPr="0040534B" w:rsidRDefault="00F03CD4" w:rsidP="00AE0C79">
            <w:pPr>
              <w:pStyle w:val="TableText0"/>
              <w:jc w:val="center"/>
            </w:pPr>
            <w:r w:rsidRPr="0040534B">
              <w:t>5/290 (1.7)</w:t>
            </w:r>
          </w:p>
        </w:tc>
        <w:tc>
          <w:tcPr>
            <w:tcW w:w="786" w:type="pct"/>
            <w:tcMar>
              <w:left w:w="40" w:type="dxa"/>
              <w:right w:w="40" w:type="dxa"/>
            </w:tcMar>
          </w:tcPr>
          <w:p w14:paraId="106468E9" w14:textId="77777777" w:rsidR="00F03CD4" w:rsidRPr="0040534B" w:rsidRDefault="00F03CD4" w:rsidP="00AE0C79">
            <w:pPr>
              <w:pStyle w:val="TableText0"/>
              <w:jc w:val="center"/>
            </w:pPr>
            <w:r w:rsidRPr="0040534B">
              <w:t>5/293 (1.7)</w:t>
            </w:r>
          </w:p>
        </w:tc>
        <w:tc>
          <w:tcPr>
            <w:tcW w:w="745" w:type="pct"/>
            <w:shd w:val="clear" w:color="auto" w:fill="auto"/>
            <w:tcMar>
              <w:left w:w="40" w:type="dxa"/>
              <w:right w:w="40" w:type="dxa"/>
            </w:tcMar>
          </w:tcPr>
          <w:p w14:paraId="77196AC3" w14:textId="77777777" w:rsidR="00F03CD4" w:rsidRPr="0040534B" w:rsidRDefault="00F03CD4" w:rsidP="00AE0C79">
            <w:pPr>
              <w:pStyle w:val="TableText0"/>
              <w:jc w:val="center"/>
            </w:pPr>
            <w:r w:rsidRPr="0040534B">
              <w:t>1.0 (0.3 – 3.5)</w:t>
            </w:r>
          </w:p>
        </w:tc>
        <w:tc>
          <w:tcPr>
            <w:tcW w:w="877" w:type="pct"/>
            <w:shd w:val="clear" w:color="auto" w:fill="auto"/>
            <w:tcMar>
              <w:left w:w="40" w:type="dxa"/>
              <w:right w:w="40" w:type="dxa"/>
            </w:tcMar>
          </w:tcPr>
          <w:p w14:paraId="2521BCEB" w14:textId="77777777" w:rsidR="00F03CD4" w:rsidRPr="0040534B" w:rsidRDefault="00F03CD4" w:rsidP="00AE0C79">
            <w:pPr>
              <w:pStyle w:val="TableText0"/>
              <w:jc w:val="center"/>
            </w:pPr>
            <w:r w:rsidRPr="0040534B">
              <w:t>0.00 (-0.02, 0.02)</w:t>
            </w:r>
          </w:p>
        </w:tc>
      </w:tr>
      <w:tr w:rsidR="00F03CD4" w:rsidRPr="0040534B" w14:paraId="0199022A" w14:textId="77777777" w:rsidTr="006F04A7">
        <w:tc>
          <w:tcPr>
            <w:tcW w:w="746" w:type="pct"/>
            <w:vMerge w:val="restart"/>
            <w:tcMar>
              <w:left w:w="40" w:type="dxa"/>
              <w:right w:w="40" w:type="dxa"/>
            </w:tcMar>
            <w:vAlign w:val="center"/>
          </w:tcPr>
          <w:p w14:paraId="6D7CDEC6" w14:textId="77777777" w:rsidR="00F03CD4" w:rsidRPr="0040534B" w:rsidRDefault="00F03CD4" w:rsidP="00AE0C79">
            <w:pPr>
              <w:pStyle w:val="TableText0"/>
            </w:pPr>
            <w:r w:rsidRPr="0040534B">
              <w:t>NCT03303092</w:t>
            </w:r>
          </w:p>
        </w:tc>
        <w:tc>
          <w:tcPr>
            <w:tcW w:w="1061" w:type="pct"/>
            <w:tcMar>
              <w:left w:w="40" w:type="dxa"/>
              <w:right w:w="40" w:type="dxa"/>
            </w:tcMar>
            <w:vAlign w:val="center"/>
          </w:tcPr>
          <w:p w14:paraId="6A7B4FE2" w14:textId="76D98D1A" w:rsidR="00F03CD4" w:rsidRPr="0040534B" w:rsidRDefault="00F03CD4" w:rsidP="00AE0C79">
            <w:pPr>
              <w:pStyle w:val="TableText0"/>
            </w:pPr>
            <w:r w:rsidRPr="0040534B">
              <w:t>FREM 675</w:t>
            </w:r>
            <w:r w:rsidR="006F04A7" w:rsidRPr="0040534B">
              <w:t xml:space="preserve"> </w:t>
            </w:r>
            <w:r w:rsidRPr="0040534B">
              <w:t>mg vs. PBO</w:t>
            </w:r>
          </w:p>
        </w:tc>
        <w:tc>
          <w:tcPr>
            <w:tcW w:w="786" w:type="pct"/>
            <w:tcMar>
              <w:left w:w="40" w:type="dxa"/>
              <w:right w:w="40" w:type="dxa"/>
            </w:tcMar>
          </w:tcPr>
          <w:p w14:paraId="17B477FB" w14:textId="77777777" w:rsidR="00F03CD4" w:rsidRPr="0040534B" w:rsidRDefault="00F03CD4" w:rsidP="00AE0C79">
            <w:pPr>
              <w:pStyle w:val="TableText0"/>
              <w:jc w:val="center"/>
            </w:pPr>
            <w:r w:rsidRPr="0040534B">
              <w:t>0</w:t>
            </w:r>
            <w:r w:rsidRPr="0040534B">
              <w:rPr>
                <w:vertAlign w:val="superscript"/>
              </w:rPr>
              <w:t>b</w:t>
            </w:r>
            <w:r w:rsidRPr="0040534B">
              <w:t>/118 (0.0)</w:t>
            </w:r>
          </w:p>
        </w:tc>
        <w:tc>
          <w:tcPr>
            <w:tcW w:w="786" w:type="pct"/>
            <w:tcMar>
              <w:left w:w="40" w:type="dxa"/>
              <w:right w:w="40" w:type="dxa"/>
            </w:tcMar>
          </w:tcPr>
          <w:p w14:paraId="016B9AB9" w14:textId="77777777" w:rsidR="00F03CD4" w:rsidRPr="0040534B" w:rsidRDefault="00F03CD4" w:rsidP="00AE0C79">
            <w:pPr>
              <w:pStyle w:val="TableText0"/>
              <w:jc w:val="center"/>
            </w:pPr>
            <w:r w:rsidRPr="0040534B">
              <w:t>1/117 (&lt;1)</w:t>
            </w:r>
          </w:p>
        </w:tc>
        <w:tc>
          <w:tcPr>
            <w:tcW w:w="745" w:type="pct"/>
            <w:shd w:val="clear" w:color="auto" w:fill="auto"/>
            <w:tcMar>
              <w:left w:w="40" w:type="dxa"/>
              <w:right w:w="40" w:type="dxa"/>
            </w:tcMar>
          </w:tcPr>
          <w:p w14:paraId="181B6A13" w14:textId="77777777" w:rsidR="00F03CD4" w:rsidRPr="0040534B" w:rsidRDefault="00F03CD4" w:rsidP="00AE0C79">
            <w:pPr>
              <w:pStyle w:val="TableText0"/>
              <w:jc w:val="center"/>
            </w:pPr>
            <w:r w:rsidRPr="0040534B">
              <w:t>1.0 (0.1 – 16)</w:t>
            </w:r>
          </w:p>
        </w:tc>
        <w:tc>
          <w:tcPr>
            <w:tcW w:w="877" w:type="pct"/>
            <w:shd w:val="clear" w:color="auto" w:fill="auto"/>
            <w:tcMar>
              <w:left w:w="40" w:type="dxa"/>
              <w:right w:w="40" w:type="dxa"/>
            </w:tcMar>
          </w:tcPr>
          <w:p w14:paraId="6EC11D96" w14:textId="77777777" w:rsidR="00F03CD4" w:rsidRPr="0040534B" w:rsidRDefault="00F03CD4" w:rsidP="00AE0C79">
            <w:pPr>
              <w:pStyle w:val="TableText0"/>
              <w:jc w:val="center"/>
            </w:pPr>
            <w:r w:rsidRPr="0040534B">
              <w:t>-0.01 (-0.03, 0.01)</w:t>
            </w:r>
          </w:p>
        </w:tc>
      </w:tr>
      <w:tr w:rsidR="00F03CD4" w:rsidRPr="0040534B" w14:paraId="68E651A9" w14:textId="77777777" w:rsidTr="006F04A7">
        <w:tc>
          <w:tcPr>
            <w:tcW w:w="746" w:type="pct"/>
            <w:vMerge/>
            <w:tcMar>
              <w:left w:w="40" w:type="dxa"/>
              <w:right w:w="40" w:type="dxa"/>
            </w:tcMar>
            <w:vAlign w:val="center"/>
          </w:tcPr>
          <w:p w14:paraId="65F4A819" w14:textId="77777777" w:rsidR="00F03CD4" w:rsidRPr="0040534B" w:rsidRDefault="00F03CD4" w:rsidP="00AE0C79">
            <w:pPr>
              <w:pStyle w:val="TableText0"/>
            </w:pPr>
          </w:p>
        </w:tc>
        <w:tc>
          <w:tcPr>
            <w:tcW w:w="1061" w:type="pct"/>
            <w:tcMar>
              <w:left w:w="40" w:type="dxa"/>
              <w:right w:w="40" w:type="dxa"/>
            </w:tcMar>
            <w:vAlign w:val="center"/>
          </w:tcPr>
          <w:p w14:paraId="75E1B2AD" w14:textId="130718E2" w:rsidR="00F03CD4" w:rsidRPr="0040534B" w:rsidRDefault="00F03CD4" w:rsidP="00AE0C79">
            <w:pPr>
              <w:pStyle w:val="TableText0"/>
            </w:pPr>
            <w:r w:rsidRPr="0040534B">
              <w:t>FREM 225</w:t>
            </w:r>
            <w:r w:rsidR="006F04A7" w:rsidRPr="0040534B">
              <w:t xml:space="preserve"> </w:t>
            </w:r>
            <w:r w:rsidRPr="0040534B">
              <w:t>mg vs. PBO</w:t>
            </w:r>
          </w:p>
        </w:tc>
        <w:tc>
          <w:tcPr>
            <w:tcW w:w="786" w:type="pct"/>
            <w:tcMar>
              <w:left w:w="40" w:type="dxa"/>
              <w:right w:w="40" w:type="dxa"/>
            </w:tcMar>
          </w:tcPr>
          <w:p w14:paraId="6E909C38" w14:textId="77777777" w:rsidR="00F03CD4" w:rsidRPr="0040534B" w:rsidRDefault="00F03CD4" w:rsidP="00AE0C79">
            <w:pPr>
              <w:pStyle w:val="TableText0"/>
              <w:jc w:val="center"/>
            </w:pPr>
            <w:r w:rsidRPr="0040534B">
              <w:t>1/121 (&lt;1)</w:t>
            </w:r>
          </w:p>
        </w:tc>
        <w:tc>
          <w:tcPr>
            <w:tcW w:w="786" w:type="pct"/>
            <w:tcMar>
              <w:left w:w="40" w:type="dxa"/>
              <w:right w:w="40" w:type="dxa"/>
            </w:tcMar>
          </w:tcPr>
          <w:p w14:paraId="3CC5F679" w14:textId="77777777" w:rsidR="00F03CD4" w:rsidRPr="0040534B" w:rsidRDefault="00F03CD4" w:rsidP="00AE0C79">
            <w:pPr>
              <w:pStyle w:val="TableText0"/>
              <w:jc w:val="center"/>
            </w:pPr>
            <w:r w:rsidRPr="0040534B">
              <w:t>1/117 (&lt;1)</w:t>
            </w:r>
          </w:p>
        </w:tc>
        <w:tc>
          <w:tcPr>
            <w:tcW w:w="745" w:type="pct"/>
            <w:tcMar>
              <w:left w:w="40" w:type="dxa"/>
              <w:right w:w="40" w:type="dxa"/>
            </w:tcMar>
          </w:tcPr>
          <w:p w14:paraId="118D499D" w14:textId="77777777" w:rsidR="00F03CD4" w:rsidRPr="0040534B" w:rsidRDefault="00F03CD4" w:rsidP="00AE0C79">
            <w:pPr>
              <w:pStyle w:val="TableText0"/>
              <w:jc w:val="center"/>
            </w:pPr>
            <w:r w:rsidRPr="0040534B">
              <w:t>1.0 (0.1 – 15)</w:t>
            </w:r>
          </w:p>
        </w:tc>
        <w:tc>
          <w:tcPr>
            <w:tcW w:w="877" w:type="pct"/>
            <w:tcMar>
              <w:left w:w="40" w:type="dxa"/>
              <w:right w:w="40" w:type="dxa"/>
            </w:tcMar>
          </w:tcPr>
          <w:p w14:paraId="744DD4B6" w14:textId="77777777" w:rsidR="00F03CD4" w:rsidRPr="0040534B" w:rsidRDefault="00F03CD4" w:rsidP="00AE0C79">
            <w:pPr>
              <w:pStyle w:val="TableText0"/>
              <w:jc w:val="center"/>
            </w:pPr>
            <w:r w:rsidRPr="0040534B">
              <w:t>-0.00 (-0.02, 0.02)</w:t>
            </w:r>
          </w:p>
        </w:tc>
      </w:tr>
    </w:tbl>
    <w:p w14:paraId="66D7B0DC" w14:textId="77777777" w:rsidR="00F03CD4" w:rsidRPr="0040534B" w:rsidRDefault="00F03CD4" w:rsidP="00F03CD4">
      <w:pPr>
        <w:pStyle w:val="FooterTableFigure"/>
        <w:rPr>
          <w:sz w:val="20"/>
        </w:rPr>
      </w:pPr>
      <w:r w:rsidRPr="0040534B">
        <w:t>Source: Table 2-32, pp106-107 of the submission.</w:t>
      </w:r>
    </w:p>
    <w:p w14:paraId="7BA8DA69" w14:textId="77777777" w:rsidR="00F03CD4" w:rsidRPr="0040534B" w:rsidRDefault="00F03CD4" w:rsidP="00F03CD4">
      <w:pPr>
        <w:pStyle w:val="FooterTableFigure"/>
        <w:rPr>
          <w:rFonts w:eastAsia="Calibri"/>
        </w:rPr>
      </w:pPr>
      <w:r w:rsidRPr="0040534B">
        <w:t xml:space="preserve">ATOG = Atogepant; CGRP = Calcitonin gene-related peptide; </w:t>
      </w:r>
      <w:r w:rsidRPr="0040534B">
        <w:rPr>
          <w:rFonts w:eastAsia="Calibri"/>
        </w:rPr>
        <w:t>CI = confidence interval;</w:t>
      </w:r>
      <w:r w:rsidRPr="0040534B">
        <w:t xml:space="preserve"> FREM = Fremanezumab; GAL = Galcanezumab; </w:t>
      </w:r>
      <w:r w:rsidRPr="0040534B">
        <w:rPr>
          <w:rFonts w:eastAsia="Calibri"/>
        </w:rPr>
        <w:t>n = number of participants experiencing event; N = total participants in group; NA = not applicable; NR = not reported; PBO = placebo; RD = risk difference; RR = relative risk; SoC = standard of care.</w:t>
      </w:r>
    </w:p>
    <w:p w14:paraId="17CFDCF7" w14:textId="77777777" w:rsidR="00F03CD4" w:rsidRPr="0040534B" w:rsidRDefault="00F03CD4" w:rsidP="00F03CD4">
      <w:pPr>
        <w:pStyle w:val="FooterTableFigure"/>
        <w:rPr>
          <w:rFonts w:eastAsia="Calibri"/>
        </w:rPr>
      </w:pPr>
      <w:r w:rsidRPr="0040534B">
        <w:rPr>
          <w:rFonts w:eastAsia="Calibri"/>
          <w:vertAlign w:val="superscript"/>
        </w:rPr>
        <w:t xml:space="preserve">a </w:t>
      </w:r>
      <w:r w:rsidRPr="0040534B">
        <w:rPr>
          <w:rFonts w:eastAsia="Calibri"/>
        </w:rPr>
        <w:t xml:space="preserve">SoC was any oral preventive migraine treatment that was not atogepant. </w:t>
      </w:r>
    </w:p>
    <w:p w14:paraId="1C5CBC16" w14:textId="77777777" w:rsidR="00F03CD4" w:rsidRPr="0040534B" w:rsidRDefault="00F03CD4" w:rsidP="00F03CD4">
      <w:pPr>
        <w:pStyle w:val="FooterTableFigure"/>
      </w:pPr>
      <w:r w:rsidRPr="0040534B">
        <w:rPr>
          <w:vertAlign w:val="superscript"/>
        </w:rPr>
        <w:t>b</w:t>
      </w:r>
      <w:r w:rsidRPr="0040534B">
        <w:t xml:space="preserve"> An incidence of 1 was used in the submission for the relative risk calculation.</w:t>
      </w:r>
    </w:p>
    <w:p w14:paraId="2CA84EFE" w14:textId="77777777" w:rsidR="00F03CD4" w:rsidRPr="0040534B" w:rsidRDefault="00F03CD4" w:rsidP="00F03CD4">
      <w:pPr>
        <w:pStyle w:val="4-SubsectionHeading"/>
      </w:pPr>
      <w:bookmarkStart w:id="70" w:name="_Toc135214018"/>
      <w:r w:rsidRPr="0040534B">
        <w:t>Benefits/harms</w:t>
      </w:r>
      <w:bookmarkEnd w:id="69"/>
      <w:bookmarkEnd w:id="70"/>
    </w:p>
    <w:p w14:paraId="4FEB2630" w14:textId="77777777" w:rsidR="00F03CD4" w:rsidRPr="0040534B" w:rsidRDefault="00F03CD4" w:rsidP="00F03CD4">
      <w:pPr>
        <w:pStyle w:val="3-BodyText"/>
        <w:rPr>
          <w:b/>
          <w:bCs/>
        </w:rPr>
      </w:pPr>
      <w:bookmarkStart w:id="71" w:name="_Hlk109405155"/>
      <w:r w:rsidRPr="0040534B">
        <w:rPr>
          <w:snapToGrid/>
        </w:rPr>
        <w:t>A benefits and harms table is not presented as the submission made a claim of non-inferiority</w:t>
      </w:r>
      <w:r w:rsidRPr="0040534B">
        <w:rPr>
          <w:b/>
          <w:bCs/>
          <w:snapToGrid/>
        </w:rPr>
        <w:t xml:space="preserve">. </w:t>
      </w:r>
    </w:p>
    <w:p w14:paraId="0B24D6F5" w14:textId="77777777" w:rsidR="00F03CD4" w:rsidRPr="0040534B" w:rsidRDefault="00F03CD4" w:rsidP="00F03CD4">
      <w:pPr>
        <w:pStyle w:val="4-SubsectionHeading"/>
      </w:pPr>
      <w:bookmarkStart w:id="72" w:name="_Toc22897644"/>
      <w:bookmarkStart w:id="73" w:name="_Toc135214019"/>
      <w:bookmarkEnd w:id="71"/>
      <w:r w:rsidRPr="0040534B">
        <w:lastRenderedPageBreak/>
        <w:t>Clinical claim</w:t>
      </w:r>
      <w:bookmarkEnd w:id="72"/>
      <w:bookmarkEnd w:id="73"/>
    </w:p>
    <w:p w14:paraId="1F572E7A" w14:textId="77777777" w:rsidR="00F03CD4" w:rsidRPr="0040534B" w:rsidRDefault="00F03CD4" w:rsidP="00F03CD4">
      <w:pPr>
        <w:pStyle w:val="5-SubsectionSubheading"/>
      </w:pPr>
      <w:bookmarkStart w:id="74" w:name="_Toc135214020"/>
      <w:r w:rsidRPr="0040534B">
        <w:t>Chronic migraine</w:t>
      </w:r>
      <w:bookmarkEnd w:id="74"/>
    </w:p>
    <w:p w14:paraId="4B87EFCA" w14:textId="11FD03F5" w:rsidR="003617E3" w:rsidRPr="0040534B" w:rsidRDefault="00F03CD4" w:rsidP="00F03CD4">
      <w:pPr>
        <w:pStyle w:val="3-BodyText"/>
        <w:rPr>
          <w:rFonts w:eastAsia="Calibri"/>
        </w:rPr>
      </w:pPr>
      <w:r w:rsidRPr="0040534B">
        <w:rPr>
          <w:rFonts w:eastAsia="Calibri"/>
        </w:rPr>
        <w:t xml:space="preserve">The submission described atogepant as non-inferior in terms of effectiveness </w:t>
      </w:r>
      <w:r w:rsidR="005D6E54" w:rsidRPr="0040534B">
        <w:rPr>
          <w:rFonts w:eastAsia="Calibri"/>
        </w:rPr>
        <w:t xml:space="preserve">and safety </w:t>
      </w:r>
      <w:r w:rsidRPr="0040534B">
        <w:rPr>
          <w:rFonts w:eastAsia="Calibri"/>
        </w:rPr>
        <w:t xml:space="preserve">compared with galcanezumab and fremanezumab in patients with chronic migraine who meet the PBS criteria. </w:t>
      </w:r>
    </w:p>
    <w:p w14:paraId="79C1B6B1" w14:textId="06030AA1" w:rsidR="003617E3" w:rsidRPr="0040534B" w:rsidRDefault="00F03CD4" w:rsidP="003617E3">
      <w:pPr>
        <w:pStyle w:val="3-BodyText"/>
        <w:rPr>
          <w:rFonts w:eastAsia="Calibri"/>
        </w:rPr>
      </w:pPr>
      <w:r w:rsidRPr="0040534B">
        <w:rPr>
          <w:rFonts w:eastAsia="Calibri"/>
        </w:rPr>
        <w:t xml:space="preserve">The </w:t>
      </w:r>
      <w:r w:rsidR="00AB38D4" w:rsidRPr="0040534B">
        <w:rPr>
          <w:rFonts w:eastAsia="Calibri"/>
        </w:rPr>
        <w:t xml:space="preserve">ESC considered that the </w:t>
      </w:r>
      <w:r w:rsidR="00B71C75" w:rsidRPr="0040534B">
        <w:rPr>
          <w:rFonts w:eastAsia="Calibri"/>
        </w:rPr>
        <w:t xml:space="preserve">claim of non-inferior </w:t>
      </w:r>
      <w:r w:rsidRPr="0040534B">
        <w:rPr>
          <w:rFonts w:eastAsia="Calibri"/>
        </w:rPr>
        <w:t>effectiveness</w:t>
      </w:r>
      <w:r w:rsidR="00B5388B" w:rsidRPr="0040534B">
        <w:rPr>
          <w:rFonts w:eastAsia="Calibri"/>
        </w:rPr>
        <w:t xml:space="preserve"> </w:t>
      </w:r>
      <w:r w:rsidRPr="0040534B">
        <w:rPr>
          <w:rFonts w:eastAsia="Calibri"/>
        </w:rPr>
        <w:t>was uncertain</w:t>
      </w:r>
      <w:r w:rsidR="003617E3" w:rsidRPr="0040534B">
        <w:rPr>
          <w:rFonts w:eastAsia="Calibri"/>
        </w:rPr>
        <w:t xml:space="preserve"> because:</w:t>
      </w:r>
      <w:r w:rsidRPr="0040534B">
        <w:rPr>
          <w:rFonts w:eastAsia="Calibri"/>
        </w:rPr>
        <w:t xml:space="preserve"> </w:t>
      </w:r>
    </w:p>
    <w:p w14:paraId="20B68D2F" w14:textId="08ECF5BA" w:rsidR="00AB38D4" w:rsidRPr="0040534B" w:rsidRDefault="00AB38D4" w:rsidP="006045A2">
      <w:pPr>
        <w:pStyle w:val="3-BodyText"/>
        <w:numPr>
          <w:ilvl w:val="0"/>
          <w:numId w:val="17"/>
        </w:numPr>
        <w:rPr>
          <w:rFonts w:eastAsia="Calibri"/>
        </w:rPr>
      </w:pPr>
      <w:r w:rsidRPr="0040534B">
        <w:t xml:space="preserve">the point estimates of the indirect comparisons favoured galcanezumab and fremanezumab, and the upper bound of the 95% confidence interval for the change in monthly migraine days was greater than the non-inferiority margin of two days in the comparison between atogepant and galcanezumab, suggesting that atogepant was potentially inferior to galcanezumab. The non-inferiority margin of 2 days was also exceeded for the comparisons between atogepant and fremanezumab when the FOCUS trial was included in the analyses; and </w:t>
      </w:r>
    </w:p>
    <w:p w14:paraId="5EB535B0" w14:textId="211A43C6" w:rsidR="00104D9F" w:rsidRPr="0040534B" w:rsidRDefault="003617E3" w:rsidP="006045A2">
      <w:pPr>
        <w:pStyle w:val="3-BodyText"/>
        <w:numPr>
          <w:ilvl w:val="0"/>
          <w:numId w:val="17"/>
        </w:numPr>
        <w:rPr>
          <w:rFonts w:eastAsia="Calibri"/>
        </w:rPr>
      </w:pPr>
      <w:r w:rsidRPr="0040534B">
        <w:rPr>
          <w:rFonts w:eastAsia="Calibri"/>
        </w:rPr>
        <w:t>t</w:t>
      </w:r>
      <w:r w:rsidR="00F03CD4" w:rsidRPr="0040534B">
        <w:rPr>
          <w:snapToGrid/>
        </w:rPr>
        <w:t>here were transitivity issues across the trials included in the indirect comparison</w:t>
      </w:r>
      <w:r w:rsidR="00AB38D4" w:rsidRPr="0040534B">
        <w:rPr>
          <w:snapToGrid/>
        </w:rPr>
        <w:t>s</w:t>
      </w:r>
      <w:r w:rsidR="00F03CD4" w:rsidRPr="0040534B">
        <w:rPr>
          <w:snapToGrid/>
        </w:rPr>
        <w:t xml:space="preserve">. In particular, there </w:t>
      </w:r>
      <w:r w:rsidR="00F03CD4" w:rsidRPr="0040534B">
        <w:rPr>
          <w:rFonts w:eastAsia="Calibri"/>
        </w:rPr>
        <w:t xml:space="preserve">were differences across the trials in terms of prior preventive treatments. </w:t>
      </w:r>
      <w:r w:rsidR="00B71C75" w:rsidRPr="0040534B">
        <w:rPr>
          <w:rFonts w:eastAsia="Calibri"/>
          <w:iCs/>
        </w:rPr>
        <w:t xml:space="preserve">The subgroup analyses presented were insufficient to assess the impact of prior treatments on outcomes. </w:t>
      </w:r>
    </w:p>
    <w:p w14:paraId="11E948D2" w14:textId="56358F8B" w:rsidR="00F03CD4" w:rsidRPr="0040534B" w:rsidRDefault="00F03CD4" w:rsidP="00F03CD4">
      <w:pPr>
        <w:pStyle w:val="3-BodyText"/>
        <w:rPr>
          <w:rFonts w:eastAsia="Calibri"/>
        </w:rPr>
      </w:pPr>
      <w:r w:rsidRPr="0040534B">
        <w:rPr>
          <w:rFonts w:eastAsia="Calibri"/>
        </w:rPr>
        <w:t xml:space="preserve">In comparison to galcanezumab and fremanezumab, </w:t>
      </w:r>
      <w:r w:rsidR="00AB38D4" w:rsidRPr="0040534B">
        <w:rPr>
          <w:rFonts w:eastAsia="Calibri"/>
        </w:rPr>
        <w:t xml:space="preserve">the ESC considered that </w:t>
      </w:r>
      <w:r w:rsidRPr="0040534B">
        <w:rPr>
          <w:rFonts w:eastAsia="Calibri"/>
        </w:rPr>
        <w:t xml:space="preserve">atogepant had a similar safety profile apart from injection site </w:t>
      </w:r>
      <w:r w:rsidR="008C77E1" w:rsidRPr="0040534B">
        <w:rPr>
          <w:rFonts w:eastAsia="Calibri"/>
        </w:rPr>
        <w:t xml:space="preserve">AEs </w:t>
      </w:r>
      <w:r w:rsidRPr="0040534B">
        <w:rPr>
          <w:rFonts w:eastAsia="Calibri"/>
        </w:rPr>
        <w:t xml:space="preserve">that arose from the subcutaneous administration of the two comparator treatments. Atogepant had a higher incidence of gastrointestinal events compared to galcanezumab and fremanezumab, although these were of mild or moderate severity. Overall, atogepant appeared to be safe and well tolerated in participants with chronic migraine. </w:t>
      </w:r>
      <w:r w:rsidR="00AB38D4" w:rsidRPr="0040534B">
        <w:rPr>
          <w:rFonts w:eastAsia="Calibri"/>
        </w:rPr>
        <w:t>The ESC noted that there were d</w:t>
      </w:r>
      <w:r w:rsidRPr="0040534B">
        <w:rPr>
          <w:rFonts w:eastAsia="Calibri"/>
        </w:rPr>
        <w:t>ifferences in the type</w:t>
      </w:r>
      <w:r w:rsidR="00AB38D4" w:rsidRPr="0040534B">
        <w:rPr>
          <w:rFonts w:eastAsia="Calibri"/>
        </w:rPr>
        <w:t>s</w:t>
      </w:r>
      <w:r w:rsidRPr="0040534B">
        <w:rPr>
          <w:rFonts w:eastAsia="Calibri"/>
        </w:rPr>
        <w:t xml:space="preserve"> of adverse events, </w:t>
      </w:r>
      <w:r w:rsidR="005D6E54" w:rsidRPr="0040534B">
        <w:rPr>
          <w:rFonts w:eastAsia="Calibri"/>
        </w:rPr>
        <w:t xml:space="preserve">due to the </w:t>
      </w:r>
      <w:r w:rsidRPr="0040534B">
        <w:rPr>
          <w:rFonts w:eastAsia="Calibri"/>
        </w:rPr>
        <w:t>difference</w:t>
      </w:r>
      <w:r w:rsidR="005D6E54" w:rsidRPr="0040534B">
        <w:rPr>
          <w:rFonts w:eastAsia="Calibri"/>
        </w:rPr>
        <w:t xml:space="preserve"> </w:t>
      </w:r>
      <w:r w:rsidRPr="0040534B">
        <w:rPr>
          <w:rFonts w:eastAsia="Calibri"/>
        </w:rPr>
        <w:t>in the modes of administration</w:t>
      </w:r>
      <w:r w:rsidR="00AB38D4" w:rsidRPr="0040534B">
        <w:rPr>
          <w:rFonts w:eastAsia="Calibri"/>
        </w:rPr>
        <w:t xml:space="preserve"> of the agents</w:t>
      </w:r>
      <w:r w:rsidRPr="0040534B">
        <w:rPr>
          <w:rFonts w:eastAsia="Calibri"/>
        </w:rPr>
        <w:t>.</w:t>
      </w:r>
    </w:p>
    <w:p w14:paraId="3D9B55B7" w14:textId="05C1FDF7" w:rsidR="00F03CD4" w:rsidRPr="0040534B" w:rsidRDefault="00F03CD4" w:rsidP="00F03CD4">
      <w:pPr>
        <w:pStyle w:val="3-BodyText"/>
        <w:rPr>
          <w:rFonts w:eastAsia="Calibri"/>
        </w:rPr>
      </w:pPr>
      <w:r w:rsidRPr="0040534B">
        <w:rPr>
          <w:rFonts w:eastAsia="Calibri"/>
        </w:rPr>
        <w:t xml:space="preserve">The </w:t>
      </w:r>
      <w:r w:rsidR="00AB38D4" w:rsidRPr="0040534B">
        <w:rPr>
          <w:rFonts w:eastAsia="Calibri"/>
        </w:rPr>
        <w:t xml:space="preserve">ESC noted that the </w:t>
      </w:r>
      <w:r w:rsidRPr="0040534B">
        <w:rPr>
          <w:rFonts w:eastAsia="Calibri"/>
        </w:rPr>
        <w:t xml:space="preserve">applicability of the trial evidence to the proposed PBS population was uncertain </w:t>
      </w:r>
      <w:r w:rsidR="00AB38D4" w:rsidRPr="0040534B">
        <w:rPr>
          <w:rFonts w:eastAsia="Calibri"/>
        </w:rPr>
        <w:t xml:space="preserve">as </w:t>
      </w:r>
      <w:r w:rsidRPr="0040534B">
        <w:rPr>
          <w:rFonts w:eastAsia="Calibri"/>
        </w:rPr>
        <w:t xml:space="preserve">fewer than five participants in the atogepant PROGRESS trial </w:t>
      </w:r>
      <w:r w:rsidRPr="0040534B">
        <w:t xml:space="preserve">had failed at least three preventive medications, and thus met </w:t>
      </w:r>
      <w:r w:rsidRPr="0040534B">
        <w:rPr>
          <w:rFonts w:eastAsia="Calibri"/>
        </w:rPr>
        <w:t>the proposed PBS restriction criteria.</w:t>
      </w:r>
    </w:p>
    <w:p w14:paraId="5EEAF177" w14:textId="6EC462C7" w:rsidR="006045A2" w:rsidRPr="0040534B" w:rsidRDefault="006C3762" w:rsidP="006045A2">
      <w:pPr>
        <w:widowControl w:val="0"/>
        <w:numPr>
          <w:ilvl w:val="1"/>
          <w:numId w:val="4"/>
        </w:numPr>
        <w:spacing w:after="120"/>
        <w:rPr>
          <w:rFonts w:asciiTheme="minorHAnsi" w:hAnsiTheme="minorHAnsi"/>
          <w:snapToGrid w:val="0"/>
          <w:szCs w:val="20"/>
        </w:rPr>
      </w:pPr>
      <w:bookmarkStart w:id="75" w:name="_Hlk76376200"/>
      <w:r w:rsidRPr="0040534B">
        <w:rPr>
          <w:rFonts w:asciiTheme="minorHAnsi" w:hAnsiTheme="minorHAnsi"/>
          <w:iCs/>
          <w:snapToGrid w:val="0"/>
        </w:rPr>
        <w:t>For CM, t</w:t>
      </w:r>
      <w:r w:rsidR="006045A2" w:rsidRPr="0040534B">
        <w:rPr>
          <w:rFonts w:asciiTheme="minorHAnsi" w:hAnsiTheme="minorHAnsi"/>
          <w:iCs/>
          <w:snapToGrid w:val="0"/>
        </w:rPr>
        <w:t>he</w:t>
      </w:r>
      <w:r w:rsidR="006045A2" w:rsidRPr="0040534B">
        <w:rPr>
          <w:rFonts w:asciiTheme="minorHAnsi" w:hAnsiTheme="minorHAnsi"/>
          <w:snapToGrid w:val="0"/>
          <w:szCs w:val="20"/>
        </w:rPr>
        <w:t xml:space="preserve"> PBAC considered that the claim of non-inferior comparative effectiveness was not adequately supported by the data.</w:t>
      </w:r>
    </w:p>
    <w:p w14:paraId="7E38AA51" w14:textId="60533590" w:rsidR="006045A2" w:rsidRPr="0040534B" w:rsidRDefault="006C3762" w:rsidP="006045A2">
      <w:pPr>
        <w:widowControl w:val="0"/>
        <w:numPr>
          <w:ilvl w:val="1"/>
          <w:numId w:val="4"/>
        </w:numPr>
        <w:spacing w:after="120"/>
        <w:rPr>
          <w:rFonts w:asciiTheme="minorHAnsi" w:hAnsiTheme="minorHAnsi"/>
          <w:snapToGrid w:val="0"/>
          <w:szCs w:val="20"/>
        </w:rPr>
      </w:pPr>
      <w:r w:rsidRPr="0040534B">
        <w:rPr>
          <w:rFonts w:asciiTheme="minorHAnsi" w:hAnsiTheme="minorHAnsi"/>
          <w:snapToGrid w:val="0"/>
          <w:szCs w:val="20"/>
        </w:rPr>
        <w:t>For CM, t</w:t>
      </w:r>
      <w:r w:rsidR="006045A2" w:rsidRPr="0040534B">
        <w:rPr>
          <w:rFonts w:asciiTheme="minorHAnsi" w:hAnsiTheme="minorHAnsi"/>
          <w:snapToGrid w:val="0"/>
          <w:szCs w:val="20"/>
        </w:rPr>
        <w:t>he PBAC considered that the claim of non-inferior comparative safety was reasonable.</w:t>
      </w:r>
      <w:bookmarkEnd w:id="75"/>
    </w:p>
    <w:p w14:paraId="0B341484" w14:textId="77777777" w:rsidR="00F03CD4" w:rsidRPr="0040534B" w:rsidRDefault="00F03CD4" w:rsidP="00F03CD4">
      <w:pPr>
        <w:pStyle w:val="5-SubsectionSubheading"/>
      </w:pPr>
      <w:bookmarkStart w:id="76" w:name="_Toc135214021"/>
      <w:r w:rsidRPr="0040534B">
        <w:t>Episodic migraine</w:t>
      </w:r>
      <w:bookmarkEnd w:id="76"/>
    </w:p>
    <w:p w14:paraId="6803C6EB" w14:textId="69AC0DE4" w:rsidR="00F03CD4" w:rsidRPr="0040534B" w:rsidRDefault="00F03CD4" w:rsidP="00F03CD4">
      <w:pPr>
        <w:pStyle w:val="3-BodyText"/>
        <w:rPr>
          <w:rFonts w:eastAsia="Calibri"/>
          <w:iCs/>
        </w:rPr>
      </w:pPr>
      <w:r w:rsidRPr="0040534B">
        <w:rPr>
          <w:rFonts w:eastAsia="Calibri"/>
          <w:iCs/>
        </w:rPr>
        <w:t xml:space="preserve">The submission described atogepant as non-inferior in terms of effectiveness </w:t>
      </w:r>
      <w:r w:rsidR="005D6E54" w:rsidRPr="0040534B">
        <w:rPr>
          <w:rFonts w:eastAsia="Calibri"/>
          <w:iCs/>
        </w:rPr>
        <w:t xml:space="preserve">and safety </w:t>
      </w:r>
      <w:r w:rsidRPr="0040534B">
        <w:rPr>
          <w:rFonts w:eastAsia="Calibri"/>
          <w:iCs/>
        </w:rPr>
        <w:t xml:space="preserve">compared with galcanezumab and fremanezumab in patients with HFEM who meet the PBS criteria. </w:t>
      </w:r>
    </w:p>
    <w:p w14:paraId="73F323B3" w14:textId="35EBFA2A" w:rsidR="00F03CD4" w:rsidRPr="0040534B" w:rsidRDefault="00F03CD4" w:rsidP="00F03CD4">
      <w:pPr>
        <w:pStyle w:val="3-BodyText"/>
        <w:rPr>
          <w:rFonts w:eastAsia="Calibri"/>
          <w:iCs/>
        </w:rPr>
      </w:pPr>
      <w:r w:rsidRPr="0040534B">
        <w:rPr>
          <w:rFonts w:eastAsia="Calibri"/>
          <w:iCs/>
        </w:rPr>
        <w:lastRenderedPageBreak/>
        <w:t xml:space="preserve">The </w:t>
      </w:r>
      <w:r w:rsidR="00AB38D4" w:rsidRPr="0040534B">
        <w:rPr>
          <w:rFonts w:eastAsia="Calibri"/>
          <w:iCs/>
        </w:rPr>
        <w:t xml:space="preserve">ESC considered that the </w:t>
      </w:r>
      <w:r w:rsidR="00B71C75" w:rsidRPr="0040534B">
        <w:rPr>
          <w:rFonts w:eastAsia="Calibri"/>
          <w:iCs/>
        </w:rPr>
        <w:t xml:space="preserve">claim of non-inferior effectiveness </w:t>
      </w:r>
      <w:r w:rsidRPr="0040534B">
        <w:rPr>
          <w:rFonts w:eastAsia="Calibri"/>
          <w:iCs/>
        </w:rPr>
        <w:t>was uncertain because:</w:t>
      </w:r>
    </w:p>
    <w:p w14:paraId="4C800122" w14:textId="0210C859" w:rsidR="00AB38D4" w:rsidRPr="0040534B" w:rsidRDefault="00AB38D4" w:rsidP="006045A2">
      <w:pPr>
        <w:pStyle w:val="3-BodyText"/>
        <w:numPr>
          <w:ilvl w:val="0"/>
          <w:numId w:val="14"/>
        </w:numPr>
        <w:rPr>
          <w:rFonts w:eastAsia="Calibri"/>
          <w:iCs/>
        </w:rPr>
      </w:pPr>
      <w:r w:rsidRPr="0040534B">
        <w:rPr>
          <w:iCs/>
        </w:rPr>
        <w:t xml:space="preserve">the point estimates of the indirect comparisons favoured galcanezumab and fremanezumab, and the upper bounds of the 95% confidence intervals for the change in monthly migraine days were greater than the non-inferiority margin of two days in the comparisons between atogepant and galcanezumab and fremanezumab, suggesting that atogepant was potentially inferior to galcanezumab and </w:t>
      </w:r>
      <w:r w:rsidR="000C4C75" w:rsidRPr="0040534B">
        <w:rPr>
          <w:iCs/>
        </w:rPr>
        <w:t>fremanezumab;</w:t>
      </w:r>
      <w:r w:rsidRPr="0040534B">
        <w:rPr>
          <w:iCs/>
        </w:rPr>
        <w:t xml:space="preserve"> and</w:t>
      </w:r>
    </w:p>
    <w:p w14:paraId="05473D1B" w14:textId="38E8ED82" w:rsidR="00F03CD4" w:rsidRPr="0040534B" w:rsidRDefault="00F03CD4" w:rsidP="006045A2">
      <w:pPr>
        <w:pStyle w:val="3-BodyText"/>
        <w:numPr>
          <w:ilvl w:val="0"/>
          <w:numId w:val="14"/>
        </w:numPr>
        <w:rPr>
          <w:rFonts w:eastAsia="Calibri"/>
          <w:iCs/>
        </w:rPr>
      </w:pPr>
      <w:r w:rsidRPr="0040534B">
        <w:rPr>
          <w:iCs/>
          <w:snapToGrid/>
        </w:rPr>
        <w:t xml:space="preserve">there were transitivity issues across the trials included in the indirect comparison. In particular, there </w:t>
      </w:r>
      <w:r w:rsidRPr="0040534B">
        <w:rPr>
          <w:rFonts w:eastAsia="Calibri"/>
          <w:iCs/>
        </w:rPr>
        <w:t xml:space="preserve">were differences across the trials in terms of prior preventive treatments. The subgroup analyses presented were insufficient to assess the impact of prior treatments on outcomes. </w:t>
      </w:r>
      <w:r w:rsidRPr="0040534B">
        <w:rPr>
          <w:iCs/>
          <w:snapToGrid/>
        </w:rPr>
        <w:t xml:space="preserve">The fremanezumab FOCUS trial was also included in the analysis, which included participants experiencing chronic and episodic migraine. </w:t>
      </w:r>
    </w:p>
    <w:p w14:paraId="147EA4D0" w14:textId="4670F74A" w:rsidR="00AB38D4" w:rsidRPr="0040534B" w:rsidRDefault="00AB38D4" w:rsidP="00F03CD4">
      <w:pPr>
        <w:pStyle w:val="3-BodyText"/>
        <w:rPr>
          <w:iCs/>
        </w:rPr>
      </w:pPr>
      <w:r w:rsidRPr="0040534B">
        <w:rPr>
          <w:iCs/>
        </w:rPr>
        <w:t xml:space="preserve">In comparison to galcanezumab and fremanezumab, the ESC considered that atogepant had a similar safety profile apart from injection site AEs that arose from the subcutaneous administration of the two comparator treatments. Atogepant had a higher incidence of gastrointestinal events compared to galcanezumab and fremanezumab, although these were of mild or moderate severity. Overall, atogepant appeared to be safe and well tolerated in participants with episodic migraine. The ESC noted that there were differences in the type of adverse events, </w:t>
      </w:r>
      <w:r w:rsidR="005D6E54" w:rsidRPr="0040534B">
        <w:rPr>
          <w:iCs/>
        </w:rPr>
        <w:t>due to the</w:t>
      </w:r>
      <w:r w:rsidR="00862F17" w:rsidRPr="0040534B">
        <w:rPr>
          <w:iCs/>
        </w:rPr>
        <w:t xml:space="preserve"> </w:t>
      </w:r>
      <w:r w:rsidRPr="0040534B">
        <w:rPr>
          <w:iCs/>
        </w:rPr>
        <w:t>difference in the modes of administration of the agents.</w:t>
      </w:r>
    </w:p>
    <w:p w14:paraId="134779A4" w14:textId="28CFC326" w:rsidR="00F03CD4" w:rsidRPr="0040534B" w:rsidRDefault="00F03CD4" w:rsidP="00F03CD4">
      <w:pPr>
        <w:pStyle w:val="3-BodyText"/>
        <w:rPr>
          <w:iCs/>
        </w:rPr>
      </w:pPr>
      <w:r w:rsidRPr="0040534B">
        <w:rPr>
          <w:iCs/>
        </w:rPr>
        <w:t xml:space="preserve">The </w:t>
      </w:r>
      <w:r w:rsidR="00AB38D4" w:rsidRPr="0040534B">
        <w:rPr>
          <w:iCs/>
        </w:rPr>
        <w:t xml:space="preserve">ESC noted that the </w:t>
      </w:r>
      <w:r w:rsidRPr="0040534B">
        <w:rPr>
          <w:iCs/>
        </w:rPr>
        <w:t xml:space="preserve">applicability of the trial evidence to the proposed PBS population was highly uncertain </w:t>
      </w:r>
      <w:r w:rsidR="00AB38D4" w:rsidRPr="0040534B">
        <w:rPr>
          <w:iCs/>
        </w:rPr>
        <w:t xml:space="preserve">as </w:t>
      </w:r>
      <w:r w:rsidRPr="0040534B">
        <w:rPr>
          <w:iCs/>
        </w:rPr>
        <w:t xml:space="preserve">no evidence was presented specifically for the HFEM population who had failed at least three preventive medications. The atogepant ADVANCE and NCT02848326 trials included participants with less severe disease (four to 14 migraine days per month) than the proposed PBS population (at least eight days of migraine headache per month). </w:t>
      </w:r>
      <w:r w:rsidR="00B4502F" w:rsidRPr="0040534B">
        <w:rPr>
          <w:iCs/>
        </w:rPr>
        <w:t>No subgroup analyses for participants with HFEM were presented. Further, no data was presented on participants in the ADVANCE and NCT02848326 trials who had three or more prior preventive treatment failures.</w:t>
      </w:r>
    </w:p>
    <w:p w14:paraId="77CB1255" w14:textId="3FFED77A" w:rsidR="006045A2" w:rsidRPr="0040534B" w:rsidRDefault="0034596A" w:rsidP="006045A2">
      <w:pPr>
        <w:widowControl w:val="0"/>
        <w:numPr>
          <w:ilvl w:val="1"/>
          <w:numId w:val="4"/>
        </w:numPr>
        <w:spacing w:after="120"/>
        <w:rPr>
          <w:rFonts w:asciiTheme="minorHAnsi" w:hAnsiTheme="minorHAnsi"/>
          <w:snapToGrid w:val="0"/>
          <w:szCs w:val="20"/>
        </w:rPr>
      </w:pPr>
      <w:r w:rsidRPr="0040534B">
        <w:rPr>
          <w:rFonts w:asciiTheme="minorHAnsi" w:hAnsiTheme="minorHAnsi"/>
          <w:iCs/>
          <w:snapToGrid w:val="0"/>
        </w:rPr>
        <w:t>For EM, t</w:t>
      </w:r>
      <w:r w:rsidR="006045A2" w:rsidRPr="0040534B">
        <w:rPr>
          <w:rFonts w:asciiTheme="minorHAnsi" w:hAnsiTheme="minorHAnsi"/>
          <w:iCs/>
          <w:snapToGrid w:val="0"/>
        </w:rPr>
        <w:t>he</w:t>
      </w:r>
      <w:r w:rsidR="006045A2" w:rsidRPr="0040534B">
        <w:rPr>
          <w:rFonts w:asciiTheme="minorHAnsi" w:hAnsiTheme="minorHAnsi"/>
          <w:snapToGrid w:val="0"/>
          <w:szCs w:val="20"/>
        </w:rPr>
        <w:t xml:space="preserve"> PBAC considered that the claim of non-inferior comparative effectiveness was not adequately supported by the data.</w:t>
      </w:r>
    </w:p>
    <w:p w14:paraId="457E3FBA" w14:textId="7D603634" w:rsidR="001968FD" w:rsidRDefault="0034596A" w:rsidP="006045A2">
      <w:pPr>
        <w:widowControl w:val="0"/>
        <w:numPr>
          <w:ilvl w:val="1"/>
          <w:numId w:val="4"/>
        </w:numPr>
        <w:spacing w:after="120"/>
        <w:rPr>
          <w:rFonts w:asciiTheme="minorHAnsi" w:hAnsiTheme="minorHAnsi"/>
          <w:snapToGrid w:val="0"/>
          <w:szCs w:val="20"/>
        </w:rPr>
      </w:pPr>
      <w:r w:rsidRPr="0040534B">
        <w:rPr>
          <w:rFonts w:asciiTheme="minorHAnsi" w:hAnsiTheme="minorHAnsi"/>
          <w:snapToGrid w:val="0"/>
          <w:szCs w:val="20"/>
        </w:rPr>
        <w:t>For EM, t</w:t>
      </w:r>
      <w:r w:rsidR="006045A2" w:rsidRPr="0040534B">
        <w:rPr>
          <w:rFonts w:asciiTheme="minorHAnsi" w:hAnsiTheme="minorHAnsi"/>
          <w:snapToGrid w:val="0"/>
          <w:szCs w:val="20"/>
        </w:rPr>
        <w:t>he PBAC considered that the claim of non-inferior</w:t>
      </w:r>
      <w:r w:rsidR="00B71C75" w:rsidRPr="0040534B">
        <w:rPr>
          <w:rFonts w:asciiTheme="minorHAnsi" w:hAnsiTheme="minorHAnsi"/>
          <w:snapToGrid w:val="0"/>
          <w:szCs w:val="20"/>
        </w:rPr>
        <w:t xml:space="preserve"> </w:t>
      </w:r>
      <w:r w:rsidR="006045A2" w:rsidRPr="0040534B">
        <w:rPr>
          <w:rFonts w:asciiTheme="minorHAnsi" w:hAnsiTheme="minorHAnsi"/>
          <w:snapToGrid w:val="0"/>
          <w:szCs w:val="20"/>
        </w:rPr>
        <w:t>comparative safety was reasonable.</w:t>
      </w:r>
    </w:p>
    <w:p w14:paraId="6F0C6DA9" w14:textId="77777777" w:rsidR="001968FD" w:rsidRDefault="001968FD">
      <w:pPr>
        <w:jc w:val="left"/>
        <w:rPr>
          <w:rFonts w:asciiTheme="minorHAnsi" w:hAnsiTheme="minorHAnsi"/>
          <w:snapToGrid w:val="0"/>
          <w:szCs w:val="20"/>
        </w:rPr>
      </w:pPr>
      <w:r>
        <w:rPr>
          <w:rFonts w:asciiTheme="minorHAnsi" w:hAnsiTheme="minorHAnsi"/>
          <w:snapToGrid w:val="0"/>
          <w:szCs w:val="20"/>
        </w:rPr>
        <w:br w:type="page"/>
      </w:r>
    </w:p>
    <w:p w14:paraId="3812371C" w14:textId="77777777" w:rsidR="00F03CD4" w:rsidRPr="0040534B" w:rsidRDefault="00F03CD4" w:rsidP="00F03CD4">
      <w:pPr>
        <w:pStyle w:val="4-SubsectionHeading"/>
      </w:pPr>
      <w:bookmarkStart w:id="77" w:name="_Toc22897645"/>
      <w:bookmarkStart w:id="78" w:name="_Toc135214022"/>
      <w:r w:rsidRPr="0040534B">
        <w:t>Economic analysis</w:t>
      </w:r>
      <w:bookmarkEnd w:id="77"/>
      <w:bookmarkEnd w:id="78"/>
      <w:r w:rsidRPr="0040534B">
        <w:t xml:space="preserve"> </w:t>
      </w:r>
    </w:p>
    <w:p w14:paraId="2DD8FF4B" w14:textId="09A9055F" w:rsidR="00F03CD4" w:rsidRPr="0040534B" w:rsidRDefault="00F03CD4" w:rsidP="00F03CD4">
      <w:pPr>
        <w:pStyle w:val="3-BodyText"/>
        <w:rPr>
          <w:color w:val="0066FF"/>
        </w:rPr>
      </w:pPr>
      <w:r w:rsidRPr="0040534B">
        <w:t xml:space="preserve">The submission presented a CMA based on the claim of non-inferior effectiveness and safety for atogepant compared to galcanezumab. As noted in paragraph </w:t>
      </w:r>
      <w:r w:rsidRPr="0040534B">
        <w:fldChar w:fldCharType="begin" w:fldLock="1"/>
      </w:r>
      <w:r w:rsidRPr="0040534B">
        <w:instrText xml:space="preserve"> REF _Ref134435913 \r \h </w:instrText>
      </w:r>
      <w:r w:rsidR="00653EEA" w:rsidRPr="0040534B">
        <w:instrText xml:space="preserve"> \* MERGEFORMAT </w:instrText>
      </w:r>
      <w:r w:rsidRPr="0040534B">
        <w:fldChar w:fldCharType="separate"/>
      </w:r>
      <w:r w:rsidR="004E201F">
        <w:t>5.3</w:t>
      </w:r>
      <w:r w:rsidRPr="0040534B">
        <w:fldChar w:fldCharType="end"/>
      </w:r>
      <w:r w:rsidRPr="0040534B">
        <w:t xml:space="preserve">, fremanezumab may be considered an </w:t>
      </w:r>
      <w:r w:rsidR="00B4502F" w:rsidRPr="0040534B">
        <w:t>alternative</w:t>
      </w:r>
      <w:r w:rsidRPr="0040534B">
        <w:t xml:space="preserve"> therapy</w:t>
      </w:r>
      <w:r w:rsidR="00CE4515" w:rsidRPr="0040534B">
        <w:t>.</w:t>
      </w:r>
      <w:r w:rsidRPr="0040534B">
        <w:t xml:space="preserve"> </w:t>
      </w:r>
    </w:p>
    <w:p w14:paraId="78C6BD14" w14:textId="73FC0F6B" w:rsidR="00F03CD4" w:rsidRPr="0040534B" w:rsidRDefault="00F03CD4" w:rsidP="00F03CD4">
      <w:pPr>
        <w:pStyle w:val="3-BodyText"/>
        <w:rPr>
          <w:color w:val="0066FF"/>
        </w:rPr>
      </w:pPr>
      <w:r w:rsidRPr="0040534B">
        <w:fldChar w:fldCharType="begin" w:fldLock="1"/>
      </w:r>
      <w:r w:rsidRPr="0040534B">
        <w:instrText xml:space="preserve"> REF _Ref134032896 \h </w:instrText>
      </w:r>
      <w:r w:rsidRPr="0040534B">
        <w:fldChar w:fldCharType="separate"/>
      </w:r>
      <w:r w:rsidR="004E201F" w:rsidRPr="0040534B">
        <w:t xml:space="preserve">Table </w:t>
      </w:r>
      <w:r w:rsidR="004E201F">
        <w:rPr>
          <w:noProof/>
        </w:rPr>
        <w:t>15</w:t>
      </w:r>
      <w:r w:rsidRPr="0040534B">
        <w:fldChar w:fldCharType="end"/>
      </w:r>
      <w:r w:rsidRPr="0040534B">
        <w:t xml:space="preserve"> presents the elements used to calculate equi-effective doses.</w:t>
      </w:r>
    </w:p>
    <w:p w14:paraId="7B50AA7D" w14:textId="59EF5C69" w:rsidR="00F03CD4" w:rsidRPr="0040534B" w:rsidRDefault="00F03CD4" w:rsidP="00F03CD4">
      <w:pPr>
        <w:pStyle w:val="Caption"/>
        <w:jc w:val="left"/>
      </w:pPr>
      <w:bookmarkStart w:id="79" w:name="_Ref134032896"/>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15</w:t>
      </w:r>
      <w:r w:rsidR="001968FD">
        <w:rPr>
          <w:noProof/>
        </w:rPr>
        <w:fldChar w:fldCharType="end"/>
      </w:r>
      <w:bookmarkEnd w:id="79"/>
      <w:r w:rsidRPr="0040534B">
        <w:t>: Elements used to calculate the equi-effective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401"/>
        <w:gridCol w:w="1134"/>
        <w:gridCol w:w="1257"/>
        <w:gridCol w:w="1811"/>
      </w:tblGrid>
      <w:tr w:rsidR="00F03CD4" w:rsidRPr="0040534B" w14:paraId="788D7D42" w14:textId="77777777" w:rsidTr="00C124DD">
        <w:tc>
          <w:tcPr>
            <w:tcW w:w="784" w:type="pct"/>
            <w:vAlign w:val="center"/>
          </w:tcPr>
          <w:p w14:paraId="60A971EC" w14:textId="77777777" w:rsidR="00F03CD4" w:rsidRPr="0040534B" w:rsidRDefault="00F03CD4" w:rsidP="00AE0C79">
            <w:pPr>
              <w:pStyle w:val="In-tableHeading"/>
              <w:jc w:val="center"/>
              <w:rPr>
                <w:lang w:val="en-AU"/>
              </w:rPr>
            </w:pPr>
            <w:r w:rsidRPr="0040534B">
              <w:rPr>
                <w:lang w:val="en-AU"/>
              </w:rPr>
              <w:t>Treatment</w:t>
            </w:r>
          </w:p>
        </w:tc>
        <w:tc>
          <w:tcPr>
            <w:tcW w:w="1886" w:type="pct"/>
            <w:vAlign w:val="center"/>
          </w:tcPr>
          <w:p w14:paraId="5F8455F5" w14:textId="77777777" w:rsidR="00F03CD4" w:rsidRPr="0040534B" w:rsidRDefault="00F03CD4" w:rsidP="00AE0C79">
            <w:pPr>
              <w:pStyle w:val="In-tableHeading"/>
              <w:jc w:val="center"/>
              <w:rPr>
                <w:lang w:val="en-AU"/>
              </w:rPr>
            </w:pPr>
            <w:r w:rsidRPr="0040534B">
              <w:rPr>
                <w:lang w:val="en-AU"/>
              </w:rPr>
              <w:t>Dose</w:t>
            </w:r>
          </w:p>
        </w:tc>
        <w:tc>
          <w:tcPr>
            <w:tcW w:w="629" w:type="pct"/>
            <w:vAlign w:val="center"/>
          </w:tcPr>
          <w:p w14:paraId="72E26F11" w14:textId="77777777" w:rsidR="00F03CD4" w:rsidRPr="0040534B" w:rsidRDefault="00F03CD4" w:rsidP="00AE0C79">
            <w:pPr>
              <w:pStyle w:val="In-tableHeading"/>
              <w:jc w:val="center"/>
              <w:rPr>
                <w:lang w:val="en-AU"/>
              </w:rPr>
            </w:pPr>
            <w:r w:rsidRPr="0040534B">
              <w:rPr>
                <w:lang w:val="en-AU"/>
              </w:rPr>
              <w:t>Pack size</w:t>
            </w:r>
          </w:p>
        </w:tc>
        <w:tc>
          <w:tcPr>
            <w:tcW w:w="697" w:type="pct"/>
            <w:vAlign w:val="center"/>
          </w:tcPr>
          <w:p w14:paraId="73CBE1EC" w14:textId="77777777" w:rsidR="00F03CD4" w:rsidRPr="0040534B" w:rsidRDefault="00F03CD4" w:rsidP="00AE0C79">
            <w:pPr>
              <w:pStyle w:val="In-tableHeading"/>
              <w:jc w:val="center"/>
              <w:rPr>
                <w:lang w:val="en-AU"/>
              </w:rPr>
            </w:pPr>
            <w:r w:rsidRPr="0040534B">
              <w:rPr>
                <w:lang w:val="en-AU"/>
              </w:rPr>
              <w:t>Days per pack</w:t>
            </w:r>
          </w:p>
        </w:tc>
        <w:tc>
          <w:tcPr>
            <w:tcW w:w="1004" w:type="pct"/>
            <w:vAlign w:val="center"/>
          </w:tcPr>
          <w:p w14:paraId="6FA71996" w14:textId="77777777" w:rsidR="00F03CD4" w:rsidRPr="0040534B" w:rsidRDefault="00F03CD4" w:rsidP="00AE0C79">
            <w:pPr>
              <w:pStyle w:val="In-tableHeading"/>
              <w:jc w:val="center"/>
              <w:rPr>
                <w:lang w:val="en-AU"/>
              </w:rPr>
            </w:pPr>
            <w:r w:rsidRPr="0040534B">
              <w:rPr>
                <w:lang w:val="en-AU"/>
              </w:rPr>
              <w:t>Treatment regimen</w:t>
            </w:r>
          </w:p>
        </w:tc>
      </w:tr>
      <w:tr w:rsidR="00F03CD4" w:rsidRPr="0040534B" w14:paraId="7EF724E7" w14:textId="77777777" w:rsidTr="00C124DD">
        <w:tc>
          <w:tcPr>
            <w:tcW w:w="784" w:type="pct"/>
            <w:vAlign w:val="center"/>
          </w:tcPr>
          <w:p w14:paraId="670B5139" w14:textId="77777777" w:rsidR="00F03CD4" w:rsidRPr="0040534B" w:rsidRDefault="00F03CD4" w:rsidP="00AE0C79">
            <w:pPr>
              <w:pStyle w:val="TableText0"/>
            </w:pPr>
            <w:r w:rsidRPr="0040534B">
              <w:t>Atogepant</w:t>
            </w:r>
          </w:p>
        </w:tc>
        <w:tc>
          <w:tcPr>
            <w:tcW w:w="1886" w:type="pct"/>
            <w:vAlign w:val="center"/>
          </w:tcPr>
          <w:p w14:paraId="3837E87A" w14:textId="77777777" w:rsidR="00F03CD4" w:rsidRPr="0040534B" w:rsidRDefault="00F03CD4" w:rsidP="00AE0C79">
            <w:pPr>
              <w:pStyle w:val="TableText0"/>
            </w:pPr>
            <w:r w:rsidRPr="0040534B">
              <w:t>60 mg tablet once daily</w:t>
            </w:r>
          </w:p>
        </w:tc>
        <w:tc>
          <w:tcPr>
            <w:tcW w:w="629" w:type="pct"/>
            <w:vAlign w:val="center"/>
          </w:tcPr>
          <w:p w14:paraId="53DE51F5" w14:textId="77777777" w:rsidR="00F03CD4" w:rsidRPr="0040534B" w:rsidRDefault="00F03CD4" w:rsidP="00AE0C79">
            <w:pPr>
              <w:pStyle w:val="TableText0"/>
            </w:pPr>
            <w:r w:rsidRPr="0040534B">
              <w:t>28 tablets</w:t>
            </w:r>
          </w:p>
        </w:tc>
        <w:tc>
          <w:tcPr>
            <w:tcW w:w="697" w:type="pct"/>
            <w:vAlign w:val="center"/>
          </w:tcPr>
          <w:p w14:paraId="12FB0257" w14:textId="77777777" w:rsidR="00F03CD4" w:rsidRPr="0040534B" w:rsidRDefault="00F03CD4" w:rsidP="00AE0C79">
            <w:pPr>
              <w:pStyle w:val="TableText0"/>
              <w:jc w:val="center"/>
            </w:pPr>
            <w:r w:rsidRPr="0040534B">
              <w:t>28</w:t>
            </w:r>
          </w:p>
        </w:tc>
        <w:tc>
          <w:tcPr>
            <w:tcW w:w="1004" w:type="pct"/>
            <w:vMerge w:val="restart"/>
            <w:vAlign w:val="center"/>
          </w:tcPr>
          <w:p w14:paraId="42959162" w14:textId="44035048" w:rsidR="00F03CD4" w:rsidRPr="0040534B" w:rsidRDefault="00E34A5B" w:rsidP="00AE0C79">
            <w:pPr>
              <w:pStyle w:val="TableText0"/>
            </w:pPr>
            <w:r w:rsidRPr="0040534B">
              <w:t>Ongoing</w:t>
            </w:r>
          </w:p>
        </w:tc>
      </w:tr>
      <w:tr w:rsidR="00F03CD4" w:rsidRPr="0040534B" w14:paraId="41F08523" w14:textId="77777777" w:rsidTr="00C124DD">
        <w:tc>
          <w:tcPr>
            <w:tcW w:w="784" w:type="pct"/>
            <w:vMerge w:val="restart"/>
            <w:vAlign w:val="center"/>
          </w:tcPr>
          <w:p w14:paraId="6A4FBCFC" w14:textId="77777777" w:rsidR="00F03CD4" w:rsidRPr="0040534B" w:rsidRDefault="00F03CD4" w:rsidP="00AE0C79">
            <w:pPr>
              <w:pStyle w:val="TableText0"/>
            </w:pPr>
            <w:r w:rsidRPr="0040534B">
              <w:t>Galcanezumab</w:t>
            </w:r>
          </w:p>
        </w:tc>
        <w:tc>
          <w:tcPr>
            <w:tcW w:w="1886" w:type="pct"/>
            <w:vAlign w:val="center"/>
          </w:tcPr>
          <w:p w14:paraId="1011EE2F" w14:textId="604B64ED" w:rsidR="00F03CD4" w:rsidRPr="0040534B" w:rsidRDefault="00F03CD4" w:rsidP="00AE0C79">
            <w:pPr>
              <w:pStyle w:val="TableText0"/>
            </w:pPr>
            <w:r w:rsidRPr="0040534B">
              <w:t>Loading dose: 2 x 120</w:t>
            </w:r>
            <w:r w:rsidR="00B434C6" w:rsidRPr="0040534B">
              <w:t xml:space="preserve"> </w:t>
            </w:r>
            <w:r w:rsidRPr="0040534B">
              <w:t>mg SC injections</w:t>
            </w:r>
          </w:p>
        </w:tc>
        <w:tc>
          <w:tcPr>
            <w:tcW w:w="629" w:type="pct"/>
            <w:vAlign w:val="center"/>
          </w:tcPr>
          <w:p w14:paraId="1AEB445D" w14:textId="77777777" w:rsidR="00F03CD4" w:rsidRPr="0040534B" w:rsidRDefault="00F03CD4" w:rsidP="00AE0C79">
            <w:pPr>
              <w:pStyle w:val="TableText0"/>
            </w:pPr>
            <w:r w:rsidRPr="0040534B">
              <w:t>2 injections</w:t>
            </w:r>
          </w:p>
        </w:tc>
        <w:tc>
          <w:tcPr>
            <w:tcW w:w="697" w:type="pct"/>
            <w:vAlign w:val="center"/>
          </w:tcPr>
          <w:p w14:paraId="4EAA5B9B" w14:textId="77777777" w:rsidR="00F03CD4" w:rsidRPr="0040534B" w:rsidRDefault="00F03CD4" w:rsidP="00AE0C79">
            <w:pPr>
              <w:pStyle w:val="TableText0"/>
              <w:jc w:val="center"/>
            </w:pPr>
            <w:r w:rsidRPr="0040534B">
              <w:t>30</w:t>
            </w:r>
          </w:p>
        </w:tc>
        <w:tc>
          <w:tcPr>
            <w:tcW w:w="1004" w:type="pct"/>
            <w:vMerge/>
            <w:vAlign w:val="center"/>
          </w:tcPr>
          <w:p w14:paraId="78892F82" w14:textId="77777777" w:rsidR="00F03CD4" w:rsidRPr="0040534B" w:rsidRDefault="00F03CD4" w:rsidP="00AE0C79">
            <w:pPr>
              <w:pStyle w:val="TableText0"/>
            </w:pPr>
          </w:p>
        </w:tc>
      </w:tr>
      <w:tr w:rsidR="00F03CD4" w:rsidRPr="0040534B" w14:paraId="618980BD" w14:textId="77777777" w:rsidTr="00C124DD">
        <w:tc>
          <w:tcPr>
            <w:tcW w:w="784" w:type="pct"/>
            <w:vMerge/>
            <w:vAlign w:val="center"/>
          </w:tcPr>
          <w:p w14:paraId="433073BF" w14:textId="77777777" w:rsidR="00F03CD4" w:rsidRPr="0040534B" w:rsidRDefault="00F03CD4" w:rsidP="00AE0C79">
            <w:pPr>
              <w:pStyle w:val="TableText0"/>
            </w:pPr>
          </w:p>
        </w:tc>
        <w:tc>
          <w:tcPr>
            <w:tcW w:w="1886" w:type="pct"/>
            <w:vAlign w:val="center"/>
          </w:tcPr>
          <w:p w14:paraId="34D52CAC" w14:textId="77777777" w:rsidR="00F03CD4" w:rsidRPr="0040534B" w:rsidRDefault="00F03CD4" w:rsidP="00AE0C79">
            <w:pPr>
              <w:pStyle w:val="TableText0"/>
            </w:pPr>
            <w:r w:rsidRPr="0040534B">
              <w:t>Maintenance dose: 1 x 120 mg SC injection</w:t>
            </w:r>
          </w:p>
        </w:tc>
        <w:tc>
          <w:tcPr>
            <w:tcW w:w="629" w:type="pct"/>
            <w:vAlign w:val="center"/>
          </w:tcPr>
          <w:p w14:paraId="711F847E" w14:textId="77777777" w:rsidR="00F03CD4" w:rsidRPr="0040534B" w:rsidRDefault="00F03CD4" w:rsidP="00AE0C79">
            <w:pPr>
              <w:pStyle w:val="TableText0"/>
            </w:pPr>
            <w:r w:rsidRPr="0040534B">
              <w:t>1 injection</w:t>
            </w:r>
          </w:p>
        </w:tc>
        <w:tc>
          <w:tcPr>
            <w:tcW w:w="697" w:type="pct"/>
            <w:vAlign w:val="center"/>
          </w:tcPr>
          <w:p w14:paraId="612AD6F3" w14:textId="77777777" w:rsidR="00F03CD4" w:rsidRPr="0040534B" w:rsidRDefault="00F03CD4" w:rsidP="00AE0C79">
            <w:pPr>
              <w:pStyle w:val="TableText0"/>
              <w:jc w:val="center"/>
            </w:pPr>
            <w:r w:rsidRPr="0040534B">
              <w:t>30</w:t>
            </w:r>
          </w:p>
        </w:tc>
        <w:tc>
          <w:tcPr>
            <w:tcW w:w="1004" w:type="pct"/>
            <w:vMerge/>
            <w:vAlign w:val="center"/>
          </w:tcPr>
          <w:p w14:paraId="438507D0" w14:textId="77777777" w:rsidR="00F03CD4" w:rsidRPr="0040534B" w:rsidRDefault="00F03CD4" w:rsidP="00AE0C79">
            <w:pPr>
              <w:pStyle w:val="TableText0"/>
            </w:pPr>
          </w:p>
        </w:tc>
      </w:tr>
    </w:tbl>
    <w:p w14:paraId="731CCC1E" w14:textId="77777777" w:rsidR="00F03CD4" w:rsidRPr="0040534B" w:rsidRDefault="00F03CD4" w:rsidP="00F03CD4">
      <w:pPr>
        <w:pStyle w:val="FooterTableFigure"/>
      </w:pPr>
      <w:r w:rsidRPr="0040534B">
        <w:t>Source: Tables 3-2, 3-3 &amp; 3-4, pp156-157 of the submission.</w:t>
      </w:r>
    </w:p>
    <w:p w14:paraId="32CF8599" w14:textId="77777777" w:rsidR="00F03CD4" w:rsidRPr="0040534B" w:rsidRDefault="00F03CD4" w:rsidP="00F03CD4">
      <w:pPr>
        <w:pStyle w:val="FooterTableFigure"/>
      </w:pPr>
      <w:r w:rsidRPr="0040534B">
        <w:t>SC = subcutaneous.</w:t>
      </w:r>
    </w:p>
    <w:p w14:paraId="5E450B3B" w14:textId="30460D92" w:rsidR="00F03CD4" w:rsidRPr="0040534B" w:rsidRDefault="00F03CD4" w:rsidP="00F03CD4">
      <w:pPr>
        <w:pStyle w:val="3-BodyText"/>
        <w:rPr>
          <w:color w:val="0066FF"/>
        </w:rPr>
      </w:pPr>
      <w:r w:rsidRPr="0040534B">
        <w:t>The dosing regimens were consistent with the draft TGA Product Information for atogepant and approved Product Information for galcanezumab.</w:t>
      </w:r>
    </w:p>
    <w:p w14:paraId="19CCCFAC" w14:textId="62D3724A" w:rsidR="00F03CD4" w:rsidRPr="0040534B" w:rsidRDefault="00F03CD4" w:rsidP="00F03CD4">
      <w:pPr>
        <w:pStyle w:val="3-BodyText"/>
        <w:rPr>
          <w:color w:val="0066FF"/>
        </w:rPr>
      </w:pPr>
      <w:r w:rsidRPr="0040534B">
        <w:t xml:space="preserve">On </w:t>
      </w:r>
      <w:r w:rsidR="004920B6" w:rsidRPr="0040534B">
        <w:t>1 April 2023,</w:t>
      </w:r>
      <w:r w:rsidRPr="0040534B">
        <w:t xml:space="preserve"> the </w:t>
      </w:r>
      <w:r w:rsidR="00E34A5B" w:rsidRPr="0040534B">
        <w:t xml:space="preserve">published </w:t>
      </w:r>
      <w:r w:rsidRPr="0040534B">
        <w:t xml:space="preserve">AEMP of galcanezumab was reduced from $498.59 to $463.00. The </w:t>
      </w:r>
      <w:r w:rsidR="00E34A5B" w:rsidRPr="0040534B">
        <w:t xml:space="preserve">published </w:t>
      </w:r>
      <w:r w:rsidRPr="0040534B">
        <w:t>AEMP of fremanezumab in March and April 2023 was $488.89.</w:t>
      </w:r>
    </w:p>
    <w:p w14:paraId="1527F207" w14:textId="0721B207" w:rsidR="00F03CD4" w:rsidRPr="0040534B" w:rsidRDefault="00F03CD4" w:rsidP="00F03CD4">
      <w:pPr>
        <w:pStyle w:val="3-BodyText"/>
      </w:pPr>
      <w:r w:rsidRPr="0040534B">
        <w:t xml:space="preserve">The submission assumed that 10% of patients receiving galcanezumab would require medical assistance to use a pre-filled pen or auto-injector and cited vedolizumab as treatment for moderate to severe ulcerative colitis and Crohn’s disease as the PBAC precedent for this assumption. The PBAC had previously accepted that 10% of patients would require assistance with injections involving ‘a visit to a doctor’ and considered that it was reasonable to assume 10% of patients receiving subcutaneous vedolizumab would require assistance (paragraph 6.48, vedolizumab PSD, November 2020 PBAC meeting). </w:t>
      </w:r>
      <w:r w:rsidR="00AB38D4" w:rsidRPr="0040534B">
        <w:t xml:space="preserve">The ESC considered that the assumption that 10% of patients would require assistance with galcanezumab administration was likely overestimated and would decrease over the </w:t>
      </w:r>
      <w:r w:rsidRPr="0040534B">
        <w:t>duration of treatment with galcanezumab.</w:t>
      </w:r>
      <w:r w:rsidR="00F8324F" w:rsidRPr="0040534B">
        <w:t xml:space="preserve"> The pre-PBAC response reiterated that the assumption was reasonable.</w:t>
      </w:r>
    </w:p>
    <w:p w14:paraId="205CE175" w14:textId="0196B500" w:rsidR="00F03CD4" w:rsidRPr="0040534B" w:rsidRDefault="00F03CD4" w:rsidP="00F03CD4">
      <w:pPr>
        <w:pStyle w:val="3-BodyText"/>
      </w:pPr>
      <w:r w:rsidRPr="0040534B">
        <w:fldChar w:fldCharType="begin" w:fldLock="1"/>
      </w:r>
      <w:r w:rsidRPr="0040534B">
        <w:instrText xml:space="preserve"> REF _Ref133590552 \h </w:instrText>
      </w:r>
      <w:r w:rsidR="00653EEA" w:rsidRPr="0040534B">
        <w:instrText xml:space="preserve"> \* MERGEFORMAT </w:instrText>
      </w:r>
      <w:r w:rsidRPr="0040534B">
        <w:fldChar w:fldCharType="separate"/>
      </w:r>
      <w:r w:rsidR="004E201F" w:rsidRPr="0040534B">
        <w:t xml:space="preserve">Table </w:t>
      </w:r>
      <w:r w:rsidR="004E201F">
        <w:t>16</w:t>
      </w:r>
      <w:r w:rsidRPr="0040534B">
        <w:fldChar w:fldCharType="end"/>
      </w:r>
      <w:r w:rsidRPr="0040534B">
        <w:t xml:space="preserve"> presents the results of the cost minimisation approach presented in the submission. This table also includes additional comparisons with the galcanezumab and fremanezumab April 2023 </w:t>
      </w:r>
      <w:r w:rsidR="005D6E54" w:rsidRPr="0040534B">
        <w:t xml:space="preserve">published </w:t>
      </w:r>
      <w:r w:rsidRPr="0040534B">
        <w:t xml:space="preserve">prices conducted during the evaluation using the submission’s CMA method. </w:t>
      </w:r>
    </w:p>
    <w:p w14:paraId="26420F9C" w14:textId="406791CF" w:rsidR="00F03CD4" w:rsidRPr="0040534B" w:rsidRDefault="00F03CD4" w:rsidP="004844B8">
      <w:pPr>
        <w:pStyle w:val="Caption"/>
        <w:rPr>
          <w:rStyle w:val="CommentReference"/>
          <w:b/>
          <w:szCs w:val="24"/>
        </w:rPr>
      </w:pPr>
      <w:bookmarkStart w:id="80" w:name="_Ref133590552"/>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16</w:t>
      </w:r>
      <w:r w:rsidR="001968FD">
        <w:rPr>
          <w:noProof/>
        </w:rPr>
        <w:fldChar w:fldCharType="end"/>
      </w:r>
      <w:bookmarkEnd w:id="80"/>
      <w:r w:rsidRPr="0040534B">
        <w:rPr>
          <w:rStyle w:val="CommentReference"/>
          <w:b/>
          <w:szCs w:val="24"/>
        </w:rPr>
        <w:t>: 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681"/>
        <w:gridCol w:w="1560"/>
        <w:gridCol w:w="1560"/>
        <w:gridCol w:w="1582"/>
      </w:tblGrid>
      <w:tr w:rsidR="00F03CD4" w:rsidRPr="0040534B" w14:paraId="1374D747" w14:textId="77777777" w:rsidTr="007E3A95">
        <w:tc>
          <w:tcPr>
            <w:tcW w:w="1461" w:type="pct"/>
            <w:vAlign w:val="center"/>
          </w:tcPr>
          <w:p w14:paraId="4F5D9FCC" w14:textId="77777777" w:rsidR="00F03CD4" w:rsidRPr="0040534B" w:rsidRDefault="00F03CD4" w:rsidP="004844B8">
            <w:pPr>
              <w:pStyle w:val="In-tableHeading"/>
              <w:keepLines/>
              <w:jc w:val="center"/>
              <w:rPr>
                <w:lang w:val="en-AU"/>
              </w:rPr>
            </w:pPr>
            <w:bookmarkStart w:id="81" w:name="_Hlk134175292"/>
            <w:r w:rsidRPr="0040534B">
              <w:rPr>
                <w:lang w:val="en-AU"/>
              </w:rPr>
              <w:t>Component</w:t>
            </w:r>
          </w:p>
        </w:tc>
        <w:tc>
          <w:tcPr>
            <w:tcW w:w="932" w:type="pct"/>
            <w:vAlign w:val="center"/>
          </w:tcPr>
          <w:p w14:paraId="55C843ED" w14:textId="77777777" w:rsidR="00F03CD4" w:rsidRPr="0040534B" w:rsidRDefault="00F03CD4" w:rsidP="004844B8">
            <w:pPr>
              <w:pStyle w:val="In-tableHeading"/>
              <w:keepLines/>
              <w:jc w:val="center"/>
              <w:rPr>
                <w:lang w:val="en-AU"/>
              </w:rPr>
            </w:pPr>
            <w:r w:rsidRPr="0040534B">
              <w:rPr>
                <w:lang w:val="en-AU"/>
              </w:rPr>
              <w:t>Atogepant</w:t>
            </w:r>
          </w:p>
        </w:tc>
        <w:tc>
          <w:tcPr>
            <w:tcW w:w="865" w:type="pct"/>
            <w:vAlign w:val="center"/>
          </w:tcPr>
          <w:p w14:paraId="7EE2CDBC" w14:textId="77777777" w:rsidR="00F03CD4" w:rsidRPr="0040534B" w:rsidRDefault="00F03CD4" w:rsidP="004844B8">
            <w:pPr>
              <w:pStyle w:val="In-tableHeading"/>
              <w:keepLines/>
              <w:jc w:val="center"/>
              <w:rPr>
                <w:lang w:val="en-AU"/>
              </w:rPr>
            </w:pPr>
            <w:r w:rsidRPr="0040534B">
              <w:rPr>
                <w:lang w:val="en-AU"/>
              </w:rPr>
              <w:t>Galcanezumab (March 2023)</w:t>
            </w:r>
          </w:p>
        </w:tc>
        <w:tc>
          <w:tcPr>
            <w:tcW w:w="865" w:type="pct"/>
            <w:vAlign w:val="center"/>
          </w:tcPr>
          <w:p w14:paraId="5DFBA20D" w14:textId="77777777" w:rsidR="00F03CD4" w:rsidRPr="0040534B" w:rsidRDefault="00F03CD4" w:rsidP="004844B8">
            <w:pPr>
              <w:pStyle w:val="In-tableHeading"/>
              <w:keepLines/>
              <w:jc w:val="center"/>
              <w:rPr>
                <w:i/>
                <w:iCs/>
                <w:lang w:val="en-AU"/>
              </w:rPr>
            </w:pPr>
            <w:r w:rsidRPr="0040534B">
              <w:rPr>
                <w:i/>
                <w:iCs/>
                <w:lang w:val="en-AU"/>
              </w:rPr>
              <w:t>Galcanezumab (April 2023)</w:t>
            </w:r>
          </w:p>
        </w:tc>
        <w:tc>
          <w:tcPr>
            <w:tcW w:w="877" w:type="pct"/>
            <w:vAlign w:val="center"/>
          </w:tcPr>
          <w:p w14:paraId="1984B733" w14:textId="77777777" w:rsidR="00F03CD4" w:rsidRPr="0040534B" w:rsidRDefault="00F03CD4" w:rsidP="004844B8">
            <w:pPr>
              <w:pStyle w:val="In-tableHeading"/>
              <w:keepLines/>
              <w:jc w:val="center"/>
              <w:rPr>
                <w:i/>
                <w:iCs/>
                <w:lang w:val="en-AU"/>
              </w:rPr>
            </w:pPr>
            <w:r w:rsidRPr="0040534B">
              <w:rPr>
                <w:i/>
                <w:iCs/>
                <w:lang w:val="en-AU"/>
              </w:rPr>
              <w:t>Fremanezumab (April 2023)</w:t>
            </w:r>
          </w:p>
        </w:tc>
      </w:tr>
      <w:tr w:rsidR="00F03CD4" w:rsidRPr="0040534B" w14:paraId="5CC2896D" w14:textId="77777777" w:rsidTr="00C124DD">
        <w:tc>
          <w:tcPr>
            <w:tcW w:w="5000" w:type="pct"/>
            <w:gridSpan w:val="5"/>
          </w:tcPr>
          <w:p w14:paraId="047377AB" w14:textId="77777777" w:rsidR="00F03CD4" w:rsidRPr="0040534B" w:rsidRDefault="00F03CD4" w:rsidP="004844B8">
            <w:pPr>
              <w:pStyle w:val="In-tableHeading"/>
              <w:keepLines/>
              <w:rPr>
                <w:i/>
                <w:iCs/>
                <w:lang w:val="en-AU"/>
              </w:rPr>
            </w:pPr>
            <w:r w:rsidRPr="0040534B">
              <w:rPr>
                <w:lang w:val="en-AU"/>
              </w:rPr>
              <w:t>Medicine costs (AEMP)</w:t>
            </w:r>
          </w:p>
        </w:tc>
      </w:tr>
      <w:tr w:rsidR="00F03CD4" w:rsidRPr="0040534B" w14:paraId="11DDC44B" w14:textId="77777777" w:rsidTr="007E3A95">
        <w:tc>
          <w:tcPr>
            <w:tcW w:w="1461" w:type="pct"/>
            <w:vAlign w:val="center"/>
          </w:tcPr>
          <w:p w14:paraId="2E1EFE2E" w14:textId="77777777" w:rsidR="00F03CD4" w:rsidRPr="0040534B" w:rsidRDefault="00F03CD4" w:rsidP="004844B8">
            <w:pPr>
              <w:pStyle w:val="In-tableHeading"/>
              <w:keepLines/>
              <w:rPr>
                <w:b w:val="0"/>
                <w:bCs/>
                <w:lang w:val="en-AU"/>
              </w:rPr>
            </w:pPr>
            <w:r w:rsidRPr="0040534B">
              <w:rPr>
                <w:b w:val="0"/>
                <w:bCs/>
                <w:lang w:val="en-AU"/>
              </w:rPr>
              <w:t>Cost per dose (pack/injection)</w:t>
            </w:r>
          </w:p>
        </w:tc>
        <w:tc>
          <w:tcPr>
            <w:tcW w:w="932" w:type="pct"/>
            <w:vAlign w:val="center"/>
          </w:tcPr>
          <w:p w14:paraId="7609ED8B" w14:textId="49D328B5" w:rsidR="00104D9F" w:rsidRPr="0040534B" w:rsidRDefault="00F03CD4" w:rsidP="004844B8">
            <w:pPr>
              <w:pStyle w:val="In-tableHeading"/>
              <w:keepLines/>
              <w:jc w:val="center"/>
              <w:rPr>
                <w:b w:val="0"/>
                <w:bCs/>
                <w:lang w:val="en-AU"/>
              </w:rPr>
            </w:pPr>
            <w:r w:rsidRPr="0040534B">
              <w:rPr>
                <w:b w:val="0"/>
                <w:bCs/>
                <w:lang w:val="en-AU"/>
              </w:rPr>
              <w:t>$488.18</w:t>
            </w:r>
          </w:p>
        </w:tc>
        <w:tc>
          <w:tcPr>
            <w:tcW w:w="865" w:type="pct"/>
            <w:vAlign w:val="center"/>
          </w:tcPr>
          <w:p w14:paraId="75EAEE98" w14:textId="77777777" w:rsidR="00F03CD4" w:rsidRPr="0040534B" w:rsidRDefault="00F03CD4" w:rsidP="004844B8">
            <w:pPr>
              <w:pStyle w:val="In-tableHeading"/>
              <w:keepLines/>
              <w:jc w:val="center"/>
              <w:rPr>
                <w:b w:val="0"/>
                <w:bCs/>
                <w:lang w:val="en-AU"/>
              </w:rPr>
            </w:pPr>
            <w:r w:rsidRPr="0040534B">
              <w:rPr>
                <w:b w:val="0"/>
                <w:bCs/>
                <w:lang w:val="en-AU"/>
              </w:rPr>
              <w:t>$498.59</w:t>
            </w:r>
          </w:p>
        </w:tc>
        <w:tc>
          <w:tcPr>
            <w:tcW w:w="865" w:type="pct"/>
            <w:vAlign w:val="center"/>
          </w:tcPr>
          <w:p w14:paraId="50D03C39" w14:textId="77777777" w:rsidR="00F03CD4" w:rsidRPr="0040534B" w:rsidRDefault="00F03CD4" w:rsidP="004844B8">
            <w:pPr>
              <w:pStyle w:val="In-tableHeading"/>
              <w:keepLines/>
              <w:jc w:val="center"/>
              <w:rPr>
                <w:b w:val="0"/>
                <w:bCs/>
                <w:i/>
                <w:iCs/>
                <w:lang w:val="en-AU"/>
              </w:rPr>
            </w:pPr>
            <w:r w:rsidRPr="0040534B">
              <w:rPr>
                <w:b w:val="0"/>
                <w:bCs/>
                <w:i/>
                <w:iCs/>
                <w:lang w:val="en-AU"/>
              </w:rPr>
              <w:t>$463.00</w:t>
            </w:r>
          </w:p>
        </w:tc>
        <w:tc>
          <w:tcPr>
            <w:tcW w:w="877" w:type="pct"/>
            <w:vAlign w:val="center"/>
          </w:tcPr>
          <w:p w14:paraId="5FA32C0C" w14:textId="77777777" w:rsidR="00F03CD4" w:rsidRPr="0040534B" w:rsidRDefault="00F03CD4" w:rsidP="004844B8">
            <w:pPr>
              <w:pStyle w:val="In-tableHeading"/>
              <w:keepLines/>
              <w:jc w:val="center"/>
              <w:rPr>
                <w:b w:val="0"/>
                <w:bCs/>
                <w:i/>
                <w:iCs/>
                <w:lang w:val="en-AU"/>
              </w:rPr>
            </w:pPr>
            <w:r w:rsidRPr="0040534B">
              <w:rPr>
                <w:b w:val="0"/>
                <w:bCs/>
                <w:i/>
                <w:iCs/>
                <w:lang w:val="en-AU"/>
              </w:rPr>
              <w:t>$488.89</w:t>
            </w:r>
          </w:p>
        </w:tc>
      </w:tr>
      <w:tr w:rsidR="00F03CD4" w:rsidRPr="0040534B" w14:paraId="16E83F66" w14:textId="77777777" w:rsidTr="007E3A95">
        <w:tc>
          <w:tcPr>
            <w:tcW w:w="1461" w:type="pct"/>
            <w:vAlign w:val="center"/>
          </w:tcPr>
          <w:p w14:paraId="03C0355C" w14:textId="77777777" w:rsidR="00F03CD4" w:rsidRPr="0040534B" w:rsidRDefault="00F03CD4" w:rsidP="004844B8">
            <w:pPr>
              <w:pStyle w:val="In-tableHeading"/>
              <w:keepLines/>
              <w:rPr>
                <w:b w:val="0"/>
                <w:bCs/>
                <w:lang w:val="en-AU"/>
              </w:rPr>
            </w:pPr>
            <w:r w:rsidRPr="0040534B">
              <w:rPr>
                <w:b w:val="0"/>
                <w:bCs/>
                <w:lang w:val="en-AU"/>
              </w:rPr>
              <w:t>Dose duration (pack/injection)</w:t>
            </w:r>
          </w:p>
        </w:tc>
        <w:tc>
          <w:tcPr>
            <w:tcW w:w="932" w:type="pct"/>
            <w:vAlign w:val="center"/>
          </w:tcPr>
          <w:p w14:paraId="7FCBC22A" w14:textId="77777777" w:rsidR="00F03CD4" w:rsidRPr="0040534B" w:rsidRDefault="00F03CD4" w:rsidP="004844B8">
            <w:pPr>
              <w:pStyle w:val="In-tableHeading"/>
              <w:keepLines/>
              <w:jc w:val="center"/>
              <w:rPr>
                <w:b w:val="0"/>
                <w:bCs/>
                <w:lang w:val="en-AU"/>
              </w:rPr>
            </w:pPr>
            <w:r w:rsidRPr="0040534B">
              <w:rPr>
                <w:b w:val="0"/>
                <w:bCs/>
                <w:lang w:val="en-AU"/>
              </w:rPr>
              <w:t>28 days</w:t>
            </w:r>
          </w:p>
        </w:tc>
        <w:tc>
          <w:tcPr>
            <w:tcW w:w="865" w:type="pct"/>
            <w:vAlign w:val="center"/>
          </w:tcPr>
          <w:p w14:paraId="46E4CADB" w14:textId="77777777" w:rsidR="00F03CD4" w:rsidRPr="0040534B" w:rsidRDefault="00F03CD4" w:rsidP="004844B8">
            <w:pPr>
              <w:pStyle w:val="In-tableHeading"/>
              <w:keepLines/>
              <w:jc w:val="center"/>
              <w:rPr>
                <w:b w:val="0"/>
                <w:bCs/>
                <w:lang w:val="en-AU"/>
              </w:rPr>
            </w:pPr>
            <w:r w:rsidRPr="0040534B">
              <w:rPr>
                <w:b w:val="0"/>
                <w:bCs/>
                <w:lang w:val="en-AU"/>
              </w:rPr>
              <w:t>30 days</w:t>
            </w:r>
          </w:p>
        </w:tc>
        <w:tc>
          <w:tcPr>
            <w:tcW w:w="865" w:type="pct"/>
            <w:vAlign w:val="center"/>
          </w:tcPr>
          <w:p w14:paraId="5247084D" w14:textId="77777777" w:rsidR="00F03CD4" w:rsidRPr="0040534B" w:rsidRDefault="00F03CD4" w:rsidP="004844B8">
            <w:pPr>
              <w:pStyle w:val="In-tableHeading"/>
              <w:keepLines/>
              <w:jc w:val="center"/>
              <w:rPr>
                <w:b w:val="0"/>
                <w:bCs/>
                <w:i/>
                <w:iCs/>
                <w:lang w:val="en-AU"/>
              </w:rPr>
            </w:pPr>
            <w:r w:rsidRPr="0040534B">
              <w:rPr>
                <w:b w:val="0"/>
                <w:bCs/>
                <w:lang w:val="en-AU"/>
              </w:rPr>
              <w:t>30 days</w:t>
            </w:r>
          </w:p>
        </w:tc>
        <w:tc>
          <w:tcPr>
            <w:tcW w:w="877" w:type="pct"/>
            <w:vAlign w:val="center"/>
          </w:tcPr>
          <w:p w14:paraId="0A165C86" w14:textId="77777777" w:rsidR="00F03CD4" w:rsidRPr="0040534B" w:rsidRDefault="00F03CD4" w:rsidP="004844B8">
            <w:pPr>
              <w:pStyle w:val="In-tableHeading"/>
              <w:keepLines/>
              <w:jc w:val="center"/>
              <w:rPr>
                <w:b w:val="0"/>
                <w:bCs/>
                <w:i/>
                <w:iCs/>
                <w:lang w:val="en-AU"/>
              </w:rPr>
            </w:pPr>
            <w:r w:rsidRPr="0040534B">
              <w:rPr>
                <w:b w:val="0"/>
                <w:bCs/>
                <w:lang w:val="en-AU"/>
              </w:rPr>
              <w:t>30 days</w:t>
            </w:r>
          </w:p>
        </w:tc>
      </w:tr>
      <w:tr w:rsidR="00F03CD4" w:rsidRPr="0040534B" w14:paraId="29D41745" w14:textId="77777777" w:rsidTr="007E3A95">
        <w:tc>
          <w:tcPr>
            <w:tcW w:w="1461" w:type="pct"/>
            <w:vAlign w:val="center"/>
          </w:tcPr>
          <w:p w14:paraId="66D4E0CD" w14:textId="77777777" w:rsidR="00F03CD4" w:rsidRPr="0040534B" w:rsidRDefault="00F03CD4" w:rsidP="004844B8">
            <w:pPr>
              <w:pStyle w:val="TableText0"/>
              <w:keepLines/>
            </w:pPr>
            <w:r w:rsidRPr="0040534B">
              <w:t>Units over 24 months</w:t>
            </w:r>
          </w:p>
        </w:tc>
        <w:tc>
          <w:tcPr>
            <w:tcW w:w="932" w:type="pct"/>
            <w:vAlign w:val="center"/>
          </w:tcPr>
          <w:p w14:paraId="0FC113E2" w14:textId="77777777" w:rsidR="00F03CD4" w:rsidRPr="0040534B" w:rsidRDefault="00F03CD4" w:rsidP="004844B8">
            <w:pPr>
              <w:pStyle w:val="TableText0"/>
              <w:keepLines/>
              <w:jc w:val="center"/>
            </w:pPr>
            <w:r w:rsidRPr="0040534B">
              <w:t>26.07</w:t>
            </w:r>
            <w:r w:rsidRPr="0040534B">
              <w:rPr>
                <w:vertAlign w:val="superscript"/>
              </w:rPr>
              <w:t>a</w:t>
            </w:r>
          </w:p>
        </w:tc>
        <w:tc>
          <w:tcPr>
            <w:tcW w:w="865" w:type="pct"/>
            <w:vAlign w:val="center"/>
          </w:tcPr>
          <w:p w14:paraId="7D247ECB" w14:textId="77777777" w:rsidR="00F03CD4" w:rsidRPr="0040534B" w:rsidRDefault="00F03CD4" w:rsidP="004844B8">
            <w:pPr>
              <w:pStyle w:val="TableText0"/>
              <w:keepLines/>
              <w:jc w:val="center"/>
            </w:pPr>
            <w:r w:rsidRPr="0040534B">
              <w:t>25.33</w:t>
            </w:r>
            <w:r w:rsidRPr="0040534B">
              <w:rPr>
                <w:vertAlign w:val="superscript"/>
              </w:rPr>
              <w:t>b</w:t>
            </w:r>
          </w:p>
        </w:tc>
        <w:tc>
          <w:tcPr>
            <w:tcW w:w="865" w:type="pct"/>
            <w:vAlign w:val="center"/>
          </w:tcPr>
          <w:p w14:paraId="7C212CB3" w14:textId="77777777" w:rsidR="00F03CD4" w:rsidRPr="0040534B" w:rsidRDefault="00F03CD4" w:rsidP="004844B8">
            <w:pPr>
              <w:pStyle w:val="TableText0"/>
              <w:keepLines/>
              <w:jc w:val="center"/>
              <w:rPr>
                <w:i/>
                <w:iCs/>
              </w:rPr>
            </w:pPr>
            <w:r w:rsidRPr="0040534B">
              <w:t>25.33</w:t>
            </w:r>
            <w:r w:rsidRPr="0040534B">
              <w:rPr>
                <w:vertAlign w:val="superscript"/>
              </w:rPr>
              <w:t>b</w:t>
            </w:r>
          </w:p>
        </w:tc>
        <w:tc>
          <w:tcPr>
            <w:tcW w:w="877" w:type="pct"/>
            <w:vAlign w:val="center"/>
          </w:tcPr>
          <w:p w14:paraId="1FBCD214" w14:textId="77777777" w:rsidR="00F03CD4" w:rsidRPr="0040534B" w:rsidRDefault="00F03CD4" w:rsidP="004844B8">
            <w:pPr>
              <w:pStyle w:val="TableText0"/>
              <w:keepLines/>
              <w:jc w:val="center"/>
              <w:rPr>
                <w:i/>
                <w:iCs/>
              </w:rPr>
            </w:pPr>
            <w:r w:rsidRPr="0040534B">
              <w:t>24.33</w:t>
            </w:r>
            <w:r w:rsidRPr="0040534B">
              <w:rPr>
                <w:vertAlign w:val="superscript"/>
              </w:rPr>
              <w:t>c</w:t>
            </w:r>
          </w:p>
        </w:tc>
      </w:tr>
      <w:tr w:rsidR="00F03CD4" w:rsidRPr="0040534B" w14:paraId="5298612E" w14:textId="77777777" w:rsidTr="007E3A95">
        <w:tc>
          <w:tcPr>
            <w:tcW w:w="1461" w:type="pct"/>
            <w:vAlign w:val="center"/>
          </w:tcPr>
          <w:p w14:paraId="488D68EA" w14:textId="62C0B4FB" w:rsidR="00F03CD4" w:rsidRPr="0040534B" w:rsidRDefault="00F03CD4" w:rsidP="004844B8">
            <w:pPr>
              <w:pStyle w:val="TableText0"/>
              <w:keepLines/>
              <w:rPr>
                <w:b/>
                <w:bCs w:val="0"/>
              </w:rPr>
            </w:pPr>
            <w:r w:rsidRPr="0040534B">
              <w:rPr>
                <w:b/>
                <w:bCs w:val="0"/>
              </w:rPr>
              <w:t xml:space="preserve">Total cost </w:t>
            </w:r>
            <w:r w:rsidR="00A7549D" w:rsidRPr="0040534B">
              <w:rPr>
                <w:b/>
                <w:bCs w:val="0"/>
              </w:rPr>
              <w:t>–</w:t>
            </w:r>
            <w:r w:rsidRPr="0040534B">
              <w:rPr>
                <w:b/>
                <w:bCs w:val="0"/>
              </w:rPr>
              <w:t xml:space="preserve"> medicine</w:t>
            </w:r>
          </w:p>
        </w:tc>
        <w:tc>
          <w:tcPr>
            <w:tcW w:w="932" w:type="pct"/>
            <w:vAlign w:val="center"/>
          </w:tcPr>
          <w:p w14:paraId="0CE68318" w14:textId="15EBF4F3" w:rsidR="00F03CD4" w:rsidRPr="0040534B" w:rsidRDefault="00F03CD4" w:rsidP="004844B8">
            <w:pPr>
              <w:pStyle w:val="TableText0"/>
              <w:keepLines/>
              <w:jc w:val="center"/>
            </w:pPr>
            <w:r w:rsidRPr="0040534B">
              <w:t>$12,727.67</w:t>
            </w:r>
          </w:p>
        </w:tc>
        <w:tc>
          <w:tcPr>
            <w:tcW w:w="865" w:type="pct"/>
            <w:vAlign w:val="center"/>
          </w:tcPr>
          <w:p w14:paraId="023FE898" w14:textId="77777777" w:rsidR="00F03CD4" w:rsidRPr="0040534B" w:rsidRDefault="00F03CD4" w:rsidP="004844B8">
            <w:pPr>
              <w:pStyle w:val="TableText0"/>
              <w:keepLines/>
              <w:jc w:val="center"/>
            </w:pPr>
            <w:r w:rsidRPr="0040534B">
              <w:t>$12,630.95</w:t>
            </w:r>
          </w:p>
        </w:tc>
        <w:tc>
          <w:tcPr>
            <w:tcW w:w="865" w:type="pct"/>
            <w:vAlign w:val="center"/>
          </w:tcPr>
          <w:p w14:paraId="68CABD86" w14:textId="77777777" w:rsidR="00F03CD4" w:rsidRPr="0040534B" w:rsidRDefault="00F03CD4" w:rsidP="004844B8">
            <w:pPr>
              <w:keepNext/>
              <w:keepLines/>
              <w:jc w:val="center"/>
              <w:rPr>
                <w:rFonts w:ascii="Arial Narrow" w:eastAsiaTheme="majorEastAsia" w:hAnsi="Arial Narrow" w:cstheme="majorBidi"/>
                <w:bCs/>
                <w:sz w:val="20"/>
              </w:rPr>
            </w:pPr>
            <w:r w:rsidRPr="0040534B">
              <w:rPr>
                <w:rFonts w:ascii="Arial Narrow" w:eastAsiaTheme="majorEastAsia" w:hAnsi="Arial Narrow" w:cstheme="majorBidi"/>
                <w:bCs/>
                <w:sz w:val="20"/>
              </w:rPr>
              <w:t>$11,729.33</w:t>
            </w:r>
          </w:p>
        </w:tc>
        <w:tc>
          <w:tcPr>
            <w:tcW w:w="877" w:type="pct"/>
            <w:vAlign w:val="center"/>
          </w:tcPr>
          <w:p w14:paraId="44D5A143" w14:textId="77777777" w:rsidR="00F03CD4" w:rsidRPr="0040534B" w:rsidRDefault="00F03CD4" w:rsidP="004844B8">
            <w:pPr>
              <w:keepNext/>
              <w:keepLines/>
              <w:jc w:val="center"/>
              <w:rPr>
                <w:rFonts w:ascii="Arial Narrow" w:eastAsiaTheme="majorEastAsia" w:hAnsi="Arial Narrow" w:cstheme="majorBidi"/>
                <w:bCs/>
                <w:sz w:val="20"/>
              </w:rPr>
            </w:pPr>
            <w:r w:rsidRPr="0040534B">
              <w:rPr>
                <w:rFonts w:ascii="Arial Narrow" w:eastAsiaTheme="majorEastAsia" w:hAnsi="Arial Narrow" w:cstheme="majorBidi"/>
                <w:bCs/>
                <w:sz w:val="20"/>
              </w:rPr>
              <w:t>$11,896.32</w:t>
            </w:r>
          </w:p>
        </w:tc>
      </w:tr>
      <w:tr w:rsidR="00F03CD4" w:rsidRPr="0040534B" w14:paraId="1689CFFE" w14:textId="77777777" w:rsidTr="00C124DD">
        <w:tc>
          <w:tcPr>
            <w:tcW w:w="5000" w:type="pct"/>
            <w:gridSpan w:val="5"/>
          </w:tcPr>
          <w:p w14:paraId="3AD4F362" w14:textId="77777777" w:rsidR="00F03CD4" w:rsidRPr="0040534B" w:rsidRDefault="00F03CD4" w:rsidP="004844B8">
            <w:pPr>
              <w:pStyle w:val="TableText0"/>
              <w:keepLines/>
              <w:rPr>
                <w:b/>
                <w:bCs w:val="0"/>
                <w:i/>
                <w:iCs/>
              </w:rPr>
            </w:pPr>
            <w:r w:rsidRPr="0040534B">
              <w:rPr>
                <w:b/>
                <w:bCs w:val="0"/>
              </w:rPr>
              <w:t>Administration costs over 2 years</w:t>
            </w:r>
          </w:p>
        </w:tc>
      </w:tr>
      <w:tr w:rsidR="00F03CD4" w:rsidRPr="0040534B" w14:paraId="4CDF9239" w14:textId="77777777" w:rsidTr="007E3A95">
        <w:tc>
          <w:tcPr>
            <w:tcW w:w="1461" w:type="pct"/>
            <w:vAlign w:val="center"/>
          </w:tcPr>
          <w:p w14:paraId="3FFD1180" w14:textId="77777777" w:rsidR="00F03CD4" w:rsidRPr="0040534B" w:rsidRDefault="00F03CD4" w:rsidP="004844B8">
            <w:pPr>
              <w:pStyle w:val="TableText0"/>
              <w:keepLines/>
            </w:pPr>
            <w:r w:rsidRPr="0040534B">
              <w:t>Injections with medical assistance (10%)</w:t>
            </w:r>
          </w:p>
        </w:tc>
        <w:tc>
          <w:tcPr>
            <w:tcW w:w="932" w:type="pct"/>
            <w:vAlign w:val="center"/>
          </w:tcPr>
          <w:p w14:paraId="6A952740" w14:textId="77777777" w:rsidR="00F03CD4" w:rsidRPr="0040534B" w:rsidRDefault="00F03CD4" w:rsidP="004844B8">
            <w:pPr>
              <w:pStyle w:val="TableText0"/>
              <w:keepLines/>
              <w:jc w:val="center"/>
            </w:pPr>
            <w:r w:rsidRPr="0040534B">
              <w:t>0</w:t>
            </w:r>
          </w:p>
        </w:tc>
        <w:tc>
          <w:tcPr>
            <w:tcW w:w="865" w:type="pct"/>
            <w:vAlign w:val="center"/>
          </w:tcPr>
          <w:p w14:paraId="770FB496" w14:textId="77777777" w:rsidR="00F03CD4" w:rsidRPr="0040534B" w:rsidRDefault="00F03CD4" w:rsidP="004844B8">
            <w:pPr>
              <w:pStyle w:val="TableText0"/>
              <w:keepLines/>
              <w:jc w:val="center"/>
            </w:pPr>
            <w:r w:rsidRPr="0040534B">
              <w:t>2.43</w:t>
            </w:r>
          </w:p>
        </w:tc>
        <w:tc>
          <w:tcPr>
            <w:tcW w:w="865" w:type="pct"/>
            <w:vAlign w:val="center"/>
          </w:tcPr>
          <w:p w14:paraId="308FE5BD" w14:textId="77777777" w:rsidR="00F03CD4" w:rsidRPr="0040534B" w:rsidRDefault="00F03CD4" w:rsidP="004844B8">
            <w:pPr>
              <w:pStyle w:val="TableText0"/>
              <w:keepLines/>
              <w:jc w:val="center"/>
              <w:rPr>
                <w:i/>
                <w:iCs/>
              </w:rPr>
            </w:pPr>
            <w:r w:rsidRPr="0040534B">
              <w:t>2.43</w:t>
            </w:r>
          </w:p>
        </w:tc>
        <w:tc>
          <w:tcPr>
            <w:tcW w:w="877" w:type="pct"/>
            <w:vAlign w:val="center"/>
          </w:tcPr>
          <w:p w14:paraId="1B6D5842" w14:textId="77777777" w:rsidR="00F03CD4" w:rsidRPr="0040534B" w:rsidRDefault="00F03CD4" w:rsidP="004844B8">
            <w:pPr>
              <w:pStyle w:val="TableText0"/>
              <w:keepLines/>
              <w:jc w:val="center"/>
              <w:rPr>
                <w:i/>
                <w:iCs/>
              </w:rPr>
            </w:pPr>
            <w:r w:rsidRPr="0040534B">
              <w:t>2.43</w:t>
            </w:r>
          </w:p>
        </w:tc>
      </w:tr>
      <w:tr w:rsidR="00F03CD4" w:rsidRPr="0040534B" w14:paraId="01C07A2F" w14:textId="77777777" w:rsidTr="007E3A95">
        <w:tc>
          <w:tcPr>
            <w:tcW w:w="1461" w:type="pct"/>
            <w:tcBorders>
              <w:bottom w:val="single" w:sz="4" w:space="0" w:color="auto"/>
            </w:tcBorders>
            <w:vAlign w:val="center"/>
          </w:tcPr>
          <w:p w14:paraId="37F98207" w14:textId="77777777" w:rsidR="00F03CD4" w:rsidRPr="0040534B" w:rsidRDefault="00F03CD4" w:rsidP="004844B8">
            <w:pPr>
              <w:pStyle w:val="TableText0"/>
              <w:keepLines/>
            </w:pPr>
            <w:r w:rsidRPr="0040534B">
              <w:t>Unit cost of medical assistance</w:t>
            </w:r>
          </w:p>
        </w:tc>
        <w:tc>
          <w:tcPr>
            <w:tcW w:w="932" w:type="pct"/>
            <w:tcBorders>
              <w:bottom w:val="single" w:sz="4" w:space="0" w:color="auto"/>
            </w:tcBorders>
            <w:vAlign w:val="center"/>
          </w:tcPr>
          <w:p w14:paraId="79FE20E7" w14:textId="77777777" w:rsidR="00F03CD4" w:rsidRPr="0040534B" w:rsidRDefault="00F03CD4" w:rsidP="004844B8">
            <w:pPr>
              <w:pStyle w:val="TableText0"/>
              <w:keepLines/>
              <w:jc w:val="center"/>
            </w:pPr>
            <w:r w:rsidRPr="0040534B">
              <w:t>$0</w:t>
            </w:r>
          </w:p>
        </w:tc>
        <w:tc>
          <w:tcPr>
            <w:tcW w:w="865" w:type="pct"/>
            <w:tcBorders>
              <w:bottom w:val="single" w:sz="4" w:space="0" w:color="auto"/>
            </w:tcBorders>
            <w:vAlign w:val="center"/>
          </w:tcPr>
          <w:p w14:paraId="2541405F" w14:textId="77777777" w:rsidR="00F03CD4" w:rsidRPr="0040534B" w:rsidRDefault="00F03CD4" w:rsidP="004844B8">
            <w:pPr>
              <w:pStyle w:val="TableText0"/>
              <w:keepLines/>
              <w:jc w:val="center"/>
            </w:pPr>
            <w:r w:rsidRPr="0040534B">
              <w:t>$39.75</w:t>
            </w:r>
          </w:p>
        </w:tc>
        <w:tc>
          <w:tcPr>
            <w:tcW w:w="865" w:type="pct"/>
            <w:tcBorders>
              <w:bottom w:val="single" w:sz="4" w:space="0" w:color="auto"/>
            </w:tcBorders>
            <w:vAlign w:val="center"/>
          </w:tcPr>
          <w:p w14:paraId="534F3921" w14:textId="77777777" w:rsidR="00F03CD4" w:rsidRPr="0040534B" w:rsidRDefault="00F03CD4" w:rsidP="004844B8">
            <w:pPr>
              <w:pStyle w:val="TableText0"/>
              <w:keepLines/>
              <w:jc w:val="center"/>
              <w:rPr>
                <w:i/>
                <w:iCs/>
              </w:rPr>
            </w:pPr>
            <w:r w:rsidRPr="0040534B">
              <w:t>$39.75</w:t>
            </w:r>
          </w:p>
        </w:tc>
        <w:tc>
          <w:tcPr>
            <w:tcW w:w="877" w:type="pct"/>
            <w:tcBorders>
              <w:bottom w:val="single" w:sz="4" w:space="0" w:color="auto"/>
            </w:tcBorders>
            <w:vAlign w:val="center"/>
          </w:tcPr>
          <w:p w14:paraId="214F7ECE" w14:textId="77777777" w:rsidR="00F03CD4" w:rsidRPr="0040534B" w:rsidRDefault="00F03CD4" w:rsidP="004844B8">
            <w:pPr>
              <w:pStyle w:val="TableText0"/>
              <w:keepLines/>
              <w:jc w:val="center"/>
              <w:rPr>
                <w:i/>
                <w:iCs/>
              </w:rPr>
            </w:pPr>
            <w:r w:rsidRPr="0040534B">
              <w:t>$39.75</w:t>
            </w:r>
          </w:p>
        </w:tc>
      </w:tr>
      <w:tr w:rsidR="00F03CD4" w:rsidRPr="0040534B" w14:paraId="06142797" w14:textId="77777777" w:rsidTr="007E3A95">
        <w:tc>
          <w:tcPr>
            <w:tcW w:w="1461" w:type="pct"/>
            <w:tcBorders>
              <w:bottom w:val="single" w:sz="4" w:space="0" w:color="auto"/>
            </w:tcBorders>
            <w:vAlign w:val="center"/>
          </w:tcPr>
          <w:p w14:paraId="501C0C47" w14:textId="297E0634" w:rsidR="00F03CD4" w:rsidRPr="0040534B" w:rsidRDefault="00F03CD4" w:rsidP="004844B8">
            <w:pPr>
              <w:pStyle w:val="TableText0"/>
              <w:keepLines/>
            </w:pPr>
            <w:r w:rsidRPr="0040534B">
              <w:t xml:space="preserve">Total cost </w:t>
            </w:r>
            <w:r w:rsidR="00A7549D" w:rsidRPr="0040534B">
              <w:t>–</w:t>
            </w:r>
            <w:r w:rsidRPr="0040534B">
              <w:t xml:space="preserve"> administration</w:t>
            </w:r>
          </w:p>
        </w:tc>
        <w:tc>
          <w:tcPr>
            <w:tcW w:w="932" w:type="pct"/>
            <w:tcBorders>
              <w:bottom w:val="single" w:sz="4" w:space="0" w:color="auto"/>
            </w:tcBorders>
            <w:vAlign w:val="center"/>
          </w:tcPr>
          <w:p w14:paraId="5F0FEA44" w14:textId="77777777" w:rsidR="00F03CD4" w:rsidRPr="0040534B" w:rsidRDefault="00F03CD4" w:rsidP="004844B8">
            <w:pPr>
              <w:pStyle w:val="TableText0"/>
              <w:keepLines/>
              <w:jc w:val="center"/>
            </w:pPr>
            <w:r w:rsidRPr="0040534B">
              <w:t>$0</w:t>
            </w:r>
          </w:p>
        </w:tc>
        <w:tc>
          <w:tcPr>
            <w:tcW w:w="865" w:type="pct"/>
            <w:tcBorders>
              <w:bottom w:val="single" w:sz="4" w:space="0" w:color="auto"/>
            </w:tcBorders>
            <w:vAlign w:val="center"/>
          </w:tcPr>
          <w:p w14:paraId="009B27D2" w14:textId="77777777" w:rsidR="00F03CD4" w:rsidRPr="0040534B" w:rsidRDefault="00F03CD4" w:rsidP="004844B8">
            <w:pPr>
              <w:pStyle w:val="TableText0"/>
              <w:keepLines/>
              <w:jc w:val="center"/>
            </w:pPr>
            <w:r w:rsidRPr="0040534B">
              <w:t>$96.73</w:t>
            </w:r>
          </w:p>
        </w:tc>
        <w:tc>
          <w:tcPr>
            <w:tcW w:w="865" w:type="pct"/>
            <w:tcBorders>
              <w:bottom w:val="single" w:sz="4" w:space="0" w:color="auto"/>
            </w:tcBorders>
            <w:vAlign w:val="center"/>
          </w:tcPr>
          <w:p w14:paraId="5B535318" w14:textId="77777777" w:rsidR="00F03CD4" w:rsidRPr="0040534B" w:rsidRDefault="00F03CD4" w:rsidP="004844B8">
            <w:pPr>
              <w:pStyle w:val="TableText0"/>
              <w:keepLines/>
              <w:jc w:val="center"/>
              <w:rPr>
                <w:i/>
                <w:iCs/>
              </w:rPr>
            </w:pPr>
            <w:r w:rsidRPr="0040534B">
              <w:t>$96.73</w:t>
            </w:r>
          </w:p>
        </w:tc>
        <w:tc>
          <w:tcPr>
            <w:tcW w:w="877" w:type="pct"/>
            <w:tcBorders>
              <w:bottom w:val="single" w:sz="4" w:space="0" w:color="auto"/>
            </w:tcBorders>
            <w:vAlign w:val="center"/>
          </w:tcPr>
          <w:p w14:paraId="26A79537" w14:textId="77777777" w:rsidR="00F03CD4" w:rsidRPr="0040534B" w:rsidRDefault="00F03CD4" w:rsidP="004844B8">
            <w:pPr>
              <w:pStyle w:val="TableText0"/>
              <w:keepLines/>
              <w:jc w:val="center"/>
              <w:rPr>
                <w:i/>
                <w:iCs/>
              </w:rPr>
            </w:pPr>
            <w:r w:rsidRPr="0040534B">
              <w:t>$96.73</w:t>
            </w:r>
          </w:p>
        </w:tc>
      </w:tr>
      <w:tr w:rsidR="00F03CD4" w:rsidRPr="0040534B" w14:paraId="26EE327D" w14:textId="77777777" w:rsidTr="007E3A95">
        <w:trPr>
          <w:trHeight w:val="40"/>
        </w:trPr>
        <w:tc>
          <w:tcPr>
            <w:tcW w:w="1461" w:type="pct"/>
            <w:tcBorders>
              <w:top w:val="single" w:sz="4" w:space="0" w:color="auto"/>
            </w:tcBorders>
            <w:vAlign w:val="center"/>
          </w:tcPr>
          <w:p w14:paraId="4E3F7FB5" w14:textId="77777777" w:rsidR="00F03CD4" w:rsidRPr="0040534B" w:rsidRDefault="00F03CD4" w:rsidP="004844B8">
            <w:pPr>
              <w:pStyle w:val="TableText0"/>
              <w:keepLines/>
              <w:rPr>
                <w:b/>
                <w:bCs w:val="0"/>
              </w:rPr>
            </w:pPr>
            <w:r w:rsidRPr="0040534B">
              <w:rPr>
                <w:b/>
                <w:bCs w:val="0"/>
              </w:rPr>
              <w:t>TOTAL COST over 2 years</w:t>
            </w:r>
          </w:p>
        </w:tc>
        <w:tc>
          <w:tcPr>
            <w:tcW w:w="932" w:type="pct"/>
            <w:tcBorders>
              <w:top w:val="single" w:sz="4" w:space="0" w:color="auto"/>
            </w:tcBorders>
            <w:vAlign w:val="center"/>
          </w:tcPr>
          <w:p w14:paraId="777C5910" w14:textId="1B29B128" w:rsidR="00F03CD4" w:rsidRPr="0040534B" w:rsidRDefault="00F03CD4" w:rsidP="004844B8">
            <w:pPr>
              <w:pStyle w:val="TableText0"/>
              <w:keepLines/>
              <w:jc w:val="center"/>
              <w:rPr>
                <w:b/>
                <w:bCs w:val="0"/>
              </w:rPr>
            </w:pPr>
            <w:r w:rsidRPr="0040534B">
              <w:rPr>
                <w:b/>
                <w:bCs w:val="0"/>
              </w:rPr>
              <w:t>$12,727.67</w:t>
            </w:r>
          </w:p>
        </w:tc>
        <w:tc>
          <w:tcPr>
            <w:tcW w:w="865" w:type="pct"/>
            <w:tcBorders>
              <w:top w:val="single" w:sz="4" w:space="0" w:color="auto"/>
            </w:tcBorders>
            <w:vAlign w:val="center"/>
          </w:tcPr>
          <w:p w14:paraId="7871B16C" w14:textId="77777777" w:rsidR="00F03CD4" w:rsidRPr="0040534B" w:rsidRDefault="00F03CD4" w:rsidP="004844B8">
            <w:pPr>
              <w:pStyle w:val="TableText0"/>
              <w:keepLines/>
              <w:jc w:val="center"/>
              <w:rPr>
                <w:b/>
                <w:bCs w:val="0"/>
              </w:rPr>
            </w:pPr>
            <w:r w:rsidRPr="0040534B">
              <w:rPr>
                <w:b/>
                <w:bCs w:val="0"/>
              </w:rPr>
              <w:t>$12,727.67</w:t>
            </w:r>
          </w:p>
        </w:tc>
        <w:tc>
          <w:tcPr>
            <w:tcW w:w="865" w:type="pct"/>
            <w:tcBorders>
              <w:top w:val="single" w:sz="4" w:space="0" w:color="auto"/>
            </w:tcBorders>
            <w:vAlign w:val="center"/>
          </w:tcPr>
          <w:p w14:paraId="3CB06AC1" w14:textId="77777777" w:rsidR="00F03CD4" w:rsidRPr="0040534B" w:rsidRDefault="00F03CD4" w:rsidP="004844B8">
            <w:pPr>
              <w:keepNext/>
              <w:keepLines/>
              <w:jc w:val="center"/>
              <w:rPr>
                <w:rFonts w:ascii="Arial Narrow" w:eastAsiaTheme="majorEastAsia" w:hAnsi="Arial Narrow" w:cstheme="majorBidi"/>
                <w:b/>
                <w:sz w:val="20"/>
              </w:rPr>
            </w:pPr>
            <w:r w:rsidRPr="0040534B">
              <w:rPr>
                <w:rFonts w:ascii="Arial Narrow" w:eastAsiaTheme="majorEastAsia" w:hAnsi="Arial Narrow" w:cstheme="majorBidi"/>
                <w:b/>
                <w:sz w:val="20"/>
              </w:rPr>
              <w:t>$11,826.06</w:t>
            </w:r>
          </w:p>
        </w:tc>
        <w:tc>
          <w:tcPr>
            <w:tcW w:w="877" w:type="pct"/>
            <w:tcBorders>
              <w:top w:val="single" w:sz="4" w:space="0" w:color="auto"/>
            </w:tcBorders>
            <w:vAlign w:val="center"/>
          </w:tcPr>
          <w:p w14:paraId="56FC44F4" w14:textId="77777777" w:rsidR="00F03CD4" w:rsidRPr="0040534B" w:rsidRDefault="00F03CD4" w:rsidP="004844B8">
            <w:pPr>
              <w:keepNext/>
              <w:keepLines/>
              <w:jc w:val="center"/>
              <w:rPr>
                <w:rFonts w:ascii="Arial Narrow" w:eastAsiaTheme="majorEastAsia" w:hAnsi="Arial Narrow" w:cstheme="majorBidi"/>
                <w:b/>
                <w:sz w:val="20"/>
              </w:rPr>
            </w:pPr>
            <w:r w:rsidRPr="0040534B">
              <w:rPr>
                <w:rFonts w:ascii="Arial Narrow" w:eastAsiaTheme="majorEastAsia" w:hAnsi="Arial Narrow" w:cstheme="majorBidi"/>
                <w:b/>
                <w:sz w:val="20"/>
              </w:rPr>
              <w:t>$11,993.05</w:t>
            </w:r>
          </w:p>
        </w:tc>
      </w:tr>
      <w:tr w:rsidR="00F03CD4" w:rsidRPr="0040534B" w14:paraId="1D46D0BF" w14:textId="77777777" w:rsidTr="007E3A95">
        <w:trPr>
          <w:trHeight w:val="70"/>
        </w:trPr>
        <w:tc>
          <w:tcPr>
            <w:tcW w:w="1461" w:type="pct"/>
            <w:vAlign w:val="center"/>
          </w:tcPr>
          <w:p w14:paraId="5B80BB41" w14:textId="21483396" w:rsidR="00F03CD4" w:rsidRPr="0040534B" w:rsidRDefault="00F03CD4" w:rsidP="004844B8">
            <w:pPr>
              <w:pStyle w:val="TableText0"/>
              <w:keepLines/>
              <w:rPr>
                <w:b/>
                <w:bCs w:val="0"/>
              </w:rPr>
            </w:pPr>
            <w:r w:rsidRPr="0040534B">
              <w:rPr>
                <w:b/>
                <w:bCs w:val="0"/>
              </w:rPr>
              <w:t>Difference in cost/2 years</w:t>
            </w:r>
          </w:p>
        </w:tc>
        <w:tc>
          <w:tcPr>
            <w:tcW w:w="932" w:type="pct"/>
            <w:vAlign w:val="center"/>
          </w:tcPr>
          <w:p w14:paraId="749C9223" w14:textId="476BC558" w:rsidR="00F03CD4" w:rsidRPr="0040534B" w:rsidRDefault="00B434C6" w:rsidP="004844B8">
            <w:pPr>
              <w:pStyle w:val="TableText0"/>
              <w:keepLines/>
              <w:jc w:val="center"/>
              <w:rPr>
                <w:b/>
                <w:bCs w:val="0"/>
              </w:rPr>
            </w:pPr>
            <w:r w:rsidRPr="0040534B">
              <w:rPr>
                <w:b/>
                <w:bCs w:val="0"/>
              </w:rPr>
              <w:t>-</w:t>
            </w:r>
          </w:p>
        </w:tc>
        <w:tc>
          <w:tcPr>
            <w:tcW w:w="865" w:type="pct"/>
            <w:vAlign w:val="center"/>
          </w:tcPr>
          <w:p w14:paraId="359F4DA3" w14:textId="77777777" w:rsidR="00F03CD4" w:rsidRPr="0040534B" w:rsidRDefault="00F03CD4" w:rsidP="004844B8">
            <w:pPr>
              <w:pStyle w:val="TableText0"/>
              <w:keepLines/>
              <w:jc w:val="center"/>
              <w:rPr>
                <w:b/>
                <w:bCs w:val="0"/>
              </w:rPr>
            </w:pPr>
            <w:r w:rsidRPr="0040534B">
              <w:rPr>
                <w:b/>
                <w:bCs w:val="0"/>
              </w:rPr>
              <w:t>$0</w:t>
            </w:r>
          </w:p>
        </w:tc>
        <w:tc>
          <w:tcPr>
            <w:tcW w:w="865" w:type="pct"/>
            <w:vAlign w:val="center"/>
          </w:tcPr>
          <w:p w14:paraId="3B72490C" w14:textId="77777777" w:rsidR="00F03CD4" w:rsidRPr="0040534B" w:rsidRDefault="00F03CD4" w:rsidP="004844B8">
            <w:pPr>
              <w:pStyle w:val="TableText0"/>
              <w:keepLines/>
              <w:jc w:val="center"/>
              <w:rPr>
                <w:b/>
                <w:bCs w:val="0"/>
              </w:rPr>
            </w:pPr>
            <w:r w:rsidRPr="0040534B">
              <w:rPr>
                <w:b/>
                <w:bCs w:val="0"/>
              </w:rPr>
              <w:t>-$901.61</w:t>
            </w:r>
          </w:p>
        </w:tc>
        <w:tc>
          <w:tcPr>
            <w:tcW w:w="877" w:type="pct"/>
            <w:vAlign w:val="center"/>
          </w:tcPr>
          <w:p w14:paraId="2A691B3E" w14:textId="77777777" w:rsidR="00F03CD4" w:rsidRPr="0040534B" w:rsidRDefault="00F03CD4" w:rsidP="004844B8">
            <w:pPr>
              <w:pStyle w:val="TableText0"/>
              <w:keepLines/>
              <w:jc w:val="center"/>
              <w:rPr>
                <w:b/>
                <w:bCs w:val="0"/>
              </w:rPr>
            </w:pPr>
            <w:r w:rsidRPr="0040534B">
              <w:rPr>
                <w:b/>
                <w:bCs w:val="0"/>
              </w:rPr>
              <w:t>-$734.62</w:t>
            </w:r>
          </w:p>
        </w:tc>
      </w:tr>
      <w:tr w:rsidR="00E34A5B" w:rsidRPr="0040534B" w14:paraId="7B4B933F" w14:textId="77777777" w:rsidTr="007E3A95">
        <w:trPr>
          <w:trHeight w:val="70"/>
        </w:trPr>
        <w:tc>
          <w:tcPr>
            <w:tcW w:w="1461" w:type="pct"/>
            <w:vAlign w:val="center"/>
          </w:tcPr>
          <w:p w14:paraId="356700D0" w14:textId="4FFB52B7" w:rsidR="00E34A5B" w:rsidRPr="0040534B" w:rsidRDefault="00E34A5B" w:rsidP="004844B8">
            <w:pPr>
              <w:pStyle w:val="TableText0"/>
              <w:keepLines/>
              <w:rPr>
                <w:b/>
                <w:bCs w:val="0"/>
              </w:rPr>
            </w:pPr>
            <w:r w:rsidRPr="0040534B">
              <w:rPr>
                <w:b/>
                <w:bCs w:val="0"/>
              </w:rPr>
              <w:t>AEMP of atogepant</w:t>
            </w:r>
          </w:p>
        </w:tc>
        <w:tc>
          <w:tcPr>
            <w:tcW w:w="932" w:type="pct"/>
            <w:vAlign w:val="center"/>
          </w:tcPr>
          <w:p w14:paraId="4B970DA5" w14:textId="0C7E945E" w:rsidR="00E34A5B" w:rsidRPr="0040534B" w:rsidRDefault="00B434C6" w:rsidP="004844B8">
            <w:pPr>
              <w:pStyle w:val="TableText0"/>
              <w:keepLines/>
              <w:jc w:val="center"/>
              <w:rPr>
                <w:b/>
                <w:bCs w:val="0"/>
              </w:rPr>
            </w:pPr>
            <w:r w:rsidRPr="0040534B">
              <w:rPr>
                <w:b/>
                <w:bCs w:val="0"/>
              </w:rPr>
              <w:t>-</w:t>
            </w:r>
          </w:p>
        </w:tc>
        <w:tc>
          <w:tcPr>
            <w:tcW w:w="865" w:type="pct"/>
            <w:vAlign w:val="center"/>
          </w:tcPr>
          <w:p w14:paraId="7CF343DC" w14:textId="6CE2570D" w:rsidR="00E34A5B" w:rsidRPr="0040534B" w:rsidRDefault="00E34A5B" w:rsidP="004844B8">
            <w:pPr>
              <w:pStyle w:val="TableText0"/>
              <w:keepLines/>
              <w:jc w:val="center"/>
              <w:rPr>
                <w:b/>
                <w:bCs w:val="0"/>
              </w:rPr>
            </w:pPr>
            <w:r w:rsidRPr="0040534B">
              <w:rPr>
                <w:b/>
                <w:bCs w:val="0"/>
              </w:rPr>
              <w:t>$488.</w:t>
            </w:r>
            <w:r w:rsidR="00104D9F" w:rsidRPr="0040534B">
              <w:rPr>
                <w:b/>
                <w:bCs w:val="0"/>
              </w:rPr>
              <w:t>18</w:t>
            </w:r>
          </w:p>
        </w:tc>
        <w:tc>
          <w:tcPr>
            <w:tcW w:w="865" w:type="pct"/>
            <w:vAlign w:val="center"/>
          </w:tcPr>
          <w:p w14:paraId="1B7F55B8" w14:textId="07801893" w:rsidR="00E34A5B" w:rsidRPr="0040534B" w:rsidRDefault="00F43883" w:rsidP="004844B8">
            <w:pPr>
              <w:pStyle w:val="TableText0"/>
              <w:keepLines/>
              <w:jc w:val="center"/>
              <w:rPr>
                <w:b/>
                <w:bCs w:val="0"/>
              </w:rPr>
            </w:pPr>
            <w:r w:rsidRPr="0040534B">
              <w:rPr>
                <w:b/>
                <w:bCs w:val="0"/>
              </w:rPr>
              <w:t>$453.60</w:t>
            </w:r>
          </w:p>
        </w:tc>
        <w:tc>
          <w:tcPr>
            <w:tcW w:w="877" w:type="pct"/>
            <w:vAlign w:val="center"/>
          </w:tcPr>
          <w:p w14:paraId="7F0844FD" w14:textId="6B1D0424" w:rsidR="00E34A5B" w:rsidRPr="0040534B" w:rsidRDefault="00F43883" w:rsidP="004844B8">
            <w:pPr>
              <w:pStyle w:val="TableText0"/>
              <w:keepLines/>
              <w:jc w:val="center"/>
              <w:rPr>
                <w:b/>
                <w:bCs w:val="0"/>
              </w:rPr>
            </w:pPr>
            <w:r w:rsidRPr="0040534B">
              <w:rPr>
                <w:b/>
                <w:bCs w:val="0"/>
              </w:rPr>
              <w:t>$460.00</w:t>
            </w:r>
          </w:p>
        </w:tc>
      </w:tr>
    </w:tbl>
    <w:bookmarkEnd w:id="81"/>
    <w:p w14:paraId="40C30435" w14:textId="39328E2B" w:rsidR="00F03CD4" w:rsidRPr="0040534B" w:rsidRDefault="00F03CD4" w:rsidP="004844B8">
      <w:pPr>
        <w:pStyle w:val="FooterTableFigure"/>
        <w:keepNext/>
        <w:keepLines/>
      </w:pPr>
      <w:r w:rsidRPr="0040534B">
        <w:t>Source: Table 3-4, p157 of the submission</w:t>
      </w:r>
      <w:r w:rsidR="006D6686" w:rsidRPr="0040534B">
        <w:t>; calculated during evaluation</w:t>
      </w:r>
      <w:r w:rsidRPr="0040534B">
        <w:t xml:space="preserve">. </w:t>
      </w:r>
    </w:p>
    <w:p w14:paraId="14853069" w14:textId="77777777" w:rsidR="00F03CD4" w:rsidRPr="0040534B" w:rsidRDefault="00F03CD4" w:rsidP="004844B8">
      <w:pPr>
        <w:pStyle w:val="FooterTableFigure"/>
        <w:keepNext/>
        <w:keepLines/>
      </w:pPr>
      <w:r w:rsidRPr="0040534B">
        <w:t>AEMP = approved ex-manufacturer price.</w:t>
      </w:r>
    </w:p>
    <w:p w14:paraId="549EE6BD" w14:textId="77777777" w:rsidR="00F03CD4" w:rsidRPr="0040534B" w:rsidRDefault="00F03CD4" w:rsidP="004844B8">
      <w:pPr>
        <w:pStyle w:val="FooterTableFigure"/>
        <w:keepNext/>
        <w:keepLines/>
      </w:pPr>
      <w:r w:rsidRPr="0040534B">
        <w:rPr>
          <w:vertAlign w:val="superscript"/>
        </w:rPr>
        <w:t>a</w:t>
      </w:r>
      <w:r w:rsidRPr="0040534B">
        <w:t xml:space="preserve"> Calculation not presented in the submission but assumed in the evaluation to be = (365*2)/28</w:t>
      </w:r>
    </w:p>
    <w:p w14:paraId="6F06BC25" w14:textId="77777777" w:rsidR="00F03CD4" w:rsidRPr="0040534B" w:rsidRDefault="00F03CD4" w:rsidP="004844B8">
      <w:pPr>
        <w:pStyle w:val="FooterTableFigure"/>
        <w:keepNext/>
        <w:keepLines/>
      </w:pPr>
      <w:r w:rsidRPr="0040534B">
        <w:rPr>
          <w:vertAlign w:val="superscript"/>
        </w:rPr>
        <w:t>b</w:t>
      </w:r>
      <w:r w:rsidRPr="0040534B">
        <w:t xml:space="preserve"> Calculation not presented in the submission but assumed in the evaluation to be = (365*2)/30+1</w:t>
      </w:r>
    </w:p>
    <w:p w14:paraId="706CCF53" w14:textId="77777777" w:rsidR="00F03CD4" w:rsidRPr="0040534B" w:rsidRDefault="00F03CD4" w:rsidP="00F03CD4">
      <w:pPr>
        <w:pStyle w:val="FooterTableFigure"/>
      </w:pPr>
      <w:r w:rsidRPr="0040534B">
        <w:rPr>
          <w:vertAlign w:val="superscript"/>
        </w:rPr>
        <w:t>c</w:t>
      </w:r>
      <w:r w:rsidRPr="0040534B">
        <w:t xml:space="preserve"> (365*2)/30</w:t>
      </w:r>
    </w:p>
    <w:p w14:paraId="019CC757" w14:textId="063D1E67" w:rsidR="00F03CD4" w:rsidRPr="0040534B" w:rsidRDefault="00F03CD4" w:rsidP="00F03CD4">
      <w:pPr>
        <w:pStyle w:val="4-SubsectionHeading"/>
      </w:pPr>
      <w:bookmarkStart w:id="82" w:name="_Toc22897646"/>
      <w:bookmarkStart w:id="83" w:name="_Toc135214023"/>
      <w:bookmarkStart w:id="84" w:name="_Hlk138060492"/>
      <w:r w:rsidRPr="0040534B">
        <w:t>Drug cost/patient/</w:t>
      </w:r>
      <w:bookmarkEnd w:id="82"/>
      <w:r w:rsidR="007B07D6" w:rsidRPr="0040534B">
        <w:t>2 years</w:t>
      </w:r>
      <w:bookmarkEnd w:id="83"/>
    </w:p>
    <w:p w14:paraId="76981258" w14:textId="378C6A1C" w:rsidR="00F03CD4" w:rsidRPr="0040534B" w:rsidRDefault="00F03CD4" w:rsidP="00F03CD4">
      <w:pPr>
        <w:pStyle w:val="3-BodyText"/>
        <w:rPr>
          <w:snapToGrid/>
        </w:rPr>
      </w:pPr>
      <w:bookmarkStart w:id="85" w:name="_Hlk138157773"/>
      <w:bookmarkStart w:id="86" w:name="_Hlk138157277"/>
      <w:bookmarkStart w:id="87" w:name="_Hlk107307804"/>
      <w:r w:rsidRPr="0040534B">
        <w:rPr>
          <w:snapToGrid/>
        </w:rPr>
        <w:t xml:space="preserve">The cost of atogepant over two years at the </w:t>
      </w:r>
      <w:r w:rsidR="003E5785" w:rsidRPr="0040534B">
        <w:rPr>
          <w:snapToGrid/>
        </w:rPr>
        <w:t>proposed published DPMQ</w:t>
      </w:r>
      <w:r w:rsidR="000B6DAF" w:rsidRPr="0040534B">
        <w:rPr>
          <w:bCs/>
        </w:rPr>
        <w:t xml:space="preserve"> </w:t>
      </w:r>
      <w:r w:rsidR="007E3A95" w:rsidRPr="0040534B">
        <w:rPr>
          <w:snapToGrid/>
        </w:rPr>
        <w:t>and assuming 100% compliance w</w:t>
      </w:r>
      <w:r w:rsidRPr="0040534B">
        <w:rPr>
          <w:snapToGrid/>
        </w:rPr>
        <w:t>as $</w:t>
      </w:r>
      <w:r w:rsidR="003E5785" w:rsidRPr="0040534B">
        <w:rPr>
          <w:snapToGrid/>
        </w:rPr>
        <w:t>17,787</w:t>
      </w:r>
      <w:r w:rsidR="000B6DAF" w:rsidRPr="0040534B">
        <w:rPr>
          <w:snapToGrid/>
        </w:rPr>
        <w:t xml:space="preserve"> </w:t>
      </w:r>
      <w:r w:rsidRPr="0040534B">
        <w:rPr>
          <w:snapToGrid/>
        </w:rPr>
        <w:t>compared with $</w:t>
      </w:r>
      <w:r w:rsidR="007E3A95" w:rsidRPr="0040534B">
        <w:rPr>
          <w:snapToGrid/>
        </w:rPr>
        <w:t>1</w:t>
      </w:r>
      <w:r w:rsidR="003E5785" w:rsidRPr="0040534B">
        <w:rPr>
          <w:snapToGrid/>
        </w:rPr>
        <w:t>4,1</w:t>
      </w:r>
      <w:r w:rsidR="000258BD" w:rsidRPr="0040534B">
        <w:rPr>
          <w:snapToGrid/>
        </w:rPr>
        <w:t>49</w:t>
      </w:r>
      <w:r w:rsidR="003E5785" w:rsidRPr="0040534B">
        <w:rPr>
          <w:i/>
          <w:iCs/>
          <w:snapToGrid/>
        </w:rPr>
        <w:t xml:space="preserve"> </w:t>
      </w:r>
      <w:r w:rsidRPr="0040534B">
        <w:rPr>
          <w:snapToGrid/>
        </w:rPr>
        <w:t>for the comparator</w:t>
      </w:r>
      <w:r w:rsidR="007E3A95" w:rsidRPr="0040534B">
        <w:rPr>
          <w:snapToGrid/>
        </w:rPr>
        <w:t>,</w:t>
      </w:r>
      <w:r w:rsidRPr="0040534B">
        <w:rPr>
          <w:snapToGrid/>
        </w:rPr>
        <w:t xml:space="preserve"> galcanezumab</w:t>
      </w:r>
      <w:r w:rsidR="000B6DAF" w:rsidRPr="0040534B">
        <w:rPr>
          <w:snapToGrid/>
        </w:rPr>
        <w:t xml:space="preserve"> (using </w:t>
      </w:r>
      <w:r w:rsidR="003E5785" w:rsidRPr="0040534B">
        <w:rPr>
          <w:snapToGrid/>
        </w:rPr>
        <w:t xml:space="preserve">March </w:t>
      </w:r>
      <w:r w:rsidR="000B6DAF" w:rsidRPr="0040534B">
        <w:rPr>
          <w:snapToGrid/>
        </w:rPr>
        <w:t xml:space="preserve">2023 </w:t>
      </w:r>
      <w:r w:rsidR="00233AE3" w:rsidRPr="0040534B">
        <w:rPr>
          <w:snapToGrid/>
        </w:rPr>
        <w:t xml:space="preserve">published </w:t>
      </w:r>
      <w:r w:rsidR="000B6DAF" w:rsidRPr="0040534B">
        <w:rPr>
          <w:snapToGrid/>
        </w:rPr>
        <w:t>prices</w:t>
      </w:r>
      <w:r w:rsidR="003E5785" w:rsidRPr="0040534B">
        <w:rPr>
          <w:snapToGrid/>
        </w:rPr>
        <w:t xml:space="preserve"> and including loading dose</w:t>
      </w:r>
      <w:r w:rsidR="000B6DAF" w:rsidRPr="0040534B">
        <w:rPr>
          <w:snapToGrid/>
        </w:rPr>
        <w:t>)</w:t>
      </w:r>
      <w:r w:rsidRPr="0040534B">
        <w:rPr>
          <w:snapToGrid/>
        </w:rPr>
        <w:t xml:space="preserve">. </w:t>
      </w:r>
      <w:bookmarkEnd w:id="84"/>
      <w:bookmarkEnd w:id="85"/>
      <w:bookmarkEnd w:id="86"/>
    </w:p>
    <w:p w14:paraId="4304AD96" w14:textId="77777777" w:rsidR="00F03CD4" w:rsidRPr="0040534B" w:rsidRDefault="00F03CD4" w:rsidP="00F03CD4">
      <w:pPr>
        <w:pStyle w:val="4-SubsectionHeading"/>
      </w:pPr>
      <w:bookmarkStart w:id="88" w:name="_Toc22897647"/>
      <w:bookmarkStart w:id="89" w:name="_Toc135214024"/>
      <w:bookmarkEnd w:id="87"/>
      <w:r w:rsidRPr="0040534B">
        <w:t>Estimated PBS usage &amp; financial implications</w:t>
      </w:r>
      <w:bookmarkEnd w:id="88"/>
      <w:bookmarkEnd w:id="89"/>
    </w:p>
    <w:p w14:paraId="25841D00" w14:textId="40909F78" w:rsidR="00F03CD4" w:rsidRPr="0040534B" w:rsidRDefault="00F03CD4" w:rsidP="00F03CD4">
      <w:pPr>
        <w:pStyle w:val="3-BodyText"/>
        <w:rPr>
          <w:color w:val="0066FF"/>
        </w:rPr>
      </w:pPr>
      <w:r w:rsidRPr="0040534B">
        <w:t xml:space="preserve">This submission </w:t>
      </w:r>
      <w:r w:rsidR="00653EEA" w:rsidRPr="0040534B">
        <w:t>was not</w:t>
      </w:r>
      <w:r w:rsidRPr="0040534B">
        <w:t xml:space="preserve"> considered by DUSC</w:t>
      </w:r>
      <w:r w:rsidRPr="0040534B">
        <w:rPr>
          <w:color w:val="0070C0"/>
        </w:rPr>
        <w:t xml:space="preserve">. </w:t>
      </w:r>
      <w:r w:rsidRPr="0040534B">
        <w:t xml:space="preserve">The submission used a market share approach to estimate the utilisation and financial impacts associated with the PBS listing of atogepant for chronic </w:t>
      </w:r>
      <w:r w:rsidR="00B71C75" w:rsidRPr="0040534B">
        <w:t xml:space="preserve">migraine </w:t>
      </w:r>
      <w:r w:rsidRPr="0040534B">
        <w:t xml:space="preserve">and HFEM. The key inputs used in the financial estimates are presented in the table below. </w:t>
      </w:r>
    </w:p>
    <w:p w14:paraId="585943BE" w14:textId="14EC67B4" w:rsidR="00F03CD4" w:rsidRPr="0040534B" w:rsidRDefault="00F03CD4" w:rsidP="00F03CD4">
      <w:pPr>
        <w:pStyle w:val="Caption"/>
        <w:jc w:val="left"/>
        <w:rPr>
          <w:rStyle w:val="CommentReference"/>
          <w:b/>
          <w:szCs w:val="24"/>
        </w:rPr>
      </w:pPr>
      <w:bookmarkStart w:id="90" w:name="_Ref141879308"/>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17</w:t>
      </w:r>
      <w:r w:rsidR="001968FD">
        <w:rPr>
          <w:noProof/>
        </w:rPr>
        <w:fldChar w:fldCharType="end"/>
      </w:r>
      <w:bookmarkEnd w:id="90"/>
      <w:r w:rsidRPr="0040534B">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619"/>
        <w:gridCol w:w="3454"/>
      </w:tblGrid>
      <w:tr w:rsidR="00F03CD4" w:rsidRPr="0040534B" w14:paraId="67BB1ED5" w14:textId="77777777" w:rsidTr="00C124DD">
        <w:trPr>
          <w:tblHeader/>
        </w:trPr>
        <w:tc>
          <w:tcPr>
            <w:tcW w:w="1078" w:type="pct"/>
            <w:vAlign w:val="center"/>
          </w:tcPr>
          <w:p w14:paraId="7388B972" w14:textId="77777777" w:rsidR="00F03CD4" w:rsidRPr="0040534B" w:rsidRDefault="00F03CD4" w:rsidP="00AE0C79">
            <w:pPr>
              <w:pStyle w:val="In-tableHeading"/>
              <w:jc w:val="center"/>
              <w:rPr>
                <w:lang w:val="en-AU"/>
              </w:rPr>
            </w:pPr>
            <w:r w:rsidRPr="0040534B">
              <w:rPr>
                <w:lang w:val="en-AU"/>
              </w:rPr>
              <w:t>Data</w:t>
            </w:r>
          </w:p>
        </w:tc>
        <w:tc>
          <w:tcPr>
            <w:tcW w:w="2007" w:type="pct"/>
            <w:vAlign w:val="center"/>
          </w:tcPr>
          <w:p w14:paraId="5F3F3A0E" w14:textId="77777777" w:rsidR="00F03CD4" w:rsidRPr="0040534B" w:rsidRDefault="00F03CD4" w:rsidP="00AE0C79">
            <w:pPr>
              <w:pStyle w:val="In-tableHeading"/>
              <w:jc w:val="center"/>
              <w:rPr>
                <w:lang w:val="en-AU"/>
              </w:rPr>
            </w:pPr>
            <w:r w:rsidRPr="0040534B">
              <w:rPr>
                <w:lang w:val="en-AU"/>
              </w:rPr>
              <w:t>Value applied and source</w:t>
            </w:r>
          </w:p>
        </w:tc>
        <w:tc>
          <w:tcPr>
            <w:tcW w:w="1915" w:type="pct"/>
            <w:vAlign w:val="center"/>
          </w:tcPr>
          <w:p w14:paraId="17A31DCE" w14:textId="77777777" w:rsidR="00F03CD4" w:rsidRPr="0040534B" w:rsidRDefault="00F03CD4" w:rsidP="00AE0C79">
            <w:pPr>
              <w:pStyle w:val="In-tableHeading"/>
              <w:jc w:val="center"/>
              <w:rPr>
                <w:lang w:val="en-AU"/>
              </w:rPr>
            </w:pPr>
            <w:r w:rsidRPr="0040534B">
              <w:rPr>
                <w:lang w:val="en-AU"/>
              </w:rPr>
              <w:t>Comment</w:t>
            </w:r>
          </w:p>
        </w:tc>
      </w:tr>
      <w:tr w:rsidR="00F03CD4" w:rsidRPr="0040534B" w14:paraId="1A847F8D" w14:textId="77777777" w:rsidTr="00C124DD">
        <w:tc>
          <w:tcPr>
            <w:tcW w:w="5000" w:type="pct"/>
            <w:gridSpan w:val="3"/>
            <w:vAlign w:val="center"/>
          </w:tcPr>
          <w:p w14:paraId="109AB7A9" w14:textId="77777777" w:rsidR="00F03CD4" w:rsidRPr="0040534B" w:rsidRDefault="00F03CD4" w:rsidP="00AE0C79">
            <w:pPr>
              <w:pStyle w:val="In-tableHeading"/>
              <w:rPr>
                <w:lang w:val="en-AU"/>
              </w:rPr>
            </w:pPr>
            <w:r w:rsidRPr="0040534B">
              <w:rPr>
                <w:lang w:val="en-AU"/>
              </w:rPr>
              <w:t>Market size</w:t>
            </w:r>
          </w:p>
        </w:tc>
      </w:tr>
      <w:tr w:rsidR="00F03CD4" w:rsidRPr="0040534B" w14:paraId="5997DA5A" w14:textId="77777777" w:rsidTr="00C124DD">
        <w:tc>
          <w:tcPr>
            <w:tcW w:w="1078" w:type="pct"/>
            <w:vAlign w:val="center"/>
          </w:tcPr>
          <w:p w14:paraId="681DFDB1" w14:textId="77777777" w:rsidR="00F03CD4" w:rsidRPr="0040534B" w:rsidRDefault="00F03CD4" w:rsidP="00AE0C79">
            <w:pPr>
              <w:pStyle w:val="TableText0"/>
            </w:pPr>
            <w:r w:rsidRPr="0040534B">
              <w:t>Scripts in current market (chronic migraine, 2022)</w:t>
            </w:r>
          </w:p>
        </w:tc>
        <w:tc>
          <w:tcPr>
            <w:tcW w:w="2007" w:type="pct"/>
            <w:vAlign w:val="center"/>
          </w:tcPr>
          <w:p w14:paraId="619A555A" w14:textId="63B6CE1D" w:rsidR="00F03CD4" w:rsidRPr="0040534B" w:rsidRDefault="00F03CD4" w:rsidP="00AE0C79">
            <w:pPr>
              <w:pStyle w:val="TableText0"/>
            </w:pPr>
            <w:r w:rsidRPr="0040534B">
              <w:t>105,502 (Jan-Nov</w:t>
            </w:r>
            <w:r w:rsidR="00320224" w:rsidRPr="0040534B">
              <w:t xml:space="preserve"> </w:t>
            </w:r>
            <w:r w:rsidRPr="0040534B">
              <w:t>22 PBS Item reports for galcanezumab (12478R &amp; 12469G) and fremanezumab (12611R, 12603H, 13115G &amp; 13129B)</w:t>
            </w:r>
          </w:p>
          <w:p w14:paraId="78C946AB" w14:textId="77777777" w:rsidR="00F03CD4" w:rsidRPr="0040534B" w:rsidRDefault="00F03CD4" w:rsidP="00AE0C79">
            <w:pPr>
              <w:pStyle w:val="TableText0"/>
            </w:pPr>
            <w:r w:rsidRPr="0040534B">
              <w:t>+ 11,821 (linear extrapolation to estimate Dec)</w:t>
            </w:r>
          </w:p>
        </w:tc>
        <w:tc>
          <w:tcPr>
            <w:tcW w:w="1915" w:type="pct"/>
            <w:vAlign w:val="center"/>
          </w:tcPr>
          <w:p w14:paraId="5CA8FA51" w14:textId="213DE029" w:rsidR="00F03CD4" w:rsidRPr="0040534B" w:rsidRDefault="00F03CD4" w:rsidP="00AE0C79">
            <w:pPr>
              <w:pStyle w:val="TableText0"/>
            </w:pPr>
            <w:r w:rsidRPr="0040534B">
              <w:t xml:space="preserve">The approach was reasonable, however actual data for Dec 22 were available at the time of the evaluation (12,212 scripts). </w:t>
            </w:r>
          </w:p>
        </w:tc>
      </w:tr>
      <w:tr w:rsidR="00F03CD4" w:rsidRPr="0040534B" w14:paraId="192563D4" w14:textId="77777777" w:rsidTr="00C124DD">
        <w:tc>
          <w:tcPr>
            <w:tcW w:w="1078" w:type="pct"/>
            <w:vAlign w:val="center"/>
          </w:tcPr>
          <w:p w14:paraId="31A0A23C" w14:textId="77777777" w:rsidR="00F03CD4" w:rsidRPr="0040534B" w:rsidRDefault="00F03CD4" w:rsidP="00AE0C79">
            <w:pPr>
              <w:pStyle w:val="TableText0"/>
            </w:pPr>
            <w:r w:rsidRPr="0040534B">
              <w:t>Market growth (chronic + HFEM)</w:t>
            </w:r>
          </w:p>
        </w:tc>
        <w:tc>
          <w:tcPr>
            <w:tcW w:w="2007" w:type="pct"/>
            <w:vAlign w:val="center"/>
          </w:tcPr>
          <w:p w14:paraId="7A7CB514" w14:textId="2860146B" w:rsidR="00F03CD4" w:rsidRPr="0040534B" w:rsidRDefault="00F03CD4" w:rsidP="00AE0C79">
            <w:pPr>
              <w:pStyle w:val="TableText0"/>
            </w:pPr>
            <w:r w:rsidRPr="0040534B">
              <w:t>78% in Year 1 with growth decreasing annually to 4% in Year 6. Based on logarithmic growth trend line fitted to historic PBS services 2019-2022. Assumed market was established, linear growth tested in sensitivity analyses</w:t>
            </w:r>
          </w:p>
        </w:tc>
        <w:tc>
          <w:tcPr>
            <w:tcW w:w="1915" w:type="pct"/>
            <w:vAlign w:val="center"/>
          </w:tcPr>
          <w:p w14:paraId="1D3BC5F1" w14:textId="424C7623" w:rsidR="00F03CD4" w:rsidRPr="0040534B" w:rsidRDefault="00426B5A" w:rsidP="00AE0C79">
            <w:pPr>
              <w:pStyle w:val="TableText0"/>
            </w:pPr>
            <w:r w:rsidRPr="0040534B">
              <w:t>The ESC considered the assumptions regarding market growth were highly uncertain.</w:t>
            </w:r>
            <w:r w:rsidR="007802CB" w:rsidRPr="0040534B">
              <w:t xml:space="preserve"> </w:t>
            </w:r>
          </w:p>
        </w:tc>
      </w:tr>
      <w:tr w:rsidR="00F03CD4" w:rsidRPr="0040534B" w14:paraId="4A609CBF" w14:textId="77777777" w:rsidTr="00C124DD">
        <w:tc>
          <w:tcPr>
            <w:tcW w:w="5000" w:type="pct"/>
            <w:gridSpan w:val="3"/>
            <w:vAlign w:val="center"/>
          </w:tcPr>
          <w:p w14:paraId="4A73751C" w14:textId="77777777" w:rsidR="00F03CD4" w:rsidRPr="0040534B" w:rsidRDefault="00F03CD4" w:rsidP="00AE0C79">
            <w:pPr>
              <w:pStyle w:val="TableText0"/>
              <w:rPr>
                <w:b/>
              </w:rPr>
            </w:pPr>
            <w:r w:rsidRPr="0040534B">
              <w:rPr>
                <w:b/>
              </w:rPr>
              <w:t>Treatment utilisation</w:t>
            </w:r>
          </w:p>
        </w:tc>
      </w:tr>
      <w:tr w:rsidR="00F03CD4" w:rsidRPr="0040534B" w14:paraId="0BB72E83" w14:textId="77777777" w:rsidTr="00C124DD">
        <w:tc>
          <w:tcPr>
            <w:tcW w:w="1078" w:type="pct"/>
            <w:vAlign w:val="center"/>
          </w:tcPr>
          <w:p w14:paraId="776A229A" w14:textId="77777777" w:rsidR="00F03CD4" w:rsidRPr="0040534B" w:rsidRDefault="00F03CD4" w:rsidP="00AE0C79">
            <w:pPr>
              <w:pStyle w:val="TableText0"/>
            </w:pPr>
            <w:r w:rsidRPr="0040534B">
              <w:t>Uptake rate</w:t>
            </w:r>
          </w:p>
        </w:tc>
        <w:tc>
          <w:tcPr>
            <w:tcW w:w="2007" w:type="pct"/>
            <w:vAlign w:val="center"/>
          </w:tcPr>
          <w:p w14:paraId="3DBE5845" w14:textId="1CFBB90D" w:rsidR="00F03CD4" w:rsidRPr="0040534B" w:rsidRDefault="00F03CD4" w:rsidP="00AE0C79">
            <w:pPr>
              <w:pStyle w:val="TableText0"/>
            </w:pPr>
            <w:r w:rsidRPr="0040534B">
              <w:t xml:space="preserve">5% in Year 1 with </w:t>
            </w:r>
            <w:r w:rsidR="00E34A5B" w:rsidRPr="0040534B">
              <w:t xml:space="preserve">uptake </w:t>
            </w:r>
            <w:r w:rsidRPr="0040534B">
              <w:t>increasing 5% annually to 30% in year 6. Based on assumptions.</w:t>
            </w:r>
          </w:p>
        </w:tc>
        <w:tc>
          <w:tcPr>
            <w:tcW w:w="1915" w:type="pct"/>
            <w:vAlign w:val="center"/>
          </w:tcPr>
          <w:p w14:paraId="4A4D1F50" w14:textId="77777777" w:rsidR="00F03CD4" w:rsidRPr="0040534B" w:rsidRDefault="00F03CD4" w:rsidP="00AE0C79">
            <w:pPr>
              <w:pStyle w:val="TableText0"/>
            </w:pPr>
            <w:r w:rsidRPr="0040534B">
              <w:t>No justification was provided for these assumptions.</w:t>
            </w:r>
          </w:p>
        </w:tc>
      </w:tr>
      <w:tr w:rsidR="00F03CD4" w:rsidRPr="0040534B" w14:paraId="02B42E2E" w14:textId="77777777" w:rsidTr="00C124DD">
        <w:tc>
          <w:tcPr>
            <w:tcW w:w="5000" w:type="pct"/>
            <w:gridSpan w:val="3"/>
            <w:vAlign w:val="center"/>
          </w:tcPr>
          <w:p w14:paraId="0D800107" w14:textId="77777777" w:rsidR="00F03CD4" w:rsidRPr="0040534B" w:rsidRDefault="00F03CD4" w:rsidP="00AE0C79">
            <w:pPr>
              <w:pStyle w:val="TableText0"/>
              <w:rPr>
                <w:b/>
              </w:rPr>
            </w:pPr>
            <w:r w:rsidRPr="0040534B">
              <w:rPr>
                <w:b/>
              </w:rPr>
              <w:t>Costs</w:t>
            </w:r>
          </w:p>
        </w:tc>
      </w:tr>
      <w:tr w:rsidR="00F03CD4" w:rsidRPr="0040534B" w14:paraId="23BB54A5" w14:textId="77777777" w:rsidTr="00C124DD">
        <w:tc>
          <w:tcPr>
            <w:tcW w:w="1078" w:type="pct"/>
            <w:vAlign w:val="center"/>
          </w:tcPr>
          <w:p w14:paraId="555C5CDF" w14:textId="77777777" w:rsidR="00F03CD4" w:rsidRPr="0040534B" w:rsidRDefault="00F03CD4" w:rsidP="00AE0C79">
            <w:pPr>
              <w:pStyle w:val="TableText0"/>
            </w:pPr>
            <w:r w:rsidRPr="0040534B">
              <w:t>MBS costs</w:t>
            </w:r>
          </w:p>
        </w:tc>
        <w:tc>
          <w:tcPr>
            <w:tcW w:w="2007" w:type="pct"/>
            <w:vAlign w:val="center"/>
          </w:tcPr>
          <w:p w14:paraId="5363BFC3" w14:textId="77777777" w:rsidR="00F03CD4" w:rsidRPr="0040534B" w:rsidRDefault="00F03CD4" w:rsidP="00AE0C79">
            <w:pPr>
              <w:pStyle w:val="TableText0"/>
            </w:pPr>
            <w:r w:rsidRPr="0040534B">
              <w:t xml:space="preserve">$39.75 (MBS item 23). </w:t>
            </w:r>
          </w:p>
          <w:p w14:paraId="34C08A23" w14:textId="77777777" w:rsidR="00F03CD4" w:rsidRPr="0040534B" w:rsidRDefault="00F03CD4" w:rsidP="00AE0C79">
            <w:pPr>
              <w:pStyle w:val="TableText0"/>
            </w:pPr>
            <w:r w:rsidRPr="0040534B">
              <w:t>Assumed 10% of patients receiving galcanezumab/ fremanezumab require medical assistance for injections</w:t>
            </w:r>
          </w:p>
        </w:tc>
        <w:tc>
          <w:tcPr>
            <w:tcW w:w="1915" w:type="pct"/>
            <w:vAlign w:val="center"/>
          </w:tcPr>
          <w:p w14:paraId="59802293" w14:textId="4D91CEF9" w:rsidR="00F03CD4" w:rsidRPr="0040534B" w:rsidRDefault="00F03CD4" w:rsidP="00AE0C79">
            <w:pPr>
              <w:pStyle w:val="TableText0"/>
            </w:pPr>
            <w:r w:rsidRPr="0040534B">
              <w:t>This was consistent with the cost-minimised price. However, the</w:t>
            </w:r>
            <w:r w:rsidR="00AB38D4" w:rsidRPr="0040534B">
              <w:t xml:space="preserve"> </w:t>
            </w:r>
            <w:r w:rsidR="00D0793F">
              <w:t xml:space="preserve">PBAC agreed with the </w:t>
            </w:r>
            <w:r w:rsidR="00AB38D4" w:rsidRPr="0040534B">
              <w:t>ESC that the</w:t>
            </w:r>
            <w:r w:rsidRPr="0040534B">
              <w:t xml:space="preserve"> assumption that 10% of patients require injection assistance was uncertain.</w:t>
            </w:r>
          </w:p>
        </w:tc>
      </w:tr>
    </w:tbl>
    <w:p w14:paraId="64AAFF5A" w14:textId="77777777" w:rsidR="00F03CD4" w:rsidRPr="0040534B" w:rsidRDefault="00F03CD4" w:rsidP="00F03CD4">
      <w:pPr>
        <w:pStyle w:val="FooterTableFigure"/>
        <w:keepNext/>
      </w:pPr>
      <w:r w:rsidRPr="0040534B">
        <w:t>Source: Tables 4-1, 4-3 &amp; 4-5, pp162, 165 &amp; 169 of the submission; Figure 4-1, p166 of the submission; Sheets 3a &amp; 4b, Section 4 workbook.</w:t>
      </w:r>
    </w:p>
    <w:p w14:paraId="0F130F7E" w14:textId="77777777" w:rsidR="00F03CD4" w:rsidRPr="0040534B" w:rsidRDefault="00F03CD4" w:rsidP="00F03CD4">
      <w:pPr>
        <w:pStyle w:val="FooterTableFigure"/>
        <w:keepNext/>
        <w:rPr>
          <w:sz w:val="20"/>
        </w:rPr>
      </w:pPr>
      <w:r w:rsidRPr="0040534B">
        <w:t>DPMQ = dispensed price for maximum quantity; HFEM = high frequency episodic migraine; MBS = Medicare Benefits Schedule; PBS = Pharmaceutical Benefits Scheme; RPBS = Repatriation Pharmaceutical Benefits Scheme.</w:t>
      </w:r>
    </w:p>
    <w:p w14:paraId="6946088C" w14:textId="0B00F5FE" w:rsidR="00F03CD4" w:rsidRPr="0040534B" w:rsidRDefault="00F03CD4" w:rsidP="00F03CD4">
      <w:pPr>
        <w:pStyle w:val="3-BodyText"/>
      </w:pPr>
      <w:r w:rsidRPr="0040534B">
        <w:fldChar w:fldCharType="begin" w:fldLock="1"/>
      </w:r>
      <w:r w:rsidRPr="0040534B">
        <w:instrText xml:space="preserve"> REF _Ref104805295 \h </w:instrText>
      </w:r>
      <w:r w:rsidR="00653EEA" w:rsidRPr="0040534B">
        <w:instrText xml:space="preserve"> \* MERGEFORMAT </w:instrText>
      </w:r>
      <w:r w:rsidRPr="0040534B">
        <w:fldChar w:fldCharType="separate"/>
      </w:r>
      <w:r w:rsidR="004E201F" w:rsidRPr="0040534B">
        <w:t xml:space="preserve">Table </w:t>
      </w:r>
      <w:r w:rsidR="004E201F">
        <w:t>18</w:t>
      </w:r>
      <w:r w:rsidRPr="0040534B">
        <w:fldChar w:fldCharType="end"/>
      </w:r>
      <w:r w:rsidRPr="0040534B">
        <w:t xml:space="preserve"> presents the estimated financial implications for the listing of atogepant based on the</w:t>
      </w:r>
      <w:r w:rsidR="003E5785" w:rsidRPr="0040534B">
        <w:t xml:space="preserve"> proposed published price of atogepant (DPMQ = $682.26) </w:t>
      </w:r>
      <w:r w:rsidR="00DD3C5F">
        <w:t xml:space="preserve">(rather than the price calculated in </w:t>
      </w:r>
      <w:r w:rsidR="00DD3C5F">
        <w:fldChar w:fldCharType="begin" w:fldLock="1"/>
      </w:r>
      <w:r w:rsidR="00DD3C5F">
        <w:instrText xml:space="preserve"> REF _Ref133590552 \h </w:instrText>
      </w:r>
      <w:r w:rsidR="00DD3C5F">
        <w:fldChar w:fldCharType="separate"/>
      </w:r>
      <w:r w:rsidR="004E201F" w:rsidRPr="0040534B">
        <w:t xml:space="preserve">Table </w:t>
      </w:r>
      <w:r w:rsidR="004E201F">
        <w:rPr>
          <w:noProof/>
        </w:rPr>
        <w:t>16</w:t>
      </w:r>
      <w:r w:rsidR="00DD3C5F">
        <w:fldChar w:fldCharType="end"/>
      </w:r>
      <w:r w:rsidR="00DD3C5F">
        <w:t xml:space="preserve">) </w:t>
      </w:r>
      <w:r w:rsidR="003E5785" w:rsidRPr="0040534B">
        <w:t xml:space="preserve">and the </w:t>
      </w:r>
      <w:r w:rsidRPr="0040534B">
        <w:t xml:space="preserve">published price of galcanezumab in March 2023 (DPMQs = $1,111.02 initial and $559.08 continuing). </w:t>
      </w:r>
    </w:p>
    <w:p w14:paraId="3EC2D068" w14:textId="1F7C61C5" w:rsidR="00F03CD4" w:rsidRPr="0040534B" w:rsidRDefault="00F03CD4" w:rsidP="004844B8">
      <w:pPr>
        <w:pStyle w:val="Caption"/>
      </w:pPr>
      <w:bookmarkStart w:id="91" w:name="_Ref104805295"/>
      <w:bookmarkStart w:id="92" w:name="_Ref133595406"/>
      <w:r w:rsidRPr="0040534B">
        <w:lastRenderedPageBreak/>
        <w:t xml:space="preserve">Table </w:t>
      </w:r>
      <w:r w:rsidR="001968FD">
        <w:fldChar w:fldCharType="begin" w:fldLock="1"/>
      </w:r>
      <w:r w:rsidR="001968FD">
        <w:instrText xml:space="preserve"> SEQ Table \* ARABIC </w:instrText>
      </w:r>
      <w:r w:rsidR="001968FD">
        <w:fldChar w:fldCharType="separate"/>
      </w:r>
      <w:r w:rsidR="004E201F">
        <w:rPr>
          <w:noProof/>
        </w:rPr>
        <w:t>18</w:t>
      </w:r>
      <w:r w:rsidR="001968FD">
        <w:rPr>
          <w:noProof/>
        </w:rPr>
        <w:fldChar w:fldCharType="end"/>
      </w:r>
      <w:bookmarkEnd w:id="91"/>
      <w:r w:rsidRPr="0040534B">
        <w:t>:</w:t>
      </w:r>
      <w:r w:rsidRPr="0040534B">
        <w:rPr>
          <w:rStyle w:val="CommentReference"/>
          <w:b/>
          <w:szCs w:val="24"/>
        </w:rPr>
        <w:t xml:space="preserve"> Estimated use and financial implications (March 2023 published prices for comparators)</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F03CD4" w:rsidRPr="0040534B" w14:paraId="497761A1" w14:textId="77777777" w:rsidTr="00C124DD">
        <w:trPr>
          <w:tblHeader/>
        </w:trPr>
        <w:tc>
          <w:tcPr>
            <w:tcW w:w="1334" w:type="pct"/>
            <w:shd w:val="clear" w:color="auto" w:fill="auto"/>
            <w:vAlign w:val="center"/>
          </w:tcPr>
          <w:p w14:paraId="52C1EEB0" w14:textId="77777777" w:rsidR="00F03CD4" w:rsidRPr="0040534B" w:rsidRDefault="00F03CD4" w:rsidP="004844B8">
            <w:pPr>
              <w:pStyle w:val="In-tableHeading"/>
              <w:keepLines/>
              <w:jc w:val="center"/>
              <w:rPr>
                <w:lang w:val="en-AU"/>
              </w:rPr>
            </w:pPr>
            <w:bookmarkStart w:id="93" w:name="_Hlk134175649"/>
          </w:p>
        </w:tc>
        <w:tc>
          <w:tcPr>
            <w:tcW w:w="611" w:type="pct"/>
            <w:shd w:val="clear" w:color="auto" w:fill="auto"/>
            <w:vAlign w:val="center"/>
          </w:tcPr>
          <w:p w14:paraId="74EEA5A9" w14:textId="77777777" w:rsidR="00F03CD4" w:rsidRPr="0040534B" w:rsidRDefault="00F03CD4" w:rsidP="004844B8">
            <w:pPr>
              <w:pStyle w:val="In-tableHeading"/>
              <w:keepLines/>
              <w:jc w:val="center"/>
              <w:rPr>
                <w:lang w:val="en-AU"/>
              </w:rPr>
            </w:pPr>
            <w:r w:rsidRPr="0040534B">
              <w:rPr>
                <w:lang w:val="en-AU"/>
              </w:rPr>
              <w:t>Year 1</w:t>
            </w:r>
          </w:p>
        </w:tc>
        <w:tc>
          <w:tcPr>
            <w:tcW w:w="611" w:type="pct"/>
            <w:shd w:val="clear" w:color="auto" w:fill="auto"/>
            <w:vAlign w:val="center"/>
          </w:tcPr>
          <w:p w14:paraId="0256286E" w14:textId="77777777" w:rsidR="00F03CD4" w:rsidRPr="0040534B" w:rsidRDefault="00F03CD4" w:rsidP="004844B8">
            <w:pPr>
              <w:pStyle w:val="In-tableHeading"/>
              <w:keepLines/>
              <w:jc w:val="center"/>
              <w:rPr>
                <w:lang w:val="en-AU"/>
              </w:rPr>
            </w:pPr>
            <w:r w:rsidRPr="0040534B">
              <w:rPr>
                <w:lang w:val="en-AU"/>
              </w:rPr>
              <w:t>Year 2</w:t>
            </w:r>
          </w:p>
        </w:tc>
        <w:tc>
          <w:tcPr>
            <w:tcW w:w="611" w:type="pct"/>
            <w:shd w:val="clear" w:color="auto" w:fill="auto"/>
            <w:vAlign w:val="center"/>
          </w:tcPr>
          <w:p w14:paraId="3E59A3F5" w14:textId="77777777" w:rsidR="00F03CD4" w:rsidRPr="0040534B" w:rsidRDefault="00F03CD4" w:rsidP="004844B8">
            <w:pPr>
              <w:pStyle w:val="In-tableHeading"/>
              <w:keepLines/>
              <w:jc w:val="center"/>
              <w:rPr>
                <w:lang w:val="en-AU"/>
              </w:rPr>
            </w:pPr>
            <w:r w:rsidRPr="0040534B">
              <w:rPr>
                <w:lang w:val="en-AU"/>
              </w:rPr>
              <w:t>Year 3</w:t>
            </w:r>
          </w:p>
        </w:tc>
        <w:tc>
          <w:tcPr>
            <w:tcW w:w="611" w:type="pct"/>
            <w:shd w:val="clear" w:color="auto" w:fill="auto"/>
            <w:vAlign w:val="center"/>
          </w:tcPr>
          <w:p w14:paraId="0FF3B6FD" w14:textId="77777777" w:rsidR="00F03CD4" w:rsidRPr="0040534B" w:rsidRDefault="00F03CD4" w:rsidP="004844B8">
            <w:pPr>
              <w:pStyle w:val="In-tableHeading"/>
              <w:keepLines/>
              <w:jc w:val="center"/>
              <w:rPr>
                <w:lang w:val="en-AU"/>
              </w:rPr>
            </w:pPr>
            <w:r w:rsidRPr="0040534B">
              <w:rPr>
                <w:lang w:val="en-AU"/>
              </w:rPr>
              <w:t>Year 4</w:t>
            </w:r>
          </w:p>
        </w:tc>
        <w:tc>
          <w:tcPr>
            <w:tcW w:w="611" w:type="pct"/>
            <w:shd w:val="clear" w:color="auto" w:fill="auto"/>
            <w:vAlign w:val="center"/>
          </w:tcPr>
          <w:p w14:paraId="13BFCF3F" w14:textId="77777777" w:rsidR="00F03CD4" w:rsidRPr="0040534B" w:rsidRDefault="00F03CD4" w:rsidP="004844B8">
            <w:pPr>
              <w:pStyle w:val="In-tableHeading"/>
              <w:keepLines/>
              <w:jc w:val="center"/>
              <w:rPr>
                <w:lang w:val="en-AU"/>
              </w:rPr>
            </w:pPr>
            <w:r w:rsidRPr="0040534B">
              <w:rPr>
                <w:lang w:val="en-AU"/>
              </w:rPr>
              <w:t>Year 5</w:t>
            </w:r>
          </w:p>
        </w:tc>
        <w:tc>
          <w:tcPr>
            <w:tcW w:w="611" w:type="pct"/>
          </w:tcPr>
          <w:p w14:paraId="407E545E" w14:textId="77777777" w:rsidR="00F03CD4" w:rsidRPr="0040534B" w:rsidRDefault="00F03CD4" w:rsidP="004844B8">
            <w:pPr>
              <w:pStyle w:val="In-tableHeading"/>
              <w:keepLines/>
              <w:jc w:val="center"/>
              <w:rPr>
                <w:lang w:val="en-AU"/>
              </w:rPr>
            </w:pPr>
            <w:r w:rsidRPr="0040534B">
              <w:rPr>
                <w:lang w:val="en-AU"/>
              </w:rPr>
              <w:t>Year 6</w:t>
            </w:r>
          </w:p>
        </w:tc>
      </w:tr>
      <w:tr w:rsidR="00F03CD4" w:rsidRPr="0040534B" w14:paraId="26A0104F" w14:textId="77777777" w:rsidTr="00C124DD">
        <w:tc>
          <w:tcPr>
            <w:tcW w:w="5000" w:type="pct"/>
            <w:gridSpan w:val="7"/>
            <w:shd w:val="clear" w:color="auto" w:fill="auto"/>
            <w:vAlign w:val="center"/>
          </w:tcPr>
          <w:p w14:paraId="03E94245" w14:textId="77777777" w:rsidR="00F03CD4" w:rsidRPr="0040534B" w:rsidRDefault="00F03CD4" w:rsidP="004844B8">
            <w:pPr>
              <w:pStyle w:val="In-tableHeading"/>
              <w:keepLines/>
              <w:rPr>
                <w:bCs/>
                <w:color w:val="000000"/>
                <w:lang w:val="en-AU"/>
              </w:rPr>
            </w:pPr>
            <w:r w:rsidRPr="0040534B">
              <w:rPr>
                <w:bCs/>
                <w:color w:val="000000"/>
                <w:lang w:val="en-AU"/>
              </w:rPr>
              <w:t>Estimated extent of use</w:t>
            </w:r>
          </w:p>
        </w:tc>
      </w:tr>
      <w:tr w:rsidR="00F03CD4" w:rsidRPr="0040534B" w14:paraId="05181FDE" w14:textId="77777777" w:rsidTr="00C124DD">
        <w:tc>
          <w:tcPr>
            <w:tcW w:w="1334" w:type="pct"/>
            <w:shd w:val="clear" w:color="auto" w:fill="auto"/>
            <w:vAlign w:val="center"/>
          </w:tcPr>
          <w:p w14:paraId="659E65DD" w14:textId="77777777" w:rsidR="00F03CD4" w:rsidRPr="0040534B" w:rsidRDefault="00F03CD4" w:rsidP="004844B8">
            <w:pPr>
              <w:pStyle w:val="TableText0"/>
              <w:keepLines/>
              <w:rPr>
                <w:rFonts w:ascii="Times" w:hAnsi="Times"/>
              </w:rPr>
            </w:pPr>
            <w:r w:rsidRPr="0040534B">
              <w:t>Number of scripts dispensed</w:t>
            </w:r>
          </w:p>
        </w:tc>
        <w:tc>
          <w:tcPr>
            <w:tcW w:w="611" w:type="pct"/>
            <w:shd w:val="clear" w:color="auto" w:fill="auto"/>
            <w:vAlign w:val="center"/>
          </w:tcPr>
          <w:p w14:paraId="08B6ADD9" w14:textId="60F24DE1" w:rsidR="00F03CD4" w:rsidRPr="00FC4C1F" w:rsidRDefault="0032295E" w:rsidP="004844B8">
            <w:pPr>
              <w:pStyle w:val="TableText0"/>
              <w:keepLines/>
              <w:jc w:val="center"/>
              <w:rPr>
                <w:color w:val="000000"/>
                <w:highlight w:val="darkGray"/>
              </w:rPr>
            </w:pPr>
            <w:r w:rsidRPr="0032295E">
              <w:rPr>
                <w:rFonts w:hint="eastAsia"/>
                <w:color w:val="000000"/>
                <w:w w:val="15"/>
                <w:shd w:val="solid" w:color="000000" w:fill="000000"/>
                <w:fitText w:val="45" w:id="-1169007360"/>
                <w14:textFill>
                  <w14:solidFill>
                    <w14:srgbClr w14:val="000000">
                      <w14:alpha w14:val="100000"/>
                    </w14:srgbClr>
                  </w14:solidFill>
                </w14:textFill>
              </w:rPr>
              <w:t xml:space="preserve">　</w:t>
            </w:r>
            <w:r w:rsidRPr="0032295E">
              <w:rPr>
                <w:color w:val="000000"/>
                <w:w w:val="15"/>
                <w:shd w:val="solid" w:color="000000" w:fill="000000"/>
                <w:fitText w:val="45" w:id="-1169007360"/>
                <w14:textFill>
                  <w14:solidFill>
                    <w14:srgbClr w14:val="000000">
                      <w14:alpha w14:val="100000"/>
                    </w14:srgbClr>
                  </w14:solidFill>
                </w14:textFill>
              </w:rPr>
              <w:t>|</w:t>
            </w:r>
            <w:r w:rsidRPr="0032295E">
              <w:rPr>
                <w:rFonts w:hint="eastAsia"/>
                <w:color w:val="000000"/>
                <w:spacing w:val="-30"/>
                <w:w w:val="15"/>
                <w:shd w:val="solid" w:color="000000" w:fill="000000"/>
                <w:fitText w:val="45" w:id="-1169007360"/>
                <w14:textFill>
                  <w14:solidFill>
                    <w14:srgbClr w14:val="000000">
                      <w14:alpha w14:val="100000"/>
                    </w14:srgbClr>
                  </w14:solidFill>
                </w14:textFill>
              </w:rPr>
              <w:t xml:space="preserve">　</w:t>
            </w:r>
            <w:r w:rsidR="00FC4C1F">
              <w:rPr>
                <w:vertAlign w:val="superscript"/>
              </w:rPr>
              <w:t>1</w:t>
            </w:r>
            <w:r w:rsidRPr="0032295E">
              <w:t xml:space="preserve"> </w:t>
            </w:r>
          </w:p>
        </w:tc>
        <w:tc>
          <w:tcPr>
            <w:tcW w:w="611" w:type="pct"/>
            <w:shd w:val="clear" w:color="auto" w:fill="auto"/>
            <w:vAlign w:val="center"/>
          </w:tcPr>
          <w:p w14:paraId="63381A26" w14:textId="0D0438C9" w:rsidR="00F03CD4" w:rsidRPr="00FC4C1F" w:rsidRDefault="0032295E" w:rsidP="004844B8">
            <w:pPr>
              <w:pStyle w:val="TableText0"/>
              <w:keepLines/>
              <w:jc w:val="center"/>
              <w:rPr>
                <w:color w:val="000000"/>
                <w:highlight w:val="darkGray"/>
              </w:rPr>
            </w:pPr>
            <w:r w:rsidRPr="0032295E">
              <w:rPr>
                <w:rFonts w:hint="eastAsia"/>
                <w:color w:val="000000"/>
                <w:w w:val="15"/>
                <w:shd w:val="solid" w:color="000000" w:fill="000000"/>
                <w:fitText w:val="45" w:id="-1169007359"/>
                <w14:textFill>
                  <w14:solidFill>
                    <w14:srgbClr w14:val="000000">
                      <w14:alpha w14:val="100000"/>
                    </w14:srgbClr>
                  </w14:solidFill>
                </w14:textFill>
              </w:rPr>
              <w:t xml:space="preserve">　</w:t>
            </w:r>
            <w:r w:rsidRPr="0032295E">
              <w:rPr>
                <w:color w:val="000000"/>
                <w:w w:val="15"/>
                <w:shd w:val="solid" w:color="000000" w:fill="000000"/>
                <w:fitText w:val="45" w:id="-1169007359"/>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9"/>
                <w14:textFill>
                  <w14:solidFill>
                    <w14:srgbClr w14:val="000000">
                      <w14:alpha w14:val="100000"/>
                    </w14:srgbClr>
                  </w14:solidFill>
                </w14:textFill>
              </w:rPr>
              <w:t xml:space="preserve">　</w:t>
            </w:r>
            <w:r w:rsidR="00FC4C1F">
              <w:rPr>
                <w:vertAlign w:val="superscript"/>
              </w:rPr>
              <w:t>2</w:t>
            </w:r>
            <w:r w:rsidRPr="0032295E">
              <w:t xml:space="preserve"> </w:t>
            </w:r>
          </w:p>
        </w:tc>
        <w:tc>
          <w:tcPr>
            <w:tcW w:w="611" w:type="pct"/>
            <w:shd w:val="clear" w:color="auto" w:fill="auto"/>
            <w:vAlign w:val="center"/>
          </w:tcPr>
          <w:p w14:paraId="7A50061B" w14:textId="4A8FB0C0" w:rsidR="00F03CD4" w:rsidRPr="00FC4C1F" w:rsidRDefault="0032295E" w:rsidP="004844B8">
            <w:pPr>
              <w:pStyle w:val="TableText0"/>
              <w:keepLines/>
              <w:jc w:val="center"/>
              <w:rPr>
                <w:color w:val="000000"/>
                <w:highlight w:val="darkGray"/>
              </w:rPr>
            </w:pPr>
            <w:r w:rsidRPr="0032295E">
              <w:rPr>
                <w:rFonts w:hint="eastAsia"/>
                <w:color w:val="000000"/>
                <w:w w:val="15"/>
                <w:shd w:val="solid" w:color="000000" w:fill="000000"/>
                <w:fitText w:val="45" w:id="-1169007358"/>
                <w14:textFill>
                  <w14:solidFill>
                    <w14:srgbClr w14:val="000000">
                      <w14:alpha w14:val="100000"/>
                    </w14:srgbClr>
                  </w14:solidFill>
                </w14:textFill>
              </w:rPr>
              <w:t xml:space="preserve">　</w:t>
            </w:r>
            <w:r w:rsidRPr="0032295E">
              <w:rPr>
                <w:color w:val="000000"/>
                <w:w w:val="15"/>
                <w:shd w:val="solid" w:color="000000" w:fill="000000"/>
                <w:fitText w:val="45" w:id="-1169007358"/>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8"/>
                <w14:textFill>
                  <w14:solidFill>
                    <w14:srgbClr w14:val="000000">
                      <w14:alpha w14:val="100000"/>
                    </w14:srgbClr>
                  </w14:solidFill>
                </w14:textFill>
              </w:rPr>
              <w:t xml:space="preserve">　</w:t>
            </w:r>
            <w:r w:rsidR="00FC4C1F">
              <w:rPr>
                <w:vertAlign w:val="superscript"/>
              </w:rPr>
              <w:t>3</w:t>
            </w:r>
          </w:p>
        </w:tc>
        <w:tc>
          <w:tcPr>
            <w:tcW w:w="611" w:type="pct"/>
            <w:shd w:val="clear" w:color="auto" w:fill="auto"/>
            <w:vAlign w:val="center"/>
          </w:tcPr>
          <w:p w14:paraId="6B0745FF" w14:textId="7584EDDE" w:rsidR="00F03CD4" w:rsidRPr="00FC4C1F" w:rsidRDefault="0032295E" w:rsidP="004844B8">
            <w:pPr>
              <w:pStyle w:val="TableText0"/>
              <w:keepLines/>
              <w:jc w:val="center"/>
              <w:rPr>
                <w:color w:val="000000"/>
                <w:highlight w:val="darkGray"/>
              </w:rPr>
            </w:pPr>
            <w:r w:rsidRPr="0032295E">
              <w:rPr>
                <w:rFonts w:hint="eastAsia"/>
                <w:color w:val="000000"/>
                <w:w w:val="15"/>
                <w:shd w:val="solid" w:color="000000" w:fill="000000"/>
                <w:fitText w:val="45" w:id="-1169007357"/>
                <w14:textFill>
                  <w14:solidFill>
                    <w14:srgbClr w14:val="000000">
                      <w14:alpha w14:val="100000"/>
                    </w14:srgbClr>
                  </w14:solidFill>
                </w14:textFill>
              </w:rPr>
              <w:t xml:space="preserve">　</w:t>
            </w:r>
            <w:r w:rsidRPr="0032295E">
              <w:rPr>
                <w:color w:val="000000"/>
                <w:w w:val="15"/>
                <w:shd w:val="solid" w:color="000000" w:fill="000000"/>
                <w:fitText w:val="45" w:id="-1169007357"/>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7"/>
                <w14:textFill>
                  <w14:solidFill>
                    <w14:srgbClr w14:val="000000">
                      <w14:alpha w14:val="100000"/>
                    </w14:srgbClr>
                  </w14:solidFill>
                </w14:textFill>
              </w:rPr>
              <w:t xml:space="preserve">　</w:t>
            </w:r>
            <w:r w:rsidR="00FC4C1F">
              <w:rPr>
                <w:vertAlign w:val="superscript"/>
              </w:rPr>
              <w:t>4</w:t>
            </w:r>
          </w:p>
        </w:tc>
        <w:tc>
          <w:tcPr>
            <w:tcW w:w="611" w:type="pct"/>
            <w:shd w:val="clear" w:color="auto" w:fill="auto"/>
            <w:vAlign w:val="center"/>
          </w:tcPr>
          <w:p w14:paraId="11154226" w14:textId="3AD35E7E" w:rsidR="00F03CD4" w:rsidRPr="00FC4C1F" w:rsidRDefault="0032295E" w:rsidP="004844B8">
            <w:pPr>
              <w:pStyle w:val="TableText0"/>
              <w:keepLines/>
              <w:jc w:val="center"/>
              <w:rPr>
                <w:color w:val="000000"/>
                <w:highlight w:val="darkGray"/>
              </w:rPr>
            </w:pPr>
            <w:r w:rsidRPr="0032295E">
              <w:rPr>
                <w:rFonts w:hint="eastAsia"/>
                <w:color w:val="000000"/>
                <w:w w:val="15"/>
                <w:shd w:val="solid" w:color="000000" w:fill="000000"/>
                <w:fitText w:val="45" w:id="-1169007356"/>
                <w14:textFill>
                  <w14:solidFill>
                    <w14:srgbClr w14:val="000000">
                      <w14:alpha w14:val="100000"/>
                    </w14:srgbClr>
                  </w14:solidFill>
                </w14:textFill>
              </w:rPr>
              <w:t xml:space="preserve">　</w:t>
            </w:r>
            <w:r w:rsidRPr="0032295E">
              <w:rPr>
                <w:color w:val="000000"/>
                <w:w w:val="15"/>
                <w:shd w:val="solid" w:color="000000" w:fill="000000"/>
                <w:fitText w:val="45" w:id="-1169007356"/>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6"/>
                <w14:textFill>
                  <w14:solidFill>
                    <w14:srgbClr w14:val="000000">
                      <w14:alpha w14:val="100000"/>
                    </w14:srgbClr>
                  </w14:solidFill>
                </w14:textFill>
              </w:rPr>
              <w:t xml:space="preserve">　</w:t>
            </w:r>
            <w:r w:rsidR="00FC4C1F">
              <w:rPr>
                <w:vertAlign w:val="superscript"/>
              </w:rPr>
              <w:t>5</w:t>
            </w:r>
          </w:p>
        </w:tc>
        <w:tc>
          <w:tcPr>
            <w:tcW w:w="611" w:type="pct"/>
            <w:vAlign w:val="center"/>
          </w:tcPr>
          <w:p w14:paraId="77975EAE" w14:textId="1BA68AFB" w:rsidR="00F03CD4" w:rsidRPr="00FC4C1F" w:rsidRDefault="0032295E" w:rsidP="004844B8">
            <w:pPr>
              <w:pStyle w:val="TableText0"/>
              <w:keepLines/>
              <w:jc w:val="center"/>
              <w:rPr>
                <w:color w:val="000000"/>
                <w:highlight w:val="darkGray"/>
              </w:rPr>
            </w:pPr>
            <w:r w:rsidRPr="0032295E">
              <w:rPr>
                <w:rFonts w:hint="eastAsia"/>
                <w:color w:val="000000"/>
                <w:w w:val="15"/>
                <w:shd w:val="solid" w:color="000000" w:fill="000000"/>
                <w:fitText w:val="45" w:id="-1169007355"/>
                <w14:textFill>
                  <w14:solidFill>
                    <w14:srgbClr w14:val="000000">
                      <w14:alpha w14:val="100000"/>
                    </w14:srgbClr>
                  </w14:solidFill>
                </w14:textFill>
              </w:rPr>
              <w:t xml:space="preserve">　</w:t>
            </w:r>
            <w:r w:rsidRPr="0032295E">
              <w:rPr>
                <w:color w:val="000000"/>
                <w:w w:val="15"/>
                <w:shd w:val="solid" w:color="000000" w:fill="000000"/>
                <w:fitText w:val="45" w:id="-1169007355"/>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5"/>
                <w14:textFill>
                  <w14:solidFill>
                    <w14:srgbClr w14:val="000000">
                      <w14:alpha w14:val="100000"/>
                    </w14:srgbClr>
                  </w14:solidFill>
                </w14:textFill>
              </w:rPr>
              <w:t xml:space="preserve">　</w:t>
            </w:r>
            <w:r w:rsidR="00FC4C1F">
              <w:rPr>
                <w:vertAlign w:val="superscript"/>
              </w:rPr>
              <w:t>6</w:t>
            </w:r>
          </w:p>
        </w:tc>
      </w:tr>
      <w:tr w:rsidR="00F03CD4" w:rsidRPr="0040534B" w14:paraId="00F9509F" w14:textId="77777777" w:rsidTr="00C124DD">
        <w:tc>
          <w:tcPr>
            <w:tcW w:w="1334" w:type="pct"/>
            <w:shd w:val="clear" w:color="auto" w:fill="auto"/>
            <w:vAlign w:val="center"/>
          </w:tcPr>
          <w:p w14:paraId="098B356F" w14:textId="77777777" w:rsidR="00F03CD4" w:rsidRPr="0040534B" w:rsidRDefault="00F03CD4" w:rsidP="004844B8">
            <w:pPr>
              <w:pStyle w:val="TableText0"/>
              <w:keepLines/>
            </w:pPr>
            <w:r w:rsidRPr="0040534B">
              <w:t>Number of patients years</w:t>
            </w:r>
          </w:p>
        </w:tc>
        <w:tc>
          <w:tcPr>
            <w:tcW w:w="611" w:type="pct"/>
            <w:shd w:val="clear" w:color="auto" w:fill="auto"/>
            <w:vAlign w:val="center"/>
          </w:tcPr>
          <w:p w14:paraId="3C8D9620" w14:textId="46495E1F"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4"/>
                <w14:textFill>
                  <w14:solidFill>
                    <w14:srgbClr w14:val="000000">
                      <w14:alpha w14:val="100000"/>
                    </w14:srgbClr>
                  </w14:solidFill>
                </w14:textFill>
              </w:rPr>
              <w:t xml:space="preserve">　</w:t>
            </w:r>
            <w:r w:rsidRPr="0032295E">
              <w:rPr>
                <w:color w:val="000000"/>
                <w:w w:val="15"/>
                <w:shd w:val="solid" w:color="000000" w:fill="000000"/>
                <w:fitText w:val="45" w:id="-1169007354"/>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4"/>
                <w14:textFill>
                  <w14:solidFill>
                    <w14:srgbClr w14:val="000000">
                      <w14:alpha w14:val="100000"/>
                    </w14:srgbClr>
                  </w14:solidFill>
                </w14:textFill>
              </w:rPr>
              <w:t xml:space="preserve">　</w:t>
            </w:r>
            <w:r w:rsidR="00FC4C1F">
              <w:rPr>
                <w:vertAlign w:val="superscript"/>
              </w:rPr>
              <w:t>7</w:t>
            </w:r>
          </w:p>
        </w:tc>
        <w:tc>
          <w:tcPr>
            <w:tcW w:w="611" w:type="pct"/>
            <w:shd w:val="clear" w:color="auto" w:fill="auto"/>
            <w:vAlign w:val="center"/>
          </w:tcPr>
          <w:p w14:paraId="1EC52950" w14:textId="0AD648B3"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3"/>
                <w14:textFill>
                  <w14:solidFill>
                    <w14:srgbClr w14:val="000000">
                      <w14:alpha w14:val="100000"/>
                    </w14:srgbClr>
                  </w14:solidFill>
                </w14:textFill>
              </w:rPr>
              <w:t xml:space="preserve">　</w:t>
            </w:r>
            <w:r w:rsidRPr="0032295E">
              <w:rPr>
                <w:color w:val="000000"/>
                <w:w w:val="15"/>
                <w:shd w:val="solid" w:color="000000" w:fill="000000"/>
                <w:fitText w:val="45" w:id="-1169007353"/>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3"/>
                <w14:textFill>
                  <w14:solidFill>
                    <w14:srgbClr w14:val="000000">
                      <w14:alpha w14:val="100000"/>
                    </w14:srgbClr>
                  </w14:solidFill>
                </w14:textFill>
              </w:rPr>
              <w:t xml:space="preserve">　</w:t>
            </w:r>
            <w:r w:rsidR="00FC4C1F">
              <w:rPr>
                <w:vertAlign w:val="superscript"/>
              </w:rPr>
              <w:t>7</w:t>
            </w:r>
          </w:p>
        </w:tc>
        <w:tc>
          <w:tcPr>
            <w:tcW w:w="611" w:type="pct"/>
            <w:shd w:val="clear" w:color="auto" w:fill="auto"/>
            <w:vAlign w:val="center"/>
          </w:tcPr>
          <w:p w14:paraId="0CCE93D1" w14:textId="078944FD"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2"/>
                <w14:textFill>
                  <w14:solidFill>
                    <w14:srgbClr w14:val="000000">
                      <w14:alpha w14:val="100000"/>
                    </w14:srgbClr>
                  </w14:solidFill>
                </w14:textFill>
              </w:rPr>
              <w:t xml:space="preserve">　</w:t>
            </w:r>
            <w:r w:rsidRPr="0032295E">
              <w:rPr>
                <w:color w:val="000000"/>
                <w:w w:val="15"/>
                <w:shd w:val="solid" w:color="000000" w:fill="000000"/>
                <w:fitText w:val="45" w:id="-1169007352"/>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2"/>
                <w14:textFill>
                  <w14:solidFill>
                    <w14:srgbClr w14:val="000000">
                      <w14:alpha w14:val="100000"/>
                    </w14:srgbClr>
                  </w14:solidFill>
                </w14:textFill>
              </w:rPr>
              <w:t xml:space="preserve">　</w:t>
            </w:r>
            <w:r w:rsidR="00FC4C1F">
              <w:rPr>
                <w:vertAlign w:val="superscript"/>
              </w:rPr>
              <w:t>7</w:t>
            </w:r>
          </w:p>
        </w:tc>
        <w:tc>
          <w:tcPr>
            <w:tcW w:w="611" w:type="pct"/>
            <w:shd w:val="clear" w:color="auto" w:fill="auto"/>
            <w:vAlign w:val="center"/>
          </w:tcPr>
          <w:p w14:paraId="6C0983C7" w14:textId="66FBDA9A"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1"/>
                <w14:textFill>
                  <w14:solidFill>
                    <w14:srgbClr w14:val="000000">
                      <w14:alpha w14:val="100000"/>
                    </w14:srgbClr>
                  </w14:solidFill>
                </w14:textFill>
              </w:rPr>
              <w:t xml:space="preserve">　</w:t>
            </w:r>
            <w:r w:rsidRPr="0032295E">
              <w:rPr>
                <w:color w:val="000000"/>
                <w:w w:val="15"/>
                <w:shd w:val="solid" w:color="000000" w:fill="000000"/>
                <w:fitText w:val="45" w:id="-1169007351"/>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1"/>
                <w14:textFill>
                  <w14:solidFill>
                    <w14:srgbClr w14:val="000000">
                      <w14:alpha w14:val="100000"/>
                    </w14:srgbClr>
                  </w14:solidFill>
                </w14:textFill>
              </w:rPr>
              <w:t xml:space="preserve">　</w:t>
            </w:r>
            <w:r w:rsidR="00FC4C1F">
              <w:rPr>
                <w:vertAlign w:val="superscript"/>
              </w:rPr>
              <w:t>7</w:t>
            </w:r>
          </w:p>
        </w:tc>
        <w:tc>
          <w:tcPr>
            <w:tcW w:w="611" w:type="pct"/>
            <w:shd w:val="clear" w:color="auto" w:fill="auto"/>
            <w:vAlign w:val="center"/>
          </w:tcPr>
          <w:p w14:paraId="441154BD" w14:textId="14308A3E"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0"/>
                <w14:textFill>
                  <w14:solidFill>
                    <w14:srgbClr w14:val="000000">
                      <w14:alpha w14:val="100000"/>
                    </w14:srgbClr>
                  </w14:solidFill>
                </w14:textFill>
              </w:rPr>
              <w:t xml:space="preserve">　</w:t>
            </w:r>
            <w:r w:rsidRPr="0032295E">
              <w:rPr>
                <w:color w:val="000000"/>
                <w:w w:val="15"/>
                <w:shd w:val="solid" w:color="000000" w:fill="000000"/>
                <w:fitText w:val="45" w:id="-1169007350"/>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0"/>
                <w14:textFill>
                  <w14:solidFill>
                    <w14:srgbClr w14:val="000000">
                      <w14:alpha w14:val="100000"/>
                    </w14:srgbClr>
                  </w14:solidFill>
                </w14:textFill>
              </w:rPr>
              <w:t xml:space="preserve">　</w:t>
            </w:r>
            <w:r w:rsidR="00FC4C1F">
              <w:rPr>
                <w:vertAlign w:val="superscript"/>
              </w:rPr>
              <w:t>8</w:t>
            </w:r>
          </w:p>
        </w:tc>
        <w:tc>
          <w:tcPr>
            <w:tcW w:w="611" w:type="pct"/>
            <w:vAlign w:val="center"/>
          </w:tcPr>
          <w:p w14:paraId="67ECC2C8" w14:textId="45C3E34E"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49"/>
                <w14:textFill>
                  <w14:solidFill>
                    <w14:srgbClr w14:val="000000">
                      <w14:alpha w14:val="100000"/>
                    </w14:srgbClr>
                  </w14:solidFill>
                </w14:textFill>
              </w:rPr>
              <w:t xml:space="preserve">　</w:t>
            </w:r>
            <w:r w:rsidRPr="0032295E">
              <w:rPr>
                <w:color w:val="000000"/>
                <w:w w:val="15"/>
                <w:shd w:val="solid" w:color="000000" w:fill="000000"/>
                <w:fitText w:val="45" w:id="-1169007349"/>
                <w14:textFill>
                  <w14:solidFill>
                    <w14:srgbClr w14:val="000000">
                      <w14:alpha w14:val="100000"/>
                    </w14:srgbClr>
                  </w14:solidFill>
                </w14:textFill>
              </w:rPr>
              <w:t>|</w:t>
            </w:r>
            <w:r w:rsidRPr="0032295E">
              <w:rPr>
                <w:rFonts w:hint="eastAsia"/>
                <w:color w:val="000000"/>
                <w:spacing w:val="-30"/>
                <w:w w:val="15"/>
                <w:shd w:val="solid" w:color="000000" w:fill="000000"/>
                <w:fitText w:val="45" w:id="-1169007349"/>
                <w14:textFill>
                  <w14:solidFill>
                    <w14:srgbClr w14:val="000000">
                      <w14:alpha w14:val="100000"/>
                    </w14:srgbClr>
                  </w14:solidFill>
                </w14:textFill>
              </w:rPr>
              <w:t xml:space="preserve">　</w:t>
            </w:r>
            <w:r w:rsidR="00FC4C1F">
              <w:rPr>
                <w:vertAlign w:val="superscript"/>
              </w:rPr>
              <w:t>8</w:t>
            </w:r>
          </w:p>
        </w:tc>
      </w:tr>
      <w:tr w:rsidR="00F03CD4" w:rsidRPr="0040534B" w14:paraId="65ED1F93" w14:textId="77777777" w:rsidTr="00C124DD">
        <w:tc>
          <w:tcPr>
            <w:tcW w:w="5000" w:type="pct"/>
            <w:gridSpan w:val="7"/>
            <w:shd w:val="clear" w:color="auto" w:fill="auto"/>
            <w:vAlign w:val="center"/>
          </w:tcPr>
          <w:p w14:paraId="77968EB1" w14:textId="77777777" w:rsidR="00F03CD4" w:rsidRPr="0040534B" w:rsidRDefault="00F03CD4" w:rsidP="004844B8">
            <w:pPr>
              <w:pStyle w:val="In-tableHeading"/>
              <w:keepLines/>
              <w:rPr>
                <w:lang w:val="en-AU"/>
              </w:rPr>
            </w:pPr>
            <w:r w:rsidRPr="0040534B">
              <w:rPr>
                <w:lang w:val="en-AU"/>
              </w:rPr>
              <w:t>Estimated financial implications of atogepant</w:t>
            </w:r>
          </w:p>
        </w:tc>
      </w:tr>
      <w:tr w:rsidR="00F03CD4" w:rsidRPr="0040534B" w14:paraId="34F6FDD4" w14:textId="77777777" w:rsidTr="00C124DD">
        <w:tc>
          <w:tcPr>
            <w:tcW w:w="1334" w:type="pct"/>
            <w:shd w:val="clear" w:color="auto" w:fill="auto"/>
            <w:vAlign w:val="center"/>
          </w:tcPr>
          <w:p w14:paraId="54E138C5" w14:textId="0F66814E" w:rsidR="00F03CD4" w:rsidRPr="0040534B" w:rsidRDefault="00F03CD4" w:rsidP="004844B8">
            <w:pPr>
              <w:pStyle w:val="TableText0"/>
              <w:keepLines/>
              <w:rPr>
                <w:sz w:val="19"/>
                <w:szCs w:val="19"/>
              </w:rPr>
            </w:pPr>
            <w:r w:rsidRPr="0040534B">
              <w:rPr>
                <w:sz w:val="19"/>
                <w:szCs w:val="19"/>
              </w:rPr>
              <w:t>Cost to PBS/RPBS less copayments</w:t>
            </w:r>
            <w:r w:rsidR="00F929FD">
              <w:rPr>
                <w:sz w:val="19"/>
                <w:szCs w:val="19"/>
              </w:rPr>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5F4BCCC2" w14:textId="1877E7DD"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48"/>
                <w14:textFill>
                  <w14:solidFill>
                    <w14:srgbClr w14:val="000000">
                      <w14:alpha w14:val="100000"/>
                    </w14:srgbClr>
                  </w14:solidFill>
                </w14:textFill>
              </w:rPr>
              <w:t xml:space="preserve">　</w:t>
            </w:r>
            <w:r w:rsidRPr="0032295E">
              <w:rPr>
                <w:color w:val="000000"/>
                <w:w w:val="15"/>
                <w:shd w:val="solid" w:color="000000" w:fill="000000"/>
                <w:fitText w:val="45" w:id="-1169007348"/>
                <w14:textFill>
                  <w14:solidFill>
                    <w14:srgbClr w14:val="000000">
                      <w14:alpha w14:val="100000"/>
                    </w14:srgbClr>
                  </w14:solidFill>
                </w14:textFill>
              </w:rPr>
              <w:t>|</w:t>
            </w:r>
            <w:r w:rsidRPr="0032295E">
              <w:rPr>
                <w:rFonts w:hint="eastAsia"/>
                <w:color w:val="000000"/>
                <w:spacing w:val="-30"/>
                <w:w w:val="15"/>
                <w:shd w:val="solid" w:color="000000" w:fill="000000"/>
                <w:fitText w:val="45" w:id="-1169007348"/>
                <w14:textFill>
                  <w14:solidFill>
                    <w14:srgbClr w14:val="000000">
                      <w14:alpha w14:val="100000"/>
                    </w14:srgbClr>
                  </w14:solidFill>
                </w14:textFill>
              </w:rPr>
              <w:t xml:space="preserve">　</w:t>
            </w:r>
            <w:r w:rsidR="00FC4C1F">
              <w:rPr>
                <w:vertAlign w:val="superscript"/>
              </w:rPr>
              <w:t>9</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9FB1D98" w14:textId="36E55F06"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47"/>
                <w14:textFill>
                  <w14:solidFill>
                    <w14:srgbClr w14:val="000000">
                      <w14:alpha w14:val="100000"/>
                    </w14:srgbClr>
                  </w14:solidFill>
                </w14:textFill>
              </w:rPr>
              <w:t xml:space="preserve">　</w:t>
            </w:r>
            <w:r w:rsidRPr="0032295E">
              <w:rPr>
                <w:color w:val="000000"/>
                <w:w w:val="16"/>
                <w:shd w:val="solid" w:color="000000" w:fill="000000"/>
                <w:fitText w:val="75" w:id="-1169007347"/>
                <w14:textFill>
                  <w14:solidFill>
                    <w14:srgbClr w14:val="000000">
                      <w14:alpha w14:val="100000"/>
                    </w14:srgbClr>
                  </w14:solidFill>
                </w14:textFill>
              </w:rPr>
              <w:t>|</w:t>
            </w:r>
            <w:r w:rsidRPr="0032295E">
              <w:rPr>
                <w:rFonts w:hint="eastAsia"/>
                <w:color w:val="000000"/>
                <w:w w:val="16"/>
                <w:shd w:val="solid" w:color="000000" w:fill="000000"/>
                <w:fitText w:val="75" w:id="-1169007347"/>
                <w14:textFill>
                  <w14:solidFill>
                    <w14:srgbClr w14:val="000000">
                      <w14:alpha w14:val="100000"/>
                    </w14:srgbClr>
                  </w14:solidFill>
                </w14:textFill>
              </w:rPr>
              <w:t xml:space="preserve">　</w:t>
            </w:r>
            <w:r w:rsidR="00FC4C1F">
              <w:rPr>
                <w:vertAlign w:val="superscript"/>
              </w:rPr>
              <w:t>10</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1AB385F" w14:textId="69232F3D"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46"/>
                <w14:textFill>
                  <w14:solidFill>
                    <w14:srgbClr w14:val="000000">
                      <w14:alpha w14:val="100000"/>
                    </w14:srgbClr>
                  </w14:solidFill>
                </w14:textFill>
              </w:rPr>
              <w:t xml:space="preserve">　</w:t>
            </w:r>
            <w:r w:rsidRPr="0032295E">
              <w:rPr>
                <w:color w:val="000000"/>
                <w:w w:val="16"/>
                <w:shd w:val="solid" w:color="000000" w:fill="000000"/>
                <w:fitText w:val="75" w:id="-1169007346"/>
                <w14:textFill>
                  <w14:solidFill>
                    <w14:srgbClr w14:val="000000">
                      <w14:alpha w14:val="100000"/>
                    </w14:srgbClr>
                  </w14:solidFill>
                </w14:textFill>
              </w:rPr>
              <w:t>|</w:t>
            </w:r>
            <w:r w:rsidRPr="0032295E">
              <w:rPr>
                <w:rFonts w:hint="eastAsia"/>
                <w:color w:val="000000"/>
                <w:w w:val="16"/>
                <w:shd w:val="solid" w:color="000000" w:fill="000000"/>
                <w:fitText w:val="75" w:id="-1169007346"/>
                <w14:textFill>
                  <w14:solidFill>
                    <w14:srgbClr w14:val="000000">
                      <w14:alpha w14:val="100000"/>
                    </w14:srgbClr>
                  </w14:solidFill>
                </w14:textFill>
              </w:rPr>
              <w:t xml:space="preserve">　</w:t>
            </w:r>
            <w:r w:rsidR="00FC4C1F">
              <w:rPr>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09E5A93" w14:textId="2ED955EA"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45"/>
                <w14:textFill>
                  <w14:solidFill>
                    <w14:srgbClr w14:val="000000">
                      <w14:alpha w14:val="100000"/>
                    </w14:srgbClr>
                  </w14:solidFill>
                </w14:textFill>
              </w:rPr>
              <w:t xml:space="preserve">　</w:t>
            </w:r>
            <w:r w:rsidRPr="0032295E">
              <w:rPr>
                <w:color w:val="000000"/>
                <w:w w:val="16"/>
                <w:shd w:val="solid" w:color="000000" w:fill="000000"/>
                <w:fitText w:val="75" w:id="-1169007345"/>
                <w14:textFill>
                  <w14:solidFill>
                    <w14:srgbClr w14:val="000000">
                      <w14:alpha w14:val="100000"/>
                    </w14:srgbClr>
                  </w14:solidFill>
                </w14:textFill>
              </w:rPr>
              <w:t>|</w:t>
            </w:r>
            <w:r w:rsidRPr="0032295E">
              <w:rPr>
                <w:rFonts w:hint="eastAsia"/>
                <w:color w:val="000000"/>
                <w:w w:val="16"/>
                <w:shd w:val="solid" w:color="000000" w:fill="000000"/>
                <w:fitText w:val="75" w:id="-1169007345"/>
                <w14:textFill>
                  <w14:solidFill>
                    <w14:srgbClr w14:val="000000">
                      <w14:alpha w14:val="100000"/>
                    </w14:srgbClr>
                  </w14:solidFill>
                </w14:textFill>
              </w:rPr>
              <w:t xml:space="preserve">　</w:t>
            </w:r>
            <w:r w:rsidR="00FC4C1F">
              <w:rPr>
                <w:vertAlign w:val="superscript"/>
              </w:rPr>
              <w:t>12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6056683" w14:textId="2771B048"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44"/>
                <w14:textFill>
                  <w14:solidFill>
                    <w14:srgbClr w14:val="000000">
                      <w14:alpha w14:val="100000"/>
                    </w14:srgbClr>
                  </w14:solidFill>
                </w14:textFill>
              </w:rPr>
              <w:t xml:space="preserve">　</w:t>
            </w:r>
            <w:r w:rsidRPr="0032295E">
              <w:rPr>
                <w:color w:val="000000"/>
                <w:w w:val="16"/>
                <w:shd w:val="solid" w:color="000000" w:fill="000000"/>
                <w:fitText w:val="75" w:id="-1169007344"/>
                <w14:textFill>
                  <w14:solidFill>
                    <w14:srgbClr w14:val="000000">
                      <w14:alpha w14:val="100000"/>
                    </w14:srgbClr>
                  </w14:solidFill>
                </w14:textFill>
              </w:rPr>
              <w:t>|</w:t>
            </w:r>
            <w:r w:rsidRPr="0032295E">
              <w:rPr>
                <w:rFonts w:hint="eastAsia"/>
                <w:color w:val="000000"/>
                <w:w w:val="16"/>
                <w:shd w:val="solid" w:color="000000" w:fill="000000"/>
                <w:fitText w:val="75" w:id="-1169007344"/>
                <w14:textFill>
                  <w14:solidFill>
                    <w14:srgbClr w14:val="000000">
                      <w14:alpha w14:val="100000"/>
                    </w14:srgbClr>
                  </w14:solidFill>
                </w14:textFill>
              </w:rPr>
              <w:t xml:space="preserve">　</w:t>
            </w:r>
            <w:r w:rsidR="00FC4C1F">
              <w:rPr>
                <w:vertAlign w:val="superscript"/>
              </w:rPr>
              <w:t>13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83A7067" w14:textId="7488A83F"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60"/>
                <w14:textFill>
                  <w14:solidFill>
                    <w14:srgbClr w14:val="000000">
                      <w14:alpha w14:val="100000"/>
                    </w14:srgbClr>
                  </w14:solidFill>
                </w14:textFill>
              </w:rPr>
              <w:t xml:space="preserve">　</w:t>
            </w:r>
            <w:r w:rsidRPr="0032295E">
              <w:rPr>
                <w:color w:val="000000"/>
                <w:w w:val="16"/>
                <w:shd w:val="solid" w:color="000000" w:fill="000000"/>
                <w:fitText w:val="75" w:id="-1169007360"/>
                <w14:textFill>
                  <w14:solidFill>
                    <w14:srgbClr w14:val="000000">
                      <w14:alpha w14:val="100000"/>
                    </w14:srgbClr>
                  </w14:solidFill>
                </w14:textFill>
              </w:rPr>
              <w:t>|</w:t>
            </w:r>
            <w:r w:rsidRPr="0032295E">
              <w:rPr>
                <w:rFonts w:hint="eastAsia"/>
                <w:color w:val="000000"/>
                <w:w w:val="16"/>
                <w:shd w:val="solid" w:color="000000" w:fill="000000"/>
                <w:fitText w:val="75" w:id="-1169007360"/>
                <w14:textFill>
                  <w14:solidFill>
                    <w14:srgbClr w14:val="000000">
                      <w14:alpha w14:val="100000"/>
                    </w14:srgbClr>
                  </w14:solidFill>
                </w14:textFill>
              </w:rPr>
              <w:t xml:space="preserve">　</w:t>
            </w:r>
            <w:r w:rsidR="00FC4C1F">
              <w:rPr>
                <w:vertAlign w:val="superscript"/>
              </w:rPr>
              <w:t>14</w:t>
            </w:r>
          </w:p>
        </w:tc>
      </w:tr>
      <w:tr w:rsidR="00F03CD4" w:rsidRPr="0040534B" w14:paraId="4AC93706" w14:textId="77777777" w:rsidTr="00C124DD">
        <w:tc>
          <w:tcPr>
            <w:tcW w:w="5000" w:type="pct"/>
            <w:gridSpan w:val="7"/>
            <w:shd w:val="clear" w:color="auto" w:fill="auto"/>
            <w:vAlign w:val="center"/>
          </w:tcPr>
          <w:p w14:paraId="027482C3" w14:textId="77777777" w:rsidR="00F03CD4" w:rsidRPr="0040534B" w:rsidRDefault="00F03CD4" w:rsidP="004844B8">
            <w:pPr>
              <w:pStyle w:val="TableText0"/>
              <w:keepLines/>
              <w:rPr>
                <w:b/>
                <w:bCs w:val="0"/>
              </w:rPr>
            </w:pPr>
            <w:r w:rsidRPr="0040534B">
              <w:rPr>
                <w:b/>
                <w:bCs w:val="0"/>
              </w:rPr>
              <w:t>Estimated financial implications for galcanezumab and fremanezumab</w:t>
            </w:r>
          </w:p>
        </w:tc>
      </w:tr>
      <w:tr w:rsidR="00F03CD4" w:rsidRPr="0040534B" w14:paraId="22DAB193" w14:textId="77777777" w:rsidTr="00C124DD">
        <w:tc>
          <w:tcPr>
            <w:tcW w:w="1334" w:type="pct"/>
            <w:shd w:val="clear" w:color="auto" w:fill="auto"/>
            <w:vAlign w:val="center"/>
          </w:tcPr>
          <w:p w14:paraId="2450C643" w14:textId="0CA99862" w:rsidR="00F03CD4" w:rsidRPr="0040534B" w:rsidRDefault="00F03CD4" w:rsidP="004844B8">
            <w:pPr>
              <w:pStyle w:val="TableText0"/>
              <w:keepLines/>
              <w:rPr>
                <w:sz w:val="19"/>
                <w:szCs w:val="19"/>
              </w:rPr>
            </w:pPr>
            <w:r w:rsidRPr="0040534B">
              <w:rPr>
                <w:sz w:val="19"/>
                <w:szCs w:val="19"/>
              </w:rPr>
              <w:t>Cost to PBS/RPBS less copayments</w:t>
            </w:r>
            <w:r w:rsidR="00F929FD">
              <w:rPr>
                <w:sz w:val="19"/>
                <w:szCs w:val="19"/>
              </w:rPr>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49D2C418" w14:textId="138899E0"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59"/>
                <w14:textFill>
                  <w14:solidFill>
                    <w14:srgbClr w14:val="000000">
                      <w14:alpha w14:val="100000"/>
                    </w14:srgbClr>
                  </w14:solidFill>
                </w14:textFill>
              </w:rPr>
              <w:t xml:space="preserve">　</w:t>
            </w:r>
            <w:r w:rsidRPr="0032295E">
              <w:rPr>
                <w:color w:val="000000"/>
                <w:w w:val="16"/>
                <w:shd w:val="solid" w:color="000000" w:fill="000000"/>
                <w:fitText w:val="75" w:id="-1169007359"/>
                <w14:textFill>
                  <w14:solidFill>
                    <w14:srgbClr w14:val="000000">
                      <w14:alpha w14:val="100000"/>
                    </w14:srgbClr>
                  </w14:solidFill>
                </w14:textFill>
              </w:rPr>
              <w:t>|</w:t>
            </w:r>
            <w:r w:rsidRPr="0032295E">
              <w:rPr>
                <w:rFonts w:hint="eastAsia"/>
                <w:color w:val="000000"/>
                <w:w w:val="16"/>
                <w:shd w:val="solid" w:color="000000" w:fill="000000"/>
                <w:fitText w:val="75" w:id="-1169007359"/>
                <w14:textFill>
                  <w14:solidFill>
                    <w14:srgbClr w14:val="000000">
                      <w14:alpha w14:val="100000"/>
                    </w14:srgbClr>
                  </w14:solidFill>
                </w14:textFill>
              </w:rPr>
              <w:t xml:space="preserve">　</w:t>
            </w:r>
            <w:r w:rsidR="00F929FD">
              <w:rPr>
                <w:vertAlign w:val="superscript"/>
              </w:rPr>
              <w:t>15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5B998B2" w14:textId="02FE6FAA"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58"/>
                <w14:textFill>
                  <w14:solidFill>
                    <w14:srgbClr w14:val="000000">
                      <w14:alpha w14:val="100000"/>
                    </w14:srgbClr>
                  </w14:solidFill>
                </w14:textFill>
              </w:rPr>
              <w:t xml:space="preserve">　</w:t>
            </w:r>
            <w:r w:rsidRPr="0032295E">
              <w:rPr>
                <w:color w:val="000000"/>
                <w:w w:val="16"/>
                <w:shd w:val="solid" w:color="000000" w:fill="000000"/>
                <w:fitText w:val="75" w:id="-1169007358"/>
                <w14:textFill>
                  <w14:solidFill>
                    <w14:srgbClr w14:val="000000">
                      <w14:alpha w14:val="100000"/>
                    </w14:srgbClr>
                  </w14:solidFill>
                </w14:textFill>
              </w:rPr>
              <w:t>|</w:t>
            </w:r>
            <w:r w:rsidRPr="0032295E">
              <w:rPr>
                <w:rFonts w:hint="eastAsia"/>
                <w:color w:val="000000"/>
                <w:w w:val="16"/>
                <w:shd w:val="solid" w:color="000000" w:fill="000000"/>
                <w:fitText w:val="75" w:id="-1169007358"/>
                <w14:textFill>
                  <w14:solidFill>
                    <w14:srgbClr w14:val="000000">
                      <w14:alpha w14:val="100000"/>
                    </w14:srgbClr>
                  </w14:solidFill>
                </w14:textFill>
              </w:rPr>
              <w:t xml:space="preserve">　</w:t>
            </w:r>
            <w:r w:rsidR="00F929FD">
              <w:rPr>
                <w:vertAlign w:val="superscript"/>
              </w:rPr>
              <w:t>15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C23C58C" w14:textId="1BD01582"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57"/>
                <w14:textFill>
                  <w14:solidFill>
                    <w14:srgbClr w14:val="000000">
                      <w14:alpha w14:val="100000"/>
                    </w14:srgbClr>
                  </w14:solidFill>
                </w14:textFill>
              </w:rPr>
              <w:t xml:space="preserve">　</w:t>
            </w:r>
            <w:r w:rsidRPr="0032295E">
              <w:rPr>
                <w:color w:val="000000"/>
                <w:w w:val="16"/>
                <w:shd w:val="solid" w:color="000000" w:fill="000000"/>
                <w:fitText w:val="75" w:id="-1169007357"/>
                <w14:textFill>
                  <w14:solidFill>
                    <w14:srgbClr w14:val="000000">
                      <w14:alpha w14:val="100000"/>
                    </w14:srgbClr>
                  </w14:solidFill>
                </w14:textFill>
              </w:rPr>
              <w:t>|</w:t>
            </w:r>
            <w:r w:rsidRPr="0032295E">
              <w:rPr>
                <w:rFonts w:hint="eastAsia"/>
                <w:color w:val="000000"/>
                <w:w w:val="16"/>
                <w:shd w:val="solid" w:color="000000" w:fill="000000"/>
                <w:fitText w:val="75" w:id="-1169007357"/>
                <w14:textFill>
                  <w14:solidFill>
                    <w14:srgbClr w14:val="000000">
                      <w14:alpha w14:val="100000"/>
                    </w14:srgbClr>
                  </w14:solidFill>
                </w14:textFill>
              </w:rPr>
              <w:t xml:space="preserve">　</w:t>
            </w:r>
            <w:r w:rsidR="00F929FD">
              <w:rPr>
                <w:vertAlign w:val="superscript"/>
              </w:rPr>
              <w:t>15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35E6060" w14:textId="59F63467"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56"/>
                <w14:textFill>
                  <w14:solidFill>
                    <w14:srgbClr w14:val="000000">
                      <w14:alpha w14:val="100000"/>
                    </w14:srgbClr>
                  </w14:solidFill>
                </w14:textFill>
              </w:rPr>
              <w:t xml:space="preserve">　</w:t>
            </w:r>
            <w:r w:rsidRPr="0032295E">
              <w:rPr>
                <w:color w:val="000000"/>
                <w:w w:val="16"/>
                <w:shd w:val="solid" w:color="000000" w:fill="000000"/>
                <w:fitText w:val="75" w:id="-1169007356"/>
                <w14:textFill>
                  <w14:solidFill>
                    <w14:srgbClr w14:val="000000">
                      <w14:alpha w14:val="100000"/>
                    </w14:srgbClr>
                  </w14:solidFill>
                </w14:textFill>
              </w:rPr>
              <w:t>|</w:t>
            </w:r>
            <w:r w:rsidRPr="0032295E">
              <w:rPr>
                <w:rFonts w:hint="eastAsia"/>
                <w:color w:val="000000"/>
                <w:w w:val="16"/>
                <w:shd w:val="solid" w:color="000000" w:fill="000000"/>
                <w:fitText w:val="75" w:id="-1169007356"/>
                <w14:textFill>
                  <w14:solidFill>
                    <w14:srgbClr w14:val="000000">
                      <w14:alpha w14:val="100000"/>
                    </w14:srgbClr>
                  </w14:solidFill>
                </w14:textFill>
              </w:rPr>
              <w:t xml:space="preserve">　</w:t>
            </w:r>
            <w:r w:rsidR="00F929FD">
              <w:rPr>
                <w:vertAlign w:val="superscript"/>
              </w:rPr>
              <w:t>15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6A43EE3" w14:textId="5636D72D"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55"/>
                <w14:textFill>
                  <w14:solidFill>
                    <w14:srgbClr w14:val="000000">
                      <w14:alpha w14:val="100000"/>
                    </w14:srgbClr>
                  </w14:solidFill>
                </w14:textFill>
              </w:rPr>
              <w:t xml:space="preserve">　</w:t>
            </w:r>
            <w:r w:rsidRPr="0032295E">
              <w:rPr>
                <w:color w:val="000000"/>
                <w:w w:val="16"/>
                <w:shd w:val="solid" w:color="000000" w:fill="000000"/>
                <w:fitText w:val="75" w:id="-1169007355"/>
                <w14:textFill>
                  <w14:solidFill>
                    <w14:srgbClr w14:val="000000">
                      <w14:alpha w14:val="100000"/>
                    </w14:srgbClr>
                  </w14:solidFill>
                </w14:textFill>
              </w:rPr>
              <w:t>|</w:t>
            </w:r>
            <w:r w:rsidRPr="0032295E">
              <w:rPr>
                <w:rFonts w:hint="eastAsia"/>
                <w:color w:val="000000"/>
                <w:w w:val="16"/>
                <w:shd w:val="solid" w:color="000000" w:fill="000000"/>
                <w:fitText w:val="75" w:id="-1169007355"/>
                <w14:textFill>
                  <w14:solidFill>
                    <w14:srgbClr w14:val="000000">
                      <w14:alpha w14:val="100000"/>
                    </w14:srgbClr>
                  </w14:solidFill>
                </w14:textFill>
              </w:rPr>
              <w:t xml:space="preserve">　</w:t>
            </w:r>
            <w:r w:rsidR="00F929FD">
              <w:rPr>
                <w:vertAlign w:val="superscript"/>
              </w:rPr>
              <w:t>15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60D2F41" w14:textId="373345E1"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354"/>
                <w14:textFill>
                  <w14:solidFill>
                    <w14:srgbClr w14:val="000000">
                      <w14:alpha w14:val="100000"/>
                    </w14:srgbClr>
                  </w14:solidFill>
                </w14:textFill>
              </w:rPr>
              <w:t xml:space="preserve">　</w:t>
            </w:r>
            <w:r w:rsidRPr="0032295E">
              <w:rPr>
                <w:color w:val="000000"/>
                <w:w w:val="16"/>
                <w:shd w:val="solid" w:color="000000" w:fill="000000"/>
                <w:fitText w:val="75" w:id="-1169007354"/>
                <w14:textFill>
                  <w14:solidFill>
                    <w14:srgbClr w14:val="000000">
                      <w14:alpha w14:val="100000"/>
                    </w14:srgbClr>
                  </w14:solidFill>
                </w14:textFill>
              </w:rPr>
              <w:t>|</w:t>
            </w:r>
            <w:r w:rsidRPr="0032295E">
              <w:rPr>
                <w:rFonts w:hint="eastAsia"/>
                <w:color w:val="000000"/>
                <w:w w:val="16"/>
                <w:shd w:val="solid" w:color="000000" w:fill="000000"/>
                <w:fitText w:val="75" w:id="-1169007354"/>
                <w14:textFill>
                  <w14:solidFill>
                    <w14:srgbClr w14:val="000000">
                      <w14:alpha w14:val="100000"/>
                    </w14:srgbClr>
                  </w14:solidFill>
                </w14:textFill>
              </w:rPr>
              <w:t xml:space="preserve">　</w:t>
            </w:r>
            <w:r w:rsidR="00F929FD">
              <w:rPr>
                <w:vertAlign w:val="superscript"/>
              </w:rPr>
              <w:t>15</w:t>
            </w:r>
          </w:p>
        </w:tc>
      </w:tr>
      <w:tr w:rsidR="00F03CD4" w:rsidRPr="0040534B" w14:paraId="00095192" w14:textId="77777777" w:rsidTr="00C124DD">
        <w:tc>
          <w:tcPr>
            <w:tcW w:w="5000" w:type="pct"/>
            <w:gridSpan w:val="7"/>
            <w:shd w:val="clear" w:color="auto" w:fill="auto"/>
            <w:vAlign w:val="center"/>
          </w:tcPr>
          <w:p w14:paraId="3ADB0987" w14:textId="77777777" w:rsidR="00F03CD4" w:rsidRPr="0040534B" w:rsidRDefault="00F03CD4" w:rsidP="004844B8">
            <w:pPr>
              <w:pStyle w:val="In-tableHeading"/>
              <w:keepLines/>
              <w:rPr>
                <w:lang w:val="en-AU"/>
              </w:rPr>
            </w:pPr>
            <w:r w:rsidRPr="0040534B">
              <w:rPr>
                <w:lang w:val="en-AU"/>
              </w:rPr>
              <w:t>Net financial implications</w:t>
            </w:r>
          </w:p>
        </w:tc>
      </w:tr>
      <w:tr w:rsidR="00F03CD4" w:rsidRPr="0040534B" w14:paraId="767253CF" w14:textId="77777777" w:rsidTr="00C124DD">
        <w:tc>
          <w:tcPr>
            <w:tcW w:w="1334" w:type="pct"/>
            <w:shd w:val="clear" w:color="auto" w:fill="auto"/>
            <w:vAlign w:val="center"/>
          </w:tcPr>
          <w:p w14:paraId="008AF322" w14:textId="7F2C500E" w:rsidR="00F03CD4" w:rsidRPr="0040534B" w:rsidRDefault="00F03CD4" w:rsidP="004844B8">
            <w:pPr>
              <w:pStyle w:val="TableText0"/>
              <w:keepLines/>
              <w:rPr>
                <w:sz w:val="19"/>
                <w:szCs w:val="19"/>
              </w:rPr>
            </w:pPr>
            <w:r w:rsidRPr="0040534B">
              <w:rPr>
                <w:sz w:val="19"/>
                <w:szCs w:val="19"/>
              </w:rPr>
              <w:t>Net cost to PBS/RPBS</w:t>
            </w:r>
            <w:r w:rsidR="00F929FD">
              <w:rPr>
                <w:sz w:val="19"/>
                <w:szCs w:val="19"/>
              </w:rPr>
              <w:t xml:space="preserve"> ($)</w:t>
            </w:r>
          </w:p>
        </w:tc>
        <w:tc>
          <w:tcPr>
            <w:tcW w:w="611" w:type="pct"/>
            <w:tcBorders>
              <w:top w:val="nil"/>
              <w:left w:val="nil"/>
              <w:bottom w:val="single" w:sz="4" w:space="0" w:color="auto"/>
              <w:right w:val="single" w:sz="4" w:space="0" w:color="auto"/>
            </w:tcBorders>
            <w:shd w:val="clear" w:color="auto" w:fill="auto"/>
          </w:tcPr>
          <w:p w14:paraId="6D9E0F74" w14:textId="3E3A402A"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3"/>
                <w14:textFill>
                  <w14:solidFill>
                    <w14:srgbClr w14:val="000000">
                      <w14:alpha w14:val="100000"/>
                    </w14:srgbClr>
                  </w14:solidFill>
                </w14:textFill>
              </w:rPr>
              <w:t xml:space="preserve">　</w:t>
            </w:r>
            <w:r w:rsidRPr="0032295E">
              <w:rPr>
                <w:color w:val="000000"/>
                <w:w w:val="15"/>
                <w:shd w:val="solid" w:color="000000" w:fill="000000"/>
                <w:fitText w:val="45" w:id="-1169007353"/>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3"/>
                <w14:textFill>
                  <w14:solidFill>
                    <w14:srgbClr w14:val="000000">
                      <w14:alpha w14:val="100000"/>
                    </w14:srgbClr>
                  </w14:solidFill>
                </w14:textFill>
              </w:rPr>
              <w:t xml:space="preserve">　</w:t>
            </w:r>
            <w:r w:rsidR="00FC4C1F">
              <w:rPr>
                <w:vertAlign w:val="superscript"/>
              </w:rPr>
              <w:t>9</w:t>
            </w:r>
          </w:p>
        </w:tc>
        <w:tc>
          <w:tcPr>
            <w:tcW w:w="611" w:type="pct"/>
            <w:tcBorders>
              <w:top w:val="nil"/>
              <w:left w:val="nil"/>
              <w:bottom w:val="single" w:sz="4" w:space="0" w:color="auto"/>
              <w:right w:val="single" w:sz="4" w:space="0" w:color="auto"/>
            </w:tcBorders>
            <w:shd w:val="clear" w:color="auto" w:fill="auto"/>
          </w:tcPr>
          <w:p w14:paraId="63C3D429" w14:textId="64D87BC3"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2"/>
                <w14:textFill>
                  <w14:solidFill>
                    <w14:srgbClr w14:val="000000">
                      <w14:alpha w14:val="100000"/>
                    </w14:srgbClr>
                  </w14:solidFill>
                </w14:textFill>
              </w:rPr>
              <w:t xml:space="preserve">　</w:t>
            </w:r>
            <w:r w:rsidRPr="0032295E">
              <w:rPr>
                <w:color w:val="000000"/>
                <w:w w:val="15"/>
                <w:shd w:val="solid" w:color="000000" w:fill="000000"/>
                <w:fitText w:val="45" w:id="-1169007352"/>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2"/>
                <w14:textFill>
                  <w14:solidFill>
                    <w14:srgbClr w14:val="000000">
                      <w14:alpha w14:val="100000"/>
                    </w14:srgbClr>
                  </w14:solidFill>
                </w14:textFill>
              </w:rPr>
              <w:t xml:space="preserve">　</w:t>
            </w:r>
            <w:r w:rsidR="00FC4C1F">
              <w:rPr>
                <w:vertAlign w:val="superscript"/>
              </w:rPr>
              <w:t>9</w:t>
            </w:r>
          </w:p>
        </w:tc>
        <w:tc>
          <w:tcPr>
            <w:tcW w:w="611" w:type="pct"/>
            <w:tcBorders>
              <w:top w:val="nil"/>
              <w:left w:val="nil"/>
              <w:bottom w:val="single" w:sz="4" w:space="0" w:color="auto"/>
              <w:right w:val="single" w:sz="4" w:space="0" w:color="auto"/>
            </w:tcBorders>
            <w:shd w:val="clear" w:color="auto" w:fill="auto"/>
          </w:tcPr>
          <w:p w14:paraId="6AAF16F6" w14:textId="0D50E9D7"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1"/>
                <w14:textFill>
                  <w14:solidFill>
                    <w14:srgbClr w14:val="000000">
                      <w14:alpha w14:val="100000"/>
                    </w14:srgbClr>
                  </w14:solidFill>
                </w14:textFill>
              </w:rPr>
              <w:t xml:space="preserve">　</w:t>
            </w:r>
            <w:r w:rsidRPr="0032295E">
              <w:rPr>
                <w:color w:val="000000"/>
                <w:w w:val="15"/>
                <w:shd w:val="solid" w:color="000000" w:fill="000000"/>
                <w:fitText w:val="45" w:id="-1169007351"/>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1"/>
                <w14:textFill>
                  <w14:solidFill>
                    <w14:srgbClr w14:val="000000">
                      <w14:alpha w14:val="100000"/>
                    </w14:srgbClr>
                  </w14:solidFill>
                </w14:textFill>
              </w:rPr>
              <w:t xml:space="preserve">　</w:t>
            </w:r>
            <w:r w:rsidR="00FC4C1F">
              <w:rPr>
                <w:vertAlign w:val="superscript"/>
              </w:rPr>
              <w:t>9</w:t>
            </w:r>
          </w:p>
        </w:tc>
        <w:tc>
          <w:tcPr>
            <w:tcW w:w="611" w:type="pct"/>
            <w:tcBorders>
              <w:top w:val="nil"/>
              <w:left w:val="nil"/>
              <w:bottom w:val="single" w:sz="4" w:space="0" w:color="auto"/>
              <w:right w:val="single" w:sz="4" w:space="0" w:color="auto"/>
            </w:tcBorders>
            <w:shd w:val="clear" w:color="auto" w:fill="auto"/>
          </w:tcPr>
          <w:p w14:paraId="5A10D50D" w14:textId="654D76BE" w:rsidR="00F03CD4" w:rsidRPr="00FC4C1F" w:rsidRDefault="0032295E" w:rsidP="004844B8">
            <w:pPr>
              <w:pStyle w:val="TableText0"/>
              <w:keepLines/>
              <w:jc w:val="center"/>
              <w:rPr>
                <w:highlight w:val="darkGray"/>
              </w:rPr>
            </w:pPr>
            <w:r w:rsidRPr="0032295E">
              <w:rPr>
                <w:rFonts w:hint="eastAsia"/>
                <w:color w:val="000000"/>
                <w:w w:val="15"/>
                <w:shd w:val="solid" w:color="000000" w:fill="000000"/>
                <w:fitText w:val="45" w:id="-1169007350"/>
                <w14:textFill>
                  <w14:solidFill>
                    <w14:srgbClr w14:val="000000">
                      <w14:alpha w14:val="100000"/>
                    </w14:srgbClr>
                  </w14:solidFill>
                </w14:textFill>
              </w:rPr>
              <w:t xml:space="preserve">　</w:t>
            </w:r>
            <w:r w:rsidRPr="0032295E">
              <w:rPr>
                <w:color w:val="000000"/>
                <w:w w:val="15"/>
                <w:shd w:val="solid" w:color="000000" w:fill="000000"/>
                <w:fitText w:val="45" w:id="-1169007350"/>
                <w14:textFill>
                  <w14:solidFill>
                    <w14:srgbClr w14:val="000000">
                      <w14:alpha w14:val="100000"/>
                    </w14:srgbClr>
                  </w14:solidFill>
                </w14:textFill>
              </w:rPr>
              <w:t>|</w:t>
            </w:r>
            <w:r w:rsidRPr="0032295E">
              <w:rPr>
                <w:rFonts w:hint="eastAsia"/>
                <w:color w:val="000000"/>
                <w:spacing w:val="-30"/>
                <w:w w:val="15"/>
                <w:shd w:val="solid" w:color="000000" w:fill="000000"/>
                <w:fitText w:val="45" w:id="-1169007350"/>
                <w14:textFill>
                  <w14:solidFill>
                    <w14:srgbClr w14:val="000000">
                      <w14:alpha w14:val="100000"/>
                    </w14:srgbClr>
                  </w14:solidFill>
                </w14:textFill>
              </w:rPr>
              <w:t xml:space="preserve">　</w:t>
            </w:r>
            <w:r w:rsidR="00FC4C1F">
              <w:rPr>
                <w:vertAlign w:val="superscript"/>
              </w:rPr>
              <w:t>9</w:t>
            </w:r>
          </w:p>
        </w:tc>
        <w:tc>
          <w:tcPr>
            <w:tcW w:w="611" w:type="pct"/>
            <w:tcBorders>
              <w:top w:val="nil"/>
              <w:left w:val="nil"/>
              <w:bottom w:val="single" w:sz="4" w:space="0" w:color="auto"/>
              <w:right w:val="single" w:sz="4" w:space="0" w:color="auto"/>
            </w:tcBorders>
            <w:shd w:val="clear" w:color="auto" w:fill="auto"/>
          </w:tcPr>
          <w:p w14:paraId="52CA2CF6" w14:textId="32DD19EE"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104"/>
                <w14:textFill>
                  <w14:solidFill>
                    <w14:srgbClr w14:val="000000">
                      <w14:alpha w14:val="100000"/>
                    </w14:srgbClr>
                  </w14:solidFill>
                </w14:textFill>
              </w:rPr>
              <w:t xml:space="preserve">　</w:t>
            </w:r>
            <w:r w:rsidRPr="0032295E">
              <w:rPr>
                <w:color w:val="000000"/>
                <w:w w:val="16"/>
                <w:shd w:val="solid" w:color="000000" w:fill="000000"/>
                <w:fitText w:val="75" w:id="-1169007104"/>
                <w14:textFill>
                  <w14:solidFill>
                    <w14:srgbClr w14:val="000000">
                      <w14:alpha w14:val="100000"/>
                    </w14:srgbClr>
                  </w14:solidFill>
                </w14:textFill>
              </w:rPr>
              <w:t>|</w:t>
            </w:r>
            <w:r w:rsidRPr="0032295E">
              <w:rPr>
                <w:rFonts w:hint="eastAsia"/>
                <w:color w:val="000000"/>
                <w:w w:val="16"/>
                <w:shd w:val="solid" w:color="000000" w:fill="000000"/>
                <w:fitText w:val="75" w:id="-1169007104"/>
                <w14:textFill>
                  <w14:solidFill>
                    <w14:srgbClr w14:val="000000">
                      <w14:alpha w14:val="100000"/>
                    </w14:srgbClr>
                  </w14:solidFill>
                </w14:textFill>
              </w:rPr>
              <w:t xml:space="preserve">　</w:t>
            </w:r>
            <w:r w:rsidR="00FC4C1F">
              <w:rPr>
                <w:vertAlign w:val="superscript"/>
              </w:rPr>
              <w:t>10</w:t>
            </w:r>
          </w:p>
        </w:tc>
        <w:tc>
          <w:tcPr>
            <w:tcW w:w="611" w:type="pct"/>
            <w:tcBorders>
              <w:top w:val="nil"/>
              <w:left w:val="nil"/>
              <w:bottom w:val="single" w:sz="4" w:space="0" w:color="auto"/>
              <w:right w:val="single" w:sz="4" w:space="0" w:color="auto"/>
            </w:tcBorders>
            <w:shd w:val="clear" w:color="auto" w:fill="auto"/>
          </w:tcPr>
          <w:p w14:paraId="312BC005" w14:textId="68EA5B7B"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103"/>
                <w14:textFill>
                  <w14:solidFill>
                    <w14:srgbClr w14:val="000000">
                      <w14:alpha w14:val="100000"/>
                    </w14:srgbClr>
                  </w14:solidFill>
                </w14:textFill>
              </w:rPr>
              <w:t xml:space="preserve">　</w:t>
            </w:r>
            <w:r w:rsidRPr="0032295E">
              <w:rPr>
                <w:color w:val="000000"/>
                <w:w w:val="16"/>
                <w:shd w:val="solid" w:color="000000" w:fill="000000"/>
                <w:fitText w:val="75" w:id="-1169007103"/>
                <w14:textFill>
                  <w14:solidFill>
                    <w14:srgbClr w14:val="000000">
                      <w14:alpha w14:val="100000"/>
                    </w14:srgbClr>
                  </w14:solidFill>
                </w14:textFill>
              </w:rPr>
              <w:t>|</w:t>
            </w:r>
            <w:r w:rsidRPr="0032295E">
              <w:rPr>
                <w:rFonts w:hint="eastAsia"/>
                <w:color w:val="000000"/>
                <w:w w:val="16"/>
                <w:shd w:val="solid" w:color="000000" w:fill="000000"/>
                <w:fitText w:val="75" w:id="-1169007103"/>
                <w14:textFill>
                  <w14:solidFill>
                    <w14:srgbClr w14:val="000000">
                      <w14:alpha w14:val="100000"/>
                    </w14:srgbClr>
                  </w14:solidFill>
                </w14:textFill>
              </w:rPr>
              <w:t xml:space="preserve">　</w:t>
            </w:r>
            <w:r w:rsidR="00FC4C1F">
              <w:rPr>
                <w:vertAlign w:val="superscript"/>
              </w:rPr>
              <w:t>10</w:t>
            </w:r>
          </w:p>
        </w:tc>
      </w:tr>
      <w:tr w:rsidR="00F03CD4" w:rsidRPr="0040534B" w14:paraId="7EB4E2D9" w14:textId="77777777" w:rsidTr="00C124DD">
        <w:tc>
          <w:tcPr>
            <w:tcW w:w="1334" w:type="pct"/>
            <w:shd w:val="clear" w:color="auto" w:fill="auto"/>
            <w:vAlign w:val="center"/>
          </w:tcPr>
          <w:p w14:paraId="1B061DCB" w14:textId="69E79FAF" w:rsidR="00F03CD4" w:rsidRPr="0040534B" w:rsidRDefault="00F03CD4" w:rsidP="004844B8">
            <w:pPr>
              <w:pStyle w:val="TableText0"/>
              <w:keepLines/>
              <w:rPr>
                <w:rFonts w:ascii="Times" w:hAnsi="Times"/>
              </w:rPr>
            </w:pPr>
            <w:r w:rsidRPr="0040534B">
              <w:rPr>
                <w:sz w:val="19"/>
                <w:szCs w:val="19"/>
              </w:rPr>
              <w:t>Net cost to MBS</w:t>
            </w:r>
            <w:r w:rsidRPr="0040534B">
              <w:rPr>
                <w:sz w:val="19"/>
                <w:szCs w:val="19"/>
                <w:vertAlign w:val="superscript"/>
              </w:rPr>
              <w:t>a</w:t>
            </w:r>
            <w:r w:rsidR="00F929FD">
              <w:rPr>
                <w:sz w:val="19"/>
                <w:szCs w:val="19"/>
                <w:vertAlign w:val="superscript"/>
              </w:rPr>
              <w:t xml:space="preserve"> </w:t>
            </w:r>
            <w:r w:rsidR="00F929FD" w:rsidRPr="00F929FD">
              <w:rPr>
                <w:sz w:val="19"/>
                <w:szCs w:val="19"/>
              </w:rPr>
              <w:t>($)</w:t>
            </w:r>
          </w:p>
        </w:tc>
        <w:tc>
          <w:tcPr>
            <w:tcW w:w="611" w:type="pct"/>
            <w:tcBorders>
              <w:top w:val="single" w:sz="4" w:space="0" w:color="auto"/>
              <w:left w:val="nil"/>
              <w:bottom w:val="nil"/>
              <w:right w:val="single" w:sz="4" w:space="0" w:color="auto"/>
            </w:tcBorders>
            <w:shd w:val="clear" w:color="auto" w:fill="auto"/>
            <w:vAlign w:val="center"/>
          </w:tcPr>
          <w:p w14:paraId="54B1B64F" w14:textId="7B0B3AFD"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102"/>
                <w14:textFill>
                  <w14:solidFill>
                    <w14:srgbClr w14:val="000000">
                      <w14:alpha w14:val="100000"/>
                    </w14:srgbClr>
                  </w14:solidFill>
                </w14:textFill>
              </w:rPr>
              <w:t xml:space="preserve">　</w:t>
            </w:r>
            <w:r w:rsidRPr="0032295E">
              <w:rPr>
                <w:color w:val="000000"/>
                <w:w w:val="16"/>
                <w:shd w:val="solid" w:color="000000" w:fill="000000"/>
                <w:fitText w:val="75" w:id="-1169007102"/>
                <w14:textFill>
                  <w14:solidFill>
                    <w14:srgbClr w14:val="000000">
                      <w14:alpha w14:val="100000"/>
                    </w14:srgbClr>
                  </w14:solidFill>
                </w14:textFill>
              </w:rPr>
              <w:t>|</w:t>
            </w:r>
            <w:r w:rsidRPr="0032295E">
              <w:rPr>
                <w:rFonts w:hint="eastAsia"/>
                <w:color w:val="000000"/>
                <w:w w:val="16"/>
                <w:shd w:val="solid" w:color="000000" w:fill="000000"/>
                <w:fitText w:val="75" w:id="-1169007102"/>
                <w14:textFill>
                  <w14:solidFill>
                    <w14:srgbClr w14:val="000000">
                      <w14:alpha w14:val="100000"/>
                    </w14:srgbClr>
                  </w14:solidFill>
                </w14:textFill>
              </w:rPr>
              <w:t xml:space="preserve">　</w:t>
            </w:r>
            <w:r w:rsidR="00FC4C1F">
              <w:rPr>
                <w:vertAlign w:val="superscript"/>
              </w:rPr>
              <w:t>15</w:t>
            </w:r>
          </w:p>
        </w:tc>
        <w:tc>
          <w:tcPr>
            <w:tcW w:w="611" w:type="pct"/>
            <w:tcBorders>
              <w:top w:val="single" w:sz="4" w:space="0" w:color="auto"/>
              <w:left w:val="nil"/>
              <w:bottom w:val="nil"/>
              <w:right w:val="single" w:sz="4" w:space="0" w:color="auto"/>
            </w:tcBorders>
            <w:shd w:val="clear" w:color="auto" w:fill="auto"/>
            <w:vAlign w:val="center"/>
          </w:tcPr>
          <w:p w14:paraId="40ABCC11" w14:textId="2490544F"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101"/>
                <w14:textFill>
                  <w14:solidFill>
                    <w14:srgbClr w14:val="000000">
                      <w14:alpha w14:val="100000"/>
                    </w14:srgbClr>
                  </w14:solidFill>
                </w14:textFill>
              </w:rPr>
              <w:t xml:space="preserve">　</w:t>
            </w:r>
            <w:r w:rsidRPr="0032295E">
              <w:rPr>
                <w:color w:val="000000"/>
                <w:w w:val="16"/>
                <w:shd w:val="solid" w:color="000000" w:fill="000000"/>
                <w:fitText w:val="75" w:id="-1169007101"/>
                <w14:textFill>
                  <w14:solidFill>
                    <w14:srgbClr w14:val="000000">
                      <w14:alpha w14:val="100000"/>
                    </w14:srgbClr>
                  </w14:solidFill>
                </w14:textFill>
              </w:rPr>
              <w:t>|</w:t>
            </w:r>
            <w:r w:rsidRPr="0032295E">
              <w:rPr>
                <w:rFonts w:hint="eastAsia"/>
                <w:color w:val="000000"/>
                <w:w w:val="16"/>
                <w:shd w:val="solid" w:color="000000" w:fill="000000"/>
                <w:fitText w:val="75" w:id="-1169007101"/>
                <w14:textFill>
                  <w14:solidFill>
                    <w14:srgbClr w14:val="000000">
                      <w14:alpha w14:val="100000"/>
                    </w14:srgbClr>
                  </w14:solidFill>
                </w14:textFill>
              </w:rPr>
              <w:t xml:space="preserve">　</w:t>
            </w:r>
            <w:r w:rsidR="00FC4C1F">
              <w:rPr>
                <w:vertAlign w:val="superscript"/>
              </w:rPr>
              <w:t>15</w:t>
            </w:r>
          </w:p>
        </w:tc>
        <w:tc>
          <w:tcPr>
            <w:tcW w:w="611" w:type="pct"/>
            <w:tcBorders>
              <w:top w:val="single" w:sz="4" w:space="0" w:color="auto"/>
              <w:left w:val="nil"/>
              <w:bottom w:val="nil"/>
              <w:right w:val="single" w:sz="4" w:space="0" w:color="auto"/>
            </w:tcBorders>
            <w:shd w:val="clear" w:color="auto" w:fill="auto"/>
            <w:vAlign w:val="center"/>
          </w:tcPr>
          <w:p w14:paraId="19C07A13" w14:textId="70DC5DCC"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100"/>
                <w14:textFill>
                  <w14:solidFill>
                    <w14:srgbClr w14:val="000000">
                      <w14:alpha w14:val="100000"/>
                    </w14:srgbClr>
                  </w14:solidFill>
                </w14:textFill>
              </w:rPr>
              <w:t xml:space="preserve">　</w:t>
            </w:r>
            <w:r w:rsidRPr="0032295E">
              <w:rPr>
                <w:color w:val="000000"/>
                <w:w w:val="16"/>
                <w:shd w:val="solid" w:color="000000" w:fill="000000"/>
                <w:fitText w:val="75" w:id="-1169007100"/>
                <w14:textFill>
                  <w14:solidFill>
                    <w14:srgbClr w14:val="000000">
                      <w14:alpha w14:val="100000"/>
                    </w14:srgbClr>
                  </w14:solidFill>
                </w14:textFill>
              </w:rPr>
              <w:t>|</w:t>
            </w:r>
            <w:r w:rsidRPr="0032295E">
              <w:rPr>
                <w:rFonts w:hint="eastAsia"/>
                <w:color w:val="000000"/>
                <w:w w:val="16"/>
                <w:shd w:val="solid" w:color="000000" w:fill="000000"/>
                <w:fitText w:val="75" w:id="-1169007100"/>
                <w14:textFill>
                  <w14:solidFill>
                    <w14:srgbClr w14:val="000000">
                      <w14:alpha w14:val="100000"/>
                    </w14:srgbClr>
                  </w14:solidFill>
                </w14:textFill>
              </w:rPr>
              <w:t xml:space="preserve">　</w:t>
            </w:r>
            <w:r w:rsidR="00FC4C1F">
              <w:rPr>
                <w:vertAlign w:val="superscript"/>
              </w:rPr>
              <w:t>15</w:t>
            </w:r>
          </w:p>
        </w:tc>
        <w:tc>
          <w:tcPr>
            <w:tcW w:w="611" w:type="pct"/>
            <w:tcBorders>
              <w:top w:val="single" w:sz="4" w:space="0" w:color="auto"/>
              <w:left w:val="nil"/>
              <w:bottom w:val="nil"/>
              <w:right w:val="single" w:sz="4" w:space="0" w:color="auto"/>
            </w:tcBorders>
            <w:shd w:val="clear" w:color="auto" w:fill="auto"/>
            <w:vAlign w:val="center"/>
          </w:tcPr>
          <w:p w14:paraId="0817F2D6" w14:textId="7713AD73"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099"/>
                <w14:textFill>
                  <w14:solidFill>
                    <w14:srgbClr w14:val="000000">
                      <w14:alpha w14:val="100000"/>
                    </w14:srgbClr>
                  </w14:solidFill>
                </w14:textFill>
              </w:rPr>
              <w:t xml:space="preserve">　</w:t>
            </w:r>
            <w:r w:rsidRPr="0032295E">
              <w:rPr>
                <w:color w:val="000000"/>
                <w:w w:val="16"/>
                <w:shd w:val="solid" w:color="000000" w:fill="000000"/>
                <w:fitText w:val="75" w:id="-1169007099"/>
                <w14:textFill>
                  <w14:solidFill>
                    <w14:srgbClr w14:val="000000">
                      <w14:alpha w14:val="100000"/>
                    </w14:srgbClr>
                  </w14:solidFill>
                </w14:textFill>
              </w:rPr>
              <w:t>|</w:t>
            </w:r>
            <w:r w:rsidRPr="0032295E">
              <w:rPr>
                <w:rFonts w:hint="eastAsia"/>
                <w:color w:val="000000"/>
                <w:w w:val="16"/>
                <w:shd w:val="solid" w:color="000000" w:fill="000000"/>
                <w:fitText w:val="75" w:id="-1169007099"/>
                <w14:textFill>
                  <w14:solidFill>
                    <w14:srgbClr w14:val="000000">
                      <w14:alpha w14:val="100000"/>
                    </w14:srgbClr>
                  </w14:solidFill>
                </w14:textFill>
              </w:rPr>
              <w:t xml:space="preserve">　</w:t>
            </w:r>
            <w:r w:rsidR="00FC4C1F">
              <w:rPr>
                <w:vertAlign w:val="superscript"/>
              </w:rPr>
              <w:t>15</w:t>
            </w:r>
          </w:p>
        </w:tc>
        <w:tc>
          <w:tcPr>
            <w:tcW w:w="611" w:type="pct"/>
            <w:tcBorders>
              <w:top w:val="single" w:sz="4" w:space="0" w:color="auto"/>
              <w:left w:val="nil"/>
              <w:bottom w:val="nil"/>
              <w:right w:val="single" w:sz="4" w:space="0" w:color="auto"/>
            </w:tcBorders>
            <w:shd w:val="clear" w:color="auto" w:fill="auto"/>
            <w:vAlign w:val="center"/>
          </w:tcPr>
          <w:p w14:paraId="19CBBD9B" w14:textId="55863D9B"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098"/>
                <w14:textFill>
                  <w14:solidFill>
                    <w14:srgbClr w14:val="000000">
                      <w14:alpha w14:val="100000"/>
                    </w14:srgbClr>
                  </w14:solidFill>
                </w14:textFill>
              </w:rPr>
              <w:t xml:space="preserve">　</w:t>
            </w:r>
            <w:r w:rsidRPr="0032295E">
              <w:rPr>
                <w:color w:val="000000"/>
                <w:w w:val="16"/>
                <w:shd w:val="solid" w:color="000000" w:fill="000000"/>
                <w:fitText w:val="75" w:id="-1169007098"/>
                <w14:textFill>
                  <w14:solidFill>
                    <w14:srgbClr w14:val="000000">
                      <w14:alpha w14:val="100000"/>
                    </w14:srgbClr>
                  </w14:solidFill>
                </w14:textFill>
              </w:rPr>
              <w:t>|</w:t>
            </w:r>
            <w:r w:rsidRPr="0032295E">
              <w:rPr>
                <w:rFonts w:hint="eastAsia"/>
                <w:color w:val="000000"/>
                <w:w w:val="16"/>
                <w:shd w:val="solid" w:color="000000" w:fill="000000"/>
                <w:fitText w:val="75" w:id="-1169007098"/>
                <w14:textFill>
                  <w14:solidFill>
                    <w14:srgbClr w14:val="000000">
                      <w14:alpha w14:val="100000"/>
                    </w14:srgbClr>
                  </w14:solidFill>
                </w14:textFill>
              </w:rPr>
              <w:t xml:space="preserve">　</w:t>
            </w:r>
            <w:r w:rsidR="00FC4C1F">
              <w:rPr>
                <w:vertAlign w:val="superscript"/>
              </w:rPr>
              <w:t>15</w:t>
            </w:r>
          </w:p>
        </w:tc>
        <w:tc>
          <w:tcPr>
            <w:tcW w:w="611" w:type="pct"/>
            <w:tcBorders>
              <w:top w:val="single" w:sz="4" w:space="0" w:color="auto"/>
              <w:left w:val="nil"/>
              <w:bottom w:val="nil"/>
              <w:right w:val="single" w:sz="4" w:space="0" w:color="auto"/>
            </w:tcBorders>
            <w:shd w:val="clear" w:color="auto" w:fill="auto"/>
            <w:vAlign w:val="center"/>
          </w:tcPr>
          <w:p w14:paraId="3835B030" w14:textId="1CE34DC5" w:rsidR="00F03CD4" w:rsidRPr="00FC4C1F" w:rsidRDefault="0032295E" w:rsidP="004844B8">
            <w:pPr>
              <w:pStyle w:val="TableText0"/>
              <w:keepLines/>
              <w:jc w:val="center"/>
              <w:rPr>
                <w:highlight w:val="darkGray"/>
              </w:rPr>
            </w:pPr>
            <w:r w:rsidRPr="0032295E">
              <w:rPr>
                <w:rFonts w:hint="eastAsia"/>
                <w:color w:val="000000"/>
                <w:w w:val="16"/>
                <w:shd w:val="solid" w:color="000000" w:fill="000000"/>
                <w:fitText w:val="75" w:id="-1169007097"/>
                <w14:textFill>
                  <w14:solidFill>
                    <w14:srgbClr w14:val="000000">
                      <w14:alpha w14:val="100000"/>
                    </w14:srgbClr>
                  </w14:solidFill>
                </w14:textFill>
              </w:rPr>
              <w:t xml:space="preserve">　</w:t>
            </w:r>
            <w:r w:rsidRPr="0032295E">
              <w:rPr>
                <w:color w:val="000000"/>
                <w:w w:val="16"/>
                <w:shd w:val="solid" w:color="000000" w:fill="000000"/>
                <w:fitText w:val="75" w:id="-1169007097"/>
                <w14:textFill>
                  <w14:solidFill>
                    <w14:srgbClr w14:val="000000">
                      <w14:alpha w14:val="100000"/>
                    </w14:srgbClr>
                  </w14:solidFill>
                </w14:textFill>
              </w:rPr>
              <w:t>|</w:t>
            </w:r>
            <w:r w:rsidRPr="0032295E">
              <w:rPr>
                <w:rFonts w:hint="eastAsia"/>
                <w:color w:val="000000"/>
                <w:w w:val="16"/>
                <w:shd w:val="solid" w:color="000000" w:fill="000000"/>
                <w:fitText w:val="75" w:id="-1169007097"/>
                <w14:textFill>
                  <w14:solidFill>
                    <w14:srgbClr w14:val="000000">
                      <w14:alpha w14:val="100000"/>
                    </w14:srgbClr>
                  </w14:solidFill>
                </w14:textFill>
              </w:rPr>
              <w:t xml:space="preserve">　</w:t>
            </w:r>
            <w:r w:rsidR="00FC4C1F">
              <w:rPr>
                <w:vertAlign w:val="superscript"/>
              </w:rPr>
              <w:t>15</w:t>
            </w:r>
          </w:p>
        </w:tc>
      </w:tr>
      <w:tr w:rsidR="00F03CD4" w:rsidRPr="0040534B" w14:paraId="0F41F560" w14:textId="77777777" w:rsidTr="00C124DD">
        <w:tc>
          <w:tcPr>
            <w:tcW w:w="1334" w:type="pct"/>
            <w:shd w:val="clear" w:color="auto" w:fill="auto"/>
            <w:vAlign w:val="center"/>
          </w:tcPr>
          <w:p w14:paraId="7C6F8E9F" w14:textId="2194DAF6" w:rsidR="00F03CD4" w:rsidRPr="0040534B" w:rsidRDefault="00F03CD4" w:rsidP="004844B8">
            <w:pPr>
              <w:pStyle w:val="TableText0"/>
              <w:keepLines/>
              <w:rPr>
                <w:b/>
                <w:bCs w:val="0"/>
                <w:sz w:val="19"/>
                <w:szCs w:val="19"/>
              </w:rPr>
            </w:pPr>
            <w:r w:rsidRPr="0040534B">
              <w:rPr>
                <w:b/>
                <w:bCs w:val="0"/>
                <w:sz w:val="19"/>
                <w:szCs w:val="19"/>
              </w:rPr>
              <w:t>Net cost to the Australian Government</w:t>
            </w:r>
            <w:r w:rsidR="00F929FD">
              <w:rPr>
                <w:b/>
                <w:bCs w:val="0"/>
                <w:sz w:val="19"/>
                <w:szCs w:val="19"/>
              </w:rPr>
              <w:t xml:space="preserve">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EBF6A43" w14:textId="0EE204BD" w:rsidR="00F03CD4" w:rsidRPr="00FC4C1F" w:rsidRDefault="0032295E" w:rsidP="004844B8">
            <w:pPr>
              <w:pStyle w:val="TableText0"/>
              <w:keepLines/>
              <w:jc w:val="center"/>
              <w:rPr>
                <w:b/>
                <w:bCs w:val="0"/>
                <w:highlight w:val="darkGray"/>
              </w:rPr>
            </w:pPr>
            <w:r w:rsidRPr="0032295E">
              <w:rPr>
                <w:rFonts w:hint="eastAsia"/>
                <w:b/>
                <w:bCs w:val="0"/>
                <w:color w:val="000000"/>
                <w:w w:val="23"/>
                <w:shd w:val="solid" w:color="000000" w:fill="000000"/>
                <w:fitText w:val="105" w:id="-1169007096"/>
                <w14:textFill>
                  <w14:solidFill>
                    <w14:srgbClr w14:val="000000">
                      <w14:alpha w14:val="100000"/>
                    </w14:srgbClr>
                  </w14:solidFill>
                </w14:textFill>
              </w:rPr>
              <w:t xml:space="preserve">　</w:t>
            </w:r>
            <w:r w:rsidRPr="0032295E">
              <w:rPr>
                <w:b/>
                <w:bCs w:val="0"/>
                <w:color w:val="000000"/>
                <w:w w:val="23"/>
                <w:shd w:val="solid" w:color="000000" w:fill="000000"/>
                <w:fitText w:val="105" w:id="-1169007096"/>
                <w14:textFill>
                  <w14:solidFill>
                    <w14:srgbClr w14:val="000000">
                      <w14:alpha w14:val="100000"/>
                    </w14:srgbClr>
                  </w14:solidFill>
                </w14:textFill>
              </w:rPr>
              <w:t>|</w:t>
            </w:r>
            <w:r w:rsidRPr="0032295E">
              <w:rPr>
                <w:rFonts w:hint="eastAsia"/>
                <w:b/>
                <w:bCs w:val="0"/>
                <w:color w:val="000000"/>
                <w:spacing w:val="3"/>
                <w:w w:val="23"/>
                <w:shd w:val="solid" w:color="000000" w:fill="000000"/>
                <w:fitText w:val="105" w:id="-1169007096"/>
                <w14:textFill>
                  <w14:solidFill>
                    <w14:srgbClr w14:val="000000">
                      <w14:alpha w14:val="100000"/>
                    </w14:srgbClr>
                  </w14:solidFill>
                </w14:textFill>
              </w:rPr>
              <w:t xml:space="preserve">　</w:t>
            </w:r>
            <w:r w:rsidR="00FC4C1F">
              <w:rPr>
                <w:vertAlign w:val="superscript"/>
              </w:rPr>
              <w:t>9</w:t>
            </w:r>
          </w:p>
        </w:tc>
        <w:tc>
          <w:tcPr>
            <w:tcW w:w="611" w:type="pct"/>
            <w:tcBorders>
              <w:top w:val="single" w:sz="4" w:space="0" w:color="auto"/>
              <w:left w:val="nil"/>
              <w:bottom w:val="single" w:sz="4" w:space="0" w:color="auto"/>
              <w:right w:val="single" w:sz="4" w:space="0" w:color="auto"/>
            </w:tcBorders>
            <w:shd w:val="clear" w:color="auto" w:fill="auto"/>
            <w:vAlign w:val="center"/>
          </w:tcPr>
          <w:p w14:paraId="705C79F5" w14:textId="0AEE4E0E" w:rsidR="00F03CD4" w:rsidRPr="00FC4C1F" w:rsidRDefault="0032295E" w:rsidP="004844B8">
            <w:pPr>
              <w:pStyle w:val="TableText0"/>
              <w:keepLines/>
              <w:jc w:val="center"/>
              <w:rPr>
                <w:b/>
                <w:bCs w:val="0"/>
                <w:highlight w:val="darkGray"/>
              </w:rPr>
            </w:pPr>
            <w:r w:rsidRPr="0032295E">
              <w:rPr>
                <w:rFonts w:hint="eastAsia"/>
                <w:b/>
                <w:bCs w:val="0"/>
                <w:color w:val="000000"/>
                <w:w w:val="23"/>
                <w:shd w:val="solid" w:color="000000" w:fill="000000"/>
                <w:fitText w:val="105" w:id="-1169007095"/>
                <w14:textFill>
                  <w14:solidFill>
                    <w14:srgbClr w14:val="000000">
                      <w14:alpha w14:val="100000"/>
                    </w14:srgbClr>
                  </w14:solidFill>
                </w14:textFill>
              </w:rPr>
              <w:t xml:space="preserve">　</w:t>
            </w:r>
            <w:r w:rsidRPr="0032295E">
              <w:rPr>
                <w:b/>
                <w:bCs w:val="0"/>
                <w:color w:val="000000"/>
                <w:w w:val="23"/>
                <w:shd w:val="solid" w:color="000000" w:fill="000000"/>
                <w:fitText w:val="105" w:id="-1169007095"/>
                <w14:textFill>
                  <w14:solidFill>
                    <w14:srgbClr w14:val="000000">
                      <w14:alpha w14:val="100000"/>
                    </w14:srgbClr>
                  </w14:solidFill>
                </w14:textFill>
              </w:rPr>
              <w:t>|</w:t>
            </w:r>
            <w:r w:rsidRPr="0032295E">
              <w:rPr>
                <w:rFonts w:hint="eastAsia"/>
                <w:b/>
                <w:bCs w:val="0"/>
                <w:color w:val="000000"/>
                <w:spacing w:val="3"/>
                <w:w w:val="23"/>
                <w:shd w:val="solid" w:color="000000" w:fill="000000"/>
                <w:fitText w:val="105" w:id="-1169007095"/>
                <w14:textFill>
                  <w14:solidFill>
                    <w14:srgbClr w14:val="000000">
                      <w14:alpha w14:val="100000"/>
                    </w14:srgbClr>
                  </w14:solidFill>
                </w14:textFill>
              </w:rPr>
              <w:t xml:space="preserve">　</w:t>
            </w:r>
            <w:r w:rsidR="00FC4C1F">
              <w:rPr>
                <w:vertAlign w:val="superscript"/>
              </w:rPr>
              <w:t>9</w:t>
            </w:r>
          </w:p>
        </w:tc>
        <w:tc>
          <w:tcPr>
            <w:tcW w:w="611" w:type="pct"/>
            <w:tcBorders>
              <w:top w:val="single" w:sz="4" w:space="0" w:color="auto"/>
              <w:left w:val="nil"/>
              <w:bottom w:val="single" w:sz="4" w:space="0" w:color="auto"/>
              <w:right w:val="single" w:sz="4" w:space="0" w:color="auto"/>
            </w:tcBorders>
            <w:shd w:val="clear" w:color="auto" w:fill="auto"/>
            <w:vAlign w:val="center"/>
          </w:tcPr>
          <w:p w14:paraId="26BFA23E" w14:textId="66B8DC97" w:rsidR="00F03CD4" w:rsidRPr="00FC4C1F" w:rsidRDefault="0032295E" w:rsidP="004844B8">
            <w:pPr>
              <w:pStyle w:val="TableText0"/>
              <w:keepLines/>
              <w:jc w:val="center"/>
              <w:rPr>
                <w:b/>
                <w:bCs w:val="0"/>
                <w:highlight w:val="darkGray"/>
              </w:rPr>
            </w:pPr>
            <w:r w:rsidRPr="0032295E">
              <w:rPr>
                <w:rFonts w:hint="eastAsia"/>
                <w:b/>
                <w:bCs w:val="0"/>
                <w:color w:val="000000"/>
                <w:w w:val="23"/>
                <w:shd w:val="solid" w:color="000000" w:fill="000000"/>
                <w:fitText w:val="105" w:id="-1169007094"/>
                <w14:textFill>
                  <w14:solidFill>
                    <w14:srgbClr w14:val="000000">
                      <w14:alpha w14:val="100000"/>
                    </w14:srgbClr>
                  </w14:solidFill>
                </w14:textFill>
              </w:rPr>
              <w:t xml:space="preserve">　</w:t>
            </w:r>
            <w:r w:rsidRPr="0032295E">
              <w:rPr>
                <w:b/>
                <w:bCs w:val="0"/>
                <w:color w:val="000000"/>
                <w:w w:val="23"/>
                <w:shd w:val="solid" w:color="000000" w:fill="000000"/>
                <w:fitText w:val="105" w:id="-1169007094"/>
                <w14:textFill>
                  <w14:solidFill>
                    <w14:srgbClr w14:val="000000">
                      <w14:alpha w14:val="100000"/>
                    </w14:srgbClr>
                  </w14:solidFill>
                </w14:textFill>
              </w:rPr>
              <w:t>|</w:t>
            </w:r>
            <w:r w:rsidRPr="0032295E">
              <w:rPr>
                <w:rFonts w:hint="eastAsia"/>
                <w:b/>
                <w:bCs w:val="0"/>
                <w:color w:val="000000"/>
                <w:spacing w:val="3"/>
                <w:w w:val="23"/>
                <w:shd w:val="solid" w:color="000000" w:fill="000000"/>
                <w:fitText w:val="105" w:id="-1169007094"/>
                <w14:textFill>
                  <w14:solidFill>
                    <w14:srgbClr w14:val="000000">
                      <w14:alpha w14:val="100000"/>
                    </w14:srgbClr>
                  </w14:solidFill>
                </w14:textFill>
              </w:rPr>
              <w:t xml:space="preserve">　</w:t>
            </w:r>
            <w:r w:rsidR="00FC4C1F">
              <w:rPr>
                <w:vertAlign w:val="superscript"/>
              </w:rPr>
              <w:t>9</w:t>
            </w:r>
          </w:p>
        </w:tc>
        <w:tc>
          <w:tcPr>
            <w:tcW w:w="611" w:type="pct"/>
            <w:tcBorders>
              <w:top w:val="single" w:sz="4" w:space="0" w:color="auto"/>
              <w:left w:val="nil"/>
              <w:bottom w:val="single" w:sz="4" w:space="0" w:color="auto"/>
              <w:right w:val="single" w:sz="4" w:space="0" w:color="auto"/>
            </w:tcBorders>
            <w:shd w:val="clear" w:color="auto" w:fill="auto"/>
            <w:vAlign w:val="center"/>
          </w:tcPr>
          <w:p w14:paraId="20BFF047" w14:textId="4B79F818" w:rsidR="00F03CD4" w:rsidRPr="00FC4C1F" w:rsidRDefault="0032295E" w:rsidP="004844B8">
            <w:pPr>
              <w:pStyle w:val="TableText0"/>
              <w:keepLines/>
              <w:jc w:val="center"/>
              <w:rPr>
                <w:b/>
                <w:bCs w:val="0"/>
                <w:highlight w:val="darkGray"/>
              </w:rPr>
            </w:pPr>
            <w:r w:rsidRPr="0032295E">
              <w:rPr>
                <w:rFonts w:hint="eastAsia"/>
                <w:b/>
                <w:bCs w:val="0"/>
                <w:color w:val="000000"/>
                <w:w w:val="23"/>
                <w:shd w:val="solid" w:color="000000" w:fill="000000"/>
                <w:fitText w:val="105" w:id="-1169007093"/>
                <w14:textFill>
                  <w14:solidFill>
                    <w14:srgbClr w14:val="000000">
                      <w14:alpha w14:val="100000"/>
                    </w14:srgbClr>
                  </w14:solidFill>
                </w14:textFill>
              </w:rPr>
              <w:t xml:space="preserve">　</w:t>
            </w:r>
            <w:r w:rsidRPr="0032295E">
              <w:rPr>
                <w:b/>
                <w:bCs w:val="0"/>
                <w:color w:val="000000"/>
                <w:w w:val="23"/>
                <w:shd w:val="solid" w:color="000000" w:fill="000000"/>
                <w:fitText w:val="105" w:id="-1169007093"/>
                <w14:textFill>
                  <w14:solidFill>
                    <w14:srgbClr w14:val="000000">
                      <w14:alpha w14:val="100000"/>
                    </w14:srgbClr>
                  </w14:solidFill>
                </w14:textFill>
              </w:rPr>
              <w:t>|</w:t>
            </w:r>
            <w:r w:rsidRPr="0032295E">
              <w:rPr>
                <w:rFonts w:hint="eastAsia"/>
                <w:b/>
                <w:bCs w:val="0"/>
                <w:color w:val="000000"/>
                <w:spacing w:val="3"/>
                <w:w w:val="23"/>
                <w:shd w:val="solid" w:color="000000" w:fill="000000"/>
                <w:fitText w:val="105" w:id="-1169007093"/>
                <w14:textFill>
                  <w14:solidFill>
                    <w14:srgbClr w14:val="000000">
                      <w14:alpha w14:val="100000"/>
                    </w14:srgbClr>
                  </w14:solidFill>
                </w14:textFill>
              </w:rPr>
              <w:t xml:space="preserve">　</w:t>
            </w:r>
            <w:r w:rsidR="00FC4C1F">
              <w:rPr>
                <w:vertAlign w:val="superscript"/>
              </w:rPr>
              <w:t>9</w:t>
            </w:r>
          </w:p>
        </w:tc>
        <w:tc>
          <w:tcPr>
            <w:tcW w:w="611" w:type="pct"/>
            <w:tcBorders>
              <w:top w:val="single" w:sz="4" w:space="0" w:color="auto"/>
              <w:left w:val="nil"/>
              <w:bottom w:val="single" w:sz="4" w:space="0" w:color="auto"/>
              <w:right w:val="single" w:sz="4" w:space="0" w:color="auto"/>
            </w:tcBorders>
            <w:shd w:val="clear" w:color="auto" w:fill="auto"/>
            <w:vAlign w:val="center"/>
          </w:tcPr>
          <w:p w14:paraId="7E719FC4" w14:textId="404B168A" w:rsidR="00F03CD4" w:rsidRPr="00FC4C1F" w:rsidRDefault="0032295E" w:rsidP="004844B8">
            <w:pPr>
              <w:pStyle w:val="TableText0"/>
              <w:keepLines/>
              <w:jc w:val="center"/>
              <w:rPr>
                <w:b/>
                <w:bCs w:val="0"/>
                <w:highlight w:val="darkGray"/>
              </w:rPr>
            </w:pPr>
            <w:r w:rsidRPr="0032295E">
              <w:rPr>
                <w:rFonts w:hint="eastAsia"/>
                <w:b/>
                <w:bCs w:val="0"/>
                <w:color w:val="000000"/>
                <w:w w:val="30"/>
                <w:shd w:val="solid" w:color="000000" w:fill="000000"/>
                <w:fitText w:val="135" w:id="-1169007092"/>
                <w14:textFill>
                  <w14:solidFill>
                    <w14:srgbClr w14:val="000000">
                      <w14:alpha w14:val="100000"/>
                    </w14:srgbClr>
                  </w14:solidFill>
                </w14:textFill>
              </w:rPr>
              <w:t xml:space="preserve">　</w:t>
            </w:r>
            <w:r w:rsidRPr="0032295E">
              <w:rPr>
                <w:b/>
                <w:bCs w:val="0"/>
                <w:color w:val="000000"/>
                <w:w w:val="30"/>
                <w:shd w:val="solid" w:color="000000" w:fill="000000"/>
                <w:fitText w:val="135" w:id="-1169007092"/>
                <w14:textFill>
                  <w14:solidFill>
                    <w14:srgbClr w14:val="000000">
                      <w14:alpha w14:val="100000"/>
                    </w14:srgbClr>
                  </w14:solidFill>
                </w14:textFill>
              </w:rPr>
              <w:t>|</w:t>
            </w:r>
            <w:r w:rsidRPr="0032295E">
              <w:rPr>
                <w:rFonts w:hint="eastAsia"/>
                <w:b/>
                <w:bCs w:val="0"/>
                <w:color w:val="000000"/>
                <w:w w:val="30"/>
                <w:shd w:val="solid" w:color="000000" w:fill="000000"/>
                <w:fitText w:val="135" w:id="-1169007092"/>
                <w14:textFill>
                  <w14:solidFill>
                    <w14:srgbClr w14:val="000000">
                      <w14:alpha w14:val="100000"/>
                    </w14:srgbClr>
                  </w14:solidFill>
                </w14:textFill>
              </w:rPr>
              <w:t xml:space="preserve">　</w:t>
            </w:r>
            <w:r w:rsidR="00FC4C1F">
              <w:rPr>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680B2972" w14:textId="31C23456" w:rsidR="00F03CD4" w:rsidRPr="00FC4C1F" w:rsidRDefault="0032295E" w:rsidP="004844B8">
            <w:pPr>
              <w:pStyle w:val="TableText0"/>
              <w:keepLines/>
              <w:jc w:val="center"/>
              <w:rPr>
                <w:b/>
                <w:bCs w:val="0"/>
                <w:highlight w:val="darkGray"/>
              </w:rPr>
            </w:pPr>
            <w:r w:rsidRPr="0032295E">
              <w:rPr>
                <w:rFonts w:hint="eastAsia"/>
                <w:b/>
                <w:bCs w:val="0"/>
                <w:color w:val="000000"/>
                <w:w w:val="30"/>
                <w:shd w:val="solid" w:color="000000" w:fill="000000"/>
                <w:fitText w:val="135" w:id="-1169007091"/>
                <w14:textFill>
                  <w14:solidFill>
                    <w14:srgbClr w14:val="000000">
                      <w14:alpha w14:val="100000"/>
                    </w14:srgbClr>
                  </w14:solidFill>
                </w14:textFill>
              </w:rPr>
              <w:t xml:space="preserve">　</w:t>
            </w:r>
            <w:r w:rsidRPr="0032295E">
              <w:rPr>
                <w:b/>
                <w:bCs w:val="0"/>
                <w:color w:val="000000"/>
                <w:w w:val="30"/>
                <w:shd w:val="solid" w:color="000000" w:fill="000000"/>
                <w:fitText w:val="135" w:id="-1169007091"/>
                <w14:textFill>
                  <w14:solidFill>
                    <w14:srgbClr w14:val="000000">
                      <w14:alpha w14:val="100000"/>
                    </w14:srgbClr>
                  </w14:solidFill>
                </w14:textFill>
              </w:rPr>
              <w:t>|</w:t>
            </w:r>
            <w:r w:rsidRPr="0032295E">
              <w:rPr>
                <w:rFonts w:hint="eastAsia"/>
                <w:b/>
                <w:bCs w:val="0"/>
                <w:color w:val="000000"/>
                <w:w w:val="30"/>
                <w:shd w:val="solid" w:color="000000" w:fill="000000"/>
                <w:fitText w:val="135" w:id="-1169007091"/>
                <w14:textFill>
                  <w14:solidFill>
                    <w14:srgbClr w14:val="000000">
                      <w14:alpha w14:val="100000"/>
                    </w14:srgbClr>
                  </w14:solidFill>
                </w14:textFill>
              </w:rPr>
              <w:t xml:space="preserve">　</w:t>
            </w:r>
            <w:r w:rsidR="00FC4C1F">
              <w:rPr>
                <w:vertAlign w:val="superscript"/>
              </w:rPr>
              <w:t>10</w:t>
            </w:r>
          </w:p>
        </w:tc>
      </w:tr>
    </w:tbl>
    <w:bookmarkEnd w:id="93"/>
    <w:p w14:paraId="706F1A1F" w14:textId="03561521" w:rsidR="00F03CD4" w:rsidRPr="0040534B" w:rsidRDefault="00F03CD4" w:rsidP="004844B8">
      <w:pPr>
        <w:pStyle w:val="FooterTableFigure"/>
        <w:keepNext/>
        <w:keepLines/>
        <w:rPr>
          <w:i/>
          <w:iCs/>
        </w:rPr>
      </w:pPr>
      <w:r w:rsidRPr="0040534B">
        <w:t xml:space="preserve">Source: Tables 4-6, 4-7, 4-8 &amp; 4-10, pp169, 171, 173 &amp; 175 of the submission. </w:t>
      </w:r>
    </w:p>
    <w:p w14:paraId="714A0494" w14:textId="77777777" w:rsidR="00F03CD4" w:rsidRPr="0040534B" w:rsidRDefault="00F03CD4" w:rsidP="004844B8">
      <w:pPr>
        <w:pStyle w:val="FooterTableFigure"/>
        <w:keepNext/>
        <w:keepLines/>
      </w:pPr>
      <w:r w:rsidRPr="0040534B">
        <w:t>MBS = Medicare Benefits Schedule; PBS = Pharmaceutical Benefits Scheme; RPBS = Repatriation Pharmaceutical Benefits Scheme.</w:t>
      </w:r>
    </w:p>
    <w:p w14:paraId="40769D6F" w14:textId="77777777" w:rsidR="00FC4C1F" w:rsidRDefault="00F03CD4" w:rsidP="004844B8">
      <w:pPr>
        <w:pStyle w:val="FooterTableFigure"/>
        <w:keepNext/>
        <w:keepLines/>
      </w:pPr>
      <w:r w:rsidRPr="0040534B">
        <w:rPr>
          <w:vertAlign w:val="superscript"/>
        </w:rPr>
        <w:t>a</w:t>
      </w:r>
      <w:r w:rsidRPr="0040534B">
        <w:t xml:space="preserve"> The submission used the 80% benefit.</w:t>
      </w:r>
    </w:p>
    <w:p w14:paraId="617291B8" w14:textId="77777777" w:rsidR="00FC4C1F" w:rsidRPr="00FC4C1F" w:rsidRDefault="00FC4C1F" w:rsidP="004844B8">
      <w:pPr>
        <w:pStyle w:val="FooterTableFigure"/>
        <w:keepNext/>
        <w:keepLines/>
        <w:rPr>
          <w:i/>
          <w:iCs/>
        </w:rPr>
      </w:pPr>
      <w:r w:rsidRPr="00FC4C1F">
        <w:rPr>
          <w:i/>
          <w:iCs/>
        </w:rPr>
        <w:t>The redacted values correspond to the following ranges:</w:t>
      </w:r>
    </w:p>
    <w:p w14:paraId="645A5785" w14:textId="77777777" w:rsidR="00FC4C1F" w:rsidRPr="00FC4C1F" w:rsidRDefault="00FC4C1F" w:rsidP="004844B8">
      <w:pPr>
        <w:pStyle w:val="FooterTableFigure"/>
        <w:keepNext/>
        <w:keepLines/>
        <w:rPr>
          <w:i/>
          <w:iCs/>
        </w:rPr>
      </w:pPr>
      <w:r w:rsidRPr="00FC4C1F">
        <w:rPr>
          <w:i/>
          <w:iCs/>
          <w:vertAlign w:val="superscript"/>
        </w:rPr>
        <w:t>1</w:t>
      </w:r>
      <w:r w:rsidRPr="00FC4C1F">
        <w:rPr>
          <w:i/>
          <w:iCs/>
        </w:rPr>
        <w:t xml:space="preserve"> 10,000 to &lt; 20,000</w:t>
      </w:r>
    </w:p>
    <w:p w14:paraId="0FB3955A" w14:textId="77777777" w:rsidR="00FC4C1F" w:rsidRPr="00FC4C1F" w:rsidRDefault="00FC4C1F" w:rsidP="004844B8">
      <w:pPr>
        <w:pStyle w:val="FooterTableFigure"/>
        <w:keepNext/>
        <w:keepLines/>
        <w:rPr>
          <w:i/>
          <w:iCs/>
        </w:rPr>
      </w:pPr>
      <w:r w:rsidRPr="00FC4C1F">
        <w:rPr>
          <w:i/>
          <w:iCs/>
          <w:vertAlign w:val="superscript"/>
        </w:rPr>
        <w:t>2</w:t>
      </w:r>
      <w:r w:rsidRPr="00FC4C1F">
        <w:rPr>
          <w:i/>
          <w:iCs/>
        </w:rPr>
        <w:t xml:space="preserve"> 20,000 to &lt; 30,000</w:t>
      </w:r>
    </w:p>
    <w:p w14:paraId="3F9EA291" w14:textId="40FC7C40" w:rsidR="00F03CD4" w:rsidRPr="00FC4C1F" w:rsidRDefault="00FC4C1F" w:rsidP="004844B8">
      <w:pPr>
        <w:pStyle w:val="FooterTableFigure"/>
        <w:keepNext/>
        <w:keepLines/>
        <w:rPr>
          <w:i/>
          <w:iCs/>
        </w:rPr>
      </w:pPr>
      <w:r w:rsidRPr="00FC4C1F">
        <w:rPr>
          <w:i/>
          <w:iCs/>
          <w:vertAlign w:val="superscript"/>
        </w:rPr>
        <w:t>3</w:t>
      </w:r>
      <w:r w:rsidR="00F03CD4" w:rsidRPr="00FC4C1F">
        <w:rPr>
          <w:i/>
          <w:iCs/>
        </w:rPr>
        <w:t xml:space="preserve"> </w:t>
      </w:r>
      <w:r w:rsidRPr="00FC4C1F">
        <w:rPr>
          <w:i/>
          <w:iCs/>
        </w:rPr>
        <w:t>40,000 to &lt; 50,000</w:t>
      </w:r>
    </w:p>
    <w:p w14:paraId="313781E3" w14:textId="6AC3EEC3" w:rsidR="00FC4C1F" w:rsidRPr="00FC4C1F" w:rsidRDefault="00FC4C1F" w:rsidP="004844B8">
      <w:pPr>
        <w:pStyle w:val="FooterTableFigure"/>
        <w:keepNext/>
        <w:keepLines/>
        <w:rPr>
          <w:i/>
          <w:iCs/>
        </w:rPr>
      </w:pPr>
      <w:r w:rsidRPr="00FC4C1F">
        <w:rPr>
          <w:i/>
          <w:iCs/>
          <w:vertAlign w:val="superscript"/>
        </w:rPr>
        <w:t>4</w:t>
      </w:r>
      <w:r w:rsidRPr="00FC4C1F">
        <w:rPr>
          <w:i/>
          <w:iCs/>
        </w:rPr>
        <w:t xml:space="preserve"> 60,000 to &lt; 70,000</w:t>
      </w:r>
    </w:p>
    <w:p w14:paraId="79AB97EC" w14:textId="26CDF057" w:rsidR="00FC4C1F" w:rsidRPr="00FC4C1F" w:rsidRDefault="00FC4C1F" w:rsidP="004844B8">
      <w:pPr>
        <w:pStyle w:val="FooterTableFigure"/>
        <w:keepNext/>
        <w:keepLines/>
        <w:rPr>
          <w:i/>
          <w:iCs/>
        </w:rPr>
      </w:pPr>
      <w:r w:rsidRPr="00FC4C1F">
        <w:rPr>
          <w:i/>
          <w:iCs/>
          <w:vertAlign w:val="superscript"/>
        </w:rPr>
        <w:t>5</w:t>
      </w:r>
      <w:r w:rsidRPr="00FC4C1F">
        <w:rPr>
          <w:i/>
          <w:iCs/>
        </w:rPr>
        <w:t xml:space="preserve"> 80,000 to &lt; 90,000</w:t>
      </w:r>
    </w:p>
    <w:p w14:paraId="458A01C3" w14:textId="4FDED786" w:rsidR="00FC4C1F" w:rsidRPr="00FC4C1F" w:rsidRDefault="00FC4C1F" w:rsidP="004844B8">
      <w:pPr>
        <w:pStyle w:val="FooterTableFigure"/>
        <w:keepNext/>
        <w:keepLines/>
        <w:rPr>
          <w:i/>
          <w:iCs/>
        </w:rPr>
      </w:pPr>
      <w:r w:rsidRPr="00FC4C1F">
        <w:rPr>
          <w:i/>
          <w:iCs/>
          <w:vertAlign w:val="superscript"/>
        </w:rPr>
        <w:t>6</w:t>
      </w:r>
      <w:r w:rsidRPr="00FC4C1F">
        <w:rPr>
          <w:i/>
          <w:iCs/>
        </w:rPr>
        <w:t xml:space="preserve"> 100,000 to &lt; 200,000</w:t>
      </w:r>
    </w:p>
    <w:p w14:paraId="32FF046D" w14:textId="6B181842" w:rsidR="00FC4C1F" w:rsidRPr="00FC4C1F" w:rsidRDefault="00FC4C1F" w:rsidP="004844B8">
      <w:pPr>
        <w:pStyle w:val="FooterTableFigure"/>
        <w:keepNext/>
        <w:keepLines/>
        <w:rPr>
          <w:i/>
          <w:iCs/>
        </w:rPr>
      </w:pPr>
      <w:r w:rsidRPr="00FC4C1F">
        <w:rPr>
          <w:i/>
          <w:iCs/>
          <w:vertAlign w:val="superscript"/>
        </w:rPr>
        <w:t>7</w:t>
      </w:r>
      <w:r w:rsidRPr="00FC4C1F">
        <w:rPr>
          <w:i/>
          <w:iCs/>
        </w:rPr>
        <w:t xml:space="preserve"> 500 to &lt; 5,000</w:t>
      </w:r>
    </w:p>
    <w:p w14:paraId="166782A2" w14:textId="3D7A2F76" w:rsidR="00FC4C1F" w:rsidRPr="00FC4C1F" w:rsidRDefault="00FC4C1F" w:rsidP="004844B8">
      <w:pPr>
        <w:pStyle w:val="FooterTableFigure"/>
        <w:keepNext/>
        <w:keepLines/>
        <w:rPr>
          <w:i/>
          <w:iCs/>
        </w:rPr>
      </w:pPr>
      <w:r w:rsidRPr="00FC4C1F">
        <w:rPr>
          <w:i/>
          <w:iCs/>
          <w:vertAlign w:val="superscript"/>
        </w:rPr>
        <w:t>8</w:t>
      </w:r>
      <w:r w:rsidRPr="00FC4C1F">
        <w:rPr>
          <w:i/>
          <w:iCs/>
        </w:rPr>
        <w:t xml:space="preserve"> 5,000 to &lt; 10,000</w:t>
      </w:r>
    </w:p>
    <w:p w14:paraId="137B8B3A" w14:textId="3FEC03E2" w:rsidR="00FC4C1F" w:rsidRPr="00FC4C1F" w:rsidRDefault="00FC4C1F" w:rsidP="004844B8">
      <w:pPr>
        <w:pStyle w:val="FooterTableFigure"/>
        <w:keepNext/>
        <w:keepLines/>
        <w:rPr>
          <w:i/>
          <w:iCs/>
        </w:rPr>
      </w:pPr>
      <w:r w:rsidRPr="00FC4C1F">
        <w:rPr>
          <w:i/>
          <w:iCs/>
          <w:vertAlign w:val="superscript"/>
        </w:rPr>
        <w:t>9</w:t>
      </w:r>
      <w:r w:rsidRPr="00FC4C1F">
        <w:rPr>
          <w:i/>
          <w:iCs/>
        </w:rPr>
        <w:t xml:space="preserve"> $0 to &lt; $10 million</w:t>
      </w:r>
    </w:p>
    <w:p w14:paraId="5C5DD130" w14:textId="7BA8E0A2" w:rsidR="00FC4C1F" w:rsidRPr="00FC4C1F" w:rsidRDefault="00FC4C1F" w:rsidP="004844B8">
      <w:pPr>
        <w:pStyle w:val="FooterTableFigure"/>
        <w:keepNext/>
        <w:keepLines/>
        <w:rPr>
          <w:i/>
          <w:iCs/>
        </w:rPr>
      </w:pPr>
      <w:r w:rsidRPr="00FC4C1F">
        <w:rPr>
          <w:i/>
          <w:iCs/>
          <w:vertAlign w:val="superscript"/>
        </w:rPr>
        <w:t>10</w:t>
      </w:r>
      <w:r w:rsidRPr="00FC4C1F">
        <w:rPr>
          <w:i/>
          <w:iCs/>
        </w:rPr>
        <w:t xml:space="preserve"> $10 million to &lt; $20 million</w:t>
      </w:r>
    </w:p>
    <w:p w14:paraId="18BEAD34" w14:textId="1B171CEB" w:rsidR="00FC4C1F" w:rsidRPr="00FC4C1F" w:rsidRDefault="00FC4C1F" w:rsidP="004844B8">
      <w:pPr>
        <w:pStyle w:val="FooterTableFigure"/>
        <w:keepNext/>
        <w:keepLines/>
        <w:rPr>
          <w:i/>
          <w:iCs/>
        </w:rPr>
      </w:pPr>
      <w:r w:rsidRPr="00FC4C1F">
        <w:rPr>
          <w:i/>
          <w:iCs/>
          <w:vertAlign w:val="superscript"/>
        </w:rPr>
        <w:t>11</w:t>
      </w:r>
      <w:r w:rsidRPr="00FC4C1F">
        <w:rPr>
          <w:i/>
          <w:iCs/>
        </w:rPr>
        <w:t xml:space="preserve"> $20 million to &lt; $30 million</w:t>
      </w:r>
    </w:p>
    <w:p w14:paraId="60BD1B57" w14:textId="1609F1BB" w:rsidR="00FC4C1F" w:rsidRPr="00FC4C1F" w:rsidRDefault="00FC4C1F" w:rsidP="004844B8">
      <w:pPr>
        <w:pStyle w:val="FooterTableFigure"/>
        <w:keepNext/>
        <w:keepLines/>
        <w:rPr>
          <w:i/>
          <w:iCs/>
        </w:rPr>
      </w:pPr>
      <w:r w:rsidRPr="00FC4C1F">
        <w:rPr>
          <w:i/>
          <w:iCs/>
          <w:vertAlign w:val="superscript"/>
        </w:rPr>
        <w:t>12</w:t>
      </w:r>
      <w:r w:rsidRPr="00FC4C1F">
        <w:rPr>
          <w:i/>
          <w:iCs/>
        </w:rPr>
        <w:t xml:space="preserve"> $40 million to &lt; $50 million</w:t>
      </w:r>
    </w:p>
    <w:p w14:paraId="168B4883" w14:textId="4F4649A6" w:rsidR="00FC4C1F" w:rsidRPr="00FC4C1F" w:rsidRDefault="00FC4C1F" w:rsidP="004844B8">
      <w:pPr>
        <w:pStyle w:val="FooterTableFigure"/>
        <w:keepNext/>
        <w:keepLines/>
        <w:rPr>
          <w:i/>
          <w:iCs/>
        </w:rPr>
      </w:pPr>
      <w:r w:rsidRPr="00FC4C1F">
        <w:rPr>
          <w:i/>
          <w:iCs/>
          <w:vertAlign w:val="superscript"/>
        </w:rPr>
        <w:t>13</w:t>
      </w:r>
      <w:r w:rsidRPr="00FC4C1F">
        <w:rPr>
          <w:i/>
          <w:iCs/>
        </w:rPr>
        <w:t xml:space="preserve"> $50 million to &lt; $60 million</w:t>
      </w:r>
    </w:p>
    <w:p w14:paraId="5684364D" w14:textId="1601ED00" w:rsidR="00FC4C1F" w:rsidRPr="00FC4C1F" w:rsidRDefault="00FC4C1F" w:rsidP="004844B8">
      <w:pPr>
        <w:pStyle w:val="FooterTableFigure"/>
        <w:keepNext/>
        <w:keepLines/>
        <w:rPr>
          <w:i/>
          <w:iCs/>
        </w:rPr>
      </w:pPr>
      <w:r w:rsidRPr="00FC4C1F">
        <w:rPr>
          <w:i/>
          <w:iCs/>
          <w:vertAlign w:val="superscript"/>
        </w:rPr>
        <w:t>14</w:t>
      </w:r>
      <w:r w:rsidRPr="00FC4C1F">
        <w:rPr>
          <w:i/>
          <w:iCs/>
        </w:rPr>
        <w:t xml:space="preserve"> $60 million to &lt; $70 million</w:t>
      </w:r>
    </w:p>
    <w:p w14:paraId="62EDD88A" w14:textId="1128A3BD" w:rsidR="00FC4C1F" w:rsidRPr="00FC4C1F" w:rsidRDefault="00FC4C1F" w:rsidP="00F03CD4">
      <w:pPr>
        <w:pStyle w:val="FooterTableFigure"/>
        <w:rPr>
          <w:i/>
          <w:iCs/>
        </w:rPr>
      </w:pPr>
      <w:r w:rsidRPr="00FC4C1F">
        <w:rPr>
          <w:i/>
          <w:iCs/>
          <w:vertAlign w:val="superscript"/>
        </w:rPr>
        <w:t>15</w:t>
      </w:r>
      <w:r w:rsidRPr="00FC4C1F">
        <w:rPr>
          <w:i/>
          <w:iCs/>
        </w:rPr>
        <w:t xml:space="preserve"> net cost saving</w:t>
      </w:r>
    </w:p>
    <w:p w14:paraId="43CF77CE" w14:textId="0C2B749C" w:rsidR="00F03CD4" w:rsidRPr="0040534B" w:rsidRDefault="00F03CD4" w:rsidP="00F03CD4">
      <w:pPr>
        <w:pStyle w:val="3-BodyText"/>
      </w:pPr>
      <w:r w:rsidRPr="0040534B">
        <w:t xml:space="preserve">The submission expected that the net implications of substitution would be nil once the effective price of atogepant </w:t>
      </w:r>
      <w:r w:rsidR="00AB38D4" w:rsidRPr="0040534B">
        <w:t>wa</w:t>
      </w:r>
      <w:r w:rsidRPr="0040534B">
        <w:t xml:space="preserve">s derived and used with the effective prices of galcanezumab and fremanezumab. </w:t>
      </w:r>
    </w:p>
    <w:p w14:paraId="2AE110F5" w14:textId="5FAAFFC4" w:rsidR="00F03CD4" w:rsidRPr="0040534B" w:rsidRDefault="00AB62CB" w:rsidP="00AB62CB">
      <w:pPr>
        <w:pStyle w:val="3-BodyText"/>
      </w:pPr>
      <w:r w:rsidRPr="0040534B">
        <w:t xml:space="preserve">The submission did not </w:t>
      </w:r>
      <w:r w:rsidR="006D6686" w:rsidRPr="0040534B">
        <w:t>include</w:t>
      </w:r>
      <w:r w:rsidRPr="0040534B">
        <w:t xml:space="preserve"> sequential use and treatment of patients who are unsuitable for injections or needle phobic in the financial estimates</w:t>
      </w:r>
      <w:r w:rsidR="006D6686" w:rsidRPr="0040534B">
        <w:t xml:space="preserve"> in </w:t>
      </w:r>
      <w:r w:rsidR="006D6686" w:rsidRPr="0040534B">
        <w:fldChar w:fldCharType="begin" w:fldLock="1"/>
      </w:r>
      <w:r w:rsidR="006D6686" w:rsidRPr="0040534B">
        <w:instrText xml:space="preserve"> REF _Ref104805295 \h </w:instrText>
      </w:r>
      <w:r w:rsidR="006D6686" w:rsidRPr="0040534B">
        <w:fldChar w:fldCharType="separate"/>
      </w:r>
      <w:r w:rsidR="004E201F" w:rsidRPr="0040534B">
        <w:t xml:space="preserve">Table </w:t>
      </w:r>
      <w:r w:rsidR="004E201F">
        <w:rPr>
          <w:noProof/>
        </w:rPr>
        <w:t>18</w:t>
      </w:r>
      <w:r w:rsidR="006D6686" w:rsidRPr="0040534B">
        <w:fldChar w:fldCharType="end"/>
      </w:r>
      <w:r w:rsidRPr="0040534B">
        <w:t>. However, t</w:t>
      </w:r>
      <w:r w:rsidR="00F03CD4" w:rsidRPr="0040534B">
        <w:t>he submission considered</w:t>
      </w:r>
      <w:r w:rsidR="00A8361E" w:rsidRPr="0040534B">
        <w:t xml:space="preserve"> the impact of</w:t>
      </w:r>
      <w:r w:rsidR="00F03CD4" w:rsidRPr="0040534B">
        <w:t xml:space="preserve"> sequential use and uptake of atogepant in patients unsuitable for CGRP injections </w:t>
      </w:r>
      <w:r w:rsidR="00A8361E" w:rsidRPr="0040534B">
        <w:t xml:space="preserve">as part of </w:t>
      </w:r>
      <w:r w:rsidR="00F03CD4" w:rsidRPr="0040534B">
        <w:t>the proposed risk sharing arrangement (RSA)</w:t>
      </w:r>
      <w:r w:rsidR="00237C42" w:rsidRPr="0040534B">
        <w:t xml:space="preserve"> (see Financial Management – Risk Sharing Arrangements section below)</w:t>
      </w:r>
      <w:r w:rsidR="00F03CD4" w:rsidRPr="0040534B">
        <w:t xml:space="preserve">. </w:t>
      </w:r>
      <w:r w:rsidR="00396D9B" w:rsidRPr="0040534B">
        <w:t>The ESC considered i</w:t>
      </w:r>
      <w:r w:rsidR="002B3477" w:rsidRPr="0040534B">
        <w:t>t would have been appropriate to include sequential use and use in patients unsuitable for CGRP injections in the financial model to estimate any potential additional cost to the PBS/ RPBS.</w:t>
      </w:r>
      <w:r w:rsidR="00F8324F" w:rsidRPr="0040534B">
        <w:t xml:space="preserve"> </w:t>
      </w:r>
    </w:p>
    <w:p w14:paraId="17545D53" w14:textId="2EA4F492" w:rsidR="00F03CD4" w:rsidRPr="0040534B" w:rsidRDefault="00F03CD4" w:rsidP="00F03CD4">
      <w:pPr>
        <w:pStyle w:val="3-BodyText"/>
      </w:pPr>
      <w:r w:rsidRPr="0040534B">
        <w:t>The submission noted that there would be 300 grandfathered patients from the atogepant patient familiarisation programme. The submission stated that grandfathered patients would be captured through the market share approach as these patients would have otherwise initiated and utili</w:t>
      </w:r>
      <w:r w:rsidR="00DD3C5F">
        <w:t>s</w:t>
      </w:r>
      <w:r w:rsidRPr="0040534B">
        <w:t xml:space="preserve">ed galcanezumab or fremanezumab. </w:t>
      </w:r>
    </w:p>
    <w:p w14:paraId="1A8CF639" w14:textId="77777777" w:rsidR="00F03CD4" w:rsidRPr="0040534B" w:rsidRDefault="00F03CD4" w:rsidP="00F03CD4">
      <w:pPr>
        <w:pStyle w:val="4-SubsectionHeading"/>
      </w:pPr>
      <w:bookmarkStart w:id="94" w:name="_Toc22897648"/>
      <w:bookmarkStart w:id="95" w:name="_Toc135214025"/>
      <w:r w:rsidRPr="0040534B">
        <w:lastRenderedPageBreak/>
        <w:t>Quality Use of Medicines</w:t>
      </w:r>
      <w:bookmarkEnd w:id="94"/>
      <w:bookmarkEnd w:id="95"/>
    </w:p>
    <w:p w14:paraId="2CCE9D9C" w14:textId="2BDB9237" w:rsidR="00F03CD4" w:rsidRPr="0040534B" w:rsidRDefault="00F03CD4" w:rsidP="00F03CD4">
      <w:pPr>
        <w:pStyle w:val="3-BodyText"/>
      </w:pPr>
      <w:r w:rsidRPr="0040534B">
        <w:t xml:space="preserve">The submission referred to the TGA risk management plan and stated that support would be provided to prescribers and patients. </w:t>
      </w:r>
    </w:p>
    <w:p w14:paraId="0D81264B" w14:textId="6BB6656D" w:rsidR="00F03CD4" w:rsidRPr="0040534B" w:rsidRDefault="00DD3C5F" w:rsidP="00F03CD4">
      <w:pPr>
        <w:pStyle w:val="3-BodyText"/>
      </w:pPr>
      <w:r>
        <w:t>That evaluation considered that g</w:t>
      </w:r>
      <w:r w:rsidR="00F03CD4" w:rsidRPr="0040534B">
        <w:t xml:space="preserve">iven that CGRPs are a relatively new class of medicines with high potential for drug-drug interactions and the resulting potential need to reduce doses as a result of these interactions, further detail regarding the proposed support for prescribers and patients should </w:t>
      </w:r>
      <w:r>
        <w:t xml:space="preserve">have </w:t>
      </w:r>
      <w:r w:rsidR="00F03CD4" w:rsidRPr="0040534B">
        <w:t>be</w:t>
      </w:r>
      <w:r>
        <w:t>en</w:t>
      </w:r>
      <w:r w:rsidR="00F03CD4" w:rsidRPr="0040534B">
        <w:t xml:space="preserve"> provided. In particular, the quality use of medicines plan should provide guidance on dose reduction given </w:t>
      </w:r>
      <w:r w:rsidR="00251DFE" w:rsidRPr="0040534B">
        <w:t xml:space="preserve">the availability of a 10 mg dose, but </w:t>
      </w:r>
      <w:r w:rsidR="00F03CD4" w:rsidRPr="0040534B">
        <w:t>that the submission is for the 60</w:t>
      </w:r>
      <w:r w:rsidR="00E34A5B" w:rsidRPr="0040534B">
        <w:t xml:space="preserve"> </w:t>
      </w:r>
      <w:r w:rsidR="00F03CD4" w:rsidRPr="0040534B">
        <w:t>mg strength only and dose reductions are required for some drug interactions.</w:t>
      </w:r>
    </w:p>
    <w:p w14:paraId="2EA6BCB3" w14:textId="77777777" w:rsidR="00F03CD4" w:rsidRPr="0040534B" w:rsidRDefault="00F03CD4" w:rsidP="00F03CD4">
      <w:pPr>
        <w:pStyle w:val="4-SubsectionHeading"/>
      </w:pPr>
      <w:bookmarkStart w:id="96" w:name="_Toc22897649"/>
      <w:bookmarkStart w:id="97" w:name="_Toc135214026"/>
      <w:r w:rsidRPr="0040534B">
        <w:t>Financial Management – Risk Sharing Arrangements</w:t>
      </w:r>
      <w:bookmarkEnd w:id="96"/>
      <w:bookmarkEnd w:id="97"/>
    </w:p>
    <w:p w14:paraId="4DA1F45F" w14:textId="05FBCFFA" w:rsidR="00F03CD4" w:rsidRPr="0040534B" w:rsidRDefault="00F03CD4" w:rsidP="00F03CD4">
      <w:pPr>
        <w:pStyle w:val="3-BodyText"/>
      </w:pPr>
      <w:r w:rsidRPr="0040534B">
        <w:t xml:space="preserve">The submission noted the RSA currently in place for galcanezumab and fremanezumab. The submission proposed a separate RSA for atogepant as treatment for </w:t>
      </w:r>
      <w:r w:rsidR="00237C42" w:rsidRPr="0040534B">
        <w:t>CM</w:t>
      </w:r>
      <w:r w:rsidRPr="0040534B">
        <w:t xml:space="preserve"> and HFEM to account for sequential treatment and patients who are eligible but unsuitable for CGRP injections. </w:t>
      </w:r>
      <w:r w:rsidR="004E69EF" w:rsidRPr="0040534B">
        <w:t xml:space="preserve">The </w:t>
      </w:r>
      <w:r w:rsidR="00CD57E4" w:rsidRPr="0040534B">
        <w:t xml:space="preserve">submissions </w:t>
      </w:r>
      <w:r w:rsidR="004E69EF" w:rsidRPr="0040534B">
        <w:t xml:space="preserve">for galcanezumab and fremanezumab </w:t>
      </w:r>
      <w:r w:rsidR="00CD57E4" w:rsidRPr="0040534B">
        <w:t>proposed</w:t>
      </w:r>
      <w:r w:rsidR="004E69EF" w:rsidRPr="0040534B">
        <w:t xml:space="preserve"> increasing the existing </w:t>
      </w:r>
      <w:r w:rsidR="00237C42" w:rsidRPr="0040534B">
        <w:t>CM</w:t>
      </w:r>
      <w:r w:rsidR="007B5B63" w:rsidRPr="0040534B">
        <w:t xml:space="preserve"> </w:t>
      </w:r>
      <w:r w:rsidR="004E69EF" w:rsidRPr="0040534B">
        <w:t xml:space="preserve">RSA caps </w:t>
      </w:r>
      <w:r w:rsidR="007B5B63" w:rsidRPr="0040534B">
        <w:t xml:space="preserve">to include treatment for HFEM </w:t>
      </w:r>
      <w:r w:rsidR="004E69EF" w:rsidRPr="0040534B">
        <w:t>(paragraph 6.70, galcanezumab PSD, March 2022 PBAC meeting; paragraph 6.55, fremanezumab PSD, November 2022 PBAC meeting)</w:t>
      </w:r>
      <w:r w:rsidR="0040534B">
        <w:t xml:space="preserve">. </w:t>
      </w:r>
    </w:p>
    <w:p w14:paraId="09DE07BE" w14:textId="77777777" w:rsidR="00F03CD4" w:rsidRPr="0040534B" w:rsidRDefault="00F03CD4" w:rsidP="00F03CD4">
      <w:pPr>
        <w:pStyle w:val="3-BodyText"/>
      </w:pPr>
      <w:r w:rsidRPr="0040534B">
        <w:t>The submission proposed an RSA using three steps:</w:t>
      </w:r>
    </w:p>
    <w:p w14:paraId="25DBBBC6" w14:textId="7365E599" w:rsidR="00F03CD4" w:rsidRPr="0040534B" w:rsidRDefault="00F03CD4" w:rsidP="006045A2">
      <w:pPr>
        <w:pStyle w:val="ListParagraph"/>
        <w:numPr>
          <w:ilvl w:val="0"/>
          <w:numId w:val="8"/>
        </w:numPr>
        <w:ind w:left="1134"/>
      </w:pPr>
      <w:r w:rsidRPr="0040534B">
        <w:t>Calculate the magnitude of sequential treatment.</w:t>
      </w:r>
      <w:r w:rsidR="007B5B63" w:rsidRPr="0040534B">
        <w:t xml:space="preserve"> Using March 2023 published prices for fremanezumab and galcanezumab, this was estimated to be an additional $</w:t>
      </w:r>
      <w:r w:rsidR="00FC4C1F">
        <w:t>10</w:t>
      </w:r>
      <w:r w:rsidR="00AF37D9">
        <w:t> </w:t>
      </w:r>
      <w:r w:rsidR="00FC4C1F">
        <w:t>million</w:t>
      </w:r>
      <w:r w:rsidR="00AF37D9">
        <w:t> </w:t>
      </w:r>
      <w:r w:rsidR="00FC4C1F">
        <w:t>to</w:t>
      </w:r>
      <w:r w:rsidR="00AF37D9">
        <w:t> </w:t>
      </w:r>
      <w:r w:rsidR="00FC4C1F">
        <w:t>&lt;</w:t>
      </w:r>
      <w:r w:rsidR="00AF37D9">
        <w:t> </w:t>
      </w:r>
      <w:r w:rsidR="00FC4C1F">
        <w:t>$20</w:t>
      </w:r>
      <w:r w:rsidR="007B5B63" w:rsidRPr="0040534B">
        <w:t xml:space="preserve"> million in Year 2, increasing to $</w:t>
      </w:r>
      <w:r w:rsidR="00FC4C1F">
        <w:t>40</w:t>
      </w:r>
      <w:r w:rsidR="00AF37D9">
        <w:t> </w:t>
      </w:r>
      <w:r w:rsidR="00FC4C1F">
        <w:t>million</w:t>
      </w:r>
      <w:r w:rsidR="00AF37D9">
        <w:t> </w:t>
      </w:r>
      <w:r w:rsidR="00FC4C1F">
        <w:t>to</w:t>
      </w:r>
      <w:r w:rsidR="00AF37D9">
        <w:t> </w:t>
      </w:r>
      <w:r w:rsidR="00FC4C1F">
        <w:t>&lt;</w:t>
      </w:r>
      <w:r w:rsidR="00AF37D9">
        <w:t> </w:t>
      </w:r>
      <w:r w:rsidR="00FC4C1F">
        <w:t>$50</w:t>
      </w:r>
      <w:r w:rsidR="00AF37D9">
        <w:t> </w:t>
      </w:r>
      <w:r w:rsidR="007B5B63" w:rsidRPr="0040534B">
        <w:t>million in Year 6, totalling $</w:t>
      </w:r>
      <w:r w:rsidR="00FC4C1F">
        <w:t>100</w:t>
      </w:r>
      <w:r w:rsidR="00AF37D9">
        <w:t> </w:t>
      </w:r>
      <w:r w:rsidR="00FC4C1F">
        <w:t>million</w:t>
      </w:r>
      <w:r w:rsidR="00AF37D9">
        <w:t> </w:t>
      </w:r>
      <w:r w:rsidR="00FC4C1F">
        <w:t>to</w:t>
      </w:r>
      <w:r w:rsidR="00AF37D9">
        <w:t> </w:t>
      </w:r>
      <w:r w:rsidR="00FC4C1F">
        <w:t>&lt;</w:t>
      </w:r>
      <w:r w:rsidR="00AF37D9">
        <w:t> </w:t>
      </w:r>
      <w:r w:rsidR="00FC4C1F">
        <w:t>$200</w:t>
      </w:r>
      <w:r w:rsidR="007B5B63" w:rsidRPr="0040534B">
        <w:t xml:space="preserve"> million over six years.</w:t>
      </w:r>
      <w:r w:rsidR="00237C42" w:rsidRPr="0040534B">
        <w:t xml:space="preserve"> No evidence was provided in the submission regarding the effectiveness or cost-effectiveness of sequential treatment of CGRP inhibitors</w:t>
      </w:r>
      <w:r w:rsidR="000E37D0">
        <w:t>.</w:t>
      </w:r>
    </w:p>
    <w:p w14:paraId="79BF53CC" w14:textId="4FC8A79C" w:rsidR="00F03CD4" w:rsidRPr="0040534B" w:rsidRDefault="00F03CD4" w:rsidP="006045A2">
      <w:pPr>
        <w:pStyle w:val="ListParagraph"/>
        <w:numPr>
          <w:ilvl w:val="0"/>
          <w:numId w:val="8"/>
        </w:numPr>
        <w:ind w:left="1134"/>
      </w:pPr>
      <w:r w:rsidRPr="0040534B">
        <w:t>Calculate the magnitude of patients unsuitable for injections or needle phobic.</w:t>
      </w:r>
      <w:r w:rsidR="007B5B63" w:rsidRPr="0040534B">
        <w:t xml:space="preserve"> The submission estimated that 16% of patients were unsuitable for injections or needle phobic, based on a systematic review and meta-analysis of patients avoiding the influenza vaccination</w:t>
      </w:r>
      <w:r w:rsidR="00237C42" w:rsidRPr="0040534B">
        <w:t xml:space="preserve">. </w:t>
      </w:r>
    </w:p>
    <w:p w14:paraId="3BFEB424" w14:textId="6788A1AB" w:rsidR="00F03CD4" w:rsidRPr="0040534B" w:rsidRDefault="00F03CD4" w:rsidP="006045A2">
      <w:pPr>
        <w:pStyle w:val="ListParagraph"/>
        <w:numPr>
          <w:ilvl w:val="0"/>
          <w:numId w:val="8"/>
        </w:numPr>
        <w:ind w:left="1134"/>
      </w:pPr>
      <w:r w:rsidRPr="0040534B">
        <w:t>Account for substitution of current CGRPs.</w:t>
      </w:r>
      <w:r w:rsidR="007B5B63" w:rsidRPr="0040534B">
        <w:t xml:space="preserve"> Based on March 2023 published prices for fremanezumab and galcanezumab, these savings were $</w:t>
      </w:r>
      <w:r w:rsidR="00FC4C1F">
        <w:t>0</w:t>
      </w:r>
      <w:r w:rsidR="00AF37D9">
        <w:t> </w:t>
      </w:r>
      <w:r w:rsidR="00FC4C1F">
        <w:t>to</w:t>
      </w:r>
      <w:r w:rsidR="00AF37D9">
        <w:t> </w:t>
      </w:r>
      <w:r w:rsidR="00FC4C1F">
        <w:t>&lt;</w:t>
      </w:r>
      <w:r w:rsidR="00AF37D9">
        <w:t> </w:t>
      </w:r>
      <w:r w:rsidR="00FC4C1F">
        <w:t>$10</w:t>
      </w:r>
      <w:r w:rsidR="007B5B63" w:rsidRPr="0040534B">
        <w:t xml:space="preserve"> million in Year 1 increasing to $</w:t>
      </w:r>
      <w:r w:rsidR="00FC4C1F">
        <w:t>50</w:t>
      </w:r>
      <w:r w:rsidR="00AF37D9">
        <w:t> </w:t>
      </w:r>
      <w:r w:rsidR="00FC4C1F">
        <w:t>million</w:t>
      </w:r>
      <w:r w:rsidR="00AF37D9">
        <w:t> </w:t>
      </w:r>
      <w:r w:rsidR="00FC4C1F">
        <w:t>to</w:t>
      </w:r>
      <w:r w:rsidR="00AF37D9">
        <w:t> </w:t>
      </w:r>
      <w:r w:rsidR="00FC4C1F">
        <w:t>&lt;</w:t>
      </w:r>
      <w:r w:rsidR="00AF37D9">
        <w:t> </w:t>
      </w:r>
      <w:r w:rsidR="00FC4C1F">
        <w:t>$60</w:t>
      </w:r>
      <w:r w:rsidR="00AF37D9">
        <w:t> </w:t>
      </w:r>
      <w:r w:rsidR="007B5B63" w:rsidRPr="0040534B">
        <w:t>million in Year 6 and $</w:t>
      </w:r>
      <w:r w:rsidR="00FC4C1F">
        <w:t>100</w:t>
      </w:r>
      <w:r w:rsidR="00AF37D9">
        <w:t> </w:t>
      </w:r>
      <w:r w:rsidR="00FC4C1F">
        <w:t>million</w:t>
      </w:r>
      <w:r w:rsidR="00AF37D9">
        <w:t> </w:t>
      </w:r>
      <w:r w:rsidR="00FC4C1F">
        <w:t>to</w:t>
      </w:r>
      <w:r w:rsidR="00AF37D9">
        <w:t> </w:t>
      </w:r>
      <w:r w:rsidR="00FC4C1F">
        <w:t>&lt;</w:t>
      </w:r>
      <w:r w:rsidR="00AF37D9">
        <w:t> </w:t>
      </w:r>
      <w:r w:rsidR="00FC4C1F">
        <w:t>$200</w:t>
      </w:r>
      <w:r w:rsidR="007B5B63" w:rsidRPr="0040534B">
        <w:t xml:space="preserve"> million over six years (</w:t>
      </w:r>
      <w:r w:rsidR="007B5B63" w:rsidRPr="0040534B">
        <w:fldChar w:fldCharType="begin" w:fldLock="1"/>
      </w:r>
      <w:r w:rsidR="007B5B63" w:rsidRPr="0040534B">
        <w:instrText xml:space="preserve"> REF _Ref104805295 \h  \* MERGEFORMAT </w:instrText>
      </w:r>
      <w:r w:rsidR="007B5B63" w:rsidRPr="0040534B">
        <w:fldChar w:fldCharType="separate"/>
      </w:r>
      <w:r w:rsidR="004E201F" w:rsidRPr="0040534B">
        <w:t xml:space="preserve">Table </w:t>
      </w:r>
      <w:r w:rsidR="004E201F">
        <w:t>18</w:t>
      </w:r>
      <w:r w:rsidR="007B5B63" w:rsidRPr="0040534B">
        <w:fldChar w:fldCharType="end"/>
      </w:r>
      <w:r w:rsidR="007B5B63" w:rsidRPr="0040534B">
        <w:t>).</w:t>
      </w:r>
    </w:p>
    <w:p w14:paraId="25C56D60" w14:textId="7516C7CC" w:rsidR="006045A2" w:rsidRPr="0040534B" w:rsidRDefault="00AB38D4" w:rsidP="006045A2">
      <w:pPr>
        <w:pStyle w:val="3-BodyText"/>
      </w:pPr>
      <w:r w:rsidRPr="0040534B">
        <w:t>The ESC considered that the proposed RSA was not appropriate. The ESC noted that it was not appropriate to transfer the predicted cost offsets from the substitution of galcanezumab and fremanezumab to the proposed atogepant RSA. The ESC considered that, if recommended, atogepant should join the current CGRP RSA which should be expanded to include the HFEM population</w:t>
      </w:r>
      <w:r w:rsidR="00D6258E" w:rsidRPr="0040534B">
        <w:t>;</w:t>
      </w:r>
      <w:r w:rsidR="00396D9B" w:rsidRPr="0040534B">
        <w:t xml:space="preserve"> however, the ESC noted this could not be determined from the information provided in the submission</w:t>
      </w:r>
      <w:r w:rsidRPr="0040534B">
        <w:t>.</w:t>
      </w:r>
    </w:p>
    <w:p w14:paraId="003BB705" w14:textId="0F54BB6B" w:rsidR="006045A2" w:rsidRPr="0040534B" w:rsidRDefault="006045A2" w:rsidP="006045A2">
      <w:pPr>
        <w:pStyle w:val="3-BodyText"/>
        <w:numPr>
          <w:ilvl w:val="0"/>
          <w:numId w:val="0"/>
        </w:numPr>
        <w:ind w:left="720"/>
        <w:rPr>
          <w:i/>
          <w:iCs/>
        </w:rPr>
      </w:pPr>
      <w:r w:rsidRPr="0040534B">
        <w:rPr>
          <w:i/>
          <w:iCs/>
        </w:rPr>
        <w:lastRenderedPageBreak/>
        <w:t>For more detail on PBAC’s view, see section 7 PBAC outcome.</w:t>
      </w:r>
    </w:p>
    <w:p w14:paraId="13DF6FA8" w14:textId="77777777" w:rsidR="006045A2" w:rsidRPr="0040534B" w:rsidRDefault="006045A2" w:rsidP="006045A2">
      <w:pPr>
        <w:pStyle w:val="2-SectionHeading"/>
      </w:pPr>
      <w:bookmarkStart w:id="98" w:name="_Hlk76381249"/>
      <w:bookmarkStart w:id="99" w:name="_Hlk76377955"/>
      <w:r w:rsidRPr="0040534B">
        <w:t>PBAC Outcome</w:t>
      </w:r>
    </w:p>
    <w:p w14:paraId="6C02974D" w14:textId="651A78B2" w:rsidR="001255C8" w:rsidRPr="0040534B" w:rsidRDefault="00F8324F" w:rsidP="001255C8">
      <w:pPr>
        <w:widowControl w:val="0"/>
        <w:numPr>
          <w:ilvl w:val="1"/>
          <w:numId w:val="4"/>
        </w:numPr>
        <w:spacing w:after="120"/>
      </w:pPr>
      <w:bookmarkStart w:id="100" w:name="_Hlk111543188"/>
      <w:r w:rsidRPr="0040534B">
        <w:t xml:space="preserve">The PBAC did not recommend atogepant for use as prophylaxis in adult patients with chronic </w:t>
      </w:r>
      <w:r w:rsidR="00531C89" w:rsidRPr="0040534B">
        <w:t xml:space="preserve">migraine </w:t>
      </w:r>
      <w:r w:rsidR="00FD5EE9" w:rsidRPr="0040534B">
        <w:t xml:space="preserve">(CM) </w:t>
      </w:r>
      <w:r w:rsidRPr="0040534B">
        <w:t xml:space="preserve">or high frequency episodic migraine </w:t>
      </w:r>
      <w:r w:rsidR="006C3762" w:rsidRPr="0040534B">
        <w:t xml:space="preserve">(HFEM) </w:t>
      </w:r>
      <w:r w:rsidRPr="0040534B">
        <w:t>who have experienced an inadequate response, intolerance or a contraindication to at least three prophylactic migraine medications. The PBAC acknowledged that there was a need for an oral prophylactic</w:t>
      </w:r>
      <w:r w:rsidR="00842282" w:rsidRPr="0040534B">
        <w:t xml:space="preserve"> migraine treatment</w:t>
      </w:r>
      <w:r w:rsidRPr="0040534B">
        <w:t xml:space="preserve"> but considered that the indirect treatment comparison</w:t>
      </w:r>
      <w:r w:rsidR="00AC7EA6" w:rsidRPr="0040534B">
        <w:t>s</w:t>
      </w:r>
      <w:r w:rsidRPr="0040534B">
        <w:t xml:space="preserve"> presented did not establish that atogepant was non-inferior in terms of </w:t>
      </w:r>
      <w:r w:rsidR="00842282" w:rsidRPr="0040534B">
        <w:t>effectiveness</w:t>
      </w:r>
      <w:r w:rsidRPr="0040534B">
        <w:t xml:space="preserve"> compared to the nominated comparator</w:t>
      </w:r>
      <w:r w:rsidR="006C3762" w:rsidRPr="0040534B">
        <w:t>s</w:t>
      </w:r>
      <w:r w:rsidRPr="0040534B">
        <w:t>, galcanezumab</w:t>
      </w:r>
      <w:r w:rsidR="006C3762" w:rsidRPr="0040534B">
        <w:t xml:space="preserve"> and fremanezumab</w:t>
      </w:r>
      <w:r w:rsidR="001255C8" w:rsidRPr="0040534B">
        <w:t xml:space="preserve">. </w:t>
      </w:r>
      <w:r w:rsidR="00842282" w:rsidRPr="0040534B">
        <w:t>T</w:t>
      </w:r>
      <w:r w:rsidR="00D6258E" w:rsidRPr="0040534B">
        <w:t xml:space="preserve">he PBAC considered that the utilisation estimates were </w:t>
      </w:r>
      <w:r w:rsidR="00E94E77">
        <w:t>not adequately supported</w:t>
      </w:r>
      <w:r w:rsidR="00E94E77" w:rsidRPr="0040534B">
        <w:t xml:space="preserve"> </w:t>
      </w:r>
      <w:r w:rsidR="00D6258E" w:rsidRPr="0040534B">
        <w:t xml:space="preserve">and that the structure of the Risk Sharing Arrangement (RSA) </w:t>
      </w:r>
      <w:r w:rsidR="001255C8" w:rsidRPr="0040534B">
        <w:t xml:space="preserve">as proposed in the submission </w:t>
      </w:r>
      <w:r w:rsidR="00573AD0" w:rsidRPr="0040534B">
        <w:t xml:space="preserve">was </w:t>
      </w:r>
      <w:r w:rsidR="008D16C6" w:rsidRPr="0040534B">
        <w:t>poorly justified</w:t>
      </w:r>
      <w:r w:rsidR="001255C8" w:rsidRPr="0040534B">
        <w:t>.</w:t>
      </w:r>
    </w:p>
    <w:p w14:paraId="4A230F4D" w14:textId="4B40A9C8" w:rsidR="00F8324F" w:rsidRPr="0040534B" w:rsidRDefault="00F8324F" w:rsidP="006045A2">
      <w:pPr>
        <w:widowControl w:val="0"/>
        <w:numPr>
          <w:ilvl w:val="1"/>
          <w:numId w:val="4"/>
        </w:numPr>
        <w:spacing w:after="120"/>
        <w:rPr>
          <w:rFonts w:asciiTheme="minorHAnsi" w:hAnsiTheme="minorHAnsi"/>
          <w:snapToGrid w:val="0"/>
        </w:rPr>
      </w:pPr>
      <w:r w:rsidRPr="0040534B">
        <w:t>The key reason for this outcome was due to the comparative clinical evidence.</w:t>
      </w:r>
    </w:p>
    <w:p w14:paraId="0ABE28F6" w14:textId="76C68E6E"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acknowledged the consumer comments that highlighted the clinical need for an oral </w:t>
      </w:r>
      <w:r w:rsidR="00842282" w:rsidRPr="0040534B">
        <w:rPr>
          <w:rFonts w:asciiTheme="minorHAnsi" w:hAnsiTheme="minorHAnsi"/>
          <w:snapToGrid w:val="0"/>
        </w:rPr>
        <w:t xml:space="preserve">prophylactic </w:t>
      </w:r>
      <w:r w:rsidRPr="0040534B">
        <w:rPr>
          <w:rFonts w:asciiTheme="minorHAnsi" w:hAnsiTheme="minorHAnsi"/>
          <w:snapToGrid w:val="0"/>
        </w:rPr>
        <w:t>migraine treatment and supported the submission.</w:t>
      </w:r>
    </w:p>
    <w:p w14:paraId="3A52FB16" w14:textId="71FA57FC" w:rsidR="00FD5EE9" w:rsidRPr="0040534B" w:rsidRDefault="00FD5EE9" w:rsidP="006045A2">
      <w:pPr>
        <w:widowControl w:val="0"/>
        <w:numPr>
          <w:ilvl w:val="1"/>
          <w:numId w:val="4"/>
        </w:numPr>
        <w:spacing w:after="120"/>
        <w:rPr>
          <w:rFonts w:asciiTheme="minorHAnsi" w:hAnsiTheme="minorHAnsi"/>
          <w:snapToGrid w:val="0"/>
        </w:rPr>
      </w:pPr>
      <w:bookmarkStart w:id="101" w:name="_Ref141859748"/>
      <w:r w:rsidRPr="0040534B">
        <w:rPr>
          <w:rFonts w:asciiTheme="minorHAnsi" w:hAnsiTheme="minorHAnsi"/>
          <w:snapToGrid w:val="0"/>
        </w:rPr>
        <w:t>The PBAC recalled that in March 2022, it had recommended that the currently listed CM indication for galcanezumab should be expanded to treatment-resistant migraine, which encompassed both CM and HFEM in a single indication. Fremanezumab received a similar recommendation in November 2022. The PBAC noted galcanezumab and fremanezumab were currently only listed for CM and the expansion to treatment-resistant migraine had not progressed.</w:t>
      </w:r>
      <w:bookmarkEnd w:id="101"/>
      <w:r w:rsidRPr="0040534B">
        <w:rPr>
          <w:rFonts w:asciiTheme="minorHAnsi" w:hAnsiTheme="minorHAnsi"/>
          <w:snapToGrid w:val="0"/>
        </w:rPr>
        <w:t xml:space="preserve"> </w:t>
      </w:r>
    </w:p>
    <w:p w14:paraId="3F226BC5" w14:textId="66DEF84C"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accepted the proposed place in therapy as a </w:t>
      </w:r>
      <w:r w:rsidR="00762423" w:rsidRPr="0040534B">
        <w:rPr>
          <w:rFonts w:asciiTheme="minorHAnsi" w:hAnsiTheme="minorHAnsi"/>
          <w:snapToGrid w:val="0"/>
        </w:rPr>
        <w:t xml:space="preserve">fourth line </w:t>
      </w:r>
      <w:r w:rsidRPr="0040534B">
        <w:rPr>
          <w:rFonts w:asciiTheme="minorHAnsi" w:hAnsiTheme="minorHAnsi"/>
          <w:snapToGrid w:val="0"/>
        </w:rPr>
        <w:t xml:space="preserve">prophylactic treatment for </w:t>
      </w:r>
      <w:r w:rsidR="00531C89" w:rsidRPr="0040534B">
        <w:rPr>
          <w:rFonts w:asciiTheme="minorHAnsi" w:hAnsiTheme="minorHAnsi"/>
          <w:snapToGrid w:val="0"/>
        </w:rPr>
        <w:t>CM</w:t>
      </w:r>
      <w:r w:rsidR="00842282" w:rsidRPr="0040534B">
        <w:rPr>
          <w:rFonts w:asciiTheme="minorHAnsi" w:hAnsiTheme="minorHAnsi"/>
          <w:snapToGrid w:val="0"/>
        </w:rPr>
        <w:t xml:space="preserve"> </w:t>
      </w:r>
      <w:r w:rsidRPr="0040534B">
        <w:rPr>
          <w:rFonts w:asciiTheme="minorHAnsi" w:hAnsiTheme="minorHAnsi"/>
          <w:snapToGrid w:val="0"/>
        </w:rPr>
        <w:t xml:space="preserve">and HFEM. </w:t>
      </w:r>
    </w:p>
    <w:p w14:paraId="6D802B69" w14:textId="04456A2C"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The PBAC considered that the nomination of galcanezumab and fremanezumab as comparators was appropriate</w:t>
      </w:r>
      <w:r w:rsidR="00FD5EE9" w:rsidRPr="0040534B">
        <w:rPr>
          <w:rFonts w:asciiTheme="minorHAnsi" w:hAnsiTheme="minorHAnsi"/>
          <w:snapToGrid w:val="0"/>
        </w:rPr>
        <w:t xml:space="preserve"> (although </w:t>
      </w:r>
      <w:r w:rsidRPr="0040534B">
        <w:rPr>
          <w:rFonts w:asciiTheme="minorHAnsi" w:hAnsiTheme="minorHAnsi"/>
          <w:snapToGrid w:val="0"/>
        </w:rPr>
        <w:t>both agents are currently PBS listed for</w:t>
      </w:r>
      <w:r w:rsidR="00FD5EE9" w:rsidRPr="0040534B">
        <w:rPr>
          <w:rFonts w:asciiTheme="minorHAnsi" w:hAnsiTheme="minorHAnsi"/>
          <w:snapToGrid w:val="0"/>
        </w:rPr>
        <w:t xml:space="preserve"> CM only). </w:t>
      </w:r>
    </w:p>
    <w:p w14:paraId="6FFD1F6C" w14:textId="292CA8C0"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noted that the proposed PBS restriction for atogepant was consistent with the </w:t>
      </w:r>
      <w:r w:rsidR="00D65BD2" w:rsidRPr="0040534B">
        <w:rPr>
          <w:rFonts w:asciiTheme="minorHAnsi" w:hAnsiTheme="minorHAnsi"/>
          <w:snapToGrid w:val="0"/>
        </w:rPr>
        <w:t xml:space="preserve">restriction recommended for treatment-resistant migraine recommended for galcanezumab and fremanezumab (see paragraph </w:t>
      </w:r>
      <w:r w:rsidR="00D65BD2" w:rsidRPr="0040534B">
        <w:rPr>
          <w:rFonts w:asciiTheme="minorHAnsi" w:hAnsiTheme="minorHAnsi"/>
          <w:snapToGrid w:val="0"/>
        </w:rPr>
        <w:fldChar w:fldCharType="begin" w:fldLock="1"/>
      </w:r>
      <w:r w:rsidR="00D65BD2" w:rsidRPr="0040534B">
        <w:rPr>
          <w:rFonts w:asciiTheme="minorHAnsi" w:hAnsiTheme="minorHAnsi"/>
          <w:snapToGrid w:val="0"/>
        </w:rPr>
        <w:instrText xml:space="preserve"> REF _Ref141859748 \r \h </w:instrText>
      </w:r>
      <w:r w:rsidR="00D65BD2" w:rsidRPr="0040534B">
        <w:rPr>
          <w:rFonts w:asciiTheme="minorHAnsi" w:hAnsiTheme="minorHAnsi"/>
          <w:snapToGrid w:val="0"/>
        </w:rPr>
      </w:r>
      <w:r w:rsidR="00D65BD2" w:rsidRPr="0040534B">
        <w:rPr>
          <w:rFonts w:asciiTheme="minorHAnsi" w:hAnsiTheme="minorHAnsi"/>
          <w:snapToGrid w:val="0"/>
        </w:rPr>
        <w:fldChar w:fldCharType="separate"/>
      </w:r>
      <w:r w:rsidR="004E201F">
        <w:rPr>
          <w:rFonts w:asciiTheme="minorHAnsi" w:hAnsiTheme="minorHAnsi"/>
          <w:snapToGrid w:val="0"/>
        </w:rPr>
        <w:t>7.4</w:t>
      </w:r>
      <w:r w:rsidR="00D65BD2" w:rsidRPr="0040534B">
        <w:rPr>
          <w:rFonts w:asciiTheme="minorHAnsi" w:hAnsiTheme="minorHAnsi"/>
          <w:snapToGrid w:val="0"/>
        </w:rPr>
        <w:fldChar w:fldCharType="end"/>
      </w:r>
      <w:r w:rsidR="00D65BD2" w:rsidRPr="0040534B">
        <w:rPr>
          <w:rFonts w:asciiTheme="minorHAnsi" w:hAnsiTheme="minorHAnsi"/>
          <w:snapToGrid w:val="0"/>
        </w:rPr>
        <w:t>)</w:t>
      </w:r>
      <w:r w:rsidRPr="0040534B">
        <w:rPr>
          <w:rFonts w:asciiTheme="minorHAnsi" w:hAnsiTheme="minorHAnsi"/>
          <w:snapToGrid w:val="0"/>
        </w:rPr>
        <w:t>.</w:t>
      </w:r>
    </w:p>
    <w:p w14:paraId="11B5A674" w14:textId="0E4FE0B5"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noted that as there were no head-to-head trials comparing atogepant with either galcanezumab or fremanezumab, the submission was based on a number of indirect treatment comparisons (ITCs). </w:t>
      </w:r>
    </w:p>
    <w:p w14:paraId="6B3BB1B9" w14:textId="4759670A"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noted that for the </w:t>
      </w:r>
      <w:r w:rsidR="008F27C9" w:rsidRPr="0040534B">
        <w:rPr>
          <w:rFonts w:asciiTheme="minorHAnsi" w:hAnsiTheme="minorHAnsi"/>
          <w:snapToGrid w:val="0"/>
        </w:rPr>
        <w:t xml:space="preserve">CM </w:t>
      </w:r>
      <w:r w:rsidRPr="0040534B">
        <w:rPr>
          <w:rFonts w:asciiTheme="minorHAnsi" w:hAnsiTheme="minorHAnsi"/>
          <w:snapToGrid w:val="0"/>
        </w:rPr>
        <w:t xml:space="preserve">indication, the evidence consisted of one randomised trial (PROGRESS) comparing atogepant with placebo and </w:t>
      </w:r>
      <w:r w:rsidR="00251DFE" w:rsidRPr="0040534B">
        <w:rPr>
          <w:rFonts w:asciiTheme="minorHAnsi" w:hAnsiTheme="minorHAnsi"/>
          <w:snapToGrid w:val="0"/>
        </w:rPr>
        <w:t>five</w:t>
      </w:r>
      <w:r w:rsidRPr="0040534B">
        <w:rPr>
          <w:rFonts w:asciiTheme="minorHAnsi" w:hAnsiTheme="minorHAnsi"/>
          <w:snapToGrid w:val="0"/>
        </w:rPr>
        <w:t xml:space="preserve"> trials comparing either galcanezumab (REGAINE and CONQUER) or fremanezumab (HALO-CM, NCT03303079 and FOCUS) with placebo. The PBAC noted that there were </w:t>
      </w:r>
      <w:r w:rsidR="008F27C9" w:rsidRPr="0040534B">
        <w:rPr>
          <w:rFonts w:asciiTheme="minorHAnsi" w:hAnsiTheme="minorHAnsi"/>
          <w:snapToGrid w:val="0"/>
        </w:rPr>
        <w:t xml:space="preserve">substantial </w:t>
      </w:r>
      <w:r w:rsidRPr="0040534B">
        <w:rPr>
          <w:rFonts w:asciiTheme="minorHAnsi" w:hAnsiTheme="minorHAnsi"/>
          <w:snapToGrid w:val="0"/>
        </w:rPr>
        <w:t xml:space="preserve">differences between the trials, as outlined in paragraph </w:t>
      </w:r>
      <w:r w:rsidRPr="0040534B">
        <w:rPr>
          <w:rFonts w:asciiTheme="minorHAnsi" w:hAnsiTheme="minorHAnsi"/>
          <w:snapToGrid w:val="0"/>
        </w:rPr>
        <w:fldChar w:fldCharType="begin" w:fldLock="1"/>
      </w:r>
      <w:r w:rsidRPr="0040534B">
        <w:rPr>
          <w:rFonts w:asciiTheme="minorHAnsi" w:hAnsiTheme="minorHAnsi"/>
          <w:snapToGrid w:val="0"/>
        </w:rPr>
        <w:instrText xml:space="preserve"> REF _Ref141098133 \r \h </w:instrText>
      </w:r>
      <w:r w:rsidRPr="0040534B">
        <w:rPr>
          <w:rFonts w:asciiTheme="minorHAnsi" w:hAnsiTheme="minorHAnsi"/>
          <w:snapToGrid w:val="0"/>
        </w:rPr>
      </w:r>
      <w:r w:rsidRPr="0040534B">
        <w:rPr>
          <w:rFonts w:asciiTheme="minorHAnsi" w:hAnsiTheme="minorHAnsi"/>
          <w:snapToGrid w:val="0"/>
        </w:rPr>
        <w:fldChar w:fldCharType="separate"/>
      </w:r>
      <w:r w:rsidR="004E201F">
        <w:rPr>
          <w:rFonts w:asciiTheme="minorHAnsi" w:hAnsiTheme="minorHAnsi"/>
          <w:snapToGrid w:val="0"/>
        </w:rPr>
        <w:t>6.22</w:t>
      </w:r>
      <w:r w:rsidRPr="0040534B">
        <w:rPr>
          <w:rFonts w:asciiTheme="minorHAnsi" w:hAnsiTheme="minorHAnsi"/>
          <w:snapToGrid w:val="0"/>
        </w:rPr>
        <w:fldChar w:fldCharType="end"/>
      </w:r>
      <w:r w:rsidRPr="0040534B">
        <w:rPr>
          <w:rFonts w:asciiTheme="minorHAnsi" w:hAnsiTheme="minorHAnsi"/>
          <w:snapToGrid w:val="0"/>
        </w:rPr>
        <w:t xml:space="preserve">, including the </w:t>
      </w:r>
      <w:r w:rsidR="008D6B7B" w:rsidRPr="0040534B">
        <w:rPr>
          <w:rFonts w:asciiTheme="minorHAnsi" w:hAnsiTheme="minorHAnsi"/>
          <w:snapToGrid w:val="0"/>
        </w:rPr>
        <w:t xml:space="preserve">mean </w:t>
      </w:r>
      <w:r w:rsidRPr="0040534B">
        <w:rPr>
          <w:rFonts w:asciiTheme="minorHAnsi" w:hAnsiTheme="minorHAnsi"/>
          <w:snapToGrid w:val="0"/>
        </w:rPr>
        <w:t xml:space="preserve">number of prior </w:t>
      </w:r>
      <w:r w:rsidR="007B5B63" w:rsidRPr="0040534B">
        <w:rPr>
          <w:rFonts w:asciiTheme="minorHAnsi" w:hAnsiTheme="minorHAnsi"/>
          <w:snapToGrid w:val="0"/>
        </w:rPr>
        <w:t>prophylactic</w:t>
      </w:r>
      <w:r w:rsidRPr="0040534B">
        <w:rPr>
          <w:rFonts w:asciiTheme="minorHAnsi" w:hAnsiTheme="minorHAnsi"/>
          <w:snapToGrid w:val="0"/>
        </w:rPr>
        <w:t xml:space="preserve"> medications trialled (1.5 to 1.6 in the atogepant trial compared to 3.8 to </w:t>
      </w:r>
      <w:r w:rsidRPr="0040534B">
        <w:rPr>
          <w:rFonts w:asciiTheme="minorHAnsi" w:hAnsiTheme="minorHAnsi"/>
          <w:snapToGrid w:val="0"/>
        </w:rPr>
        <w:lastRenderedPageBreak/>
        <w:t>4.0 in the galcanezumab and fremanezumab trials). The PBAC noted that there were applicability issues with the PROGRESS trial as only five</w:t>
      </w:r>
      <w:r w:rsidR="008D6B7B" w:rsidRPr="0040534B">
        <w:rPr>
          <w:rFonts w:asciiTheme="minorHAnsi" w:hAnsiTheme="minorHAnsi"/>
          <w:snapToGrid w:val="0"/>
        </w:rPr>
        <w:t xml:space="preserve"> enrolled</w:t>
      </w:r>
      <w:r w:rsidRPr="0040534B">
        <w:rPr>
          <w:rFonts w:asciiTheme="minorHAnsi" w:hAnsiTheme="minorHAnsi"/>
          <w:snapToGrid w:val="0"/>
        </w:rPr>
        <w:t xml:space="preserve"> patients </w:t>
      </w:r>
      <w:r w:rsidR="008D6B7B" w:rsidRPr="0040534B">
        <w:rPr>
          <w:rFonts w:asciiTheme="minorHAnsi" w:hAnsiTheme="minorHAnsi"/>
          <w:snapToGrid w:val="0"/>
        </w:rPr>
        <w:t>met</w:t>
      </w:r>
      <w:r w:rsidRPr="0040534B">
        <w:rPr>
          <w:rFonts w:asciiTheme="minorHAnsi" w:hAnsiTheme="minorHAnsi"/>
          <w:snapToGrid w:val="0"/>
        </w:rPr>
        <w:t xml:space="preserve"> the proposed PBS restriction</w:t>
      </w:r>
      <w:r w:rsidR="008D6B7B" w:rsidRPr="0040534B">
        <w:rPr>
          <w:rFonts w:asciiTheme="minorHAnsi" w:hAnsiTheme="minorHAnsi"/>
          <w:snapToGrid w:val="0"/>
        </w:rPr>
        <w:t xml:space="preserve"> criteria</w:t>
      </w:r>
      <w:r w:rsidRPr="0040534B">
        <w:rPr>
          <w:rFonts w:asciiTheme="minorHAnsi" w:hAnsiTheme="minorHAnsi"/>
          <w:snapToGrid w:val="0"/>
        </w:rPr>
        <w:t xml:space="preserve"> and had received three or more prior prophylactic treatments.</w:t>
      </w:r>
    </w:p>
    <w:p w14:paraId="36E231C9" w14:textId="727CE875"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noted that for the HFEM indication, the evidence consisted of two randomised trials comparing atogepant with placebo (ADVANCE and NCT02848326) and </w:t>
      </w:r>
      <w:r w:rsidR="00A90044" w:rsidRPr="0040534B">
        <w:rPr>
          <w:rFonts w:asciiTheme="minorHAnsi" w:hAnsiTheme="minorHAnsi"/>
          <w:snapToGrid w:val="0"/>
        </w:rPr>
        <w:t xml:space="preserve">eight </w:t>
      </w:r>
      <w:r w:rsidRPr="0040534B">
        <w:rPr>
          <w:rFonts w:asciiTheme="minorHAnsi" w:hAnsiTheme="minorHAnsi"/>
          <w:snapToGrid w:val="0"/>
        </w:rPr>
        <w:t xml:space="preserve">trials comparing either galcanezumab (EVOLVE-1, EVOLVE-2, PERSIST, NCT02959177 and CONQUER) or fremanezumab (HALO-EM, NCT03303092 and FOCUS) with placebo. The PBAC noted that there were </w:t>
      </w:r>
      <w:r w:rsidR="008F27C9" w:rsidRPr="0040534B">
        <w:rPr>
          <w:rFonts w:asciiTheme="minorHAnsi" w:hAnsiTheme="minorHAnsi"/>
          <w:snapToGrid w:val="0"/>
        </w:rPr>
        <w:t xml:space="preserve">substantial </w:t>
      </w:r>
      <w:r w:rsidRPr="0040534B">
        <w:rPr>
          <w:rFonts w:asciiTheme="minorHAnsi" w:hAnsiTheme="minorHAnsi"/>
          <w:snapToGrid w:val="0"/>
        </w:rPr>
        <w:t xml:space="preserve">differences between the trials, as outlined in paragraph </w:t>
      </w:r>
      <w:r w:rsidRPr="0040534B">
        <w:rPr>
          <w:rFonts w:asciiTheme="minorHAnsi" w:hAnsiTheme="minorHAnsi"/>
          <w:snapToGrid w:val="0"/>
        </w:rPr>
        <w:fldChar w:fldCharType="begin" w:fldLock="1"/>
      </w:r>
      <w:r w:rsidRPr="0040534B">
        <w:rPr>
          <w:rFonts w:asciiTheme="minorHAnsi" w:hAnsiTheme="minorHAnsi"/>
          <w:snapToGrid w:val="0"/>
        </w:rPr>
        <w:instrText xml:space="preserve"> REF _Ref141106266 \r \h </w:instrText>
      </w:r>
      <w:r w:rsidRPr="0040534B">
        <w:rPr>
          <w:rFonts w:asciiTheme="minorHAnsi" w:hAnsiTheme="minorHAnsi"/>
          <w:snapToGrid w:val="0"/>
        </w:rPr>
      </w:r>
      <w:r w:rsidRPr="0040534B">
        <w:rPr>
          <w:rFonts w:asciiTheme="minorHAnsi" w:hAnsiTheme="minorHAnsi"/>
          <w:snapToGrid w:val="0"/>
        </w:rPr>
        <w:fldChar w:fldCharType="separate"/>
      </w:r>
      <w:r w:rsidR="004E201F">
        <w:rPr>
          <w:rFonts w:asciiTheme="minorHAnsi" w:hAnsiTheme="minorHAnsi"/>
          <w:snapToGrid w:val="0"/>
        </w:rPr>
        <w:t>6.23</w:t>
      </w:r>
      <w:r w:rsidRPr="0040534B">
        <w:rPr>
          <w:rFonts w:asciiTheme="minorHAnsi" w:hAnsiTheme="minorHAnsi"/>
          <w:snapToGrid w:val="0"/>
        </w:rPr>
        <w:fldChar w:fldCharType="end"/>
      </w:r>
      <w:r w:rsidRPr="0040534B">
        <w:rPr>
          <w:rFonts w:asciiTheme="minorHAnsi" w:hAnsiTheme="minorHAnsi"/>
          <w:snapToGrid w:val="0"/>
        </w:rPr>
        <w:t xml:space="preserve">, including differences in the proportions of patients who had failed prior </w:t>
      </w:r>
      <w:r w:rsidR="007B5B63" w:rsidRPr="0040534B">
        <w:rPr>
          <w:rFonts w:asciiTheme="minorHAnsi" w:hAnsiTheme="minorHAnsi"/>
          <w:snapToGrid w:val="0"/>
        </w:rPr>
        <w:t>prophylactic</w:t>
      </w:r>
      <w:r w:rsidRPr="0040534B">
        <w:rPr>
          <w:rFonts w:asciiTheme="minorHAnsi" w:hAnsiTheme="minorHAnsi"/>
          <w:snapToGrid w:val="0"/>
        </w:rPr>
        <w:t xml:space="preserve"> treatments and the </w:t>
      </w:r>
      <w:r w:rsidR="008F27C9" w:rsidRPr="0040534B">
        <w:rPr>
          <w:rFonts w:asciiTheme="minorHAnsi" w:hAnsiTheme="minorHAnsi"/>
          <w:snapToGrid w:val="0"/>
        </w:rPr>
        <w:t xml:space="preserve">mean </w:t>
      </w:r>
      <w:r w:rsidRPr="0040534B">
        <w:rPr>
          <w:rFonts w:asciiTheme="minorHAnsi" w:hAnsiTheme="minorHAnsi"/>
          <w:snapToGrid w:val="0"/>
        </w:rPr>
        <w:t>number of migraine days per month. Further, the PBAC noted that no evidence was presented for the HFEM population</w:t>
      </w:r>
      <w:r w:rsidR="008F27C9" w:rsidRPr="0040534B">
        <w:rPr>
          <w:rFonts w:asciiTheme="minorHAnsi" w:hAnsiTheme="minorHAnsi"/>
          <w:snapToGrid w:val="0"/>
        </w:rPr>
        <w:t>.</w:t>
      </w:r>
      <w:r w:rsidRPr="0040534B">
        <w:rPr>
          <w:rFonts w:asciiTheme="minorHAnsi" w:hAnsiTheme="minorHAnsi"/>
          <w:snapToGrid w:val="0"/>
        </w:rPr>
        <w:t xml:space="preserve"> </w:t>
      </w:r>
    </w:p>
    <w:p w14:paraId="0F307B67" w14:textId="744C47F6" w:rsidR="006C3762" w:rsidRPr="0040534B" w:rsidRDefault="007B5B63"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For CM, the PBAC noted that the indirect comparison results between atogepant and galcanezumab demonstrated no statistical differences in terms of change in the mean number of monthly migraine days and proportion of patients with a </w:t>
      </w:r>
      <w:r w:rsidRPr="0040534B">
        <w:rPr>
          <w:rFonts w:asciiTheme="minorHAnsi" w:hAnsiTheme="minorHAnsi" w:cstheme="minorHAnsi"/>
          <w:snapToGrid w:val="0"/>
        </w:rPr>
        <w:t>≥</w:t>
      </w:r>
      <w:r w:rsidRPr="0040534B">
        <w:rPr>
          <w:rFonts w:asciiTheme="minorHAnsi" w:hAnsiTheme="minorHAnsi"/>
          <w:snapToGrid w:val="0"/>
        </w:rPr>
        <w:t xml:space="preserve"> 50% reduction in monthly migraine days. For the comparisons with fremanezumab, the PBAC noted that although the results for change in the mean number of monthly migraine days were not statistically different, the results for the proportion of patients with a </w:t>
      </w:r>
      <w:r w:rsidRPr="0040534B">
        <w:rPr>
          <w:rFonts w:asciiTheme="minorHAnsi" w:hAnsiTheme="minorHAnsi" w:cstheme="minorHAnsi"/>
          <w:snapToGrid w:val="0"/>
        </w:rPr>
        <w:t>≥</w:t>
      </w:r>
      <w:r w:rsidRPr="0040534B">
        <w:rPr>
          <w:rFonts w:asciiTheme="minorHAnsi" w:hAnsiTheme="minorHAnsi"/>
          <w:snapToGrid w:val="0"/>
        </w:rPr>
        <w:t xml:space="preserve"> 50% reduction in monthly migraine days statistically favoured fremanezumab. </w:t>
      </w:r>
      <w:r w:rsidR="006C3762" w:rsidRPr="0040534B">
        <w:rPr>
          <w:rFonts w:asciiTheme="minorHAnsi" w:hAnsiTheme="minorHAnsi"/>
          <w:snapToGrid w:val="0"/>
        </w:rPr>
        <w:t xml:space="preserve">For HFEM, the PBAC noted that the indirect comparison results demonstrated no statistical differences between atogepant and galcanezumab or fremanezumab in terms of change in the mean number of monthly migraine days and </w:t>
      </w:r>
      <w:r w:rsidR="00237C42" w:rsidRPr="0040534B">
        <w:rPr>
          <w:rFonts w:asciiTheme="minorHAnsi" w:hAnsiTheme="minorHAnsi"/>
          <w:snapToGrid w:val="0"/>
        </w:rPr>
        <w:t xml:space="preserve">the </w:t>
      </w:r>
      <w:r w:rsidR="002A4C4D" w:rsidRPr="0040534B">
        <w:rPr>
          <w:rFonts w:asciiTheme="minorHAnsi" w:hAnsiTheme="minorHAnsi"/>
          <w:snapToGrid w:val="0"/>
        </w:rPr>
        <w:t xml:space="preserve">proportion of patients with a </w:t>
      </w:r>
      <w:r w:rsidR="006C3762" w:rsidRPr="0040534B">
        <w:rPr>
          <w:rFonts w:asciiTheme="minorHAnsi" w:hAnsiTheme="minorHAnsi" w:cstheme="minorHAnsi"/>
          <w:snapToGrid w:val="0"/>
        </w:rPr>
        <w:t>≥</w:t>
      </w:r>
      <w:r w:rsidR="006C3762" w:rsidRPr="0040534B">
        <w:rPr>
          <w:rFonts w:asciiTheme="minorHAnsi" w:hAnsiTheme="minorHAnsi"/>
          <w:snapToGrid w:val="0"/>
        </w:rPr>
        <w:t xml:space="preserve"> 50% reduction in monthly migraine days</w:t>
      </w:r>
      <w:r w:rsidRPr="0040534B">
        <w:rPr>
          <w:rFonts w:asciiTheme="minorHAnsi" w:hAnsiTheme="minorHAnsi"/>
          <w:snapToGrid w:val="0"/>
        </w:rPr>
        <w:t xml:space="preserve">. The PBAC noted that </w:t>
      </w:r>
      <w:r w:rsidR="006C3762" w:rsidRPr="0040534B">
        <w:rPr>
          <w:rFonts w:asciiTheme="minorHAnsi" w:hAnsiTheme="minorHAnsi"/>
          <w:snapToGrid w:val="0"/>
        </w:rPr>
        <w:t>the point estimates for both outcomes consistently favoured the comparators.</w:t>
      </w:r>
      <w:r w:rsidR="002A4C4D" w:rsidRPr="0040534B">
        <w:rPr>
          <w:rFonts w:asciiTheme="minorHAnsi" w:hAnsiTheme="minorHAnsi"/>
          <w:snapToGrid w:val="0"/>
        </w:rPr>
        <w:t xml:space="preserve"> </w:t>
      </w:r>
      <w:r w:rsidR="001A3CB4" w:rsidRPr="0040534B">
        <w:rPr>
          <w:rFonts w:asciiTheme="minorHAnsi" w:hAnsiTheme="minorHAnsi"/>
          <w:snapToGrid w:val="0"/>
        </w:rPr>
        <w:t>T</w:t>
      </w:r>
      <w:r w:rsidR="006C3762" w:rsidRPr="0040534B">
        <w:rPr>
          <w:rFonts w:asciiTheme="minorHAnsi" w:hAnsiTheme="minorHAnsi"/>
          <w:snapToGrid w:val="0"/>
        </w:rPr>
        <w:t xml:space="preserve">he PBAC noted that </w:t>
      </w:r>
      <w:r w:rsidRPr="0040534B">
        <w:rPr>
          <w:rFonts w:asciiTheme="minorHAnsi" w:hAnsiTheme="minorHAnsi"/>
          <w:snapToGrid w:val="0"/>
        </w:rPr>
        <w:t xml:space="preserve">the </w:t>
      </w:r>
      <w:r w:rsidR="00237C42" w:rsidRPr="0040534B">
        <w:rPr>
          <w:rFonts w:asciiTheme="minorHAnsi" w:hAnsiTheme="minorHAnsi"/>
          <w:snapToGrid w:val="0"/>
        </w:rPr>
        <w:t xml:space="preserve">upper 95% confidence interval exceeded the </w:t>
      </w:r>
      <w:r w:rsidRPr="0040534B">
        <w:rPr>
          <w:rFonts w:asciiTheme="minorHAnsi" w:hAnsiTheme="minorHAnsi"/>
          <w:snapToGrid w:val="0"/>
        </w:rPr>
        <w:t xml:space="preserve">proposed non-inferiority margin of 2 days for the change from baseline in the mean number of monthly migraine days </w:t>
      </w:r>
      <w:r w:rsidR="001A3CB4" w:rsidRPr="0040534B">
        <w:rPr>
          <w:rFonts w:asciiTheme="minorHAnsi" w:hAnsiTheme="minorHAnsi"/>
          <w:snapToGrid w:val="0"/>
        </w:rPr>
        <w:t xml:space="preserve"> </w:t>
      </w:r>
      <w:r w:rsidR="00237C42" w:rsidRPr="0040534B">
        <w:rPr>
          <w:rFonts w:asciiTheme="minorHAnsi" w:hAnsiTheme="minorHAnsi"/>
          <w:snapToGrid w:val="0"/>
        </w:rPr>
        <w:t xml:space="preserve">for the </w:t>
      </w:r>
      <w:r w:rsidR="001A3CB4" w:rsidRPr="0040534B">
        <w:rPr>
          <w:rFonts w:asciiTheme="minorHAnsi" w:hAnsiTheme="minorHAnsi"/>
          <w:snapToGrid w:val="0"/>
        </w:rPr>
        <w:t>atogepant vs galcanezumab and fremanezumab</w:t>
      </w:r>
      <w:r w:rsidR="00237C42" w:rsidRPr="0040534B">
        <w:rPr>
          <w:rFonts w:asciiTheme="minorHAnsi" w:hAnsiTheme="minorHAnsi"/>
          <w:snapToGrid w:val="0"/>
        </w:rPr>
        <w:t xml:space="preserve"> comparisons for CM and HFEM</w:t>
      </w:r>
      <w:r w:rsidRPr="0040534B">
        <w:rPr>
          <w:rFonts w:asciiTheme="minorHAnsi" w:hAnsiTheme="minorHAnsi"/>
          <w:snapToGrid w:val="0"/>
        </w:rPr>
        <w:t xml:space="preserve">, further </w:t>
      </w:r>
      <w:r w:rsidR="006C3762" w:rsidRPr="0040534B">
        <w:rPr>
          <w:rFonts w:asciiTheme="minorHAnsi" w:hAnsiTheme="minorHAnsi"/>
          <w:snapToGrid w:val="0"/>
        </w:rPr>
        <w:t>suggesting that atogepant was potentially inferior.</w:t>
      </w:r>
      <w:r w:rsidR="001730D3" w:rsidRPr="0040534B">
        <w:rPr>
          <w:rFonts w:asciiTheme="minorHAnsi" w:hAnsiTheme="minorHAnsi"/>
          <w:snapToGrid w:val="0"/>
        </w:rPr>
        <w:t xml:space="preserve"> </w:t>
      </w:r>
    </w:p>
    <w:p w14:paraId="3AEADEC2" w14:textId="69FCFB3F"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The PBAC considered that based on the issues outlined above, the claim that atogepant was non-inferior in terms of efficacy compared to galcanezumab and fremanezumab </w:t>
      </w:r>
      <w:r w:rsidR="00C226AD" w:rsidRPr="0040534B">
        <w:rPr>
          <w:rFonts w:asciiTheme="minorHAnsi" w:hAnsiTheme="minorHAnsi"/>
          <w:snapToGrid w:val="0"/>
        </w:rPr>
        <w:t>was</w:t>
      </w:r>
      <w:r w:rsidRPr="0040534B">
        <w:rPr>
          <w:rFonts w:asciiTheme="minorHAnsi" w:hAnsiTheme="minorHAnsi"/>
          <w:snapToGrid w:val="0"/>
        </w:rPr>
        <w:t xml:space="preserve"> not</w:t>
      </w:r>
      <w:r w:rsidR="00A66E17" w:rsidRPr="0040534B">
        <w:rPr>
          <w:rFonts w:asciiTheme="minorHAnsi" w:hAnsiTheme="minorHAnsi"/>
          <w:snapToGrid w:val="0"/>
        </w:rPr>
        <w:t xml:space="preserve"> adequately</w:t>
      </w:r>
      <w:r w:rsidRPr="0040534B">
        <w:rPr>
          <w:rFonts w:asciiTheme="minorHAnsi" w:hAnsiTheme="minorHAnsi"/>
          <w:snapToGrid w:val="0"/>
        </w:rPr>
        <w:t xml:space="preserve"> supported.</w:t>
      </w:r>
    </w:p>
    <w:p w14:paraId="318B8CBB" w14:textId="6F908065" w:rsidR="006C3762" w:rsidRPr="0040534B" w:rsidRDefault="006C3762" w:rsidP="006045A2">
      <w:pPr>
        <w:widowControl w:val="0"/>
        <w:numPr>
          <w:ilvl w:val="1"/>
          <w:numId w:val="4"/>
        </w:numPr>
        <w:spacing w:after="120"/>
        <w:rPr>
          <w:rFonts w:asciiTheme="minorHAnsi" w:hAnsiTheme="minorHAnsi"/>
          <w:snapToGrid w:val="0"/>
        </w:rPr>
      </w:pPr>
      <w:r w:rsidRPr="0040534B">
        <w:rPr>
          <w:rFonts w:asciiTheme="minorHAnsi" w:hAnsiTheme="minorHAnsi"/>
          <w:snapToGrid w:val="0"/>
        </w:rPr>
        <w:t xml:space="preserve">In terms of safety, the PBAC </w:t>
      </w:r>
      <w:r w:rsidR="001730D3" w:rsidRPr="0040534B">
        <w:rPr>
          <w:rFonts w:asciiTheme="minorHAnsi" w:hAnsiTheme="minorHAnsi"/>
          <w:snapToGrid w:val="0"/>
        </w:rPr>
        <w:t xml:space="preserve">noted that atogepant was associated with mild to moderate gastrointestinal events and galcanezumab and fremanezumab were associated with injection site reactions and erythema. On balance, the PBAC </w:t>
      </w:r>
      <w:r w:rsidRPr="0040534B">
        <w:rPr>
          <w:rFonts w:asciiTheme="minorHAnsi" w:hAnsiTheme="minorHAnsi"/>
          <w:snapToGrid w:val="0"/>
        </w:rPr>
        <w:t>considered that atogepant had a similar safety profile to galcanezumab and fremanezumab.</w:t>
      </w:r>
    </w:p>
    <w:p w14:paraId="2C031929" w14:textId="473BD6F0" w:rsidR="006C3762" w:rsidRPr="0040534B" w:rsidRDefault="006C3762" w:rsidP="006045A2">
      <w:pPr>
        <w:widowControl w:val="0"/>
        <w:numPr>
          <w:ilvl w:val="1"/>
          <w:numId w:val="4"/>
        </w:numPr>
        <w:spacing w:after="120"/>
        <w:rPr>
          <w:rFonts w:asciiTheme="minorHAnsi" w:hAnsiTheme="minorHAnsi"/>
          <w:snapToGrid w:val="0"/>
        </w:rPr>
      </w:pPr>
      <w:bookmarkStart w:id="102" w:name="_Ref141172504"/>
      <w:r w:rsidRPr="0040534B">
        <w:rPr>
          <w:rFonts w:asciiTheme="minorHAnsi" w:hAnsiTheme="minorHAnsi"/>
          <w:snapToGrid w:val="0"/>
        </w:rPr>
        <w:t>The PBAC noted that the submission presented a CMA that compared atogepant to galcanezumab.</w:t>
      </w:r>
      <w:r w:rsidR="001730D3" w:rsidRPr="0040534B">
        <w:rPr>
          <w:rFonts w:asciiTheme="minorHAnsi" w:hAnsiTheme="minorHAnsi"/>
          <w:snapToGrid w:val="0"/>
        </w:rPr>
        <w:t xml:space="preserve"> The PBAC considered the structure of the CMA was reasonable but</w:t>
      </w:r>
      <w:r w:rsidR="00D6258E" w:rsidRPr="0040534B">
        <w:rPr>
          <w:rFonts w:asciiTheme="minorHAnsi" w:hAnsiTheme="minorHAnsi"/>
          <w:snapToGrid w:val="0"/>
        </w:rPr>
        <w:t xml:space="preserve"> </w:t>
      </w:r>
      <w:r w:rsidR="001730D3" w:rsidRPr="0040534B">
        <w:rPr>
          <w:rFonts w:asciiTheme="minorHAnsi" w:hAnsiTheme="minorHAnsi"/>
          <w:snapToGrid w:val="0"/>
        </w:rPr>
        <w:t xml:space="preserve">agreed with ESC that the assumption that 10% of patients would require assistance with galcanezumab administration was </w:t>
      </w:r>
      <w:r w:rsidR="00DD3C5F">
        <w:rPr>
          <w:rFonts w:asciiTheme="minorHAnsi" w:hAnsiTheme="minorHAnsi"/>
          <w:snapToGrid w:val="0"/>
        </w:rPr>
        <w:t xml:space="preserve">poorly justified, </w:t>
      </w:r>
      <w:r w:rsidR="001730D3" w:rsidRPr="0040534B">
        <w:rPr>
          <w:rFonts w:asciiTheme="minorHAnsi" w:hAnsiTheme="minorHAnsi"/>
          <w:snapToGrid w:val="0"/>
        </w:rPr>
        <w:t>likely</w:t>
      </w:r>
      <w:r w:rsidR="004920B6">
        <w:rPr>
          <w:rFonts w:asciiTheme="minorHAnsi" w:hAnsiTheme="minorHAnsi"/>
          <w:snapToGrid w:val="0"/>
        </w:rPr>
        <w:t xml:space="preserve"> </w:t>
      </w:r>
      <w:r w:rsidR="001730D3" w:rsidRPr="0040534B">
        <w:rPr>
          <w:rFonts w:asciiTheme="minorHAnsi" w:hAnsiTheme="minorHAnsi"/>
          <w:snapToGrid w:val="0"/>
        </w:rPr>
        <w:t xml:space="preserve">overestimated and </w:t>
      </w:r>
      <w:r w:rsidR="001730D3" w:rsidRPr="0040534B">
        <w:rPr>
          <w:rFonts w:asciiTheme="minorHAnsi" w:hAnsiTheme="minorHAnsi"/>
          <w:snapToGrid w:val="0"/>
        </w:rPr>
        <w:lastRenderedPageBreak/>
        <w:t>would decrease over the duration of treatment.</w:t>
      </w:r>
      <w:bookmarkEnd w:id="102"/>
    </w:p>
    <w:p w14:paraId="7477A269" w14:textId="0263B337" w:rsidR="001730D3" w:rsidRPr="0040534B" w:rsidRDefault="001730D3" w:rsidP="006045A2">
      <w:pPr>
        <w:widowControl w:val="0"/>
        <w:numPr>
          <w:ilvl w:val="1"/>
          <w:numId w:val="4"/>
        </w:numPr>
        <w:spacing w:after="120"/>
        <w:rPr>
          <w:rFonts w:asciiTheme="minorHAnsi" w:hAnsiTheme="minorHAnsi"/>
          <w:snapToGrid w:val="0"/>
        </w:rPr>
      </w:pPr>
      <w:bookmarkStart w:id="103" w:name="_Ref141172500"/>
      <w:r w:rsidRPr="0040534B">
        <w:rPr>
          <w:rFonts w:asciiTheme="minorHAnsi" w:hAnsiTheme="minorHAnsi"/>
          <w:snapToGrid w:val="0"/>
        </w:rPr>
        <w:t xml:space="preserve">The PBAC considered that the utilisation estimates </w:t>
      </w:r>
      <w:r w:rsidR="003E5F9F" w:rsidRPr="0040534B">
        <w:rPr>
          <w:rFonts w:asciiTheme="minorHAnsi" w:hAnsiTheme="minorHAnsi"/>
          <w:snapToGrid w:val="0"/>
        </w:rPr>
        <w:t xml:space="preserve">presented in </w:t>
      </w:r>
      <w:r w:rsidR="003E5F9F" w:rsidRPr="0040534B">
        <w:rPr>
          <w:rFonts w:asciiTheme="minorHAnsi" w:hAnsiTheme="minorHAnsi"/>
          <w:snapToGrid w:val="0"/>
        </w:rPr>
        <w:fldChar w:fldCharType="begin" w:fldLock="1"/>
      </w:r>
      <w:r w:rsidR="003E5F9F" w:rsidRPr="0040534B">
        <w:rPr>
          <w:rFonts w:asciiTheme="minorHAnsi" w:hAnsiTheme="minorHAnsi"/>
          <w:snapToGrid w:val="0"/>
        </w:rPr>
        <w:instrText xml:space="preserve"> REF _Ref104805295 \h </w:instrText>
      </w:r>
      <w:r w:rsidR="003E5F9F" w:rsidRPr="0040534B">
        <w:rPr>
          <w:rFonts w:asciiTheme="minorHAnsi" w:hAnsiTheme="minorHAnsi"/>
          <w:snapToGrid w:val="0"/>
        </w:rPr>
      </w:r>
      <w:r w:rsidR="003E5F9F" w:rsidRPr="0040534B">
        <w:rPr>
          <w:rFonts w:asciiTheme="minorHAnsi" w:hAnsiTheme="minorHAnsi"/>
          <w:snapToGrid w:val="0"/>
        </w:rPr>
        <w:fldChar w:fldCharType="separate"/>
      </w:r>
      <w:r w:rsidR="004E201F" w:rsidRPr="0040534B">
        <w:t xml:space="preserve">Table </w:t>
      </w:r>
      <w:r w:rsidR="004E201F">
        <w:rPr>
          <w:noProof/>
        </w:rPr>
        <w:t>18</w:t>
      </w:r>
      <w:r w:rsidR="003E5F9F" w:rsidRPr="0040534B">
        <w:rPr>
          <w:rFonts w:asciiTheme="minorHAnsi" w:hAnsiTheme="minorHAnsi"/>
          <w:snapToGrid w:val="0"/>
        </w:rPr>
        <w:fldChar w:fldCharType="end"/>
      </w:r>
      <w:r w:rsidR="003E5F9F" w:rsidRPr="0040534B">
        <w:rPr>
          <w:rFonts w:asciiTheme="minorHAnsi" w:hAnsiTheme="minorHAnsi"/>
          <w:snapToGrid w:val="0"/>
        </w:rPr>
        <w:t xml:space="preserve"> </w:t>
      </w:r>
      <w:r w:rsidRPr="0040534B">
        <w:rPr>
          <w:rFonts w:asciiTheme="minorHAnsi" w:hAnsiTheme="minorHAnsi"/>
          <w:snapToGrid w:val="0"/>
        </w:rPr>
        <w:t>were</w:t>
      </w:r>
      <w:r w:rsidR="00E94E77">
        <w:rPr>
          <w:rFonts w:asciiTheme="minorHAnsi" w:hAnsiTheme="minorHAnsi"/>
          <w:snapToGrid w:val="0"/>
        </w:rPr>
        <w:t xml:space="preserve"> not adequately</w:t>
      </w:r>
      <w:r w:rsidR="004920B6">
        <w:rPr>
          <w:rFonts w:asciiTheme="minorHAnsi" w:hAnsiTheme="minorHAnsi"/>
          <w:snapToGrid w:val="0"/>
        </w:rPr>
        <w:t xml:space="preserve"> </w:t>
      </w:r>
      <w:r w:rsidR="00E94E77">
        <w:rPr>
          <w:rFonts w:asciiTheme="minorHAnsi" w:hAnsiTheme="minorHAnsi"/>
          <w:snapToGrid w:val="0"/>
        </w:rPr>
        <w:t>supported</w:t>
      </w:r>
      <w:r w:rsidRPr="0040534B">
        <w:rPr>
          <w:rFonts w:asciiTheme="minorHAnsi" w:hAnsiTheme="minorHAnsi"/>
          <w:snapToGrid w:val="0"/>
        </w:rPr>
        <w:t xml:space="preserve">. The PBAC noted that the assumptions regarding market growth were highly uncertain and that the uptake rates </w:t>
      </w:r>
      <w:r w:rsidR="00A66E17" w:rsidRPr="0040534B">
        <w:rPr>
          <w:rFonts w:asciiTheme="minorHAnsi" w:hAnsiTheme="minorHAnsi"/>
          <w:snapToGrid w:val="0"/>
        </w:rPr>
        <w:t>given</w:t>
      </w:r>
      <w:r w:rsidRPr="0040534B">
        <w:rPr>
          <w:rFonts w:asciiTheme="minorHAnsi" w:hAnsiTheme="minorHAnsi"/>
          <w:snapToGrid w:val="0"/>
        </w:rPr>
        <w:t xml:space="preserve"> oral </w:t>
      </w:r>
      <w:r w:rsidR="00A66E17" w:rsidRPr="0040534B">
        <w:rPr>
          <w:rFonts w:asciiTheme="minorHAnsi" w:hAnsiTheme="minorHAnsi"/>
          <w:snapToGrid w:val="0"/>
        </w:rPr>
        <w:t>administration</w:t>
      </w:r>
      <w:r w:rsidRPr="0040534B">
        <w:rPr>
          <w:rFonts w:asciiTheme="minorHAnsi" w:hAnsiTheme="minorHAnsi"/>
          <w:snapToGrid w:val="0"/>
        </w:rPr>
        <w:t xml:space="preserve"> were likely underestimated. Further, the PBAC noted that the estimates </w:t>
      </w:r>
      <w:r w:rsidR="003E5F9F" w:rsidRPr="0040534B">
        <w:rPr>
          <w:rFonts w:asciiTheme="minorHAnsi" w:hAnsiTheme="minorHAnsi"/>
          <w:snapToGrid w:val="0"/>
        </w:rPr>
        <w:t xml:space="preserve">presented in </w:t>
      </w:r>
      <w:r w:rsidR="003E5F9F" w:rsidRPr="0040534B">
        <w:rPr>
          <w:rFonts w:asciiTheme="minorHAnsi" w:hAnsiTheme="minorHAnsi"/>
          <w:snapToGrid w:val="0"/>
        </w:rPr>
        <w:fldChar w:fldCharType="begin" w:fldLock="1"/>
      </w:r>
      <w:r w:rsidR="003E5F9F" w:rsidRPr="0040534B">
        <w:rPr>
          <w:rFonts w:asciiTheme="minorHAnsi" w:hAnsiTheme="minorHAnsi"/>
          <w:snapToGrid w:val="0"/>
        </w:rPr>
        <w:instrText xml:space="preserve"> REF _Ref104805295 \h </w:instrText>
      </w:r>
      <w:r w:rsidR="003E5F9F" w:rsidRPr="0040534B">
        <w:rPr>
          <w:rFonts w:asciiTheme="minorHAnsi" w:hAnsiTheme="minorHAnsi"/>
          <w:snapToGrid w:val="0"/>
        </w:rPr>
      </w:r>
      <w:r w:rsidR="003E5F9F" w:rsidRPr="0040534B">
        <w:rPr>
          <w:rFonts w:asciiTheme="minorHAnsi" w:hAnsiTheme="minorHAnsi"/>
          <w:snapToGrid w:val="0"/>
        </w:rPr>
        <w:fldChar w:fldCharType="separate"/>
      </w:r>
      <w:r w:rsidR="004E201F" w:rsidRPr="0040534B">
        <w:t xml:space="preserve">Table </w:t>
      </w:r>
      <w:r w:rsidR="004E201F">
        <w:rPr>
          <w:noProof/>
        </w:rPr>
        <w:t>18</w:t>
      </w:r>
      <w:r w:rsidR="003E5F9F" w:rsidRPr="0040534B">
        <w:rPr>
          <w:rFonts w:asciiTheme="minorHAnsi" w:hAnsiTheme="minorHAnsi"/>
          <w:snapToGrid w:val="0"/>
        </w:rPr>
        <w:fldChar w:fldCharType="end"/>
      </w:r>
      <w:r w:rsidR="003E5F9F" w:rsidRPr="0040534B">
        <w:rPr>
          <w:rFonts w:asciiTheme="minorHAnsi" w:hAnsiTheme="minorHAnsi"/>
          <w:snapToGrid w:val="0"/>
        </w:rPr>
        <w:t xml:space="preserve"> </w:t>
      </w:r>
      <w:r w:rsidRPr="0040534B">
        <w:rPr>
          <w:rFonts w:asciiTheme="minorHAnsi" w:hAnsiTheme="minorHAnsi"/>
          <w:snapToGrid w:val="0"/>
        </w:rPr>
        <w:t>did not include the potential additional use associated with sequential use or treatment of patients who were needle phobic or unsuitable for injections</w:t>
      </w:r>
      <w:r w:rsidR="007B5B63" w:rsidRPr="0040534B">
        <w:rPr>
          <w:rFonts w:asciiTheme="minorHAnsi" w:hAnsiTheme="minorHAnsi"/>
          <w:snapToGrid w:val="0"/>
        </w:rPr>
        <w:t xml:space="preserve">; however, these patients were included in the proposed RSA (see paragraph </w:t>
      </w:r>
      <w:r w:rsidR="007B5B63" w:rsidRPr="0040534B">
        <w:rPr>
          <w:rFonts w:asciiTheme="minorHAnsi" w:hAnsiTheme="minorHAnsi"/>
          <w:snapToGrid w:val="0"/>
        </w:rPr>
        <w:fldChar w:fldCharType="begin" w:fldLock="1"/>
      </w:r>
      <w:r w:rsidR="007B5B63" w:rsidRPr="0040534B">
        <w:rPr>
          <w:rFonts w:asciiTheme="minorHAnsi" w:hAnsiTheme="minorHAnsi"/>
          <w:snapToGrid w:val="0"/>
        </w:rPr>
        <w:instrText xml:space="preserve"> REF _Ref141172780 \r \h </w:instrText>
      </w:r>
      <w:r w:rsidR="007B5B63" w:rsidRPr="0040534B">
        <w:rPr>
          <w:rFonts w:asciiTheme="minorHAnsi" w:hAnsiTheme="minorHAnsi"/>
          <w:snapToGrid w:val="0"/>
        </w:rPr>
      </w:r>
      <w:r w:rsidR="007B5B63" w:rsidRPr="0040534B">
        <w:rPr>
          <w:rFonts w:asciiTheme="minorHAnsi" w:hAnsiTheme="minorHAnsi"/>
          <w:snapToGrid w:val="0"/>
        </w:rPr>
        <w:fldChar w:fldCharType="separate"/>
      </w:r>
      <w:r w:rsidR="004E201F">
        <w:rPr>
          <w:rFonts w:asciiTheme="minorHAnsi" w:hAnsiTheme="minorHAnsi"/>
          <w:snapToGrid w:val="0"/>
        </w:rPr>
        <w:t>7.17</w:t>
      </w:r>
      <w:r w:rsidR="007B5B63" w:rsidRPr="0040534B">
        <w:rPr>
          <w:rFonts w:asciiTheme="minorHAnsi" w:hAnsiTheme="minorHAnsi"/>
          <w:snapToGrid w:val="0"/>
        </w:rPr>
        <w:fldChar w:fldCharType="end"/>
      </w:r>
      <w:r w:rsidR="007B5B63" w:rsidRPr="0040534B">
        <w:rPr>
          <w:rFonts w:asciiTheme="minorHAnsi" w:hAnsiTheme="minorHAnsi"/>
          <w:snapToGrid w:val="0"/>
        </w:rPr>
        <w:t>)</w:t>
      </w:r>
      <w:r w:rsidRPr="0040534B">
        <w:rPr>
          <w:rFonts w:asciiTheme="minorHAnsi" w:hAnsiTheme="minorHAnsi"/>
          <w:snapToGrid w:val="0"/>
        </w:rPr>
        <w:t>.</w:t>
      </w:r>
      <w:bookmarkEnd w:id="103"/>
    </w:p>
    <w:p w14:paraId="34DFE93C" w14:textId="37CB0A1F" w:rsidR="00D37AD8" w:rsidRPr="0040534B" w:rsidRDefault="00D37AD8" w:rsidP="006045A2">
      <w:pPr>
        <w:widowControl w:val="0"/>
        <w:numPr>
          <w:ilvl w:val="1"/>
          <w:numId w:val="4"/>
        </w:numPr>
        <w:spacing w:after="120"/>
        <w:rPr>
          <w:rFonts w:asciiTheme="minorHAnsi" w:hAnsiTheme="minorHAnsi"/>
          <w:snapToGrid w:val="0"/>
        </w:rPr>
      </w:pPr>
      <w:bookmarkStart w:id="104" w:name="_Ref141865318"/>
      <w:r w:rsidRPr="0040534B">
        <w:rPr>
          <w:rFonts w:asciiTheme="minorHAnsi" w:hAnsiTheme="minorHAnsi"/>
          <w:snapToGrid w:val="0"/>
        </w:rPr>
        <w:t>The PBAC noted no evidence was provided supporting the clinical effectiveness or cost-effectiveness of sequential use of CGRP inhibitors</w:t>
      </w:r>
      <w:r w:rsidR="0040534B">
        <w:rPr>
          <w:rFonts w:asciiTheme="minorHAnsi" w:hAnsiTheme="minorHAnsi"/>
          <w:snapToGrid w:val="0"/>
        </w:rPr>
        <w:t xml:space="preserve">. </w:t>
      </w:r>
      <w:r w:rsidRPr="0040534B">
        <w:rPr>
          <w:rFonts w:asciiTheme="minorHAnsi" w:hAnsiTheme="minorHAnsi"/>
          <w:snapToGrid w:val="0"/>
        </w:rPr>
        <w:t xml:space="preserve">The PBAC considered the </w:t>
      </w:r>
      <w:r w:rsidR="00237C42" w:rsidRPr="0040534B">
        <w:rPr>
          <w:rFonts w:asciiTheme="minorHAnsi" w:hAnsiTheme="minorHAnsi"/>
          <w:snapToGrid w:val="0"/>
        </w:rPr>
        <w:t xml:space="preserve">extent of </w:t>
      </w:r>
      <w:r w:rsidRPr="0040534B">
        <w:rPr>
          <w:rFonts w:asciiTheme="minorHAnsi" w:hAnsiTheme="minorHAnsi"/>
          <w:snapToGrid w:val="0"/>
        </w:rPr>
        <w:t>use of atogepant in patients who were needle phobic or unsuitable for injections was poorly supported in the submission</w:t>
      </w:r>
      <w:bookmarkEnd w:id="104"/>
      <w:r w:rsidR="0040534B">
        <w:rPr>
          <w:rFonts w:asciiTheme="minorHAnsi" w:hAnsiTheme="minorHAnsi"/>
          <w:snapToGrid w:val="0"/>
        </w:rPr>
        <w:t xml:space="preserve">. </w:t>
      </w:r>
    </w:p>
    <w:p w14:paraId="23535F7E" w14:textId="76B5A8BE" w:rsidR="001730D3" w:rsidRPr="0040534B" w:rsidRDefault="00D6258E" w:rsidP="006045A2">
      <w:pPr>
        <w:widowControl w:val="0"/>
        <w:numPr>
          <w:ilvl w:val="1"/>
          <w:numId w:val="4"/>
        </w:numPr>
        <w:spacing w:after="120"/>
        <w:rPr>
          <w:rFonts w:asciiTheme="minorHAnsi" w:hAnsiTheme="minorHAnsi"/>
          <w:snapToGrid w:val="0"/>
        </w:rPr>
      </w:pPr>
      <w:bookmarkStart w:id="105" w:name="_Ref141172780"/>
      <w:r w:rsidRPr="0040534B">
        <w:rPr>
          <w:rFonts w:asciiTheme="minorHAnsi" w:hAnsiTheme="minorHAnsi"/>
          <w:snapToGrid w:val="0"/>
        </w:rPr>
        <w:t>The PBAC noted that the submission proposed a</w:t>
      </w:r>
      <w:r w:rsidR="002E3AE3">
        <w:rPr>
          <w:rFonts w:asciiTheme="minorHAnsi" w:hAnsiTheme="minorHAnsi"/>
          <w:snapToGrid w:val="0"/>
        </w:rPr>
        <w:t>n</w:t>
      </w:r>
      <w:r w:rsidRPr="0040534B">
        <w:rPr>
          <w:rFonts w:asciiTheme="minorHAnsi" w:hAnsiTheme="minorHAnsi"/>
          <w:snapToGrid w:val="0"/>
        </w:rPr>
        <w:t xml:space="preserve"> RSA which was separate from the current CGRP inhibitor RSA for</w:t>
      </w:r>
      <w:r w:rsidR="00237C42" w:rsidRPr="0040534B">
        <w:rPr>
          <w:rFonts w:asciiTheme="minorHAnsi" w:hAnsiTheme="minorHAnsi"/>
          <w:snapToGrid w:val="0"/>
        </w:rPr>
        <w:t xml:space="preserve"> CM</w:t>
      </w:r>
      <w:r w:rsidR="00251DFE" w:rsidRPr="0040534B">
        <w:rPr>
          <w:rFonts w:asciiTheme="minorHAnsi" w:hAnsiTheme="minorHAnsi"/>
          <w:snapToGrid w:val="0"/>
        </w:rPr>
        <w:t>.</w:t>
      </w:r>
      <w:r w:rsidRPr="0040534B">
        <w:rPr>
          <w:rFonts w:asciiTheme="minorHAnsi" w:hAnsiTheme="minorHAnsi"/>
          <w:snapToGrid w:val="0"/>
        </w:rPr>
        <w:t xml:space="preserve"> Further, the PBAC noted that the submission proposed that the predicted cost offsets from the substitution of galcanezumab and fremanezumab would be transferred to the atogepant RSA and that the atogepant RSA would account for sequential use and use in patients who were need phobic or unsuitable for injections. The PBAC considered that, if recommended, atogepant should join the current CGRP </w:t>
      </w:r>
      <w:r w:rsidR="00237C42" w:rsidRPr="0040534B">
        <w:rPr>
          <w:rFonts w:asciiTheme="minorHAnsi" w:hAnsiTheme="minorHAnsi"/>
          <w:snapToGrid w:val="0"/>
        </w:rPr>
        <w:t xml:space="preserve">inhibitor </w:t>
      </w:r>
      <w:r w:rsidRPr="0040534B">
        <w:rPr>
          <w:rFonts w:asciiTheme="minorHAnsi" w:hAnsiTheme="minorHAnsi"/>
          <w:snapToGrid w:val="0"/>
        </w:rPr>
        <w:t>RSA</w:t>
      </w:r>
      <w:r w:rsidR="00970CFF" w:rsidRPr="0040534B">
        <w:rPr>
          <w:rFonts w:asciiTheme="minorHAnsi" w:hAnsiTheme="minorHAnsi"/>
          <w:snapToGrid w:val="0"/>
        </w:rPr>
        <w:t>, ensuring effective management of Commonwealth expenditure across all CGRP inhibitors</w:t>
      </w:r>
      <w:r w:rsidR="0040534B">
        <w:rPr>
          <w:rFonts w:asciiTheme="minorHAnsi" w:hAnsiTheme="minorHAnsi"/>
          <w:snapToGrid w:val="0"/>
        </w:rPr>
        <w:t xml:space="preserve">. </w:t>
      </w:r>
      <w:r w:rsidR="00970CFF" w:rsidRPr="0040534B">
        <w:rPr>
          <w:rFonts w:asciiTheme="minorHAnsi" w:hAnsiTheme="minorHAnsi"/>
          <w:snapToGrid w:val="0"/>
        </w:rPr>
        <w:t xml:space="preserve">The PBAC further noted that the RSA </w:t>
      </w:r>
      <w:r w:rsidRPr="0040534B">
        <w:rPr>
          <w:rFonts w:asciiTheme="minorHAnsi" w:hAnsiTheme="minorHAnsi"/>
          <w:snapToGrid w:val="0"/>
        </w:rPr>
        <w:t xml:space="preserve">should be expanded to include the HFEM population </w:t>
      </w:r>
      <w:r w:rsidR="00284041" w:rsidRPr="0040534B">
        <w:rPr>
          <w:rFonts w:asciiTheme="minorHAnsi" w:hAnsiTheme="minorHAnsi"/>
          <w:snapToGrid w:val="0"/>
        </w:rPr>
        <w:t>(if fremanezumab and galcanezumab do not progress recommendations for this population)</w:t>
      </w:r>
      <w:r w:rsidR="00970CFF" w:rsidRPr="0040534B">
        <w:rPr>
          <w:rFonts w:asciiTheme="minorHAnsi" w:hAnsiTheme="minorHAnsi"/>
          <w:snapToGrid w:val="0"/>
        </w:rPr>
        <w:t xml:space="preserve">. </w:t>
      </w:r>
      <w:r w:rsidR="00DD3C5F">
        <w:rPr>
          <w:rFonts w:asciiTheme="minorHAnsi" w:hAnsiTheme="minorHAnsi"/>
          <w:snapToGrid w:val="0"/>
        </w:rPr>
        <w:t xml:space="preserve">The PBAC recalled it had previously provided advice regarding the size of the HFEM population (paragraph 7.9, fremanezumab PSD, November 2022 PBAC meeting). </w:t>
      </w:r>
      <w:r w:rsidR="00970CFF" w:rsidRPr="0040534B">
        <w:rPr>
          <w:rFonts w:asciiTheme="minorHAnsi" w:hAnsiTheme="minorHAnsi"/>
          <w:snapToGrid w:val="0"/>
        </w:rPr>
        <w:t xml:space="preserve">Further proposed additional costs to the Commonwealth, including those attributed to </w:t>
      </w:r>
      <w:r w:rsidRPr="0040534B">
        <w:rPr>
          <w:rFonts w:asciiTheme="minorHAnsi" w:hAnsiTheme="minorHAnsi"/>
          <w:snapToGrid w:val="0"/>
        </w:rPr>
        <w:t>sequential use</w:t>
      </w:r>
      <w:r w:rsidR="00D37AD8" w:rsidRPr="0040534B">
        <w:rPr>
          <w:rFonts w:asciiTheme="minorHAnsi" w:hAnsiTheme="minorHAnsi"/>
          <w:snapToGrid w:val="0"/>
        </w:rPr>
        <w:t xml:space="preserve"> and use in needle phobic patients </w:t>
      </w:r>
      <w:r w:rsidR="00970CFF" w:rsidRPr="0040534B">
        <w:rPr>
          <w:rFonts w:asciiTheme="minorHAnsi" w:hAnsiTheme="minorHAnsi"/>
          <w:snapToGrid w:val="0"/>
        </w:rPr>
        <w:t xml:space="preserve">would need to be </w:t>
      </w:r>
      <w:r w:rsidR="009A23F4" w:rsidRPr="0040534B">
        <w:rPr>
          <w:rFonts w:asciiTheme="minorHAnsi" w:hAnsiTheme="minorHAnsi"/>
          <w:snapToGrid w:val="0"/>
        </w:rPr>
        <w:t>appropriately</w:t>
      </w:r>
      <w:r w:rsidR="00970CFF" w:rsidRPr="0040534B">
        <w:rPr>
          <w:rFonts w:asciiTheme="minorHAnsi" w:hAnsiTheme="minorHAnsi"/>
          <w:snapToGrid w:val="0"/>
        </w:rPr>
        <w:t xml:space="preserve"> justified</w:t>
      </w:r>
      <w:r w:rsidR="00D37AD8" w:rsidRPr="0040534B">
        <w:rPr>
          <w:rFonts w:asciiTheme="minorHAnsi" w:hAnsiTheme="minorHAnsi"/>
          <w:snapToGrid w:val="0"/>
        </w:rPr>
        <w:t xml:space="preserve"> (see paragraph </w:t>
      </w:r>
      <w:r w:rsidR="00D37AD8" w:rsidRPr="0040534B">
        <w:rPr>
          <w:rFonts w:asciiTheme="minorHAnsi" w:hAnsiTheme="minorHAnsi"/>
          <w:snapToGrid w:val="0"/>
        </w:rPr>
        <w:fldChar w:fldCharType="begin" w:fldLock="1"/>
      </w:r>
      <w:r w:rsidR="00D37AD8" w:rsidRPr="0040534B">
        <w:rPr>
          <w:rFonts w:asciiTheme="minorHAnsi" w:hAnsiTheme="minorHAnsi"/>
          <w:snapToGrid w:val="0"/>
        </w:rPr>
        <w:instrText xml:space="preserve"> REF _Ref141865318 \r \h </w:instrText>
      </w:r>
      <w:r w:rsidR="00D37AD8" w:rsidRPr="0040534B">
        <w:rPr>
          <w:rFonts w:asciiTheme="minorHAnsi" w:hAnsiTheme="minorHAnsi"/>
          <w:snapToGrid w:val="0"/>
        </w:rPr>
      </w:r>
      <w:r w:rsidR="00D37AD8" w:rsidRPr="0040534B">
        <w:rPr>
          <w:rFonts w:asciiTheme="minorHAnsi" w:hAnsiTheme="minorHAnsi"/>
          <w:snapToGrid w:val="0"/>
        </w:rPr>
        <w:fldChar w:fldCharType="separate"/>
      </w:r>
      <w:r w:rsidR="004E201F">
        <w:rPr>
          <w:rFonts w:asciiTheme="minorHAnsi" w:hAnsiTheme="minorHAnsi"/>
          <w:snapToGrid w:val="0"/>
        </w:rPr>
        <w:t>7.16</w:t>
      </w:r>
      <w:r w:rsidR="00D37AD8" w:rsidRPr="0040534B">
        <w:rPr>
          <w:rFonts w:asciiTheme="minorHAnsi" w:hAnsiTheme="minorHAnsi"/>
          <w:snapToGrid w:val="0"/>
        </w:rPr>
        <w:fldChar w:fldCharType="end"/>
      </w:r>
      <w:r w:rsidR="00D37AD8" w:rsidRPr="0040534B">
        <w:rPr>
          <w:rFonts w:asciiTheme="minorHAnsi" w:hAnsiTheme="minorHAnsi"/>
          <w:snapToGrid w:val="0"/>
        </w:rPr>
        <w:t>)</w:t>
      </w:r>
      <w:r w:rsidRPr="0040534B">
        <w:rPr>
          <w:rFonts w:asciiTheme="minorHAnsi" w:hAnsiTheme="minorHAnsi"/>
          <w:snapToGrid w:val="0"/>
        </w:rPr>
        <w:t>.</w:t>
      </w:r>
      <w:bookmarkEnd w:id="105"/>
    </w:p>
    <w:p w14:paraId="25874FD9" w14:textId="77777777" w:rsidR="00D6258E" w:rsidRPr="0040534B" w:rsidRDefault="00D6258E" w:rsidP="00D6258E">
      <w:pPr>
        <w:widowControl w:val="0"/>
        <w:numPr>
          <w:ilvl w:val="1"/>
          <w:numId w:val="4"/>
        </w:numPr>
        <w:spacing w:after="120"/>
        <w:rPr>
          <w:rFonts w:asciiTheme="minorHAnsi" w:hAnsiTheme="minorHAnsi"/>
          <w:bCs/>
          <w:snapToGrid w:val="0"/>
        </w:rPr>
      </w:pPr>
      <w:r w:rsidRPr="0040534B">
        <w:rPr>
          <w:rFonts w:asciiTheme="minorHAnsi" w:hAnsiTheme="minorHAnsi"/>
          <w:snapToGrid w:val="0"/>
        </w:rPr>
        <w:t>In terms of quality use of medicines, the PBAC noted that a 10 mg dose was included in the draft Product Information for use in patients with severe renal impairment or who receive strong CYP3A4 or OATP inhibitors. The PBAC considered that, if the 10 mg dose was not included in a future submission, details should be provided as to how dose reductions should be managed</w:t>
      </w:r>
      <w:bookmarkEnd w:id="100"/>
      <w:r w:rsidRPr="0040534B">
        <w:rPr>
          <w:rFonts w:asciiTheme="minorHAnsi" w:hAnsiTheme="minorHAnsi"/>
          <w:snapToGrid w:val="0"/>
        </w:rPr>
        <w:t xml:space="preserve">. </w:t>
      </w:r>
    </w:p>
    <w:p w14:paraId="0E84B551" w14:textId="2AEA43CD" w:rsidR="006045A2" w:rsidRPr="0040534B" w:rsidRDefault="006045A2" w:rsidP="00D6258E">
      <w:pPr>
        <w:widowControl w:val="0"/>
        <w:numPr>
          <w:ilvl w:val="1"/>
          <w:numId w:val="4"/>
        </w:numPr>
        <w:spacing w:after="120"/>
        <w:rPr>
          <w:rFonts w:asciiTheme="minorHAnsi" w:hAnsiTheme="minorHAnsi"/>
          <w:bCs/>
          <w:snapToGrid w:val="0"/>
        </w:rPr>
      </w:pPr>
      <w:r w:rsidRPr="0040534B">
        <w:rPr>
          <w:rFonts w:asciiTheme="minorHAnsi" w:hAnsiTheme="minorHAnsi"/>
          <w:bCs/>
          <w:snapToGrid w:val="0"/>
        </w:rPr>
        <w:t xml:space="preserve"> The PBAC considered a resubmission for </w:t>
      </w:r>
      <w:r w:rsidR="00D6258E" w:rsidRPr="0040534B">
        <w:rPr>
          <w:rFonts w:asciiTheme="minorHAnsi" w:hAnsiTheme="minorHAnsi"/>
          <w:bCs/>
          <w:snapToGrid w:val="0"/>
        </w:rPr>
        <w:t xml:space="preserve">atogepant </w:t>
      </w:r>
      <w:r w:rsidRPr="0040534B">
        <w:rPr>
          <w:rFonts w:asciiTheme="minorHAnsi" w:hAnsiTheme="minorHAnsi"/>
          <w:bCs/>
          <w:snapToGrid w:val="0"/>
        </w:rPr>
        <w:t>should address the following issues:</w:t>
      </w:r>
    </w:p>
    <w:p w14:paraId="64C459F1" w14:textId="2C16E984" w:rsidR="00D6258E" w:rsidRPr="0040534B" w:rsidRDefault="00D37AD8" w:rsidP="00D6258E">
      <w:pPr>
        <w:widowControl w:val="0"/>
        <w:numPr>
          <w:ilvl w:val="1"/>
          <w:numId w:val="31"/>
        </w:numPr>
        <w:spacing w:after="120"/>
        <w:ind w:left="1080" w:hanging="360"/>
        <w:rPr>
          <w:rFonts w:asciiTheme="minorHAnsi" w:hAnsiTheme="minorHAnsi"/>
          <w:bCs/>
          <w:snapToGrid w:val="0"/>
        </w:rPr>
      </w:pPr>
      <w:r w:rsidRPr="0040534B">
        <w:rPr>
          <w:rFonts w:asciiTheme="minorHAnsi" w:hAnsiTheme="minorHAnsi"/>
          <w:bCs/>
          <w:snapToGrid w:val="0"/>
        </w:rPr>
        <w:t>T</w:t>
      </w:r>
      <w:r w:rsidR="00D6258E" w:rsidRPr="0040534B">
        <w:rPr>
          <w:rFonts w:asciiTheme="minorHAnsi" w:hAnsiTheme="minorHAnsi"/>
          <w:bCs/>
          <w:snapToGrid w:val="0"/>
        </w:rPr>
        <w:t>he outstanding uncertainty in the non-inferiority efficacy claim by providing any additional available data for atogepant in the</w:t>
      </w:r>
      <w:r w:rsidRPr="0040534B">
        <w:rPr>
          <w:rFonts w:asciiTheme="minorHAnsi" w:hAnsiTheme="minorHAnsi"/>
          <w:bCs/>
          <w:snapToGrid w:val="0"/>
        </w:rPr>
        <w:t xml:space="preserve"> CM</w:t>
      </w:r>
      <w:r w:rsidR="00D6258E" w:rsidRPr="0040534B">
        <w:rPr>
          <w:rFonts w:asciiTheme="minorHAnsi" w:hAnsiTheme="minorHAnsi"/>
          <w:bCs/>
          <w:snapToGrid w:val="0"/>
        </w:rPr>
        <w:t xml:space="preserve"> and HFEM populations;</w:t>
      </w:r>
    </w:p>
    <w:p w14:paraId="053B4D5A" w14:textId="73E64E33" w:rsidR="00D6258E" w:rsidRPr="0040534B" w:rsidRDefault="00D37AD8" w:rsidP="00D6258E">
      <w:pPr>
        <w:widowControl w:val="0"/>
        <w:numPr>
          <w:ilvl w:val="1"/>
          <w:numId w:val="31"/>
        </w:numPr>
        <w:spacing w:after="120"/>
        <w:ind w:left="1080" w:hanging="360"/>
        <w:rPr>
          <w:rFonts w:asciiTheme="minorHAnsi" w:hAnsiTheme="minorHAnsi"/>
          <w:bCs/>
          <w:snapToGrid w:val="0"/>
        </w:rPr>
      </w:pPr>
      <w:r w:rsidRPr="0040534B">
        <w:rPr>
          <w:rFonts w:asciiTheme="minorHAnsi" w:hAnsiTheme="minorHAnsi"/>
          <w:bCs/>
          <w:snapToGrid w:val="0"/>
        </w:rPr>
        <w:t xml:space="preserve">Present a </w:t>
      </w:r>
      <w:r w:rsidR="00D6258E" w:rsidRPr="0040534B">
        <w:rPr>
          <w:rFonts w:asciiTheme="minorHAnsi" w:hAnsiTheme="minorHAnsi"/>
          <w:bCs/>
          <w:snapToGrid w:val="0"/>
        </w:rPr>
        <w:t xml:space="preserve">revised CMA </w:t>
      </w:r>
      <w:r w:rsidRPr="0040534B">
        <w:rPr>
          <w:rFonts w:asciiTheme="minorHAnsi" w:hAnsiTheme="minorHAnsi"/>
          <w:bCs/>
          <w:snapToGrid w:val="0"/>
        </w:rPr>
        <w:t xml:space="preserve">removing </w:t>
      </w:r>
      <w:r w:rsidR="00D6258E" w:rsidRPr="0040534B">
        <w:rPr>
          <w:rFonts w:asciiTheme="minorHAnsi" w:hAnsiTheme="minorHAnsi"/>
          <w:bCs/>
          <w:snapToGrid w:val="0"/>
        </w:rPr>
        <w:t xml:space="preserve">the assumption that 10% of galcanezumab patients would require administration assistance (see paragraph </w:t>
      </w:r>
      <w:r w:rsidR="00D6258E" w:rsidRPr="0040534B">
        <w:rPr>
          <w:rFonts w:asciiTheme="minorHAnsi" w:hAnsiTheme="minorHAnsi"/>
          <w:bCs/>
          <w:snapToGrid w:val="0"/>
        </w:rPr>
        <w:fldChar w:fldCharType="begin" w:fldLock="1"/>
      </w:r>
      <w:r w:rsidR="00D6258E" w:rsidRPr="0040534B">
        <w:rPr>
          <w:rFonts w:asciiTheme="minorHAnsi" w:hAnsiTheme="minorHAnsi"/>
          <w:bCs/>
          <w:snapToGrid w:val="0"/>
        </w:rPr>
        <w:instrText xml:space="preserve"> REF _Ref141172504 \r \h </w:instrText>
      </w:r>
      <w:r w:rsidR="00D6258E" w:rsidRPr="0040534B">
        <w:rPr>
          <w:rFonts w:asciiTheme="minorHAnsi" w:hAnsiTheme="minorHAnsi"/>
          <w:bCs/>
          <w:snapToGrid w:val="0"/>
        </w:rPr>
      </w:r>
      <w:r w:rsidR="00D6258E" w:rsidRPr="0040534B">
        <w:rPr>
          <w:rFonts w:asciiTheme="minorHAnsi" w:hAnsiTheme="minorHAnsi"/>
          <w:bCs/>
          <w:snapToGrid w:val="0"/>
        </w:rPr>
        <w:fldChar w:fldCharType="separate"/>
      </w:r>
      <w:r w:rsidR="004E201F">
        <w:rPr>
          <w:rFonts w:asciiTheme="minorHAnsi" w:hAnsiTheme="minorHAnsi"/>
          <w:bCs/>
          <w:snapToGrid w:val="0"/>
        </w:rPr>
        <w:t>7.14</w:t>
      </w:r>
      <w:r w:rsidR="00D6258E" w:rsidRPr="0040534B">
        <w:rPr>
          <w:rFonts w:asciiTheme="minorHAnsi" w:hAnsiTheme="minorHAnsi"/>
          <w:bCs/>
          <w:snapToGrid w:val="0"/>
        </w:rPr>
        <w:fldChar w:fldCharType="end"/>
      </w:r>
      <w:r w:rsidR="00D6258E" w:rsidRPr="0040534B">
        <w:rPr>
          <w:rFonts w:asciiTheme="minorHAnsi" w:hAnsiTheme="minorHAnsi"/>
          <w:bCs/>
          <w:snapToGrid w:val="0"/>
        </w:rPr>
        <w:t>);</w:t>
      </w:r>
    </w:p>
    <w:p w14:paraId="7837D6E0" w14:textId="335AD94E" w:rsidR="00D6258E" w:rsidRPr="0040534B" w:rsidRDefault="00D6258E" w:rsidP="00D6258E">
      <w:pPr>
        <w:widowControl w:val="0"/>
        <w:numPr>
          <w:ilvl w:val="1"/>
          <w:numId w:val="31"/>
        </w:numPr>
        <w:spacing w:after="120"/>
        <w:ind w:left="1080" w:hanging="360"/>
        <w:rPr>
          <w:rFonts w:asciiTheme="minorHAnsi" w:hAnsiTheme="minorHAnsi"/>
          <w:bCs/>
          <w:snapToGrid w:val="0"/>
        </w:rPr>
      </w:pPr>
      <w:r w:rsidRPr="0040534B">
        <w:rPr>
          <w:rFonts w:asciiTheme="minorHAnsi" w:hAnsiTheme="minorHAnsi"/>
          <w:bCs/>
          <w:snapToGrid w:val="0"/>
        </w:rPr>
        <w:t xml:space="preserve">Provide revised utilisation and financial impact estimates </w:t>
      </w:r>
      <w:r w:rsidR="00DD3C5F">
        <w:rPr>
          <w:rFonts w:asciiTheme="minorHAnsi" w:hAnsiTheme="minorHAnsi"/>
          <w:bCs/>
          <w:snapToGrid w:val="0"/>
        </w:rPr>
        <w:t xml:space="preserve">and propose an RSA </w:t>
      </w:r>
      <w:r w:rsidRPr="0040534B">
        <w:rPr>
          <w:rFonts w:asciiTheme="minorHAnsi" w:hAnsiTheme="minorHAnsi"/>
          <w:bCs/>
          <w:snapToGrid w:val="0"/>
        </w:rPr>
        <w:t>that address</w:t>
      </w:r>
      <w:r w:rsidR="00DD3C5F">
        <w:rPr>
          <w:rFonts w:asciiTheme="minorHAnsi" w:hAnsiTheme="minorHAnsi"/>
          <w:bCs/>
          <w:snapToGrid w:val="0"/>
        </w:rPr>
        <w:t>es</w:t>
      </w:r>
      <w:r w:rsidRPr="0040534B">
        <w:rPr>
          <w:rFonts w:asciiTheme="minorHAnsi" w:hAnsiTheme="minorHAnsi"/>
          <w:bCs/>
          <w:snapToGrid w:val="0"/>
        </w:rPr>
        <w:t xml:space="preserve"> the </w:t>
      </w:r>
      <w:r w:rsidR="00DD3C5F">
        <w:rPr>
          <w:rFonts w:asciiTheme="minorHAnsi" w:hAnsiTheme="minorHAnsi"/>
          <w:bCs/>
          <w:snapToGrid w:val="0"/>
        </w:rPr>
        <w:t xml:space="preserve">issues </w:t>
      </w:r>
      <w:r w:rsidRPr="0040534B">
        <w:rPr>
          <w:rFonts w:asciiTheme="minorHAnsi" w:hAnsiTheme="minorHAnsi"/>
          <w:bCs/>
          <w:snapToGrid w:val="0"/>
        </w:rPr>
        <w:t>outlined in paragraph</w:t>
      </w:r>
      <w:r w:rsidR="00D37AD8" w:rsidRPr="0040534B">
        <w:rPr>
          <w:rFonts w:asciiTheme="minorHAnsi" w:hAnsiTheme="minorHAnsi"/>
          <w:bCs/>
          <w:snapToGrid w:val="0"/>
        </w:rPr>
        <w:t>s</w:t>
      </w:r>
      <w:r w:rsidRPr="0040534B">
        <w:rPr>
          <w:rFonts w:asciiTheme="minorHAnsi" w:hAnsiTheme="minorHAnsi"/>
          <w:bCs/>
          <w:snapToGrid w:val="0"/>
        </w:rPr>
        <w:t xml:space="preserve"> </w:t>
      </w:r>
      <w:r w:rsidRPr="0040534B">
        <w:rPr>
          <w:rFonts w:asciiTheme="minorHAnsi" w:hAnsiTheme="minorHAnsi"/>
          <w:bCs/>
          <w:snapToGrid w:val="0"/>
        </w:rPr>
        <w:fldChar w:fldCharType="begin" w:fldLock="1"/>
      </w:r>
      <w:r w:rsidRPr="0040534B">
        <w:rPr>
          <w:rFonts w:asciiTheme="minorHAnsi" w:hAnsiTheme="minorHAnsi"/>
          <w:bCs/>
          <w:snapToGrid w:val="0"/>
        </w:rPr>
        <w:instrText xml:space="preserve"> REF _Ref141172500 \r \h </w:instrText>
      </w:r>
      <w:r w:rsidRPr="0040534B">
        <w:rPr>
          <w:rFonts w:asciiTheme="minorHAnsi" w:hAnsiTheme="minorHAnsi"/>
          <w:bCs/>
          <w:snapToGrid w:val="0"/>
        </w:rPr>
      </w:r>
      <w:r w:rsidRPr="0040534B">
        <w:rPr>
          <w:rFonts w:asciiTheme="minorHAnsi" w:hAnsiTheme="minorHAnsi"/>
          <w:bCs/>
          <w:snapToGrid w:val="0"/>
        </w:rPr>
        <w:fldChar w:fldCharType="separate"/>
      </w:r>
      <w:r w:rsidR="004E201F">
        <w:rPr>
          <w:rFonts w:asciiTheme="minorHAnsi" w:hAnsiTheme="minorHAnsi"/>
          <w:bCs/>
          <w:snapToGrid w:val="0"/>
        </w:rPr>
        <w:t>7.15</w:t>
      </w:r>
      <w:r w:rsidRPr="0040534B">
        <w:rPr>
          <w:rFonts w:asciiTheme="minorHAnsi" w:hAnsiTheme="minorHAnsi"/>
          <w:bCs/>
          <w:snapToGrid w:val="0"/>
        </w:rPr>
        <w:fldChar w:fldCharType="end"/>
      </w:r>
      <w:r w:rsidR="00DD3C5F">
        <w:rPr>
          <w:rFonts w:asciiTheme="minorHAnsi" w:hAnsiTheme="minorHAnsi"/>
          <w:bCs/>
          <w:snapToGrid w:val="0"/>
        </w:rPr>
        <w:t xml:space="preserve">, </w:t>
      </w:r>
      <w:r w:rsidR="00D37AD8" w:rsidRPr="0040534B">
        <w:rPr>
          <w:rFonts w:asciiTheme="minorHAnsi" w:hAnsiTheme="minorHAnsi"/>
          <w:bCs/>
          <w:snapToGrid w:val="0"/>
        </w:rPr>
        <w:fldChar w:fldCharType="begin" w:fldLock="1"/>
      </w:r>
      <w:r w:rsidR="00D37AD8" w:rsidRPr="0040534B">
        <w:rPr>
          <w:rFonts w:asciiTheme="minorHAnsi" w:hAnsiTheme="minorHAnsi"/>
          <w:bCs/>
          <w:snapToGrid w:val="0"/>
        </w:rPr>
        <w:instrText xml:space="preserve"> REF _Ref141865318 \r \h </w:instrText>
      </w:r>
      <w:r w:rsidR="00D37AD8" w:rsidRPr="0040534B">
        <w:rPr>
          <w:rFonts w:asciiTheme="minorHAnsi" w:hAnsiTheme="minorHAnsi"/>
          <w:bCs/>
          <w:snapToGrid w:val="0"/>
        </w:rPr>
      </w:r>
      <w:r w:rsidR="00D37AD8" w:rsidRPr="0040534B">
        <w:rPr>
          <w:rFonts w:asciiTheme="minorHAnsi" w:hAnsiTheme="minorHAnsi"/>
          <w:bCs/>
          <w:snapToGrid w:val="0"/>
        </w:rPr>
        <w:fldChar w:fldCharType="separate"/>
      </w:r>
      <w:r w:rsidR="004E201F">
        <w:rPr>
          <w:rFonts w:asciiTheme="minorHAnsi" w:hAnsiTheme="minorHAnsi"/>
          <w:bCs/>
          <w:snapToGrid w:val="0"/>
        </w:rPr>
        <w:t>7.16</w:t>
      </w:r>
      <w:r w:rsidR="00D37AD8" w:rsidRPr="0040534B">
        <w:rPr>
          <w:rFonts w:asciiTheme="minorHAnsi" w:hAnsiTheme="minorHAnsi"/>
          <w:bCs/>
          <w:snapToGrid w:val="0"/>
        </w:rPr>
        <w:fldChar w:fldCharType="end"/>
      </w:r>
      <w:r w:rsidR="00DD3C5F">
        <w:rPr>
          <w:rFonts w:asciiTheme="minorHAnsi" w:hAnsiTheme="minorHAnsi"/>
          <w:bCs/>
          <w:snapToGrid w:val="0"/>
        </w:rPr>
        <w:t xml:space="preserve"> and </w:t>
      </w:r>
      <w:r w:rsidR="00DD3C5F" w:rsidRPr="0040534B">
        <w:rPr>
          <w:rFonts w:asciiTheme="minorHAnsi" w:hAnsiTheme="minorHAnsi"/>
          <w:bCs/>
          <w:snapToGrid w:val="0"/>
        </w:rPr>
        <w:fldChar w:fldCharType="begin" w:fldLock="1"/>
      </w:r>
      <w:r w:rsidR="00DD3C5F" w:rsidRPr="0040534B">
        <w:rPr>
          <w:rFonts w:asciiTheme="minorHAnsi" w:hAnsiTheme="minorHAnsi"/>
          <w:bCs/>
          <w:snapToGrid w:val="0"/>
        </w:rPr>
        <w:instrText xml:space="preserve"> REF _Ref141172780 \r \h </w:instrText>
      </w:r>
      <w:r w:rsidR="00DD3C5F" w:rsidRPr="0040534B">
        <w:rPr>
          <w:rFonts w:asciiTheme="minorHAnsi" w:hAnsiTheme="minorHAnsi"/>
          <w:bCs/>
          <w:snapToGrid w:val="0"/>
        </w:rPr>
      </w:r>
      <w:r w:rsidR="00DD3C5F" w:rsidRPr="0040534B">
        <w:rPr>
          <w:rFonts w:asciiTheme="minorHAnsi" w:hAnsiTheme="minorHAnsi"/>
          <w:bCs/>
          <w:snapToGrid w:val="0"/>
        </w:rPr>
        <w:fldChar w:fldCharType="separate"/>
      </w:r>
      <w:r w:rsidR="004E201F">
        <w:rPr>
          <w:rFonts w:asciiTheme="minorHAnsi" w:hAnsiTheme="minorHAnsi"/>
          <w:bCs/>
          <w:snapToGrid w:val="0"/>
        </w:rPr>
        <w:t>7.17</w:t>
      </w:r>
      <w:r w:rsidR="00DD3C5F" w:rsidRPr="0040534B">
        <w:rPr>
          <w:rFonts w:asciiTheme="minorHAnsi" w:hAnsiTheme="minorHAnsi"/>
          <w:bCs/>
          <w:snapToGrid w:val="0"/>
        </w:rPr>
        <w:fldChar w:fldCharType="end"/>
      </w:r>
      <w:r w:rsidR="00DD3C5F">
        <w:rPr>
          <w:rFonts w:asciiTheme="minorHAnsi" w:hAnsiTheme="minorHAnsi"/>
          <w:bCs/>
          <w:snapToGrid w:val="0"/>
        </w:rPr>
        <w:t>.</w:t>
      </w:r>
    </w:p>
    <w:p w14:paraId="0FDA52ED" w14:textId="34E76E4E" w:rsidR="006045A2" w:rsidRPr="0040534B" w:rsidRDefault="006045A2" w:rsidP="006045A2">
      <w:pPr>
        <w:widowControl w:val="0"/>
        <w:ind w:left="720"/>
        <w:rPr>
          <w:rFonts w:asciiTheme="minorHAnsi" w:hAnsiTheme="minorHAnsi"/>
          <w:bCs/>
          <w:snapToGrid w:val="0"/>
        </w:rPr>
      </w:pPr>
      <w:r w:rsidRPr="0040534B">
        <w:rPr>
          <w:rFonts w:asciiTheme="minorHAnsi" w:hAnsiTheme="minorHAnsi"/>
          <w:bCs/>
          <w:snapToGrid w:val="0"/>
        </w:rPr>
        <w:lastRenderedPageBreak/>
        <w:t>The resubmission may be lodged at any future standard due date for PBAC submissions using the standard re-entry pathway.</w:t>
      </w:r>
    </w:p>
    <w:p w14:paraId="05E589F2" w14:textId="0D02880B" w:rsidR="006045A2" w:rsidRPr="0040534B" w:rsidRDefault="006045A2" w:rsidP="006045A2">
      <w:pPr>
        <w:ind w:left="720"/>
        <w:contextualSpacing/>
        <w:rPr>
          <w:rFonts w:asciiTheme="minorHAnsi" w:hAnsiTheme="minorHAnsi"/>
          <w:b/>
          <w:bCs/>
        </w:rPr>
      </w:pPr>
    </w:p>
    <w:p w14:paraId="06211D27" w14:textId="77777777" w:rsidR="00F8324F" w:rsidRPr="0040534B" w:rsidRDefault="006045A2" w:rsidP="006045A2">
      <w:pPr>
        <w:widowControl w:val="0"/>
        <w:numPr>
          <w:ilvl w:val="1"/>
          <w:numId w:val="4"/>
        </w:numPr>
        <w:spacing w:after="120"/>
        <w:rPr>
          <w:rFonts w:asciiTheme="minorHAnsi" w:hAnsiTheme="minorHAnsi"/>
          <w:bCs/>
          <w:snapToGrid w:val="0"/>
        </w:rPr>
      </w:pPr>
      <w:r w:rsidRPr="0040534B">
        <w:rPr>
          <w:rFonts w:asciiTheme="minorHAnsi" w:hAnsiTheme="minorHAnsi"/>
          <w:bCs/>
          <w:snapToGrid w:val="0"/>
        </w:rPr>
        <w:t xml:space="preserve">The PBAC noted that this submission is eligible for an Independent Review. </w:t>
      </w:r>
    </w:p>
    <w:p w14:paraId="24A1A9EC" w14:textId="77777777" w:rsidR="006045A2" w:rsidRPr="0040534B" w:rsidRDefault="006045A2" w:rsidP="006045A2">
      <w:pPr>
        <w:spacing w:before="240"/>
        <w:rPr>
          <w:rFonts w:asciiTheme="minorHAnsi" w:hAnsiTheme="minorHAnsi"/>
          <w:b/>
          <w:bCs/>
          <w:snapToGrid w:val="0"/>
        </w:rPr>
      </w:pPr>
      <w:r w:rsidRPr="0040534B">
        <w:rPr>
          <w:rFonts w:asciiTheme="minorHAnsi" w:hAnsiTheme="minorHAnsi"/>
          <w:b/>
          <w:bCs/>
          <w:snapToGrid w:val="0"/>
        </w:rPr>
        <w:t>Outcome:</w:t>
      </w:r>
    </w:p>
    <w:p w14:paraId="69008139" w14:textId="7393BFF8" w:rsidR="006045A2" w:rsidRPr="0040534B" w:rsidRDefault="006045A2" w:rsidP="006045A2">
      <w:pPr>
        <w:rPr>
          <w:rFonts w:asciiTheme="minorHAnsi" w:hAnsiTheme="minorHAnsi"/>
          <w:bCs/>
          <w:snapToGrid w:val="0"/>
        </w:rPr>
      </w:pPr>
      <w:r w:rsidRPr="0040534B">
        <w:rPr>
          <w:rFonts w:asciiTheme="minorHAnsi" w:hAnsiTheme="minorHAnsi"/>
          <w:bCs/>
          <w:snapToGrid w:val="0"/>
        </w:rPr>
        <w:t xml:space="preserve">Not recommended </w:t>
      </w:r>
    </w:p>
    <w:p w14:paraId="5FF7D551" w14:textId="0B0925E9" w:rsidR="00D6258E" w:rsidRPr="0040534B" w:rsidRDefault="00D6258E" w:rsidP="006045A2">
      <w:pPr>
        <w:widowControl w:val="0"/>
        <w:rPr>
          <w:rFonts w:asciiTheme="minorHAnsi" w:hAnsiTheme="minorHAnsi"/>
          <w:b/>
          <w:bCs/>
          <w:snapToGrid w:val="0"/>
        </w:rPr>
      </w:pPr>
    </w:p>
    <w:p w14:paraId="66F3DE59" w14:textId="50A760CA" w:rsidR="00E17098" w:rsidRPr="00E17098" w:rsidRDefault="00E17098" w:rsidP="00E17098">
      <w:pPr>
        <w:pStyle w:val="2-SectionHeading"/>
      </w:pPr>
      <w:r w:rsidRPr="00C07617">
        <w:t>Context for Decision</w:t>
      </w:r>
    </w:p>
    <w:p w14:paraId="34A5D92B" w14:textId="77777777" w:rsidR="00E17098" w:rsidRPr="007129F2" w:rsidRDefault="00E17098" w:rsidP="00E1709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989227B" w14:textId="75DD5D63" w:rsidR="00E17098" w:rsidRPr="00E17098" w:rsidRDefault="00E17098" w:rsidP="00E17098">
      <w:pPr>
        <w:pStyle w:val="2-SectionHeading"/>
      </w:pPr>
      <w:r>
        <w:t>Sponsor’s Comment</w:t>
      </w:r>
    </w:p>
    <w:p w14:paraId="790008E6" w14:textId="72366130" w:rsidR="00D6258E" w:rsidRPr="0040534B" w:rsidRDefault="000C4C75" w:rsidP="004844B8">
      <w:pPr>
        <w:widowControl w:val="0"/>
        <w:ind w:firstLine="720"/>
        <w:rPr>
          <w:rFonts w:asciiTheme="minorHAnsi" w:hAnsiTheme="minorHAnsi"/>
          <w:b/>
          <w:bCs/>
          <w:snapToGrid w:val="0"/>
        </w:rPr>
      </w:pPr>
      <w:r>
        <w:t xml:space="preserve">AbbVie is disappointed with this outcome.  </w:t>
      </w:r>
    </w:p>
    <w:bookmarkEnd w:id="1"/>
    <w:bookmarkEnd w:id="2"/>
    <w:bookmarkEnd w:id="3"/>
    <w:bookmarkEnd w:id="4"/>
    <w:bookmarkEnd w:id="5"/>
    <w:bookmarkEnd w:id="98"/>
    <w:bookmarkEnd w:id="99"/>
    <w:sectPr w:rsidR="00D6258E" w:rsidRPr="0040534B" w:rsidSect="007E3603">
      <w:headerReference w:type="default" r:id="rId9"/>
      <w:footerReference w:type="default" r:id="rId1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01C7" w14:textId="77777777" w:rsidR="00B258B9" w:rsidRDefault="00B258B9" w:rsidP="00124A51">
      <w:r>
        <w:separator/>
      </w:r>
    </w:p>
    <w:p w14:paraId="184F2575" w14:textId="77777777" w:rsidR="00B258B9" w:rsidRDefault="00B258B9"/>
  </w:endnote>
  <w:endnote w:type="continuationSeparator" w:id="0">
    <w:p w14:paraId="13F72D3E" w14:textId="77777777" w:rsidR="00B258B9" w:rsidRDefault="00B258B9" w:rsidP="00124A51">
      <w:r>
        <w:continuationSeparator/>
      </w:r>
    </w:p>
    <w:p w14:paraId="0C8F65EA" w14:textId="77777777" w:rsidR="00B258B9" w:rsidRDefault="00B25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681D" w14:textId="77777777" w:rsidR="007E3603" w:rsidRDefault="007E3603" w:rsidP="00753B29">
    <w:pPr>
      <w:pStyle w:val="Footer"/>
      <w:jc w:val="center"/>
    </w:pPr>
  </w:p>
  <w:p w14:paraId="38E1CB18" w14:textId="0014627A" w:rsidR="007E3603" w:rsidRPr="007C1CD9" w:rsidRDefault="001968FD" w:rsidP="00753B29">
    <w:pPr>
      <w:pStyle w:val="Footer"/>
      <w:jc w:val="center"/>
    </w:pPr>
    <w:sdt>
      <w:sdtPr>
        <w:id w:val="-2007429734"/>
        <w:docPartObj>
          <w:docPartGallery w:val="Page Numbers (Bottom of Page)"/>
          <w:docPartUnique/>
        </w:docPartObj>
      </w:sdtPr>
      <w:sdtEndPr>
        <w:rPr>
          <w:noProof/>
        </w:rPr>
      </w:sdtEndPr>
      <w:sdtContent>
        <w:r w:rsidR="007E3603">
          <w:fldChar w:fldCharType="begin"/>
        </w:r>
        <w:r w:rsidR="007E3603">
          <w:instrText xml:space="preserve"> PAGE   \* MERGEFORMAT </w:instrText>
        </w:r>
        <w:r w:rsidR="007E3603">
          <w:fldChar w:fldCharType="separate"/>
        </w:r>
        <w:r w:rsidR="007E3603">
          <w:rPr>
            <w:noProof/>
          </w:rPr>
          <w:t>2</w:t>
        </w:r>
        <w:r w:rsidR="007E360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607C" w14:textId="77777777" w:rsidR="00B258B9" w:rsidRDefault="00B258B9" w:rsidP="00124A51">
      <w:r>
        <w:separator/>
      </w:r>
    </w:p>
    <w:p w14:paraId="3FE8691C" w14:textId="77777777" w:rsidR="00B258B9" w:rsidRDefault="00B258B9"/>
  </w:footnote>
  <w:footnote w:type="continuationSeparator" w:id="0">
    <w:p w14:paraId="141CB9B6" w14:textId="77777777" w:rsidR="00B258B9" w:rsidRDefault="00B258B9" w:rsidP="00124A51">
      <w:r>
        <w:continuationSeparator/>
      </w:r>
    </w:p>
    <w:p w14:paraId="2D0D2EE5" w14:textId="77777777" w:rsidR="00B258B9" w:rsidRDefault="00B258B9"/>
  </w:footnote>
  <w:footnote w:id="1">
    <w:p w14:paraId="7214B4A6" w14:textId="77777777" w:rsidR="00F03CD4" w:rsidRPr="00FA2033" w:rsidRDefault="00F03CD4" w:rsidP="00F03CD4">
      <w:pPr>
        <w:pStyle w:val="FootnoteText"/>
        <w:rPr>
          <w:lang w:val="en-US"/>
        </w:rPr>
      </w:pPr>
      <w:r>
        <w:rPr>
          <w:rStyle w:val="FootnoteReference"/>
        </w:rPr>
        <w:footnoteRef/>
      </w:r>
      <w:r>
        <w:t xml:space="preserve"> International Headache Society from Headache Classification Committee of the International Headache Society (IHS) (2018) The International Classification of Headache Disorders, 3rd edition, Cephalalgia;38;1–211. </w:t>
      </w:r>
      <w:hyperlink r:id="rId1" w:history="1">
        <w:r w:rsidRPr="000F7166">
          <w:rPr>
            <w:rStyle w:val="Hyperlink"/>
          </w:rPr>
          <w:t>https://journals.sagepub.com/doi/epub/10.1177/0333102413485658</w:t>
        </w:r>
      </w:hyperlink>
      <w:r>
        <w:t xml:space="preserve"> [accessed 3 May 2023].</w:t>
      </w:r>
    </w:p>
  </w:footnote>
  <w:footnote w:id="2">
    <w:p w14:paraId="5C8FA059" w14:textId="469325AF" w:rsidR="00396D9B" w:rsidRPr="007B5B63" w:rsidRDefault="00396D9B">
      <w:pPr>
        <w:pStyle w:val="FootnoteText"/>
      </w:pPr>
      <w:r w:rsidRPr="007B5B63">
        <w:rPr>
          <w:rStyle w:val="FootnoteReference"/>
        </w:rPr>
        <w:footnoteRef/>
      </w:r>
      <w:r w:rsidRPr="007B5B63">
        <w:t xml:space="preserve"> Kulinskaya E, Dollinger M, Bjorkestol, K. Testing for homogeneity in meta-analysis I. The one-parameter case: standardised mean difference. Biometrics 2011 Mar: 67(1):203-212. </w:t>
      </w:r>
    </w:p>
  </w:footnote>
  <w:footnote w:id="3">
    <w:p w14:paraId="6A3EFC18" w14:textId="30E4C2C0" w:rsidR="00396D9B" w:rsidRPr="00396D9B" w:rsidRDefault="00396D9B">
      <w:pPr>
        <w:pStyle w:val="FootnoteText"/>
        <w:rPr>
          <w:i/>
          <w:iCs/>
        </w:rPr>
      </w:pPr>
      <w:r w:rsidRPr="007B5B63">
        <w:rPr>
          <w:rStyle w:val="FootnoteReference"/>
        </w:rPr>
        <w:footnoteRef/>
      </w:r>
      <w:r w:rsidRPr="007B5B63">
        <w:t xml:space="preserve"> Hardy R, Thompson S. Detecting and describing heterogeneity in meta-analysis. Statistics in Medicine 1998, 17(8): 841-856.</w:t>
      </w:r>
      <w:r w:rsidRPr="00396D9B">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1471" w14:textId="2210630D" w:rsidR="00653EEA" w:rsidRPr="00653EEA" w:rsidRDefault="00FC4C1F">
    <w:pPr>
      <w:pStyle w:val="Header"/>
      <w:rPr>
        <w:i/>
        <w:iCs/>
      </w:rPr>
    </w:pPr>
    <w:r>
      <w:rPr>
        <w:i/>
        <w:iCs/>
      </w:rPr>
      <w:t>Public Summary Document</w:t>
    </w:r>
    <w:r w:rsidR="006045A2">
      <w:rPr>
        <w:i/>
        <w:iCs/>
      </w:rPr>
      <w:t xml:space="preserve"> - </w:t>
    </w:r>
    <w:r w:rsidR="00653EEA" w:rsidRPr="00653EEA">
      <w:rPr>
        <w:i/>
        <w:iCs/>
      </w:rPr>
      <w:t>July 2023 PBAC Meeting</w:t>
    </w:r>
  </w:p>
  <w:p w14:paraId="61C0CAAE" w14:textId="77777777" w:rsidR="00653EEA" w:rsidRDefault="00653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EC51C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B3496"/>
    <w:multiLevelType w:val="hybridMultilevel"/>
    <w:tmpl w:val="3F16C03A"/>
    <w:lvl w:ilvl="0" w:tplc="7E6C7B8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743C87"/>
    <w:multiLevelType w:val="multilevel"/>
    <w:tmpl w:val="8C8E8902"/>
    <w:styleLink w:val="CurrentList15"/>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026F1"/>
    <w:multiLevelType w:val="hybridMultilevel"/>
    <w:tmpl w:val="48847E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F701F"/>
    <w:multiLevelType w:val="hybridMultilevel"/>
    <w:tmpl w:val="488C8CE4"/>
    <w:lvl w:ilvl="0" w:tplc="7E6C7B8A">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F56E9"/>
    <w:multiLevelType w:val="hybridMultilevel"/>
    <w:tmpl w:val="E0B66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6F5B87"/>
    <w:multiLevelType w:val="hybridMultilevel"/>
    <w:tmpl w:val="09E02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9FD5412"/>
    <w:multiLevelType w:val="multilevel"/>
    <w:tmpl w:val="0F32314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47717"/>
    <w:multiLevelType w:val="hybridMultilevel"/>
    <w:tmpl w:val="B492F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513D82"/>
    <w:multiLevelType w:val="hybridMultilevel"/>
    <w:tmpl w:val="C1E63BA6"/>
    <w:lvl w:ilvl="0" w:tplc="7E6C7B8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D6801"/>
    <w:multiLevelType w:val="hybridMultilevel"/>
    <w:tmpl w:val="72301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0A5887"/>
    <w:multiLevelType w:val="multilevel"/>
    <w:tmpl w:val="9100359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1651E9"/>
    <w:multiLevelType w:val="hybridMultilevel"/>
    <w:tmpl w:val="2D6621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3F13D4"/>
    <w:multiLevelType w:val="hybridMultilevel"/>
    <w:tmpl w:val="D3A852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C753639"/>
    <w:multiLevelType w:val="hybridMultilevel"/>
    <w:tmpl w:val="EBC0C5AA"/>
    <w:lvl w:ilvl="0" w:tplc="7E6C7B8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4D033C"/>
    <w:multiLevelType w:val="multilevel"/>
    <w:tmpl w:val="3F38DA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15619E"/>
    <w:multiLevelType w:val="hybridMultilevel"/>
    <w:tmpl w:val="7C16FF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755931533">
    <w:abstractNumId w:val="17"/>
  </w:num>
  <w:num w:numId="2" w16cid:durableId="188226772">
    <w:abstractNumId w:val="18"/>
  </w:num>
  <w:num w:numId="3" w16cid:durableId="546914494">
    <w:abstractNumId w:val="0"/>
  </w:num>
  <w:num w:numId="4" w16cid:durableId="1229800658">
    <w:abstractNumId w:val="29"/>
  </w:num>
  <w:num w:numId="5" w16cid:durableId="1520779622">
    <w:abstractNumId w:val="27"/>
  </w:num>
  <w:num w:numId="6" w16cid:durableId="267280145">
    <w:abstractNumId w:val="5"/>
  </w:num>
  <w:num w:numId="7" w16cid:durableId="1605991287">
    <w:abstractNumId w:val="12"/>
  </w:num>
  <w:num w:numId="8" w16cid:durableId="2001470205">
    <w:abstractNumId w:val="15"/>
  </w:num>
  <w:num w:numId="9" w16cid:durableId="1336572276">
    <w:abstractNumId w:val="13"/>
  </w:num>
  <w:num w:numId="10" w16cid:durableId="1081364745">
    <w:abstractNumId w:val="9"/>
  </w:num>
  <w:num w:numId="11" w16cid:durableId="271206396">
    <w:abstractNumId w:val="30"/>
  </w:num>
  <w:num w:numId="12" w16cid:durableId="782457308">
    <w:abstractNumId w:val="25"/>
  </w:num>
  <w:num w:numId="13" w16cid:durableId="1030493822">
    <w:abstractNumId w:val="4"/>
  </w:num>
  <w:num w:numId="14" w16cid:durableId="1374117908">
    <w:abstractNumId w:val="11"/>
  </w:num>
  <w:num w:numId="15" w16cid:durableId="536818032">
    <w:abstractNumId w:val="16"/>
  </w:num>
  <w:num w:numId="16" w16cid:durableId="1173688703">
    <w:abstractNumId w:val="20"/>
  </w:num>
  <w:num w:numId="17" w16cid:durableId="333537637">
    <w:abstractNumId w:val="24"/>
  </w:num>
  <w:num w:numId="18" w16cid:durableId="126047423">
    <w:abstractNumId w:val="31"/>
  </w:num>
  <w:num w:numId="19" w16cid:durableId="3098992">
    <w:abstractNumId w:val="19"/>
  </w:num>
  <w:num w:numId="20" w16cid:durableId="230776799">
    <w:abstractNumId w:val="23"/>
  </w:num>
  <w:num w:numId="21" w16cid:durableId="1041318762">
    <w:abstractNumId w:val="2"/>
  </w:num>
  <w:num w:numId="22" w16cid:durableId="1955095700">
    <w:abstractNumId w:val="21"/>
  </w:num>
  <w:num w:numId="23" w16cid:durableId="336082249">
    <w:abstractNumId w:val="22"/>
  </w:num>
  <w:num w:numId="24" w16cid:durableId="1439451970">
    <w:abstractNumId w:val="3"/>
  </w:num>
  <w:num w:numId="25" w16cid:durableId="1973555597">
    <w:abstractNumId w:val="1"/>
  </w:num>
  <w:num w:numId="26" w16cid:durableId="487208101">
    <w:abstractNumId w:val="7"/>
  </w:num>
  <w:num w:numId="27" w16cid:durableId="399982182">
    <w:abstractNumId w:val="10"/>
  </w:num>
  <w:num w:numId="28" w16cid:durableId="414590768">
    <w:abstractNumId w:val="6"/>
  </w:num>
  <w:num w:numId="29" w16cid:durableId="128191103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8678027">
    <w:abstractNumId w:val="28"/>
  </w:num>
  <w:num w:numId="31" w16cid:durableId="1814371785">
    <w:abstractNumId w:val="14"/>
  </w:num>
  <w:num w:numId="32" w16cid:durableId="1645625140">
    <w:abstractNumId w:val="8"/>
  </w:num>
  <w:num w:numId="33" w16cid:durableId="930621183">
    <w:abstractNumId w:val="29"/>
  </w:num>
  <w:num w:numId="34" w16cid:durableId="14948772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rY0NTa2MLWwMDBV0lEKTi0uzszPAykwMqwFAFWiJ+UtAAAA"/>
  </w:docVars>
  <w:rsids>
    <w:rsidRoot w:val="00E65E79"/>
    <w:rsid w:val="00000790"/>
    <w:rsid w:val="00000F8B"/>
    <w:rsid w:val="0000110B"/>
    <w:rsid w:val="00003499"/>
    <w:rsid w:val="000039B7"/>
    <w:rsid w:val="000056B9"/>
    <w:rsid w:val="0000639A"/>
    <w:rsid w:val="00006A2A"/>
    <w:rsid w:val="0001204C"/>
    <w:rsid w:val="00012848"/>
    <w:rsid w:val="00012BA3"/>
    <w:rsid w:val="00013247"/>
    <w:rsid w:val="00013534"/>
    <w:rsid w:val="00015886"/>
    <w:rsid w:val="000162EF"/>
    <w:rsid w:val="0001640D"/>
    <w:rsid w:val="00016CE0"/>
    <w:rsid w:val="000171BC"/>
    <w:rsid w:val="000207C9"/>
    <w:rsid w:val="000215F2"/>
    <w:rsid w:val="0002225F"/>
    <w:rsid w:val="00023763"/>
    <w:rsid w:val="00024EB5"/>
    <w:rsid w:val="000258BD"/>
    <w:rsid w:val="000274B8"/>
    <w:rsid w:val="000301C5"/>
    <w:rsid w:val="00033863"/>
    <w:rsid w:val="000349DB"/>
    <w:rsid w:val="00035DC0"/>
    <w:rsid w:val="00036829"/>
    <w:rsid w:val="0003741B"/>
    <w:rsid w:val="0004032F"/>
    <w:rsid w:val="00040895"/>
    <w:rsid w:val="000410A0"/>
    <w:rsid w:val="00041933"/>
    <w:rsid w:val="0004350F"/>
    <w:rsid w:val="000435EE"/>
    <w:rsid w:val="00043C37"/>
    <w:rsid w:val="000441E2"/>
    <w:rsid w:val="00045017"/>
    <w:rsid w:val="00045A2B"/>
    <w:rsid w:val="0004698F"/>
    <w:rsid w:val="00046D64"/>
    <w:rsid w:val="00050559"/>
    <w:rsid w:val="00050699"/>
    <w:rsid w:val="000506E7"/>
    <w:rsid w:val="000508C2"/>
    <w:rsid w:val="00052760"/>
    <w:rsid w:val="00052F03"/>
    <w:rsid w:val="000539D0"/>
    <w:rsid w:val="00054621"/>
    <w:rsid w:val="000546D7"/>
    <w:rsid w:val="00054A8D"/>
    <w:rsid w:val="00055941"/>
    <w:rsid w:val="00056ECF"/>
    <w:rsid w:val="00057F66"/>
    <w:rsid w:val="000604DF"/>
    <w:rsid w:val="000653B5"/>
    <w:rsid w:val="00066360"/>
    <w:rsid w:val="00066AF8"/>
    <w:rsid w:val="00070774"/>
    <w:rsid w:val="00071248"/>
    <w:rsid w:val="000715B8"/>
    <w:rsid w:val="000720B9"/>
    <w:rsid w:val="00072506"/>
    <w:rsid w:val="0007378D"/>
    <w:rsid w:val="000737F7"/>
    <w:rsid w:val="00074236"/>
    <w:rsid w:val="00074EFF"/>
    <w:rsid w:val="0007672F"/>
    <w:rsid w:val="00076B54"/>
    <w:rsid w:val="000774F0"/>
    <w:rsid w:val="00080909"/>
    <w:rsid w:val="000812CA"/>
    <w:rsid w:val="00081E63"/>
    <w:rsid w:val="0008258D"/>
    <w:rsid w:val="00083E99"/>
    <w:rsid w:val="000846E3"/>
    <w:rsid w:val="00084FA8"/>
    <w:rsid w:val="000856C5"/>
    <w:rsid w:val="00085C31"/>
    <w:rsid w:val="0008635E"/>
    <w:rsid w:val="00087E4A"/>
    <w:rsid w:val="000902D9"/>
    <w:rsid w:val="00090B93"/>
    <w:rsid w:val="00090C7E"/>
    <w:rsid w:val="000911AC"/>
    <w:rsid w:val="00092600"/>
    <w:rsid w:val="0009262B"/>
    <w:rsid w:val="00093310"/>
    <w:rsid w:val="00093655"/>
    <w:rsid w:val="0009445C"/>
    <w:rsid w:val="00094C35"/>
    <w:rsid w:val="00095200"/>
    <w:rsid w:val="00095FE5"/>
    <w:rsid w:val="00096284"/>
    <w:rsid w:val="000A0009"/>
    <w:rsid w:val="000A0014"/>
    <w:rsid w:val="000A0134"/>
    <w:rsid w:val="000A129A"/>
    <w:rsid w:val="000A1BC0"/>
    <w:rsid w:val="000A1CD5"/>
    <w:rsid w:val="000A2192"/>
    <w:rsid w:val="000A2F9E"/>
    <w:rsid w:val="000A310E"/>
    <w:rsid w:val="000A3E47"/>
    <w:rsid w:val="000A453F"/>
    <w:rsid w:val="000A522B"/>
    <w:rsid w:val="000A6039"/>
    <w:rsid w:val="000A7453"/>
    <w:rsid w:val="000A76CB"/>
    <w:rsid w:val="000A7D08"/>
    <w:rsid w:val="000B0121"/>
    <w:rsid w:val="000B0670"/>
    <w:rsid w:val="000B0E75"/>
    <w:rsid w:val="000B22B0"/>
    <w:rsid w:val="000B2DCB"/>
    <w:rsid w:val="000B3CCC"/>
    <w:rsid w:val="000B557F"/>
    <w:rsid w:val="000B5CE0"/>
    <w:rsid w:val="000B64B1"/>
    <w:rsid w:val="000B6CAC"/>
    <w:rsid w:val="000B6DAF"/>
    <w:rsid w:val="000B701A"/>
    <w:rsid w:val="000B7612"/>
    <w:rsid w:val="000B78AE"/>
    <w:rsid w:val="000C0654"/>
    <w:rsid w:val="000C27B2"/>
    <w:rsid w:val="000C368E"/>
    <w:rsid w:val="000C3DF9"/>
    <w:rsid w:val="000C4611"/>
    <w:rsid w:val="000C4C75"/>
    <w:rsid w:val="000C4CF2"/>
    <w:rsid w:val="000C5BD8"/>
    <w:rsid w:val="000C6713"/>
    <w:rsid w:val="000D0A26"/>
    <w:rsid w:val="000D1BFC"/>
    <w:rsid w:val="000D1D5D"/>
    <w:rsid w:val="000D281A"/>
    <w:rsid w:val="000D2848"/>
    <w:rsid w:val="000D2CA4"/>
    <w:rsid w:val="000D326A"/>
    <w:rsid w:val="000D34D4"/>
    <w:rsid w:val="000D38E5"/>
    <w:rsid w:val="000D4BA2"/>
    <w:rsid w:val="000D51FB"/>
    <w:rsid w:val="000D75A4"/>
    <w:rsid w:val="000D7F24"/>
    <w:rsid w:val="000E0640"/>
    <w:rsid w:val="000E135D"/>
    <w:rsid w:val="000E2607"/>
    <w:rsid w:val="000E37D0"/>
    <w:rsid w:val="000E4B09"/>
    <w:rsid w:val="000E6DCC"/>
    <w:rsid w:val="000F00BA"/>
    <w:rsid w:val="000F0634"/>
    <w:rsid w:val="000F0919"/>
    <w:rsid w:val="000F1851"/>
    <w:rsid w:val="000F316A"/>
    <w:rsid w:val="000F3996"/>
    <w:rsid w:val="000F3C74"/>
    <w:rsid w:val="000F4BB8"/>
    <w:rsid w:val="000F4EC0"/>
    <w:rsid w:val="000F4FA9"/>
    <w:rsid w:val="000F53FB"/>
    <w:rsid w:val="000F7127"/>
    <w:rsid w:val="000F74CE"/>
    <w:rsid w:val="000F7B54"/>
    <w:rsid w:val="001000B3"/>
    <w:rsid w:val="00100F8A"/>
    <w:rsid w:val="00102DA6"/>
    <w:rsid w:val="0010452E"/>
    <w:rsid w:val="00104D9F"/>
    <w:rsid w:val="001056C4"/>
    <w:rsid w:val="00105AE2"/>
    <w:rsid w:val="001060C6"/>
    <w:rsid w:val="00106B80"/>
    <w:rsid w:val="0011032E"/>
    <w:rsid w:val="00112031"/>
    <w:rsid w:val="0011348B"/>
    <w:rsid w:val="00115982"/>
    <w:rsid w:val="00116A0A"/>
    <w:rsid w:val="00116C53"/>
    <w:rsid w:val="00121799"/>
    <w:rsid w:val="001222FC"/>
    <w:rsid w:val="00123902"/>
    <w:rsid w:val="00124A51"/>
    <w:rsid w:val="00124FA6"/>
    <w:rsid w:val="001255C8"/>
    <w:rsid w:val="00126621"/>
    <w:rsid w:val="00126B1D"/>
    <w:rsid w:val="001301E9"/>
    <w:rsid w:val="001301F1"/>
    <w:rsid w:val="00130297"/>
    <w:rsid w:val="00130800"/>
    <w:rsid w:val="00130B0B"/>
    <w:rsid w:val="00131D82"/>
    <w:rsid w:val="00132B22"/>
    <w:rsid w:val="00133D36"/>
    <w:rsid w:val="00136E43"/>
    <w:rsid w:val="00137645"/>
    <w:rsid w:val="00137FD9"/>
    <w:rsid w:val="0014015A"/>
    <w:rsid w:val="00140E99"/>
    <w:rsid w:val="001427E6"/>
    <w:rsid w:val="0014293B"/>
    <w:rsid w:val="00143047"/>
    <w:rsid w:val="001430D0"/>
    <w:rsid w:val="00143F67"/>
    <w:rsid w:val="00145234"/>
    <w:rsid w:val="00145540"/>
    <w:rsid w:val="001456B0"/>
    <w:rsid w:val="001465E9"/>
    <w:rsid w:val="00150A00"/>
    <w:rsid w:val="00151366"/>
    <w:rsid w:val="001525DB"/>
    <w:rsid w:val="00154427"/>
    <w:rsid w:val="001546DE"/>
    <w:rsid w:val="001547AB"/>
    <w:rsid w:val="0015549E"/>
    <w:rsid w:val="00156F8F"/>
    <w:rsid w:val="00157130"/>
    <w:rsid w:val="001576B1"/>
    <w:rsid w:val="001603AF"/>
    <w:rsid w:val="0016047B"/>
    <w:rsid w:val="00160A4C"/>
    <w:rsid w:val="00160C16"/>
    <w:rsid w:val="001610A9"/>
    <w:rsid w:val="00162913"/>
    <w:rsid w:val="00163137"/>
    <w:rsid w:val="00163EFF"/>
    <w:rsid w:val="00163F66"/>
    <w:rsid w:val="00164509"/>
    <w:rsid w:val="0016478E"/>
    <w:rsid w:val="001658E8"/>
    <w:rsid w:val="00165EC4"/>
    <w:rsid w:val="001661FB"/>
    <w:rsid w:val="00166335"/>
    <w:rsid w:val="0016640B"/>
    <w:rsid w:val="001671A0"/>
    <w:rsid w:val="0016767F"/>
    <w:rsid w:val="00167CB5"/>
    <w:rsid w:val="00170ACD"/>
    <w:rsid w:val="001730D3"/>
    <w:rsid w:val="00173565"/>
    <w:rsid w:val="00173B07"/>
    <w:rsid w:val="001751FA"/>
    <w:rsid w:val="001775C4"/>
    <w:rsid w:val="00177E26"/>
    <w:rsid w:val="00181C10"/>
    <w:rsid w:val="00181D9C"/>
    <w:rsid w:val="001837FF"/>
    <w:rsid w:val="001849FE"/>
    <w:rsid w:val="00184B0E"/>
    <w:rsid w:val="001850DC"/>
    <w:rsid w:val="0018752F"/>
    <w:rsid w:val="0019075B"/>
    <w:rsid w:val="00192090"/>
    <w:rsid w:val="00192574"/>
    <w:rsid w:val="001927BF"/>
    <w:rsid w:val="00193838"/>
    <w:rsid w:val="00194AD8"/>
    <w:rsid w:val="00195222"/>
    <w:rsid w:val="00195452"/>
    <w:rsid w:val="001968FD"/>
    <w:rsid w:val="001975D8"/>
    <w:rsid w:val="001A178E"/>
    <w:rsid w:val="001A2A30"/>
    <w:rsid w:val="001A3602"/>
    <w:rsid w:val="001A3CB4"/>
    <w:rsid w:val="001A43FA"/>
    <w:rsid w:val="001A45B5"/>
    <w:rsid w:val="001A47C5"/>
    <w:rsid w:val="001A5989"/>
    <w:rsid w:val="001A59FB"/>
    <w:rsid w:val="001A5E9E"/>
    <w:rsid w:val="001A6354"/>
    <w:rsid w:val="001A6366"/>
    <w:rsid w:val="001A6BAE"/>
    <w:rsid w:val="001A7AE8"/>
    <w:rsid w:val="001B204E"/>
    <w:rsid w:val="001B2372"/>
    <w:rsid w:val="001B2C53"/>
    <w:rsid w:val="001B3443"/>
    <w:rsid w:val="001B4D20"/>
    <w:rsid w:val="001B6193"/>
    <w:rsid w:val="001B6BB1"/>
    <w:rsid w:val="001B7F84"/>
    <w:rsid w:val="001C0566"/>
    <w:rsid w:val="001C2A9B"/>
    <w:rsid w:val="001C3DD6"/>
    <w:rsid w:val="001C4299"/>
    <w:rsid w:val="001C4874"/>
    <w:rsid w:val="001C5F94"/>
    <w:rsid w:val="001C635D"/>
    <w:rsid w:val="001C6E66"/>
    <w:rsid w:val="001D0732"/>
    <w:rsid w:val="001D1100"/>
    <w:rsid w:val="001D1391"/>
    <w:rsid w:val="001D25D7"/>
    <w:rsid w:val="001D50B2"/>
    <w:rsid w:val="001D6CA1"/>
    <w:rsid w:val="001D71F4"/>
    <w:rsid w:val="001D7645"/>
    <w:rsid w:val="001E050D"/>
    <w:rsid w:val="001E1A63"/>
    <w:rsid w:val="001E1E86"/>
    <w:rsid w:val="001E238E"/>
    <w:rsid w:val="001E2483"/>
    <w:rsid w:val="001E2B1E"/>
    <w:rsid w:val="001E2CFF"/>
    <w:rsid w:val="001E2F24"/>
    <w:rsid w:val="001E30D4"/>
    <w:rsid w:val="001E34DF"/>
    <w:rsid w:val="001E52EB"/>
    <w:rsid w:val="001E61D2"/>
    <w:rsid w:val="001E740C"/>
    <w:rsid w:val="001F1235"/>
    <w:rsid w:val="001F1CB3"/>
    <w:rsid w:val="001F29DF"/>
    <w:rsid w:val="001F38B5"/>
    <w:rsid w:val="001F4081"/>
    <w:rsid w:val="001F5FF6"/>
    <w:rsid w:val="001F7361"/>
    <w:rsid w:val="001F780B"/>
    <w:rsid w:val="0020097E"/>
    <w:rsid w:val="002011B0"/>
    <w:rsid w:val="00203181"/>
    <w:rsid w:val="00203783"/>
    <w:rsid w:val="0020385F"/>
    <w:rsid w:val="00203A64"/>
    <w:rsid w:val="00203AD9"/>
    <w:rsid w:val="002052A2"/>
    <w:rsid w:val="002063DE"/>
    <w:rsid w:val="002068A0"/>
    <w:rsid w:val="00207021"/>
    <w:rsid w:val="0020732F"/>
    <w:rsid w:val="00207D00"/>
    <w:rsid w:val="002103F2"/>
    <w:rsid w:val="002105C1"/>
    <w:rsid w:val="00210E33"/>
    <w:rsid w:val="002116FD"/>
    <w:rsid w:val="00211862"/>
    <w:rsid w:val="0021188A"/>
    <w:rsid w:val="00212B4B"/>
    <w:rsid w:val="00213777"/>
    <w:rsid w:val="00213EF5"/>
    <w:rsid w:val="00214FC7"/>
    <w:rsid w:val="0021556D"/>
    <w:rsid w:val="00216BF5"/>
    <w:rsid w:val="002177D5"/>
    <w:rsid w:val="00223B49"/>
    <w:rsid w:val="00223D5A"/>
    <w:rsid w:val="002245B8"/>
    <w:rsid w:val="00224DD4"/>
    <w:rsid w:val="00226A28"/>
    <w:rsid w:val="002278A0"/>
    <w:rsid w:val="002309CC"/>
    <w:rsid w:val="00230FB8"/>
    <w:rsid w:val="002310D6"/>
    <w:rsid w:val="00231BA9"/>
    <w:rsid w:val="0023209F"/>
    <w:rsid w:val="00233388"/>
    <w:rsid w:val="00233AE3"/>
    <w:rsid w:val="00233C01"/>
    <w:rsid w:val="0023413C"/>
    <w:rsid w:val="002346F0"/>
    <w:rsid w:val="00235685"/>
    <w:rsid w:val="0023629D"/>
    <w:rsid w:val="00237255"/>
    <w:rsid w:val="00237C42"/>
    <w:rsid w:val="0024129D"/>
    <w:rsid w:val="0024158A"/>
    <w:rsid w:val="002424AF"/>
    <w:rsid w:val="002439DC"/>
    <w:rsid w:val="00243F53"/>
    <w:rsid w:val="002441D2"/>
    <w:rsid w:val="00244DC8"/>
    <w:rsid w:val="002458BA"/>
    <w:rsid w:val="00245CE9"/>
    <w:rsid w:val="0024630A"/>
    <w:rsid w:val="0024636C"/>
    <w:rsid w:val="0024710B"/>
    <w:rsid w:val="00247925"/>
    <w:rsid w:val="00251006"/>
    <w:rsid w:val="00251DFE"/>
    <w:rsid w:val="002524D5"/>
    <w:rsid w:val="00253B1D"/>
    <w:rsid w:val="00253E21"/>
    <w:rsid w:val="00254DCF"/>
    <w:rsid w:val="0025534B"/>
    <w:rsid w:val="00255425"/>
    <w:rsid w:val="00255BB7"/>
    <w:rsid w:val="00257541"/>
    <w:rsid w:val="00257683"/>
    <w:rsid w:val="00257A39"/>
    <w:rsid w:val="00257AC4"/>
    <w:rsid w:val="00257BBE"/>
    <w:rsid w:val="00257C45"/>
    <w:rsid w:val="00261EEF"/>
    <w:rsid w:val="0026200D"/>
    <w:rsid w:val="00262030"/>
    <w:rsid w:val="00262A1A"/>
    <w:rsid w:val="00262A87"/>
    <w:rsid w:val="00263D1F"/>
    <w:rsid w:val="00264D26"/>
    <w:rsid w:val="00265C0D"/>
    <w:rsid w:val="00266ED0"/>
    <w:rsid w:val="00267642"/>
    <w:rsid w:val="00267AEA"/>
    <w:rsid w:val="002700E6"/>
    <w:rsid w:val="00270ADA"/>
    <w:rsid w:val="0027294B"/>
    <w:rsid w:val="0027304A"/>
    <w:rsid w:val="00273EB4"/>
    <w:rsid w:val="0027410A"/>
    <w:rsid w:val="00274682"/>
    <w:rsid w:val="00275158"/>
    <w:rsid w:val="00275C5A"/>
    <w:rsid w:val="00275F88"/>
    <w:rsid w:val="00280287"/>
    <w:rsid w:val="002807A8"/>
    <w:rsid w:val="00281014"/>
    <w:rsid w:val="00284041"/>
    <w:rsid w:val="00284481"/>
    <w:rsid w:val="00284C87"/>
    <w:rsid w:val="00285BCE"/>
    <w:rsid w:val="0028665D"/>
    <w:rsid w:val="00287567"/>
    <w:rsid w:val="002910AC"/>
    <w:rsid w:val="00291EFB"/>
    <w:rsid w:val="00297F9C"/>
    <w:rsid w:val="002A14AB"/>
    <w:rsid w:val="002A2ADE"/>
    <w:rsid w:val="002A2EB2"/>
    <w:rsid w:val="002A2F50"/>
    <w:rsid w:val="002A4B51"/>
    <w:rsid w:val="002A4C4D"/>
    <w:rsid w:val="002A7943"/>
    <w:rsid w:val="002B0048"/>
    <w:rsid w:val="002B05A1"/>
    <w:rsid w:val="002B09A4"/>
    <w:rsid w:val="002B11F4"/>
    <w:rsid w:val="002B1C1F"/>
    <w:rsid w:val="002B282F"/>
    <w:rsid w:val="002B3477"/>
    <w:rsid w:val="002B39BD"/>
    <w:rsid w:val="002B432F"/>
    <w:rsid w:val="002B62B3"/>
    <w:rsid w:val="002B6754"/>
    <w:rsid w:val="002B6CCE"/>
    <w:rsid w:val="002B7393"/>
    <w:rsid w:val="002C1530"/>
    <w:rsid w:val="002C2510"/>
    <w:rsid w:val="002C2775"/>
    <w:rsid w:val="002C27C1"/>
    <w:rsid w:val="002C357F"/>
    <w:rsid w:val="002C36E3"/>
    <w:rsid w:val="002C5099"/>
    <w:rsid w:val="002C5889"/>
    <w:rsid w:val="002C71CE"/>
    <w:rsid w:val="002D08F8"/>
    <w:rsid w:val="002D1FB3"/>
    <w:rsid w:val="002D4733"/>
    <w:rsid w:val="002D4A28"/>
    <w:rsid w:val="002D577C"/>
    <w:rsid w:val="002D7832"/>
    <w:rsid w:val="002D7CD7"/>
    <w:rsid w:val="002E1071"/>
    <w:rsid w:val="002E15B9"/>
    <w:rsid w:val="002E1877"/>
    <w:rsid w:val="002E2074"/>
    <w:rsid w:val="002E2158"/>
    <w:rsid w:val="002E3AE3"/>
    <w:rsid w:val="002E4F02"/>
    <w:rsid w:val="002E5701"/>
    <w:rsid w:val="002E58C7"/>
    <w:rsid w:val="002E6A84"/>
    <w:rsid w:val="002E6EEC"/>
    <w:rsid w:val="002E7722"/>
    <w:rsid w:val="002F07BA"/>
    <w:rsid w:val="002F0DA9"/>
    <w:rsid w:val="002F1014"/>
    <w:rsid w:val="002F115A"/>
    <w:rsid w:val="002F1176"/>
    <w:rsid w:val="002F1921"/>
    <w:rsid w:val="002F1E3B"/>
    <w:rsid w:val="002F26A3"/>
    <w:rsid w:val="002F643C"/>
    <w:rsid w:val="002F71C0"/>
    <w:rsid w:val="002F74F1"/>
    <w:rsid w:val="003008D1"/>
    <w:rsid w:val="00301017"/>
    <w:rsid w:val="0030155F"/>
    <w:rsid w:val="00303839"/>
    <w:rsid w:val="00304709"/>
    <w:rsid w:val="00304CBF"/>
    <w:rsid w:val="0030587B"/>
    <w:rsid w:val="00306D98"/>
    <w:rsid w:val="0030786C"/>
    <w:rsid w:val="0031031A"/>
    <w:rsid w:val="00310981"/>
    <w:rsid w:val="00311D9B"/>
    <w:rsid w:val="003124D9"/>
    <w:rsid w:val="00312594"/>
    <w:rsid w:val="00315118"/>
    <w:rsid w:val="00315498"/>
    <w:rsid w:val="00316474"/>
    <w:rsid w:val="00316877"/>
    <w:rsid w:val="0031794E"/>
    <w:rsid w:val="003200A7"/>
    <w:rsid w:val="00320224"/>
    <w:rsid w:val="00322107"/>
    <w:rsid w:val="00322355"/>
    <w:rsid w:val="00322379"/>
    <w:rsid w:val="003223EF"/>
    <w:rsid w:val="00322846"/>
    <w:rsid w:val="0032295E"/>
    <w:rsid w:val="0032454B"/>
    <w:rsid w:val="00326DA7"/>
    <w:rsid w:val="003270E4"/>
    <w:rsid w:val="003273FD"/>
    <w:rsid w:val="00330DAA"/>
    <w:rsid w:val="00330F5C"/>
    <w:rsid w:val="00334AC5"/>
    <w:rsid w:val="00336594"/>
    <w:rsid w:val="003366C9"/>
    <w:rsid w:val="00336E5B"/>
    <w:rsid w:val="003371B0"/>
    <w:rsid w:val="00337DC6"/>
    <w:rsid w:val="00340DF1"/>
    <w:rsid w:val="00341998"/>
    <w:rsid w:val="00341A43"/>
    <w:rsid w:val="0034311E"/>
    <w:rsid w:val="003439FA"/>
    <w:rsid w:val="00344998"/>
    <w:rsid w:val="00345013"/>
    <w:rsid w:val="0034596A"/>
    <w:rsid w:val="00345997"/>
    <w:rsid w:val="0034732A"/>
    <w:rsid w:val="00347724"/>
    <w:rsid w:val="003500AA"/>
    <w:rsid w:val="0035013E"/>
    <w:rsid w:val="003517F9"/>
    <w:rsid w:val="00351BA9"/>
    <w:rsid w:val="00354F64"/>
    <w:rsid w:val="003551EF"/>
    <w:rsid w:val="0035620E"/>
    <w:rsid w:val="003575BE"/>
    <w:rsid w:val="00360345"/>
    <w:rsid w:val="003605D3"/>
    <w:rsid w:val="003617E3"/>
    <w:rsid w:val="00361A05"/>
    <w:rsid w:val="003624C4"/>
    <w:rsid w:val="00362BAC"/>
    <w:rsid w:val="00363707"/>
    <w:rsid w:val="00363B00"/>
    <w:rsid w:val="0036427D"/>
    <w:rsid w:val="003654AC"/>
    <w:rsid w:val="00365599"/>
    <w:rsid w:val="00366C30"/>
    <w:rsid w:val="00370600"/>
    <w:rsid w:val="00370D90"/>
    <w:rsid w:val="003710CF"/>
    <w:rsid w:val="003712C0"/>
    <w:rsid w:val="003725E6"/>
    <w:rsid w:val="0037358A"/>
    <w:rsid w:val="00373B48"/>
    <w:rsid w:val="003750F6"/>
    <w:rsid w:val="003760FC"/>
    <w:rsid w:val="0037685D"/>
    <w:rsid w:val="00377656"/>
    <w:rsid w:val="00380CB0"/>
    <w:rsid w:val="003818FE"/>
    <w:rsid w:val="0038220B"/>
    <w:rsid w:val="00382F1F"/>
    <w:rsid w:val="0038365C"/>
    <w:rsid w:val="0038369B"/>
    <w:rsid w:val="00383B78"/>
    <w:rsid w:val="00385A9D"/>
    <w:rsid w:val="00385FE6"/>
    <w:rsid w:val="00387121"/>
    <w:rsid w:val="003902B1"/>
    <w:rsid w:val="003909C5"/>
    <w:rsid w:val="00390DC9"/>
    <w:rsid w:val="0039179C"/>
    <w:rsid w:val="00392526"/>
    <w:rsid w:val="00392C07"/>
    <w:rsid w:val="00396896"/>
    <w:rsid w:val="00396B30"/>
    <w:rsid w:val="00396D9B"/>
    <w:rsid w:val="00396FD0"/>
    <w:rsid w:val="003A02EA"/>
    <w:rsid w:val="003A1A7A"/>
    <w:rsid w:val="003A2392"/>
    <w:rsid w:val="003A2831"/>
    <w:rsid w:val="003A3CB6"/>
    <w:rsid w:val="003A3ED1"/>
    <w:rsid w:val="003A3F03"/>
    <w:rsid w:val="003A44DB"/>
    <w:rsid w:val="003A4C14"/>
    <w:rsid w:val="003A570C"/>
    <w:rsid w:val="003A649F"/>
    <w:rsid w:val="003A7909"/>
    <w:rsid w:val="003B0305"/>
    <w:rsid w:val="003B0D60"/>
    <w:rsid w:val="003B3971"/>
    <w:rsid w:val="003B39F4"/>
    <w:rsid w:val="003B3B1D"/>
    <w:rsid w:val="003B55D1"/>
    <w:rsid w:val="003B5B61"/>
    <w:rsid w:val="003B62DF"/>
    <w:rsid w:val="003B7599"/>
    <w:rsid w:val="003C0AB9"/>
    <w:rsid w:val="003C1654"/>
    <w:rsid w:val="003C2575"/>
    <w:rsid w:val="003C2FB1"/>
    <w:rsid w:val="003C5542"/>
    <w:rsid w:val="003C6FFA"/>
    <w:rsid w:val="003C7C15"/>
    <w:rsid w:val="003C7D19"/>
    <w:rsid w:val="003C7D2F"/>
    <w:rsid w:val="003D0C5A"/>
    <w:rsid w:val="003D1828"/>
    <w:rsid w:val="003D1DE4"/>
    <w:rsid w:val="003D1E9A"/>
    <w:rsid w:val="003D2422"/>
    <w:rsid w:val="003D2696"/>
    <w:rsid w:val="003D2FF4"/>
    <w:rsid w:val="003D39A1"/>
    <w:rsid w:val="003D3FBF"/>
    <w:rsid w:val="003D41F9"/>
    <w:rsid w:val="003D4A30"/>
    <w:rsid w:val="003D7452"/>
    <w:rsid w:val="003D76ED"/>
    <w:rsid w:val="003D79BB"/>
    <w:rsid w:val="003D7C98"/>
    <w:rsid w:val="003D7D9D"/>
    <w:rsid w:val="003E0543"/>
    <w:rsid w:val="003E2664"/>
    <w:rsid w:val="003E5603"/>
    <w:rsid w:val="003E5785"/>
    <w:rsid w:val="003E5F11"/>
    <w:rsid w:val="003E5F9F"/>
    <w:rsid w:val="003E6E51"/>
    <w:rsid w:val="003E749E"/>
    <w:rsid w:val="003F19BA"/>
    <w:rsid w:val="003F1D06"/>
    <w:rsid w:val="003F2253"/>
    <w:rsid w:val="003F4156"/>
    <w:rsid w:val="003F4214"/>
    <w:rsid w:val="003F5ADF"/>
    <w:rsid w:val="004009DB"/>
    <w:rsid w:val="00400B29"/>
    <w:rsid w:val="004012E5"/>
    <w:rsid w:val="00402812"/>
    <w:rsid w:val="00402F92"/>
    <w:rsid w:val="004032BA"/>
    <w:rsid w:val="0040504B"/>
    <w:rsid w:val="0040534B"/>
    <w:rsid w:val="004059F4"/>
    <w:rsid w:val="00407FE5"/>
    <w:rsid w:val="004101B0"/>
    <w:rsid w:val="00410326"/>
    <w:rsid w:val="00410708"/>
    <w:rsid w:val="00410EC7"/>
    <w:rsid w:val="00411B39"/>
    <w:rsid w:val="004127A7"/>
    <w:rsid w:val="00412A5F"/>
    <w:rsid w:val="00413918"/>
    <w:rsid w:val="00413A1E"/>
    <w:rsid w:val="00414476"/>
    <w:rsid w:val="00414C2E"/>
    <w:rsid w:val="004151CF"/>
    <w:rsid w:val="00416364"/>
    <w:rsid w:val="00416381"/>
    <w:rsid w:val="00416E45"/>
    <w:rsid w:val="004172C1"/>
    <w:rsid w:val="0042047F"/>
    <w:rsid w:val="00420AA6"/>
    <w:rsid w:val="00420B9F"/>
    <w:rsid w:val="00420FA4"/>
    <w:rsid w:val="0042192C"/>
    <w:rsid w:val="00422260"/>
    <w:rsid w:val="0042413F"/>
    <w:rsid w:val="00426B5A"/>
    <w:rsid w:val="004319F8"/>
    <w:rsid w:val="00431E55"/>
    <w:rsid w:val="004321F6"/>
    <w:rsid w:val="00432CD7"/>
    <w:rsid w:val="00432F98"/>
    <w:rsid w:val="00433044"/>
    <w:rsid w:val="004332D4"/>
    <w:rsid w:val="00434088"/>
    <w:rsid w:val="00434729"/>
    <w:rsid w:val="004350ED"/>
    <w:rsid w:val="00436C4E"/>
    <w:rsid w:val="004375B9"/>
    <w:rsid w:val="00437A72"/>
    <w:rsid w:val="004407CB"/>
    <w:rsid w:val="004421E3"/>
    <w:rsid w:val="004428D0"/>
    <w:rsid w:val="00444185"/>
    <w:rsid w:val="004443A7"/>
    <w:rsid w:val="0044442C"/>
    <w:rsid w:val="00445941"/>
    <w:rsid w:val="004464EB"/>
    <w:rsid w:val="00447D26"/>
    <w:rsid w:val="00447DFC"/>
    <w:rsid w:val="00454A06"/>
    <w:rsid w:val="00454B6A"/>
    <w:rsid w:val="00455D45"/>
    <w:rsid w:val="00455E85"/>
    <w:rsid w:val="00457396"/>
    <w:rsid w:val="004634FD"/>
    <w:rsid w:val="00464595"/>
    <w:rsid w:val="004652E2"/>
    <w:rsid w:val="00465478"/>
    <w:rsid w:val="004658B5"/>
    <w:rsid w:val="0046783D"/>
    <w:rsid w:val="0047054F"/>
    <w:rsid w:val="00471E73"/>
    <w:rsid w:val="00471EA5"/>
    <w:rsid w:val="00472A79"/>
    <w:rsid w:val="00473169"/>
    <w:rsid w:val="00473F19"/>
    <w:rsid w:val="00475E22"/>
    <w:rsid w:val="00480685"/>
    <w:rsid w:val="0048088E"/>
    <w:rsid w:val="00480D72"/>
    <w:rsid w:val="00480F2B"/>
    <w:rsid w:val="00482720"/>
    <w:rsid w:val="004835E7"/>
    <w:rsid w:val="004844B8"/>
    <w:rsid w:val="004859E1"/>
    <w:rsid w:val="004867E2"/>
    <w:rsid w:val="00490B17"/>
    <w:rsid w:val="00491B3A"/>
    <w:rsid w:val="004920B6"/>
    <w:rsid w:val="0049263E"/>
    <w:rsid w:val="00492CFD"/>
    <w:rsid w:val="0049382B"/>
    <w:rsid w:val="00494207"/>
    <w:rsid w:val="00494DD5"/>
    <w:rsid w:val="004962D2"/>
    <w:rsid w:val="00496A07"/>
    <w:rsid w:val="00497DC1"/>
    <w:rsid w:val="004A0DA1"/>
    <w:rsid w:val="004A13D6"/>
    <w:rsid w:val="004A4FE8"/>
    <w:rsid w:val="004A52E9"/>
    <w:rsid w:val="004A5757"/>
    <w:rsid w:val="004A6040"/>
    <w:rsid w:val="004A6597"/>
    <w:rsid w:val="004A6B22"/>
    <w:rsid w:val="004A7848"/>
    <w:rsid w:val="004A793B"/>
    <w:rsid w:val="004B10CC"/>
    <w:rsid w:val="004B1CB4"/>
    <w:rsid w:val="004B2C5C"/>
    <w:rsid w:val="004B2DBE"/>
    <w:rsid w:val="004B2F18"/>
    <w:rsid w:val="004B3DDB"/>
    <w:rsid w:val="004B44FD"/>
    <w:rsid w:val="004B55EF"/>
    <w:rsid w:val="004B5CFC"/>
    <w:rsid w:val="004B6F79"/>
    <w:rsid w:val="004B774D"/>
    <w:rsid w:val="004C0864"/>
    <w:rsid w:val="004C2AC2"/>
    <w:rsid w:val="004C4AED"/>
    <w:rsid w:val="004C7E94"/>
    <w:rsid w:val="004D2C2D"/>
    <w:rsid w:val="004D4226"/>
    <w:rsid w:val="004D69B5"/>
    <w:rsid w:val="004D7227"/>
    <w:rsid w:val="004D7B5E"/>
    <w:rsid w:val="004E011D"/>
    <w:rsid w:val="004E0E7F"/>
    <w:rsid w:val="004E0EB8"/>
    <w:rsid w:val="004E18E9"/>
    <w:rsid w:val="004E201F"/>
    <w:rsid w:val="004E2ADC"/>
    <w:rsid w:val="004E384A"/>
    <w:rsid w:val="004E43B2"/>
    <w:rsid w:val="004E4C2F"/>
    <w:rsid w:val="004E69EF"/>
    <w:rsid w:val="004E7530"/>
    <w:rsid w:val="004F0C87"/>
    <w:rsid w:val="004F0F48"/>
    <w:rsid w:val="004F1D02"/>
    <w:rsid w:val="004F2679"/>
    <w:rsid w:val="004F2F21"/>
    <w:rsid w:val="004F3DE5"/>
    <w:rsid w:val="004F56E5"/>
    <w:rsid w:val="004F6141"/>
    <w:rsid w:val="004F6913"/>
    <w:rsid w:val="004F7865"/>
    <w:rsid w:val="005002A6"/>
    <w:rsid w:val="0050174E"/>
    <w:rsid w:val="00501854"/>
    <w:rsid w:val="005019B2"/>
    <w:rsid w:val="0050219B"/>
    <w:rsid w:val="00503F17"/>
    <w:rsid w:val="00503F3A"/>
    <w:rsid w:val="0050425F"/>
    <w:rsid w:val="0050433A"/>
    <w:rsid w:val="005050D2"/>
    <w:rsid w:val="00506928"/>
    <w:rsid w:val="005077EF"/>
    <w:rsid w:val="00510EED"/>
    <w:rsid w:val="005110CD"/>
    <w:rsid w:val="00511806"/>
    <w:rsid w:val="00511AD5"/>
    <w:rsid w:val="00511DC7"/>
    <w:rsid w:val="0051292C"/>
    <w:rsid w:val="005142C5"/>
    <w:rsid w:val="00514970"/>
    <w:rsid w:val="0051501B"/>
    <w:rsid w:val="005152B5"/>
    <w:rsid w:val="00515886"/>
    <w:rsid w:val="0051652F"/>
    <w:rsid w:val="00517F57"/>
    <w:rsid w:val="0052123C"/>
    <w:rsid w:val="00521319"/>
    <w:rsid w:val="00522BC8"/>
    <w:rsid w:val="00522C2D"/>
    <w:rsid w:val="00523C28"/>
    <w:rsid w:val="00524BC6"/>
    <w:rsid w:val="00527065"/>
    <w:rsid w:val="0053176B"/>
    <w:rsid w:val="00531C89"/>
    <w:rsid w:val="00533E08"/>
    <w:rsid w:val="005341B3"/>
    <w:rsid w:val="00534D13"/>
    <w:rsid w:val="00535A4A"/>
    <w:rsid w:val="00535DE5"/>
    <w:rsid w:val="00536F42"/>
    <w:rsid w:val="00537182"/>
    <w:rsid w:val="00540297"/>
    <w:rsid w:val="00540755"/>
    <w:rsid w:val="005411E5"/>
    <w:rsid w:val="00541EDD"/>
    <w:rsid w:val="00542743"/>
    <w:rsid w:val="00542C2D"/>
    <w:rsid w:val="00542D68"/>
    <w:rsid w:val="00542F7C"/>
    <w:rsid w:val="005478BD"/>
    <w:rsid w:val="005479E3"/>
    <w:rsid w:val="0055063D"/>
    <w:rsid w:val="00551564"/>
    <w:rsid w:val="00551985"/>
    <w:rsid w:val="00552BD3"/>
    <w:rsid w:val="00553092"/>
    <w:rsid w:val="005532A0"/>
    <w:rsid w:val="00555109"/>
    <w:rsid w:val="00556B35"/>
    <w:rsid w:val="005573B0"/>
    <w:rsid w:val="0055741A"/>
    <w:rsid w:val="00560D81"/>
    <w:rsid w:val="005611B7"/>
    <w:rsid w:val="005618D4"/>
    <w:rsid w:val="00562AF6"/>
    <w:rsid w:val="00564867"/>
    <w:rsid w:val="0056567A"/>
    <w:rsid w:val="00565C79"/>
    <w:rsid w:val="00565C93"/>
    <w:rsid w:val="00565DF0"/>
    <w:rsid w:val="0056696F"/>
    <w:rsid w:val="0057010C"/>
    <w:rsid w:val="00572269"/>
    <w:rsid w:val="0057244A"/>
    <w:rsid w:val="005728E0"/>
    <w:rsid w:val="00572F26"/>
    <w:rsid w:val="005737CC"/>
    <w:rsid w:val="00573AD0"/>
    <w:rsid w:val="005750C5"/>
    <w:rsid w:val="005752DE"/>
    <w:rsid w:val="00575D60"/>
    <w:rsid w:val="00575D8D"/>
    <w:rsid w:val="00576972"/>
    <w:rsid w:val="00576C5C"/>
    <w:rsid w:val="00577248"/>
    <w:rsid w:val="00577602"/>
    <w:rsid w:val="00583699"/>
    <w:rsid w:val="00584653"/>
    <w:rsid w:val="00585CDD"/>
    <w:rsid w:val="00586CBA"/>
    <w:rsid w:val="00586F9E"/>
    <w:rsid w:val="00587058"/>
    <w:rsid w:val="00590270"/>
    <w:rsid w:val="00590499"/>
    <w:rsid w:val="00591957"/>
    <w:rsid w:val="0059275B"/>
    <w:rsid w:val="005933D6"/>
    <w:rsid w:val="005934FA"/>
    <w:rsid w:val="00594491"/>
    <w:rsid w:val="005944C5"/>
    <w:rsid w:val="00597BF9"/>
    <w:rsid w:val="00597EA7"/>
    <w:rsid w:val="005A0C11"/>
    <w:rsid w:val="005A1E02"/>
    <w:rsid w:val="005A21E6"/>
    <w:rsid w:val="005A309A"/>
    <w:rsid w:val="005A373D"/>
    <w:rsid w:val="005B05E4"/>
    <w:rsid w:val="005B0B58"/>
    <w:rsid w:val="005B119F"/>
    <w:rsid w:val="005B3E7C"/>
    <w:rsid w:val="005B4E53"/>
    <w:rsid w:val="005B5857"/>
    <w:rsid w:val="005B62CF"/>
    <w:rsid w:val="005B63DF"/>
    <w:rsid w:val="005C19C4"/>
    <w:rsid w:val="005C1B83"/>
    <w:rsid w:val="005C25FF"/>
    <w:rsid w:val="005C2D55"/>
    <w:rsid w:val="005C346B"/>
    <w:rsid w:val="005C34BC"/>
    <w:rsid w:val="005C4260"/>
    <w:rsid w:val="005C5ABC"/>
    <w:rsid w:val="005C6E0C"/>
    <w:rsid w:val="005D044D"/>
    <w:rsid w:val="005D0ABD"/>
    <w:rsid w:val="005D18AD"/>
    <w:rsid w:val="005D2174"/>
    <w:rsid w:val="005D26B4"/>
    <w:rsid w:val="005D4ADA"/>
    <w:rsid w:val="005D59E1"/>
    <w:rsid w:val="005D6E54"/>
    <w:rsid w:val="005E1995"/>
    <w:rsid w:val="005E3F88"/>
    <w:rsid w:val="005E6CBC"/>
    <w:rsid w:val="005E72FF"/>
    <w:rsid w:val="005E73C0"/>
    <w:rsid w:val="005F07ED"/>
    <w:rsid w:val="005F2706"/>
    <w:rsid w:val="005F674F"/>
    <w:rsid w:val="005F6A8F"/>
    <w:rsid w:val="005F6BB7"/>
    <w:rsid w:val="005F7588"/>
    <w:rsid w:val="005F7F7C"/>
    <w:rsid w:val="0060025A"/>
    <w:rsid w:val="00603DB9"/>
    <w:rsid w:val="00603DE9"/>
    <w:rsid w:val="006044E8"/>
    <w:rsid w:val="006045A2"/>
    <w:rsid w:val="00604A23"/>
    <w:rsid w:val="00606768"/>
    <w:rsid w:val="00606FBA"/>
    <w:rsid w:val="00607359"/>
    <w:rsid w:val="00607669"/>
    <w:rsid w:val="006076F4"/>
    <w:rsid w:val="00607AFD"/>
    <w:rsid w:val="00611B12"/>
    <w:rsid w:val="00612F97"/>
    <w:rsid w:val="0061345D"/>
    <w:rsid w:val="00614A71"/>
    <w:rsid w:val="0061549B"/>
    <w:rsid w:val="00616802"/>
    <w:rsid w:val="00616A96"/>
    <w:rsid w:val="00616EF6"/>
    <w:rsid w:val="00617E12"/>
    <w:rsid w:val="00620C25"/>
    <w:rsid w:val="00621477"/>
    <w:rsid w:val="00621ADA"/>
    <w:rsid w:val="00622A73"/>
    <w:rsid w:val="00623F7B"/>
    <w:rsid w:val="00624BD4"/>
    <w:rsid w:val="00624F84"/>
    <w:rsid w:val="0062574A"/>
    <w:rsid w:val="006260EA"/>
    <w:rsid w:val="006267D4"/>
    <w:rsid w:val="00626F5F"/>
    <w:rsid w:val="0063158F"/>
    <w:rsid w:val="00631D6B"/>
    <w:rsid w:val="00632183"/>
    <w:rsid w:val="00632CC8"/>
    <w:rsid w:val="00632F48"/>
    <w:rsid w:val="006330A1"/>
    <w:rsid w:val="0063479F"/>
    <w:rsid w:val="006353F0"/>
    <w:rsid w:val="0063549A"/>
    <w:rsid w:val="006357B5"/>
    <w:rsid w:val="006364A1"/>
    <w:rsid w:val="0063678E"/>
    <w:rsid w:val="00637BFD"/>
    <w:rsid w:val="00637C5C"/>
    <w:rsid w:val="00641C4E"/>
    <w:rsid w:val="00641FB3"/>
    <w:rsid w:val="00642B3F"/>
    <w:rsid w:val="00643AC7"/>
    <w:rsid w:val="0064434C"/>
    <w:rsid w:val="006468D8"/>
    <w:rsid w:val="006471CC"/>
    <w:rsid w:val="006472FE"/>
    <w:rsid w:val="00647A29"/>
    <w:rsid w:val="0065079F"/>
    <w:rsid w:val="0065260F"/>
    <w:rsid w:val="00652A28"/>
    <w:rsid w:val="00652C9F"/>
    <w:rsid w:val="006535DB"/>
    <w:rsid w:val="0065379F"/>
    <w:rsid w:val="00653EEA"/>
    <w:rsid w:val="00655E7C"/>
    <w:rsid w:val="00656188"/>
    <w:rsid w:val="00656B89"/>
    <w:rsid w:val="0065715A"/>
    <w:rsid w:val="00660682"/>
    <w:rsid w:val="006610F1"/>
    <w:rsid w:val="006614C8"/>
    <w:rsid w:val="00661AAA"/>
    <w:rsid w:val="00661C6B"/>
    <w:rsid w:val="00662182"/>
    <w:rsid w:val="00662BDB"/>
    <w:rsid w:val="00662D3E"/>
    <w:rsid w:val="006646F4"/>
    <w:rsid w:val="00666498"/>
    <w:rsid w:val="00667BE3"/>
    <w:rsid w:val="00670810"/>
    <w:rsid w:val="00671004"/>
    <w:rsid w:val="00672406"/>
    <w:rsid w:val="00672646"/>
    <w:rsid w:val="00672E85"/>
    <w:rsid w:val="00674E42"/>
    <w:rsid w:val="00674F3F"/>
    <w:rsid w:val="00676563"/>
    <w:rsid w:val="00676BA7"/>
    <w:rsid w:val="00676DB8"/>
    <w:rsid w:val="006805E2"/>
    <w:rsid w:val="006813F8"/>
    <w:rsid w:val="006815C0"/>
    <w:rsid w:val="00682112"/>
    <w:rsid w:val="00682BA6"/>
    <w:rsid w:val="00684EC2"/>
    <w:rsid w:val="006855E3"/>
    <w:rsid w:val="006861ED"/>
    <w:rsid w:val="00686413"/>
    <w:rsid w:val="00686957"/>
    <w:rsid w:val="006872BA"/>
    <w:rsid w:val="00690795"/>
    <w:rsid w:val="00691648"/>
    <w:rsid w:val="006917D7"/>
    <w:rsid w:val="00691C2C"/>
    <w:rsid w:val="00692F66"/>
    <w:rsid w:val="00694006"/>
    <w:rsid w:val="0069434C"/>
    <w:rsid w:val="00694F44"/>
    <w:rsid w:val="00696EF9"/>
    <w:rsid w:val="00696F51"/>
    <w:rsid w:val="006979A5"/>
    <w:rsid w:val="00697A06"/>
    <w:rsid w:val="006A016F"/>
    <w:rsid w:val="006A0DF7"/>
    <w:rsid w:val="006A2425"/>
    <w:rsid w:val="006A2F39"/>
    <w:rsid w:val="006A3358"/>
    <w:rsid w:val="006A3E4F"/>
    <w:rsid w:val="006A4102"/>
    <w:rsid w:val="006A4321"/>
    <w:rsid w:val="006A43D9"/>
    <w:rsid w:val="006A4430"/>
    <w:rsid w:val="006A49BD"/>
    <w:rsid w:val="006A5131"/>
    <w:rsid w:val="006A65BA"/>
    <w:rsid w:val="006A6B99"/>
    <w:rsid w:val="006A7208"/>
    <w:rsid w:val="006A7E5F"/>
    <w:rsid w:val="006A7F59"/>
    <w:rsid w:val="006B0937"/>
    <w:rsid w:val="006B261B"/>
    <w:rsid w:val="006B2C90"/>
    <w:rsid w:val="006B2E47"/>
    <w:rsid w:val="006B35E6"/>
    <w:rsid w:val="006B465A"/>
    <w:rsid w:val="006B557D"/>
    <w:rsid w:val="006B6DD0"/>
    <w:rsid w:val="006B6FED"/>
    <w:rsid w:val="006B7DF6"/>
    <w:rsid w:val="006C0399"/>
    <w:rsid w:val="006C2A8E"/>
    <w:rsid w:val="006C2C9C"/>
    <w:rsid w:val="006C3255"/>
    <w:rsid w:val="006C35C7"/>
    <w:rsid w:val="006C3762"/>
    <w:rsid w:val="006C381A"/>
    <w:rsid w:val="006C3F26"/>
    <w:rsid w:val="006C4080"/>
    <w:rsid w:val="006C463B"/>
    <w:rsid w:val="006C7CCB"/>
    <w:rsid w:val="006D0B3C"/>
    <w:rsid w:val="006D0D17"/>
    <w:rsid w:val="006D2D9F"/>
    <w:rsid w:val="006D2F2D"/>
    <w:rsid w:val="006D3C7D"/>
    <w:rsid w:val="006D4659"/>
    <w:rsid w:val="006D5D5F"/>
    <w:rsid w:val="006D6686"/>
    <w:rsid w:val="006D68FB"/>
    <w:rsid w:val="006D6C17"/>
    <w:rsid w:val="006D7B8E"/>
    <w:rsid w:val="006E1EB7"/>
    <w:rsid w:val="006E2868"/>
    <w:rsid w:val="006E3EB4"/>
    <w:rsid w:val="006F04A7"/>
    <w:rsid w:val="006F306C"/>
    <w:rsid w:val="006F3219"/>
    <w:rsid w:val="006F4043"/>
    <w:rsid w:val="006F44E2"/>
    <w:rsid w:val="006F5129"/>
    <w:rsid w:val="006F63A5"/>
    <w:rsid w:val="006F67CD"/>
    <w:rsid w:val="006F6886"/>
    <w:rsid w:val="006F6FB8"/>
    <w:rsid w:val="0070013E"/>
    <w:rsid w:val="0070142B"/>
    <w:rsid w:val="0070276E"/>
    <w:rsid w:val="00702CAA"/>
    <w:rsid w:val="00702F8F"/>
    <w:rsid w:val="00703D8B"/>
    <w:rsid w:val="00704E92"/>
    <w:rsid w:val="0070738C"/>
    <w:rsid w:val="007079FC"/>
    <w:rsid w:val="00711A36"/>
    <w:rsid w:val="007125D3"/>
    <w:rsid w:val="00713E5F"/>
    <w:rsid w:val="00714304"/>
    <w:rsid w:val="00714C26"/>
    <w:rsid w:val="0071529C"/>
    <w:rsid w:val="007164BA"/>
    <w:rsid w:val="00717070"/>
    <w:rsid w:val="007170DA"/>
    <w:rsid w:val="007172AD"/>
    <w:rsid w:val="007173EB"/>
    <w:rsid w:val="00717546"/>
    <w:rsid w:val="00717847"/>
    <w:rsid w:val="00717A87"/>
    <w:rsid w:val="00720801"/>
    <w:rsid w:val="007208B0"/>
    <w:rsid w:val="00722B1B"/>
    <w:rsid w:val="0072416F"/>
    <w:rsid w:val="00724DE9"/>
    <w:rsid w:val="007260EE"/>
    <w:rsid w:val="00727A77"/>
    <w:rsid w:val="00727C94"/>
    <w:rsid w:val="00731B0A"/>
    <w:rsid w:val="00731EAE"/>
    <w:rsid w:val="00733073"/>
    <w:rsid w:val="00733BC0"/>
    <w:rsid w:val="00734E55"/>
    <w:rsid w:val="00735033"/>
    <w:rsid w:val="00735328"/>
    <w:rsid w:val="0073685B"/>
    <w:rsid w:val="00736D53"/>
    <w:rsid w:val="0074332E"/>
    <w:rsid w:val="007449BF"/>
    <w:rsid w:val="00746016"/>
    <w:rsid w:val="007463FE"/>
    <w:rsid w:val="00746712"/>
    <w:rsid w:val="00746BC0"/>
    <w:rsid w:val="007509C0"/>
    <w:rsid w:val="007510B4"/>
    <w:rsid w:val="00752142"/>
    <w:rsid w:val="007523F9"/>
    <w:rsid w:val="00752F2A"/>
    <w:rsid w:val="0075357E"/>
    <w:rsid w:val="00753B29"/>
    <w:rsid w:val="00754A5F"/>
    <w:rsid w:val="00755B8D"/>
    <w:rsid w:val="007573E8"/>
    <w:rsid w:val="00760532"/>
    <w:rsid w:val="00760C4E"/>
    <w:rsid w:val="00760F9E"/>
    <w:rsid w:val="007616E6"/>
    <w:rsid w:val="00762423"/>
    <w:rsid w:val="007627BE"/>
    <w:rsid w:val="00762977"/>
    <w:rsid w:val="00762E77"/>
    <w:rsid w:val="00762F2F"/>
    <w:rsid w:val="00764F03"/>
    <w:rsid w:val="00765B1A"/>
    <w:rsid w:val="00765DC1"/>
    <w:rsid w:val="00771398"/>
    <w:rsid w:val="00773176"/>
    <w:rsid w:val="00774091"/>
    <w:rsid w:val="00774CCC"/>
    <w:rsid w:val="007750F7"/>
    <w:rsid w:val="00777335"/>
    <w:rsid w:val="00777781"/>
    <w:rsid w:val="007802CB"/>
    <w:rsid w:val="0078046C"/>
    <w:rsid w:val="00782689"/>
    <w:rsid w:val="0078314D"/>
    <w:rsid w:val="0078363D"/>
    <w:rsid w:val="007843F2"/>
    <w:rsid w:val="007846FA"/>
    <w:rsid w:val="00785A9F"/>
    <w:rsid w:val="00787C80"/>
    <w:rsid w:val="00791028"/>
    <w:rsid w:val="007925DF"/>
    <w:rsid w:val="00792EE9"/>
    <w:rsid w:val="0079515C"/>
    <w:rsid w:val="00795BBF"/>
    <w:rsid w:val="00796F11"/>
    <w:rsid w:val="007A08AA"/>
    <w:rsid w:val="007A0A12"/>
    <w:rsid w:val="007A132D"/>
    <w:rsid w:val="007A1345"/>
    <w:rsid w:val="007A2586"/>
    <w:rsid w:val="007A2DDB"/>
    <w:rsid w:val="007A686D"/>
    <w:rsid w:val="007A7037"/>
    <w:rsid w:val="007A70BA"/>
    <w:rsid w:val="007B07D6"/>
    <w:rsid w:val="007B0D68"/>
    <w:rsid w:val="007B251D"/>
    <w:rsid w:val="007B2703"/>
    <w:rsid w:val="007B3533"/>
    <w:rsid w:val="007B36E2"/>
    <w:rsid w:val="007B4F58"/>
    <w:rsid w:val="007B528D"/>
    <w:rsid w:val="007B5B34"/>
    <w:rsid w:val="007B5B63"/>
    <w:rsid w:val="007B63CA"/>
    <w:rsid w:val="007B77D1"/>
    <w:rsid w:val="007B79F4"/>
    <w:rsid w:val="007C003B"/>
    <w:rsid w:val="007C07C7"/>
    <w:rsid w:val="007C1A84"/>
    <w:rsid w:val="007C1CD9"/>
    <w:rsid w:val="007C219B"/>
    <w:rsid w:val="007C230D"/>
    <w:rsid w:val="007C26A3"/>
    <w:rsid w:val="007C31C9"/>
    <w:rsid w:val="007C32EF"/>
    <w:rsid w:val="007C361D"/>
    <w:rsid w:val="007C4109"/>
    <w:rsid w:val="007C4B84"/>
    <w:rsid w:val="007C70FF"/>
    <w:rsid w:val="007C7C25"/>
    <w:rsid w:val="007D004F"/>
    <w:rsid w:val="007D035F"/>
    <w:rsid w:val="007D06B2"/>
    <w:rsid w:val="007D06C9"/>
    <w:rsid w:val="007D0B38"/>
    <w:rsid w:val="007D1C9A"/>
    <w:rsid w:val="007D3BF2"/>
    <w:rsid w:val="007D4820"/>
    <w:rsid w:val="007D5440"/>
    <w:rsid w:val="007D69EB"/>
    <w:rsid w:val="007E128F"/>
    <w:rsid w:val="007E21EC"/>
    <w:rsid w:val="007E25CA"/>
    <w:rsid w:val="007E34A0"/>
    <w:rsid w:val="007E3603"/>
    <w:rsid w:val="007E3A95"/>
    <w:rsid w:val="007E48C0"/>
    <w:rsid w:val="007E55E1"/>
    <w:rsid w:val="007E568D"/>
    <w:rsid w:val="007F1017"/>
    <w:rsid w:val="007F18DD"/>
    <w:rsid w:val="007F1AF9"/>
    <w:rsid w:val="007F484F"/>
    <w:rsid w:val="007F4A3F"/>
    <w:rsid w:val="007F4A61"/>
    <w:rsid w:val="007F5255"/>
    <w:rsid w:val="007F56CC"/>
    <w:rsid w:val="007F61C2"/>
    <w:rsid w:val="007F66D1"/>
    <w:rsid w:val="008031CE"/>
    <w:rsid w:val="00803C0F"/>
    <w:rsid w:val="00804615"/>
    <w:rsid w:val="00805142"/>
    <w:rsid w:val="008058E9"/>
    <w:rsid w:val="00805FCE"/>
    <w:rsid w:val="00807A8B"/>
    <w:rsid w:val="0081092F"/>
    <w:rsid w:val="00811383"/>
    <w:rsid w:val="00812149"/>
    <w:rsid w:val="00812CAC"/>
    <w:rsid w:val="008132F4"/>
    <w:rsid w:val="008162AA"/>
    <w:rsid w:val="0081631E"/>
    <w:rsid w:val="00816361"/>
    <w:rsid w:val="008166EF"/>
    <w:rsid w:val="00816FEF"/>
    <w:rsid w:val="00820A8C"/>
    <w:rsid w:val="008215FB"/>
    <w:rsid w:val="008220CC"/>
    <w:rsid w:val="008230BE"/>
    <w:rsid w:val="00823174"/>
    <w:rsid w:val="00825629"/>
    <w:rsid w:val="00825751"/>
    <w:rsid w:val="008264EB"/>
    <w:rsid w:val="008268CE"/>
    <w:rsid w:val="00826AF2"/>
    <w:rsid w:val="00826E59"/>
    <w:rsid w:val="00827C23"/>
    <w:rsid w:val="00831C80"/>
    <w:rsid w:val="00833B05"/>
    <w:rsid w:val="00835049"/>
    <w:rsid w:val="008358A9"/>
    <w:rsid w:val="008362B4"/>
    <w:rsid w:val="008400C6"/>
    <w:rsid w:val="00840C83"/>
    <w:rsid w:val="00840CA2"/>
    <w:rsid w:val="00841E53"/>
    <w:rsid w:val="00842282"/>
    <w:rsid w:val="0084374F"/>
    <w:rsid w:val="00844A22"/>
    <w:rsid w:val="00847703"/>
    <w:rsid w:val="00847DF5"/>
    <w:rsid w:val="00852185"/>
    <w:rsid w:val="0085309D"/>
    <w:rsid w:val="00853985"/>
    <w:rsid w:val="00855495"/>
    <w:rsid w:val="008567C4"/>
    <w:rsid w:val="00856897"/>
    <w:rsid w:val="00856E9A"/>
    <w:rsid w:val="0086075D"/>
    <w:rsid w:val="00862502"/>
    <w:rsid w:val="00862CC1"/>
    <w:rsid w:val="00862F17"/>
    <w:rsid w:val="008642A7"/>
    <w:rsid w:val="00864382"/>
    <w:rsid w:val="008660D4"/>
    <w:rsid w:val="008661EA"/>
    <w:rsid w:val="00871FA9"/>
    <w:rsid w:val="008728E9"/>
    <w:rsid w:val="0087327D"/>
    <w:rsid w:val="00874F69"/>
    <w:rsid w:val="0087693A"/>
    <w:rsid w:val="008825B3"/>
    <w:rsid w:val="00882874"/>
    <w:rsid w:val="00882B31"/>
    <w:rsid w:val="00882E3C"/>
    <w:rsid w:val="0088308A"/>
    <w:rsid w:val="00883787"/>
    <w:rsid w:val="0088399C"/>
    <w:rsid w:val="008840AA"/>
    <w:rsid w:val="008855E4"/>
    <w:rsid w:val="00886050"/>
    <w:rsid w:val="00886911"/>
    <w:rsid w:val="00886CD2"/>
    <w:rsid w:val="00887237"/>
    <w:rsid w:val="008874D7"/>
    <w:rsid w:val="00890105"/>
    <w:rsid w:val="00891E6F"/>
    <w:rsid w:val="008925AA"/>
    <w:rsid w:val="0089275D"/>
    <w:rsid w:val="00892A36"/>
    <w:rsid w:val="00893239"/>
    <w:rsid w:val="00894489"/>
    <w:rsid w:val="00894CD6"/>
    <w:rsid w:val="008959C1"/>
    <w:rsid w:val="008962BE"/>
    <w:rsid w:val="008963A5"/>
    <w:rsid w:val="00896D5D"/>
    <w:rsid w:val="008A0EB8"/>
    <w:rsid w:val="008A3158"/>
    <w:rsid w:val="008A3332"/>
    <w:rsid w:val="008A3363"/>
    <w:rsid w:val="008A3371"/>
    <w:rsid w:val="008A3C3E"/>
    <w:rsid w:val="008A79DE"/>
    <w:rsid w:val="008B1757"/>
    <w:rsid w:val="008B1C33"/>
    <w:rsid w:val="008B402F"/>
    <w:rsid w:val="008B4B6F"/>
    <w:rsid w:val="008B575A"/>
    <w:rsid w:val="008B5A08"/>
    <w:rsid w:val="008B7992"/>
    <w:rsid w:val="008B7D7E"/>
    <w:rsid w:val="008C1F0D"/>
    <w:rsid w:val="008C5610"/>
    <w:rsid w:val="008C5739"/>
    <w:rsid w:val="008C7282"/>
    <w:rsid w:val="008C77E1"/>
    <w:rsid w:val="008C7928"/>
    <w:rsid w:val="008C7ECB"/>
    <w:rsid w:val="008C7F99"/>
    <w:rsid w:val="008D0270"/>
    <w:rsid w:val="008D0FD4"/>
    <w:rsid w:val="008D16C6"/>
    <w:rsid w:val="008D199E"/>
    <w:rsid w:val="008D253E"/>
    <w:rsid w:val="008D260E"/>
    <w:rsid w:val="008D367A"/>
    <w:rsid w:val="008D3B86"/>
    <w:rsid w:val="008D3B9E"/>
    <w:rsid w:val="008D43FD"/>
    <w:rsid w:val="008D4755"/>
    <w:rsid w:val="008D4C3D"/>
    <w:rsid w:val="008D6B7B"/>
    <w:rsid w:val="008D743C"/>
    <w:rsid w:val="008E0A7A"/>
    <w:rsid w:val="008E0D3C"/>
    <w:rsid w:val="008E1B9E"/>
    <w:rsid w:val="008E55AB"/>
    <w:rsid w:val="008E58A5"/>
    <w:rsid w:val="008E679C"/>
    <w:rsid w:val="008E7242"/>
    <w:rsid w:val="008F120A"/>
    <w:rsid w:val="008F27C9"/>
    <w:rsid w:val="008F27E0"/>
    <w:rsid w:val="008F4419"/>
    <w:rsid w:val="008F48EB"/>
    <w:rsid w:val="008F4F0B"/>
    <w:rsid w:val="00900DAF"/>
    <w:rsid w:val="00902B20"/>
    <w:rsid w:val="00902BF4"/>
    <w:rsid w:val="009046C4"/>
    <w:rsid w:val="009062A5"/>
    <w:rsid w:val="00906E91"/>
    <w:rsid w:val="00907699"/>
    <w:rsid w:val="00910FA7"/>
    <w:rsid w:val="00911272"/>
    <w:rsid w:val="00911339"/>
    <w:rsid w:val="009135D6"/>
    <w:rsid w:val="00913671"/>
    <w:rsid w:val="00914C77"/>
    <w:rsid w:val="009216F5"/>
    <w:rsid w:val="00921ACB"/>
    <w:rsid w:val="00923541"/>
    <w:rsid w:val="0092369B"/>
    <w:rsid w:val="009301A7"/>
    <w:rsid w:val="00930264"/>
    <w:rsid w:val="009331BA"/>
    <w:rsid w:val="00933D94"/>
    <w:rsid w:val="009343EE"/>
    <w:rsid w:val="00934988"/>
    <w:rsid w:val="0093618F"/>
    <w:rsid w:val="00937089"/>
    <w:rsid w:val="00940B74"/>
    <w:rsid w:val="00941F3D"/>
    <w:rsid w:val="00943CED"/>
    <w:rsid w:val="00944F8A"/>
    <w:rsid w:val="00945922"/>
    <w:rsid w:val="00946FBC"/>
    <w:rsid w:val="00947C9D"/>
    <w:rsid w:val="00950E8B"/>
    <w:rsid w:val="00950FD6"/>
    <w:rsid w:val="009510A2"/>
    <w:rsid w:val="00953257"/>
    <w:rsid w:val="0095474C"/>
    <w:rsid w:val="009578AF"/>
    <w:rsid w:val="00957D92"/>
    <w:rsid w:val="009628A6"/>
    <w:rsid w:val="00962CB9"/>
    <w:rsid w:val="00964312"/>
    <w:rsid w:val="0096553A"/>
    <w:rsid w:val="00965B8A"/>
    <w:rsid w:val="00966F8C"/>
    <w:rsid w:val="0096780E"/>
    <w:rsid w:val="009705C7"/>
    <w:rsid w:val="0097071F"/>
    <w:rsid w:val="00970CFF"/>
    <w:rsid w:val="009717AC"/>
    <w:rsid w:val="009751C1"/>
    <w:rsid w:val="009811F1"/>
    <w:rsid w:val="00981EDB"/>
    <w:rsid w:val="00983E57"/>
    <w:rsid w:val="00985297"/>
    <w:rsid w:val="00985DE2"/>
    <w:rsid w:val="0098625A"/>
    <w:rsid w:val="0098675D"/>
    <w:rsid w:val="00987223"/>
    <w:rsid w:val="00987646"/>
    <w:rsid w:val="00987BA4"/>
    <w:rsid w:val="00987D38"/>
    <w:rsid w:val="00990112"/>
    <w:rsid w:val="00990FE1"/>
    <w:rsid w:val="00992260"/>
    <w:rsid w:val="009926E0"/>
    <w:rsid w:val="0099451E"/>
    <w:rsid w:val="00995379"/>
    <w:rsid w:val="00996B1A"/>
    <w:rsid w:val="00996F1F"/>
    <w:rsid w:val="009A18F6"/>
    <w:rsid w:val="009A23F4"/>
    <w:rsid w:val="009A2DCC"/>
    <w:rsid w:val="009A4719"/>
    <w:rsid w:val="009A5ABC"/>
    <w:rsid w:val="009A7F10"/>
    <w:rsid w:val="009B08AC"/>
    <w:rsid w:val="009B0E6F"/>
    <w:rsid w:val="009B3E26"/>
    <w:rsid w:val="009B4B96"/>
    <w:rsid w:val="009B5A33"/>
    <w:rsid w:val="009B5E90"/>
    <w:rsid w:val="009C0B8F"/>
    <w:rsid w:val="009C1271"/>
    <w:rsid w:val="009C264E"/>
    <w:rsid w:val="009C3706"/>
    <w:rsid w:val="009C3A3A"/>
    <w:rsid w:val="009C3DD3"/>
    <w:rsid w:val="009C532D"/>
    <w:rsid w:val="009C6CEA"/>
    <w:rsid w:val="009C7B85"/>
    <w:rsid w:val="009D0254"/>
    <w:rsid w:val="009D19ED"/>
    <w:rsid w:val="009D1A64"/>
    <w:rsid w:val="009D446F"/>
    <w:rsid w:val="009D509B"/>
    <w:rsid w:val="009D5B91"/>
    <w:rsid w:val="009D792E"/>
    <w:rsid w:val="009D798F"/>
    <w:rsid w:val="009E0DFE"/>
    <w:rsid w:val="009E17B7"/>
    <w:rsid w:val="009E2119"/>
    <w:rsid w:val="009E25BF"/>
    <w:rsid w:val="009E29CA"/>
    <w:rsid w:val="009E31F6"/>
    <w:rsid w:val="009E34CD"/>
    <w:rsid w:val="009E415E"/>
    <w:rsid w:val="009E4C07"/>
    <w:rsid w:val="009E5A9B"/>
    <w:rsid w:val="009E777F"/>
    <w:rsid w:val="009F007E"/>
    <w:rsid w:val="009F1727"/>
    <w:rsid w:val="009F18E2"/>
    <w:rsid w:val="009F598F"/>
    <w:rsid w:val="009F6030"/>
    <w:rsid w:val="009F6120"/>
    <w:rsid w:val="00A00D76"/>
    <w:rsid w:val="00A01184"/>
    <w:rsid w:val="00A0120F"/>
    <w:rsid w:val="00A01449"/>
    <w:rsid w:val="00A037C2"/>
    <w:rsid w:val="00A03D43"/>
    <w:rsid w:val="00A04380"/>
    <w:rsid w:val="00A04786"/>
    <w:rsid w:val="00A0493C"/>
    <w:rsid w:val="00A05472"/>
    <w:rsid w:val="00A056EF"/>
    <w:rsid w:val="00A05C32"/>
    <w:rsid w:val="00A05D33"/>
    <w:rsid w:val="00A064C8"/>
    <w:rsid w:val="00A0653F"/>
    <w:rsid w:val="00A11C10"/>
    <w:rsid w:val="00A11CD0"/>
    <w:rsid w:val="00A120FE"/>
    <w:rsid w:val="00A1359C"/>
    <w:rsid w:val="00A1392F"/>
    <w:rsid w:val="00A13948"/>
    <w:rsid w:val="00A139F7"/>
    <w:rsid w:val="00A1555B"/>
    <w:rsid w:val="00A155C5"/>
    <w:rsid w:val="00A16AD8"/>
    <w:rsid w:val="00A2021E"/>
    <w:rsid w:val="00A2130F"/>
    <w:rsid w:val="00A219BB"/>
    <w:rsid w:val="00A21C95"/>
    <w:rsid w:val="00A21CF3"/>
    <w:rsid w:val="00A24813"/>
    <w:rsid w:val="00A25DB1"/>
    <w:rsid w:val="00A27AEC"/>
    <w:rsid w:val="00A320DB"/>
    <w:rsid w:val="00A33656"/>
    <w:rsid w:val="00A35D16"/>
    <w:rsid w:val="00A37BCD"/>
    <w:rsid w:val="00A41689"/>
    <w:rsid w:val="00A42054"/>
    <w:rsid w:val="00A42592"/>
    <w:rsid w:val="00A43C59"/>
    <w:rsid w:val="00A44337"/>
    <w:rsid w:val="00A50CEE"/>
    <w:rsid w:val="00A50ECD"/>
    <w:rsid w:val="00A518F3"/>
    <w:rsid w:val="00A51BAC"/>
    <w:rsid w:val="00A51BDF"/>
    <w:rsid w:val="00A52729"/>
    <w:rsid w:val="00A5345F"/>
    <w:rsid w:val="00A53675"/>
    <w:rsid w:val="00A56146"/>
    <w:rsid w:val="00A564D7"/>
    <w:rsid w:val="00A56B6A"/>
    <w:rsid w:val="00A578DC"/>
    <w:rsid w:val="00A62895"/>
    <w:rsid w:val="00A63BC3"/>
    <w:rsid w:val="00A63DB0"/>
    <w:rsid w:val="00A640E2"/>
    <w:rsid w:val="00A64D65"/>
    <w:rsid w:val="00A658FF"/>
    <w:rsid w:val="00A66E17"/>
    <w:rsid w:val="00A6725B"/>
    <w:rsid w:val="00A67BA1"/>
    <w:rsid w:val="00A70605"/>
    <w:rsid w:val="00A70984"/>
    <w:rsid w:val="00A71EE5"/>
    <w:rsid w:val="00A73134"/>
    <w:rsid w:val="00A7365A"/>
    <w:rsid w:val="00A74618"/>
    <w:rsid w:val="00A74C56"/>
    <w:rsid w:val="00A7549D"/>
    <w:rsid w:val="00A75714"/>
    <w:rsid w:val="00A75D6C"/>
    <w:rsid w:val="00A76001"/>
    <w:rsid w:val="00A767E5"/>
    <w:rsid w:val="00A76CA6"/>
    <w:rsid w:val="00A777B2"/>
    <w:rsid w:val="00A81FA6"/>
    <w:rsid w:val="00A825D4"/>
    <w:rsid w:val="00A828F6"/>
    <w:rsid w:val="00A82B73"/>
    <w:rsid w:val="00A8361E"/>
    <w:rsid w:val="00A843A0"/>
    <w:rsid w:val="00A86E8B"/>
    <w:rsid w:val="00A87164"/>
    <w:rsid w:val="00A90044"/>
    <w:rsid w:val="00A91F93"/>
    <w:rsid w:val="00A93072"/>
    <w:rsid w:val="00A938BD"/>
    <w:rsid w:val="00A93953"/>
    <w:rsid w:val="00A959D8"/>
    <w:rsid w:val="00A95EEB"/>
    <w:rsid w:val="00A966A3"/>
    <w:rsid w:val="00AA047E"/>
    <w:rsid w:val="00AA113D"/>
    <w:rsid w:val="00AA547E"/>
    <w:rsid w:val="00AA6BD5"/>
    <w:rsid w:val="00AA6BD8"/>
    <w:rsid w:val="00AA6C7D"/>
    <w:rsid w:val="00AA7E51"/>
    <w:rsid w:val="00AA7FD6"/>
    <w:rsid w:val="00AB042A"/>
    <w:rsid w:val="00AB04B5"/>
    <w:rsid w:val="00AB0CA0"/>
    <w:rsid w:val="00AB11AD"/>
    <w:rsid w:val="00AB19EF"/>
    <w:rsid w:val="00AB2495"/>
    <w:rsid w:val="00AB2D34"/>
    <w:rsid w:val="00AB3430"/>
    <w:rsid w:val="00AB37B9"/>
    <w:rsid w:val="00AB38D4"/>
    <w:rsid w:val="00AB4AD1"/>
    <w:rsid w:val="00AB5E07"/>
    <w:rsid w:val="00AB62CB"/>
    <w:rsid w:val="00AB730D"/>
    <w:rsid w:val="00AB7CFA"/>
    <w:rsid w:val="00AC2625"/>
    <w:rsid w:val="00AC3618"/>
    <w:rsid w:val="00AC4B91"/>
    <w:rsid w:val="00AC5B42"/>
    <w:rsid w:val="00AC5B48"/>
    <w:rsid w:val="00AC6257"/>
    <w:rsid w:val="00AC7EA6"/>
    <w:rsid w:val="00AD1450"/>
    <w:rsid w:val="00AD15E8"/>
    <w:rsid w:val="00AD1B16"/>
    <w:rsid w:val="00AD356D"/>
    <w:rsid w:val="00AD6502"/>
    <w:rsid w:val="00AE0695"/>
    <w:rsid w:val="00AE3E7E"/>
    <w:rsid w:val="00AE4C66"/>
    <w:rsid w:val="00AE4FE4"/>
    <w:rsid w:val="00AE5C7A"/>
    <w:rsid w:val="00AE7BEA"/>
    <w:rsid w:val="00AE7E53"/>
    <w:rsid w:val="00AF1315"/>
    <w:rsid w:val="00AF19BF"/>
    <w:rsid w:val="00AF27E3"/>
    <w:rsid w:val="00AF2A25"/>
    <w:rsid w:val="00AF2DC3"/>
    <w:rsid w:val="00AF37D9"/>
    <w:rsid w:val="00AF4A6A"/>
    <w:rsid w:val="00AF6A95"/>
    <w:rsid w:val="00AF7D14"/>
    <w:rsid w:val="00B033E5"/>
    <w:rsid w:val="00B03A63"/>
    <w:rsid w:val="00B052CF"/>
    <w:rsid w:val="00B07E22"/>
    <w:rsid w:val="00B108EA"/>
    <w:rsid w:val="00B11B9D"/>
    <w:rsid w:val="00B129A4"/>
    <w:rsid w:val="00B134D1"/>
    <w:rsid w:val="00B13C66"/>
    <w:rsid w:val="00B15BF6"/>
    <w:rsid w:val="00B15D13"/>
    <w:rsid w:val="00B160CD"/>
    <w:rsid w:val="00B201A4"/>
    <w:rsid w:val="00B201D1"/>
    <w:rsid w:val="00B213A6"/>
    <w:rsid w:val="00B235B0"/>
    <w:rsid w:val="00B2386F"/>
    <w:rsid w:val="00B24DF6"/>
    <w:rsid w:val="00B258B9"/>
    <w:rsid w:val="00B26C8A"/>
    <w:rsid w:val="00B27A61"/>
    <w:rsid w:val="00B30AC9"/>
    <w:rsid w:val="00B334CC"/>
    <w:rsid w:val="00B33F01"/>
    <w:rsid w:val="00B34FE2"/>
    <w:rsid w:val="00B35166"/>
    <w:rsid w:val="00B357D8"/>
    <w:rsid w:val="00B360F4"/>
    <w:rsid w:val="00B36A00"/>
    <w:rsid w:val="00B3792B"/>
    <w:rsid w:val="00B37BFC"/>
    <w:rsid w:val="00B40358"/>
    <w:rsid w:val="00B403C9"/>
    <w:rsid w:val="00B4044B"/>
    <w:rsid w:val="00B41614"/>
    <w:rsid w:val="00B42851"/>
    <w:rsid w:val="00B42F80"/>
    <w:rsid w:val="00B434C6"/>
    <w:rsid w:val="00B435CB"/>
    <w:rsid w:val="00B4445A"/>
    <w:rsid w:val="00B4502F"/>
    <w:rsid w:val="00B45C19"/>
    <w:rsid w:val="00B465EC"/>
    <w:rsid w:val="00B478F6"/>
    <w:rsid w:val="00B505C8"/>
    <w:rsid w:val="00B50DB8"/>
    <w:rsid w:val="00B50FE9"/>
    <w:rsid w:val="00B52F6F"/>
    <w:rsid w:val="00B534EE"/>
    <w:rsid w:val="00B53654"/>
    <w:rsid w:val="00B5388B"/>
    <w:rsid w:val="00B53905"/>
    <w:rsid w:val="00B540C9"/>
    <w:rsid w:val="00B5456C"/>
    <w:rsid w:val="00B546DB"/>
    <w:rsid w:val="00B54B5B"/>
    <w:rsid w:val="00B54EC5"/>
    <w:rsid w:val="00B5562E"/>
    <w:rsid w:val="00B55862"/>
    <w:rsid w:val="00B55D65"/>
    <w:rsid w:val="00B56305"/>
    <w:rsid w:val="00B567AE"/>
    <w:rsid w:val="00B57000"/>
    <w:rsid w:val="00B60939"/>
    <w:rsid w:val="00B60AFD"/>
    <w:rsid w:val="00B62018"/>
    <w:rsid w:val="00B624B5"/>
    <w:rsid w:val="00B62715"/>
    <w:rsid w:val="00B62D84"/>
    <w:rsid w:val="00B64E75"/>
    <w:rsid w:val="00B65611"/>
    <w:rsid w:val="00B6572D"/>
    <w:rsid w:val="00B700F7"/>
    <w:rsid w:val="00B70E8E"/>
    <w:rsid w:val="00B71C75"/>
    <w:rsid w:val="00B72BD8"/>
    <w:rsid w:val="00B7539C"/>
    <w:rsid w:val="00B757B7"/>
    <w:rsid w:val="00B76938"/>
    <w:rsid w:val="00B76C92"/>
    <w:rsid w:val="00B80EFD"/>
    <w:rsid w:val="00B818A4"/>
    <w:rsid w:val="00B83739"/>
    <w:rsid w:val="00B84117"/>
    <w:rsid w:val="00B858F0"/>
    <w:rsid w:val="00B85AA2"/>
    <w:rsid w:val="00B8649C"/>
    <w:rsid w:val="00B868D1"/>
    <w:rsid w:val="00B8695D"/>
    <w:rsid w:val="00B87D01"/>
    <w:rsid w:val="00B87F0A"/>
    <w:rsid w:val="00B87FCE"/>
    <w:rsid w:val="00B90181"/>
    <w:rsid w:val="00B90A11"/>
    <w:rsid w:val="00B92D0B"/>
    <w:rsid w:val="00B93983"/>
    <w:rsid w:val="00B94945"/>
    <w:rsid w:val="00B94DD6"/>
    <w:rsid w:val="00B951B8"/>
    <w:rsid w:val="00B97827"/>
    <w:rsid w:val="00B97AC6"/>
    <w:rsid w:val="00BA183C"/>
    <w:rsid w:val="00BA1E2F"/>
    <w:rsid w:val="00BA322D"/>
    <w:rsid w:val="00BA55D7"/>
    <w:rsid w:val="00BA5758"/>
    <w:rsid w:val="00BA63FA"/>
    <w:rsid w:val="00BB00B3"/>
    <w:rsid w:val="00BB0BDD"/>
    <w:rsid w:val="00BB176C"/>
    <w:rsid w:val="00BB27D8"/>
    <w:rsid w:val="00BB2A73"/>
    <w:rsid w:val="00BB30AC"/>
    <w:rsid w:val="00BB3A45"/>
    <w:rsid w:val="00BB4ACC"/>
    <w:rsid w:val="00BB5C80"/>
    <w:rsid w:val="00BB703E"/>
    <w:rsid w:val="00BB732D"/>
    <w:rsid w:val="00BB7405"/>
    <w:rsid w:val="00BB777E"/>
    <w:rsid w:val="00BB7CD9"/>
    <w:rsid w:val="00BC0FA1"/>
    <w:rsid w:val="00BC10F3"/>
    <w:rsid w:val="00BC1C95"/>
    <w:rsid w:val="00BC3631"/>
    <w:rsid w:val="00BC370C"/>
    <w:rsid w:val="00BC591F"/>
    <w:rsid w:val="00BC6821"/>
    <w:rsid w:val="00BC6E8B"/>
    <w:rsid w:val="00BC7D6D"/>
    <w:rsid w:val="00BD2108"/>
    <w:rsid w:val="00BD2C25"/>
    <w:rsid w:val="00BD68A3"/>
    <w:rsid w:val="00BD6938"/>
    <w:rsid w:val="00BD6CF3"/>
    <w:rsid w:val="00BD7F72"/>
    <w:rsid w:val="00BE0ECA"/>
    <w:rsid w:val="00BE2180"/>
    <w:rsid w:val="00BE21F2"/>
    <w:rsid w:val="00BE4275"/>
    <w:rsid w:val="00BE615E"/>
    <w:rsid w:val="00BF06AE"/>
    <w:rsid w:val="00BF0F95"/>
    <w:rsid w:val="00BF2148"/>
    <w:rsid w:val="00BF231B"/>
    <w:rsid w:val="00BF2433"/>
    <w:rsid w:val="00BF2E6E"/>
    <w:rsid w:val="00BF3722"/>
    <w:rsid w:val="00BF3E4B"/>
    <w:rsid w:val="00BF61C9"/>
    <w:rsid w:val="00BF6C94"/>
    <w:rsid w:val="00BF731E"/>
    <w:rsid w:val="00C00424"/>
    <w:rsid w:val="00C00BB0"/>
    <w:rsid w:val="00C00E20"/>
    <w:rsid w:val="00C01102"/>
    <w:rsid w:val="00C02BFD"/>
    <w:rsid w:val="00C03442"/>
    <w:rsid w:val="00C0361B"/>
    <w:rsid w:val="00C0506B"/>
    <w:rsid w:val="00C07C78"/>
    <w:rsid w:val="00C10CE9"/>
    <w:rsid w:val="00C1179F"/>
    <w:rsid w:val="00C11E3B"/>
    <w:rsid w:val="00C124DD"/>
    <w:rsid w:val="00C127B9"/>
    <w:rsid w:val="00C128FA"/>
    <w:rsid w:val="00C12AB5"/>
    <w:rsid w:val="00C12C14"/>
    <w:rsid w:val="00C1323A"/>
    <w:rsid w:val="00C15940"/>
    <w:rsid w:val="00C15F04"/>
    <w:rsid w:val="00C1760E"/>
    <w:rsid w:val="00C179B3"/>
    <w:rsid w:val="00C17E3F"/>
    <w:rsid w:val="00C200AA"/>
    <w:rsid w:val="00C226AD"/>
    <w:rsid w:val="00C237ED"/>
    <w:rsid w:val="00C24632"/>
    <w:rsid w:val="00C25418"/>
    <w:rsid w:val="00C2599A"/>
    <w:rsid w:val="00C25D9C"/>
    <w:rsid w:val="00C2778B"/>
    <w:rsid w:val="00C310B0"/>
    <w:rsid w:val="00C31121"/>
    <w:rsid w:val="00C31649"/>
    <w:rsid w:val="00C33D3A"/>
    <w:rsid w:val="00C3434C"/>
    <w:rsid w:val="00C35069"/>
    <w:rsid w:val="00C40385"/>
    <w:rsid w:val="00C41768"/>
    <w:rsid w:val="00C420F1"/>
    <w:rsid w:val="00C42DE9"/>
    <w:rsid w:val="00C4570D"/>
    <w:rsid w:val="00C46322"/>
    <w:rsid w:val="00C475AA"/>
    <w:rsid w:val="00C527C7"/>
    <w:rsid w:val="00C53C98"/>
    <w:rsid w:val="00C56FCF"/>
    <w:rsid w:val="00C57B6C"/>
    <w:rsid w:val="00C61A59"/>
    <w:rsid w:val="00C62711"/>
    <w:rsid w:val="00C628A6"/>
    <w:rsid w:val="00C64344"/>
    <w:rsid w:val="00C645EB"/>
    <w:rsid w:val="00C65108"/>
    <w:rsid w:val="00C65576"/>
    <w:rsid w:val="00C66165"/>
    <w:rsid w:val="00C66431"/>
    <w:rsid w:val="00C678A3"/>
    <w:rsid w:val="00C7060A"/>
    <w:rsid w:val="00C7151A"/>
    <w:rsid w:val="00C717E3"/>
    <w:rsid w:val="00C71F60"/>
    <w:rsid w:val="00C72241"/>
    <w:rsid w:val="00C750C8"/>
    <w:rsid w:val="00C7560F"/>
    <w:rsid w:val="00C80A0E"/>
    <w:rsid w:val="00C81456"/>
    <w:rsid w:val="00C8213F"/>
    <w:rsid w:val="00C8303F"/>
    <w:rsid w:val="00C8335D"/>
    <w:rsid w:val="00C83C0C"/>
    <w:rsid w:val="00C85154"/>
    <w:rsid w:val="00C85A70"/>
    <w:rsid w:val="00C85C5E"/>
    <w:rsid w:val="00C85D71"/>
    <w:rsid w:val="00C8797A"/>
    <w:rsid w:val="00C9008B"/>
    <w:rsid w:val="00C900B8"/>
    <w:rsid w:val="00C90197"/>
    <w:rsid w:val="00C90C71"/>
    <w:rsid w:val="00C91D38"/>
    <w:rsid w:val="00C91E4F"/>
    <w:rsid w:val="00C91FD1"/>
    <w:rsid w:val="00C931CF"/>
    <w:rsid w:val="00C938CF"/>
    <w:rsid w:val="00C94053"/>
    <w:rsid w:val="00C9505E"/>
    <w:rsid w:val="00C9624D"/>
    <w:rsid w:val="00C969DA"/>
    <w:rsid w:val="00CA2C77"/>
    <w:rsid w:val="00CA444F"/>
    <w:rsid w:val="00CA5245"/>
    <w:rsid w:val="00CA7028"/>
    <w:rsid w:val="00CA71F4"/>
    <w:rsid w:val="00CA7B09"/>
    <w:rsid w:val="00CB015D"/>
    <w:rsid w:val="00CB1280"/>
    <w:rsid w:val="00CB12A5"/>
    <w:rsid w:val="00CB1597"/>
    <w:rsid w:val="00CB1CAC"/>
    <w:rsid w:val="00CB2F2A"/>
    <w:rsid w:val="00CB4BD6"/>
    <w:rsid w:val="00CB56D9"/>
    <w:rsid w:val="00CB5B1A"/>
    <w:rsid w:val="00CB6B22"/>
    <w:rsid w:val="00CB71D9"/>
    <w:rsid w:val="00CB7618"/>
    <w:rsid w:val="00CB7F5F"/>
    <w:rsid w:val="00CC0E16"/>
    <w:rsid w:val="00CC1B39"/>
    <w:rsid w:val="00CC1BFA"/>
    <w:rsid w:val="00CC2E9F"/>
    <w:rsid w:val="00CC35EA"/>
    <w:rsid w:val="00CC3848"/>
    <w:rsid w:val="00CC6B46"/>
    <w:rsid w:val="00CC6D5E"/>
    <w:rsid w:val="00CD0200"/>
    <w:rsid w:val="00CD3F77"/>
    <w:rsid w:val="00CD4E30"/>
    <w:rsid w:val="00CD57E4"/>
    <w:rsid w:val="00CD5A4E"/>
    <w:rsid w:val="00CD6ADC"/>
    <w:rsid w:val="00CD7193"/>
    <w:rsid w:val="00CE015A"/>
    <w:rsid w:val="00CE1124"/>
    <w:rsid w:val="00CE1259"/>
    <w:rsid w:val="00CE2F17"/>
    <w:rsid w:val="00CE3161"/>
    <w:rsid w:val="00CE38C8"/>
    <w:rsid w:val="00CE4515"/>
    <w:rsid w:val="00CE524F"/>
    <w:rsid w:val="00CE58CC"/>
    <w:rsid w:val="00CE6274"/>
    <w:rsid w:val="00CE77B6"/>
    <w:rsid w:val="00CF2B8D"/>
    <w:rsid w:val="00CF3A1B"/>
    <w:rsid w:val="00CF456B"/>
    <w:rsid w:val="00CF499E"/>
    <w:rsid w:val="00CF4A06"/>
    <w:rsid w:val="00CF52C6"/>
    <w:rsid w:val="00CF5A22"/>
    <w:rsid w:val="00D012E6"/>
    <w:rsid w:val="00D0262E"/>
    <w:rsid w:val="00D03679"/>
    <w:rsid w:val="00D04DBA"/>
    <w:rsid w:val="00D054B9"/>
    <w:rsid w:val="00D05E3D"/>
    <w:rsid w:val="00D06139"/>
    <w:rsid w:val="00D0793F"/>
    <w:rsid w:val="00D110BD"/>
    <w:rsid w:val="00D129B9"/>
    <w:rsid w:val="00D13675"/>
    <w:rsid w:val="00D141E1"/>
    <w:rsid w:val="00D15314"/>
    <w:rsid w:val="00D15B48"/>
    <w:rsid w:val="00D1753A"/>
    <w:rsid w:val="00D17D6C"/>
    <w:rsid w:val="00D2155B"/>
    <w:rsid w:val="00D22C5D"/>
    <w:rsid w:val="00D23D11"/>
    <w:rsid w:val="00D23F7C"/>
    <w:rsid w:val="00D244B6"/>
    <w:rsid w:val="00D25DAD"/>
    <w:rsid w:val="00D272A3"/>
    <w:rsid w:val="00D2754D"/>
    <w:rsid w:val="00D27931"/>
    <w:rsid w:val="00D27B27"/>
    <w:rsid w:val="00D30D5B"/>
    <w:rsid w:val="00D32BE8"/>
    <w:rsid w:val="00D33BE9"/>
    <w:rsid w:val="00D33F93"/>
    <w:rsid w:val="00D357FF"/>
    <w:rsid w:val="00D35B55"/>
    <w:rsid w:val="00D37AD8"/>
    <w:rsid w:val="00D424C7"/>
    <w:rsid w:val="00D43B2A"/>
    <w:rsid w:val="00D43CF1"/>
    <w:rsid w:val="00D43D83"/>
    <w:rsid w:val="00D43EF9"/>
    <w:rsid w:val="00D4603B"/>
    <w:rsid w:val="00D470D5"/>
    <w:rsid w:val="00D47575"/>
    <w:rsid w:val="00D476ED"/>
    <w:rsid w:val="00D50007"/>
    <w:rsid w:val="00D501AD"/>
    <w:rsid w:val="00D5243B"/>
    <w:rsid w:val="00D53391"/>
    <w:rsid w:val="00D533EC"/>
    <w:rsid w:val="00D53CB5"/>
    <w:rsid w:val="00D56A95"/>
    <w:rsid w:val="00D6076E"/>
    <w:rsid w:val="00D6258E"/>
    <w:rsid w:val="00D6407D"/>
    <w:rsid w:val="00D65BD2"/>
    <w:rsid w:val="00D67906"/>
    <w:rsid w:val="00D70BBB"/>
    <w:rsid w:val="00D70CD8"/>
    <w:rsid w:val="00D70D82"/>
    <w:rsid w:val="00D70F16"/>
    <w:rsid w:val="00D72617"/>
    <w:rsid w:val="00D72F57"/>
    <w:rsid w:val="00D75465"/>
    <w:rsid w:val="00D7577A"/>
    <w:rsid w:val="00D76A44"/>
    <w:rsid w:val="00D77378"/>
    <w:rsid w:val="00D8009A"/>
    <w:rsid w:val="00D815EF"/>
    <w:rsid w:val="00D81949"/>
    <w:rsid w:val="00D81F26"/>
    <w:rsid w:val="00D822E2"/>
    <w:rsid w:val="00D82B3A"/>
    <w:rsid w:val="00D843F2"/>
    <w:rsid w:val="00D86231"/>
    <w:rsid w:val="00D87100"/>
    <w:rsid w:val="00D9079E"/>
    <w:rsid w:val="00D912AB"/>
    <w:rsid w:val="00D91923"/>
    <w:rsid w:val="00D93753"/>
    <w:rsid w:val="00D96123"/>
    <w:rsid w:val="00D96638"/>
    <w:rsid w:val="00DA051F"/>
    <w:rsid w:val="00DA1234"/>
    <w:rsid w:val="00DA18F2"/>
    <w:rsid w:val="00DA1917"/>
    <w:rsid w:val="00DA2517"/>
    <w:rsid w:val="00DA3167"/>
    <w:rsid w:val="00DA4DC3"/>
    <w:rsid w:val="00DA5D63"/>
    <w:rsid w:val="00DA77A5"/>
    <w:rsid w:val="00DB02D4"/>
    <w:rsid w:val="00DB0E18"/>
    <w:rsid w:val="00DB0E36"/>
    <w:rsid w:val="00DB223B"/>
    <w:rsid w:val="00DB2433"/>
    <w:rsid w:val="00DB2E29"/>
    <w:rsid w:val="00DB2F36"/>
    <w:rsid w:val="00DB3DBF"/>
    <w:rsid w:val="00DB484F"/>
    <w:rsid w:val="00DB4B1F"/>
    <w:rsid w:val="00DB51E1"/>
    <w:rsid w:val="00DB6DEF"/>
    <w:rsid w:val="00DC028A"/>
    <w:rsid w:val="00DC04F6"/>
    <w:rsid w:val="00DC0690"/>
    <w:rsid w:val="00DC1D65"/>
    <w:rsid w:val="00DC278D"/>
    <w:rsid w:val="00DC3C57"/>
    <w:rsid w:val="00DC41BA"/>
    <w:rsid w:val="00DC4DD3"/>
    <w:rsid w:val="00DC5501"/>
    <w:rsid w:val="00DC5A7D"/>
    <w:rsid w:val="00DC5DE4"/>
    <w:rsid w:val="00DC633F"/>
    <w:rsid w:val="00DC6BCA"/>
    <w:rsid w:val="00DC7154"/>
    <w:rsid w:val="00DC7E8A"/>
    <w:rsid w:val="00DD0F78"/>
    <w:rsid w:val="00DD273C"/>
    <w:rsid w:val="00DD3C5F"/>
    <w:rsid w:val="00DD3F28"/>
    <w:rsid w:val="00DD4446"/>
    <w:rsid w:val="00DD4537"/>
    <w:rsid w:val="00DD461C"/>
    <w:rsid w:val="00DD4E15"/>
    <w:rsid w:val="00DD6C9D"/>
    <w:rsid w:val="00DD7407"/>
    <w:rsid w:val="00DE2304"/>
    <w:rsid w:val="00DE3138"/>
    <w:rsid w:val="00DE37F8"/>
    <w:rsid w:val="00DE4273"/>
    <w:rsid w:val="00DE4279"/>
    <w:rsid w:val="00DE4FCB"/>
    <w:rsid w:val="00DE5D07"/>
    <w:rsid w:val="00DE72A7"/>
    <w:rsid w:val="00DE7832"/>
    <w:rsid w:val="00DE7A48"/>
    <w:rsid w:val="00DE7B76"/>
    <w:rsid w:val="00DF18FC"/>
    <w:rsid w:val="00DF4217"/>
    <w:rsid w:val="00DF504C"/>
    <w:rsid w:val="00DF5D2B"/>
    <w:rsid w:val="00DF6341"/>
    <w:rsid w:val="00E00581"/>
    <w:rsid w:val="00E00E8E"/>
    <w:rsid w:val="00E01CC5"/>
    <w:rsid w:val="00E01D28"/>
    <w:rsid w:val="00E01D5E"/>
    <w:rsid w:val="00E05630"/>
    <w:rsid w:val="00E05E4C"/>
    <w:rsid w:val="00E06DBB"/>
    <w:rsid w:val="00E077FB"/>
    <w:rsid w:val="00E10149"/>
    <w:rsid w:val="00E112B4"/>
    <w:rsid w:val="00E11340"/>
    <w:rsid w:val="00E122A1"/>
    <w:rsid w:val="00E14EED"/>
    <w:rsid w:val="00E16372"/>
    <w:rsid w:val="00E16AD8"/>
    <w:rsid w:val="00E17098"/>
    <w:rsid w:val="00E17FFA"/>
    <w:rsid w:val="00E20E4D"/>
    <w:rsid w:val="00E20ED6"/>
    <w:rsid w:val="00E20FA4"/>
    <w:rsid w:val="00E21358"/>
    <w:rsid w:val="00E21CE5"/>
    <w:rsid w:val="00E2249B"/>
    <w:rsid w:val="00E224F1"/>
    <w:rsid w:val="00E22A0D"/>
    <w:rsid w:val="00E231E1"/>
    <w:rsid w:val="00E244F6"/>
    <w:rsid w:val="00E258DB"/>
    <w:rsid w:val="00E269AC"/>
    <w:rsid w:val="00E26AB9"/>
    <w:rsid w:val="00E26B41"/>
    <w:rsid w:val="00E271B4"/>
    <w:rsid w:val="00E2771E"/>
    <w:rsid w:val="00E311EF"/>
    <w:rsid w:val="00E32180"/>
    <w:rsid w:val="00E33802"/>
    <w:rsid w:val="00E34948"/>
    <w:rsid w:val="00E34A5B"/>
    <w:rsid w:val="00E34D40"/>
    <w:rsid w:val="00E37569"/>
    <w:rsid w:val="00E37A20"/>
    <w:rsid w:val="00E401B2"/>
    <w:rsid w:val="00E41E30"/>
    <w:rsid w:val="00E41E41"/>
    <w:rsid w:val="00E42F26"/>
    <w:rsid w:val="00E42F73"/>
    <w:rsid w:val="00E43D70"/>
    <w:rsid w:val="00E466F3"/>
    <w:rsid w:val="00E47B2C"/>
    <w:rsid w:val="00E51023"/>
    <w:rsid w:val="00E51560"/>
    <w:rsid w:val="00E51821"/>
    <w:rsid w:val="00E52828"/>
    <w:rsid w:val="00E528E3"/>
    <w:rsid w:val="00E53FC8"/>
    <w:rsid w:val="00E54347"/>
    <w:rsid w:val="00E55424"/>
    <w:rsid w:val="00E55915"/>
    <w:rsid w:val="00E55BB5"/>
    <w:rsid w:val="00E5662A"/>
    <w:rsid w:val="00E56E1A"/>
    <w:rsid w:val="00E572A2"/>
    <w:rsid w:val="00E611DF"/>
    <w:rsid w:val="00E63286"/>
    <w:rsid w:val="00E6533A"/>
    <w:rsid w:val="00E65E79"/>
    <w:rsid w:val="00E66031"/>
    <w:rsid w:val="00E66BA2"/>
    <w:rsid w:val="00E671D6"/>
    <w:rsid w:val="00E67416"/>
    <w:rsid w:val="00E67711"/>
    <w:rsid w:val="00E7012C"/>
    <w:rsid w:val="00E71468"/>
    <w:rsid w:val="00E718B6"/>
    <w:rsid w:val="00E723BA"/>
    <w:rsid w:val="00E73581"/>
    <w:rsid w:val="00E736F2"/>
    <w:rsid w:val="00E76645"/>
    <w:rsid w:val="00E77616"/>
    <w:rsid w:val="00E777A8"/>
    <w:rsid w:val="00E80245"/>
    <w:rsid w:val="00E81FB9"/>
    <w:rsid w:val="00E833F7"/>
    <w:rsid w:val="00E83BDF"/>
    <w:rsid w:val="00E866A3"/>
    <w:rsid w:val="00E86FCC"/>
    <w:rsid w:val="00E87A1D"/>
    <w:rsid w:val="00E9094A"/>
    <w:rsid w:val="00E91D35"/>
    <w:rsid w:val="00E91D6F"/>
    <w:rsid w:val="00E926A5"/>
    <w:rsid w:val="00E94DE9"/>
    <w:rsid w:val="00E94DFC"/>
    <w:rsid w:val="00E94E77"/>
    <w:rsid w:val="00E95D6F"/>
    <w:rsid w:val="00E962CC"/>
    <w:rsid w:val="00E96716"/>
    <w:rsid w:val="00EA17C3"/>
    <w:rsid w:val="00EA18B7"/>
    <w:rsid w:val="00EA2CAA"/>
    <w:rsid w:val="00EA2F2A"/>
    <w:rsid w:val="00EA3864"/>
    <w:rsid w:val="00EA4A5B"/>
    <w:rsid w:val="00EA7F1C"/>
    <w:rsid w:val="00EB0D02"/>
    <w:rsid w:val="00EB15B6"/>
    <w:rsid w:val="00EB3B95"/>
    <w:rsid w:val="00EB3D06"/>
    <w:rsid w:val="00EB4241"/>
    <w:rsid w:val="00EB4916"/>
    <w:rsid w:val="00EB5F6C"/>
    <w:rsid w:val="00EB6F27"/>
    <w:rsid w:val="00EC00C9"/>
    <w:rsid w:val="00EC0DD9"/>
    <w:rsid w:val="00EC0E49"/>
    <w:rsid w:val="00EC2649"/>
    <w:rsid w:val="00EC2CF6"/>
    <w:rsid w:val="00EC31ED"/>
    <w:rsid w:val="00EC343E"/>
    <w:rsid w:val="00EC3486"/>
    <w:rsid w:val="00EC57B3"/>
    <w:rsid w:val="00EC5836"/>
    <w:rsid w:val="00EC5B68"/>
    <w:rsid w:val="00EC5B70"/>
    <w:rsid w:val="00EC5D84"/>
    <w:rsid w:val="00EC688C"/>
    <w:rsid w:val="00EC7206"/>
    <w:rsid w:val="00ED12E3"/>
    <w:rsid w:val="00ED3258"/>
    <w:rsid w:val="00ED4B04"/>
    <w:rsid w:val="00ED57EA"/>
    <w:rsid w:val="00ED5BD4"/>
    <w:rsid w:val="00ED7323"/>
    <w:rsid w:val="00EE07D3"/>
    <w:rsid w:val="00EE0D4F"/>
    <w:rsid w:val="00EE1531"/>
    <w:rsid w:val="00EE1996"/>
    <w:rsid w:val="00EE1C01"/>
    <w:rsid w:val="00EE22AF"/>
    <w:rsid w:val="00EE571D"/>
    <w:rsid w:val="00EE642F"/>
    <w:rsid w:val="00EE6A91"/>
    <w:rsid w:val="00EE7390"/>
    <w:rsid w:val="00EF0171"/>
    <w:rsid w:val="00EF04CD"/>
    <w:rsid w:val="00EF1009"/>
    <w:rsid w:val="00EF1519"/>
    <w:rsid w:val="00EF1783"/>
    <w:rsid w:val="00EF1B25"/>
    <w:rsid w:val="00EF1DA0"/>
    <w:rsid w:val="00EF3784"/>
    <w:rsid w:val="00EF4747"/>
    <w:rsid w:val="00EF4BF8"/>
    <w:rsid w:val="00EF580E"/>
    <w:rsid w:val="00EF78B8"/>
    <w:rsid w:val="00F01233"/>
    <w:rsid w:val="00F02253"/>
    <w:rsid w:val="00F032BD"/>
    <w:rsid w:val="00F03C2E"/>
    <w:rsid w:val="00F03CD4"/>
    <w:rsid w:val="00F04A66"/>
    <w:rsid w:val="00F04B4B"/>
    <w:rsid w:val="00F0516C"/>
    <w:rsid w:val="00F067A2"/>
    <w:rsid w:val="00F06EE7"/>
    <w:rsid w:val="00F07B9E"/>
    <w:rsid w:val="00F1116F"/>
    <w:rsid w:val="00F1263A"/>
    <w:rsid w:val="00F139C5"/>
    <w:rsid w:val="00F14ECD"/>
    <w:rsid w:val="00F15B77"/>
    <w:rsid w:val="00F20080"/>
    <w:rsid w:val="00F20DC2"/>
    <w:rsid w:val="00F21236"/>
    <w:rsid w:val="00F240D3"/>
    <w:rsid w:val="00F24837"/>
    <w:rsid w:val="00F2575F"/>
    <w:rsid w:val="00F27565"/>
    <w:rsid w:val="00F277BF"/>
    <w:rsid w:val="00F27A86"/>
    <w:rsid w:val="00F310D4"/>
    <w:rsid w:val="00F31D5A"/>
    <w:rsid w:val="00F31E24"/>
    <w:rsid w:val="00F33975"/>
    <w:rsid w:val="00F33DE9"/>
    <w:rsid w:val="00F340AC"/>
    <w:rsid w:val="00F35873"/>
    <w:rsid w:val="00F35E6D"/>
    <w:rsid w:val="00F3619A"/>
    <w:rsid w:val="00F367DD"/>
    <w:rsid w:val="00F37849"/>
    <w:rsid w:val="00F37D54"/>
    <w:rsid w:val="00F40AAA"/>
    <w:rsid w:val="00F40BA7"/>
    <w:rsid w:val="00F40F9D"/>
    <w:rsid w:val="00F41ACD"/>
    <w:rsid w:val="00F422A6"/>
    <w:rsid w:val="00F4259E"/>
    <w:rsid w:val="00F43883"/>
    <w:rsid w:val="00F44C32"/>
    <w:rsid w:val="00F46CB6"/>
    <w:rsid w:val="00F4756D"/>
    <w:rsid w:val="00F478FB"/>
    <w:rsid w:val="00F47DE8"/>
    <w:rsid w:val="00F508D7"/>
    <w:rsid w:val="00F520ED"/>
    <w:rsid w:val="00F542C1"/>
    <w:rsid w:val="00F550E3"/>
    <w:rsid w:val="00F55E73"/>
    <w:rsid w:val="00F55EDA"/>
    <w:rsid w:val="00F56C80"/>
    <w:rsid w:val="00F60092"/>
    <w:rsid w:val="00F60C65"/>
    <w:rsid w:val="00F61162"/>
    <w:rsid w:val="00F6142E"/>
    <w:rsid w:val="00F61C18"/>
    <w:rsid w:val="00F633FE"/>
    <w:rsid w:val="00F65F4B"/>
    <w:rsid w:val="00F663FC"/>
    <w:rsid w:val="00F67A69"/>
    <w:rsid w:val="00F700F4"/>
    <w:rsid w:val="00F7092C"/>
    <w:rsid w:val="00F70BFF"/>
    <w:rsid w:val="00F70C9D"/>
    <w:rsid w:val="00F72256"/>
    <w:rsid w:val="00F73E08"/>
    <w:rsid w:val="00F73E69"/>
    <w:rsid w:val="00F74CD9"/>
    <w:rsid w:val="00F74E62"/>
    <w:rsid w:val="00F8076E"/>
    <w:rsid w:val="00F80A7B"/>
    <w:rsid w:val="00F80E5D"/>
    <w:rsid w:val="00F81732"/>
    <w:rsid w:val="00F81B5C"/>
    <w:rsid w:val="00F81E78"/>
    <w:rsid w:val="00F8324F"/>
    <w:rsid w:val="00F83552"/>
    <w:rsid w:val="00F83916"/>
    <w:rsid w:val="00F851CE"/>
    <w:rsid w:val="00F90701"/>
    <w:rsid w:val="00F91219"/>
    <w:rsid w:val="00F921DA"/>
    <w:rsid w:val="00F92444"/>
    <w:rsid w:val="00F929FD"/>
    <w:rsid w:val="00F92C23"/>
    <w:rsid w:val="00F9393E"/>
    <w:rsid w:val="00F96FD0"/>
    <w:rsid w:val="00F97A78"/>
    <w:rsid w:val="00FA0B20"/>
    <w:rsid w:val="00FA24E7"/>
    <w:rsid w:val="00FA3CEE"/>
    <w:rsid w:val="00FA5EE6"/>
    <w:rsid w:val="00FA7956"/>
    <w:rsid w:val="00FA7D91"/>
    <w:rsid w:val="00FB0824"/>
    <w:rsid w:val="00FB164A"/>
    <w:rsid w:val="00FB2FCB"/>
    <w:rsid w:val="00FB3697"/>
    <w:rsid w:val="00FB3C38"/>
    <w:rsid w:val="00FB4322"/>
    <w:rsid w:val="00FB4C9C"/>
    <w:rsid w:val="00FB4EE9"/>
    <w:rsid w:val="00FB506B"/>
    <w:rsid w:val="00FB5CF3"/>
    <w:rsid w:val="00FB7BAE"/>
    <w:rsid w:val="00FB7C55"/>
    <w:rsid w:val="00FB7DAA"/>
    <w:rsid w:val="00FC094C"/>
    <w:rsid w:val="00FC1037"/>
    <w:rsid w:val="00FC1074"/>
    <w:rsid w:val="00FC1513"/>
    <w:rsid w:val="00FC152B"/>
    <w:rsid w:val="00FC1884"/>
    <w:rsid w:val="00FC27DF"/>
    <w:rsid w:val="00FC2DCB"/>
    <w:rsid w:val="00FC371D"/>
    <w:rsid w:val="00FC4C1F"/>
    <w:rsid w:val="00FC5F0B"/>
    <w:rsid w:val="00FC78B4"/>
    <w:rsid w:val="00FD1238"/>
    <w:rsid w:val="00FD2100"/>
    <w:rsid w:val="00FD2DD3"/>
    <w:rsid w:val="00FD436C"/>
    <w:rsid w:val="00FD446D"/>
    <w:rsid w:val="00FD4565"/>
    <w:rsid w:val="00FD4F2C"/>
    <w:rsid w:val="00FD5921"/>
    <w:rsid w:val="00FD5EE9"/>
    <w:rsid w:val="00FD6394"/>
    <w:rsid w:val="00FD651A"/>
    <w:rsid w:val="00FD6614"/>
    <w:rsid w:val="00FE0E6C"/>
    <w:rsid w:val="00FE1CDC"/>
    <w:rsid w:val="00FE29EF"/>
    <w:rsid w:val="00FE492C"/>
    <w:rsid w:val="00FE67FC"/>
    <w:rsid w:val="00FE70C3"/>
    <w:rsid w:val="00FE7C59"/>
    <w:rsid w:val="00FF18AC"/>
    <w:rsid w:val="00FF1A8B"/>
    <w:rsid w:val="00FF2AD9"/>
    <w:rsid w:val="00FF3035"/>
    <w:rsid w:val="00FF359F"/>
    <w:rsid w:val="00FF3DCF"/>
    <w:rsid w:val="00FF492C"/>
    <w:rsid w:val="00FF4A21"/>
    <w:rsid w:val="00FF555B"/>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MSD Table Grid,HTAtableplain,Dossier table,Section 3- footnotes,Header Table,Table Grid No Lin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3B0D60"/>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B0D6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50A00"/>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numbering" w:customStyle="1" w:styleId="CurrentList15">
    <w:name w:val="Current List15"/>
    <w:uiPriority w:val="99"/>
    <w:rsid w:val="000A453F"/>
    <w:pPr>
      <w:numPr>
        <w:numId w:val="6"/>
      </w:numPr>
    </w:pPr>
  </w:style>
  <w:style w:type="paragraph" w:styleId="FootnoteText">
    <w:name w:val="footnote text"/>
    <w:basedOn w:val="Normal"/>
    <w:link w:val="FootnoteTextChar"/>
    <w:semiHidden/>
    <w:unhideWhenUsed/>
    <w:rsid w:val="00604A23"/>
    <w:rPr>
      <w:sz w:val="20"/>
      <w:szCs w:val="20"/>
    </w:rPr>
  </w:style>
  <w:style w:type="character" w:customStyle="1" w:styleId="FootnoteTextChar">
    <w:name w:val="Footnote Text Char"/>
    <w:basedOn w:val="DefaultParagraphFont"/>
    <w:link w:val="FootnoteText"/>
    <w:semiHidden/>
    <w:rsid w:val="00604A23"/>
    <w:rPr>
      <w:rFonts w:ascii="Calibri" w:hAnsi="Calibri" w:cs="Arial"/>
    </w:rPr>
  </w:style>
  <w:style w:type="character" w:styleId="FootnoteReference">
    <w:name w:val="footnote reference"/>
    <w:basedOn w:val="DefaultParagraphFont"/>
    <w:semiHidden/>
    <w:unhideWhenUsed/>
    <w:rsid w:val="00604A23"/>
    <w:rPr>
      <w:vertAlign w:val="superscript"/>
    </w:rPr>
  </w:style>
  <w:style w:type="paragraph" w:customStyle="1" w:styleId="pf0">
    <w:name w:val="pf0"/>
    <w:basedOn w:val="Normal"/>
    <w:rsid w:val="00AC2625"/>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AC2625"/>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6045A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045A2"/>
    <w:rPr>
      <w:rFonts w:asciiTheme="minorHAnsi" w:eastAsiaTheme="majorEastAsia" w:hAnsiTheme="minorHAnsi" w:cstheme="majorBidi"/>
      <w:b/>
      <w:i/>
      <w:snapToGrid/>
      <w:spacing w:val="5"/>
      <w:kern w:val="28"/>
      <w:sz w:val="28"/>
      <w:szCs w:val="36"/>
      <w:lang w:eastAsia="en-US"/>
    </w:rPr>
  </w:style>
  <w:style w:type="paragraph" w:customStyle="1" w:styleId="xxmsolistparagraph">
    <w:name w:val="x_xmsolistparagraph"/>
    <w:basedOn w:val="Normal"/>
    <w:rsid w:val="001255C8"/>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387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9692628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5034826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journals.sagepub.com/doi/epub/10.1177/0333102413485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17599</Words>
  <Characters>99028</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2023-10-30T03:18:00Z</dcterms:created>
  <dcterms:modified xsi:type="dcterms:W3CDTF">2023-11-07T05:03:00Z</dcterms:modified>
</cp:coreProperties>
</file>