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1DB627" w14:textId="4E5F992E" w:rsidR="00872E8F" w:rsidRPr="00F92E37" w:rsidRDefault="00FC03B6" w:rsidP="000F4EBE">
      <w:pPr>
        <w:pStyle w:val="1MainTitle"/>
        <w:ind w:left="1134" w:hanging="1134"/>
        <w:jc w:val="left"/>
      </w:pPr>
      <w:r w:rsidRPr="00F92E37">
        <w:t>5.15</w:t>
      </w:r>
      <w:r w:rsidR="00872E8F" w:rsidRPr="00F92E37">
        <w:tab/>
      </w:r>
      <w:r w:rsidR="003165E3" w:rsidRPr="00F92E37">
        <w:t>ADALIMUMAB</w:t>
      </w:r>
      <w:r w:rsidR="70971A32" w:rsidRPr="00F92E37">
        <w:t>,</w:t>
      </w:r>
      <w:r w:rsidR="00A8492D" w:rsidRPr="00F92E37">
        <w:br/>
      </w:r>
      <w:r w:rsidR="003165E3" w:rsidRPr="00F92E37">
        <w:t>Injection 40 mg in 0.4 mL pre-filled pen</w:t>
      </w:r>
      <w:r w:rsidR="00A8492D" w:rsidRPr="00F92E37">
        <w:br/>
      </w:r>
      <w:r w:rsidR="003165E3" w:rsidRPr="00F92E37">
        <w:t>Injection 40 mg in 0.4 mL pre-filled syringe</w:t>
      </w:r>
      <w:r w:rsidR="00A8492D" w:rsidRPr="00F92E37">
        <w:br/>
      </w:r>
      <w:r w:rsidR="003165E3" w:rsidRPr="00F92E37">
        <w:t>Injection 80 mg in 0.8 mL pre-filled syringe</w:t>
      </w:r>
      <w:r w:rsidR="00A8492D" w:rsidRPr="00F92E37">
        <w:br/>
      </w:r>
      <w:r w:rsidR="003165E3" w:rsidRPr="00F92E37">
        <w:t>Ar</w:t>
      </w:r>
      <w:r w:rsidR="003865C6" w:rsidRPr="00F92E37">
        <w:t>d</w:t>
      </w:r>
      <w:r w:rsidR="003165E3" w:rsidRPr="00F92E37">
        <w:t>alicip</w:t>
      </w:r>
      <w:r w:rsidR="70971A32" w:rsidRPr="00F92E37">
        <w:t>®,</w:t>
      </w:r>
      <w:r w:rsidR="00A8492D" w:rsidRPr="00F92E37">
        <w:br/>
      </w:r>
      <w:r w:rsidR="005A0713" w:rsidRPr="00F92E37">
        <w:t>Cipla Australia Pty Ltd</w:t>
      </w:r>
    </w:p>
    <w:p w14:paraId="5F4D54C1" w14:textId="29C95DE9" w:rsidR="00E11F44" w:rsidRPr="00F92E37" w:rsidRDefault="007E490F" w:rsidP="00CD6257">
      <w:pPr>
        <w:pStyle w:val="2-SectionHeading"/>
        <w:rPr>
          <w:rFonts w:cstheme="minorHAnsi"/>
          <w:color w:val="FF0000"/>
        </w:rPr>
      </w:pPr>
      <w:r w:rsidRPr="00F92E37">
        <w:t xml:space="preserve">Purpose of </w:t>
      </w:r>
      <w:r w:rsidR="00FA0B04" w:rsidRPr="00F92E37">
        <w:t>Submission</w:t>
      </w:r>
    </w:p>
    <w:p w14:paraId="42BAB546" w14:textId="77777777" w:rsidR="00223969" w:rsidRPr="00F92E37" w:rsidRDefault="00223969" w:rsidP="00223969">
      <w:pPr>
        <w:pStyle w:val="3Bodytext"/>
        <w:jc w:val="both"/>
      </w:pPr>
      <w:r w:rsidRPr="00F92E37">
        <w:t xml:space="preserve">The Category 3 submission sought to list a new biosimilar brand of adalimumab (Ardalicip®) in the forms of 40 mg in 0.4 mL pre-filled pen (PFP), 40 mg in 0.4 mL pre-filled syringe (PFS) and 80 mg in 0.8 mL PFS under the same circumstances as the PBS-listed reference biologic Humira®. </w:t>
      </w:r>
    </w:p>
    <w:p w14:paraId="3D1D4320" w14:textId="77777777" w:rsidR="007E490F" w:rsidRPr="00F92E37" w:rsidRDefault="007E490F" w:rsidP="001F2311">
      <w:pPr>
        <w:pStyle w:val="2-SectionHeading"/>
        <w:numPr>
          <w:ilvl w:val="0"/>
          <w:numId w:val="2"/>
        </w:numPr>
      </w:pPr>
      <w:r w:rsidRPr="00F92E37">
        <w:t xml:space="preserve">Background </w:t>
      </w:r>
    </w:p>
    <w:p w14:paraId="33C2C319" w14:textId="66DF215F" w:rsidR="007E490F" w:rsidRPr="000A54AC" w:rsidRDefault="007E490F" w:rsidP="007E490F">
      <w:pPr>
        <w:pStyle w:val="4-SubsectionHeading"/>
        <w:rPr>
          <w:iCs/>
        </w:rPr>
      </w:pPr>
      <w:r w:rsidRPr="000A54AC">
        <w:rPr>
          <w:iCs/>
        </w:rPr>
        <w:t>Registration status</w:t>
      </w:r>
    </w:p>
    <w:p w14:paraId="0F456A9E" w14:textId="4F3CDBC8" w:rsidR="00BC04B1" w:rsidRPr="00F92E37" w:rsidRDefault="00F4397F" w:rsidP="00F4397F">
      <w:pPr>
        <w:pStyle w:val="3Bodytext"/>
        <w:jc w:val="both"/>
      </w:pPr>
      <w:r w:rsidRPr="00F92E37">
        <w:rPr>
          <w:rFonts w:cstheme="minorHAnsi"/>
          <w:szCs w:val="24"/>
        </w:rPr>
        <w:t xml:space="preserve">Ardalicip was TGA registered on 6 September 2022 and was determined to be a biosimilar </w:t>
      </w:r>
      <w:r w:rsidRPr="00F92E37">
        <w:t>to</w:t>
      </w:r>
      <w:r w:rsidRPr="00F92E37">
        <w:rPr>
          <w:rFonts w:cstheme="minorHAnsi"/>
          <w:szCs w:val="24"/>
        </w:rPr>
        <w:t xml:space="preserve"> the reference brand Humira. Ardalicip 40 mg and 80 mg </w:t>
      </w:r>
      <w:r w:rsidR="003F3615" w:rsidRPr="00F92E37">
        <w:rPr>
          <w:rFonts w:cstheme="minorHAnsi"/>
          <w:szCs w:val="24"/>
        </w:rPr>
        <w:t>are</w:t>
      </w:r>
      <w:r w:rsidRPr="00F92E37">
        <w:rPr>
          <w:rFonts w:cstheme="minorHAnsi"/>
          <w:szCs w:val="24"/>
        </w:rPr>
        <w:t xml:space="preserve"> approved for the same indication as Humira 40 mg and 80 mg</w:t>
      </w:r>
      <w:r w:rsidRPr="00F92E37">
        <w:t>.</w:t>
      </w:r>
    </w:p>
    <w:p w14:paraId="0094486E" w14:textId="77777777" w:rsidR="007E490F" w:rsidRPr="000A54AC" w:rsidRDefault="007E490F" w:rsidP="007E490F">
      <w:pPr>
        <w:pStyle w:val="4-SubsectionHeading"/>
        <w:rPr>
          <w:iCs/>
        </w:rPr>
      </w:pPr>
      <w:r w:rsidRPr="000A54AC">
        <w:rPr>
          <w:iCs/>
        </w:rPr>
        <w:t xml:space="preserve">Previous PBAC consideration </w:t>
      </w:r>
    </w:p>
    <w:p w14:paraId="41507ED3" w14:textId="47D5550E" w:rsidR="00F4397F" w:rsidRPr="00F92E37" w:rsidRDefault="00F4397F" w:rsidP="00F4397F">
      <w:pPr>
        <w:pStyle w:val="3Bodytext"/>
      </w:pPr>
      <w:r w:rsidRPr="00F92E37">
        <w:rPr>
          <w:iCs/>
        </w:rPr>
        <w:t xml:space="preserve">Ardalicip </w:t>
      </w:r>
      <w:r w:rsidRPr="00F92E37">
        <w:t>has not previously been considered by the PBAC.</w:t>
      </w:r>
    </w:p>
    <w:p w14:paraId="1B8790B6" w14:textId="77777777" w:rsidR="00964A9F" w:rsidRPr="00F92E37" w:rsidRDefault="00964A9F" w:rsidP="00964A9F">
      <w:pPr>
        <w:pStyle w:val="2-SectionHeading"/>
      </w:pPr>
      <w:r w:rsidRPr="00F92E37">
        <w:t xml:space="preserve">Requested </w:t>
      </w:r>
      <w:proofErr w:type="gramStart"/>
      <w:r w:rsidRPr="00F92E37">
        <w:t>listing</w:t>
      </w:r>
      <w:proofErr w:type="gramEnd"/>
      <w:r w:rsidRPr="00F92E37">
        <w:t xml:space="preserve"> </w:t>
      </w:r>
    </w:p>
    <w:p w14:paraId="54BCDBBD" w14:textId="5E1A7944" w:rsidR="00F4397F" w:rsidRPr="00F92E37" w:rsidRDefault="00F4397F" w:rsidP="00F4397F">
      <w:pPr>
        <w:pStyle w:val="3Bodytext"/>
      </w:pPr>
      <w:r w:rsidRPr="00F92E37">
        <w:t>The submission requested listing Ardalicip under the same circumstances as the PBS-listed reference biologic Humira 40 mg in 0.4 mL PFS, 40 mg in 0.4 mL PFP and 80 mg in 0.8 mL PFS.</w:t>
      </w:r>
      <w:r w:rsidR="007B2AEE" w:rsidRPr="00F92E37">
        <w:rPr>
          <w:iCs/>
        </w:rPr>
        <w:t xml:space="preserve"> Ardalicip 80 mg in 0.8 mL PFS will be the first biosimilar </w:t>
      </w:r>
      <w:r w:rsidR="00DA686A" w:rsidRPr="00F92E37">
        <w:rPr>
          <w:iCs/>
        </w:rPr>
        <w:t xml:space="preserve">brand for this </w:t>
      </w:r>
      <w:r w:rsidR="007B2AEE" w:rsidRPr="00F92E37">
        <w:rPr>
          <w:iCs/>
        </w:rPr>
        <w:t>form and strength</w:t>
      </w:r>
      <w:r w:rsidR="00DA686A" w:rsidRPr="00F92E37">
        <w:rPr>
          <w:iCs/>
        </w:rPr>
        <w:t xml:space="preserve"> of adalimumab</w:t>
      </w:r>
      <w:r w:rsidR="007B2AEE" w:rsidRPr="00F92E37">
        <w:rPr>
          <w:iCs/>
        </w:rPr>
        <w:t>.</w:t>
      </w:r>
    </w:p>
    <w:p w14:paraId="6C46D1D3" w14:textId="276830A4" w:rsidR="00F4397F" w:rsidRPr="00F92E37" w:rsidRDefault="00F4397F" w:rsidP="00F4397F">
      <w:pPr>
        <w:pStyle w:val="3Bodytext"/>
        <w:rPr>
          <w:iCs/>
        </w:rPr>
      </w:pPr>
      <w:r w:rsidRPr="00F92E37">
        <w:rPr>
          <w:iCs/>
        </w:rPr>
        <w:t xml:space="preserve">The PBAC </w:t>
      </w:r>
      <w:r w:rsidR="0003494A" w:rsidRPr="00F92E37">
        <w:rPr>
          <w:iCs/>
        </w:rPr>
        <w:t>was</w:t>
      </w:r>
      <w:r w:rsidRPr="00F92E37">
        <w:rPr>
          <w:iCs/>
        </w:rPr>
        <w:t xml:space="preserve"> asked to advise whether biosimilar uptake drivers which currently apply to Amgevita, Hadlima, Hyrimoz, Idacio and Yuflyma including the different</w:t>
      </w:r>
      <w:r w:rsidR="00223969" w:rsidRPr="00F92E37">
        <w:rPr>
          <w:iCs/>
        </w:rPr>
        <w:t xml:space="preserve"> </w:t>
      </w:r>
      <w:r w:rsidRPr="00F92E37">
        <w:rPr>
          <w:iCs/>
        </w:rPr>
        <w:t>authority requirements for subsequent continuing treatment with the reference and biosimilar brands and inclusion of an administrative note encouraging the use of biosimilar brands for treatment naïve patients, should apply to Ardalicip if it is recommended for listing.</w:t>
      </w:r>
    </w:p>
    <w:p w14:paraId="73EC88A1" w14:textId="37A745DC" w:rsidR="00F4397F" w:rsidRPr="00F92E37" w:rsidRDefault="00F4397F" w:rsidP="00F4397F">
      <w:pPr>
        <w:pStyle w:val="3Bodytext"/>
      </w:pPr>
      <w:r w:rsidRPr="00F92E37">
        <w:t xml:space="preserve">The PBAC </w:t>
      </w:r>
      <w:r w:rsidR="0003494A" w:rsidRPr="00F92E37">
        <w:t>was</w:t>
      </w:r>
      <w:r w:rsidRPr="00F92E37">
        <w:t xml:space="preserve"> asked to advise, under Section 101(4AACD) of the </w:t>
      </w:r>
      <w:r w:rsidRPr="00F92E37">
        <w:rPr>
          <w:iCs/>
        </w:rPr>
        <w:t>Act</w:t>
      </w:r>
      <w:r w:rsidRPr="00F92E37">
        <w:t xml:space="preserve"> whether, in the Schedule of Pharmaceutical Benefits:</w:t>
      </w:r>
    </w:p>
    <w:p w14:paraId="544287CA" w14:textId="55CED82F" w:rsidR="00F4397F" w:rsidRPr="00F92E37" w:rsidRDefault="00F4397F" w:rsidP="00F4397F">
      <w:pPr>
        <w:pStyle w:val="3Bodytext"/>
        <w:numPr>
          <w:ilvl w:val="1"/>
          <w:numId w:val="28"/>
        </w:numPr>
      </w:pPr>
      <w:r w:rsidRPr="00F92E37">
        <w:rPr>
          <w:iCs/>
        </w:rPr>
        <w:lastRenderedPageBreak/>
        <w:t>Humira</w:t>
      </w:r>
      <w:r w:rsidR="00814C4D" w:rsidRPr="00F92E37">
        <w:rPr>
          <w:iCs/>
        </w:rPr>
        <w:t>, Yuflyma</w:t>
      </w:r>
      <w:r w:rsidRPr="00F92E37">
        <w:rPr>
          <w:iCs/>
        </w:rPr>
        <w:t xml:space="preserve"> and Ardalicip PFS should be treated as equivalent to each other; and Humira</w:t>
      </w:r>
      <w:r w:rsidR="00814C4D" w:rsidRPr="00F92E37">
        <w:rPr>
          <w:iCs/>
        </w:rPr>
        <w:t>, Yuflyma</w:t>
      </w:r>
      <w:r w:rsidRPr="00F92E37">
        <w:rPr>
          <w:iCs/>
        </w:rPr>
        <w:t xml:space="preserve"> and Ardalicip PFP should be treated as equivalent to each other for the purposes of substitution (</w:t>
      </w:r>
      <w:proofErr w:type="gramStart"/>
      <w:r w:rsidRPr="00F92E37">
        <w:rPr>
          <w:iCs/>
        </w:rPr>
        <w:t>i.e.</w:t>
      </w:r>
      <w:proofErr w:type="gramEnd"/>
      <w:r w:rsidRPr="00F92E37">
        <w:rPr>
          <w:iCs/>
        </w:rPr>
        <w:t xml:space="preserve"> ‘a’ flagged in the schedule) </w:t>
      </w:r>
    </w:p>
    <w:p w14:paraId="46BD374A" w14:textId="77777777" w:rsidR="0063573D" w:rsidRPr="00F92E37" w:rsidRDefault="0063573D" w:rsidP="0063573D">
      <w:pPr>
        <w:pStyle w:val="3Bodytext"/>
        <w:numPr>
          <w:ilvl w:val="1"/>
          <w:numId w:val="28"/>
        </w:numPr>
      </w:pPr>
      <w:r w:rsidRPr="00F92E37">
        <w:rPr>
          <w:iCs/>
        </w:rPr>
        <w:t>40 mg in 0.4 mL Ardalicip PFP and 40 mg in 0.8 mL</w:t>
      </w:r>
      <w:r w:rsidRPr="00F92E37">
        <w:t xml:space="preserve"> </w:t>
      </w:r>
      <w:r w:rsidRPr="00F92E37">
        <w:rPr>
          <w:rFonts w:cstheme="minorHAnsi"/>
          <w:iCs/>
          <w:snapToGrid w:val="0"/>
          <w:szCs w:val="24"/>
        </w:rPr>
        <w:t xml:space="preserve">Amgevita, Hadlima, Hyrimoz and Idacio PFP should be treated as equivalent to each other for the purposes of substitution </w:t>
      </w:r>
      <w:r w:rsidRPr="00F92E37">
        <w:rPr>
          <w:iCs/>
        </w:rPr>
        <w:t>(</w:t>
      </w:r>
      <w:proofErr w:type="gramStart"/>
      <w:r w:rsidRPr="00F92E37">
        <w:rPr>
          <w:iCs/>
        </w:rPr>
        <w:t>i.e.</w:t>
      </w:r>
      <w:proofErr w:type="gramEnd"/>
      <w:r w:rsidRPr="00F92E37">
        <w:rPr>
          <w:iCs/>
        </w:rPr>
        <w:t xml:space="preserve"> ‘a’ flagged in the schedule)</w:t>
      </w:r>
    </w:p>
    <w:p w14:paraId="63FEDCA9" w14:textId="77777777" w:rsidR="0063573D" w:rsidRPr="00F92E37" w:rsidRDefault="0063573D" w:rsidP="0063573D">
      <w:pPr>
        <w:pStyle w:val="3Bodytext"/>
        <w:numPr>
          <w:ilvl w:val="1"/>
          <w:numId w:val="28"/>
        </w:numPr>
      </w:pPr>
      <w:r w:rsidRPr="00F92E37">
        <w:rPr>
          <w:iCs/>
        </w:rPr>
        <w:t>40 mg in 0.4 mL Ardalicip PFS and 40 mg in 0.8 mL</w:t>
      </w:r>
      <w:r w:rsidRPr="00F92E37">
        <w:t xml:space="preserve"> </w:t>
      </w:r>
      <w:r w:rsidRPr="00F92E37">
        <w:rPr>
          <w:rFonts w:cstheme="minorHAnsi"/>
          <w:iCs/>
          <w:snapToGrid w:val="0"/>
          <w:szCs w:val="24"/>
        </w:rPr>
        <w:t xml:space="preserve">Amgevita, Hadlima, Hyrimoz and Idacio PFS should be treated as equivalent to each other for the purposes of substitution </w:t>
      </w:r>
      <w:r w:rsidRPr="00F92E37">
        <w:rPr>
          <w:iCs/>
        </w:rPr>
        <w:t>(</w:t>
      </w:r>
      <w:proofErr w:type="gramStart"/>
      <w:r w:rsidRPr="00F92E37">
        <w:rPr>
          <w:iCs/>
        </w:rPr>
        <w:t>i.e.</w:t>
      </w:r>
      <w:proofErr w:type="gramEnd"/>
      <w:r w:rsidRPr="00F92E37">
        <w:rPr>
          <w:iCs/>
        </w:rPr>
        <w:t xml:space="preserve"> ‘a’ flagged in the schedule)</w:t>
      </w:r>
    </w:p>
    <w:p w14:paraId="32D9D684" w14:textId="73C1121A" w:rsidR="00F4397F" w:rsidRPr="00F92E37" w:rsidRDefault="00F4397F" w:rsidP="00F4397F">
      <w:pPr>
        <w:pStyle w:val="3Bodytext"/>
        <w:rPr>
          <w:iCs/>
        </w:rPr>
      </w:pPr>
      <w:r w:rsidRPr="00F92E37">
        <w:rPr>
          <w:iCs/>
        </w:rPr>
        <w:t>The requested restrictions are complex due to the number of items and indications required for the listing. If recommended by the PBAC, the implementation of these listings may occur across separate stages. As the submission requested the same restrictions as the reference brand, the full restrictions have not been reproduced here.</w:t>
      </w:r>
    </w:p>
    <w:p w14:paraId="22184A16" w14:textId="77777777" w:rsidR="0063573D" w:rsidRPr="00F92E37" w:rsidRDefault="0063573D" w:rsidP="0063573D">
      <w:pPr>
        <w:pStyle w:val="3Bodytext"/>
        <w:rPr>
          <w:iCs/>
        </w:rPr>
      </w:pPr>
      <w:r w:rsidRPr="00F92E37">
        <w:rPr>
          <w:iCs/>
        </w:rPr>
        <w:t>The summary of the listing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4"/>
        <w:gridCol w:w="1006"/>
        <w:gridCol w:w="950"/>
        <w:gridCol w:w="801"/>
        <w:gridCol w:w="1228"/>
        <w:gridCol w:w="1917"/>
      </w:tblGrid>
      <w:tr w:rsidR="0063573D" w:rsidRPr="00F92E37" w14:paraId="3BE57026" w14:textId="77777777" w:rsidTr="00316595">
        <w:trPr>
          <w:cantSplit/>
          <w:trHeight w:val="499"/>
        </w:trPr>
        <w:tc>
          <w:tcPr>
            <w:tcW w:w="1727" w:type="pct"/>
          </w:tcPr>
          <w:p w14:paraId="18DEF69A" w14:textId="77777777" w:rsidR="0063573D" w:rsidRPr="00F92E37" w:rsidRDefault="0063573D" w:rsidP="00EC08A6">
            <w:pPr>
              <w:keepNext/>
              <w:spacing w:before="40" w:after="40"/>
              <w:rPr>
                <w:rFonts w:ascii="Arial Narrow" w:eastAsia="Calibri" w:hAnsi="Arial Narrow"/>
                <w:b/>
                <w:bCs/>
                <w:sz w:val="20"/>
                <w:szCs w:val="20"/>
              </w:rPr>
            </w:pPr>
            <w:bookmarkStart w:id="0" w:name="_Hlk81294680"/>
            <w:r w:rsidRPr="00F92E37">
              <w:rPr>
                <w:rFonts w:ascii="Arial Narrow" w:eastAsia="Calibri" w:hAnsi="Arial Narrow"/>
                <w:b/>
                <w:bCs/>
                <w:sz w:val="20"/>
                <w:szCs w:val="20"/>
              </w:rPr>
              <w:t>Name, restriction, manner of administration, form</w:t>
            </w:r>
          </w:p>
        </w:tc>
        <w:tc>
          <w:tcPr>
            <w:tcW w:w="558" w:type="pct"/>
          </w:tcPr>
          <w:p w14:paraId="3CA725CC" w14:textId="77777777" w:rsidR="0063573D" w:rsidRPr="00F92E37" w:rsidRDefault="0063573D" w:rsidP="00EC08A6">
            <w:pPr>
              <w:keepNext/>
              <w:spacing w:before="40" w:after="40"/>
              <w:jc w:val="center"/>
              <w:rPr>
                <w:rFonts w:ascii="Arial Narrow" w:eastAsia="Calibri" w:hAnsi="Arial Narrow"/>
                <w:b/>
                <w:bCs/>
                <w:sz w:val="20"/>
                <w:szCs w:val="20"/>
              </w:rPr>
            </w:pPr>
            <w:r w:rsidRPr="00F92E37">
              <w:rPr>
                <w:rFonts w:ascii="Arial Narrow" w:eastAsia="Calibri" w:hAnsi="Arial Narrow"/>
                <w:b/>
                <w:bCs/>
                <w:sz w:val="20"/>
                <w:szCs w:val="20"/>
              </w:rPr>
              <w:t xml:space="preserve">Max. Qty </w:t>
            </w:r>
          </w:p>
          <w:p w14:paraId="7361D142" w14:textId="77777777" w:rsidR="0063573D" w:rsidRPr="00F92E37" w:rsidRDefault="0063573D" w:rsidP="00EC08A6">
            <w:pPr>
              <w:keepNext/>
              <w:spacing w:before="40" w:after="40"/>
              <w:jc w:val="center"/>
              <w:rPr>
                <w:rFonts w:ascii="Arial Narrow" w:eastAsia="Calibri" w:hAnsi="Arial Narrow"/>
                <w:b/>
                <w:bCs/>
                <w:sz w:val="20"/>
                <w:szCs w:val="20"/>
              </w:rPr>
            </w:pPr>
            <w:r w:rsidRPr="00F92E37">
              <w:rPr>
                <w:rFonts w:ascii="Arial Narrow" w:eastAsia="Calibri" w:hAnsi="Arial Narrow"/>
                <w:b/>
                <w:bCs/>
                <w:sz w:val="20"/>
                <w:szCs w:val="20"/>
              </w:rPr>
              <w:t>(packs)</w:t>
            </w:r>
          </w:p>
        </w:tc>
        <w:tc>
          <w:tcPr>
            <w:tcW w:w="527" w:type="pct"/>
          </w:tcPr>
          <w:p w14:paraId="0AA5BC21" w14:textId="77777777" w:rsidR="0063573D" w:rsidRPr="00F92E37" w:rsidRDefault="0063573D" w:rsidP="00EC08A6">
            <w:pPr>
              <w:keepNext/>
              <w:spacing w:before="40" w:after="40"/>
              <w:jc w:val="center"/>
              <w:rPr>
                <w:rFonts w:ascii="Arial Narrow" w:eastAsia="Calibri" w:hAnsi="Arial Narrow"/>
                <w:b/>
                <w:bCs/>
                <w:sz w:val="20"/>
                <w:szCs w:val="20"/>
              </w:rPr>
            </w:pPr>
            <w:r w:rsidRPr="00F92E37">
              <w:rPr>
                <w:rFonts w:ascii="Arial Narrow" w:eastAsia="Calibri" w:hAnsi="Arial Narrow"/>
                <w:b/>
                <w:bCs/>
                <w:sz w:val="20"/>
                <w:szCs w:val="20"/>
              </w:rPr>
              <w:t>Max. Qty</w:t>
            </w:r>
          </w:p>
          <w:p w14:paraId="132EE7E0" w14:textId="77777777" w:rsidR="0063573D" w:rsidRPr="00F92E37" w:rsidRDefault="0063573D" w:rsidP="00EC08A6">
            <w:pPr>
              <w:keepNext/>
              <w:spacing w:before="40" w:after="40"/>
              <w:jc w:val="center"/>
              <w:rPr>
                <w:rFonts w:ascii="Arial Narrow" w:eastAsia="Calibri" w:hAnsi="Arial Narrow"/>
                <w:b/>
                <w:bCs/>
                <w:sz w:val="20"/>
                <w:szCs w:val="20"/>
              </w:rPr>
            </w:pPr>
            <w:r w:rsidRPr="00F92E37">
              <w:rPr>
                <w:rFonts w:ascii="Arial Narrow" w:eastAsia="Calibri" w:hAnsi="Arial Narrow"/>
                <w:b/>
                <w:bCs/>
                <w:sz w:val="20"/>
                <w:szCs w:val="20"/>
              </w:rPr>
              <w:t>(units)</w:t>
            </w:r>
          </w:p>
        </w:tc>
        <w:tc>
          <w:tcPr>
            <w:tcW w:w="444" w:type="pct"/>
          </w:tcPr>
          <w:p w14:paraId="09824476" w14:textId="77777777" w:rsidR="0063573D" w:rsidRPr="00F92E37" w:rsidRDefault="0063573D" w:rsidP="00EC08A6">
            <w:pPr>
              <w:keepNext/>
              <w:spacing w:before="40" w:after="40"/>
              <w:jc w:val="center"/>
              <w:rPr>
                <w:rFonts w:ascii="Arial Narrow" w:eastAsia="Calibri" w:hAnsi="Arial Narrow"/>
                <w:b/>
                <w:bCs/>
                <w:sz w:val="20"/>
                <w:szCs w:val="20"/>
              </w:rPr>
            </w:pPr>
            <w:r w:rsidRPr="00F92E37">
              <w:rPr>
                <w:rFonts w:ascii="Arial Narrow" w:eastAsia="Calibri" w:hAnsi="Arial Narrow"/>
                <w:b/>
                <w:bCs/>
                <w:sz w:val="20"/>
                <w:szCs w:val="20"/>
              </w:rPr>
              <w:t>No. of repeats</w:t>
            </w:r>
          </w:p>
        </w:tc>
        <w:tc>
          <w:tcPr>
            <w:tcW w:w="681" w:type="pct"/>
          </w:tcPr>
          <w:p w14:paraId="65890C4D" w14:textId="77777777" w:rsidR="0063573D" w:rsidRPr="00F92E37" w:rsidRDefault="0063573D" w:rsidP="00EC08A6">
            <w:pPr>
              <w:keepNext/>
              <w:spacing w:before="40" w:after="40"/>
              <w:jc w:val="center"/>
              <w:rPr>
                <w:rFonts w:ascii="Arial Narrow" w:eastAsia="Calibri" w:hAnsi="Arial Narrow"/>
                <w:b/>
                <w:bCs/>
                <w:sz w:val="20"/>
                <w:szCs w:val="20"/>
              </w:rPr>
            </w:pPr>
            <w:r w:rsidRPr="00F92E37">
              <w:rPr>
                <w:rFonts w:ascii="Arial Narrow" w:eastAsia="Calibri" w:hAnsi="Arial Narrow"/>
                <w:b/>
                <w:bCs/>
                <w:sz w:val="20"/>
                <w:szCs w:val="20"/>
              </w:rPr>
              <w:t xml:space="preserve">PBS item </w:t>
            </w:r>
          </w:p>
          <w:p w14:paraId="55A9D0F8" w14:textId="77777777" w:rsidR="0063573D" w:rsidRPr="00F92E37" w:rsidRDefault="0063573D" w:rsidP="00EC08A6">
            <w:pPr>
              <w:keepNext/>
              <w:spacing w:before="40" w:after="40"/>
              <w:jc w:val="center"/>
              <w:rPr>
                <w:rFonts w:ascii="Arial Narrow" w:eastAsia="Calibri" w:hAnsi="Arial Narrow"/>
                <w:b/>
                <w:bCs/>
                <w:sz w:val="20"/>
                <w:szCs w:val="20"/>
              </w:rPr>
            </w:pPr>
            <w:r w:rsidRPr="00F92E37">
              <w:rPr>
                <w:rFonts w:ascii="Arial Narrow" w:eastAsia="Calibri" w:hAnsi="Arial Narrow"/>
                <w:b/>
                <w:bCs/>
                <w:sz w:val="20"/>
                <w:szCs w:val="20"/>
              </w:rPr>
              <w:t>code</w:t>
            </w:r>
          </w:p>
        </w:tc>
        <w:tc>
          <w:tcPr>
            <w:tcW w:w="1063" w:type="pct"/>
          </w:tcPr>
          <w:p w14:paraId="6EC2A29E" w14:textId="77777777" w:rsidR="0063573D" w:rsidRPr="00F92E37" w:rsidRDefault="0063573D" w:rsidP="00EC08A6">
            <w:pPr>
              <w:keepNext/>
              <w:spacing w:before="40" w:after="40"/>
              <w:rPr>
                <w:rFonts w:ascii="Arial Narrow" w:eastAsia="Calibri" w:hAnsi="Arial Narrow"/>
                <w:sz w:val="20"/>
                <w:szCs w:val="20"/>
              </w:rPr>
            </w:pPr>
            <w:r w:rsidRPr="00F92E37">
              <w:rPr>
                <w:rFonts w:ascii="Arial Narrow" w:eastAsia="Calibri" w:hAnsi="Arial Narrow"/>
                <w:b/>
                <w:sz w:val="20"/>
                <w:szCs w:val="20"/>
              </w:rPr>
              <w:t>Proprietary name and manufacturer</w:t>
            </w:r>
          </w:p>
        </w:tc>
      </w:tr>
      <w:tr w:rsidR="0063573D" w:rsidRPr="00F92E37" w14:paraId="5945962C" w14:textId="77777777" w:rsidTr="00316595">
        <w:trPr>
          <w:cantSplit/>
          <w:trHeight w:val="870"/>
        </w:trPr>
        <w:tc>
          <w:tcPr>
            <w:tcW w:w="1727" w:type="pct"/>
            <w:tcBorders>
              <w:bottom w:val="single" w:sz="4" w:space="0" w:color="auto"/>
            </w:tcBorders>
          </w:tcPr>
          <w:p w14:paraId="6C0C393E" w14:textId="77777777" w:rsidR="0063573D" w:rsidRPr="00F92E37" w:rsidRDefault="0063573D" w:rsidP="00EC08A6">
            <w:pPr>
              <w:keepNext/>
              <w:spacing w:after="120"/>
              <w:rPr>
                <w:rFonts w:ascii="Arial Narrow" w:hAnsi="Arial Narrow" w:cs="Arial"/>
                <w:bCs/>
                <w:sz w:val="20"/>
                <w:szCs w:val="20"/>
              </w:rPr>
            </w:pPr>
            <w:r w:rsidRPr="00F92E37">
              <w:rPr>
                <w:rFonts w:ascii="Arial Narrow" w:hAnsi="Arial Narrow" w:cs="Arial"/>
                <w:bCs/>
                <w:sz w:val="20"/>
                <w:szCs w:val="20"/>
              </w:rPr>
              <w:t xml:space="preserve">ADALIMUMAB  </w:t>
            </w:r>
          </w:p>
          <w:p w14:paraId="2BFCFEC1" w14:textId="77777777" w:rsidR="0063573D" w:rsidRPr="00F92E37" w:rsidRDefault="0063573D" w:rsidP="00EC08A6">
            <w:pPr>
              <w:keepNext/>
              <w:spacing w:before="40" w:after="40"/>
              <w:rPr>
                <w:rFonts w:ascii="Arial Narrow" w:hAnsi="Arial Narrow" w:cs="Arial"/>
                <w:bCs/>
                <w:sz w:val="20"/>
                <w:szCs w:val="20"/>
              </w:rPr>
            </w:pPr>
            <w:r w:rsidRPr="00F92E37">
              <w:rPr>
                <w:rFonts w:ascii="Arial Narrow" w:eastAsia="Calibri" w:hAnsi="Arial Narrow"/>
                <w:sz w:val="20"/>
                <w:szCs w:val="20"/>
              </w:rPr>
              <w:t>adalimumab 40 mg/0.4 mL injection, pre-filled pen</w:t>
            </w:r>
          </w:p>
        </w:tc>
        <w:tc>
          <w:tcPr>
            <w:tcW w:w="558" w:type="pct"/>
            <w:tcBorders>
              <w:top w:val="nil"/>
              <w:bottom w:val="single" w:sz="4" w:space="0" w:color="auto"/>
            </w:tcBorders>
          </w:tcPr>
          <w:p w14:paraId="23C5F613" w14:textId="77777777" w:rsidR="0063573D" w:rsidRPr="00F92E37" w:rsidRDefault="0063573D" w:rsidP="00EC08A6">
            <w:pPr>
              <w:keepNext/>
              <w:spacing w:after="120"/>
              <w:jc w:val="center"/>
              <w:rPr>
                <w:rFonts w:ascii="Arial Narrow" w:hAnsi="Arial Narrow" w:cs="Arial"/>
                <w:bCs/>
                <w:sz w:val="20"/>
                <w:szCs w:val="20"/>
                <w:vertAlign w:val="superscript"/>
              </w:rPr>
            </w:pPr>
            <w:r w:rsidRPr="00F92E37">
              <w:rPr>
                <w:rFonts w:ascii="Arial Narrow" w:hAnsi="Arial Narrow" w:cs="Arial"/>
                <w:bCs/>
                <w:sz w:val="20"/>
                <w:szCs w:val="20"/>
              </w:rPr>
              <w:t>1</w:t>
            </w:r>
          </w:p>
        </w:tc>
        <w:tc>
          <w:tcPr>
            <w:tcW w:w="527" w:type="pct"/>
            <w:tcBorders>
              <w:top w:val="nil"/>
              <w:bottom w:val="single" w:sz="4" w:space="0" w:color="auto"/>
            </w:tcBorders>
          </w:tcPr>
          <w:p w14:paraId="7C7E0712" w14:textId="77777777" w:rsidR="0063573D" w:rsidRPr="00F92E37" w:rsidRDefault="0063573D" w:rsidP="00EC08A6">
            <w:pPr>
              <w:keepNext/>
              <w:spacing w:after="120"/>
              <w:jc w:val="center"/>
              <w:rPr>
                <w:rFonts w:ascii="Arial Narrow" w:hAnsi="Arial Narrow" w:cs="Arial"/>
                <w:bCs/>
                <w:sz w:val="20"/>
                <w:szCs w:val="20"/>
              </w:rPr>
            </w:pPr>
            <w:r w:rsidRPr="00F92E37">
              <w:rPr>
                <w:rFonts w:ascii="Arial Narrow" w:hAnsi="Arial Narrow" w:cs="Arial"/>
                <w:bCs/>
                <w:sz w:val="20"/>
                <w:szCs w:val="20"/>
              </w:rPr>
              <w:t>2</w:t>
            </w:r>
          </w:p>
        </w:tc>
        <w:tc>
          <w:tcPr>
            <w:tcW w:w="444" w:type="pct"/>
            <w:tcBorders>
              <w:top w:val="nil"/>
              <w:bottom w:val="single" w:sz="4" w:space="0" w:color="auto"/>
            </w:tcBorders>
          </w:tcPr>
          <w:p w14:paraId="09E24B62" w14:textId="77777777" w:rsidR="0063573D" w:rsidRPr="00F92E37" w:rsidRDefault="0063573D" w:rsidP="00EC08A6">
            <w:pPr>
              <w:keepNext/>
              <w:spacing w:after="120"/>
              <w:jc w:val="center"/>
              <w:rPr>
                <w:rFonts w:ascii="Arial Narrow" w:hAnsi="Arial Narrow" w:cs="Arial"/>
                <w:bCs/>
                <w:sz w:val="20"/>
                <w:szCs w:val="20"/>
              </w:rPr>
            </w:pPr>
            <w:r w:rsidRPr="00F92E37">
              <w:rPr>
                <w:rFonts w:ascii="Arial Narrow" w:hAnsi="Arial Narrow" w:cs="Arial"/>
                <w:bCs/>
                <w:sz w:val="20"/>
                <w:szCs w:val="20"/>
              </w:rPr>
              <w:t>2</w:t>
            </w:r>
          </w:p>
        </w:tc>
        <w:tc>
          <w:tcPr>
            <w:tcW w:w="681" w:type="pct"/>
            <w:tcBorders>
              <w:top w:val="nil"/>
              <w:bottom w:val="single" w:sz="4" w:space="0" w:color="auto"/>
            </w:tcBorders>
          </w:tcPr>
          <w:p w14:paraId="49729C3C" w14:textId="77777777" w:rsidR="0063573D" w:rsidRPr="00F92E37" w:rsidRDefault="0063573D" w:rsidP="00EC08A6">
            <w:pPr>
              <w:keepNext/>
              <w:spacing w:after="120"/>
              <w:jc w:val="center"/>
              <w:rPr>
                <w:rFonts w:ascii="Arial Narrow" w:hAnsi="Arial Narrow" w:cs="Arial"/>
                <w:bCs/>
                <w:sz w:val="20"/>
                <w:szCs w:val="20"/>
              </w:rPr>
            </w:pPr>
            <w:r w:rsidRPr="00F92E37">
              <w:rPr>
                <w:rFonts w:ascii="Arial Narrow" w:hAnsi="Arial Narrow" w:cs="Arial"/>
                <w:bCs/>
                <w:sz w:val="20"/>
                <w:szCs w:val="20"/>
              </w:rPr>
              <w:t>12345R</w:t>
            </w:r>
          </w:p>
        </w:tc>
        <w:tc>
          <w:tcPr>
            <w:tcW w:w="1063" w:type="pct"/>
            <w:tcBorders>
              <w:top w:val="nil"/>
              <w:bottom w:val="single" w:sz="4" w:space="0" w:color="auto"/>
            </w:tcBorders>
          </w:tcPr>
          <w:p w14:paraId="4CE07506" w14:textId="6051E302" w:rsidR="0063573D" w:rsidRPr="00F92E37" w:rsidRDefault="0063573D" w:rsidP="00EC08A6">
            <w:pPr>
              <w:keepNext/>
              <w:spacing w:after="120"/>
              <w:rPr>
                <w:rFonts w:ascii="Arial Narrow" w:hAnsi="Arial Narrow" w:cs="Arial"/>
                <w:bCs/>
                <w:sz w:val="20"/>
                <w:szCs w:val="20"/>
              </w:rPr>
            </w:pPr>
            <w:r w:rsidRPr="00F92E37">
              <w:rPr>
                <w:rFonts w:ascii="Arial Narrow" w:hAnsi="Arial Narrow" w:cs="Arial"/>
                <w:bCs/>
                <w:sz w:val="20"/>
                <w:szCs w:val="20"/>
              </w:rPr>
              <w:t xml:space="preserve">Ardalicip® </w:t>
            </w:r>
          </w:p>
          <w:p w14:paraId="59F64F1B" w14:textId="7D399763" w:rsidR="0063573D" w:rsidRPr="00F92E37" w:rsidRDefault="0063573D" w:rsidP="00EC08A6">
            <w:pPr>
              <w:keepNext/>
              <w:spacing w:after="120"/>
              <w:rPr>
                <w:rFonts w:ascii="Arial Narrow" w:hAnsi="Arial Narrow" w:cs="Arial"/>
                <w:bCs/>
                <w:sz w:val="20"/>
                <w:szCs w:val="20"/>
              </w:rPr>
            </w:pPr>
            <w:r w:rsidRPr="00F92E37">
              <w:rPr>
                <w:rFonts w:ascii="Arial Narrow" w:hAnsi="Arial Narrow" w:cs="Arial"/>
                <w:bCs/>
                <w:sz w:val="20"/>
                <w:szCs w:val="20"/>
              </w:rPr>
              <w:t>Cip</w:t>
            </w:r>
            <w:r w:rsidR="003F3615" w:rsidRPr="00F92E37">
              <w:rPr>
                <w:rFonts w:ascii="Arial Narrow" w:hAnsi="Arial Narrow" w:cs="Arial"/>
                <w:bCs/>
                <w:sz w:val="20"/>
                <w:szCs w:val="20"/>
              </w:rPr>
              <w:t>l</w:t>
            </w:r>
            <w:r w:rsidRPr="00F92E37">
              <w:rPr>
                <w:rFonts w:ascii="Arial Narrow" w:hAnsi="Arial Narrow" w:cs="Arial"/>
                <w:bCs/>
                <w:sz w:val="20"/>
                <w:szCs w:val="20"/>
              </w:rPr>
              <w:t>a Australian Pty Ltd</w:t>
            </w:r>
          </w:p>
        </w:tc>
      </w:tr>
      <w:tr w:rsidR="0063573D" w:rsidRPr="00F92E37" w14:paraId="7A09120A" w14:textId="77777777" w:rsidTr="00316595">
        <w:trPr>
          <w:cantSplit/>
          <w:trHeight w:val="870"/>
        </w:trPr>
        <w:tc>
          <w:tcPr>
            <w:tcW w:w="1727" w:type="pct"/>
          </w:tcPr>
          <w:p w14:paraId="5D9F0E3E" w14:textId="77777777" w:rsidR="0063573D" w:rsidRPr="00F92E37" w:rsidRDefault="0063573D" w:rsidP="00EC08A6">
            <w:pPr>
              <w:keepNext/>
              <w:spacing w:after="120"/>
              <w:rPr>
                <w:rFonts w:ascii="Arial Narrow" w:hAnsi="Arial Narrow" w:cs="Arial"/>
                <w:bCs/>
                <w:sz w:val="20"/>
                <w:szCs w:val="20"/>
              </w:rPr>
            </w:pPr>
            <w:r w:rsidRPr="00F92E37">
              <w:rPr>
                <w:rFonts w:ascii="Arial Narrow" w:hAnsi="Arial Narrow" w:cs="Arial"/>
                <w:bCs/>
                <w:sz w:val="20"/>
                <w:szCs w:val="20"/>
              </w:rPr>
              <w:t xml:space="preserve">ADALIMUMAB  </w:t>
            </w:r>
          </w:p>
          <w:p w14:paraId="39F24ED2" w14:textId="77777777" w:rsidR="0063573D" w:rsidRPr="00F92E37" w:rsidRDefault="0063573D" w:rsidP="00EC08A6">
            <w:pPr>
              <w:keepNext/>
              <w:spacing w:after="120"/>
              <w:rPr>
                <w:rFonts w:ascii="Arial Narrow" w:hAnsi="Arial Narrow" w:cs="Arial"/>
                <w:bCs/>
                <w:sz w:val="20"/>
                <w:szCs w:val="20"/>
              </w:rPr>
            </w:pPr>
            <w:r w:rsidRPr="00F92E37">
              <w:rPr>
                <w:rFonts w:ascii="Arial Narrow" w:eastAsia="Calibri" w:hAnsi="Arial Narrow"/>
                <w:sz w:val="20"/>
                <w:szCs w:val="20"/>
              </w:rPr>
              <w:t>adalimumab 40 mg/0.4 mL injection, pre-filled syringe</w:t>
            </w:r>
          </w:p>
        </w:tc>
        <w:tc>
          <w:tcPr>
            <w:tcW w:w="558" w:type="pct"/>
            <w:tcBorders>
              <w:top w:val="single" w:sz="4" w:space="0" w:color="auto"/>
              <w:bottom w:val="single" w:sz="4" w:space="0" w:color="auto"/>
            </w:tcBorders>
          </w:tcPr>
          <w:p w14:paraId="1FC69027" w14:textId="77777777" w:rsidR="0063573D" w:rsidRPr="00F92E37" w:rsidRDefault="0063573D" w:rsidP="00EC08A6">
            <w:pPr>
              <w:keepNext/>
              <w:spacing w:after="120"/>
              <w:jc w:val="center"/>
              <w:rPr>
                <w:rFonts w:ascii="Arial Narrow" w:hAnsi="Arial Narrow" w:cs="Arial"/>
                <w:bCs/>
                <w:sz w:val="20"/>
                <w:szCs w:val="20"/>
              </w:rPr>
            </w:pPr>
            <w:r w:rsidRPr="00F92E37">
              <w:rPr>
                <w:rFonts w:ascii="Arial Narrow" w:hAnsi="Arial Narrow" w:cs="Arial"/>
                <w:bCs/>
                <w:sz w:val="20"/>
                <w:szCs w:val="20"/>
              </w:rPr>
              <w:t>1</w:t>
            </w:r>
          </w:p>
        </w:tc>
        <w:tc>
          <w:tcPr>
            <w:tcW w:w="527" w:type="pct"/>
            <w:tcBorders>
              <w:top w:val="single" w:sz="4" w:space="0" w:color="auto"/>
              <w:bottom w:val="single" w:sz="4" w:space="0" w:color="auto"/>
            </w:tcBorders>
          </w:tcPr>
          <w:p w14:paraId="1F94F50C" w14:textId="77777777" w:rsidR="0063573D" w:rsidRPr="00F92E37" w:rsidRDefault="0063573D" w:rsidP="00EC08A6">
            <w:pPr>
              <w:keepNext/>
              <w:spacing w:after="120"/>
              <w:jc w:val="center"/>
              <w:rPr>
                <w:rFonts w:ascii="Arial Narrow" w:hAnsi="Arial Narrow" w:cs="Arial"/>
                <w:bCs/>
                <w:sz w:val="20"/>
                <w:szCs w:val="20"/>
              </w:rPr>
            </w:pPr>
            <w:r w:rsidRPr="00F92E37">
              <w:rPr>
                <w:rFonts w:ascii="Arial Narrow" w:hAnsi="Arial Narrow" w:cs="Arial"/>
                <w:bCs/>
                <w:sz w:val="20"/>
                <w:szCs w:val="20"/>
              </w:rPr>
              <w:t>2</w:t>
            </w:r>
          </w:p>
        </w:tc>
        <w:tc>
          <w:tcPr>
            <w:tcW w:w="444" w:type="pct"/>
            <w:tcBorders>
              <w:top w:val="single" w:sz="4" w:space="0" w:color="auto"/>
              <w:bottom w:val="single" w:sz="4" w:space="0" w:color="auto"/>
            </w:tcBorders>
          </w:tcPr>
          <w:p w14:paraId="30898EC6" w14:textId="77777777" w:rsidR="0063573D" w:rsidRPr="00F92E37" w:rsidRDefault="0063573D" w:rsidP="00EC08A6">
            <w:pPr>
              <w:keepNext/>
              <w:spacing w:after="120"/>
              <w:jc w:val="center"/>
              <w:rPr>
                <w:rFonts w:ascii="Arial Narrow" w:hAnsi="Arial Narrow" w:cs="Arial"/>
                <w:bCs/>
                <w:sz w:val="20"/>
                <w:szCs w:val="20"/>
              </w:rPr>
            </w:pPr>
            <w:r w:rsidRPr="00F92E37">
              <w:rPr>
                <w:rFonts w:ascii="Arial Narrow" w:hAnsi="Arial Narrow" w:cs="Arial"/>
                <w:bCs/>
                <w:sz w:val="20"/>
                <w:szCs w:val="20"/>
              </w:rPr>
              <w:t>2</w:t>
            </w:r>
          </w:p>
        </w:tc>
        <w:tc>
          <w:tcPr>
            <w:tcW w:w="681" w:type="pct"/>
            <w:tcBorders>
              <w:top w:val="single" w:sz="4" w:space="0" w:color="auto"/>
              <w:bottom w:val="single" w:sz="4" w:space="0" w:color="auto"/>
            </w:tcBorders>
          </w:tcPr>
          <w:p w14:paraId="28370B5C" w14:textId="77777777" w:rsidR="0063573D" w:rsidRPr="00F92E37" w:rsidRDefault="0063573D" w:rsidP="00EC08A6">
            <w:pPr>
              <w:keepNext/>
              <w:spacing w:after="120"/>
              <w:jc w:val="center"/>
              <w:rPr>
                <w:rFonts w:ascii="Arial Narrow" w:hAnsi="Arial Narrow" w:cs="Arial"/>
                <w:bCs/>
                <w:sz w:val="20"/>
                <w:szCs w:val="20"/>
              </w:rPr>
            </w:pPr>
            <w:r w:rsidRPr="00F92E37">
              <w:rPr>
                <w:rFonts w:ascii="Arial Narrow" w:hAnsi="Arial Narrow" w:cs="Arial"/>
                <w:bCs/>
                <w:sz w:val="20"/>
                <w:szCs w:val="20"/>
              </w:rPr>
              <w:t>12338J</w:t>
            </w:r>
          </w:p>
        </w:tc>
        <w:tc>
          <w:tcPr>
            <w:tcW w:w="1063" w:type="pct"/>
            <w:tcBorders>
              <w:top w:val="single" w:sz="4" w:space="0" w:color="auto"/>
              <w:bottom w:val="single" w:sz="4" w:space="0" w:color="auto"/>
            </w:tcBorders>
          </w:tcPr>
          <w:p w14:paraId="69DC9DBE" w14:textId="77777777" w:rsidR="0063573D" w:rsidRPr="00F92E37" w:rsidRDefault="0063573D" w:rsidP="0063573D">
            <w:pPr>
              <w:keepNext/>
              <w:spacing w:after="120"/>
              <w:rPr>
                <w:rFonts w:ascii="Arial Narrow" w:hAnsi="Arial Narrow" w:cs="Arial"/>
                <w:bCs/>
                <w:sz w:val="20"/>
                <w:szCs w:val="20"/>
              </w:rPr>
            </w:pPr>
            <w:r w:rsidRPr="00F92E37">
              <w:rPr>
                <w:rFonts w:ascii="Arial Narrow" w:hAnsi="Arial Narrow" w:cs="Arial"/>
                <w:bCs/>
                <w:sz w:val="20"/>
                <w:szCs w:val="20"/>
              </w:rPr>
              <w:t xml:space="preserve">Ardalicip® </w:t>
            </w:r>
          </w:p>
          <w:p w14:paraId="5358357E" w14:textId="2571ABA0" w:rsidR="0063573D" w:rsidRPr="00F92E37" w:rsidRDefault="0063573D" w:rsidP="0063573D">
            <w:pPr>
              <w:keepNext/>
              <w:spacing w:after="120"/>
              <w:rPr>
                <w:rFonts w:ascii="Arial Narrow" w:hAnsi="Arial Narrow" w:cs="Arial"/>
                <w:bCs/>
                <w:sz w:val="20"/>
                <w:szCs w:val="20"/>
              </w:rPr>
            </w:pPr>
            <w:r w:rsidRPr="00F92E37">
              <w:rPr>
                <w:rFonts w:ascii="Arial Narrow" w:hAnsi="Arial Narrow" w:cs="Arial"/>
                <w:bCs/>
                <w:sz w:val="20"/>
                <w:szCs w:val="20"/>
              </w:rPr>
              <w:t>Cip</w:t>
            </w:r>
            <w:r w:rsidR="003F3615" w:rsidRPr="00F92E37">
              <w:rPr>
                <w:rFonts w:ascii="Arial Narrow" w:hAnsi="Arial Narrow" w:cs="Arial"/>
                <w:bCs/>
                <w:sz w:val="20"/>
                <w:szCs w:val="20"/>
              </w:rPr>
              <w:t>l</w:t>
            </w:r>
            <w:r w:rsidRPr="00F92E37">
              <w:rPr>
                <w:rFonts w:ascii="Arial Narrow" w:hAnsi="Arial Narrow" w:cs="Arial"/>
                <w:bCs/>
                <w:sz w:val="20"/>
                <w:szCs w:val="20"/>
              </w:rPr>
              <w:t>a Australian Pty Ltd</w:t>
            </w:r>
          </w:p>
        </w:tc>
      </w:tr>
      <w:tr w:rsidR="0063573D" w:rsidRPr="00F92E37" w14:paraId="01D9F2A0" w14:textId="77777777" w:rsidTr="00316595">
        <w:trPr>
          <w:cantSplit/>
          <w:trHeight w:val="870"/>
        </w:trPr>
        <w:tc>
          <w:tcPr>
            <w:tcW w:w="1727" w:type="pct"/>
            <w:tcBorders>
              <w:bottom w:val="single" w:sz="4" w:space="0" w:color="auto"/>
            </w:tcBorders>
          </w:tcPr>
          <w:p w14:paraId="6E4E3378" w14:textId="77777777" w:rsidR="0063573D" w:rsidRPr="00F92E37" w:rsidRDefault="0063573D" w:rsidP="0063573D">
            <w:pPr>
              <w:keepNext/>
              <w:spacing w:after="120"/>
              <w:rPr>
                <w:rFonts w:ascii="Arial Narrow" w:hAnsi="Arial Narrow" w:cs="Arial"/>
                <w:bCs/>
                <w:sz w:val="20"/>
                <w:szCs w:val="20"/>
              </w:rPr>
            </w:pPr>
            <w:r w:rsidRPr="00F92E37">
              <w:rPr>
                <w:rFonts w:ascii="Arial Narrow" w:hAnsi="Arial Narrow" w:cs="Arial"/>
                <w:bCs/>
                <w:sz w:val="20"/>
                <w:szCs w:val="20"/>
              </w:rPr>
              <w:t xml:space="preserve">ADALIMUMAB  </w:t>
            </w:r>
          </w:p>
          <w:p w14:paraId="69FA2D75" w14:textId="3BCDE35D" w:rsidR="0063573D" w:rsidRPr="00F92E37" w:rsidRDefault="0063573D" w:rsidP="0063573D">
            <w:pPr>
              <w:keepNext/>
              <w:spacing w:after="120"/>
              <w:rPr>
                <w:rFonts w:ascii="Arial Narrow" w:hAnsi="Arial Narrow" w:cs="Arial"/>
                <w:bCs/>
                <w:sz w:val="20"/>
                <w:szCs w:val="20"/>
              </w:rPr>
            </w:pPr>
            <w:r w:rsidRPr="00F92E37">
              <w:rPr>
                <w:rFonts w:ascii="Arial Narrow" w:eastAsia="Calibri" w:hAnsi="Arial Narrow"/>
                <w:sz w:val="20"/>
                <w:szCs w:val="20"/>
              </w:rPr>
              <w:t>adalimumab 80 mg/0.8 mL injection, pre-filled syringe</w:t>
            </w:r>
          </w:p>
        </w:tc>
        <w:tc>
          <w:tcPr>
            <w:tcW w:w="558" w:type="pct"/>
            <w:tcBorders>
              <w:top w:val="single" w:sz="4" w:space="0" w:color="auto"/>
              <w:bottom w:val="single" w:sz="4" w:space="0" w:color="auto"/>
            </w:tcBorders>
          </w:tcPr>
          <w:p w14:paraId="3DAEBE91" w14:textId="7AB884B0" w:rsidR="0063573D" w:rsidRPr="00F92E37" w:rsidRDefault="0063573D" w:rsidP="00EC08A6">
            <w:pPr>
              <w:keepNext/>
              <w:spacing w:after="120"/>
              <w:jc w:val="center"/>
              <w:rPr>
                <w:rFonts w:ascii="Arial Narrow" w:hAnsi="Arial Narrow" w:cs="Arial"/>
                <w:bCs/>
                <w:sz w:val="20"/>
                <w:szCs w:val="20"/>
              </w:rPr>
            </w:pPr>
            <w:r w:rsidRPr="00F92E37">
              <w:rPr>
                <w:rFonts w:ascii="Arial Narrow" w:hAnsi="Arial Narrow" w:cs="Arial"/>
                <w:bCs/>
                <w:sz w:val="20"/>
                <w:szCs w:val="20"/>
              </w:rPr>
              <w:t>3</w:t>
            </w:r>
          </w:p>
        </w:tc>
        <w:tc>
          <w:tcPr>
            <w:tcW w:w="527" w:type="pct"/>
            <w:tcBorders>
              <w:top w:val="single" w:sz="4" w:space="0" w:color="auto"/>
              <w:bottom w:val="single" w:sz="4" w:space="0" w:color="auto"/>
            </w:tcBorders>
          </w:tcPr>
          <w:p w14:paraId="73D1A214" w14:textId="13C75065" w:rsidR="0063573D" w:rsidRPr="00F92E37" w:rsidRDefault="0063573D" w:rsidP="00EC08A6">
            <w:pPr>
              <w:keepNext/>
              <w:spacing w:after="120"/>
              <w:jc w:val="center"/>
              <w:rPr>
                <w:rFonts w:ascii="Arial Narrow" w:hAnsi="Arial Narrow" w:cs="Arial"/>
                <w:bCs/>
                <w:sz w:val="20"/>
                <w:szCs w:val="20"/>
              </w:rPr>
            </w:pPr>
            <w:r w:rsidRPr="00F92E37">
              <w:rPr>
                <w:rFonts w:ascii="Arial Narrow" w:hAnsi="Arial Narrow" w:cs="Arial"/>
                <w:bCs/>
                <w:sz w:val="20"/>
                <w:szCs w:val="20"/>
              </w:rPr>
              <w:t>3</w:t>
            </w:r>
          </w:p>
        </w:tc>
        <w:tc>
          <w:tcPr>
            <w:tcW w:w="444" w:type="pct"/>
            <w:tcBorders>
              <w:top w:val="single" w:sz="4" w:space="0" w:color="auto"/>
              <w:bottom w:val="single" w:sz="4" w:space="0" w:color="auto"/>
            </w:tcBorders>
          </w:tcPr>
          <w:p w14:paraId="4C43DE90" w14:textId="340D3BB6" w:rsidR="0063573D" w:rsidRPr="00F92E37" w:rsidRDefault="0063573D" w:rsidP="00EC08A6">
            <w:pPr>
              <w:keepNext/>
              <w:spacing w:after="120"/>
              <w:jc w:val="center"/>
              <w:rPr>
                <w:rFonts w:ascii="Arial Narrow" w:hAnsi="Arial Narrow" w:cs="Arial"/>
                <w:bCs/>
                <w:sz w:val="20"/>
                <w:szCs w:val="20"/>
              </w:rPr>
            </w:pPr>
            <w:r w:rsidRPr="00F92E37">
              <w:rPr>
                <w:rFonts w:ascii="Arial Narrow" w:hAnsi="Arial Narrow" w:cs="Arial"/>
                <w:bCs/>
                <w:sz w:val="20"/>
                <w:szCs w:val="20"/>
              </w:rPr>
              <w:t>0</w:t>
            </w:r>
          </w:p>
        </w:tc>
        <w:tc>
          <w:tcPr>
            <w:tcW w:w="681" w:type="pct"/>
            <w:tcBorders>
              <w:top w:val="single" w:sz="4" w:space="0" w:color="auto"/>
              <w:bottom w:val="single" w:sz="4" w:space="0" w:color="auto"/>
            </w:tcBorders>
          </w:tcPr>
          <w:p w14:paraId="62BE198B" w14:textId="3B43D348" w:rsidR="0063573D" w:rsidRPr="00F92E37" w:rsidRDefault="0063573D" w:rsidP="00EC08A6">
            <w:pPr>
              <w:keepNext/>
              <w:spacing w:after="120"/>
              <w:jc w:val="center"/>
              <w:rPr>
                <w:rFonts w:ascii="Arial Narrow" w:hAnsi="Arial Narrow" w:cs="Arial"/>
                <w:bCs/>
                <w:sz w:val="20"/>
                <w:szCs w:val="20"/>
              </w:rPr>
            </w:pPr>
            <w:r w:rsidRPr="00F92E37">
              <w:rPr>
                <w:rFonts w:ascii="Arial Narrow" w:hAnsi="Arial Narrow" w:cs="Arial"/>
                <w:bCs/>
                <w:sz w:val="20"/>
                <w:szCs w:val="20"/>
              </w:rPr>
              <w:t>12372E</w:t>
            </w:r>
          </w:p>
        </w:tc>
        <w:tc>
          <w:tcPr>
            <w:tcW w:w="1063" w:type="pct"/>
            <w:tcBorders>
              <w:top w:val="single" w:sz="4" w:space="0" w:color="auto"/>
              <w:bottom w:val="single" w:sz="4" w:space="0" w:color="auto"/>
            </w:tcBorders>
          </w:tcPr>
          <w:p w14:paraId="274CBBEB" w14:textId="77777777" w:rsidR="0063573D" w:rsidRPr="00F92E37" w:rsidRDefault="0063573D" w:rsidP="0063573D">
            <w:pPr>
              <w:keepNext/>
              <w:spacing w:after="120"/>
              <w:rPr>
                <w:rFonts w:ascii="Arial Narrow" w:hAnsi="Arial Narrow" w:cs="Arial"/>
                <w:bCs/>
                <w:sz w:val="20"/>
                <w:szCs w:val="20"/>
              </w:rPr>
            </w:pPr>
            <w:r w:rsidRPr="00F92E37">
              <w:rPr>
                <w:rFonts w:ascii="Arial Narrow" w:hAnsi="Arial Narrow" w:cs="Arial"/>
                <w:bCs/>
                <w:sz w:val="20"/>
                <w:szCs w:val="20"/>
              </w:rPr>
              <w:t xml:space="preserve">Ardalicip® </w:t>
            </w:r>
          </w:p>
          <w:p w14:paraId="31E6E488" w14:textId="14D1D9F1" w:rsidR="0063573D" w:rsidRPr="00F92E37" w:rsidRDefault="0063573D" w:rsidP="0063573D">
            <w:pPr>
              <w:keepNext/>
              <w:spacing w:after="120"/>
              <w:rPr>
                <w:rFonts w:ascii="Arial Narrow" w:hAnsi="Arial Narrow" w:cs="Arial"/>
                <w:bCs/>
                <w:sz w:val="20"/>
                <w:szCs w:val="20"/>
              </w:rPr>
            </w:pPr>
            <w:r w:rsidRPr="00F92E37">
              <w:rPr>
                <w:rFonts w:ascii="Arial Narrow" w:hAnsi="Arial Narrow" w:cs="Arial"/>
                <w:bCs/>
                <w:sz w:val="20"/>
                <w:szCs w:val="20"/>
              </w:rPr>
              <w:t>Cip</w:t>
            </w:r>
            <w:r w:rsidR="003F3615" w:rsidRPr="00F92E37">
              <w:rPr>
                <w:rFonts w:ascii="Arial Narrow" w:hAnsi="Arial Narrow" w:cs="Arial"/>
                <w:bCs/>
                <w:sz w:val="20"/>
                <w:szCs w:val="20"/>
              </w:rPr>
              <w:t>l</w:t>
            </w:r>
            <w:r w:rsidRPr="00F92E37">
              <w:rPr>
                <w:rFonts w:ascii="Arial Narrow" w:hAnsi="Arial Narrow" w:cs="Arial"/>
                <w:bCs/>
                <w:sz w:val="20"/>
                <w:szCs w:val="20"/>
              </w:rPr>
              <w:t>a Australian Pty Ltd</w:t>
            </w:r>
          </w:p>
        </w:tc>
      </w:tr>
    </w:tbl>
    <w:bookmarkEnd w:id="0"/>
    <w:p w14:paraId="4905FFB8" w14:textId="272FEBC1" w:rsidR="0063573D" w:rsidRPr="00F92E37" w:rsidRDefault="0063573D" w:rsidP="0063573D">
      <w:pPr>
        <w:pStyle w:val="TableFooter"/>
      </w:pPr>
      <w:r w:rsidRPr="00F92E37">
        <w:t>The sponsor has requested the same number of items and indications as Humira 40 mg in 0.4 mL</w:t>
      </w:r>
      <w:r w:rsidR="007F0EBF" w:rsidRPr="00F92E37">
        <w:t xml:space="preserve"> and 80 mg in 0.8 mL</w:t>
      </w:r>
      <w:r w:rsidRPr="00F92E37">
        <w:t>. Maximum quantity packs and units and number of repeats will change to match the item code and indication. The example indication used is “</w:t>
      </w:r>
      <w:r w:rsidRPr="00F92E37">
        <w:rPr>
          <w:rFonts w:eastAsiaTheme="minorHAnsi"/>
        </w:rPr>
        <w:t>Severe Crohn disease</w:t>
      </w:r>
      <w:r w:rsidRPr="00F92E37">
        <w:t xml:space="preserve"> </w:t>
      </w:r>
      <w:r w:rsidRPr="00F92E37">
        <w:rPr>
          <w:rFonts w:eastAsiaTheme="minorHAnsi"/>
        </w:rPr>
        <w:t>Treatment Phase: Initial treatment - Initial 1 (new patient)</w:t>
      </w:r>
      <w:r w:rsidRPr="00F92E37">
        <w:t>”.</w:t>
      </w:r>
    </w:p>
    <w:p w14:paraId="43E834E7" w14:textId="77777777" w:rsidR="007F0EBF" w:rsidRPr="00F92E37" w:rsidRDefault="007F0EBF" w:rsidP="007F0EBF">
      <w:pPr>
        <w:pStyle w:val="2-SectionHeading"/>
        <w:numPr>
          <w:ilvl w:val="0"/>
          <w:numId w:val="2"/>
        </w:numPr>
        <w:rPr>
          <w:color w:val="FF0000"/>
        </w:rPr>
      </w:pPr>
      <w:r w:rsidRPr="00F92E37">
        <w:t xml:space="preserve">Comparator </w:t>
      </w:r>
    </w:p>
    <w:p w14:paraId="3E424B0C" w14:textId="753AAF12" w:rsidR="007F0EBF" w:rsidRPr="00F92E37" w:rsidRDefault="007F0EBF" w:rsidP="007F0EBF">
      <w:pPr>
        <w:pStyle w:val="3Bodytext"/>
      </w:pPr>
      <w:r w:rsidRPr="00F92E37">
        <w:t xml:space="preserve">The submission nominated the reference brand of adalimumab, Humira, as the main comparator. </w:t>
      </w:r>
      <w:r w:rsidRPr="00F92E37">
        <w:rPr>
          <w:iCs/>
        </w:rPr>
        <w:t>Th</w:t>
      </w:r>
      <w:r w:rsidR="00CC6374" w:rsidRPr="00F92E37">
        <w:rPr>
          <w:iCs/>
        </w:rPr>
        <w:t>e PBAC considered that this</w:t>
      </w:r>
      <w:r w:rsidRPr="00F92E37">
        <w:rPr>
          <w:iCs/>
        </w:rPr>
        <w:t xml:space="preserve"> was appropriate.</w:t>
      </w:r>
    </w:p>
    <w:p w14:paraId="1045EFFE" w14:textId="3E60D7C9" w:rsidR="007F0EBF" w:rsidRPr="00F92E37" w:rsidRDefault="007F0EBF" w:rsidP="007F0EBF">
      <w:pPr>
        <w:pStyle w:val="Heading1"/>
        <w:keepLines/>
        <w:numPr>
          <w:ilvl w:val="0"/>
          <w:numId w:val="2"/>
        </w:numPr>
        <w:spacing w:before="240"/>
        <w:ind w:left="709" w:hanging="709"/>
        <w:rPr>
          <w:sz w:val="32"/>
          <w:szCs w:val="32"/>
        </w:rPr>
      </w:pPr>
      <w:r w:rsidRPr="00F92E37">
        <w:rPr>
          <w:sz w:val="32"/>
          <w:szCs w:val="32"/>
        </w:rPr>
        <w:t>Consideration of the evidence</w:t>
      </w:r>
    </w:p>
    <w:p w14:paraId="57C11C67" w14:textId="77777777" w:rsidR="0003494A" w:rsidRPr="00F92E37" w:rsidRDefault="0003494A" w:rsidP="0003494A">
      <w:pPr>
        <w:pStyle w:val="4-SubsectionHeading"/>
      </w:pPr>
      <w:r w:rsidRPr="00F92E37">
        <w:t>Sponsor hearing</w:t>
      </w:r>
    </w:p>
    <w:p w14:paraId="24430E17" w14:textId="0A97135B" w:rsidR="0003494A" w:rsidRPr="00F92E37" w:rsidRDefault="0003494A" w:rsidP="0003494A">
      <w:pPr>
        <w:pStyle w:val="3-BodyText"/>
        <w:numPr>
          <w:ilvl w:val="1"/>
          <w:numId w:val="2"/>
        </w:numPr>
      </w:pPr>
      <w:r w:rsidRPr="00F92E37">
        <w:rPr>
          <w:rFonts w:cs="Calibri"/>
          <w:bCs/>
          <w:snapToGrid w:val="0"/>
        </w:rPr>
        <w:t xml:space="preserve">There was no </w:t>
      </w:r>
      <w:r w:rsidRPr="00F92E37">
        <w:rPr>
          <w:lang w:eastAsia="en-US"/>
        </w:rPr>
        <w:t>hearing</w:t>
      </w:r>
      <w:r w:rsidRPr="00F92E37">
        <w:rPr>
          <w:rFonts w:cs="Calibri"/>
          <w:bCs/>
          <w:snapToGrid w:val="0"/>
        </w:rPr>
        <w:t xml:space="preserve"> for this item</w:t>
      </w:r>
      <w:r w:rsidR="00F53D28">
        <w:rPr>
          <w:rFonts w:cs="Calibri"/>
          <w:bCs/>
          <w:snapToGrid w:val="0"/>
        </w:rPr>
        <w:t>.</w:t>
      </w:r>
    </w:p>
    <w:p w14:paraId="59758F1D" w14:textId="77777777" w:rsidR="0003494A" w:rsidRPr="00F92E37" w:rsidRDefault="0003494A" w:rsidP="0003494A">
      <w:pPr>
        <w:pStyle w:val="4-SubsectionHeading"/>
      </w:pPr>
      <w:r w:rsidRPr="00F92E37">
        <w:lastRenderedPageBreak/>
        <w:t>Consumer comments</w:t>
      </w:r>
    </w:p>
    <w:p w14:paraId="1BA1199C" w14:textId="1CDD8376" w:rsidR="00582281" w:rsidRPr="00F92E37" w:rsidRDefault="004668CE" w:rsidP="00674DC9">
      <w:pPr>
        <w:pStyle w:val="3Bodytext"/>
        <w:rPr>
          <w:lang w:eastAsia="en-US"/>
        </w:rPr>
      </w:pPr>
      <w:r w:rsidRPr="00F92E37">
        <w:rPr>
          <w:rFonts w:cs="Arial"/>
          <w:bCs/>
          <w:snapToGrid w:val="0"/>
        </w:rPr>
        <w:t>The PBAC noted and welcomed the input from one individual and one organisation via the Consumer Comments facility on the PBS website</w:t>
      </w:r>
      <w:r w:rsidR="00F92E37">
        <w:rPr>
          <w:rFonts w:cs="Arial"/>
          <w:bCs/>
          <w:snapToGrid w:val="0"/>
        </w:rPr>
        <w:t xml:space="preserve">. </w:t>
      </w:r>
    </w:p>
    <w:p w14:paraId="6A306459" w14:textId="79090448" w:rsidR="00674DC9" w:rsidRPr="00F92E37" w:rsidRDefault="00582281" w:rsidP="00674DC9">
      <w:pPr>
        <w:pStyle w:val="3Bodytext"/>
        <w:rPr>
          <w:lang w:eastAsia="en-US"/>
        </w:rPr>
      </w:pPr>
      <w:r w:rsidRPr="00F92E37">
        <w:rPr>
          <w:lang w:eastAsia="en-US"/>
        </w:rPr>
        <w:t xml:space="preserve">The PBAC noted the comments from the individual, which </w:t>
      </w:r>
      <w:r w:rsidR="004668CE" w:rsidRPr="00F92E37">
        <w:rPr>
          <w:rFonts w:cs="Arial"/>
          <w:bCs/>
          <w:snapToGrid w:val="0"/>
        </w:rPr>
        <w:t>described a range of benefits of treatment with</w:t>
      </w:r>
      <w:r w:rsidR="00FE6AC8" w:rsidRPr="00F92E37">
        <w:rPr>
          <w:rFonts w:cs="Arial"/>
          <w:bCs/>
          <w:snapToGrid w:val="0"/>
        </w:rPr>
        <w:t xml:space="preserve"> adalimumab</w:t>
      </w:r>
      <w:r w:rsidRPr="00F92E37">
        <w:rPr>
          <w:rFonts w:cs="Arial"/>
          <w:bCs/>
          <w:snapToGrid w:val="0"/>
        </w:rPr>
        <w:t xml:space="preserve"> for hidradenitis suppurativa,</w:t>
      </w:r>
      <w:r w:rsidR="004668CE" w:rsidRPr="00F92E37">
        <w:rPr>
          <w:rFonts w:cs="Arial"/>
          <w:bCs/>
          <w:snapToGrid w:val="0"/>
        </w:rPr>
        <w:t xml:space="preserve"> including</w:t>
      </w:r>
      <w:r w:rsidR="00FE6AC8" w:rsidRPr="00F92E37">
        <w:rPr>
          <w:rFonts w:cs="Arial"/>
          <w:bCs/>
          <w:snapToGrid w:val="0"/>
        </w:rPr>
        <w:t xml:space="preserve"> improvement in symptoms</w:t>
      </w:r>
      <w:r w:rsidR="00F16B2F" w:rsidRPr="00F92E37">
        <w:rPr>
          <w:rFonts w:cs="Arial"/>
          <w:bCs/>
          <w:snapToGrid w:val="0"/>
        </w:rPr>
        <w:t xml:space="preserve"> and</w:t>
      </w:r>
      <w:r w:rsidR="00FE6AC8" w:rsidRPr="00F92E37">
        <w:rPr>
          <w:rFonts w:cs="Arial"/>
          <w:bCs/>
          <w:snapToGrid w:val="0"/>
        </w:rPr>
        <w:t xml:space="preserve"> reduction in surgeries</w:t>
      </w:r>
      <w:r w:rsidR="00F16B2F" w:rsidRPr="00F92E37">
        <w:rPr>
          <w:rFonts w:cs="Arial"/>
          <w:bCs/>
          <w:snapToGrid w:val="0"/>
        </w:rPr>
        <w:t xml:space="preserve">. The individual also noted that the availability of higher dosage forms on the PBS improves the affordability and accessibility of this medication for people who require higher doses. </w:t>
      </w:r>
    </w:p>
    <w:p w14:paraId="6048723A" w14:textId="69F623C2" w:rsidR="00FE6AC8" w:rsidRPr="00F92E37" w:rsidRDefault="00FE6AC8" w:rsidP="00674DC9">
      <w:pPr>
        <w:pStyle w:val="3Bodytext"/>
        <w:rPr>
          <w:lang w:eastAsia="en-US"/>
        </w:rPr>
      </w:pPr>
      <w:r w:rsidRPr="00F92E37">
        <w:rPr>
          <w:rFonts w:cs="Arial"/>
          <w:bCs/>
          <w:snapToGrid w:val="0"/>
        </w:rPr>
        <w:t xml:space="preserve">The PBAC noted the advice received from the National Paediatric Medicines Forum (NPFC) </w:t>
      </w:r>
      <w:r w:rsidR="00F16B2F" w:rsidRPr="00F92E37">
        <w:rPr>
          <w:rFonts w:cs="Arial"/>
          <w:bCs/>
          <w:snapToGrid w:val="0"/>
        </w:rPr>
        <w:t xml:space="preserve">which stated that adalimumab is highly utilised in the paediatric setting </w:t>
      </w:r>
      <w:r w:rsidRPr="00F92E37">
        <w:rPr>
          <w:rFonts w:cs="Arial"/>
          <w:bCs/>
          <w:snapToGrid w:val="0"/>
        </w:rPr>
        <w:t>for inflammatory bowel disorders and juvenile idiopathic arthritis</w:t>
      </w:r>
      <w:r w:rsidR="00903BAD" w:rsidRPr="00F92E37">
        <w:rPr>
          <w:rFonts w:cs="Arial"/>
          <w:bCs/>
          <w:snapToGrid w:val="0"/>
        </w:rPr>
        <w:t xml:space="preserve">. </w:t>
      </w:r>
      <w:r w:rsidRPr="00F92E37">
        <w:rPr>
          <w:rFonts w:cs="Arial"/>
          <w:bCs/>
          <w:snapToGrid w:val="0"/>
        </w:rPr>
        <w:t xml:space="preserve">The PBAC noted the </w:t>
      </w:r>
      <w:r w:rsidR="00A77A85" w:rsidRPr="00F92E37">
        <w:rPr>
          <w:rFonts w:cs="Arial"/>
          <w:bCs/>
          <w:snapToGrid w:val="0"/>
        </w:rPr>
        <w:t>NPFC’s request</w:t>
      </w:r>
      <w:r w:rsidRPr="00F92E37">
        <w:rPr>
          <w:rFonts w:cs="Arial"/>
          <w:bCs/>
          <w:snapToGrid w:val="0"/>
        </w:rPr>
        <w:t xml:space="preserve"> that the </w:t>
      </w:r>
      <w:r w:rsidR="00903BAD" w:rsidRPr="00F92E37">
        <w:rPr>
          <w:rFonts w:cs="Arial"/>
          <w:bCs/>
          <w:snapToGrid w:val="0"/>
        </w:rPr>
        <w:t xml:space="preserve">listing </w:t>
      </w:r>
      <w:r w:rsidRPr="00F92E37">
        <w:rPr>
          <w:rFonts w:cs="Arial"/>
          <w:bCs/>
          <w:snapToGrid w:val="0"/>
        </w:rPr>
        <w:t xml:space="preserve">of adalimumab should not have age limit restrictions </w:t>
      </w:r>
      <w:r w:rsidR="00903BAD" w:rsidRPr="00F92E37">
        <w:rPr>
          <w:rFonts w:cs="Arial"/>
          <w:bCs/>
          <w:snapToGrid w:val="0"/>
        </w:rPr>
        <w:t>to allow</w:t>
      </w:r>
      <w:r w:rsidRPr="00F92E37">
        <w:rPr>
          <w:rFonts w:cs="Arial"/>
          <w:bCs/>
          <w:snapToGrid w:val="0"/>
        </w:rPr>
        <w:t xml:space="preserve"> for prescribers to equitably prescribe to patient</w:t>
      </w:r>
      <w:r w:rsidR="00A77A85" w:rsidRPr="00F92E37">
        <w:rPr>
          <w:rFonts w:cs="Arial"/>
          <w:bCs/>
          <w:snapToGrid w:val="0"/>
        </w:rPr>
        <w:t>s</w:t>
      </w:r>
      <w:r w:rsidRPr="00F92E37">
        <w:rPr>
          <w:rFonts w:cs="Arial"/>
          <w:bCs/>
          <w:snapToGrid w:val="0"/>
        </w:rPr>
        <w:t xml:space="preserve"> of all ages that meet the relevant criteria. </w:t>
      </w:r>
    </w:p>
    <w:p w14:paraId="66149493" w14:textId="77777777" w:rsidR="007F0EBF" w:rsidRPr="00F92E37" w:rsidRDefault="007F0EBF" w:rsidP="007F0EBF">
      <w:pPr>
        <w:pStyle w:val="4-SubsectionHeading"/>
        <w:keepNext w:val="0"/>
        <w:rPr>
          <w:iCs/>
          <w:lang w:eastAsia="en-US"/>
        </w:rPr>
      </w:pPr>
      <w:r w:rsidRPr="00F92E37">
        <w:rPr>
          <w:iCs/>
          <w:lang w:eastAsia="en-US"/>
        </w:rPr>
        <w:t xml:space="preserve">Clinical trials </w:t>
      </w:r>
    </w:p>
    <w:p w14:paraId="0A712677" w14:textId="1BF6C4F4" w:rsidR="008934F5" w:rsidRPr="00F92E37" w:rsidRDefault="007F0EBF" w:rsidP="008934F5">
      <w:pPr>
        <w:pStyle w:val="3-BodyText"/>
        <w:numPr>
          <w:ilvl w:val="1"/>
          <w:numId w:val="2"/>
        </w:numPr>
      </w:pPr>
      <w:r w:rsidRPr="00F92E37">
        <w:t xml:space="preserve">The submission presented the following clinical studies. </w:t>
      </w:r>
      <w:r w:rsidRPr="00F92E37">
        <w:rPr>
          <w:iCs/>
        </w:rPr>
        <w:t xml:space="preserve">As a Category 3 submission, </w:t>
      </w:r>
      <w:r w:rsidRPr="00F92E37">
        <w:rPr>
          <w:lang w:eastAsia="en-US"/>
        </w:rPr>
        <w:t>no evaluation of the clinical evidence was undertaken</w:t>
      </w:r>
      <w:r w:rsidRPr="00F92E37">
        <w:t>.</w:t>
      </w:r>
    </w:p>
    <w:p w14:paraId="0C4928BB" w14:textId="77777777" w:rsidR="00D01BA9" w:rsidRPr="00F92E37" w:rsidRDefault="00D01BA9" w:rsidP="00D01BA9">
      <w:pPr>
        <w:pStyle w:val="TableFigureHeading"/>
        <w:keepLines/>
      </w:pPr>
    </w:p>
    <w:p w14:paraId="56E4D1D8" w14:textId="6DAC4262" w:rsidR="00D01BA9" w:rsidRPr="00F92E37" w:rsidRDefault="00D01BA9" w:rsidP="00D01BA9">
      <w:pPr>
        <w:pStyle w:val="TableFigureHeading"/>
        <w:keepLines/>
      </w:pPr>
      <w:r w:rsidRPr="00F92E37">
        <w:t xml:space="preserve">Table 1: Studies presented in the </w:t>
      </w:r>
      <w:proofErr w:type="gramStart"/>
      <w:r w:rsidRPr="00F92E37">
        <w:t>submission</w:t>
      </w:r>
      <w:proofErr w:type="gramEnd"/>
    </w:p>
    <w:tbl>
      <w:tblPr>
        <w:tblStyle w:val="TableGrid"/>
        <w:tblpPr w:leftFromText="181" w:rightFromText="181" w:vertAnchor="text" w:horzAnchor="margin" w:tblpY="1"/>
        <w:tblW w:w="0" w:type="auto"/>
        <w:tblLook w:val="04A0" w:firstRow="1" w:lastRow="0" w:firstColumn="1" w:lastColumn="0" w:noHBand="0" w:noVBand="1"/>
      </w:tblPr>
      <w:tblGrid>
        <w:gridCol w:w="1271"/>
        <w:gridCol w:w="1985"/>
        <w:gridCol w:w="2268"/>
        <w:gridCol w:w="1984"/>
        <w:gridCol w:w="1508"/>
      </w:tblGrid>
      <w:tr w:rsidR="00D01BA9" w:rsidRPr="00F92E37" w14:paraId="6E99B08B" w14:textId="77777777" w:rsidTr="00D01BA9">
        <w:trPr>
          <w:trHeight w:val="706"/>
        </w:trPr>
        <w:tc>
          <w:tcPr>
            <w:tcW w:w="1271" w:type="dxa"/>
          </w:tcPr>
          <w:p w14:paraId="366B51B0" w14:textId="77777777" w:rsidR="00D01BA9" w:rsidRPr="00D83E5E" w:rsidRDefault="00D01BA9" w:rsidP="00D01BA9">
            <w:pPr>
              <w:pStyle w:val="In-tableHeading"/>
              <w:rPr>
                <w:lang w:val="en-AU"/>
              </w:rPr>
            </w:pPr>
            <w:r w:rsidRPr="00D83E5E">
              <w:rPr>
                <w:lang w:val="en-AU"/>
              </w:rPr>
              <w:t>Trial ID</w:t>
            </w:r>
          </w:p>
        </w:tc>
        <w:tc>
          <w:tcPr>
            <w:tcW w:w="1985" w:type="dxa"/>
          </w:tcPr>
          <w:p w14:paraId="4E29A1FB" w14:textId="77777777" w:rsidR="00D01BA9" w:rsidRPr="00D83E5E" w:rsidRDefault="00D01BA9" w:rsidP="00D01BA9">
            <w:pPr>
              <w:pStyle w:val="In-tableHeading"/>
              <w:rPr>
                <w:lang w:val="en-AU"/>
              </w:rPr>
            </w:pPr>
            <w:r w:rsidRPr="00D83E5E">
              <w:rPr>
                <w:lang w:val="en-AU"/>
              </w:rPr>
              <w:t>Protocol/Publication title</w:t>
            </w:r>
          </w:p>
        </w:tc>
        <w:tc>
          <w:tcPr>
            <w:tcW w:w="2268" w:type="dxa"/>
          </w:tcPr>
          <w:p w14:paraId="2E37FA3E" w14:textId="77777777" w:rsidR="00D01BA9" w:rsidRPr="00D83E5E" w:rsidRDefault="00D01BA9" w:rsidP="00D01BA9">
            <w:pPr>
              <w:pStyle w:val="In-tableHeading"/>
              <w:rPr>
                <w:lang w:val="en-AU"/>
              </w:rPr>
            </w:pPr>
            <w:r w:rsidRPr="00D83E5E">
              <w:rPr>
                <w:lang w:val="en-AU"/>
              </w:rPr>
              <w:t>Study Objectives (Related to Safety)</w:t>
            </w:r>
          </w:p>
        </w:tc>
        <w:tc>
          <w:tcPr>
            <w:tcW w:w="1984" w:type="dxa"/>
          </w:tcPr>
          <w:p w14:paraId="3487F11E" w14:textId="77777777" w:rsidR="00D01BA9" w:rsidRPr="00D83E5E" w:rsidRDefault="00D01BA9" w:rsidP="00D01BA9">
            <w:pPr>
              <w:pStyle w:val="In-tableHeading"/>
              <w:rPr>
                <w:lang w:val="en-AU"/>
              </w:rPr>
            </w:pPr>
            <w:r w:rsidRPr="00D83E5E">
              <w:rPr>
                <w:lang w:val="en-AU"/>
              </w:rPr>
              <w:t>Study Drug and Dose</w:t>
            </w:r>
          </w:p>
        </w:tc>
        <w:tc>
          <w:tcPr>
            <w:tcW w:w="1508" w:type="dxa"/>
          </w:tcPr>
          <w:p w14:paraId="5E39E882" w14:textId="77777777" w:rsidR="00D01BA9" w:rsidRPr="00D83E5E" w:rsidRDefault="00D01BA9" w:rsidP="00D01BA9">
            <w:pPr>
              <w:pStyle w:val="In-tableHeading"/>
              <w:rPr>
                <w:lang w:val="en-AU"/>
              </w:rPr>
            </w:pPr>
            <w:r w:rsidRPr="00D83E5E">
              <w:rPr>
                <w:lang w:val="en-AU"/>
              </w:rPr>
              <w:t xml:space="preserve">No. of Subjects/ Patients Assigned to Treatment </w:t>
            </w:r>
          </w:p>
        </w:tc>
      </w:tr>
      <w:tr w:rsidR="00D01BA9" w:rsidRPr="00F92E37" w14:paraId="33E644F5" w14:textId="77777777" w:rsidTr="00D01BA9">
        <w:tc>
          <w:tcPr>
            <w:tcW w:w="1271" w:type="dxa"/>
          </w:tcPr>
          <w:p w14:paraId="1C6CC965" w14:textId="2DE47885" w:rsidR="00D01BA9" w:rsidRPr="00F92E37" w:rsidRDefault="009657E9" w:rsidP="00D01BA9">
            <w:pPr>
              <w:pStyle w:val="TableText0"/>
            </w:pPr>
            <w:r w:rsidRPr="009657E9">
              <w:rPr>
                <w:b/>
              </w:rPr>
              <w:t>AVT02-GL 100</w:t>
            </w:r>
          </w:p>
        </w:tc>
        <w:tc>
          <w:tcPr>
            <w:tcW w:w="1985" w:type="dxa"/>
          </w:tcPr>
          <w:p w14:paraId="1476F04D" w14:textId="77777777" w:rsidR="00D01BA9" w:rsidRPr="00F92E37" w:rsidRDefault="00D01BA9" w:rsidP="00D01BA9">
            <w:pPr>
              <w:pStyle w:val="TableText0"/>
            </w:pPr>
            <w:r w:rsidRPr="00F92E37">
              <w:t>Single Centre, Randomised, Single-Blind, Pilot Study to Compare the Safety, Tolerability and Pharmacokinetics of AVT02 to EU-approved Humira® as a Single Dose (40 mg) Subcutaneous Injection in Healthy Adult Subjects (ALVOPAD)</w:t>
            </w:r>
          </w:p>
        </w:tc>
        <w:tc>
          <w:tcPr>
            <w:tcW w:w="2268" w:type="dxa"/>
          </w:tcPr>
          <w:p w14:paraId="31ED6DD3" w14:textId="77777777" w:rsidR="00D01BA9" w:rsidRPr="00F92E37" w:rsidRDefault="00D01BA9" w:rsidP="00D01BA9">
            <w:pPr>
              <w:pStyle w:val="TableText0"/>
            </w:pPr>
            <w:r w:rsidRPr="00F92E37">
              <w:t>Primary:</w:t>
            </w:r>
          </w:p>
          <w:p w14:paraId="7C9B05CD" w14:textId="77777777" w:rsidR="00D01BA9" w:rsidRPr="00F92E37" w:rsidRDefault="00D01BA9" w:rsidP="00D01BA9">
            <w:pPr>
              <w:pStyle w:val="TableText0"/>
            </w:pPr>
            <w:r w:rsidRPr="00F92E37">
              <w:t>To evaluate the safety and tolerability of AVT02 and, EU-Humira administered as a single subcutaneous injection in healthy adult subjects.</w:t>
            </w:r>
          </w:p>
          <w:p w14:paraId="623A749E" w14:textId="77777777" w:rsidR="00D01BA9" w:rsidRPr="00F92E37" w:rsidRDefault="00D01BA9" w:rsidP="00D01BA9">
            <w:pPr>
              <w:pStyle w:val="TableText0"/>
            </w:pPr>
          </w:p>
          <w:p w14:paraId="7798C802" w14:textId="77777777" w:rsidR="00D01BA9" w:rsidRPr="00F92E37" w:rsidRDefault="00D01BA9" w:rsidP="00D01BA9">
            <w:pPr>
              <w:pStyle w:val="TableText0"/>
            </w:pPr>
            <w:r w:rsidRPr="00F92E37">
              <w:t>Secondary:</w:t>
            </w:r>
          </w:p>
          <w:p w14:paraId="3B3DE32C" w14:textId="77777777" w:rsidR="00D01BA9" w:rsidRPr="00F92E37" w:rsidRDefault="00D01BA9" w:rsidP="00D01BA9">
            <w:pPr>
              <w:pStyle w:val="TableText0"/>
            </w:pPr>
            <w:r w:rsidRPr="00F92E37">
              <w:t>Examine pharmacokinetics and immunogenicity.</w:t>
            </w:r>
          </w:p>
        </w:tc>
        <w:tc>
          <w:tcPr>
            <w:tcW w:w="1984" w:type="dxa"/>
          </w:tcPr>
          <w:p w14:paraId="5040DEEF" w14:textId="77777777" w:rsidR="00D01BA9" w:rsidRPr="00F92E37" w:rsidRDefault="00D01BA9" w:rsidP="00D01BA9">
            <w:pPr>
              <w:pStyle w:val="TableText0"/>
            </w:pPr>
            <w:r w:rsidRPr="00F92E37">
              <w:t xml:space="preserve">AVT02 – 40mg/0.4mL prefilled syringe, administered as a single subcutaneous </w:t>
            </w:r>
            <w:proofErr w:type="gramStart"/>
            <w:r w:rsidRPr="00F92E37">
              <w:t>injection</w:t>
            </w:r>
            <w:proofErr w:type="gramEnd"/>
          </w:p>
          <w:p w14:paraId="63B54965" w14:textId="77777777" w:rsidR="00D01BA9" w:rsidRPr="00F92E37" w:rsidRDefault="00D01BA9" w:rsidP="00D01BA9">
            <w:pPr>
              <w:pStyle w:val="TableText0"/>
            </w:pPr>
            <w:r w:rsidRPr="00F92E37">
              <w:br/>
              <w:t>EU-Humira – 40mg/0.4mL prefilled syringe, administered as a single subcutaneous injection</w:t>
            </w:r>
          </w:p>
        </w:tc>
        <w:tc>
          <w:tcPr>
            <w:tcW w:w="1508" w:type="dxa"/>
          </w:tcPr>
          <w:p w14:paraId="3CCD87FA" w14:textId="77777777" w:rsidR="00D01BA9" w:rsidRPr="00F92E37" w:rsidRDefault="00D01BA9" w:rsidP="00D01BA9">
            <w:pPr>
              <w:pStyle w:val="TableText0"/>
            </w:pPr>
            <w:r w:rsidRPr="00F92E37">
              <w:t>24 healthy subjects</w:t>
            </w:r>
          </w:p>
        </w:tc>
      </w:tr>
      <w:tr w:rsidR="00D01BA9" w:rsidRPr="00F92E37" w14:paraId="667A5047" w14:textId="77777777" w:rsidTr="00D01BA9">
        <w:tc>
          <w:tcPr>
            <w:tcW w:w="1271" w:type="dxa"/>
          </w:tcPr>
          <w:p w14:paraId="23F03B41" w14:textId="77777777" w:rsidR="00D01BA9" w:rsidRPr="00F92E37" w:rsidRDefault="00D01BA9" w:rsidP="00D01BA9">
            <w:pPr>
              <w:pStyle w:val="TableText0"/>
              <w:rPr>
                <w:b/>
              </w:rPr>
            </w:pPr>
            <w:r w:rsidRPr="00F92E37">
              <w:rPr>
                <w:b/>
              </w:rPr>
              <w:t>AVT02-GL-101</w:t>
            </w:r>
          </w:p>
        </w:tc>
        <w:tc>
          <w:tcPr>
            <w:tcW w:w="1985" w:type="dxa"/>
          </w:tcPr>
          <w:p w14:paraId="521DF4B2" w14:textId="77777777" w:rsidR="00D01BA9" w:rsidRPr="00F92E37" w:rsidRDefault="00D01BA9" w:rsidP="00D01BA9">
            <w:pPr>
              <w:pStyle w:val="TableText0"/>
            </w:pPr>
            <w:r w:rsidRPr="00F92E37">
              <w:t>Multicenter, Randomized, Double Blind, 3-Arm, Parallel Study to Compare the</w:t>
            </w:r>
          </w:p>
          <w:p w14:paraId="62412076" w14:textId="77777777" w:rsidR="00D01BA9" w:rsidRPr="00F92E37" w:rsidRDefault="00D01BA9" w:rsidP="00D01BA9">
            <w:pPr>
              <w:pStyle w:val="TableText0"/>
            </w:pPr>
            <w:r w:rsidRPr="00F92E37">
              <w:t xml:space="preserve">Pharmacokinetics, Safety and Tolerability of AVT02 to EU-approved and US-licensed Humira® Administered as a Single Dose (40 mg Subcutaneous Injection) </w:t>
            </w:r>
            <w:r w:rsidRPr="00F92E37">
              <w:lastRenderedPageBreak/>
              <w:t>in Healthy Adult Volunteers (ALVOPAD FIRST)</w:t>
            </w:r>
          </w:p>
        </w:tc>
        <w:tc>
          <w:tcPr>
            <w:tcW w:w="2268" w:type="dxa"/>
          </w:tcPr>
          <w:p w14:paraId="778739DD" w14:textId="77777777" w:rsidR="00D01BA9" w:rsidRPr="00F92E37" w:rsidRDefault="00D01BA9" w:rsidP="00D01BA9">
            <w:pPr>
              <w:pStyle w:val="TableText0"/>
            </w:pPr>
            <w:r w:rsidRPr="00F92E37">
              <w:lastRenderedPageBreak/>
              <w:t>Primary:</w:t>
            </w:r>
          </w:p>
          <w:p w14:paraId="19C3BBD0" w14:textId="77777777" w:rsidR="00D01BA9" w:rsidRPr="00F92E37" w:rsidRDefault="00D01BA9" w:rsidP="00D01BA9">
            <w:pPr>
              <w:pStyle w:val="TableText0"/>
            </w:pPr>
            <w:r w:rsidRPr="00F92E37">
              <w:t>To compare the PK of AVT02 with EU-Humira and US-Humira, and the PK of EU-Humira and US-Humira following a single 40 mg SC injection in healthy adult subjects.</w:t>
            </w:r>
          </w:p>
          <w:p w14:paraId="0508DD07" w14:textId="77777777" w:rsidR="00D01BA9" w:rsidRPr="00F92E37" w:rsidRDefault="00D01BA9" w:rsidP="00D01BA9">
            <w:pPr>
              <w:pStyle w:val="TableText0"/>
            </w:pPr>
          </w:p>
          <w:p w14:paraId="40140D71" w14:textId="77777777" w:rsidR="00D01BA9" w:rsidRPr="00F92E37" w:rsidRDefault="00D01BA9" w:rsidP="00D01BA9">
            <w:pPr>
              <w:pStyle w:val="TableText0"/>
            </w:pPr>
            <w:r w:rsidRPr="00F92E37">
              <w:t>Secondary:</w:t>
            </w:r>
          </w:p>
          <w:p w14:paraId="5C546EDB" w14:textId="77777777" w:rsidR="00D01BA9" w:rsidRPr="00F92E37" w:rsidRDefault="00D01BA9" w:rsidP="00D01BA9">
            <w:pPr>
              <w:pStyle w:val="TableText0"/>
            </w:pPr>
            <w:r w:rsidRPr="00F92E37">
              <w:t>Safety and tolerability of AVT02 vs EU/US-Humira.</w:t>
            </w:r>
          </w:p>
        </w:tc>
        <w:tc>
          <w:tcPr>
            <w:tcW w:w="1984" w:type="dxa"/>
          </w:tcPr>
          <w:p w14:paraId="2E2DBA5A" w14:textId="77777777" w:rsidR="00D01BA9" w:rsidRPr="00F92E37" w:rsidRDefault="00D01BA9" w:rsidP="00D01BA9">
            <w:pPr>
              <w:pStyle w:val="TableText0"/>
            </w:pPr>
            <w:r w:rsidRPr="00F92E37">
              <w:t xml:space="preserve">AVT02 – 40mg/0.4mL prefilled syringe, administered as a single subcutaneous </w:t>
            </w:r>
            <w:proofErr w:type="gramStart"/>
            <w:r w:rsidRPr="00F92E37">
              <w:t>injection</w:t>
            </w:r>
            <w:proofErr w:type="gramEnd"/>
          </w:p>
          <w:p w14:paraId="2B52CCAA" w14:textId="77777777" w:rsidR="00D01BA9" w:rsidRPr="00F92E37" w:rsidRDefault="00D01BA9" w:rsidP="00D01BA9">
            <w:pPr>
              <w:pStyle w:val="TableText0"/>
            </w:pPr>
            <w:r w:rsidRPr="00F92E37">
              <w:br/>
              <w:t xml:space="preserve">EU-Humira – 40mg/0.4mL prefilled syringe, administered as a single subcutaneous </w:t>
            </w:r>
            <w:proofErr w:type="gramStart"/>
            <w:r w:rsidRPr="00F92E37">
              <w:t>injection</w:t>
            </w:r>
            <w:proofErr w:type="gramEnd"/>
          </w:p>
          <w:p w14:paraId="2282518D" w14:textId="77777777" w:rsidR="00D01BA9" w:rsidRPr="00F92E37" w:rsidRDefault="00D01BA9" w:rsidP="00D01BA9">
            <w:pPr>
              <w:pStyle w:val="TableText0"/>
            </w:pPr>
          </w:p>
          <w:p w14:paraId="7C7F661C" w14:textId="77777777" w:rsidR="00D01BA9" w:rsidRPr="00F92E37" w:rsidRDefault="00D01BA9" w:rsidP="00D01BA9">
            <w:pPr>
              <w:pStyle w:val="TableText0"/>
            </w:pPr>
            <w:r w:rsidRPr="00F92E37">
              <w:lastRenderedPageBreak/>
              <w:t>EU-Humira – 40mg/0.4mL prefilled syringe, administered as a single subcutaneous injection</w:t>
            </w:r>
          </w:p>
        </w:tc>
        <w:tc>
          <w:tcPr>
            <w:tcW w:w="1508" w:type="dxa"/>
          </w:tcPr>
          <w:p w14:paraId="3E7D42D9" w14:textId="77777777" w:rsidR="00D01BA9" w:rsidRPr="00F92E37" w:rsidRDefault="00D01BA9" w:rsidP="00D01BA9">
            <w:pPr>
              <w:pStyle w:val="TableText0"/>
            </w:pPr>
            <w:r w:rsidRPr="00F92E37">
              <w:lastRenderedPageBreak/>
              <w:t>392 healthy subjects</w:t>
            </w:r>
          </w:p>
        </w:tc>
      </w:tr>
      <w:tr w:rsidR="00D01BA9" w:rsidRPr="00F92E37" w14:paraId="74598F9B" w14:textId="77777777" w:rsidTr="00D01BA9">
        <w:tc>
          <w:tcPr>
            <w:tcW w:w="1271" w:type="dxa"/>
          </w:tcPr>
          <w:p w14:paraId="7D669EA3" w14:textId="77777777" w:rsidR="00D01BA9" w:rsidRPr="00F92E37" w:rsidRDefault="00D01BA9" w:rsidP="00D01BA9">
            <w:pPr>
              <w:pStyle w:val="TableText0"/>
              <w:rPr>
                <w:b/>
              </w:rPr>
            </w:pPr>
            <w:r w:rsidRPr="00F92E37">
              <w:rPr>
                <w:b/>
              </w:rPr>
              <w:t>AVT02-GL-301</w:t>
            </w:r>
          </w:p>
        </w:tc>
        <w:tc>
          <w:tcPr>
            <w:tcW w:w="1985" w:type="dxa"/>
          </w:tcPr>
          <w:p w14:paraId="64E0D42A" w14:textId="77777777" w:rsidR="00D01BA9" w:rsidRPr="00F92E37" w:rsidRDefault="00D01BA9" w:rsidP="00D01BA9">
            <w:pPr>
              <w:pStyle w:val="TableText0"/>
            </w:pPr>
            <w:r w:rsidRPr="00F92E37">
              <w:t>A Multicenter, Double-blind, Randomized, Parallel group, Active Control Study to</w:t>
            </w:r>
          </w:p>
          <w:p w14:paraId="20384054" w14:textId="77777777" w:rsidR="00D01BA9" w:rsidRPr="00F92E37" w:rsidRDefault="00D01BA9" w:rsidP="00D01BA9">
            <w:pPr>
              <w:pStyle w:val="TableText0"/>
            </w:pPr>
            <w:r w:rsidRPr="00F92E37">
              <w:t>Compare the Efficacy, Safety, and Immunogenicity of AVT02 Versus Humira® in patients with Moderate to Severe Chronic Plaque Psoriasis (ALVOPAD PS)</w:t>
            </w:r>
          </w:p>
        </w:tc>
        <w:tc>
          <w:tcPr>
            <w:tcW w:w="2268" w:type="dxa"/>
          </w:tcPr>
          <w:p w14:paraId="29088DAA" w14:textId="77777777" w:rsidR="00D01BA9" w:rsidRPr="00F92E37" w:rsidRDefault="00D01BA9" w:rsidP="00D01BA9">
            <w:pPr>
              <w:pStyle w:val="TableText0"/>
            </w:pPr>
            <w:r w:rsidRPr="00F92E37">
              <w:t>Primary:</w:t>
            </w:r>
          </w:p>
          <w:p w14:paraId="482F809C" w14:textId="77777777" w:rsidR="00D01BA9" w:rsidRPr="00F92E37" w:rsidRDefault="00D01BA9" w:rsidP="00D01BA9">
            <w:pPr>
              <w:pStyle w:val="TableText0"/>
            </w:pPr>
            <w:r w:rsidRPr="00F92E37">
              <w:t>The primary objective was to assess the equivalence by Psoriasis Area and Severity Index (PASI) of AVT02 to</w:t>
            </w:r>
          </w:p>
          <w:p w14:paraId="6165AFF2" w14:textId="77777777" w:rsidR="00D01BA9" w:rsidRPr="00F92E37" w:rsidRDefault="00D01BA9" w:rsidP="00D01BA9">
            <w:pPr>
              <w:pStyle w:val="TableText0"/>
            </w:pPr>
            <w:r w:rsidRPr="00F92E37">
              <w:t>European Union EU-Humira with regards to efficacy at Week 16 in subjects with moderate to severe chronic plaque psoriasis.</w:t>
            </w:r>
          </w:p>
          <w:p w14:paraId="151BB780" w14:textId="77777777" w:rsidR="00D01BA9" w:rsidRPr="00F92E37" w:rsidRDefault="00D01BA9" w:rsidP="00D01BA9">
            <w:pPr>
              <w:pStyle w:val="TableText0"/>
            </w:pPr>
          </w:p>
          <w:p w14:paraId="635B6225" w14:textId="77777777" w:rsidR="00D01BA9" w:rsidRPr="00F92E37" w:rsidRDefault="00D01BA9" w:rsidP="00D01BA9">
            <w:pPr>
              <w:pStyle w:val="TableText0"/>
            </w:pPr>
            <w:r w:rsidRPr="00F92E37">
              <w:t>Secondary:</w:t>
            </w:r>
          </w:p>
          <w:p w14:paraId="43D10B92" w14:textId="77777777" w:rsidR="00D01BA9" w:rsidRPr="00F92E37" w:rsidRDefault="00D01BA9" w:rsidP="00D01BA9">
            <w:pPr>
              <w:pStyle w:val="TableText0"/>
            </w:pPr>
            <w:r w:rsidRPr="00F92E37">
              <w:t>Efficacy of AVT02 and EU-Humira at weeks 8, 12, 16, 24, 32, 41, 50.</w:t>
            </w:r>
          </w:p>
          <w:p w14:paraId="45B5A99E" w14:textId="77777777" w:rsidR="00D01BA9" w:rsidRPr="00F92E37" w:rsidRDefault="00D01BA9" w:rsidP="00D01BA9">
            <w:pPr>
              <w:pStyle w:val="TableText0"/>
            </w:pPr>
            <w:r w:rsidRPr="00F92E37">
              <w:t>Safety, tolerability, immunogenicity, and steady-state PK</w:t>
            </w:r>
          </w:p>
        </w:tc>
        <w:tc>
          <w:tcPr>
            <w:tcW w:w="1984" w:type="dxa"/>
          </w:tcPr>
          <w:p w14:paraId="6538FA79" w14:textId="77777777" w:rsidR="00D01BA9" w:rsidRPr="00F92E37" w:rsidRDefault="00D01BA9" w:rsidP="00D01BA9">
            <w:pPr>
              <w:pStyle w:val="TableText0"/>
            </w:pPr>
            <w:r w:rsidRPr="00F92E37">
              <w:t xml:space="preserve">AVT02 – Initial loading dose of 80 mg (2 × 40 mg) followed by 40mg/0.4mL EOW starting 1 week after the loading dose administered </w:t>
            </w:r>
            <w:proofErr w:type="gramStart"/>
            <w:r w:rsidRPr="00F92E37">
              <w:t>SC</w:t>
            </w:r>
            <w:proofErr w:type="gramEnd"/>
          </w:p>
          <w:p w14:paraId="55EDD942" w14:textId="77777777" w:rsidR="00D01BA9" w:rsidRPr="00F92E37" w:rsidRDefault="00D01BA9" w:rsidP="00D01BA9">
            <w:pPr>
              <w:pStyle w:val="TableText0"/>
            </w:pPr>
          </w:p>
          <w:p w14:paraId="20B4A8FF" w14:textId="77777777" w:rsidR="00D01BA9" w:rsidRPr="00F92E37" w:rsidRDefault="00D01BA9" w:rsidP="00D01BA9">
            <w:pPr>
              <w:pStyle w:val="TableText0"/>
            </w:pPr>
            <w:r w:rsidRPr="00F92E37">
              <w:t>EU-Humira – Initial loading dose of 80 mg (2 × 40 mg) followed by 40mg/0.4mL EOW starting 1 week after the loading dose administered SC</w:t>
            </w:r>
          </w:p>
        </w:tc>
        <w:tc>
          <w:tcPr>
            <w:tcW w:w="1508" w:type="dxa"/>
          </w:tcPr>
          <w:p w14:paraId="4DC40751" w14:textId="77777777" w:rsidR="00D01BA9" w:rsidRPr="00F92E37" w:rsidRDefault="00D01BA9" w:rsidP="00D01BA9">
            <w:pPr>
              <w:pStyle w:val="TableText0"/>
            </w:pPr>
            <w:r w:rsidRPr="00F92E37">
              <w:t>538 patients with chronic moderate to severe plaque psoriasis</w:t>
            </w:r>
          </w:p>
        </w:tc>
      </w:tr>
      <w:tr w:rsidR="00D01BA9" w:rsidRPr="00F92E37" w14:paraId="4EEE29EE" w14:textId="77777777" w:rsidTr="00D01BA9">
        <w:tc>
          <w:tcPr>
            <w:tcW w:w="1271" w:type="dxa"/>
          </w:tcPr>
          <w:p w14:paraId="2AE71DB4" w14:textId="77777777" w:rsidR="00D01BA9" w:rsidRPr="00F92E37" w:rsidRDefault="00D01BA9" w:rsidP="00D01BA9">
            <w:pPr>
              <w:pStyle w:val="TableText0"/>
              <w:rPr>
                <w:b/>
              </w:rPr>
            </w:pPr>
            <w:r w:rsidRPr="00F92E37">
              <w:rPr>
                <w:b/>
              </w:rPr>
              <w:t>AVT02-GL-102</w:t>
            </w:r>
          </w:p>
          <w:p w14:paraId="7F6B478C" w14:textId="77777777" w:rsidR="00D01BA9" w:rsidRPr="00F92E37" w:rsidRDefault="00D01BA9" w:rsidP="00D01BA9">
            <w:pPr>
              <w:pStyle w:val="TableText0"/>
              <w:rPr>
                <w:b/>
              </w:rPr>
            </w:pPr>
          </w:p>
        </w:tc>
        <w:tc>
          <w:tcPr>
            <w:tcW w:w="1985" w:type="dxa"/>
          </w:tcPr>
          <w:p w14:paraId="40DD05B8" w14:textId="6885684D" w:rsidR="00D01BA9" w:rsidRPr="00F92E37" w:rsidRDefault="00D01BA9" w:rsidP="00D01BA9">
            <w:pPr>
              <w:pStyle w:val="TableText0"/>
            </w:pPr>
            <w:r w:rsidRPr="00F92E37">
              <w:t>Multicenter, Randomized, Open-Label, 2-Arm Parallel Study to Compare the</w:t>
            </w:r>
          </w:p>
          <w:p w14:paraId="7A3139C9" w14:textId="77777777" w:rsidR="00D01BA9" w:rsidRPr="00F92E37" w:rsidRDefault="00D01BA9" w:rsidP="00D01BA9">
            <w:pPr>
              <w:pStyle w:val="TableText0"/>
            </w:pPr>
            <w:r w:rsidRPr="00F92E37">
              <w:t>Pharmacokinetics, Safety and Tolerability of AVT02 Administered Subcutaneously via</w:t>
            </w:r>
          </w:p>
          <w:p w14:paraId="51A4B8CC" w14:textId="4D82BAF8" w:rsidR="00D01BA9" w:rsidRPr="00F92E37" w:rsidRDefault="00D01BA9" w:rsidP="00D01BA9">
            <w:pPr>
              <w:pStyle w:val="TableText0"/>
            </w:pPr>
            <w:r w:rsidRPr="00F92E37">
              <w:t>Prefilled Syringe or Autoinjector in Healthy Adult Volunteers (ALVOPAD PEN)</w:t>
            </w:r>
          </w:p>
        </w:tc>
        <w:tc>
          <w:tcPr>
            <w:tcW w:w="2268" w:type="dxa"/>
          </w:tcPr>
          <w:p w14:paraId="23268CA6" w14:textId="77777777" w:rsidR="00D01BA9" w:rsidRPr="00F92E37" w:rsidRDefault="00D01BA9" w:rsidP="00D01BA9">
            <w:pPr>
              <w:pStyle w:val="TableText0"/>
            </w:pPr>
            <w:r w:rsidRPr="00F92E37">
              <w:t>Primary:</w:t>
            </w:r>
          </w:p>
          <w:p w14:paraId="18EE824A" w14:textId="77777777" w:rsidR="00D01BA9" w:rsidRPr="00F92E37" w:rsidRDefault="00D01BA9" w:rsidP="00D01BA9">
            <w:pPr>
              <w:pStyle w:val="TableText0"/>
            </w:pPr>
            <w:r w:rsidRPr="00F92E37">
              <w:t>To compare the PK of a 40 mg SC dose of AVT02 administered either manually via PFS or via an AI, in healthy adult subjects.</w:t>
            </w:r>
          </w:p>
          <w:p w14:paraId="11091D63" w14:textId="77777777" w:rsidR="00D01BA9" w:rsidRPr="00F92E37" w:rsidRDefault="00D01BA9" w:rsidP="00D01BA9">
            <w:pPr>
              <w:pStyle w:val="TableText0"/>
            </w:pPr>
          </w:p>
          <w:p w14:paraId="25B923E7" w14:textId="77777777" w:rsidR="00D01BA9" w:rsidRPr="00F92E37" w:rsidRDefault="00D01BA9" w:rsidP="00D01BA9">
            <w:pPr>
              <w:pStyle w:val="TableText0"/>
            </w:pPr>
            <w:r w:rsidRPr="00F92E37">
              <w:t>Secondary:</w:t>
            </w:r>
          </w:p>
          <w:p w14:paraId="37525C87" w14:textId="4AA30C97" w:rsidR="00D01BA9" w:rsidRPr="00F92E37" w:rsidRDefault="00D01BA9" w:rsidP="00D01BA9">
            <w:pPr>
              <w:pStyle w:val="TableText0"/>
            </w:pPr>
            <w:r w:rsidRPr="00F92E37">
              <w:t>Safety, tolerability, and immunogenicity of a 40 mg SC dose of AVT02 administered either manually via PFS or via an AI, in healthy adult subjects.</w:t>
            </w:r>
          </w:p>
        </w:tc>
        <w:tc>
          <w:tcPr>
            <w:tcW w:w="1984" w:type="dxa"/>
          </w:tcPr>
          <w:p w14:paraId="4D7E5719" w14:textId="77777777" w:rsidR="00D01BA9" w:rsidRPr="00F92E37" w:rsidRDefault="00D01BA9" w:rsidP="00D01BA9">
            <w:pPr>
              <w:pStyle w:val="TableText0"/>
            </w:pPr>
            <w:r w:rsidRPr="00F92E37">
              <w:t xml:space="preserve">AVT02 – 40mg/0.4mL PFS, administered as a single SC </w:t>
            </w:r>
            <w:proofErr w:type="gramStart"/>
            <w:r w:rsidRPr="00F92E37">
              <w:t>injection</w:t>
            </w:r>
            <w:proofErr w:type="gramEnd"/>
          </w:p>
          <w:p w14:paraId="02E032BB" w14:textId="77777777" w:rsidR="00D01BA9" w:rsidRPr="00F92E37" w:rsidRDefault="00D01BA9" w:rsidP="00D01BA9">
            <w:pPr>
              <w:pStyle w:val="TableText0"/>
            </w:pPr>
          </w:p>
          <w:p w14:paraId="6DB46887" w14:textId="6E06CF7A" w:rsidR="00D01BA9" w:rsidRPr="00F92E37" w:rsidRDefault="00D01BA9" w:rsidP="00D01BA9">
            <w:pPr>
              <w:pStyle w:val="TableText0"/>
            </w:pPr>
            <w:r w:rsidRPr="00F92E37">
              <w:t>AVT02 – 40mg/0.4mL prefilled AI, administered as a single SC injection</w:t>
            </w:r>
          </w:p>
        </w:tc>
        <w:tc>
          <w:tcPr>
            <w:tcW w:w="1508" w:type="dxa"/>
          </w:tcPr>
          <w:p w14:paraId="3D1AF9CE" w14:textId="152D757B" w:rsidR="00D01BA9" w:rsidRPr="00F92E37" w:rsidRDefault="00D01BA9" w:rsidP="00D01BA9">
            <w:pPr>
              <w:pStyle w:val="TableText0"/>
            </w:pPr>
            <w:r w:rsidRPr="00F92E37">
              <w:t>207 healthy subjects</w:t>
            </w:r>
          </w:p>
        </w:tc>
      </w:tr>
      <w:tr w:rsidR="00D01BA9" w:rsidRPr="00F92E37" w14:paraId="25A0D6D5" w14:textId="77777777" w:rsidTr="00D01BA9">
        <w:tc>
          <w:tcPr>
            <w:tcW w:w="1271" w:type="dxa"/>
          </w:tcPr>
          <w:p w14:paraId="6DFCE5DD" w14:textId="2B46A9CA" w:rsidR="00D01BA9" w:rsidRPr="00F92E37" w:rsidRDefault="00D01BA9" w:rsidP="00D01BA9">
            <w:pPr>
              <w:pStyle w:val="TableText0"/>
              <w:rPr>
                <w:b/>
              </w:rPr>
            </w:pPr>
            <w:r w:rsidRPr="00F92E37">
              <w:rPr>
                <w:b/>
              </w:rPr>
              <w:t>AVT02-GL-303</w:t>
            </w:r>
          </w:p>
        </w:tc>
        <w:tc>
          <w:tcPr>
            <w:tcW w:w="1985" w:type="dxa"/>
          </w:tcPr>
          <w:p w14:paraId="32B43C45" w14:textId="77777777" w:rsidR="00D01BA9" w:rsidRPr="00F92E37" w:rsidRDefault="00D01BA9" w:rsidP="00D01BA9">
            <w:pPr>
              <w:pStyle w:val="TableText0"/>
            </w:pPr>
            <w:r w:rsidRPr="00F92E37">
              <w:t>PRIMARY CLINICAL STUDY REPORT FOR AVT02-GL-303</w:t>
            </w:r>
          </w:p>
          <w:p w14:paraId="47790466" w14:textId="77777777" w:rsidR="00D01BA9" w:rsidRPr="00F92E37" w:rsidRDefault="00D01BA9" w:rsidP="00D01BA9">
            <w:pPr>
              <w:pStyle w:val="TableText0"/>
            </w:pPr>
            <w:r w:rsidRPr="00F92E37">
              <w:t>Assessment of Real-life Patient Handling Experience of AVT02 Administered</w:t>
            </w:r>
          </w:p>
          <w:p w14:paraId="08AA9506" w14:textId="77777777" w:rsidR="00D01BA9" w:rsidRPr="00F92E37" w:rsidRDefault="00D01BA9" w:rsidP="00D01BA9">
            <w:pPr>
              <w:pStyle w:val="TableText0"/>
            </w:pPr>
            <w:r w:rsidRPr="00F92E37">
              <w:t>Subcutaneously with an Autoinjector in Patients with Moderate to Severe Active</w:t>
            </w:r>
          </w:p>
          <w:p w14:paraId="1A0B34E4" w14:textId="3932115F" w:rsidR="00D01BA9" w:rsidRPr="00F92E37" w:rsidRDefault="00D01BA9" w:rsidP="00D01BA9">
            <w:pPr>
              <w:pStyle w:val="TableText0"/>
            </w:pPr>
            <w:r w:rsidRPr="00F92E37">
              <w:t xml:space="preserve">Rheumatoid Arthritis: An Open-label, Interventional, Single-arm Clinical Trial, </w:t>
            </w:r>
            <w:r w:rsidR="00887649" w:rsidRPr="00F92E37">
              <w:t>followed</w:t>
            </w:r>
            <w:r w:rsidRPr="00F92E37">
              <w:t xml:space="preserve"> by an Extension Phase of </w:t>
            </w:r>
            <w:r w:rsidRPr="00F92E37">
              <w:lastRenderedPageBreak/>
              <w:t>AVT02 Administered with a Prefilled Syringe (ALVOPADPEN)</w:t>
            </w:r>
          </w:p>
        </w:tc>
        <w:tc>
          <w:tcPr>
            <w:tcW w:w="2268" w:type="dxa"/>
          </w:tcPr>
          <w:p w14:paraId="5D7736C1" w14:textId="77777777" w:rsidR="00D01BA9" w:rsidRPr="00F92E37" w:rsidRDefault="00D01BA9" w:rsidP="00D01BA9">
            <w:pPr>
              <w:pStyle w:val="TableText0"/>
            </w:pPr>
            <w:r w:rsidRPr="00F92E37">
              <w:lastRenderedPageBreak/>
              <w:t>Primary:</w:t>
            </w:r>
          </w:p>
          <w:p w14:paraId="417C7C28" w14:textId="77777777" w:rsidR="00D01BA9" w:rsidRPr="00F92E37" w:rsidRDefault="00D01BA9" w:rsidP="00D01BA9">
            <w:pPr>
              <w:pStyle w:val="TableText0"/>
            </w:pPr>
            <w:r w:rsidRPr="00F92E37">
              <w:t>To assess the real-life subject handling experience with the use of an autoinjector in subjects with moderate to severe active rheumatoid arthritis who self-injected AVT02 SC.</w:t>
            </w:r>
          </w:p>
          <w:p w14:paraId="5FB3CF8A" w14:textId="77777777" w:rsidR="00D01BA9" w:rsidRPr="00F92E37" w:rsidRDefault="00D01BA9" w:rsidP="00D01BA9">
            <w:pPr>
              <w:pStyle w:val="TableText0"/>
            </w:pPr>
          </w:p>
          <w:p w14:paraId="102DC624" w14:textId="77777777" w:rsidR="00D01BA9" w:rsidRPr="00F92E37" w:rsidRDefault="00D01BA9" w:rsidP="00D01BA9">
            <w:pPr>
              <w:pStyle w:val="TableText0"/>
            </w:pPr>
            <w:r w:rsidRPr="00F92E37">
              <w:t>Secondary:</w:t>
            </w:r>
          </w:p>
          <w:p w14:paraId="3AF8CDFE" w14:textId="471700DC" w:rsidR="00D01BA9" w:rsidRPr="00F92E37" w:rsidRDefault="00D01BA9" w:rsidP="00D01BA9">
            <w:pPr>
              <w:pStyle w:val="TableText0"/>
            </w:pPr>
            <w:r w:rsidRPr="00F92E37">
              <w:t>Identify AI handling events, safety of repeated use.</w:t>
            </w:r>
          </w:p>
        </w:tc>
        <w:tc>
          <w:tcPr>
            <w:tcW w:w="1984" w:type="dxa"/>
          </w:tcPr>
          <w:p w14:paraId="760367D4" w14:textId="0F36E27C" w:rsidR="00D01BA9" w:rsidRPr="00F92E37" w:rsidRDefault="00D01BA9" w:rsidP="00D01BA9">
            <w:pPr>
              <w:pStyle w:val="TableText0"/>
            </w:pPr>
            <w:r w:rsidRPr="00F92E37">
              <w:t>AVT02 – 40mg/0.4mL prefilled AI, administered as a single SC injection</w:t>
            </w:r>
          </w:p>
        </w:tc>
        <w:tc>
          <w:tcPr>
            <w:tcW w:w="1508" w:type="dxa"/>
          </w:tcPr>
          <w:p w14:paraId="7BB3390E" w14:textId="6413592F" w:rsidR="00D01BA9" w:rsidRPr="00F92E37" w:rsidRDefault="00D01BA9" w:rsidP="00D01BA9">
            <w:pPr>
              <w:pStyle w:val="TableText0"/>
            </w:pPr>
            <w:r w:rsidRPr="00F92E37">
              <w:t>106 patients with active rheumatoid arthritis</w:t>
            </w:r>
          </w:p>
        </w:tc>
      </w:tr>
    </w:tbl>
    <w:p w14:paraId="0744F24B" w14:textId="77777777" w:rsidR="00D01BA9" w:rsidRPr="00F92E37" w:rsidRDefault="00D01BA9" w:rsidP="00D01BA9">
      <w:pPr>
        <w:pStyle w:val="3-BodyText"/>
        <w:numPr>
          <w:ilvl w:val="0"/>
          <w:numId w:val="0"/>
        </w:numPr>
        <w:ind w:left="720"/>
        <w:rPr>
          <w:lang w:eastAsia="en-US"/>
        </w:rPr>
      </w:pPr>
    </w:p>
    <w:p w14:paraId="6EF346D3" w14:textId="292936D1" w:rsidR="00D01BA9" w:rsidRPr="00F92E37" w:rsidRDefault="00844867" w:rsidP="00D01BA9">
      <w:pPr>
        <w:pStyle w:val="3-BodyText"/>
        <w:numPr>
          <w:ilvl w:val="1"/>
          <w:numId w:val="2"/>
        </w:numPr>
        <w:rPr>
          <w:lang w:eastAsia="en-US"/>
        </w:rPr>
      </w:pPr>
      <w:r w:rsidRPr="00F92E37">
        <w:rPr>
          <w:lang w:eastAsia="en-US"/>
        </w:rPr>
        <w:t>Some of the studies (AVT02-GL-101, AVT02-GL-102 and AVT02-GL-301) were</w:t>
      </w:r>
      <w:r w:rsidR="00D01BA9" w:rsidRPr="00F92E37">
        <w:rPr>
          <w:lang w:eastAsia="en-US"/>
        </w:rPr>
        <w:t xml:space="preserve"> presented</w:t>
      </w:r>
      <w:r w:rsidR="008E5795" w:rsidRPr="00F92E37">
        <w:rPr>
          <w:lang w:eastAsia="en-US"/>
        </w:rPr>
        <w:t xml:space="preserve"> in</w:t>
      </w:r>
      <w:r w:rsidR="00D01BA9" w:rsidRPr="00F92E37">
        <w:rPr>
          <w:lang w:eastAsia="en-US"/>
        </w:rPr>
        <w:t xml:space="preserve"> the TGA submission to register </w:t>
      </w:r>
      <w:r w:rsidRPr="00F92E37">
        <w:rPr>
          <w:lang w:eastAsia="en-US"/>
        </w:rPr>
        <w:t xml:space="preserve">Ardalicip </w:t>
      </w:r>
      <w:r w:rsidR="00D01BA9" w:rsidRPr="00F92E37">
        <w:rPr>
          <w:lang w:eastAsia="en-US"/>
        </w:rPr>
        <w:t>as a biosimilar to Humira.</w:t>
      </w:r>
    </w:p>
    <w:p w14:paraId="2CDF3682" w14:textId="77777777" w:rsidR="00C27C1C" w:rsidRPr="00F92E37" w:rsidRDefault="00C27C1C" w:rsidP="00C27C1C">
      <w:pPr>
        <w:pStyle w:val="4-SubsectionHeading"/>
        <w:rPr>
          <w:iCs/>
          <w:lang w:eastAsia="en-US"/>
        </w:rPr>
      </w:pPr>
      <w:r w:rsidRPr="00F92E37">
        <w:rPr>
          <w:iCs/>
          <w:lang w:eastAsia="en-US"/>
        </w:rPr>
        <w:t>Clinical claim</w:t>
      </w:r>
    </w:p>
    <w:p w14:paraId="0436CFE0" w14:textId="6CB588E9" w:rsidR="00C27C1C" w:rsidRPr="00F92E37" w:rsidRDefault="00C27C1C" w:rsidP="00DC780A">
      <w:pPr>
        <w:pStyle w:val="3Bodytext"/>
      </w:pPr>
      <w:r w:rsidRPr="00F92E37">
        <w:t>The submission claimed</w:t>
      </w:r>
      <w:r w:rsidR="00DF4C17" w:rsidRPr="00F92E37">
        <w:t xml:space="preserve"> that Ardalicip is a biosimilar of Humira.</w:t>
      </w:r>
      <w:r w:rsidRPr="00F92E37">
        <w:t xml:space="preserve"> </w:t>
      </w:r>
      <w:r w:rsidR="004624EA" w:rsidRPr="00F92E37">
        <w:rPr>
          <w:iCs/>
        </w:rPr>
        <w:t xml:space="preserve">The </w:t>
      </w:r>
      <w:r w:rsidR="00754A84" w:rsidRPr="00F92E37">
        <w:rPr>
          <w:iCs/>
        </w:rPr>
        <w:t>PBAC noted that</w:t>
      </w:r>
      <w:r w:rsidR="004624EA" w:rsidRPr="00F92E37">
        <w:rPr>
          <w:iCs/>
        </w:rPr>
        <w:t xml:space="preserve"> </w:t>
      </w:r>
      <w:r w:rsidR="00CB1591" w:rsidRPr="00F92E37">
        <w:rPr>
          <w:iCs/>
        </w:rPr>
        <w:t xml:space="preserve">the TGA </w:t>
      </w:r>
      <w:r w:rsidR="00B80BC7" w:rsidRPr="00F92E37">
        <w:rPr>
          <w:iCs/>
        </w:rPr>
        <w:t xml:space="preserve">Clinical Evaluation Report </w:t>
      </w:r>
      <w:r w:rsidR="00CB1591" w:rsidRPr="00F92E37">
        <w:rPr>
          <w:iCs/>
        </w:rPr>
        <w:t>support</w:t>
      </w:r>
      <w:r w:rsidR="00754A84" w:rsidRPr="00F92E37">
        <w:rPr>
          <w:iCs/>
        </w:rPr>
        <w:t>ed</w:t>
      </w:r>
      <w:r w:rsidR="00CB1591" w:rsidRPr="00F92E37">
        <w:rPr>
          <w:iCs/>
        </w:rPr>
        <w:t xml:space="preserve"> this claim. </w:t>
      </w:r>
    </w:p>
    <w:p w14:paraId="38945D49" w14:textId="56BF87ED" w:rsidR="00754A84" w:rsidRPr="00F92E37" w:rsidRDefault="00754A84" w:rsidP="004668CE">
      <w:pPr>
        <w:widowControl w:val="0"/>
        <w:numPr>
          <w:ilvl w:val="1"/>
          <w:numId w:val="2"/>
        </w:numPr>
        <w:spacing w:after="120"/>
        <w:rPr>
          <w:rFonts w:cs="Arial"/>
          <w:snapToGrid w:val="0"/>
          <w:szCs w:val="20"/>
        </w:rPr>
      </w:pPr>
      <w:bookmarkStart w:id="1" w:name="_Hlk76376200"/>
      <w:r w:rsidRPr="00F92E37">
        <w:rPr>
          <w:rFonts w:asciiTheme="minorHAnsi" w:hAnsiTheme="minorHAnsi" w:cs="Arial"/>
          <w:iCs/>
          <w:snapToGrid w:val="0"/>
        </w:rPr>
        <w:t>The</w:t>
      </w:r>
      <w:r w:rsidRPr="00F92E37">
        <w:rPr>
          <w:rFonts w:asciiTheme="minorHAnsi" w:hAnsiTheme="minorHAnsi" w:cs="Arial"/>
          <w:snapToGrid w:val="0"/>
          <w:szCs w:val="20"/>
        </w:rPr>
        <w:t xml:space="preserve"> PBAC considered that the claims of non-inferior comparative effectiveness and safety compared to Humira were reasonable.</w:t>
      </w:r>
      <w:bookmarkEnd w:id="1"/>
    </w:p>
    <w:p w14:paraId="63D4897F" w14:textId="54FF147C" w:rsidR="00DF2078" w:rsidRPr="00F92E37" w:rsidRDefault="00DF2078" w:rsidP="00DF2078">
      <w:pPr>
        <w:pStyle w:val="4-SubsectionHeading"/>
        <w:rPr>
          <w:iCs/>
          <w:lang w:eastAsia="en-US"/>
        </w:rPr>
      </w:pPr>
      <w:r w:rsidRPr="00F92E37">
        <w:rPr>
          <w:iCs/>
          <w:lang w:eastAsia="en-US"/>
        </w:rPr>
        <w:t>Estimated PBS u</w:t>
      </w:r>
      <w:r w:rsidR="009B32FC" w:rsidRPr="00F92E37">
        <w:rPr>
          <w:iCs/>
          <w:lang w:eastAsia="en-US"/>
        </w:rPr>
        <w:t>sage</w:t>
      </w:r>
      <w:r w:rsidRPr="00F92E37">
        <w:rPr>
          <w:iCs/>
          <w:lang w:eastAsia="en-US"/>
        </w:rPr>
        <w:t xml:space="preserve"> and financial </w:t>
      </w:r>
      <w:proofErr w:type="gramStart"/>
      <w:r w:rsidRPr="00F92E37">
        <w:rPr>
          <w:iCs/>
          <w:lang w:eastAsia="en-US"/>
        </w:rPr>
        <w:t>implications</w:t>
      </w:r>
      <w:proofErr w:type="gramEnd"/>
    </w:p>
    <w:p w14:paraId="6BABBD27" w14:textId="3B3497EC" w:rsidR="00DF2078" w:rsidRPr="00F92E37" w:rsidRDefault="00DF2078" w:rsidP="004668CE">
      <w:pPr>
        <w:pStyle w:val="3Bodytext"/>
        <w:jc w:val="both"/>
      </w:pPr>
      <w:r w:rsidRPr="00F92E37">
        <w:t xml:space="preserve">The submission </w:t>
      </w:r>
      <w:r w:rsidR="00440DE5" w:rsidRPr="00F92E37">
        <w:t xml:space="preserve">stated </w:t>
      </w:r>
      <w:r w:rsidRPr="00F92E37">
        <w:t xml:space="preserve">that </w:t>
      </w:r>
      <w:r w:rsidR="002151D6" w:rsidRPr="00F92E37">
        <w:t xml:space="preserve">Ardalicip is expected to substitute for Humira or the other biosimilar brands of adalimumab. The submission stated that </w:t>
      </w:r>
      <w:r w:rsidRPr="00F92E37">
        <w:t>the listing</w:t>
      </w:r>
      <w:r w:rsidR="00617680" w:rsidRPr="00F92E37">
        <w:t xml:space="preserve"> is</w:t>
      </w:r>
      <w:r w:rsidRPr="00F92E37">
        <w:t xml:space="preserve"> </w:t>
      </w:r>
      <w:r w:rsidR="00440DE5" w:rsidRPr="00F92E37">
        <w:t>not expected to grow the market for adalimumab</w:t>
      </w:r>
      <w:r w:rsidRPr="00F92E37">
        <w:t>, and therefore would be cost-neutral to Government.</w:t>
      </w:r>
      <w:r w:rsidR="00754A84" w:rsidRPr="00F92E37">
        <w:t xml:space="preserve"> </w:t>
      </w:r>
    </w:p>
    <w:p w14:paraId="14643191" w14:textId="0BC017BA" w:rsidR="00296A80" w:rsidRPr="00F92E37" w:rsidRDefault="00296A80" w:rsidP="00296A80">
      <w:pPr>
        <w:pStyle w:val="Heading1"/>
        <w:keepLines/>
        <w:numPr>
          <w:ilvl w:val="0"/>
          <w:numId w:val="2"/>
        </w:numPr>
        <w:spacing w:before="240"/>
        <w:ind w:left="709" w:hanging="709"/>
        <w:rPr>
          <w:sz w:val="32"/>
          <w:szCs w:val="32"/>
        </w:rPr>
      </w:pPr>
      <w:r w:rsidRPr="00F92E37">
        <w:rPr>
          <w:sz w:val="32"/>
          <w:szCs w:val="32"/>
        </w:rPr>
        <w:t>PBAC Outcome</w:t>
      </w:r>
    </w:p>
    <w:p w14:paraId="411AA905" w14:textId="77777777" w:rsidR="001B670E" w:rsidRPr="001B12B2" w:rsidRDefault="0003494A" w:rsidP="001B670E">
      <w:pPr>
        <w:widowControl w:val="0"/>
        <w:numPr>
          <w:ilvl w:val="1"/>
          <w:numId w:val="2"/>
        </w:numPr>
        <w:spacing w:after="120"/>
        <w:rPr>
          <w:rFonts w:asciiTheme="minorHAnsi" w:hAnsiTheme="minorHAnsi" w:cs="Arial"/>
          <w:snapToGrid w:val="0"/>
        </w:rPr>
      </w:pPr>
      <w:r w:rsidRPr="00D83E5E">
        <w:rPr>
          <w:rFonts w:asciiTheme="minorHAnsi" w:hAnsiTheme="minorHAnsi" w:cs="Arial"/>
          <w:snapToGrid w:val="0"/>
        </w:rPr>
        <w:t>The PBAC recommended the Authority Required listing of adalimumab (Ardalicip) in the form of 40 mg in 0.4 mL PFS and PFP and 80 mg in 0.8 mL PFS as biosimilar brands of Humira on the General Schedule (Section 85) and Section 100 (Highly Specialised Drug</w:t>
      </w:r>
      <w:r w:rsidR="00535C97">
        <w:rPr>
          <w:rFonts w:asciiTheme="minorHAnsi" w:hAnsiTheme="minorHAnsi" w:cs="Arial"/>
          <w:snapToGrid w:val="0"/>
        </w:rPr>
        <w:t>s</w:t>
      </w:r>
      <w:r w:rsidRPr="00D83E5E">
        <w:rPr>
          <w:rFonts w:asciiTheme="minorHAnsi" w:hAnsiTheme="minorHAnsi" w:cs="Arial"/>
          <w:snapToGrid w:val="0"/>
        </w:rPr>
        <w:t xml:space="preserve"> Program)</w:t>
      </w:r>
      <w:r w:rsidR="001B670E">
        <w:rPr>
          <w:rFonts w:asciiTheme="minorHAnsi" w:hAnsiTheme="minorHAnsi" w:cs="Arial"/>
          <w:snapToGrid w:val="0"/>
        </w:rPr>
        <w:t xml:space="preserve"> </w:t>
      </w:r>
      <w:r w:rsidR="001B670E" w:rsidRPr="001B12B2">
        <w:rPr>
          <w:rFonts w:asciiTheme="minorHAnsi" w:hAnsiTheme="minorHAnsi" w:cs="Arial"/>
          <w:snapToGrid w:val="0"/>
        </w:rPr>
        <w:t xml:space="preserve">for the following indications: </w:t>
      </w:r>
    </w:p>
    <w:p w14:paraId="36D30CBE" w14:textId="77777777" w:rsidR="001B670E" w:rsidRPr="00F92E37" w:rsidRDefault="001B670E" w:rsidP="001B670E">
      <w:pPr>
        <w:pStyle w:val="3Bodytext"/>
        <w:numPr>
          <w:ilvl w:val="0"/>
          <w:numId w:val="36"/>
        </w:numPr>
        <w:jc w:val="both"/>
      </w:pPr>
      <w:r w:rsidRPr="00F92E37">
        <w:t>Severe Crohn disease</w:t>
      </w:r>
    </w:p>
    <w:p w14:paraId="599CAC63" w14:textId="77777777" w:rsidR="001B670E" w:rsidRPr="00F92E37" w:rsidRDefault="001B670E" w:rsidP="001B670E">
      <w:pPr>
        <w:pStyle w:val="3Bodytext"/>
        <w:numPr>
          <w:ilvl w:val="0"/>
          <w:numId w:val="36"/>
        </w:numPr>
        <w:jc w:val="both"/>
      </w:pPr>
      <w:r w:rsidRPr="00F92E37">
        <w:t>Moderate to severe ulcerative colitis</w:t>
      </w:r>
    </w:p>
    <w:p w14:paraId="6A8E4A39" w14:textId="77777777" w:rsidR="001B670E" w:rsidRPr="00F92E37" w:rsidRDefault="001B670E" w:rsidP="001B670E">
      <w:pPr>
        <w:pStyle w:val="3Bodytext"/>
        <w:numPr>
          <w:ilvl w:val="0"/>
          <w:numId w:val="36"/>
        </w:numPr>
        <w:jc w:val="both"/>
      </w:pPr>
      <w:r w:rsidRPr="00F92E37">
        <w:t xml:space="preserve">Severe active juvenile idiopathic arthritis </w:t>
      </w:r>
    </w:p>
    <w:p w14:paraId="6FC25B00" w14:textId="77777777" w:rsidR="001B670E" w:rsidRPr="00F92E37" w:rsidRDefault="001B670E" w:rsidP="001B670E">
      <w:pPr>
        <w:pStyle w:val="3Bodytext"/>
        <w:numPr>
          <w:ilvl w:val="0"/>
          <w:numId w:val="36"/>
        </w:numPr>
        <w:jc w:val="both"/>
      </w:pPr>
      <w:r w:rsidRPr="00F92E37">
        <w:t>Complex refractory fistulising Crohn disease</w:t>
      </w:r>
    </w:p>
    <w:p w14:paraId="0E29F73B" w14:textId="77777777" w:rsidR="001B670E" w:rsidRPr="00F92E37" w:rsidRDefault="001B670E" w:rsidP="001B670E">
      <w:pPr>
        <w:pStyle w:val="3Bodytext"/>
        <w:numPr>
          <w:ilvl w:val="0"/>
          <w:numId w:val="36"/>
        </w:numPr>
        <w:jc w:val="both"/>
      </w:pPr>
      <w:r w:rsidRPr="00F92E37">
        <w:t>Severe active rheumatoid arthritis</w:t>
      </w:r>
    </w:p>
    <w:p w14:paraId="7AFE3905" w14:textId="77777777" w:rsidR="001B670E" w:rsidRPr="00F92E37" w:rsidRDefault="001B670E" w:rsidP="001B670E">
      <w:pPr>
        <w:pStyle w:val="3Bodytext"/>
        <w:numPr>
          <w:ilvl w:val="0"/>
          <w:numId w:val="36"/>
        </w:numPr>
        <w:jc w:val="both"/>
      </w:pPr>
      <w:r w:rsidRPr="00F92E37">
        <w:t>Severe psoriatic arthritis</w:t>
      </w:r>
    </w:p>
    <w:p w14:paraId="05DE6390" w14:textId="77777777" w:rsidR="001B670E" w:rsidRPr="00F92E37" w:rsidRDefault="001B670E" w:rsidP="001B670E">
      <w:pPr>
        <w:pStyle w:val="3Bodytext"/>
        <w:numPr>
          <w:ilvl w:val="0"/>
          <w:numId w:val="36"/>
        </w:numPr>
        <w:jc w:val="both"/>
      </w:pPr>
      <w:r w:rsidRPr="00F92E37">
        <w:t xml:space="preserve">Ankylosing spondylitis </w:t>
      </w:r>
    </w:p>
    <w:p w14:paraId="3F9E50C5" w14:textId="77777777" w:rsidR="001B670E" w:rsidRPr="00F92E37" w:rsidRDefault="001B670E" w:rsidP="001B670E">
      <w:pPr>
        <w:pStyle w:val="3Bodytext"/>
        <w:numPr>
          <w:ilvl w:val="0"/>
          <w:numId w:val="36"/>
        </w:numPr>
        <w:jc w:val="both"/>
      </w:pPr>
      <w:r w:rsidRPr="00F92E37">
        <w:t>Severe chronic plaque psoriasis</w:t>
      </w:r>
    </w:p>
    <w:p w14:paraId="378D7E04" w14:textId="77777777" w:rsidR="001B670E" w:rsidRPr="00F92E37" w:rsidRDefault="001B670E" w:rsidP="001B670E">
      <w:pPr>
        <w:pStyle w:val="3Bodytext"/>
        <w:numPr>
          <w:ilvl w:val="0"/>
          <w:numId w:val="36"/>
        </w:numPr>
        <w:jc w:val="both"/>
      </w:pPr>
      <w:r w:rsidRPr="00F92E37">
        <w:t>Moderate to severe hidradenitis suppurativa</w:t>
      </w:r>
    </w:p>
    <w:p w14:paraId="5901AD04" w14:textId="6F846704" w:rsidR="00280EC3" w:rsidRDefault="0003494A" w:rsidP="001B670E">
      <w:pPr>
        <w:widowControl w:val="0"/>
        <w:numPr>
          <w:ilvl w:val="1"/>
          <w:numId w:val="2"/>
        </w:numPr>
        <w:spacing w:after="120"/>
        <w:rPr>
          <w:rFonts w:asciiTheme="minorHAnsi" w:hAnsiTheme="minorHAnsi" w:cs="Arial"/>
          <w:snapToGrid w:val="0"/>
        </w:rPr>
      </w:pPr>
      <w:r w:rsidRPr="00D83E5E">
        <w:rPr>
          <w:rFonts w:asciiTheme="minorHAnsi" w:hAnsiTheme="minorHAnsi" w:cs="Arial"/>
          <w:snapToGrid w:val="0"/>
        </w:rPr>
        <w:t>The PBAC’s recommendation for listing was based on, among other matters, its assessment that the cost-effectiveness of Ardalicip PFP and PFS would be acceptable if it were cost</w:t>
      </w:r>
      <w:r w:rsidRPr="00D83E5E">
        <w:rPr>
          <w:rFonts w:asciiTheme="minorHAnsi" w:hAnsiTheme="minorHAnsi" w:cs="Arial"/>
          <w:snapToGrid w:val="0"/>
        </w:rPr>
        <w:noBreakHyphen/>
        <w:t xml:space="preserve">minimised to </w:t>
      </w:r>
      <w:r w:rsidR="00BF289C">
        <w:rPr>
          <w:rFonts w:asciiTheme="minorHAnsi" w:hAnsiTheme="minorHAnsi" w:cs="Arial"/>
          <w:snapToGrid w:val="0"/>
        </w:rPr>
        <w:t>the lowest cost adalimumab brand</w:t>
      </w:r>
      <w:r w:rsidR="00280EC3">
        <w:rPr>
          <w:rFonts w:asciiTheme="minorHAnsi" w:hAnsiTheme="minorHAnsi" w:cs="Arial"/>
          <w:snapToGrid w:val="0"/>
        </w:rPr>
        <w:t>.</w:t>
      </w:r>
    </w:p>
    <w:p w14:paraId="0036A844" w14:textId="5588DAD3" w:rsidR="0003494A" w:rsidRPr="00F92E37" w:rsidRDefault="00280EC3" w:rsidP="00D83E5E">
      <w:pPr>
        <w:pStyle w:val="3Bodytext"/>
      </w:pPr>
      <w:r w:rsidRPr="00674DC9">
        <w:t xml:space="preserve">The PBAC advised the equi-effective doses to be </w:t>
      </w:r>
      <w:r w:rsidRPr="00674DC9">
        <w:rPr>
          <w:iCs/>
        </w:rPr>
        <w:t>1 mg of Ardalicip = 1 mg of Humira</w:t>
      </w:r>
      <w:r w:rsidRPr="00674DC9">
        <w:t xml:space="preserve"> and all other biosimilar brands and formulations of adalimumab. </w:t>
      </w:r>
      <w:r w:rsidR="00BF289C" w:rsidRPr="00D83E5E">
        <w:rPr>
          <w:rFonts w:cs="Arial"/>
          <w:snapToGrid w:val="0"/>
        </w:rPr>
        <w:t xml:space="preserve"> </w:t>
      </w:r>
      <w:r w:rsidR="001B670E" w:rsidRPr="00994DD4" w:rsidDel="001B670E">
        <w:rPr>
          <w:rFonts w:cs="Arial"/>
          <w:snapToGrid w:val="0"/>
        </w:rPr>
        <w:t xml:space="preserve"> </w:t>
      </w:r>
    </w:p>
    <w:p w14:paraId="330F2AD4" w14:textId="67B25391" w:rsidR="0003494A" w:rsidRPr="00F92E37" w:rsidRDefault="0003494A" w:rsidP="0003494A">
      <w:pPr>
        <w:pStyle w:val="3Bodytext"/>
        <w:jc w:val="both"/>
      </w:pPr>
      <w:r w:rsidRPr="00F92E37">
        <w:lastRenderedPageBreak/>
        <w:t xml:space="preserve">The PBAC considered that the claim of biosimilarity for Ardalicip compared to Humira was reasonably supported by the data. The </w:t>
      </w:r>
      <w:r w:rsidR="00060E6B" w:rsidRPr="00F92E37">
        <w:t xml:space="preserve">PBAC noted the </w:t>
      </w:r>
      <w:r w:rsidRPr="00F92E37">
        <w:t>TGA Delegate</w:t>
      </w:r>
      <w:r w:rsidR="00060E6B" w:rsidRPr="00F92E37">
        <w:t>’s view</w:t>
      </w:r>
      <w:r w:rsidRPr="00F92E37">
        <w:t xml:space="preserve"> that Ardalicip is biosimilar to Humira and that there were no </w:t>
      </w:r>
      <w:r w:rsidRPr="00F92E37">
        <w:rPr>
          <w:iCs/>
          <w:lang w:eastAsia="en-US"/>
        </w:rPr>
        <w:t>clinically meaningful differences in the comparative</w:t>
      </w:r>
      <w:r w:rsidRPr="00F92E37">
        <w:t xml:space="preserve"> pharmacology, pharmacokinetic and toxicity studies. </w:t>
      </w:r>
    </w:p>
    <w:p w14:paraId="67EAD40A" w14:textId="1D1832B5" w:rsidR="0003494A" w:rsidRPr="00F92E37" w:rsidRDefault="0003494A" w:rsidP="0003494A">
      <w:pPr>
        <w:pStyle w:val="3Bodytext"/>
        <w:jc w:val="both"/>
      </w:pPr>
      <w:r w:rsidRPr="00F92E37">
        <w:t xml:space="preserve">The PBAC considered that biosimilar uptake drivers should be applied to Ardalicip, consistent with the current PBS listings for adalimumab biosimilar brands, including: </w:t>
      </w:r>
    </w:p>
    <w:p w14:paraId="1C143002" w14:textId="687E80CB" w:rsidR="00AD56D6" w:rsidRPr="00F92E37" w:rsidRDefault="00AD56D6" w:rsidP="0003494A">
      <w:pPr>
        <w:pStyle w:val="3Bodytext"/>
        <w:numPr>
          <w:ilvl w:val="0"/>
          <w:numId w:val="36"/>
        </w:numPr>
        <w:jc w:val="both"/>
      </w:pPr>
      <w:r>
        <w:t>Authority Required listing of Ardalicip, with the Authority type for each treatment phase and indication to be consistent with current listings for the other biosimilar brands of adalimumab.</w:t>
      </w:r>
      <w:r w:rsidRPr="00F92E37" w:rsidDel="00AD56D6">
        <w:t xml:space="preserve"> </w:t>
      </w:r>
    </w:p>
    <w:p w14:paraId="41F62534" w14:textId="56850BEF" w:rsidR="0003494A" w:rsidRPr="00F92E37" w:rsidRDefault="0003494A" w:rsidP="0003494A">
      <w:pPr>
        <w:pStyle w:val="3Bodytext"/>
        <w:numPr>
          <w:ilvl w:val="0"/>
          <w:numId w:val="36"/>
        </w:numPr>
        <w:jc w:val="both"/>
      </w:pPr>
      <w:r w:rsidRPr="00F92E37">
        <w:t>The application of the ‘Biosimilar prescribing policy’ administrative note encouraging the use of biosimilar brands for treatment naïve patients (this note will need to be updated for the other biosimilar brands of adalimumab to include Ardalicip in the list):</w:t>
      </w:r>
    </w:p>
    <w:p w14:paraId="1AFE2265" w14:textId="4B223696" w:rsidR="0003494A" w:rsidRPr="00F92E37" w:rsidRDefault="0003494A" w:rsidP="0003494A">
      <w:pPr>
        <w:pStyle w:val="3Bodytext"/>
        <w:numPr>
          <w:ilvl w:val="0"/>
          <w:numId w:val="0"/>
        </w:numPr>
        <w:ind w:left="1440"/>
        <w:jc w:val="both"/>
        <w:rPr>
          <w:i/>
        </w:rPr>
      </w:pPr>
      <w:r w:rsidRPr="00F92E37">
        <w:rPr>
          <w:i/>
        </w:rPr>
        <w:t xml:space="preserve">Prescribing of the biosimilar brand, Amgevita, </w:t>
      </w:r>
      <w:r w:rsidR="00D83E5E" w:rsidRPr="00F92E37">
        <w:rPr>
          <w:i/>
        </w:rPr>
        <w:t>Ardalicip</w:t>
      </w:r>
      <w:r w:rsidRPr="00F92E37">
        <w:rPr>
          <w:i/>
        </w:rPr>
        <w:t>, Hadlima, Hyrimoz, Idacio or Yuflyma is encouraged for treatment naïve patients.</w:t>
      </w:r>
    </w:p>
    <w:p w14:paraId="227A42C0" w14:textId="7A94E344" w:rsidR="0003494A" w:rsidRPr="00F92E37" w:rsidRDefault="0003494A" w:rsidP="0003494A">
      <w:pPr>
        <w:pStyle w:val="3Bodytext"/>
        <w:numPr>
          <w:ilvl w:val="0"/>
          <w:numId w:val="0"/>
        </w:numPr>
        <w:ind w:left="1440"/>
        <w:jc w:val="both"/>
      </w:pPr>
      <w:r w:rsidRPr="00F92E37">
        <w:rPr>
          <w:i/>
          <w:snapToGrid w:val="0"/>
          <w:lang w:eastAsia="en-US"/>
        </w:rPr>
        <w:t xml:space="preserve">Encouraging biosimilar prescribing for treatment naïve patients is Government policy. A viable biosimilar market is expected to result in reduced costs for biological medicines, allowing the Government to reinvest in new treatments. Further information can be found on the Medicines </w:t>
      </w:r>
      <w:r w:rsidRPr="00F92E37">
        <w:t xml:space="preserve">webpage </w:t>
      </w:r>
      <w:r w:rsidRPr="00F92E37">
        <w:rPr>
          <w:i/>
          <w:iCs/>
        </w:rPr>
        <w:t>(</w:t>
      </w:r>
      <w:hyperlink r:id="rId8" w:history="1">
        <w:r w:rsidRPr="00F92E37">
          <w:rPr>
            <w:rStyle w:val="Hyperlink"/>
            <w:i/>
            <w:iCs/>
          </w:rPr>
          <w:t>www.health.gov.au/health-topics/medicines</w:t>
        </w:r>
      </w:hyperlink>
      <w:r w:rsidRPr="00F92E37">
        <w:rPr>
          <w:i/>
          <w:iCs/>
        </w:rPr>
        <w:t>)</w:t>
      </w:r>
      <w:r w:rsidRPr="00F92E37">
        <w:t xml:space="preserve"> </w:t>
      </w:r>
      <w:hyperlink w:history="1"/>
    </w:p>
    <w:p w14:paraId="475F9338" w14:textId="77777777" w:rsidR="0003494A" w:rsidRPr="00F92E37" w:rsidRDefault="0003494A" w:rsidP="0003494A">
      <w:pPr>
        <w:pStyle w:val="3Bodytext"/>
        <w:jc w:val="both"/>
      </w:pPr>
      <w:r w:rsidRPr="00F92E37">
        <w:t>The PBAC advised that, under Section 101(4AACD) of the</w:t>
      </w:r>
      <w:r w:rsidRPr="00F92E37">
        <w:rPr>
          <w:iCs/>
        </w:rPr>
        <w:t xml:space="preserve"> Act, </w:t>
      </w:r>
      <w:r w:rsidRPr="00F92E37">
        <w:t>in the Schedule of Pharmaceutical Benefits:</w:t>
      </w:r>
    </w:p>
    <w:p w14:paraId="389FB285" w14:textId="3CD8A728" w:rsidR="0003494A" w:rsidRPr="00F92E37" w:rsidRDefault="0003494A" w:rsidP="0003494A">
      <w:pPr>
        <w:pStyle w:val="3Bodytext"/>
        <w:numPr>
          <w:ilvl w:val="0"/>
          <w:numId w:val="36"/>
        </w:numPr>
        <w:jc w:val="both"/>
      </w:pPr>
      <w:r w:rsidRPr="00F92E37">
        <w:t>Humira and Ardalicip PFS should be treated as equivalent to each other; and Humira and Ardalicip PFP should be treated as equivalent to each other for the purposes of substitution (</w:t>
      </w:r>
      <w:proofErr w:type="gramStart"/>
      <w:r w:rsidRPr="00F92E37">
        <w:t>i.e.</w:t>
      </w:r>
      <w:proofErr w:type="gramEnd"/>
      <w:r w:rsidRPr="00F92E37">
        <w:t xml:space="preserve"> ‘a’ flagged in the Schedule).</w:t>
      </w:r>
    </w:p>
    <w:p w14:paraId="619076B9" w14:textId="2BF56427" w:rsidR="0003494A" w:rsidRPr="00F92E37" w:rsidRDefault="0003494A" w:rsidP="0003494A">
      <w:pPr>
        <w:pStyle w:val="3Bodytext"/>
        <w:numPr>
          <w:ilvl w:val="0"/>
          <w:numId w:val="36"/>
        </w:numPr>
        <w:jc w:val="both"/>
      </w:pPr>
      <w:r w:rsidRPr="00F92E37">
        <w:t>40 mg in 0.4 mL Ardalicip PFS and 40 mg in 0.8 mL Amgevita, Hadlima, Hyrimoz and Idacio PFS should be treated as equivalent to each other for the purpose of substitution (</w:t>
      </w:r>
      <w:proofErr w:type="gramStart"/>
      <w:r w:rsidRPr="00F92E37">
        <w:t>i.e.</w:t>
      </w:r>
      <w:proofErr w:type="gramEnd"/>
      <w:r w:rsidRPr="00F92E37">
        <w:t xml:space="preserve"> ‘a’ flagged in the Schedule).</w:t>
      </w:r>
    </w:p>
    <w:p w14:paraId="7E279250" w14:textId="6E7FCC62" w:rsidR="0003494A" w:rsidRPr="00F92E37" w:rsidRDefault="0003494A" w:rsidP="0003494A">
      <w:pPr>
        <w:pStyle w:val="3Bodytext"/>
        <w:numPr>
          <w:ilvl w:val="0"/>
          <w:numId w:val="36"/>
        </w:numPr>
        <w:jc w:val="both"/>
      </w:pPr>
      <w:r w:rsidRPr="00F92E37">
        <w:t>40 mg in 0.4 mL Ardalicip PFP and 40 mg in 0.8 mL Amgevita, Hadlima, Hyrimoz and Idacio PFP should be treated as equivalent to each other for the purpose of substitution (</w:t>
      </w:r>
      <w:proofErr w:type="gramStart"/>
      <w:r w:rsidRPr="00F92E37">
        <w:t>i.e.</w:t>
      </w:r>
      <w:proofErr w:type="gramEnd"/>
      <w:r w:rsidRPr="00F92E37">
        <w:t xml:space="preserve"> ‘a’ flagged in the Schedule).</w:t>
      </w:r>
    </w:p>
    <w:p w14:paraId="4F24F19C" w14:textId="3032DA23" w:rsidR="0003494A" w:rsidRPr="00F92E37" w:rsidRDefault="0003494A" w:rsidP="0003494A">
      <w:pPr>
        <w:widowControl w:val="0"/>
        <w:numPr>
          <w:ilvl w:val="1"/>
          <w:numId w:val="2"/>
        </w:numPr>
        <w:spacing w:after="120" w:line="259" w:lineRule="auto"/>
        <w:rPr>
          <w:rFonts w:eastAsia="Calibri" w:cs="Arial"/>
          <w:bCs/>
          <w:snapToGrid w:val="0"/>
          <w:lang w:eastAsia="en-US"/>
        </w:rPr>
      </w:pPr>
      <w:r w:rsidRPr="00F92E37">
        <w:rPr>
          <w:rFonts w:eastAsia="Calibri" w:cs="Arial"/>
          <w:bCs/>
          <w:snapToGrid w:val="0"/>
          <w:lang w:eastAsia="en-US"/>
        </w:rPr>
        <w:t xml:space="preserve">The PBAC </w:t>
      </w:r>
      <w:r w:rsidRPr="00F92E37">
        <w:t xml:space="preserve">advised that, under Section 101(4AACD) of the </w:t>
      </w:r>
      <w:r w:rsidRPr="00F92E37">
        <w:rPr>
          <w:iCs/>
        </w:rPr>
        <w:t>Act,</w:t>
      </w:r>
      <w:r w:rsidRPr="00F92E37">
        <w:t xml:space="preserve"> in the Schedule of Pharmaceutical Benefits, </w:t>
      </w:r>
      <w:r w:rsidR="00305B99" w:rsidRPr="00F92E37">
        <w:t>Ardalicip</w:t>
      </w:r>
      <w:r w:rsidRPr="00F92E37">
        <w:t xml:space="preserve"> PFP should not be considered equivalent for the purposes of substitution with any adalimumab PFS, consistent with its previous considerations of adalimumab.</w:t>
      </w:r>
    </w:p>
    <w:p w14:paraId="5755D2E6" w14:textId="2EC2BADF" w:rsidR="0003494A" w:rsidRPr="00F92E37" w:rsidRDefault="0003494A" w:rsidP="0003494A">
      <w:pPr>
        <w:widowControl w:val="0"/>
        <w:numPr>
          <w:ilvl w:val="1"/>
          <w:numId w:val="2"/>
        </w:numPr>
        <w:spacing w:after="120" w:line="259" w:lineRule="auto"/>
        <w:rPr>
          <w:rFonts w:eastAsia="Calibri" w:cs="Arial"/>
          <w:bCs/>
          <w:snapToGrid w:val="0"/>
          <w:lang w:eastAsia="en-US"/>
        </w:rPr>
      </w:pPr>
      <w:r w:rsidRPr="00F92E37">
        <w:rPr>
          <w:rFonts w:eastAsia="Calibri" w:cs="Arial"/>
          <w:bCs/>
          <w:snapToGrid w:val="0"/>
          <w:lang w:eastAsia="en-US"/>
        </w:rPr>
        <w:t xml:space="preserve">The PBAC </w:t>
      </w:r>
      <w:r w:rsidR="00BF289C">
        <w:rPr>
          <w:rFonts w:eastAsia="Calibri" w:cs="Arial"/>
          <w:bCs/>
          <w:snapToGrid w:val="0"/>
          <w:lang w:eastAsia="en-US"/>
        </w:rPr>
        <w:t xml:space="preserve">agreed </w:t>
      </w:r>
      <w:r w:rsidRPr="00F92E37">
        <w:rPr>
          <w:rFonts w:eastAsia="Calibri" w:cs="Arial"/>
          <w:bCs/>
          <w:snapToGrid w:val="0"/>
          <w:lang w:eastAsia="en-US"/>
        </w:rPr>
        <w:t xml:space="preserve">that </w:t>
      </w:r>
      <w:r w:rsidR="00305B99" w:rsidRPr="00F92E37">
        <w:rPr>
          <w:rFonts w:eastAsia="Calibri" w:cs="Arial"/>
          <w:bCs/>
          <w:snapToGrid w:val="0"/>
          <w:lang w:eastAsia="en-US"/>
        </w:rPr>
        <w:t>Ardalicip</w:t>
      </w:r>
      <w:r w:rsidRPr="00F92E37">
        <w:rPr>
          <w:rFonts w:eastAsia="Calibri" w:cs="Arial"/>
          <w:bCs/>
          <w:snapToGrid w:val="0"/>
          <w:lang w:eastAsia="en-US"/>
        </w:rPr>
        <w:t xml:space="preserve"> will </w:t>
      </w:r>
      <w:r w:rsidR="00BF289C">
        <w:rPr>
          <w:rFonts w:eastAsia="Calibri" w:cs="Arial"/>
          <w:bCs/>
          <w:snapToGrid w:val="0"/>
          <w:lang w:eastAsia="en-US"/>
        </w:rPr>
        <w:t xml:space="preserve">likely </w:t>
      </w:r>
      <w:r w:rsidRPr="00F92E37">
        <w:rPr>
          <w:rFonts w:eastAsia="Calibri" w:cs="Arial"/>
          <w:bCs/>
          <w:snapToGrid w:val="0"/>
          <w:lang w:eastAsia="en-US"/>
        </w:rPr>
        <w:t xml:space="preserve">substitute for </w:t>
      </w:r>
      <w:r w:rsidR="00BF289C">
        <w:rPr>
          <w:rFonts w:eastAsia="Calibri" w:cs="Arial"/>
          <w:bCs/>
          <w:snapToGrid w:val="0"/>
          <w:lang w:eastAsia="en-US"/>
        </w:rPr>
        <w:t>existing</w:t>
      </w:r>
      <w:r w:rsidRPr="00F92E37">
        <w:rPr>
          <w:rFonts w:eastAsia="Calibri" w:cs="Arial"/>
          <w:bCs/>
          <w:snapToGrid w:val="0"/>
          <w:lang w:eastAsia="en-US"/>
        </w:rPr>
        <w:t xml:space="preserve"> adalimumab</w:t>
      </w:r>
      <w:r w:rsidR="00BF289C">
        <w:rPr>
          <w:rFonts w:eastAsia="Calibri" w:cs="Arial"/>
          <w:bCs/>
          <w:snapToGrid w:val="0"/>
          <w:lang w:eastAsia="en-US"/>
        </w:rPr>
        <w:t xml:space="preserve"> brands and therefore </w:t>
      </w:r>
      <w:r w:rsidR="00BF289C" w:rsidRPr="00F92E37">
        <w:rPr>
          <w:rFonts w:eastAsia="Calibri" w:cs="Arial"/>
          <w:bCs/>
          <w:snapToGrid w:val="0"/>
          <w:lang w:eastAsia="en-US"/>
        </w:rPr>
        <w:t>not increase overall market utilisation</w:t>
      </w:r>
      <w:r w:rsidRPr="00F92E37">
        <w:rPr>
          <w:rFonts w:eastAsia="Calibri" w:cs="Arial"/>
          <w:bCs/>
          <w:snapToGrid w:val="0"/>
          <w:lang w:eastAsia="en-US"/>
        </w:rPr>
        <w:t xml:space="preserve">. </w:t>
      </w:r>
    </w:p>
    <w:p w14:paraId="1288AA9B" w14:textId="6361E007" w:rsidR="0003494A" w:rsidRPr="00F92E37" w:rsidRDefault="0003494A" w:rsidP="0003494A">
      <w:pPr>
        <w:widowControl w:val="0"/>
        <w:numPr>
          <w:ilvl w:val="1"/>
          <w:numId w:val="2"/>
        </w:numPr>
        <w:spacing w:after="120" w:line="259" w:lineRule="auto"/>
        <w:rPr>
          <w:rFonts w:eastAsia="Calibri" w:cs="Arial"/>
          <w:bCs/>
          <w:snapToGrid w:val="0"/>
          <w:lang w:eastAsia="en-US"/>
        </w:rPr>
      </w:pPr>
      <w:r w:rsidRPr="00F92E37">
        <w:t xml:space="preserve">The PBAC noted that its recommendation was on a cost-minimisation basis and </w:t>
      </w:r>
      <w:r w:rsidRPr="00F92E37">
        <w:lastRenderedPageBreak/>
        <w:t xml:space="preserve">advised that, because </w:t>
      </w:r>
      <w:r w:rsidR="00305B99" w:rsidRPr="00F92E37">
        <w:t xml:space="preserve">Ardalicip </w:t>
      </w:r>
      <w:r w:rsidRPr="00F92E37">
        <w:t xml:space="preserve">is not expected to provide a substantial and clinically relevant improvement in efficacy, or reduction of toxicity over Humira, or not expected to address a high and urgent unmet clinical need given the presence of an alternative therapy, the criteria prescribed by the </w:t>
      </w:r>
      <w:r w:rsidRPr="00F92E37">
        <w:rPr>
          <w:i/>
        </w:rPr>
        <w:t>National Health (Pharmaceuticals and Vaccines – Cost Recovery) Regulations 2022</w:t>
      </w:r>
      <w:r w:rsidRPr="00F92E37">
        <w:t xml:space="preserve"> for Pricing Pathway A were not met.</w:t>
      </w:r>
    </w:p>
    <w:p w14:paraId="2005C91D" w14:textId="77777777" w:rsidR="0003494A" w:rsidRPr="00F92E37" w:rsidRDefault="0003494A" w:rsidP="0003494A">
      <w:pPr>
        <w:widowControl w:val="0"/>
        <w:numPr>
          <w:ilvl w:val="1"/>
          <w:numId w:val="2"/>
        </w:numPr>
        <w:spacing w:after="120" w:line="259" w:lineRule="auto"/>
        <w:rPr>
          <w:rFonts w:eastAsia="Calibri" w:cs="Arial"/>
          <w:bCs/>
          <w:snapToGrid w:val="0"/>
          <w:lang w:eastAsia="en-US"/>
        </w:rPr>
      </w:pPr>
      <w:r w:rsidRPr="00F92E37">
        <w:rPr>
          <w:rFonts w:eastAsia="Calibri" w:cs="Arial"/>
          <w:bCs/>
          <w:snapToGrid w:val="0"/>
          <w:lang w:eastAsia="en-US"/>
        </w:rPr>
        <w:t xml:space="preserve">The PBAC noted that this submission is not eligible for an Independent Review as it received a positive recommendation. </w:t>
      </w:r>
    </w:p>
    <w:p w14:paraId="023FF58C" w14:textId="21E08A08" w:rsidR="00305B99" w:rsidRDefault="00305B99" w:rsidP="00305B99">
      <w:r w:rsidRPr="00F92E37">
        <w:rPr>
          <w:b/>
        </w:rPr>
        <w:t>Outcome:</w:t>
      </w:r>
      <w:r w:rsidRPr="00F92E37">
        <w:br/>
        <w:t>Recommended</w:t>
      </w:r>
    </w:p>
    <w:p w14:paraId="3E1C284D" w14:textId="6F9A8BF6" w:rsidR="002908AA" w:rsidRDefault="002908AA" w:rsidP="00305B99"/>
    <w:p w14:paraId="6ABB9F39" w14:textId="77777777" w:rsidR="00305B99" w:rsidRPr="00F92E37" w:rsidRDefault="00305B99" w:rsidP="00305B99">
      <w:pPr>
        <w:pStyle w:val="Heading1"/>
        <w:keepLines/>
        <w:numPr>
          <w:ilvl w:val="0"/>
          <w:numId w:val="2"/>
        </w:numPr>
        <w:spacing w:before="240"/>
        <w:ind w:left="709" w:hanging="709"/>
        <w:rPr>
          <w:sz w:val="32"/>
          <w:szCs w:val="32"/>
        </w:rPr>
      </w:pPr>
      <w:r w:rsidRPr="00F92E37">
        <w:rPr>
          <w:sz w:val="32"/>
          <w:szCs w:val="32"/>
        </w:rPr>
        <w:t xml:space="preserve">Recommended </w:t>
      </w:r>
      <w:proofErr w:type="gramStart"/>
      <w:r w:rsidRPr="00F92E37">
        <w:rPr>
          <w:sz w:val="32"/>
          <w:szCs w:val="32"/>
        </w:rPr>
        <w:t>listing</w:t>
      </w:r>
      <w:proofErr w:type="gramEnd"/>
      <w:r w:rsidRPr="00F92E37">
        <w:rPr>
          <w:sz w:val="32"/>
          <w:szCs w:val="32"/>
        </w:rPr>
        <w:t xml:space="preserve"> </w:t>
      </w:r>
    </w:p>
    <w:p w14:paraId="3AD843B9" w14:textId="210788FC" w:rsidR="00305B99" w:rsidRPr="00F92E37" w:rsidRDefault="00305B99" w:rsidP="00305B99">
      <w:pPr>
        <w:pStyle w:val="3Bodytext"/>
        <w:jc w:val="both"/>
      </w:pPr>
      <w:r w:rsidRPr="00F92E37">
        <w:t>Add new adalimumab brand (Ardalicip) with schedule equivalence (‘a’ flag) for the same indications as Humira as noted in Section 3.</w:t>
      </w:r>
    </w:p>
    <w:p w14:paraId="15AADDE9" w14:textId="77777777" w:rsidR="00305B99" w:rsidRPr="00F92E37" w:rsidRDefault="00305B99" w:rsidP="00305B99">
      <w:pPr>
        <w:pStyle w:val="3Bodytext"/>
        <w:jc w:val="both"/>
      </w:pPr>
      <w:r w:rsidRPr="00F92E37">
        <w:t>Amend existing/recommended listing as follows:</w:t>
      </w:r>
    </w:p>
    <w:p w14:paraId="3AD5B031" w14:textId="77777777" w:rsidR="00D83E5E" w:rsidRDefault="00AD56D6" w:rsidP="00305B99">
      <w:pPr>
        <w:pStyle w:val="3Bodytext"/>
        <w:numPr>
          <w:ilvl w:val="0"/>
          <w:numId w:val="36"/>
        </w:numPr>
        <w:jc w:val="both"/>
      </w:pPr>
      <w:bookmarkStart w:id="2" w:name="_Hlk141081764"/>
      <w:r>
        <w:t>Authority Required listing of Ardalicip, with the Authority type for each treatment phase and indication to be consistent with current listings for the other biosimilar brands of adalimumab.</w:t>
      </w:r>
      <w:r w:rsidRPr="00F92E37" w:rsidDel="00AD56D6">
        <w:t xml:space="preserve"> </w:t>
      </w:r>
      <w:bookmarkEnd w:id="2"/>
    </w:p>
    <w:p w14:paraId="2AF66CFD" w14:textId="4041E407" w:rsidR="00305B99" w:rsidRPr="00F92E37" w:rsidRDefault="00305B99" w:rsidP="00305B99">
      <w:pPr>
        <w:pStyle w:val="3Bodytext"/>
        <w:numPr>
          <w:ilvl w:val="0"/>
          <w:numId w:val="36"/>
        </w:numPr>
        <w:jc w:val="both"/>
      </w:pPr>
      <w:r w:rsidRPr="00F92E37">
        <w:t>The application of the ‘Biosimilar prescribing policy’ administrative note encouraging the use of biosimilar brands for treatment naïve patients (this note will need to be updated for the other biosimilar brands of adalimumab to include Ardalicip in the list):</w:t>
      </w:r>
    </w:p>
    <w:p w14:paraId="4ABFECB8" w14:textId="05515780" w:rsidR="00305B99" w:rsidRPr="00F92E37" w:rsidRDefault="00305B99" w:rsidP="00305B99">
      <w:pPr>
        <w:pStyle w:val="3Bodytext"/>
        <w:numPr>
          <w:ilvl w:val="0"/>
          <w:numId w:val="0"/>
        </w:numPr>
        <w:ind w:left="1440"/>
        <w:jc w:val="both"/>
        <w:rPr>
          <w:i/>
        </w:rPr>
      </w:pPr>
      <w:r w:rsidRPr="00F92E37">
        <w:rPr>
          <w:i/>
        </w:rPr>
        <w:t xml:space="preserve">Prescribing of the biosimilar brand Amgevita, </w:t>
      </w:r>
      <w:r w:rsidR="00D83E5E" w:rsidRPr="00F92E37">
        <w:rPr>
          <w:i/>
        </w:rPr>
        <w:t>Ardalicip</w:t>
      </w:r>
      <w:r w:rsidRPr="00F92E37">
        <w:rPr>
          <w:i/>
        </w:rPr>
        <w:t xml:space="preserve">, Hadlima, Hyrimoz, Idacio or Yuflyma is encouraged for treatment naïve patients. </w:t>
      </w:r>
    </w:p>
    <w:p w14:paraId="3FE91B45" w14:textId="77777777" w:rsidR="00305B99" w:rsidRPr="00F92E37" w:rsidRDefault="00305B99" w:rsidP="00305B99">
      <w:pPr>
        <w:pStyle w:val="3Bodytext"/>
        <w:numPr>
          <w:ilvl w:val="0"/>
          <w:numId w:val="0"/>
        </w:numPr>
        <w:spacing w:after="240"/>
        <w:ind w:left="1440"/>
        <w:jc w:val="both"/>
      </w:pPr>
      <w:r w:rsidRPr="00F92E37">
        <w:rPr>
          <w:i/>
          <w:snapToGrid w:val="0"/>
          <w:lang w:eastAsia="en-US"/>
        </w:rPr>
        <w:t xml:space="preserve">Encouraging biosimilar prescribing for treatment naïve patients is Government policy. A viable biosimilar market is expected to result in reduced costs for biological medicines, allowing the Government to reinvest in new treatments. Further information can be found on the B Medicines </w:t>
      </w:r>
      <w:r w:rsidRPr="00F92E37">
        <w:t xml:space="preserve">webpage </w:t>
      </w:r>
      <w:r w:rsidRPr="00F92E37">
        <w:rPr>
          <w:i/>
          <w:iCs/>
        </w:rPr>
        <w:t>(</w:t>
      </w:r>
      <w:hyperlink r:id="rId9" w:history="1">
        <w:r w:rsidRPr="00F92E37">
          <w:rPr>
            <w:rStyle w:val="Hyperlink"/>
            <w:i/>
            <w:iCs/>
          </w:rPr>
          <w:t>www.health.gov.au/health-topics/medicines</w:t>
        </w:r>
      </w:hyperlink>
      <w:r w:rsidRPr="00F92E37">
        <w:rPr>
          <w:i/>
          <w:iCs/>
        </w:rPr>
        <w:t>)</w:t>
      </w:r>
      <w:r w:rsidRPr="00F92E37">
        <w:t xml:space="preserve"> </w:t>
      </w:r>
      <w:hyperlink w:history="1"/>
    </w:p>
    <w:p w14:paraId="6CC80A65" w14:textId="77777777" w:rsidR="00305B99" w:rsidRPr="00F92E37" w:rsidRDefault="00305B99" w:rsidP="00305B99">
      <w:pPr>
        <w:spacing w:after="160" w:line="259" w:lineRule="auto"/>
        <w:jc w:val="left"/>
        <w:rPr>
          <w:rFonts w:eastAsia="Calibri" w:cs="Calibri"/>
          <w:b/>
          <w:i/>
          <w:lang w:eastAsia="en-US"/>
        </w:rPr>
      </w:pPr>
      <w:r w:rsidRPr="00F92E37">
        <w:rPr>
          <w:b/>
          <w:i/>
        </w:rPr>
        <w:t>This restriction may be subject to further review. Should there be any changes made to the restriction the Sponsor will be informed.</w:t>
      </w:r>
    </w:p>
    <w:p w14:paraId="2B29F56F" w14:textId="66F468DD" w:rsidR="007829A5" w:rsidRDefault="007829A5" w:rsidP="007829A5">
      <w:pPr>
        <w:pStyle w:val="Heading1"/>
        <w:keepLines/>
        <w:numPr>
          <w:ilvl w:val="0"/>
          <w:numId w:val="2"/>
        </w:numPr>
        <w:spacing w:before="240"/>
        <w:ind w:left="709" w:hanging="709"/>
        <w:rPr>
          <w:bCs/>
          <w:lang w:val="en-GB"/>
        </w:rPr>
      </w:pPr>
      <w:r w:rsidRPr="007829A5">
        <w:rPr>
          <w:sz w:val="32"/>
          <w:szCs w:val="32"/>
        </w:rPr>
        <w:t>Context</w:t>
      </w:r>
      <w:r w:rsidRPr="00C07617">
        <w:rPr>
          <w:sz w:val="32"/>
        </w:rPr>
        <w:t xml:space="preserve"> for Decision</w:t>
      </w:r>
    </w:p>
    <w:p w14:paraId="03B95B26" w14:textId="77777777" w:rsidR="007829A5" w:rsidRPr="007129F2" w:rsidRDefault="007829A5" w:rsidP="00805C4B">
      <w:pPr>
        <w:spacing w:after="120"/>
        <w:ind w:left="709"/>
        <w:rPr>
          <w:rFonts w:asciiTheme="minorHAnsi" w:hAnsiTheme="minorHAnsi" w:cs="Arial"/>
          <w:bCs/>
          <w:lang w:val="en-GB"/>
        </w:rPr>
      </w:pPr>
      <w:r w:rsidRPr="007129F2">
        <w:rPr>
          <w:rFonts w:asciiTheme="minorHAnsi" w:hAnsiTheme="minorHAnsi" w:cs="Arial"/>
          <w:bCs/>
          <w:lang w:val="en-GB"/>
        </w:rPr>
        <w:t xml:space="preserve">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w:t>
      </w:r>
      <w:r w:rsidRPr="007129F2">
        <w:rPr>
          <w:rFonts w:asciiTheme="minorHAnsi" w:hAnsiTheme="minorHAnsi" w:cs="Arial"/>
          <w:bCs/>
          <w:lang w:val="en-GB"/>
        </w:rPr>
        <w:lastRenderedPageBreak/>
        <w:t>merits of the medicine or the circumstances in which it should be made available through the PBS. The PBAC welcomes applications containing new information at any time.</w:t>
      </w:r>
    </w:p>
    <w:p w14:paraId="78EA80A4" w14:textId="13A0B7F7" w:rsidR="007829A5" w:rsidRPr="00C07617" w:rsidRDefault="007829A5" w:rsidP="007829A5">
      <w:pPr>
        <w:pStyle w:val="Heading1"/>
        <w:keepLines/>
        <w:numPr>
          <w:ilvl w:val="0"/>
          <w:numId w:val="2"/>
        </w:numPr>
        <w:spacing w:before="240"/>
        <w:ind w:left="709" w:hanging="709"/>
        <w:rPr>
          <w:b w:val="0"/>
          <w:sz w:val="32"/>
        </w:rPr>
      </w:pPr>
      <w:r w:rsidRPr="007829A5">
        <w:rPr>
          <w:sz w:val="32"/>
          <w:szCs w:val="32"/>
        </w:rPr>
        <w:t>Sponsor’s</w:t>
      </w:r>
      <w:r>
        <w:rPr>
          <w:sz w:val="32"/>
        </w:rPr>
        <w:t xml:space="preserve"> Comment</w:t>
      </w:r>
    </w:p>
    <w:p w14:paraId="1ADD4171" w14:textId="77777777" w:rsidR="007829A5" w:rsidRPr="001179AC" w:rsidRDefault="007829A5" w:rsidP="00805C4B">
      <w:pPr>
        <w:spacing w:after="120"/>
        <w:ind w:left="426" w:firstLine="283"/>
        <w:rPr>
          <w:rFonts w:asciiTheme="minorHAnsi" w:hAnsiTheme="minorHAnsi" w:cs="Arial"/>
          <w:bCs/>
        </w:rPr>
      </w:pPr>
      <w:r w:rsidRPr="00C07617">
        <w:rPr>
          <w:rFonts w:asciiTheme="minorHAnsi" w:hAnsiTheme="minorHAnsi" w:cs="Arial"/>
          <w:bCs/>
        </w:rPr>
        <w:t>The sponsor had no comment.</w:t>
      </w:r>
    </w:p>
    <w:p w14:paraId="283170C6" w14:textId="6461EE87" w:rsidR="00491EDC" w:rsidRPr="00D83E5E" w:rsidRDefault="00491EDC" w:rsidP="00D83E5E">
      <w:pPr>
        <w:jc w:val="left"/>
        <w:rPr>
          <w:rFonts w:asciiTheme="minorHAnsi" w:hAnsiTheme="minorHAnsi" w:cs="Arial"/>
          <w:b/>
          <w:snapToGrid w:val="0"/>
          <w:sz w:val="32"/>
          <w:szCs w:val="32"/>
        </w:rPr>
      </w:pPr>
    </w:p>
    <w:sectPr w:rsidR="00491EDC" w:rsidRPr="00D83E5E" w:rsidSect="00C27B58">
      <w:headerReference w:type="default" r:id="rId10"/>
      <w:footerReference w:type="default" r:id="rId11"/>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D5A186" w14:textId="77777777" w:rsidR="009B0062" w:rsidRDefault="009B0062">
      <w:r>
        <w:separator/>
      </w:r>
    </w:p>
    <w:p w14:paraId="69A2781B" w14:textId="77777777" w:rsidR="009B0062" w:rsidRDefault="009B0062"/>
  </w:endnote>
  <w:endnote w:type="continuationSeparator" w:id="0">
    <w:p w14:paraId="5F2CA6EE" w14:textId="77777777" w:rsidR="009B0062" w:rsidRDefault="009B0062">
      <w:r>
        <w:continuationSeparator/>
      </w:r>
    </w:p>
    <w:p w14:paraId="4F0CDF43" w14:textId="77777777" w:rsidR="009B0062" w:rsidRDefault="009B0062"/>
  </w:endnote>
  <w:endnote w:type="continuationNotice" w:id="1">
    <w:p w14:paraId="4C31136A" w14:textId="77777777" w:rsidR="009B0062" w:rsidRDefault="009B00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rial Bold">
    <w:altName w:val="Arial"/>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A0C56" w14:textId="77777777" w:rsidR="009C26AA" w:rsidRPr="00D429EC" w:rsidRDefault="009C26AA" w:rsidP="00C56D78">
    <w:pPr>
      <w:pStyle w:val="PBACFooter"/>
      <w:jc w:val="both"/>
      <w:rPr>
        <w:rFonts w:asciiTheme="minorHAnsi" w:hAnsiTheme="minorHAnsi" w:cstheme="minorHAnsi"/>
        <w:sz w:val="24"/>
      </w:rPr>
    </w:pPr>
  </w:p>
  <w:p w14:paraId="355827FE" w14:textId="49D54BE9" w:rsidR="009C26AA" w:rsidRPr="00296A80" w:rsidRDefault="00401640" w:rsidP="00C56D78">
    <w:pPr>
      <w:pStyle w:val="MinorOVRHeader"/>
      <w:jc w:val="center"/>
      <w:rPr>
        <w:b/>
        <w:bCs/>
      </w:rPr>
    </w:pPr>
    <w:r w:rsidRPr="00296A80">
      <w:rPr>
        <w:b/>
        <w:bCs/>
      </w:rPr>
      <w:fldChar w:fldCharType="begin"/>
    </w:r>
    <w:r w:rsidRPr="00296A80">
      <w:rPr>
        <w:b/>
        <w:bCs/>
      </w:rPr>
      <w:instrText xml:space="preserve"> PAGE   \* MERGEFORMAT </w:instrText>
    </w:r>
    <w:r w:rsidRPr="00296A80">
      <w:rPr>
        <w:b/>
        <w:bCs/>
      </w:rPr>
      <w:fldChar w:fldCharType="separate"/>
    </w:r>
    <w:r w:rsidRPr="00296A80">
      <w:rPr>
        <w:b/>
        <w:bCs/>
      </w:rPr>
      <w:t>1</w:t>
    </w:r>
    <w:r w:rsidRPr="00296A80">
      <w:rPr>
        <w:b/>
        <w:b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0D5181" w14:textId="77777777" w:rsidR="009B0062" w:rsidRDefault="009B0062">
      <w:r>
        <w:separator/>
      </w:r>
    </w:p>
    <w:p w14:paraId="3EFCBE2C" w14:textId="77777777" w:rsidR="009B0062" w:rsidRDefault="009B0062"/>
  </w:footnote>
  <w:footnote w:type="continuationSeparator" w:id="0">
    <w:p w14:paraId="2118DE14" w14:textId="77777777" w:rsidR="009B0062" w:rsidRDefault="009B0062">
      <w:r>
        <w:continuationSeparator/>
      </w:r>
    </w:p>
    <w:p w14:paraId="520C6E65" w14:textId="77777777" w:rsidR="009B0062" w:rsidRDefault="009B0062"/>
  </w:footnote>
  <w:footnote w:type="continuationNotice" w:id="1">
    <w:p w14:paraId="4A0346A4" w14:textId="77777777" w:rsidR="009B0062" w:rsidRDefault="009B006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24B42" w14:textId="1148BA0F" w:rsidR="00C56D78" w:rsidRPr="00296A80" w:rsidRDefault="007829A5" w:rsidP="00C56D78">
    <w:pPr>
      <w:keepNext/>
      <w:tabs>
        <w:tab w:val="center" w:pos="4513"/>
        <w:tab w:val="right" w:pos="9026"/>
      </w:tabs>
      <w:jc w:val="center"/>
      <w:rPr>
        <w:rFonts w:asciiTheme="minorHAnsi" w:eastAsiaTheme="minorEastAsia" w:hAnsiTheme="minorHAnsi" w:cstheme="minorHAnsi"/>
        <w:color w:val="808080"/>
      </w:rPr>
    </w:pPr>
    <w:r>
      <w:rPr>
        <w:rFonts w:asciiTheme="minorHAnsi" w:eastAsiaTheme="minorEastAsia" w:hAnsiTheme="minorHAnsi" w:cstheme="minorHAnsi"/>
        <w:i/>
        <w:iCs/>
        <w:color w:val="808080"/>
      </w:rPr>
      <w:t xml:space="preserve">Public Summary </w:t>
    </w:r>
    <w:proofErr w:type="gramStart"/>
    <w:r>
      <w:rPr>
        <w:rFonts w:asciiTheme="minorHAnsi" w:eastAsiaTheme="minorEastAsia" w:hAnsiTheme="minorHAnsi" w:cstheme="minorHAnsi"/>
        <w:i/>
        <w:iCs/>
        <w:color w:val="808080"/>
      </w:rPr>
      <w:t xml:space="preserve">Document </w:t>
    </w:r>
    <w:r w:rsidR="00296A80">
      <w:rPr>
        <w:rFonts w:asciiTheme="minorHAnsi" w:eastAsiaTheme="minorEastAsia" w:hAnsiTheme="minorHAnsi" w:cstheme="minorHAnsi"/>
        <w:i/>
        <w:iCs/>
        <w:color w:val="808080"/>
      </w:rPr>
      <w:t xml:space="preserve"> -</w:t>
    </w:r>
    <w:proofErr w:type="gramEnd"/>
    <w:r w:rsidR="00D83E5E">
      <w:rPr>
        <w:rFonts w:asciiTheme="minorHAnsi" w:eastAsiaTheme="minorEastAsia" w:hAnsiTheme="minorHAnsi" w:cstheme="minorHAnsi"/>
        <w:i/>
        <w:iCs/>
        <w:color w:val="808080"/>
      </w:rPr>
      <w:t xml:space="preserve"> </w:t>
    </w:r>
    <w:r w:rsidR="003165E3" w:rsidRPr="00296A80">
      <w:rPr>
        <w:rFonts w:asciiTheme="minorHAnsi" w:eastAsiaTheme="minorEastAsia" w:hAnsiTheme="minorHAnsi" w:cstheme="minorHAnsi"/>
        <w:i/>
        <w:iCs/>
        <w:color w:val="808080"/>
      </w:rPr>
      <w:t>July 2023</w:t>
    </w:r>
    <w:r w:rsidR="00C56D78" w:rsidRPr="00296A80">
      <w:rPr>
        <w:rFonts w:asciiTheme="minorHAnsi" w:eastAsiaTheme="minorEastAsia" w:hAnsiTheme="minorHAnsi" w:cstheme="minorHAnsi"/>
        <w:i/>
        <w:iCs/>
        <w:color w:val="808080"/>
      </w:rPr>
      <w:t xml:space="preserve"> PBAC Meeting</w:t>
    </w:r>
  </w:p>
  <w:p w14:paraId="49FC1F8C" w14:textId="341565D1" w:rsidR="00C56D78" w:rsidRDefault="00C56D78" w:rsidP="00A128E6">
    <w:pPr>
      <w:pStyle w:val="NoSpaci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EE52495A"/>
    <w:lvl w:ilvl="0">
      <w:start w:val="1"/>
      <w:numFmt w:val="decimal"/>
      <w:pStyle w:val="3-BodyText"/>
      <w:lvlText w:val="%1."/>
      <w:lvlJc w:val="left"/>
      <w:pPr>
        <w:tabs>
          <w:tab w:val="num" w:pos="360"/>
        </w:tabs>
        <w:ind w:left="360" w:hanging="360"/>
      </w:pPr>
    </w:lvl>
  </w:abstractNum>
  <w:abstractNum w:abstractNumId="1" w15:restartNumberingAfterBreak="0">
    <w:nsid w:val="FFFFFF89"/>
    <w:multiLevelType w:val="hybridMultilevel"/>
    <w:tmpl w:val="98E4CF80"/>
    <w:lvl w:ilvl="0" w:tplc="DBD660D0">
      <w:start w:val="1"/>
      <w:numFmt w:val="bullet"/>
      <w:pStyle w:val="ListBullet"/>
      <w:lvlText w:val=""/>
      <w:lvlJc w:val="left"/>
      <w:pPr>
        <w:tabs>
          <w:tab w:val="num" w:pos="360"/>
        </w:tabs>
        <w:ind w:left="360" w:hanging="360"/>
      </w:pPr>
      <w:rPr>
        <w:rFonts w:ascii="Symbol" w:hAnsi="Symbol" w:hint="default"/>
      </w:rPr>
    </w:lvl>
    <w:lvl w:ilvl="1" w:tplc="73E220B8">
      <w:numFmt w:val="decimal"/>
      <w:lvlText w:val=""/>
      <w:lvlJc w:val="left"/>
    </w:lvl>
    <w:lvl w:ilvl="2" w:tplc="83E2E2DA">
      <w:numFmt w:val="decimal"/>
      <w:lvlText w:val=""/>
      <w:lvlJc w:val="left"/>
    </w:lvl>
    <w:lvl w:ilvl="3" w:tplc="8B723C16">
      <w:numFmt w:val="decimal"/>
      <w:lvlText w:val=""/>
      <w:lvlJc w:val="left"/>
    </w:lvl>
    <w:lvl w:ilvl="4" w:tplc="AB960680">
      <w:numFmt w:val="decimal"/>
      <w:lvlText w:val=""/>
      <w:lvlJc w:val="left"/>
    </w:lvl>
    <w:lvl w:ilvl="5" w:tplc="E098C210">
      <w:numFmt w:val="decimal"/>
      <w:lvlText w:val=""/>
      <w:lvlJc w:val="left"/>
    </w:lvl>
    <w:lvl w:ilvl="6" w:tplc="6B18DA12">
      <w:numFmt w:val="decimal"/>
      <w:lvlText w:val=""/>
      <w:lvlJc w:val="left"/>
    </w:lvl>
    <w:lvl w:ilvl="7" w:tplc="A7D4E182">
      <w:numFmt w:val="decimal"/>
      <w:lvlText w:val=""/>
      <w:lvlJc w:val="left"/>
    </w:lvl>
    <w:lvl w:ilvl="8" w:tplc="E84689B2">
      <w:numFmt w:val="decimal"/>
      <w:lvlText w:val=""/>
      <w:lvlJc w:val="left"/>
    </w:lvl>
  </w:abstractNum>
  <w:abstractNum w:abstractNumId="2" w15:restartNumberingAfterBreak="0">
    <w:nsid w:val="01986395"/>
    <w:multiLevelType w:val="hybridMultilevel"/>
    <w:tmpl w:val="0DBAEC3C"/>
    <w:lvl w:ilvl="0" w:tplc="0C09000F">
      <w:start w:val="1"/>
      <w:numFmt w:val="decimal"/>
      <w:lvlText w:val="%1."/>
      <w:lvlJc w:val="left"/>
      <w:pPr>
        <w:ind w:left="1080" w:hanging="360"/>
      </w:pPr>
      <w:rPr>
        <w:rFonts w:hint="default"/>
      </w:rPr>
    </w:lvl>
    <w:lvl w:ilvl="1" w:tplc="442A8F9A">
      <w:start w:val="1"/>
      <w:numFmt w:val="lowerLetter"/>
      <w:lvlText w:val="%2."/>
      <w:lvlJc w:val="left"/>
      <w:pPr>
        <w:ind w:left="1800" w:hanging="360"/>
      </w:pPr>
    </w:lvl>
    <w:lvl w:ilvl="2" w:tplc="AE6252A8">
      <w:start w:val="1"/>
      <w:numFmt w:val="lowerRoman"/>
      <w:lvlText w:val="%3."/>
      <w:lvlJc w:val="right"/>
      <w:pPr>
        <w:ind w:left="2520" w:hanging="180"/>
      </w:pPr>
    </w:lvl>
    <w:lvl w:ilvl="3" w:tplc="827A251E">
      <w:start w:val="1"/>
      <w:numFmt w:val="decimal"/>
      <w:lvlText w:val="%4."/>
      <w:lvlJc w:val="left"/>
      <w:pPr>
        <w:ind w:left="3240" w:hanging="360"/>
      </w:pPr>
    </w:lvl>
    <w:lvl w:ilvl="4" w:tplc="6AA6B8AE">
      <w:start w:val="1"/>
      <w:numFmt w:val="lowerLetter"/>
      <w:lvlText w:val="%5."/>
      <w:lvlJc w:val="left"/>
      <w:pPr>
        <w:ind w:left="3960" w:hanging="360"/>
      </w:pPr>
    </w:lvl>
    <w:lvl w:ilvl="5" w:tplc="5FE8C990">
      <w:start w:val="1"/>
      <w:numFmt w:val="lowerRoman"/>
      <w:lvlText w:val="%6."/>
      <w:lvlJc w:val="right"/>
      <w:pPr>
        <w:ind w:left="4680" w:hanging="180"/>
      </w:pPr>
    </w:lvl>
    <w:lvl w:ilvl="6" w:tplc="2D5CA0F4">
      <w:start w:val="1"/>
      <w:numFmt w:val="decimal"/>
      <w:lvlText w:val="%7."/>
      <w:lvlJc w:val="left"/>
      <w:pPr>
        <w:ind w:left="5400" w:hanging="360"/>
      </w:pPr>
    </w:lvl>
    <w:lvl w:ilvl="7" w:tplc="17D46400">
      <w:start w:val="1"/>
      <w:numFmt w:val="lowerLetter"/>
      <w:lvlText w:val="%8."/>
      <w:lvlJc w:val="left"/>
      <w:pPr>
        <w:ind w:left="6120" w:hanging="360"/>
      </w:pPr>
    </w:lvl>
    <w:lvl w:ilvl="8" w:tplc="F3580F02">
      <w:start w:val="1"/>
      <w:numFmt w:val="lowerRoman"/>
      <w:lvlText w:val="%9."/>
      <w:lvlJc w:val="right"/>
      <w:pPr>
        <w:ind w:left="6840" w:hanging="180"/>
      </w:pPr>
    </w:lvl>
  </w:abstractNum>
  <w:abstractNum w:abstractNumId="3" w15:restartNumberingAfterBreak="0">
    <w:nsid w:val="0A477D83"/>
    <w:multiLevelType w:val="hybridMultilevel"/>
    <w:tmpl w:val="A08E0FF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0CFD74B5"/>
    <w:multiLevelType w:val="multilevel"/>
    <w:tmpl w:val="3A262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8E073B"/>
    <w:multiLevelType w:val="hybridMultilevel"/>
    <w:tmpl w:val="33F213F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171536BC"/>
    <w:multiLevelType w:val="hybridMultilevel"/>
    <w:tmpl w:val="2072207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DA15CE"/>
    <w:multiLevelType w:val="hybridMultilevel"/>
    <w:tmpl w:val="815AC3C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1D62792F"/>
    <w:multiLevelType w:val="hybridMultilevel"/>
    <w:tmpl w:val="43185BF6"/>
    <w:lvl w:ilvl="0" w:tplc="D8CCAE7C">
      <w:numFmt w:val="bullet"/>
      <w:lvlText w:val="-"/>
      <w:lvlJc w:val="left"/>
      <w:pPr>
        <w:ind w:left="720" w:hanging="360"/>
      </w:pPr>
      <w:rPr>
        <w:rFonts w:ascii="Calibri" w:eastAsiaTheme="minorHAnsi" w:hAnsi="Calibri" w:cs="Calibri" w:hint="default"/>
        <w:b w:val="0"/>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E826466"/>
    <w:multiLevelType w:val="hybridMultilevel"/>
    <w:tmpl w:val="BB7E423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36244933"/>
    <w:multiLevelType w:val="hybridMultilevel"/>
    <w:tmpl w:val="5290B840"/>
    <w:lvl w:ilvl="0" w:tplc="3F1ECEA6">
      <w:start w:val="1"/>
      <w:numFmt w:val="upperLetter"/>
      <w:lvlText w:val="%1."/>
      <w:lvlJc w:val="left"/>
      <w:pPr>
        <w:ind w:left="720" w:hanging="360"/>
      </w:pPr>
    </w:lvl>
    <w:lvl w:ilvl="1" w:tplc="442A8F9A">
      <w:start w:val="1"/>
      <w:numFmt w:val="lowerLetter"/>
      <w:lvlText w:val="%2."/>
      <w:lvlJc w:val="left"/>
      <w:pPr>
        <w:ind w:left="1440" w:hanging="360"/>
      </w:pPr>
    </w:lvl>
    <w:lvl w:ilvl="2" w:tplc="AE6252A8">
      <w:start w:val="1"/>
      <w:numFmt w:val="lowerRoman"/>
      <w:lvlText w:val="%3."/>
      <w:lvlJc w:val="right"/>
      <w:pPr>
        <w:ind w:left="2160" w:hanging="180"/>
      </w:pPr>
    </w:lvl>
    <w:lvl w:ilvl="3" w:tplc="827A251E">
      <w:start w:val="1"/>
      <w:numFmt w:val="decimal"/>
      <w:lvlText w:val="%4."/>
      <w:lvlJc w:val="left"/>
      <w:pPr>
        <w:ind w:left="2880" w:hanging="360"/>
      </w:pPr>
    </w:lvl>
    <w:lvl w:ilvl="4" w:tplc="6AA6B8AE">
      <w:start w:val="1"/>
      <w:numFmt w:val="lowerLetter"/>
      <w:lvlText w:val="%5."/>
      <w:lvlJc w:val="left"/>
      <w:pPr>
        <w:ind w:left="3600" w:hanging="360"/>
      </w:pPr>
    </w:lvl>
    <w:lvl w:ilvl="5" w:tplc="5FE8C990">
      <w:start w:val="1"/>
      <w:numFmt w:val="lowerRoman"/>
      <w:lvlText w:val="%6."/>
      <w:lvlJc w:val="right"/>
      <w:pPr>
        <w:ind w:left="4320" w:hanging="180"/>
      </w:pPr>
    </w:lvl>
    <w:lvl w:ilvl="6" w:tplc="2D5CA0F4">
      <w:start w:val="1"/>
      <w:numFmt w:val="decimal"/>
      <w:lvlText w:val="%7."/>
      <w:lvlJc w:val="left"/>
      <w:pPr>
        <w:ind w:left="5040" w:hanging="360"/>
      </w:pPr>
    </w:lvl>
    <w:lvl w:ilvl="7" w:tplc="17D46400">
      <w:start w:val="1"/>
      <w:numFmt w:val="lowerLetter"/>
      <w:lvlText w:val="%8."/>
      <w:lvlJc w:val="left"/>
      <w:pPr>
        <w:ind w:left="5760" w:hanging="360"/>
      </w:pPr>
    </w:lvl>
    <w:lvl w:ilvl="8" w:tplc="F3580F02">
      <w:start w:val="1"/>
      <w:numFmt w:val="lowerRoman"/>
      <w:lvlText w:val="%9."/>
      <w:lvlJc w:val="right"/>
      <w:pPr>
        <w:ind w:left="6480" w:hanging="180"/>
      </w:pPr>
    </w:lvl>
  </w:abstractNum>
  <w:abstractNum w:abstractNumId="11" w15:restartNumberingAfterBreak="0">
    <w:nsid w:val="39720272"/>
    <w:multiLevelType w:val="hybridMultilevel"/>
    <w:tmpl w:val="00BC73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D7E5D3C"/>
    <w:multiLevelType w:val="hybridMultilevel"/>
    <w:tmpl w:val="ECF2A182"/>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3E9B0E61"/>
    <w:multiLevelType w:val="hybridMultilevel"/>
    <w:tmpl w:val="58CAAE7C"/>
    <w:lvl w:ilvl="0" w:tplc="023293D0">
      <w:start w:val="1"/>
      <w:numFmt w:val="decimal"/>
      <w:pStyle w:val="ProcedureStep"/>
      <w:lvlText w:val="%1)"/>
      <w:lvlJc w:val="left"/>
      <w:pPr>
        <w:tabs>
          <w:tab w:val="num" w:pos="1134"/>
        </w:tabs>
        <w:ind w:left="1134" w:hanging="567"/>
      </w:pPr>
      <w:rPr>
        <w:rFonts w:hint="default"/>
      </w:rPr>
    </w:lvl>
    <w:lvl w:ilvl="1" w:tplc="FEF0FA2E">
      <w:numFmt w:val="decimal"/>
      <w:lvlText w:val=""/>
      <w:lvlJc w:val="left"/>
    </w:lvl>
    <w:lvl w:ilvl="2" w:tplc="4D60BAB6">
      <w:numFmt w:val="decimal"/>
      <w:lvlText w:val=""/>
      <w:lvlJc w:val="left"/>
    </w:lvl>
    <w:lvl w:ilvl="3" w:tplc="79345ED4">
      <w:numFmt w:val="decimal"/>
      <w:lvlText w:val=""/>
      <w:lvlJc w:val="left"/>
    </w:lvl>
    <w:lvl w:ilvl="4" w:tplc="4F1E9D76">
      <w:numFmt w:val="decimal"/>
      <w:lvlText w:val=""/>
      <w:lvlJc w:val="left"/>
    </w:lvl>
    <w:lvl w:ilvl="5" w:tplc="1DE660BE">
      <w:numFmt w:val="decimal"/>
      <w:lvlText w:val=""/>
      <w:lvlJc w:val="left"/>
    </w:lvl>
    <w:lvl w:ilvl="6" w:tplc="F39AEA7A">
      <w:numFmt w:val="decimal"/>
      <w:lvlText w:val=""/>
      <w:lvlJc w:val="left"/>
    </w:lvl>
    <w:lvl w:ilvl="7" w:tplc="C952D1F8">
      <w:numFmt w:val="decimal"/>
      <w:lvlText w:val=""/>
      <w:lvlJc w:val="left"/>
    </w:lvl>
    <w:lvl w:ilvl="8" w:tplc="C93A6AF8">
      <w:numFmt w:val="decimal"/>
      <w:lvlText w:val=""/>
      <w:lvlJc w:val="left"/>
    </w:lvl>
  </w:abstractNum>
  <w:abstractNum w:abstractNumId="14" w15:restartNumberingAfterBreak="0">
    <w:nsid w:val="486A4A63"/>
    <w:multiLevelType w:val="hybridMultilevel"/>
    <w:tmpl w:val="D458AE20"/>
    <w:lvl w:ilvl="0" w:tplc="0C090001">
      <w:start w:val="1"/>
      <w:numFmt w:val="bullet"/>
      <w:lvlText w:val=""/>
      <w:lvlJc w:val="left"/>
      <w:pPr>
        <w:ind w:left="720" w:hanging="360"/>
      </w:pPr>
      <w:rPr>
        <w:rFonts w:ascii="Symbol" w:hAnsi="Symbol" w:hint="default"/>
      </w:rPr>
    </w:lvl>
    <w:lvl w:ilvl="1" w:tplc="442A8F9A">
      <w:start w:val="1"/>
      <w:numFmt w:val="lowerLetter"/>
      <w:lvlText w:val="%2."/>
      <w:lvlJc w:val="left"/>
      <w:pPr>
        <w:ind w:left="1440" w:hanging="360"/>
      </w:pPr>
    </w:lvl>
    <w:lvl w:ilvl="2" w:tplc="AE6252A8">
      <w:start w:val="1"/>
      <w:numFmt w:val="lowerRoman"/>
      <w:lvlText w:val="%3."/>
      <w:lvlJc w:val="right"/>
      <w:pPr>
        <w:ind w:left="2160" w:hanging="180"/>
      </w:pPr>
    </w:lvl>
    <w:lvl w:ilvl="3" w:tplc="827A251E">
      <w:start w:val="1"/>
      <w:numFmt w:val="decimal"/>
      <w:lvlText w:val="%4."/>
      <w:lvlJc w:val="left"/>
      <w:pPr>
        <w:ind w:left="2880" w:hanging="360"/>
      </w:pPr>
    </w:lvl>
    <w:lvl w:ilvl="4" w:tplc="6AA6B8AE">
      <w:start w:val="1"/>
      <w:numFmt w:val="lowerLetter"/>
      <w:lvlText w:val="%5."/>
      <w:lvlJc w:val="left"/>
      <w:pPr>
        <w:ind w:left="3600" w:hanging="360"/>
      </w:pPr>
    </w:lvl>
    <w:lvl w:ilvl="5" w:tplc="5FE8C990">
      <w:start w:val="1"/>
      <w:numFmt w:val="lowerRoman"/>
      <w:lvlText w:val="%6."/>
      <w:lvlJc w:val="right"/>
      <w:pPr>
        <w:ind w:left="4320" w:hanging="180"/>
      </w:pPr>
    </w:lvl>
    <w:lvl w:ilvl="6" w:tplc="2D5CA0F4">
      <w:start w:val="1"/>
      <w:numFmt w:val="decimal"/>
      <w:lvlText w:val="%7."/>
      <w:lvlJc w:val="left"/>
      <w:pPr>
        <w:ind w:left="5040" w:hanging="360"/>
      </w:pPr>
    </w:lvl>
    <w:lvl w:ilvl="7" w:tplc="17D46400">
      <w:start w:val="1"/>
      <w:numFmt w:val="lowerLetter"/>
      <w:lvlText w:val="%8."/>
      <w:lvlJc w:val="left"/>
      <w:pPr>
        <w:ind w:left="5760" w:hanging="360"/>
      </w:pPr>
    </w:lvl>
    <w:lvl w:ilvl="8" w:tplc="F3580F02">
      <w:start w:val="1"/>
      <w:numFmt w:val="lowerRoman"/>
      <w:lvlText w:val="%9."/>
      <w:lvlJc w:val="right"/>
      <w:pPr>
        <w:ind w:left="6480" w:hanging="180"/>
      </w:pPr>
    </w:lvl>
  </w:abstractNum>
  <w:abstractNum w:abstractNumId="15" w15:restartNumberingAfterBreak="0">
    <w:nsid w:val="4CE710A4"/>
    <w:multiLevelType w:val="hybridMultilevel"/>
    <w:tmpl w:val="44560798"/>
    <w:lvl w:ilvl="0" w:tplc="4A96AD60">
      <w:start w:val="1"/>
      <w:numFmt w:val="lowerLetter"/>
      <w:lvlText w:val="%1."/>
      <w:lvlJc w:val="left"/>
      <w:pPr>
        <w:ind w:left="1080" w:hanging="720"/>
      </w:pPr>
      <w:rPr>
        <w:rFonts w:hint="default"/>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6EC5B9E"/>
    <w:multiLevelType w:val="hybridMultilevel"/>
    <w:tmpl w:val="CCDEEF74"/>
    <w:lvl w:ilvl="0" w:tplc="855CB150">
      <w:start w:val="291"/>
      <w:numFmt w:val="bullet"/>
      <w:lvlText w:val="-"/>
      <w:lvlJc w:val="left"/>
      <w:pPr>
        <w:ind w:left="1080" w:hanging="360"/>
      </w:pPr>
      <w:rPr>
        <w:rFonts w:ascii="Calibri" w:eastAsia="Times New Roman"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5D1C328C"/>
    <w:multiLevelType w:val="hybridMultilevel"/>
    <w:tmpl w:val="C0A88020"/>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start w:val="1"/>
      <w:numFmt w:val="lowerLetter"/>
      <w:pStyle w:val="Lists"/>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9" w15:restartNumberingAfterBreak="0">
    <w:nsid w:val="617B0461"/>
    <w:multiLevelType w:val="hybridMultilevel"/>
    <w:tmpl w:val="74DA67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68EA1610"/>
    <w:multiLevelType w:val="hybridMultilevel"/>
    <w:tmpl w:val="3F20135E"/>
    <w:lvl w:ilvl="0" w:tplc="7CA06DB8">
      <w:start w:val="1"/>
      <w:numFmt w:val="lowerLetter"/>
      <w:lvlText w:val="(%1)"/>
      <w:lvlJc w:val="left"/>
      <w:pPr>
        <w:ind w:left="1080" w:hanging="360"/>
      </w:pPr>
      <w:rPr>
        <w:rFonts w:asciiTheme="minorHAnsi" w:eastAsia="Times New Roman" w:hAnsiTheme="minorHAnsi" w:cstheme="minorHAnsi" w:hint="default"/>
      </w:rPr>
    </w:lvl>
    <w:lvl w:ilvl="1" w:tplc="0C09001B">
      <w:start w:val="1"/>
      <w:numFmt w:val="lowerRoman"/>
      <w:lvlText w:val="%2."/>
      <w:lvlJc w:val="right"/>
      <w:pPr>
        <w:ind w:left="1800" w:hanging="360"/>
      </w:pPr>
    </w:lvl>
    <w:lvl w:ilvl="2" w:tplc="E67A9596">
      <w:start w:val="1"/>
      <w:numFmt w:val="decimal"/>
      <w:lvlText w:val="%3."/>
      <w:lvlJc w:val="left"/>
      <w:pPr>
        <w:ind w:left="2700" w:hanging="360"/>
      </w:pPr>
      <w:rPr>
        <w:rFonts w:hint="default"/>
      </w:r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1" w15:restartNumberingAfterBreak="0">
    <w:nsid w:val="6945511A"/>
    <w:multiLevelType w:val="hybridMultilevel"/>
    <w:tmpl w:val="4E94D3C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2" w15:restartNumberingAfterBreak="0">
    <w:nsid w:val="6FEC02A8"/>
    <w:multiLevelType w:val="hybridMultilevel"/>
    <w:tmpl w:val="1EF642A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3" w15:restartNumberingAfterBreak="0">
    <w:nsid w:val="71BD3BEF"/>
    <w:multiLevelType w:val="hybridMultilevel"/>
    <w:tmpl w:val="7C0690C2"/>
    <w:lvl w:ilvl="0" w:tplc="0C090017">
      <w:start w:val="1"/>
      <w:numFmt w:val="lowerLetter"/>
      <w:lvlText w:val="%1)"/>
      <w:lvlJc w:val="left"/>
      <w:pPr>
        <w:ind w:left="1440" w:hanging="360"/>
      </w:pPr>
      <w:rPr>
        <w:rFonts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24" w15:restartNumberingAfterBreak="0">
    <w:nsid w:val="784D033C"/>
    <w:multiLevelType w:val="multilevel"/>
    <w:tmpl w:val="86226AEE"/>
    <w:lvl w:ilvl="0">
      <w:start w:val="1"/>
      <w:numFmt w:val="decimal"/>
      <w:pStyle w:val="2-SectionHeading"/>
      <w:lvlText w:val="%1"/>
      <w:lvlJc w:val="left"/>
      <w:pPr>
        <w:ind w:left="720" w:hanging="720"/>
      </w:pPr>
      <w:rPr>
        <w:b/>
        <w:color w:val="auto"/>
        <w:sz w:val="32"/>
        <w:szCs w:val="32"/>
      </w:rPr>
    </w:lvl>
    <w:lvl w:ilvl="1">
      <w:start w:val="1"/>
      <w:numFmt w:val="decimal"/>
      <w:pStyle w:val="3Bodytext"/>
      <w:lvlText w:val="%1.%2"/>
      <w:lvlJc w:val="left"/>
      <w:pPr>
        <w:ind w:left="720" w:hanging="720"/>
      </w:pPr>
      <w:rPr>
        <w:b w:val="0"/>
        <w:i w:val="0"/>
        <w:color w:val="auto"/>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5" w15:restartNumberingAfterBreak="0">
    <w:nsid w:val="79865800"/>
    <w:multiLevelType w:val="hybridMultilevel"/>
    <w:tmpl w:val="9CFCE8D0"/>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6" w15:restartNumberingAfterBreak="0">
    <w:nsid w:val="7BBB7FF1"/>
    <w:multiLevelType w:val="hybridMultilevel"/>
    <w:tmpl w:val="13B4458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7" w15:restartNumberingAfterBreak="0">
    <w:nsid w:val="7E537B19"/>
    <w:multiLevelType w:val="hybridMultilevel"/>
    <w:tmpl w:val="71460710"/>
    <w:lvl w:ilvl="0" w:tplc="4B2ADFF8">
      <w:start w:val="1"/>
      <w:numFmt w:val="upperLetter"/>
      <w:lvlText w:val="%1."/>
      <w:lvlJc w:val="left"/>
      <w:pPr>
        <w:ind w:left="360" w:hanging="360"/>
      </w:pPr>
      <w:rPr>
        <w:rFonts w:eastAsiaTheme="minorHAnsi" w:hint="default"/>
        <w:i w:val="0"/>
        <w:iCs w:val="0"/>
      </w:rPr>
    </w:lvl>
    <w:lvl w:ilvl="1" w:tplc="0C090001">
      <w:start w:val="1"/>
      <w:numFmt w:val="bullet"/>
      <w:lvlText w:val=""/>
      <w:lvlJc w:val="left"/>
      <w:pPr>
        <w:ind w:left="1080" w:hanging="360"/>
      </w:pPr>
      <w:rPr>
        <w:rFonts w:ascii="Symbol" w:hAnsi="Symbol"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559514927">
    <w:abstractNumId w:val="10"/>
  </w:num>
  <w:num w:numId="2" w16cid:durableId="5132614">
    <w:abstractNumId w:val="24"/>
  </w:num>
  <w:num w:numId="3" w16cid:durableId="1708523971">
    <w:abstractNumId w:val="0"/>
  </w:num>
  <w:num w:numId="4" w16cid:durableId="126820598">
    <w:abstractNumId w:val="18"/>
  </w:num>
  <w:num w:numId="5" w16cid:durableId="1752266387">
    <w:abstractNumId w:val="26"/>
  </w:num>
  <w:num w:numId="6" w16cid:durableId="631980924">
    <w:abstractNumId w:val="22"/>
  </w:num>
  <w:num w:numId="7" w16cid:durableId="1763915935">
    <w:abstractNumId w:val="15"/>
  </w:num>
  <w:num w:numId="8" w16cid:durableId="1731417282">
    <w:abstractNumId w:val="13"/>
  </w:num>
  <w:num w:numId="9" w16cid:durableId="1714773610">
    <w:abstractNumId w:val="1"/>
  </w:num>
  <w:num w:numId="10" w16cid:durableId="344674754">
    <w:abstractNumId w:val="24"/>
  </w:num>
  <w:num w:numId="11" w16cid:durableId="2114008568">
    <w:abstractNumId w:val="21"/>
  </w:num>
  <w:num w:numId="12" w16cid:durableId="422074966">
    <w:abstractNumId w:val="23"/>
  </w:num>
  <w:num w:numId="13" w16cid:durableId="238563695">
    <w:abstractNumId w:val="9"/>
  </w:num>
  <w:num w:numId="14" w16cid:durableId="651105053">
    <w:abstractNumId w:val="8"/>
  </w:num>
  <w:num w:numId="15" w16cid:durableId="1800806459">
    <w:abstractNumId w:val="19"/>
  </w:num>
  <w:num w:numId="16" w16cid:durableId="803693953">
    <w:abstractNumId w:val="2"/>
  </w:num>
  <w:num w:numId="17" w16cid:durableId="129251476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23637293">
    <w:abstractNumId w:val="25"/>
  </w:num>
  <w:num w:numId="19" w16cid:durableId="1531797797">
    <w:abstractNumId w:val="17"/>
  </w:num>
  <w:num w:numId="20" w16cid:durableId="187181630">
    <w:abstractNumId w:val="6"/>
  </w:num>
  <w:num w:numId="21" w16cid:durableId="893008581">
    <w:abstractNumId w:val="5"/>
  </w:num>
  <w:num w:numId="22" w16cid:durableId="2108041994">
    <w:abstractNumId w:val="14"/>
  </w:num>
  <w:num w:numId="23" w16cid:durableId="1376351463">
    <w:abstractNumId w:val="7"/>
  </w:num>
  <w:num w:numId="24" w16cid:durableId="1201553133">
    <w:abstractNumId w:val="4"/>
  </w:num>
  <w:num w:numId="25" w16cid:durableId="1482385594">
    <w:abstractNumId w:val="11"/>
  </w:num>
  <w:num w:numId="26" w16cid:durableId="1184586778">
    <w:abstractNumId w:val="16"/>
  </w:num>
  <w:num w:numId="27" w16cid:durableId="1188761451">
    <w:abstractNumId w:val="12"/>
  </w:num>
  <w:num w:numId="28" w16cid:durableId="1894852315">
    <w:abstractNumId w:val="27"/>
  </w:num>
  <w:num w:numId="29" w16cid:durableId="268852881">
    <w:abstractNumId w:val="24"/>
  </w:num>
  <w:num w:numId="30" w16cid:durableId="627784600">
    <w:abstractNumId w:val="24"/>
  </w:num>
  <w:num w:numId="31" w16cid:durableId="1127551619">
    <w:abstractNumId w:val="24"/>
  </w:num>
  <w:num w:numId="32" w16cid:durableId="640619929">
    <w:abstractNumId w:val="24"/>
  </w:num>
  <w:num w:numId="33" w16cid:durableId="881477548">
    <w:abstractNumId w:val="24"/>
  </w:num>
  <w:num w:numId="34" w16cid:durableId="1599873332">
    <w:abstractNumId w:val="24"/>
  </w:num>
  <w:num w:numId="35" w16cid:durableId="312411073">
    <w:abstractNumId w:val="0"/>
  </w:num>
  <w:num w:numId="36" w16cid:durableId="1268125293">
    <w:abstractNumId w:val="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798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2BB"/>
    <w:rsid w:val="0000080A"/>
    <w:rsid w:val="0000096D"/>
    <w:rsid w:val="00001663"/>
    <w:rsid w:val="00002296"/>
    <w:rsid w:val="000025AD"/>
    <w:rsid w:val="0000335D"/>
    <w:rsid w:val="00003EC5"/>
    <w:rsid w:val="00006782"/>
    <w:rsid w:val="0001179A"/>
    <w:rsid w:val="00011A59"/>
    <w:rsid w:val="00014D69"/>
    <w:rsid w:val="00016A41"/>
    <w:rsid w:val="000214D1"/>
    <w:rsid w:val="00021F20"/>
    <w:rsid w:val="0002464A"/>
    <w:rsid w:val="00025A04"/>
    <w:rsid w:val="0002693D"/>
    <w:rsid w:val="0003050E"/>
    <w:rsid w:val="0003106B"/>
    <w:rsid w:val="000335B9"/>
    <w:rsid w:val="00034905"/>
    <w:rsid w:val="0003494A"/>
    <w:rsid w:val="00037906"/>
    <w:rsid w:val="00040A30"/>
    <w:rsid w:val="000421A1"/>
    <w:rsid w:val="0004240E"/>
    <w:rsid w:val="000425A2"/>
    <w:rsid w:val="00044E52"/>
    <w:rsid w:val="00044EC4"/>
    <w:rsid w:val="00045E26"/>
    <w:rsid w:val="00046903"/>
    <w:rsid w:val="000514B5"/>
    <w:rsid w:val="000521ED"/>
    <w:rsid w:val="0005322E"/>
    <w:rsid w:val="00054E2B"/>
    <w:rsid w:val="00060AE9"/>
    <w:rsid w:val="00060E64"/>
    <w:rsid w:val="00060E6B"/>
    <w:rsid w:val="000621AB"/>
    <w:rsid w:val="00062C03"/>
    <w:rsid w:val="00062E88"/>
    <w:rsid w:val="00066193"/>
    <w:rsid w:val="00066755"/>
    <w:rsid w:val="00071A5B"/>
    <w:rsid w:val="00072730"/>
    <w:rsid w:val="0007337F"/>
    <w:rsid w:val="00074320"/>
    <w:rsid w:val="000763D5"/>
    <w:rsid w:val="00076C38"/>
    <w:rsid w:val="00077143"/>
    <w:rsid w:val="00077DF7"/>
    <w:rsid w:val="0008050C"/>
    <w:rsid w:val="00082169"/>
    <w:rsid w:val="000834BE"/>
    <w:rsid w:val="00083F01"/>
    <w:rsid w:val="00087C4C"/>
    <w:rsid w:val="000918CB"/>
    <w:rsid w:val="00091B06"/>
    <w:rsid w:val="000951C4"/>
    <w:rsid w:val="00095ADA"/>
    <w:rsid w:val="00095F3A"/>
    <w:rsid w:val="000969AD"/>
    <w:rsid w:val="000975FB"/>
    <w:rsid w:val="000A02F8"/>
    <w:rsid w:val="000A1367"/>
    <w:rsid w:val="000A3AA2"/>
    <w:rsid w:val="000A42EF"/>
    <w:rsid w:val="000A44B2"/>
    <w:rsid w:val="000A52F6"/>
    <w:rsid w:val="000A54AC"/>
    <w:rsid w:val="000A58B8"/>
    <w:rsid w:val="000B44C3"/>
    <w:rsid w:val="000B558D"/>
    <w:rsid w:val="000B5A89"/>
    <w:rsid w:val="000B65F6"/>
    <w:rsid w:val="000B7767"/>
    <w:rsid w:val="000C1AFF"/>
    <w:rsid w:val="000C5740"/>
    <w:rsid w:val="000C5F95"/>
    <w:rsid w:val="000C6996"/>
    <w:rsid w:val="000C7C46"/>
    <w:rsid w:val="000D09E9"/>
    <w:rsid w:val="000D113F"/>
    <w:rsid w:val="000D23BA"/>
    <w:rsid w:val="000D6D69"/>
    <w:rsid w:val="000E19B7"/>
    <w:rsid w:val="000E20FC"/>
    <w:rsid w:val="000E3C1D"/>
    <w:rsid w:val="000E3DFB"/>
    <w:rsid w:val="000E5EA1"/>
    <w:rsid w:val="000E681E"/>
    <w:rsid w:val="000E696B"/>
    <w:rsid w:val="000E7E52"/>
    <w:rsid w:val="000E7E90"/>
    <w:rsid w:val="000EE1C7"/>
    <w:rsid w:val="000F0003"/>
    <w:rsid w:val="000F3384"/>
    <w:rsid w:val="000F4E6A"/>
    <w:rsid w:val="000F4EBE"/>
    <w:rsid w:val="000F6ABB"/>
    <w:rsid w:val="000F7354"/>
    <w:rsid w:val="000F7C27"/>
    <w:rsid w:val="00101ABE"/>
    <w:rsid w:val="00102202"/>
    <w:rsid w:val="00102700"/>
    <w:rsid w:val="00102A78"/>
    <w:rsid w:val="00103118"/>
    <w:rsid w:val="00103F1B"/>
    <w:rsid w:val="00104227"/>
    <w:rsid w:val="001053D5"/>
    <w:rsid w:val="00107409"/>
    <w:rsid w:val="001107BF"/>
    <w:rsid w:val="00112FE3"/>
    <w:rsid w:val="00113649"/>
    <w:rsid w:val="00113D5C"/>
    <w:rsid w:val="00116B03"/>
    <w:rsid w:val="00120AA6"/>
    <w:rsid w:val="001239DB"/>
    <w:rsid w:val="0012417C"/>
    <w:rsid w:val="00124BF2"/>
    <w:rsid w:val="00125837"/>
    <w:rsid w:val="0012597F"/>
    <w:rsid w:val="00126B19"/>
    <w:rsid w:val="00126D3A"/>
    <w:rsid w:val="0012749D"/>
    <w:rsid w:val="00127A23"/>
    <w:rsid w:val="001306A5"/>
    <w:rsid w:val="00130918"/>
    <w:rsid w:val="001311AE"/>
    <w:rsid w:val="00134994"/>
    <w:rsid w:val="001366C2"/>
    <w:rsid w:val="00136C17"/>
    <w:rsid w:val="00140B74"/>
    <w:rsid w:val="00140D94"/>
    <w:rsid w:val="00142395"/>
    <w:rsid w:val="0014250D"/>
    <w:rsid w:val="00142714"/>
    <w:rsid w:val="00144D09"/>
    <w:rsid w:val="00144E06"/>
    <w:rsid w:val="001452ED"/>
    <w:rsid w:val="00147D84"/>
    <w:rsid w:val="00151CBD"/>
    <w:rsid w:val="001533C3"/>
    <w:rsid w:val="001549C1"/>
    <w:rsid w:val="00156C8D"/>
    <w:rsid w:val="00160F4D"/>
    <w:rsid w:val="00162BDD"/>
    <w:rsid w:val="00162D4E"/>
    <w:rsid w:val="00163329"/>
    <w:rsid w:val="00164623"/>
    <w:rsid w:val="001652DE"/>
    <w:rsid w:val="001653EC"/>
    <w:rsid w:val="00165B64"/>
    <w:rsid w:val="00167C39"/>
    <w:rsid w:val="00176B9D"/>
    <w:rsid w:val="00180713"/>
    <w:rsid w:val="00180720"/>
    <w:rsid w:val="00182387"/>
    <w:rsid w:val="001830CE"/>
    <w:rsid w:val="001836E3"/>
    <w:rsid w:val="00184659"/>
    <w:rsid w:val="001860E5"/>
    <w:rsid w:val="0018643B"/>
    <w:rsid w:val="00196307"/>
    <w:rsid w:val="00197C70"/>
    <w:rsid w:val="00197F03"/>
    <w:rsid w:val="001A0D10"/>
    <w:rsid w:val="001A33EA"/>
    <w:rsid w:val="001A3615"/>
    <w:rsid w:val="001A4413"/>
    <w:rsid w:val="001A4C4F"/>
    <w:rsid w:val="001A5A2B"/>
    <w:rsid w:val="001A76FB"/>
    <w:rsid w:val="001B017F"/>
    <w:rsid w:val="001B0B79"/>
    <w:rsid w:val="001B19EA"/>
    <w:rsid w:val="001B2BBC"/>
    <w:rsid w:val="001B2BCD"/>
    <w:rsid w:val="001B3A40"/>
    <w:rsid w:val="001B3FFE"/>
    <w:rsid w:val="001B5129"/>
    <w:rsid w:val="001B670E"/>
    <w:rsid w:val="001C0B4C"/>
    <w:rsid w:val="001C0EC4"/>
    <w:rsid w:val="001C1195"/>
    <w:rsid w:val="001C12AE"/>
    <w:rsid w:val="001C1E84"/>
    <w:rsid w:val="001C20E1"/>
    <w:rsid w:val="001C2A0F"/>
    <w:rsid w:val="001C2E42"/>
    <w:rsid w:val="001D1F5F"/>
    <w:rsid w:val="001E06D2"/>
    <w:rsid w:val="001E17C4"/>
    <w:rsid w:val="001E2D65"/>
    <w:rsid w:val="001F005B"/>
    <w:rsid w:val="001F1850"/>
    <w:rsid w:val="001F1FBF"/>
    <w:rsid w:val="001F2311"/>
    <w:rsid w:val="001F2B80"/>
    <w:rsid w:val="001F2F1C"/>
    <w:rsid w:val="001F3189"/>
    <w:rsid w:val="00200BEA"/>
    <w:rsid w:val="00201FB8"/>
    <w:rsid w:val="00203FAC"/>
    <w:rsid w:val="002133FB"/>
    <w:rsid w:val="00213CFB"/>
    <w:rsid w:val="002151D6"/>
    <w:rsid w:val="0021553C"/>
    <w:rsid w:val="0021557B"/>
    <w:rsid w:val="00216B87"/>
    <w:rsid w:val="002174FD"/>
    <w:rsid w:val="00217BE1"/>
    <w:rsid w:val="00221361"/>
    <w:rsid w:val="002214B9"/>
    <w:rsid w:val="00222680"/>
    <w:rsid w:val="00223370"/>
    <w:rsid w:val="00223969"/>
    <w:rsid w:val="00224D1E"/>
    <w:rsid w:val="00226611"/>
    <w:rsid w:val="00227BC5"/>
    <w:rsid w:val="00230F63"/>
    <w:rsid w:val="00234252"/>
    <w:rsid w:val="0023466E"/>
    <w:rsid w:val="00237AC6"/>
    <w:rsid w:val="00242B64"/>
    <w:rsid w:val="00242BFD"/>
    <w:rsid w:val="00244139"/>
    <w:rsid w:val="00244490"/>
    <w:rsid w:val="00244BEC"/>
    <w:rsid w:val="00245B9C"/>
    <w:rsid w:val="00252587"/>
    <w:rsid w:val="00253499"/>
    <w:rsid w:val="00253DFA"/>
    <w:rsid w:val="002551A4"/>
    <w:rsid w:val="002557EE"/>
    <w:rsid w:val="00257664"/>
    <w:rsid w:val="00260165"/>
    <w:rsid w:val="00265151"/>
    <w:rsid w:val="00265C2C"/>
    <w:rsid w:val="00266509"/>
    <w:rsid w:val="00271BA1"/>
    <w:rsid w:val="00272BEA"/>
    <w:rsid w:val="00273AC5"/>
    <w:rsid w:val="002762FA"/>
    <w:rsid w:val="00276BE3"/>
    <w:rsid w:val="00277505"/>
    <w:rsid w:val="00277873"/>
    <w:rsid w:val="00280EC3"/>
    <w:rsid w:val="0028158C"/>
    <w:rsid w:val="002823B6"/>
    <w:rsid w:val="002908AA"/>
    <w:rsid w:val="00290C03"/>
    <w:rsid w:val="00292392"/>
    <w:rsid w:val="00292E3B"/>
    <w:rsid w:val="002933A8"/>
    <w:rsid w:val="00294274"/>
    <w:rsid w:val="0029458F"/>
    <w:rsid w:val="002964A7"/>
    <w:rsid w:val="00296A80"/>
    <w:rsid w:val="00297A63"/>
    <w:rsid w:val="002A018F"/>
    <w:rsid w:val="002A0E04"/>
    <w:rsid w:val="002A104C"/>
    <w:rsid w:val="002A1EF7"/>
    <w:rsid w:val="002A2B7B"/>
    <w:rsid w:val="002A494D"/>
    <w:rsid w:val="002A4960"/>
    <w:rsid w:val="002A636A"/>
    <w:rsid w:val="002A755F"/>
    <w:rsid w:val="002B0AE0"/>
    <w:rsid w:val="002B1AE6"/>
    <w:rsid w:val="002B1D51"/>
    <w:rsid w:val="002B2DE8"/>
    <w:rsid w:val="002B30F8"/>
    <w:rsid w:val="002B388A"/>
    <w:rsid w:val="002B3BFE"/>
    <w:rsid w:val="002B3C1A"/>
    <w:rsid w:val="002B4C2A"/>
    <w:rsid w:val="002B5596"/>
    <w:rsid w:val="002B77D7"/>
    <w:rsid w:val="002C0763"/>
    <w:rsid w:val="002C212F"/>
    <w:rsid w:val="002C2F35"/>
    <w:rsid w:val="002C6AA9"/>
    <w:rsid w:val="002C7485"/>
    <w:rsid w:val="002D2641"/>
    <w:rsid w:val="002D283A"/>
    <w:rsid w:val="002D4543"/>
    <w:rsid w:val="002D715F"/>
    <w:rsid w:val="002E022A"/>
    <w:rsid w:val="002E3153"/>
    <w:rsid w:val="002E4A02"/>
    <w:rsid w:val="002E5292"/>
    <w:rsid w:val="002E72CA"/>
    <w:rsid w:val="002E75DD"/>
    <w:rsid w:val="002F1D07"/>
    <w:rsid w:val="002F5C5B"/>
    <w:rsid w:val="002F600D"/>
    <w:rsid w:val="002F6F0F"/>
    <w:rsid w:val="002F706D"/>
    <w:rsid w:val="002F7E47"/>
    <w:rsid w:val="00300AD6"/>
    <w:rsid w:val="00300B1B"/>
    <w:rsid w:val="003019D0"/>
    <w:rsid w:val="003019DE"/>
    <w:rsid w:val="0030311E"/>
    <w:rsid w:val="00305B99"/>
    <w:rsid w:val="003064AF"/>
    <w:rsid w:val="00307DC6"/>
    <w:rsid w:val="00310A8B"/>
    <w:rsid w:val="00310B68"/>
    <w:rsid w:val="003160D2"/>
    <w:rsid w:val="00316595"/>
    <w:rsid w:val="003165E3"/>
    <w:rsid w:val="003173FC"/>
    <w:rsid w:val="00317C6C"/>
    <w:rsid w:val="00320B80"/>
    <w:rsid w:val="00320CD3"/>
    <w:rsid w:val="003215FF"/>
    <w:rsid w:val="00322667"/>
    <w:rsid w:val="00325431"/>
    <w:rsid w:val="0032607C"/>
    <w:rsid w:val="00326E79"/>
    <w:rsid w:val="0032748A"/>
    <w:rsid w:val="003301B1"/>
    <w:rsid w:val="00331189"/>
    <w:rsid w:val="0033263D"/>
    <w:rsid w:val="00334E69"/>
    <w:rsid w:val="0033518A"/>
    <w:rsid w:val="00335535"/>
    <w:rsid w:val="003367EF"/>
    <w:rsid w:val="00341AE4"/>
    <w:rsid w:val="003425CA"/>
    <w:rsid w:val="00342FC2"/>
    <w:rsid w:val="00343FB7"/>
    <w:rsid w:val="003476EE"/>
    <w:rsid w:val="003541DD"/>
    <w:rsid w:val="00356E5B"/>
    <w:rsid w:val="00360887"/>
    <w:rsid w:val="0036249F"/>
    <w:rsid w:val="00371246"/>
    <w:rsid w:val="003736C9"/>
    <w:rsid w:val="00383B77"/>
    <w:rsid w:val="00384988"/>
    <w:rsid w:val="003865C6"/>
    <w:rsid w:val="003872CF"/>
    <w:rsid w:val="003874CB"/>
    <w:rsid w:val="00396E08"/>
    <w:rsid w:val="003970DD"/>
    <w:rsid w:val="0039782C"/>
    <w:rsid w:val="003A13A6"/>
    <w:rsid w:val="003A2165"/>
    <w:rsid w:val="003A3AF3"/>
    <w:rsid w:val="003A3FD4"/>
    <w:rsid w:val="003A5B4A"/>
    <w:rsid w:val="003A5D95"/>
    <w:rsid w:val="003A6510"/>
    <w:rsid w:val="003A74E2"/>
    <w:rsid w:val="003B0D3A"/>
    <w:rsid w:val="003B2302"/>
    <w:rsid w:val="003B23C5"/>
    <w:rsid w:val="003B2A75"/>
    <w:rsid w:val="003B49B2"/>
    <w:rsid w:val="003B6124"/>
    <w:rsid w:val="003B7960"/>
    <w:rsid w:val="003C0908"/>
    <w:rsid w:val="003C093A"/>
    <w:rsid w:val="003C1ECF"/>
    <w:rsid w:val="003C2FB5"/>
    <w:rsid w:val="003D15C7"/>
    <w:rsid w:val="003D24C5"/>
    <w:rsid w:val="003D4594"/>
    <w:rsid w:val="003D4AC4"/>
    <w:rsid w:val="003D5433"/>
    <w:rsid w:val="003D63B7"/>
    <w:rsid w:val="003D74C5"/>
    <w:rsid w:val="003E4374"/>
    <w:rsid w:val="003E468B"/>
    <w:rsid w:val="003E62BD"/>
    <w:rsid w:val="003E658D"/>
    <w:rsid w:val="003F044F"/>
    <w:rsid w:val="003F0C3A"/>
    <w:rsid w:val="003F15F0"/>
    <w:rsid w:val="003F2AD9"/>
    <w:rsid w:val="003F3228"/>
    <w:rsid w:val="003F3615"/>
    <w:rsid w:val="003F5C8C"/>
    <w:rsid w:val="003F63CE"/>
    <w:rsid w:val="003F775A"/>
    <w:rsid w:val="00400E55"/>
    <w:rsid w:val="0040128E"/>
    <w:rsid w:val="00401640"/>
    <w:rsid w:val="0040216B"/>
    <w:rsid w:val="00404852"/>
    <w:rsid w:val="0040590E"/>
    <w:rsid w:val="00407CC8"/>
    <w:rsid w:val="00414F0C"/>
    <w:rsid w:val="00420400"/>
    <w:rsid w:val="00423E78"/>
    <w:rsid w:val="004252EC"/>
    <w:rsid w:val="00430D39"/>
    <w:rsid w:val="00440DE5"/>
    <w:rsid w:val="00442C91"/>
    <w:rsid w:val="00444E9D"/>
    <w:rsid w:val="004465BD"/>
    <w:rsid w:val="00446938"/>
    <w:rsid w:val="004528FA"/>
    <w:rsid w:val="00452A6C"/>
    <w:rsid w:val="00461A44"/>
    <w:rsid w:val="004624EA"/>
    <w:rsid w:val="00462D26"/>
    <w:rsid w:val="0046368B"/>
    <w:rsid w:val="0046385A"/>
    <w:rsid w:val="00464039"/>
    <w:rsid w:val="004668CE"/>
    <w:rsid w:val="00466ADA"/>
    <w:rsid w:val="004702BB"/>
    <w:rsid w:val="0047494B"/>
    <w:rsid w:val="00476245"/>
    <w:rsid w:val="00477A9B"/>
    <w:rsid w:val="00482AE4"/>
    <w:rsid w:val="00483035"/>
    <w:rsid w:val="00485940"/>
    <w:rsid w:val="00486C95"/>
    <w:rsid w:val="004877C2"/>
    <w:rsid w:val="004904B9"/>
    <w:rsid w:val="00491EDC"/>
    <w:rsid w:val="004928E1"/>
    <w:rsid w:val="00492D8D"/>
    <w:rsid w:val="00496662"/>
    <w:rsid w:val="004A1431"/>
    <w:rsid w:val="004A2484"/>
    <w:rsid w:val="004A5A85"/>
    <w:rsid w:val="004A6025"/>
    <w:rsid w:val="004A71D1"/>
    <w:rsid w:val="004A7C5B"/>
    <w:rsid w:val="004B1845"/>
    <w:rsid w:val="004B2348"/>
    <w:rsid w:val="004B2E01"/>
    <w:rsid w:val="004B2E98"/>
    <w:rsid w:val="004B5640"/>
    <w:rsid w:val="004B6084"/>
    <w:rsid w:val="004BCF29"/>
    <w:rsid w:val="004C0206"/>
    <w:rsid w:val="004C03D0"/>
    <w:rsid w:val="004C1BD7"/>
    <w:rsid w:val="004C1BF2"/>
    <w:rsid w:val="004C239C"/>
    <w:rsid w:val="004C31FE"/>
    <w:rsid w:val="004C524C"/>
    <w:rsid w:val="004C5EDD"/>
    <w:rsid w:val="004C5FFA"/>
    <w:rsid w:val="004C691D"/>
    <w:rsid w:val="004C6C07"/>
    <w:rsid w:val="004C7E15"/>
    <w:rsid w:val="004C7EC6"/>
    <w:rsid w:val="004D2CD1"/>
    <w:rsid w:val="004D365C"/>
    <w:rsid w:val="004D4FF6"/>
    <w:rsid w:val="004D5ADD"/>
    <w:rsid w:val="004D6C78"/>
    <w:rsid w:val="004E0CC3"/>
    <w:rsid w:val="004E692D"/>
    <w:rsid w:val="004E7230"/>
    <w:rsid w:val="004E7D87"/>
    <w:rsid w:val="004F2553"/>
    <w:rsid w:val="004F306A"/>
    <w:rsid w:val="00501554"/>
    <w:rsid w:val="00502AFE"/>
    <w:rsid w:val="00502E64"/>
    <w:rsid w:val="00503AD7"/>
    <w:rsid w:val="00503E89"/>
    <w:rsid w:val="00504E0C"/>
    <w:rsid w:val="00504E13"/>
    <w:rsid w:val="005109D4"/>
    <w:rsid w:val="0051230A"/>
    <w:rsid w:val="00514CD7"/>
    <w:rsid w:val="005167EC"/>
    <w:rsid w:val="005170DA"/>
    <w:rsid w:val="00520D6A"/>
    <w:rsid w:val="00522DB6"/>
    <w:rsid w:val="005264A7"/>
    <w:rsid w:val="0052792D"/>
    <w:rsid w:val="005319B2"/>
    <w:rsid w:val="00532402"/>
    <w:rsid w:val="00532C74"/>
    <w:rsid w:val="00533239"/>
    <w:rsid w:val="00534E2E"/>
    <w:rsid w:val="00535133"/>
    <w:rsid w:val="00535C97"/>
    <w:rsid w:val="0054064C"/>
    <w:rsid w:val="005443FC"/>
    <w:rsid w:val="00544552"/>
    <w:rsid w:val="00545130"/>
    <w:rsid w:val="00546B36"/>
    <w:rsid w:val="00552642"/>
    <w:rsid w:val="0055286A"/>
    <w:rsid w:val="00555745"/>
    <w:rsid w:val="00557D4F"/>
    <w:rsid w:val="0056122E"/>
    <w:rsid w:val="0056484E"/>
    <w:rsid w:val="00565999"/>
    <w:rsid w:val="00567D8A"/>
    <w:rsid w:val="00570231"/>
    <w:rsid w:val="005714B7"/>
    <w:rsid w:val="005764CD"/>
    <w:rsid w:val="00577C4D"/>
    <w:rsid w:val="00580532"/>
    <w:rsid w:val="00581932"/>
    <w:rsid w:val="00582281"/>
    <w:rsid w:val="00583002"/>
    <w:rsid w:val="005903BB"/>
    <w:rsid w:val="00593893"/>
    <w:rsid w:val="005963BB"/>
    <w:rsid w:val="0059645C"/>
    <w:rsid w:val="00596D37"/>
    <w:rsid w:val="005A0713"/>
    <w:rsid w:val="005A15D2"/>
    <w:rsid w:val="005A3173"/>
    <w:rsid w:val="005A3223"/>
    <w:rsid w:val="005A3DA3"/>
    <w:rsid w:val="005A52C4"/>
    <w:rsid w:val="005A63A1"/>
    <w:rsid w:val="005B0486"/>
    <w:rsid w:val="005B1032"/>
    <w:rsid w:val="005B1473"/>
    <w:rsid w:val="005B36FA"/>
    <w:rsid w:val="005C4F73"/>
    <w:rsid w:val="005D03AB"/>
    <w:rsid w:val="005D401D"/>
    <w:rsid w:val="005D5017"/>
    <w:rsid w:val="005D5708"/>
    <w:rsid w:val="005D63FA"/>
    <w:rsid w:val="005D643D"/>
    <w:rsid w:val="005D73C7"/>
    <w:rsid w:val="005E0C2D"/>
    <w:rsid w:val="005E0D82"/>
    <w:rsid w:val="005E0F59"/>
    <w:rsid w:val="005E1333"/>
    <w:rsid w:val="005E3136"/>
    <w:rsid w:val="005E507D"/>
    <w:rsid w:val="005F0AD0"/>
    <w:rsid w:val="00601A91"/>
    <w:rsid w:val="00602BA3"/>
    <w:rsid w:val="00605B63"/>
    <w:rsid w:val="00605F9A"/>
    <w:rsid w:val="00606442"/>
    <w:rsid w:val="00606EED"/>
    <w:rsid w:val="00607DDB"/>
    <w:rsid w:val="00612A95"/>
    <w:rsid w:val="00612E34"/>
    <w:rsid w:val="00614159"/>
    <w:rsid w:val="006158A3"/>
    <w:rsid w:val="00616C5F"/>
    <w:rsid w:val="00616DAC"/>
    <w:rsid w:val="00617680"/>
    <w:rsid w:val="00617725"/>
    <w:rsid w:val="00617C00"/>
    <w:rsid w:val="006263BF"/>
    <w:rsid w:val="0062748A"/>
    <w:rsid w:val="00630546"/>
    <w:rsid w:val="00630A2C"/>
    <w:rsid w:val="006339FD"/>
    <w:rsid w:val="00634A75"/>
    <w:rsid w:val="0063573D"/>
    <w:rsid w:val="0063682E"/>
    <w:rsid w:val="00640088"/>
    <w:rsid w:val="00642672"/>
    <w:rsid w:val="00642DA8"/>
    <w:rsid w:val="006436CD"/>
    <w:rsid w:val="00650976"/>
    <w:rsid w:val="00651169"/>
    <w:rsid w:val="00653D69"/>
    <w:rsid w:val="006552E6"/>
    <w:rsid w:val="00655794"/>
    <w:rsid w:val="00656F2F"/>
    <w:rsid w:val="00657C63"/>
    <w:rsid w:val="00661CBC"/>
    <w:rsid w:val="00662B85"/>
    <w:rsid w:val="0066413E"/>
    <w:rsid w:val="006670B3"/>
    <w:rsid w:val="006670BE"/>
    <w:rsid w:val="00670A76"/>
    <w:rsid w:val="006711AA"/>
    <w:rsid w:val="00672B57"/>
    <w:rsid w:val="00673F1F"/>
    <w:rsid w:val="00674DC9"/>
    <w:rsid w:val="00675622"/>
    <w:rsid w:val="00675DEB"/>
    <w:rsid w:val="0067747D"/>
    <w:rsid w:val="006818D5"/>
    <w:rsid w:val="00681CA4"/>
    <w:rsid w:val="00686559"/>
    <w:rsid w:val="0069039D"/>
    <w:rsid w:val="006906DB"/>
    <w:rsid w:val="00691900"/>
    <w:rsid w:val="00691E6C"/>
    <w:rsid w:val="006929F9"/>
    <w:rsid w:val="00693425"/>
    <w:rsid w:val="0069342D"/>
    <w:rsid w:val="00693DFB"/>
    <w:rsid w:val="00694FD5"/>
    <w:rsid w:val="0069501D"/>
    <w:rsid w:val="00696129"/>
    <w:rsid w:val="00697CF2"/>
    <w:rsid w:val="006A12A5"/>
    <w:rsid w:val="006A2515"/>
    <w:rsid w:val="006A572D"/>
    <w:rsid w:val="006A5E20"/>
    <w:rsid w:val="006B0D94"/>
    <w:rsid w:val="006B16B6"/>
    <w:rsid w:val="006B485D"/>
    <w:rsid w:val="006B7DDA"/>
    <w:rsid w:val="006C0C45"/>
    <w:rsid w:val="006C2806"/>
    <w:rsid w:val="006C334C"/>
    <w:rsid w:val="006C6C10"/>
    <w:rsid w:val="006C708E"/>
    <w:rsid w:val="006D14E7"/>
    <w:rsid w:val="006D4444"/>
    <w:rsid w:val="006D6493"/>
    <w:rsid w:val="006D6EC7"/>
    <w:rsid w:val="006D7B05"/>
    <w:rsid w:val="006D7E45"/>
    <w:rsid w:val="006E1143"/>
    <w:rsid w:val="006E1BCD"/>
    <w:rsid w:val="006E2732"/>
    <w:rsid w:val="006E59CD"/>
    <w:rsid w:val="006F00ED"/>
    <w:rsid w:val="006F026F"/>
    <w:rsid w:val="006F0A71"/>
    <w:rsid w:val="006F1C6B"/>
    <w:rsid w:val="006F40C2"/>
    <w:rsid w:val="006F5125"/>
    <w:rsid w:val="006F733D"/>
    <w:rsid w:val="00700765"/>
    <w:rsid w:val="00702959"/>
    <w:rsid w:val="00702B6F"/>
    <w:rsid w:val="007030B4"/>
    <w:rsid w:val="00703B86"/>
    <w:rsid w:val="00704069"/>
    <w:rsid w:val="00706A2F"/>
    <w:rsid w:val="0070718E"/>
    <w:rsid w:val="00707E52"/>
    <w:rsid w:val="00710259"/>
    <w:rsid w:val="0071031F"/>
    <w:rsid w:val="00710737"/>
    <w:rsid w:val="0071340B"/>
    <w:rsid w:val="00713C50"/>
    <w:rsid w:val="0071436D"/>
    <w:rsid w:val="00715BBB"/>
    <w:rsid w:val="007174BB"/>
    <w:rsid w:val="0072025D"/>
    <w:rsid w:val="0072299D"/>
    <w:rsid w:val="00723328"/>
    <w:rsid w:val="007237DE"/>
    <w:rsid w:val="0072502E"/>
    <w:rsid w:val="0073137C"/>
    <w:rsid w:val="007340B9"/>
    <w:rsid w:val="007353D3"/>
    <w:rsid w:val="0074156B"/>
    <w:rsid w:val="00741619"/>
    <w:rsid w:val="00742885"/>
    <w:rsid w:val="007467DF"/>
    <w:rsid w:val="00747092"/>
    <w:rsid w:val="007477FF"/>
    <w:rsid w:val="007526E6"/>
    <w:rsid w:val="00754A84"/>
    <w:rsid w:val="00754DF9"/>
    <w:rsid w:val="007555E8"/>
    <w:rsid w:val="00755CC5"/>
    <w:rsid w:val="00762862"/>
    <w:rsid w:val="0076420C"/>
    <w:rsid w:val="00771D07"/>
    <w:rsid w:val="00772649"/>
    <w:rsid w:val="00773BE3"/>
    <w:rsid w:val="007743DD"/>
    <w:rsid w:val="00774E2C"/>
    <w:rsid w:val="0077503C"/>
    <w:rsid w:val="0077518D"/>
    <w:rsid w:val="007753C2"/>
    <w:rsid w:val="00776068"/>
    <w:rsid w:val="00777AFE"/>
    <w:rsid w:val="007829A5"/>
    <w:rsid w:val="007838B8"/>
    <w:rsid w:val="00785779"/>
    <w:rsid w:val="00787FD8"/>
    <w:rsid w:val="007915BA"/>
    <w:rsid w:val="00791844"/>
    <w:rsid w:val="00793CE9"/>
    <w:rsid w:val="00796667"/>
    <w:rsid w:val="00797068"/>
    <w:rsid w:val="007979BD"/>
    <w:rsid w:val="007A3D8E"/>
    <w:rsid w:val="007A5C88"/>
    <w:rsid w:val="007A6A2F"/>
    <w:rsid w:val="007B024E"/>
    <w:rsid w:val="007B2AEE"/>
    <w:rsid w:val="007B3BAF"/>
    <w:rsid w:val="007B3DDC"/>
    <w:rsid w:val="007B72A6"/>
    <w:rsid w:val="007C06D2"/>
    <w:rsid w:val="007C08E0"/>
    <w:rsid w:val="007C0F57"/>
    <w:rsid w:val="007C2F4B"/>
    <w:rsid w:val="007C40B6"/>
    <w:rsid w:val="007C5975"/>
    <w:rsid w:val="007C729F"/>
    <w:rsid w:val="007C72AD"/>
    <w:rsid w:val="007D503D"/>
    <w:rsid w:val="007D59E7"/>
    <w:rsid w:val="007D5F2A"/>
    <w:rsid w:val="007E07AC"/>
    <w:rsid w:val="007E1014"/>
    <w:rsid w:val="007E12F8"/>
    <w:rsid w:val="007E1D28"/>
    <w:rsid w:val="007E4564"/>
    <w:rsid w:val="007E490F"/>
    <w:rsid w:val="007E4E73"/>
    <w:rsid w:val="007E59AC"/>
    <w:rsid w:val="007E6533"/>
    <w:rsid w:val="007F0021"/>
    <w:rsid w:val="007F0EBF"/>
    <w:rsid w:val="007F2641"/>
    <w:rsid w:val="007F4988"/>
    <w:rsid w:val="007F7C36"/>
    <w:rsid w:val="007F7F45"/>
    <w:rsid w:val="0080001F"/>
    <w:rsid w:val="00801958"/>
    <w:rsid w:val="008055AF"/>
    <w:rsid w:val="008057CD"/>
    <w:rsid w:val="00805C4B"/>
    <w:rsid w:val="008066B8"/>
    <w:rsid w:val="00806796"/>
    <w:rsid w:val="00810167"/>
    <w:rsid w:val="008104D0"/>
    <w:rsid w:val="00810AF3"/>
    <w:rsid w:val="00811CC0"/>
    <w:rsid w:val="00814276"/>
    <w:rsid w:val="00814C4D"/>
    <w:rsid w:val="008151D6"/>
    <w:rsid w:val="00815397"/>
    <w:rsid w:val="00820803"/>
    <w:rsid w:val="00821527"/>
    <w:rsid w:val="008225CE"/>
    <w:rsid w:val="00822696"/>
    <w:rsid w:val="00825A6C"/>
    <w:rsid w:val="0082617E"/>
    <w:rsid w:val="008268BB"/>
    <w:rsid w:val="00826F6D"/>
    <w:rsid w:val="008306F3"/>
    <w:rsid w:val="00830E40"/>
    <w:rsid w:val="00832D9A"/>
    <w:rsid w:val="00835C62"/>
    <w:rsid w:val="008368A1"/>
    <w:rsid w:val="00840EF7"/>
    <w:rsid w:val="00844867"/>
    <w:rsid w:val="00844C0A"/>
    <w:rsid w:val="00846056"/>
    <w:rsid w:val="0084681F"/>
    <w:rsid w:val="00847D08"/>
    <w:rsid w:val="00847EC0"/>
    <w:rsid w:val="00854506"/>
    <w:rsid w:val="00855FD6"/>
    <w:rsid w:val="00856DDD"/>
    <w:rsid w:val="00860233"/>
    <w:rsid w:val="00863E68"/>
    <w:rsid w:val="008647B5"/>
    <w:rsid w:val="00867D64"/>
    <w:rsid w:val="00872E8F"/>
    <w:rsid w:val="00875DCB"/>
    <w:rsid w:val="00876FBF"/>
    <w:rsid w:val="0087755A"/>
    <w:rsid w:val="00882085"/>
    <w:rsid w:val="00883188"/>
    <w:rsid w:val="00884A0C"/>
    <w:rsid w:val="00886ACA"/>
    <w:rsid w:val="00886B01"/>
    <w:rsid w:val="00887649"/>
    <w:rsid w:val="0089031E"/>
    <w:rsid w:val="0089109A"/>
    <w:rsid w:val="008934F5"/>
    <w:rsid w:val="00893D5C"/>
    <w:rsid w:val="0089460B"/>
    <w:rsid w:val="00897D58"/>
    <w:rsid w:val="00897F22"/>
    <w:rsid w:val="008A0B39"/>
    <w:rsid w:val="008A17A3"/>
    <w:rsid w:val="008A1956"/>
    <w:rsid w:val="008A1E85"/>
    <w:rsid w:val="008A2419"/>
    <w:rsid w:val="008A4937"/>
    <w:rsid w:val="008A50F1"/>
    <w:rsid w:val="008A59D9"/>
    <w:rsid w:val="008A643E"/>
    <w:rsid w:val="008A6819"/>
    <w:rsid w:val="008B007A"/>
    <w:rsid w:val="008B2EC0"/>
    <w:rsid w:val="008B6DCF"/>
    <w:rsid w:val="008C4D49"/>
    <w:rsid w:val="008D0945"/>
    <w:rsid w:val="008D1409"/>
    <w:rsid w:val="008D15CC"/>
    <w:rsid w:val="008D1729"/>
    <w:rsid w:val="008D1B5C"/>
    <w:rsid w:val="008D3C82"/>
    <w:rsid w:val="008D447E"/>
    <w:rsid w:val="008D6ACF"/>
    <w:rsid w:val="008D7A41"/>
    <w:rsid w:val="008E2C72"/>
    <w:rsid w:val="008E3680"/>
    <w:rsid w:val="008E4F87"/>
    <w:rsid w:val="008E5795"/>
    <w:rsid w:val="008E5870"/>
    <w:rsid w:val="008E77E4"/>
    <w:rsid w:val="008F0213"/>
    <w:rsid w:val="008F07ED"/>
    <w:rsid w:val="008F11F8"/>
    <w:rsid w:val="008F1434"/>
    <w:rsid w:val="008F2BB9"/>
    <w:rsid w:val="008F3D6A"/>
    <w:rsid w:val="008F54C3"/>
    <w:rsid w:val="008F5966"/>
    <w:rsid w:val="008F7355"/>
    <w:rsid w:val="009023DC"/>
    <w:rsid w:val="009027C5"/>
    <w:rsid w:val="00903BAD"/>
    <w:rsid w:val="00904413"/>
    <w:rsid w:val="009067B7"/>
    <w:rsid w:val="00906E7A"/>
    <w:rsid w:val="00906E7F"/>
    <w:rsid w:val="009074C8"/>
    <w:rsid w:val="0090775A"/>
    <w:rsid w:val="00907DFD"/>
    <w:rsid w:val="00913C99"/>
    <w:rsid w:val="00917D69"/>
    <w:rsid w:val="00920B6D"/>
    <w:rsid w:val="00926560"/>
    <w:rsid w:val="00926B15"/>
    <w:rsid w:val="00930291"/>
    <w:rsid w:val="00930937"/>
    <w:rsid w:val="009324A6"/>
    <w:rsid w:val="00933B7D"/>
    <w:rsid w:val="00933E6C"/>
    <w:rsid w:val="00935A6E"/>
    <w:rsid w:val="00937958"/>
    <w:rsid w:val="009406E5"/>
    <w:rsid w:val="00941602"/>
    <w:rsid w:val="00942160"/>
    <w:rsid w:val="00946921"/>
    <w:rsid w:val="00947343"/>
    <w:rsid w:val="0095146F"/>
    <w:rsid w:val="00951F2D"/>
    <w:rsid w:val="0095260D"/>
    <w:rsid w:val="00952839"/>
    <w:rsid w:val="009534C7"/>
    <w:rsid w:val="00957944"/>
    <w:rsid w:val="009602C5"/>
    <w:rsid w:val="0096103A"/>
    <w:rsid w:val="00962223"/>
    <w:rsid w:val="0096252B"/>
    <w:rsid w:val="009644D9"/>
    <w:rsid w:val="00964A9F"/>
    <w:rsid w:val="009657E9"/>
    <w:rsid w:val="00966D0D"/>
    <w:rsid w:val="00967732"/>
    <w:rsid w:val="0096783C"/>
    <w:rsid w:val="00970023"/>
    <w:rsid w:val="009722B3"/>
    <w:rsid w:val="00973E24"/>
    <w:rsid w:val="00974C21"/>
    <w:rsid w:val="00974D5F"/>
    <w:rsid w:val="00975948"/>
    <w:rsid w:val="009772FD"/>
    <w:rsid w:val="00977BF3"/>
    <w:rsid w:val="009803E4"/>
    <w:rsid w:val="00980B0E"/>
    <w:rsid w:val="00982B39"/>
    <w:rsid w:val="009836A3"/>
    <w:rsid w:val="00984C58"/>
    <w:rsid w:val="009855A8"/>
    <w:rsid w:val="00985CBE"/>
    <w:rsid w:val="00985D1A"/>
    <w:rsid w:val="00990CF8"/>
    <w:rsid w:val="009913F4"/>
    <w:rsid w:val="00991782"/>
    <w:rsid w:val="009937F7"/>
    <w:rsid w:val="0099465B"/>
    <w:rsid w:val="00994DD4"/>
    <w:rsid w:val="009951A1"/>
    <w:rsid w:val="00997A44"/>
    <w:rsid w:val="009A0CDD"/>
    <w:rsid w:val="009A3168"/>
    <w:rsid w:val="009A4621"/>
    <w:rsid w:val="009A4BDF"/>
    <w:rsid w:val="009A5D04"/>
    <w:rsid w:val="009A61CA"/>
    <w:rsid w:val="009B0062"/>
    <w:rsid w:val="009B0C64"/>
    <w:rsid w:val="009B0F67"/>
    <w:rsid w:val="009B208A"/>
    <w:rsid w:val="009B2756"/>
    <w:rsid w:val="009B32FC"/>
    <w:rsid w:val="009B3D56"/>
    <w:rsid w:val="009B3F8C"/>
    <w:rsid w:val="009B533B"/>
    <w:rsid w:val="009B546B"/>
    <w:rsid w:val="009C26AA"/>
    <w:rsid w:val="009C703C"/>
    <w:rsid w:val="009D0C29"/>
    <w:rsid w:val="009D206E"/>
    <w:rsid w:val="009D3CAA"/>
    <w:rsid w:val="009D507A"/>
    <w:rsid w:val="009D6532"/>
    <w:rsid w:val="009D71FD"/>
    <w:rsid w:val="009E06F0"/>
    <w:rsid w:val="009E0755"/>
    <w:rsid w:val="009E10AD"/>
    <w:rsid w:val="009E2588"/>
    <w:rsid w:val="009E2E8E"/>
    <w:rsid w:val="009E40E1"/>
    <w:rsid w:val="009F0EFA"/>
    <w:rsid w:val="009F4E46"/>
    <w:rsid w:val="009F5B65"/>
    <w:rsid w:val="009F5F2E"/>
    <w:rsid w:val="00A01432"/>
    <w:rsid w:val="00A06225"/>
    <w:rsid w:val="00A066E6"/>
    <w:rsid w:val="00A110D1"/>
    <w:rsid w:val="00A12587"/>
    <w:rsid w:val="00A128E6"/>
    <w:rsid w:val="00A144D3"/>
    <w:rsid w:val="00A17EA7"/>
    <w:rsid w:val="00A21D7D"/>
    <w:rsid w:val="00A22AC3"/>
    <w:rsid w:val="00A2351E"/>
    <w:rsid w:val="00A23F3F"/>
    <w:rsid w:val="00A24067"/>
    <w:rsid w:val="00A24A4B"/>
    <w:rsid w:val="00A2744D"/>
    <w:rsid w:val="00A30D16"/>
    <w:rsid w:val="00A33EB7"/>
    <w:rsid w:val="00A34E6C"/>
    <w:rsid w:val="00A34FD0"/>
    <w:rsid w:val="00A36398"/>
    <w:rsid w:val="00A37C8D"/>
    <w:rsid w:val="00A4020E"/>
    <w:rsid w:val="00A40493"/>
    <w:rsid w:val="00A408E8"/>
    <w:rsid w:val="00A40FB5"/>
    <w:rsid w:val="00A42826"/>
    <w:rsid w:val="00A429B3"/>
    <w:rsid w:val="00A44EC1"/>
    <w:rsid w:val="00A510E4"/>
    <w:rsid w:val="00A51F8C"/>
    <w:rsid w:val="00A526F7"/>
    <w:rsid w:val="00A5273B"/>
    <w:rsid w:val="00A53A9D"/>
    <w:rsid w:val="00A55FEE"/>
    <w:rsid w:val="00A57422"/>
    <w:rsid w:val="00A62C1A"/>
    <w:rsid w:val="00A63CA2"/>
    <w:rsid w:val="00A6426D"/>
    <w:rsid w:val="00A665C1"/>
    <w:rsid w:val="00A66740"/>
    <w:rsid w:val="00A673A4"/>
    <w:rsid w:val="00A7001A"/>
    <w:rsid w:val="00A70622"/>
    <w:rsid w:val="00A70977"/>
    <w:rsid w:val="00A70D58"/>
    <w:rsid w:val="00A71E0D"/>
    <w:rsid w:val="00A744F9"/>
    <w:rsid w:val="00A753A1"/>
    <w:rsid w:val="00A77613"/>
    <w:rsid w:val="00A77A85"/>
    <w:rsid w:val="00A77B87"/>
    <w:rsid w:val="00A801AD"/>
    <w:rsid w:val="00A81851"/>
    <w:rsid w:val="00A8390C"/>
    <w:rsid w:val="00A8492D"/>
    <w:rsid w:val="00A86AE0"/>
    <w:rsid w:val="00A912B0"/>
    <w:rsid w:val="00A91362"/>
    <w:rsid w:val="00A9151C"/>
    <w:rsid w:val="00A919C6"/>
    <w:rsid w:val="00A928BD"/>
    <w:rsid w:val="00A92D61"/>
    <w:rsid w:val="00A97DE9"/>
    <w:rsid w:val="00AA12CD"/>
    <w:rsid w:val="00AA4D1C"/>
    <w:rsid w:val="00AA52FD"/>
    <w:rsid w:val="00AA7006"/>
    <w:rsid w:val="00AB3138"/>
    <w:rsid w:val="00AB4684"/>
    <w:rsid w:val="00AB5856"/>
    <w:rsid w:val="00AC081D"/>
    <w:rsid w:val="00AC0C6F"/>
    <w:rsid w:val="00AC1266"/>
    <w:rsid w:val="00AC193C"/>
    <w:rsid w:val="00AC1954"/>
    <w:rsid w:val="00AC30C1"/>
    <w:rsid w:val="00AC4DE5"/>
    <w:rsid w:val="00AC5206"/>
    <w:rsid w:val="00AD095B"/>
    <w:rsid w:val="00AD3106"/>
    <w:rsid w:val="00AD4322"/>
    <w:rsid w:val="00AD56D6"/>
    <w:rsid w:val="00AE11A5"/>
    <w:rsid w:val="00AE13E2"/>
    <w:rsid w:val="00AE22D3"/>
    <w:rsid w:val="00AE5A49"/>
    <w:rsid w:val="00AF03E6"/>
    <w:rsid w:val="00AF11D8"/>
    <w:rsid w:val="00AF5867"/>
    <w:rsid w:val="00AF62DF"/>
    <w:rsid w:val="00AF68CC"/>
    <w:rsid w:val="00AF70D7"/>
    <w:rsid w:val="00B00086"/>
    <w:rsid w:val="00B00CD0"/>
    <w:rsid w:val="00B00E7F"/>
    <w:rsid w:val="00B01FF4"/>
    <w:rsid w:val="00B0326D"/>
    <w:rsid w:val="00B06037"/>
    <w:rsid w:val="00B06478"/>
    <w:rsid w:val="00B07533"/>
    <w:rsid w:val="00B07CFB"/>
    <w:rsid w:val="00B1059E"/>
    <w:rsid w:val="00B14A36"/>
    <w:rsid w:val="00B16273"/>
    <w:rsid w:val="00B170A5"/>
    <w:rsid w:val="00B1725F"/>
    <w:rsid w:val="00B176C8"/>
    <w:rsid w:val="00B17EE5"/>
    <w:rsid w:val="00B205AA"/>
    <w:rsid w:val="00B2100A"/>
    <w:rsid w:val="00B21A91"/>
    <w:rsid w:val="00B22E84"/>
    <w:rsid w:val="00B233AD"/>
    <w:rsid w:val="00B23E25"/>
    <w:rsid w:val="00B25F75"/>
    <w:rsid w:val="00B26B3F"/>
    <w:rsid w:val="00B2778F"/>
    <w:rsid w:val="00B327E2"/>
    <w:rsid w:val="00B33635"/>
    <w:rsid w:val="00B37A23"/>
    <w:rsid w:val="00B37CF8"/>
    <w:rsid w:val="00B42AF4"/>
    <w:rsid w:val="00B43E90"/>
    <w:rsid w:val="00B44308"/>
    <w:rsid w:val="00B45722"/>
    <w:rsid w:val="00B460F4"/>
    <w:rsid w:val="00B467DC"/>
    <w:rsid w:val="00B47A88"/>
    <w:rsid w:val="00B52303"/>
    <w:rsid w:val="00B5392A"/>
    <w:rsid w:val="00B539EF"/>
    <w:rsid w:val="00B56118"/>
    <w:rsid w:val="00B566E1"/>
    <w:rsid w:val="00B56AFB"/>
    <w:rsid w:val="00B602F6"/>
    <w:rsid w:val="00B62EC1"/>
    <w:rsid w:val="00B64A96"/>
    <w:rsid w:val="00B6533B"/>
    <w:rsid w:val="00B6773F"/>
    <w:rsid w:val="00B70EB3"/>
    <w:rsid w:val="00B72906"/>
    <w:rsid w:val="00B74F48"/>
    <w:rsid w:val="00B7525E"/>
    <w:rsid w:val="00B75433"/>
    <w:rsid w:val="00B75F70"/>
    <w:rsid w:val="00B760FB"/>
    <w:rsid w:val="00B76765"/>
    <w:rsid w:val="00B767AB"/>
    <w:rsid w:val="00B801BA"/>
    <w:rsid w:val="00B80BC7"/>
    <w:rsid w:val="00B812D6"/>
    <w:rsid w:val="00B846E6"/>
    <w:rsid w:val="00B84D5C"/>
    <w:rsid w:val="00B85AF6"/>
    <w:rsid w:val="00B92E46"/>
    <w:rsid w:val="00B941ED"/>
    <w:rsid w:val="00B956ED"/>
    <w:rsid w:val="00BA2DA8"/>
    <w:rsid w:val="00BA347C"/>
    <w:rsid w:val="00BA4C79"/>
    <w:rsid w:val="00BB298A"/>
    <w:rsid w:val="00BB31A1"/>
    <w:rsid w:val="00BB3469"/>
    <w:rsid w:val="00BB5C49"/>
    <w:rsid w:val="00BB6240"/>
    <w:rsid w:val="00BB6285"/>
    <w:rsid w:val="00BB69F5"/>
    <w:rsid w:val="00BB6E48"/>
    <w:rsid w:val="00BB7EC3"/>
    <w:rsid w:val="00BC04B1"/>
    <w:rsid w:val="00BC470E"/>
    <w:rsid w:val="00BC4B9A"/>
    <w:rsid w:val="00BD02C3"/>
    <w:rsid w:val="00BD7483"/>
    <w:rsid w:val="00BD784C"/>
    <w:rsid w:val="00BE020A"/>
    <w:rsid w:val="00BE13DF"/>
    <w:rsid w:val="00BE1EF0"/>
    <w:rsid w:val="00BE25D7"/>
    <w:rsid w:val="00BF092C"/>
    <w:rsid w:val="00BF27A0"/>
    <w:rsid w:val="00BF289C"/>
    <w:rsid w:val="00BF4CB6"/>
    <w:rsid w:val="00BF51E1"/>
    <w:rsid w:val="00BF5D23"/>
    <w:rsid w:val="00BF6CBD"/>
    <w:rsid w:val="00C00DA7"/>
    <w:rsid w:val="00C012AE"/>
    <w:rsid w:val="00C034FB"/>
    <w:rsid w:val="00C04CDE"/>
    <w:rsid w:val="00C059D5"/>
    <w:rsid w:val="00C068A6"/>
    <w:rsid w:val="00C121F1"/>
    <w:rsid w:val="00C12768"/>
    <w:rsid w:val="00C12D70"/>
    <w:rsid w:val="00C16724"/>
    <w:rsid w:val="00C21B09"/>
    <w:rsid w:val="00C25EFF"/>
    <w:rsid w:val="00C2673A"/>
    <w:rsid w:val="00C278CD"/>
    <w:rsid w:val="00C27B58"/>
    <w:rsid w:val="00C27C1C"/>
    <w:rsid w:val="00C3166C"/>
    <w:rsid w:val="00C33186"/>
    <w:rsid w:val="00C35996"/>
    <w:rsid w:val="00C42BCD"/>
    <w:rsid w:val="00C4485F"/>
    <w:rsid w:val="00C46C13"/>
    <w:rsid w:val="00C4747E"/>
    <w:rsid w:val="00C5151E"/>
    <w:rsid w:val="00C52256"/>
    <w:rsid w:val="00C5342C"/>
    <w:rsid w:val="00C53B2B"/>
    <w:rsid w:val="00C56D78"/>
    <w:rsid w:val="00C57465"/>
    <w:rsid w:val="00C60272"/>
    <w:rsid w:val="00C603D4"/>
    <w:rsid w:val="00C6256A"/>
    <w:rsid w:val="00C63FDA"/>
    <w:rsid w:val="00C64EBC"/>
    <w:rsid w:val="00C664D2"/>
    <w:rsid w:val="00C677E1"/>
    <w:rsid w:val="00C70E6E"/>
    <w:rsid w:val="00C710E2"/>
    <w:rsid w:val="00C71C3F"/>
    <w:rsid w:val="00C7409E"/>
    <w:rsid w:val="00C74D6D"/>
    <w:rsid w:val="00C752FE"/>
    <w:rsid w:val="00C76E76"/>
    <w:rsid w:val="00C77891"/>
    <w:rsid w:val="00C77B74"/>
    <w:rsid w:val="00C82062"/>
    <w:rsid w:val="00C829A9"/>
    <w:rsid w:val="00C87B80"/>
    <w:rsid w:val="00C90330"/>
    <w:rsid w:val="00C91449"/>
    <w:rsid w:val="00C92D10"/>
    <w:rsid w:val="00C92F79"/>
    <w:rsid w:val="00C95200"/>
    <w:rsid w:val="00C96EC0"/>
    <w:rsid w:val="00CA06F9"/>
    <w:rsid w:val="00CA14BB"/>
    <w:rsid w:val="00CA16A7"/>
    <w:rsid w:val="00CA230C"/>
    <w:rsid w:val="00CA48D9"/>
    <w:rsid w:val="00CA596F"/>
    <w:rsid w:val="00CB1193"/>
    <w:rsid w:val="00CB1591"/>
    <w:rsid w:val="00CB4767"/>
    <w:rsid w:val="00CB493D"/>
    <w:rsid w:val="00CB75DC"/>
    <w:rsid w:val="00CC3B97"/>
    <w:rsid w:val="00CC6374"/>
    <w:rsid w:val="00CD6257"/>
    <w:rsid w:val="00CD7C0B"/>
    <w:rsid w:val="00CE10C4"/>
    <w:rsid w:val="00CE1CB3"/>
    <w:rsid w:val="00CE2343"/>
    <w:rsid w:val="00CE27B5"/>
    <w:rsid w:val="00CE2BDF"/>
    <w:rsid w:val="00CE6D24"/>
    <w:rsid w:val="00CE6DAF"/>
    <w:rsid w:val="00CF410A"/>
    <w:rsid w:val="00CF7528"/>
    <w:rsid w:val="00CF7FDE"/>
    <w:rsid w:val="00D012AF"/>
    <w:rsid w:val="00D01BA9"/>
    <w:rsid w:val="00D0321E"/>
    <w:rsid w:val="00D05457"/>
    <w:rsid w:val="00D069EB"/>
    <w:rsid w:val="00D07A8A"/>
    <w:rsid w:val="00D10E31"/>
    <w:rsid w:val="00D11199"/>
    <w:rsid w:val="00D1455A"/>
    <w:rsid w:val="00D14573"/>
    <w:rsid w:val="00D14A70"/>
    <w:rsid w:val="00D207EA"/>
    <w:rsid w:val="00D211FB"/>
    <w:rsid w:val="00D22093"/>
    <w:rsid w:val="00D31150"/>
    <w:rsid w:val="00D3138B"/>
    <w:rsid w:val="00D31FCE"/>
    <w:rsid w:val="00D3280C"/>
    <w:rsid w:val="00D3406A"/>
    <w:rsid w:val="00D34D24"/>
    <w:rsid w:val="00D40B11"/>
    <w:rsid w:val="00D42864"/>
    <w:rsid w:val="00D429EC"/>
    <w:rsid w:val="00D441F1"/>
    <w:rsid w:val="00D4572C"/>
    <w:rsid w:val="00D469B2"/>
    <w:rsid w:val="00D52B24"/>
    <w:rsid w:val="00D52EAA"/>
    <w:rsid w:val="00D52ECF"/>
    <w:rsid w:val="00D54B09"/>
    <w:rsid w:val="00D6243E"/>
    <w:rsid w:val="00D65658"/>
    <w:rsid w:val="00D67EB2"/>
    <w:rsid w:val="00D70349"/>
    <w:rsid w:val="00D72B6F"/>
    <w:rsid w:val="00D741EB"/>
    <w:rsid w:val="00D74CEA"/>
    <w:rsid w:val="00D7679C"/>
    <w:rsid w:val="00D817A9"/>
    <w:rsid w:val="00D820F3"/>
    <w:rsid w:val="00D83605"/>
    <w:rsid w:val="00D83E5E"/>
    <w:rsid w:val="00D84934"/>
    <w:rsid w:val="00D866EB"/>
    <w:rsid w:val="00D87D1A"/>
    <w:rsid w:val="00D906DA"/>
    <w:rsid w:val="00D91271"/>
    <w:rsid w:val="00D919F5"/>
    <w:rsid w:val="00D945F6"/>
    <w:rsid w:val="00D94F03"/>
    <w:rsid w:val="00D95161"/>
    <w:rsid w:val="00D95C23"/>
    <w:rsid w:val="00D970F9"/>
    <w:rsid w:val="00DA0A82"/>
    <w:rsid w:val="00DA0D14"/>
    <w:rsid w:val="00DA1FC9"/>
    <w:rsid w:val="00DA2CB5"/>
    <w:rsid w:val="00DA358F"/>
    <w:rsid w:val="00DA383E"/>
    <w:rsid w:val="00DA4BAC"/>
    <w:rsid w:val="00DA686A"/>
    <w:rsid w:val="00DA722E"/>
    <w:rsid w:val="00DA792A"/>
    <w:rsid w:val="00DA7D66"/>
    <w:rsid w:val="00DB0151"/>
    <w:rsid w:val="00DB0160"/>
    <w:rsid w:val="00DB04D7"/>
    <w:rsid w:val="00DB50E1"/>
    <w:rsid w:val="00DC0566"/>
    <w:rsid w:val="00DC05E1"/>
    <w:rsid w:val="00DC1499"/>
    <w:rsid w:val="00DC16CF"/>
    <w:rsid w:val="00DC2C3E"/>
    <w:rsid w:val="00DC3137"/>
    <w:rsid w:val="00DC3A71"/>
    <w:rsid w:val="00DC4880"/>
    <w:rsid w:val="00DC5E90"/>
    <w:rsid w:val="00DD0BE9"/>
    <w:rsid w:val="00DD26F9"/>
    <w:rsid w:val="00DD350E"/>
    <w:rsid w:val="00DD42AB"/>
    <w:rsid w:val="00DE06AF"/>
    <w:rsid w:val="00DE6D27"/>
    <w:rsid w:val="00DE76EA"/>
    <w:rsid w:val="00DF01F8"/>
    <w:rsid w:val="00DF021D"/>
    <w:rsid w:val="00DF14EE"/>
    <w:rsid w:val="00DF2078"/>
    <w:rsid w:val="00DF217D"/>
    <w:rsid w:val="00DF26A7"/>
    <w:rsid w:val="00DF3277"/>
    <w:rsid w:val="00DF4C17"/>
    <w:rsid w:val="00DF6A31"/>
    <w:rsid w:val="00DF77A1"/>
    <w:rsid w:val="00DF7919"/>
    <w:rsid w:val="00E0207E"/>
    <w:rsid w:val="00E02AE6"/>
    <w:rsid w:val="00E03912"/>
    <w:rsid w:val="00E04748"/>
    <w:rsid w:val="00E060AF"/>
    <w:rsid w:val="00E078D9"/>
    <w:rsid w:val="00E10293"/>
    <w:rsid w:val="00E103A0"/>
    <w:rsid w:val="00E1043F"/>
    <w:rsid w:val="00E11F44"/>
    <w:rsid w:val="00E13E60"/>
    <w:rsid w:val="00E15627"/>
    <w:rsid w:val="00E164B3"/>
    <w:rsid w:val="00E16910"/>
    <w:rsid w:val="00E16C0B"/>
    <w:rsid w:val="00E21164"/>
    <w:rsid w:val="00E239E2"/>
    <w:rsid w:val="00E24E09"/>
    <w:rsid w:val="00E26880"/>
    <w:rsid w:val="00E27234"/>
    <w:rsid w:val="00E3495C"/>
    <w:rsid w:val="00E42BDB"/>
    <w:rsid w:val="00E524A9"/>
    <w:rsid w:val="00E53F1A"/>
    <w:rsid w:val="00E5726D"/>
    <w:rsid w:val="00E57EEB"/>
    <w:rsid w:val="00E62D94"/>
    <w:rsid w:val="00E62ECC"/>
    <w:rsid w:val="00E64F37"/>
    <w:rsid w:val="00E65091"/>
    <w:rsid w:val="00E65393"/>
    <w:rsid w:val="00E65E54"/>
    <w:rsid w:val="00E661C7"/>
    <w:rsid w:val="00E66679"/>
    <w:rsid w:val="00E732C4"/>
    <w:rsid w:val="00E74E41"/>
    <w:rsid w:val="00E77EA3"/>
    <w:rsid w:val="00E80155"/>
    <w:rsid w:val="00E8134B"/>
    <w:rsid w:val="00E81E0D"/>
    <w:rsid w:val="00E81F28"/>
    <w:rsid w:val="00E848C0"/>
    <w:rsid w:val="00E84BB8"/>
    <w:rsid w:val="00E86F92"/>
    <w:rsid w:val="00E91B96"/>
    <w:rsid w:val="00E92F2E"/>
    <w:rsid w:val="00E935DA"/>
    <w:rsid w:val="00E93D1E"/>
    <w:rsid w:val="00E941A1"/>
    <w:rsid w:val="00E95CE3"/>
    <w:rsid w:val="00E95F9A"/>
    <w:rsid w:val="00EA0856"/>
    <w:rsid w:val="00EA1DC4"/>
    <w:rsid w:val="00EA252F"/>
    <w:rsid w:val="00EA2825"/>
    <w:rsid w:val="00EA5027"/>
    <w:rsid w:val="00EA64C2"/>
    <w:rsid w:val="00EA6518"/>
    <w:rsid w:val="00EA71A2"/>
    <w:rsid w:val="00EA7466"/>
    <w:rsid w:val="00EA7EDE"/>
    <w:rsid w:val="00EB0B63"/>
    <w:rsid w:val="00EB1936"/>
    <w:rsid w:val="00EB3545"/>
    <w:rsid w:val="00EB37BE"/>
    <w:rsid w:val="00EB4BAE"/>
    <w:rsid w:val="00EB5088"/>
    <w:rsid w:val="00EB7210"/>
    <w:rsid w:val="00EB74F3"/>
    <w:rsid w:val="00EC2726"/>
    <w:rsid w:val="00EC681C"/>
    <w:rsid w:val="00EC7B87"/>
    <w:rsid w:val="00ED1644"/>
    <w:rsid w:val="00ED2593"/>
    <w:rsid w:val="00ED3709"/>
    <w:rsid w:val="00ED7D55"/>
    <w:rsid w:val="00ED7D9C"/>
    <w:rsid w:val="00EE00A7"/>
    <w:rsid w:val="00EE27FB"/>
    <w:rsid w:val="00EE2F77"/>
    <w:rsid w:val="00EE3158"/>
    <w:rsid w:val="00EE31A2"/>
    <w:rsid w:val="00EE4329"/>
    <w:rsid w:val="00EE6203"/>
    <w:rsid w:val="00EF0069"/>
    <w:rsid w:val="00EF3C52"/>
    <w:rsid w:val="00EF44A0"/>
    <w:rsid w:val="00EF4580"/>
    <w:rsid w:val="00EF4FED"/>
    <w:rsid w:val="00EF5F45"/>
    <w:rsid w:val="00EF6843"/>
    <w:rsid w:val="00EF6941"/>
    <w:rsid w:val="00EF6FB3"/>
    <w:rsid w:val="00F0068B"/>
    <w:rsid w:val="00F007C6"/>
    <w:rsid w:val="00F0172E"/>
    <w:rsid w:val="00F050BD"/>
    <w:rsid w:val="00F05657"/>
    <w:rsid w:val="00F05AB0"/>
    <w:rsid w:val="00F12C74"/>
    <w:rsid w:val="00F13214"/>
    <w:rsid w:val="00F1559A"/>
    <w:rsid w:val="00F16B2F"/>
    <w:rsid w:val="00F17ED6"/>
    <w:rsid w:val="00F20676"/>
    <w:rsid w:val="00F209E2"/>
    <w:rsid w:val="00F2398F"/>
    <w:rsid w:val="00F25578"/>
    <w:rsid w:val="00F258E5"/>
    <w:rsid w:val="00F25B9C"/>
    <w:rsid w:val="00F2675A"/>
    <w:rsid w:val="00F26CC6"/>
    <w:rsid w:val="00F300BC"/>
    <w:rsid w:val="00F305FA"/>
    <w:rsid w:val="00F3263C"/>
    <w:rsid w:val="00F3334E"/>
    <w:rsid w:val="00F3573A"/>
    <w:rsid w:val="00F36CCB"/>
    <w:rsid w:val="00F374E5"/>
    <w:rsid w:val="00F37B93"/>
    <w:rsid w:val="00F37BAD"/>
    <w:rsid w:val="00F37ECA"/>
    <w:rsid w:val="00F40A1C"/>
    <w:rsid w:val="00F4397F"/>
    <w:rsid w:val="00F43AF2"/>
    <w:rsid w:val="00F45216"/>
    <w:rsid w:val="00F5007E"/>
    <w:rsid w:val="00F508F6"/>
    <w:rsid w:val="00F50EC4"/>
    <w:rsid w:val="00F52232"/>
    <w:rsid w:val="00F527B1"/>
    <w:rsid w:val="00F52DC2"/>
    <w:rsid w:val="00F53D28"/>
    <w:rsid w:val="00F54AF9"/>
    <w:rsid w:val="00F550CF"/>
    <w:rsid w:val="00F553D2"/>
    <w:rsid w:val="00F56A2D"/>
    <w:rsid w:val="00F57A6D"/>
    <w:rsid w:val="00F6044B"/>
    <w:rsid w:val="00F62F19"/>
    <w:rsid w:val="00F638CC"/>
    <w:rsid w:val="00F64C9E"/>
    <w:rsid w:val="00F64CC1"/>
    <w:rsid w:val="00F708B1"/>
    <w:rsid w:val="00F72317"/>
    <w:rsid w:val="00F73DC1"/>
    <w:rsid w:val="00F75BB8"/>
    <w:rsid w:val="00F77714"/>
    <w:rsid w:val="00F80475"/>
    <w:rsid w:val="00F80E6E"/>
    <w:rsid w:val="00F81079"/>
    <w:rsid w:val="00F81390"/>
    <w:rsid w:val="00F81F7A"/>
    <w:rsid w:val="00F8247A"/>
    <w:rsid w:val="00F82E5C"/>
    <w:rsid w:val="00F83E86"/>
    <w:rsid w:val="00F83F58"/>
    <w:rsid w:val="00F85206"/>
    <w:rsid w:val="00F87C7A"/>
    <w:rsid w:val="00F87CEA"/>
    <w:rsid w:val="00F9265D"/>
    <w:rsid w:val="00F92E37"/>
    <w:rsid w:val="00F9629A"/>
    <w:rsid w:val="00F97EFC"/>
    <w:rsid w:val="00FA0B04"/>
    <w:rsid w:val="00FA0C7C"/>
    <w:rsid w:val="00FA1BDD"/>
    <w:rsid w:val="00FA305C"/>
    <w:rsid w:val="00FA462E"/>
    <w:rsid w:val="00FA468B"/>
    <w:rsid w:val="00FA4DD5"/>
    <w:rsid w:val="00FA5883"/>
    <w:rsid w:val="00FA6055"/>
    <w:rsid w:val="00FB0B39"/>
    <w:rsid w:val="00FB322F"/>
    <w:rsid w:val="00FB35F3"/>
    <w:rsid w:val="00FB442F"/>
    <w:rsid w:val="00FC03B6"/>
    <w:rsid w:val="00FC0A1B"/>
    <w:rsid w:val="00FC118C"/>
    <w:rsid w:val="00FC1929"/>
    <w:rsid w:val="00FC5B46"/>
    <w:rsid w:val="00FD1D4F"/>
    <w:rsid w:val="00FD24BF"/>
    <w:rsid w:val="00FD3B6E"/>
    <w:rsid w:val="00FD4140"/>
    <w:rsid w:val="00FD57EB"/>
    <w:rsid w:val="00FD6D8E"/>
    <w:rsid w:val="00FE0663"/>
    <w:rsid w:val="00FE0E94"/>
    <w:rsid w:val="00FE369C"/>
    <w:rsid w:val="00FE3CD9"/>
    <w:rsid w:val="00FE6AC8"/>
    <w:rsid w:val="00FF00BD"/>
    <w:rsid w:val="00FF067C"/>
    <w:rsid w:val="00FF0B13"/>
    <w:rsid w:val="00FF1672"/>
    <w:rsid w:val="00FF1ED4"/>
    <w:rsid w:val="00FF2801"/>
    <w:rsid w:val="00FF799B"/>
    <w:rsid w:val="012A7082"/>
    <w:rsid w:val="0143FC8B"/>
    <w:rsid w:val="01472274"/>
    <w:rsid w:val="01BAC867"/>
    <w:rsid w:val="0254441C"/>
    <w:rsid w:val="02E816C3"/>
    <w:rsid w:val="032394EB"/>
    <w:rsid w:val="033B2F40"/>
    <w:rsid w:val="0437B5A4"/>
    <w:rsid w:val="04A12F4E"/>
    <w:rsid w:val="04DBE9EA"/>
    <w:rsid w:val="05182518"/>
    <w:rsid w:val="051D99F9"/>
    <w:rsid w:val="05B612E3"/>
    <w:rsid w:val="0605216C"/>
    <w:rsid w:val="063EE9F7"/>
    <w:rsid w:val="069F379E"/>
    <w:rsid w:val="076CEE75"/>
    <w:rsid w:val="08185FB9"/>
    <w:rsid w:val="082A09EB"/>
    <w:rsid w:val="089BC592"/>
    <w:rsid w:val="0A0C7AE1"/>
    <w:rsid w:val="0A663D94"/>
    <w:rsid w:val="0B1BF5E7"/>
    <w:rsid w:val="0CF130DF"/>
    <w:rsid w:val="0CFE1DFD"/>
    <w:rsid w:val="0D4FC7CF"/>
    <w:rsid w:val="0DC4E36E"/>
    <w:rsid w:val="0E5E506F"/>
    <w:rsid w:val="0F5CF529"/>
    <w:rsid w:val="0FC31246"/>
    <w:rsid w:val="1023E0F9"/>
    <w:rsid w:val="1272477B"/>
    <w:rsid w:val="12B95C68"/>
    <w:rsid w:val="14F07869"/>
    <w:rsid w:val="15107A79"/>
    <w:rsid w:val="1559BAC6"/>
    <w:rsid w:val="162998A6"/>
    <w:rsid w:val="17FD5F39"/>
    <w:rsid w:val="18657CF4"/>
    <w:rsid w:val="19890FA6"/>
    <w:rsid w:val="19B44400"/>
    <w:rsid w:val="19F2311B"/>
    <w:rsid w:val="19F7AA11"/>
    <w:rsid w:val="1A0D3C6A"/>
    <w:rsid w:val="1A2D1BE7"/>
    <w:rsid w:val="1A8A0C43"/>
    <w:rsid w:val="1B0BFFE7"/>
    <w:rsid w:val="1B4DABE9"/>
    <w:rsid w:val="1D4E7C25"/>
    <w:rsid w:val="1D6033D6"/>
    <w:rsid w:val="1DDBDA0D"/>
    <w:rsid w:val="1E382E8C"/>
    <w:rsid w:val="1E938E64"/>
    <w:rsid w:val="1EAFF635"/>
    <w:rsid w:val="1F3EECBD"/>
    <w:rsid w:val="1FB6E350"/>
    <w:rsid w:val="1FF3162D"/>
    <w:rsid w:val="2009EB8A"/>
    <w:rsid w:val="210F5AF1"/>
    <w:rsid w:val="212CBC64"/>
    <w:rsid w:val="231C3354"/>
    <w:rsid w:val="238CC620"/>
    <w:rsid w:val="244B8CF8"/>
    <w:rsid w:val="24C0A041"/>
    <w:rsid w:val="24CA5046"/>
    <w:rsid w:val="24F49182"/>
    <w:rsid w:val="26615FE7"/>
    <w:rsid w:val="2678B15D"/>
    <w:rsid w:val="26F6F44A"/>
    <w:rsid w:val="27394882"/>
    <w:rsid w:val="28B27485"/>
    <w:rsid w:val="29365BD7"/>
    <w:rsid w:val="29882150"/>
    <w:rsid w:val="29E0E709"/>
    <w:rsid w:val="2AA490C3"/>
    <w:rsid w:val="2AB480AD"/>
    <w:rsid w:val="2B8D5B09"/>
    <w:rsid w:val="2C4C1D68"/>
    <w:rsid w:val="2C7C3DFB"/>
    <w:rsid w:val="2D470254"/>
    <w:rsid w:val="2DECC312"/>
    <w:rsid w:val="2E4579D6"/>
    <w:rsid w:val="2EF0545B"/>
    <w:rsid w:val="2FC97F8A"/>
    <w:rsid w:val="300EDF22"/>
    <w:rsid w:val="3079EB0D"/>
    <w:rsid w:val="307D714D"/>
    <w:rsid w:val="3093AC95"/>
    <w:rsid w:val="30E8B387"/>
    <w:rsid w:val="31C1265F"/>
    <w:rsid w:val="321F658F"/>
    <w:rsid w:val="32FFC29C"/>
    <w:rsid w:val="3320F36F"/>
    <w:rsid w:val="340D0A3D"/>
    <w:rsid w:val="343A4F58"/>
    <w:rsid w:val="34E7EA92"/>
    <w:rsid w:val="363425FC"/>
    <w:rsid w:val="373C6128"/>
    <w:rsid w:val="37C1F8E8"/>
    <w:rsid w:val="3805C0E7"/>
    <w:rsid w:val="38168071"/>
    <w:rsid w:val="393376D2"/>
    <w:rsid w:val="395463D1"/>
    <w:rsid w:val="398863F1"/>
    <w:rsid w:val="3A20C143"/>
    <w:rsid w:val="3A4C135D"/>
    <w:rsid w:val="3BA095AD"/>
    <w:rsid w:val="3EDC23CB"/>
    <w:rsid w:val="40771079"/>
    <w:rsid w:val="40930EF5"/>
    <w:rsid w:val="4110CDB4"/>
    <w:rsid w:val="42691D0F"/>
    <w:rsid w:val="4372D6C2"/>
    <w:rsid w:val="443448FB"/>
    <w:rsid w:val="44505BFC"/>
    <w:rsid w:val="450F5A46"/>
    <w:rsid w:val="456C4AA2"/>
    <w:rsid w:val="4641A0D0"/>
    <w:rsid w:val="483DA525"/>
    <w:rsid w:val="4873567A"/>
    <w:rsid w:val="48F582C0"/>
    <w:rsid w:val="495D9BBE"/>
    <w:rsid w:val="49B7B512"/>
    <w:rsid w:val="4AE86C22"/>
    <w:rsid w:val="4C8B405E"/>
    <w:rsid w:val="4CA8BA21"/>
    <w:rsid w:val="4D21EA56"/>
    <w:rsid w:val="4DA14906"/>
    <w:rsid w:val="4DD74500"/>
    <w:rsid w:val="4EE3854C"/>
    <w:rsid w:val="4F28A562"/>
    <w:rsid w:val="5057B658"/>
    <w:rsid w:val="50F1C25A"/>
    <w:rsid w:val="517C50E5"/>
    <w:rsid w:val="51A107A9"/>
    <w:rsid w:val="521C1C44"/>
    <w:rsid w:val="53044900"/>
    <w:rsid w:val="53229BC9"/>
    <w:rsid w:val="53B39A2E"/>
    <w:rsid w:val="54C17BA2"/>
    <w:rsid w:val="553311EF"/>
    <w:rsid w:val="55ACD1A0"/>
    <w:rsid w:val="56AFA43F"/>
    <w:rsid w:val="58963761"/>
    <w:rsid w:val="59185BFB"/>
    <w:rsid w:val="593F501C"/>
    <w:rsid w:val="5A05D725"/>
    <w:rsid w:val="5ADD90BE"/>
    <w:rsid w:val="5B1E38D7"/>
    <w:rsid w:val="5B9D8C93"/>
    <w:rsid w:val="5CB076C8"/>
    <w:rsid w:val="5D5832E9"/>
    <w:rsid w:val="5D80A09E"/>
    <w:rsid w:val="5DC1C88E"/>
    <w:rsid w:val="5DF2A876"/>
    <w:rsid w:val="5EACEEBD"/>
    <w:rsid w:val="5EBDDC85"/>
    <w:rsid w:val="5F8C18FC"/>
    <w:rsid w:val="600E03FD"/>
    <w:rsid w:val="6238D218"/>
    <w:rsid w:val="628CB478"/>
    <w:rsid w:val="62AD93BA"/>
    <w:rsid w:val="63555756"/>
    <w:rsid w:val="644E444D"/>
    <w:rsid w:val="65573E26"/>
    <w:rsid w:val="65AD35BA"/>
    <w:rsid w:val="65C2D45A"/>
    <w:rsid w:val="6657D135"/>
    <w:rsid w:val="66D9E62A"/>
    <w:rsid w:val="66E8E023"/>
    <w:rsid w:val="6728F4B3"/>
    <w:rsid w:val="673BE400"/>
    <w:rsid w:val="67B6BAF7"/>
    <w:rsid w:val="68E0347C"/>
    <w:rsid w:val="6956685D"/>
    <w:rsid w:val="699B3EBB"/>
    <w:rsid w:val="69A7D5B7"/>
    <w:rsid w:val="6A2AAF49"/>
    <w:rsid w:val="6BAD574D"/>
    <w:rsid w:val="6CA77350"/>
    <w:rsid w:val="70971A32"/>
    <w:rsid w:val="709A626A"/>
    <w:rsid w:val="716D6D8F"/>
    <w:rsid w:val="731BA24E"/>
    <w:rsid w:val="73C929CD"/>
    <w:rsid w:val="73E7CF48"/>
    <w:rsid w:val="75B5D97D"/>
    <w:rsid w:val="75B9CE48"/>
    <w:rsid w:val="764DA178"/>
    <w:rsid w:val="77B642A1"/>
    <w:rsid w:val="78063D85"/>
    <w:rsid w:val="78168F3E"/>
    <w:rsid w:val="78E271BD"/>
    <w:rsid w:val="78E93C4E"/>
    <w:rsid w:val="79E941EA"/>
    <w:rsid w:val="7A3DE86F"/>
    <w:rsid w:val="7AD6838E"/>
    <w:rsid w:val="7B180F93"/>
    <w:rsid w:val="7B1B6DA9"/>
    <w:rsid w:val="7B349606"/>
    <w:rsid w:val="7C63B7C1"/>
    <w:rsid w:val="7C73E7A8"/>
    <w:rsid w:val="7C7878ED"/>
    <w:rsid w:val="7CDEBC17"/>
    <w:rsid w:val="7D61AEBC"/>
    <w:rsid w:val="7D98DA3E"/>
    <w:rsid w:val="7DAC400C"/>
    <w:rsid w:val="7E303FD3"/>
    <w:rsid w:val="7E3EF267"/>
    <w:rsid w:val="7E77EEEF"/>
    <w:rsid w:val="7E784689"/>
    <w:rsid w:val="7E9A54A9"/>
    <w:rsid w:val="7F47C472"/>
    <w:rsid w:val="7FA82C29"/>
    <w:rsid w:val="7FC154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9873"/>
    <o:shapelayout v:ext="edit">
      <o:idmap v:ext="edit" data="1"/>
    </o:shapelayout>
  </w:shapeDefaults>
  <w:decimalSymbol w:val="."/>
  <w:listSeparator w:val=","/>
  <w14:docId w14:val="24BD7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2" w:uiPriority="1" w:qFormat="1"/>
    <w:lsdException w:name="heading 3" w:semiHidden="1" w:unhideWhenUsed="1"/>
    <w:lsdException w:name="heading 4"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A3D8E"/>
    <w:pPr>
      <w:jc w:val="both"/>
    </w:pPr>
    <w:rPr>
      <w:rFonts w:ascii="Calibri" w:hAnsi="Calibri"/>
      <w:sz w:val="24"/>
      <w:szCs w:val="24"/>
    </w:rPr>
  </w:style>
  <w:style w:type="paragraph" w:styleId="Heading1">
    <w:name w:val="heading 1"/>
    <w:basedOn w:val="ListParagraph"/>
    <w:next w:val="Normal"/>
    <w:link w:val="Heading1Char"/>
    <w:uiPriority w:val="1"/>
    <w:rsid w:val="00C603D4"/>
    <w:pPr>
      <w:ind w:left="0"/>
      <w:outlineLvl w:val="0"/>
    </w:pPr>
    <w:rPr>
      <w:b/>
      <w:szCs w:val="22"/>
    </w:rPr>
  </w:style>
  <w:style w:type="paragraph" w:styleId="Heading2">
    <w:name w:val="heading 2"/>
    <w:aliases w:val="Subsection Headings"/>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unhideWhenUsed/>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qFormat/>
    <w:rsid w:val="00446938"/>
    <w:pPr>
      <w:keepNext/>
      <w:tabs>
        <w:tab w:val="center" w:pos="4513"/>
        <w:tab w:val="right" w:pos="9026"/>
      </w:tabs>
      <w:jc w:val="center"/>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pPr>
      <w:spacing w:after="120"/>
    </w:pPr>
    <w:rPr>
      <w:rFonts w:ascii="Arial" w:hAnsi="Arial"/>
      <w:sz w:val="20"/>
      <w:szCs w:val="20"/>
      <w:lang w:eastAsia="en-US"/>
    </w:rPr>
  </w:style>
  <w:style w:type="paragraph" w:styleId="BodyText2">
    <w:name w:val="Body Text 2"/>
    <w:basedOn w:val="Normal"/>
    <w:link w:val="BodyText2Char"/>
    <w:pPr>
      <w:widowControl w:val="0"/>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rPr>
      <w:sz w:val="20"/>
      <w:szCs w:val="20"/>
      <w:lang w:eastAsia="en-US"/>
    </w:rPr>
  </w:style>
  <w:style w:type="character" w:customStyle="1" w:styleId="HeaderChar">
    <w:name w:val="Header Char"/>
    <w:aliases w:val="Page Header Char,Header title Char,he=header Char,cntr/bld Char"/>
    <w:basedOn w:val="DefaultParagraphFont"/>
    <w:link w:val="Header"/>
    <w:rsid w:val="00446938"/>
    <w:rPr>
      <w:rFonts w:ascii="Calibri" w:hAnsi="Calibri"/>
      <w:sz w:val="24"/>
      <w:szCs w:val="24"/>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Numbered para,Body Text Bullet Points,List Paragraph1,Bullet point,List Paragraph11,Recommendation,Section heading,Footnote,ES Paragraph,PBAC ES Paragraph,PBAC normal points,Bullet List,Styl moj,Akapit z listą11,Bullets,列出段落1"/>
    <w:next w:val="ListBullet"/>
    <w:link w:val="ListParagraphChar"/>
    <w:uiPriority w:val="34"/>
    <w:qFormat/>
    <w:rsid w:val="00446938"/>
    <w:pPr>
      <w:spacing w:after="120"/>
      <w:ind w:left="1134" w:hanging="357"/>
    </w:pPr>
    <w:rPr>
      <w:rFonts w:asciiTheme="minorHAnsi" w:hAnsiTheme="minorHAnsi" w:cs="Arial"/>
      <w:snapToGrid w:val="0"/>
      <w:sz w:val="24"/>
      <w:szCs w:val="24"/>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link w:val="NoSpacingChar"/>
    <w:uiPriority w:val="1"/>
    <w:qFormat/>
    <w:rsid w:val="00C27B58"/>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tabs>
        <w:tab w:val="num" w:pos="360"/>
      </w:tabs>
      <w:ind w:left="360" w:hanging="360"/>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Numbered para Char,Body Text Bullet Points Char,List Paragraph1 Char,Bullet point Char,List Paragraph11 Char,Recommendation Char,Section heading Char,Footnote Char,ES Paragraph Char,PBAC ES Paragraph Char,列出段落1 Char"/>
    <w:basedOn w:val="DefaultParagraphFont"/>
    <w:link w:val="ListParagraph"/>
    <w:uiPriority w:val="34"/>
    <w:qFormat/>
    <w:rsid w:val="00446938"/>
    <w:rPr>
      <w:rFonts w:asciiTheme="minorHAnsi" w:hAnsiTheme="minorHAnsi" w:cs="Arial"/>
      <w:snapToGrid w:val="0"/>
      <w:sz w:val="24"/>
      <w:szCs w:val="24"/>
    </w:rPr>
  </w:style>
  <w:style w:type="paragraph" w:customStyle="1" w:styleId="2Sections">
    <w:name w:val="2. Sections"/>
    <w:qFormat/>
    <w:rsid w:val="0033263D"/>
    <w:p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Theme="minorHAnsi" w:hAnsiTheme="minorHAnsi" w:cs="Arial"/>
      <w:b/>
      <w:snapToGrid w:val="0"/>
      <w:sz w:val="24"/>
      <w:szCs w:val="22"/>
    </w:rPr>
  </w:style>
  <w:style w:type="character" w:customStyle="1" w:styleId="Heading2Char">
    <w:name w:val="Heading 2 Char"/>
    <w:aliases w:val="Subsection Headings Char"/>
    <w:basedOn w:val="DefaultParagraphFont"/>
    <w:link w:val="Heading2"/>
    <w:uiPriority w:val="1"/>
    <w:rsid w:val="003C2FB5"/>
    <w:rPr>
      <w:rFonts w:ascii="Arial" w:hAnsi="Arial"/>
      <w:b/>
      <w:i/>
      <w:sz w:val="22"/>
      <w:szCs w:val="24"/>
    </w:rPr>
  </w:style>
  <w:style w:type="paragraph" w:customStyle="1" w:styleId="1MainTitle">
    <w:name w:val="1. Main Title"/>
    <w:basedOn w:val="Title"/>
    <w:link w:val="1MainTitleChar"/>
    <w:qFormat/>
    <w:rsid w:val="00706A2F"/>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rsid w:val="00706A2F"/>
    <w:pPr>
      <w:jc w:val="right"/>
    </w:pPr>
    <w:rPr>
      <w:rFonts w:asciiTheme="minorHAnsi" w:hAnsiTheme="minorHAnsi" w:cs="Arial"/>
    </w:rPr>
  </w:style>
  <w:style w:type="character" w:customStyle="1" w:styleId="1MainTitleChar">
    <w:name w:val="1. Main Title Char"/>
    <w:basedOn w:val="TitleChar"/>
    <w:link w:val="1MainTitle"/>
    <w:rsid w:val="00706A2F"/>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qFormat/>
    <w:rsid w:val="00774E2C"/>
    <w:pPr>
      <w:spacing w:after="60"/>
    </w:pPr>
    <w:rPr>
      <w:rFonts w:ascii="Arial Narrow" w:hAnsi="Arial Narrow"/>
      <w:b/>
      <w:sz w:val="20"/>
    </w:rPr>
  </w:style>
  <w:style w:type="character" w:customStyle="1" w:styleId="MinorOVRHeaderChar">
    <w:name w:val="Minor OVR Header Char"/>
    <w:basedOn w:val="HeaderChar"/>
    <w:link w:val="MinorOVRHeader"/>
    <w:rsid w:val="00706A2F"/>
    <w:rPr>
      <w:rFonts w:asciiTheme="minorHAnsi" w:hAnsiTheme="minorHAnsi" w:cs="Arial"/>
      <w:sz w:val="24"/>
      <w:szCs w:val="24"/>
      <w:lang w:eastAsia="en-AU"/>
    </w:rPr>
  </w:style>
  <w:style w:type="character" w:customStyle="1" w:styleId="NoSpacingChar">
    <w:name w:val="No Spacing Char"/>
    <w:basedOn w:val="DefaultParagraphFont"/>
    <w:link w:val="NoSpacing"/>
    <w:uiPriority w:val="1"/>
    <w:rsid w:val="00774E2C"/>
    <w:rPr>
      <w:rFonts w:ascii="Arial" w:hAnsi="Arial"/>
      <w:sz w:val="22"/>
      <w:szCs w:val="22"/>
    </w:rPr>
  </w:style>
  <w:style w:type="character" w:customStyle="1" w:styleId="TabletitlesChar">
    <w:name w:val="Table titles Char"/>
    <w:basedOn w:val="NoSpacingChar"/>
    <w:link w:val="Tabletitles"/>
    <w:rsid w:val="00774E2C"/>
    <w:rPr>
      <w:rFonts w:ascii="Arial Narrow" w:hAnsi="Arial Narrow"/>
      <w:b/>
      <w:sz w:val="22"/>
      <w:szCs w:val="22"/>
    </w:rPr>
  </w:style>
  <w:style w:type="paragraph" w:customStyle="1" w:styleId="3Bodytext">
    <w:name w:val="3. Body text"/>
    <w:basedOn w:val="ListParagraph"/>
    <w:link w:val="3BodytextChar"/>
    <w:qFormat/>
    <w:rsid w:val="00A673A4"/>
    <w:pPr>
      <w:numPr>
        <w:ilvl w:val="1"/>
        <w:numId w:val="2"/>
      </w:numPr>
    </w:pPr>
    <w:rPr>
      <w:rFonts w:eastAsiaTheme="minorHAnsi" w:cstheme="minorBidi"/>
      <w:snapToGrid/>
      <w:szCs w:val="22"/>
    </w:rPr>
  </w:style>
  <w:style w:type="paragraph" w:customStyle="1" w:styleId="PBACFooter">
    <w:name w:val="PBAC Footer"/>
    <w:basedOn w:val="Footer"/>
    <w:link w:val="PBACFooterChar"/>
    <w:qFormat/>
    <w:rsid w:val="00E27234"/>
    <w:pPr>
      <w:jc w:val="center"/>
    </w:pPr>
    <w:rPr>
      <w:rFonts w:ascii="Arial" w:hAnsi="Arial" w:cs="Arial"/>
      <w:b/>
      <w:sz w:val="20"/>
      <w:szCs w:val="20"/>
    </w:rPr>
  </w:style>
  <w:style w:type="character" w:customStyle="1" w:styleId="3BodytextChar">
    <w:name w:val="3. Body text Char"/>
    <w:basedOn w:val="ListParagraphChar"/>
    <w:link w:val="3Bodytext"/>
    <w:rsid w:val="00A673A4"/>
    <w:rPr>
      <w:rFonts w:asciiTheme="minorHAnsi" w:eastAsiaTheme="minorHAnsi" w:hAnsiTheme="minorHAnsi" w:cstheme="minorBidi"/>
      <w:snapToGrid/>
      <w:sz w:val="24"/>
      <w:szCs w:val="22"/>
    </w:rPr>
  </w:style>
  <w:style w:type="character" w:customStyle="1" w:styleId="PBACFooterChar">
    <w:name w:val="PBAC Footer Char"/>
    <w:basedOn w:val="FooterChar"/>
    <w:link w:val="PBACFooter"/>
    <w:rsid w:val="00E27234"/>
    <w:rPr>
      <w:rFonts w:ascii="Arial" w:hAnsi="Arial" w:cs="Arial"/>
      <w:b/>
      <w:sz w:val="24"/>
      <w:szCs w:val="24"/>
    </w:rPr>
  </w:style>
  <w:style w:type="paragraph" w:customStyle="1" w:styleId="PBACHeading1">
    <w:name w:val="PBAC Heading 1"/>
    <w:rsid w:val="00162D4E"/>
    <w:pPr>
      <w:ind w:left="720" w:hanging="720"/>
      <w:outlineLvl w:val="0"/>
    </w:pPr>
    <w:rPr>
      <w:rFonts w:ascii="Arial" w:hAnsi="Arial" w:cs="Arial"/>
      <w:b/>
      <w:snapToGrid w:val="0"/>
      <w:sz w:val="22"/>
      <w:szCs w:val="22"/>
      <w:lang w:eastAsia="en-US"/>
    </w:rPr>
  </w:style>
  <w:style w:type="paragraph" w:customStyle="1" w:styleId="TableText0">
    <w:name w:val="Table Text"/>
    <w:link w:val="TableTextChar0"/>
    <w:qFormat/>
    <w:rsid w:val="00446938"/>
    <w:pPr>
      <w:keepNext/>
    </w:pPr>
    <w:rPr>
      <w:rFonts w:ascii="Arial Narrow" w:eastAsiaTheme="majorEastAsia" w:hAnsi="Arial Narrow" w:cstheme="majorBidi"/>
      <w:bCs/>
      <w:szCs w:val="24"/>
    </w:rPr>
  </w:style>
  <w:style w:type="paragraph" w:customStyle="1" w:styleId="Lists">
    <w:name w:val="Lists"/>
    <w:basedOn w:val="3Bodytext"/>
    <w:link w:val="ListsChar"/>
    <w:rsid w:val="000A44B2"/>
    <w:pPr>
      <w:numPr>
        <w:numId w:val="4"/>
      </w:numPr>
    </w:pPr>
  </w:style>
  <w:style w:type="character" w:customStyle="1" w:styleId="TableTextChar0">
    <w:name w:val="Table Text Char"/>
    <w:basedOn w:val="DefaultParagraphFont"/>
    <w:link w:val="TableText0"/>
    <w:rsid w:val="00446938"/>
    <w:rPr>
      <w:rFonts w:ascii="Arial Narrow" w:eastAsiaTheme="majorEastAsia" w:hAnsi="Arial Narrow" w:cstheme="majorBidi"/>
      <w:bCs/>
      <w:szCs w:val="24"/>
    </w:rPr>
  </w:style>
  <w:style w:type="character" w:styleId="FollowedHyperlink">
    <w:name w:val="FollowedHyperlink"/>
    <w:basedOn w:val="DefaultParagraphFont"/>
    <w:semiHidden/>
    <w:unhideWhenUsed/>
    <w:rsid w:val="00FA4DD5"/>
    <w:rPr>
      <w:color w:val="800080" w:themeColor="followedHyperlink"/>
      <w:u w:val="single"/>
    </w:rPr>
  </w:style>
  <w:style w:type="character" w:customStyle="1" w:styleId="ListsChar">
    <w:name w:val="Lists Char"/>
    <w:basedOn w:val="3BodytextChar"/>
    <w:link w:val="Lists"/>
    <w:rsid w:val="000A44B2"/>
    <w:rPr>
      <w:rFonts w:asciiTheme="minorHAnsi" w:eastAsiaTheme="minorHAnsi" w:hAnsiTheme="minorHAnsi" w:cstheme="minorBidi"/>
      <w:snapToGrid/>
      <w:sz w:val="24"/>
      <w:szCs w:val="22"/>
    </w:rPr>
  </w:style>
  <w:style w:type="paragraph" w:customStyle="1" w:styleId="Bulletpoints">
    <w:name w:val="Bullet points"/>
    <w:basedOn w:val="ListParagraph"/>
    <w:qFormat/>
    <w:rsid w:val="00FA305C"/>
    <w:pPr>
      <w:ind w:left="720" w:hanging="360"/>
    </w:pPr>
    <w:rPr>
      <w:rFonts w:cstheme="minorHAnsi"/>
      <w:color w:val="000000" w:themeColor="text1"/>
    </w:rPr>
  </w:style>
  <w:style w:type="paragraph" w:customStyle="1" w:styleId="TableFooter">
    <w:name w:val="Table Footer"/>
    <w:basedOn w:val="Normal"/>
    <w:link w:val="TableFooterChar"/>
    <w:qFormat/>
    <w:rsid w:val="00C7409E"/>
    <w:pPr>
      <w:widowControl w:val="0"/>
    </w:pPr>
    <w:rPr>
      <w:rFonts w:ascii="Arial Narrow" w:hAnsi="Arial Narrow" w:cs="Arial"/>
      <w:snapToGrid w:val="0"/>
      <w:sz w:val="18"/>
      <w:szCs w:val="22"/>
      <w:lang w:eastAsia="en-US"/>
    </w:rPr>
  </w:style>
  <w:style w:type="character" w:customStyle="1" w:styleId="TableFooterChar">
    <w:name w:val="Table Footer Char"/>
    <w:link w:val="TableFooter"/>
    <w:rsid w:val="00C7409E"/>
    <w:rPr>
      <w:rFonts w:ascii="Arial Narrow" w:hAnsi="Arial Narrow" w:cs="Arial"/>
      <w:snapToGrid w:val="0"/>
      <w:sz w:val="18"/>
      <w:szCs w:val="22"/>
      <w:lang w:eastAsia="en-US"/>
    </w:rPr>
  </w:style>
  <w:style w:type="character" w:customStyle="1" w:styleId="TabletextChar">
    <w:name w:val="Table text Char"/>
    <w:link w:val="Tabletext"/>
    <w:rsid w:val="00C7409E"/>
    <w:rPr>
      <w:rFonts w:ascii="Arial" w:hAnsi="Arial"/>
      <w:lang w:eastAsia="en-US"/>
    </w:rPr>
  </w:style>
  <w:style w:type="paragraph" w:customStyle="1" w:styleId="Bodytextitalics">
    <w:name w:val="Body text italics"/>
    <w:basedOn w:val="BodyText"/>
    <w:qFormat/>
    <w:rsid w:val="00E03912"/>
    <w:rPr>
      <w:rFonts w:asciiTheme="minorHAnsi" w:eastAsiaTheme="minorHAnsi" w:hAnsiTheme="minorHAnsi" w:cstheme="minorBidi"/>
      <w:i/>
      <w:szCs w:val="22"/>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styleId="Caption">
    <w:name w:val="caption"/>
    <w:basedOn w:val="Normal"/>
    <w:next w:val="Normal"/>
    <w:unhideWhenUsed/>
    <w:qFormat/>
    <w:rsid w:val="00BF092C"/>
    <w:pPr>
      <w:spacing w:after="200"/>
    </w:pPr>
    <w:rPr>
      <w:i/>
      <w:iCs/>
      <w:color w:val="000000" w:themeColor="text1"/>
      <w:sz w:val="18"/>
      <w:szCs w:val="18"/>
    </w:rPr>
  </w:style>
  <w:style w:type="paragraph" w:customStyle="1" w:styleId="ProcedureStep">
    <w:name w:val="ProcedureStep"/>
    <w:basedOn w:val="Normal"/>
    <w:rsid w:val="00BF27A0"/>
    <w:pPr>
      <w:numPr>
        <w:numId w:val="8"/>
      </w:numPr>
      <w:spacing w:before="60" w:after="60" w:line="300" w:lineRule="atLeast"/>
      <w:ind w:right="567"/>
    </w:pPr>
    <w:rPr>
      <w:rFonts w:ascii="Tahoma" w:hAnsi="Tahoma"/>
      <w:sz w:val="22"/>
      <w:szCs w:val="20"/>
    </w:rPr>
  </w:style>
  <w:style w:type="paragraph" w:customStyle="1" w:styleId="GeneralHeading">
    <w:name w:val="General Heading"/>
    <w:qFormat/>
    <w:rsid w:val="00446938"/>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446938"/>
    <w:pPr>
      <w:keepNext/>
    </w:pPr>
    <w:rPr>
      <w:rFonts w:ascii="Arial Narrow" w:eastAsiaTheme="majorEastAsia" w:hAnsi="Arial Narrow"/>
      <w:b/>
      <w:szCs w:val="24"/>
      <w:lang w:val="en-US"/>
    </w:rPr>
  </w:style>
  <w:style w:type="paragraph" w:customStyle="1" w:styleId="2-SectionHeading">
    <w:name w:val="2-Section Heading"/>
    <w:qFormat/>
    <w:rsid w:val="00446938"/>
    <w:pPr>
      <w:keepNext/>
      <w:numPr>
        <w:numId w:val="10"/>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446938"/>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446938"/>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446938"/>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446938"/>
    <w:rPr>
      <w:rFonts w:ascii="Arial Narrow" w:eastAsiaTheme="majorEastAsia" w:hAnsi="Arial Narrow" w:cstheme="majorBidi"/>
      <w:b/>
      <w:bCs/>
      <w:szCs w:val="24"/>
    </w:rPr>
  </w:style>
  <w:style w:type="paragraph" w:customStyle="1" w:styleId="3-BodyText">
    <w:name w:val="3-Body Text"/>
    <w:link w:val="3-BodyTextChar"/>
    <w:qFormat/>
    <w:rsid w:val="00446938"/>
    <w:pPr>
      <w:numPr>
        <w:ilvl w:val="1"/>
        <w:numId w:val="3"/>
      </w:numPr>
      <w:spacing w:after="1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446938"/>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446938"/>
    <w:pPr>
      <w:keepNext/>
      <w:tabs>
        <w:tab w:val="center" w:pos="4153"/>
        <w:tab w:val="center" w:pos="4513"/>
        <w:tab w:val="right" w:pos="8306"/>
        <w:tab w:val="right" w:pos="9026"/>
      </w:tabs>
      <w:jc w:val="center"/>
    </w:pPr>
    <w:rPr>
      <w:rFonts w:cs="Arial"/>
      <w:b/>
    </w:rPr>
  </w:style>
  <w:style w:type="character" w:customStyle="1" w:styleId="PageFooterChar">
    <w:name w:val="Page Footer Char"/>
    <w:basedOn w:val="DefaultParagraphFont"/>
    <w:link w:val="PageFooter"/>
    <w:rsid w:val="00446938"/>
    <w:rPr>
      <w:rFonts w:ascii="Calibri" w:hAnsi="Calibri" w:cs="Arial"/>
      <w:b/>
      <w:sz w:val="24"/>
      <w:szCs w:val="24"/>
    </w:rPr>
  </w:style>
  <w:style w:type="paragraph" w:customStyle="1" w:styleId="TableFigureFooter">
    <w:name w:val="Table/Figure Footer"/>
    <w:basedOn w:val="Normal"/>
    <w:link w:val="TableFigureFooterChar"/>
    <w:qFormat/>
    <w:rsid w:val="00446938"/>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446938"/>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446938"/>
    <w:pPr>
      <w:spacing w:before="120" w:after="120"/>
    </w:pPr>
    <w:rPr>
      <w:rFonts w:asciiTheme="minorHAnsi" w:eastAsiaTheme="majorEastAsia" w:hAnsiTheme="minorHAnsi" w:cstheme="majorBidi"/>
      <w:spacing w:val="5"/>
      <w:kern w:val="28"/>
      <w:sz w:val="28"/>
      <w:szCs w:val="36"/>
    </w:rPr>
  </w:style>
  <w:style w:type="character" w:customStyle="1" w:styleId="4-SubsectionHeadingChar">
    <w:name w:val="4-Subsection Heading Char"/>
    <w:basedOn w:val="Heading2Char"/>
    <w:link w:val="4-SubsectionHeading"/>
    <w:rsid w:val="00446938"/>
    <w:rPr>
      <w:rFonts w:asciiTheme="minorHAnsi" w:eastAsiaTheme="majorEastAsia" w:hAnsiTheme="minorHAnsi" w:cstheme="majorBidi"/>
      <w:b/>
      <w:i/>
      <w:spacing w:val="5"/>
      <w:kern w:val="28"/>
      <w:sz w:val="28"/>
      <w:szCs w:val="36"/>
    </w:rPr>
  </w:style>
  <w:style w:type="paragraph" w:customStyle="1" w:styleId="5-SubsectionSubheading">
    <w:name w:val="5-Subsection Subheading"/>
    <w:basedOn w:val="Heading3"/>
    <w:next w:val="3-BodyText"/>
    <w:link w:val="5-SubsectionSubheadingChar"/>
    <w:qFormat/>
    <w:rsid w:val="00446938"/>
    <w:pPr>
      <w:spacing w:before="40"/>
    </w:pPr>
    <w:rPr>
      <w:rFonts w:asciiTheme="minorHAnsi" w:hAnsiTheme="minorHAnsi"/>
      <w:bCs w:val="0"/>
      <w:color w:val="000000" w:themeColor="text1"/>
    </w:rPr>
  </w:style>
  <w:style w:type="character" w:customStyle="1" w:styleId="5-SubsectionSubheadingChar">
    <w:name w:val="5-Subsection Subheading Char"/>
    <w:basedOn w:val="Heading3Char"/>
    <w:link w:val="5-SubsectionSubheading"/>
    <w:rsid w:val="00446938"/>
    <w:rPr>
      <w:rFonts w:asciiTheme="minorHAnsi" w:eastAsiaTheme="majorEastAsia" w:hAnsiTheme="minorHAnsi" w:cstheme="majorBidi"/>
      <w:b/>
      <w:bCs w:val="0"/>
      <w:color w:val="000000" w:themeColor="text1"/>
      <w:sz w:val="24"/>
      <w:szCs w:val="24"/>
    </w:rPr>
  </w:style>
  <w:style w:type="paragraph" w:styleId="ListBullet">
    <w:name w:val="List Bullet"/>
    <w:basedOn w:val="Normal"/>
    <w:unhideWhenUsed/>
    <w:rsid w:val="006F40C2"/>
    <w:pPr>
      <w:numPr>
        <w:numId w:val="9"/>
      </w:numPr>
      <w:contextualSpacing/>
    </w:pPr>
  </w:style>
  <w:style w:type="paragraph" w:styleId="Revision">
    <w:name w:val="Revision"/>
    <w:hidden/>
    <w:uiPriority w:val="71"/>
    <w:semiHidden/>
    <w:rsid w:val="00DF021D"/>
    <w:rPr>
      <w:rFonts w:ascii="Calibri" w:hAnsi="Calibri"/>
      <w:sz w:val="24"/>
      <w:szCs w:val="24"/>
    </w:rPr>
  </w:style>
  <w:style w:type="paragraph" w:customStyle="1" w:styleId="Default">
    <w:name w:val="Default"/>
    <w:rsid w:val="000B7767"/>
    <w:pPr>
      <w:autoSpaceDE w:val="0"/>
      <w:autoSpaceDN w:val="0"/>
      <w:adjustRightInd w:val="0"/>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EE4329"/>
    <w:rPr>
      <w:color w:val="605E5C"/>
      <w:shd w:val="clear" w:color="auto" w:fill="E1DFDD"/>
    </w:rPr>
  </w:style>
  <w:style w:type="paragraph" w:styleId="TOC9">
    <w:name w:val="toc 9"/>
    <w:basedOn w:val="Normal"/>
    <w:next w:val="Normal"/>
    <w:autoRedefine/>
    <w:semiHidden/>
    <w:unhideWhenUsed/>
    <w:rsid w:val="00C56D78"/>
    <w:pPr>
      <w:spacing w:after="100"/>
      <w:ind w:left="1920"/>
    </w:pPr>
  </w:style>
  <w:style w:type="paragraph" w:customStyle="1" w:styleId="FooterTableFigure">
    <w:name w:val="Footer Table/Figure"/>
    <w:basedOn w:val="Normal"/>
    <w:link w:val="FooterTableFigureChar"/>
    <w:qFormat/>
    <w:rsid w:val="00B6533B"/>
    <w:pPr>
      <w:spacing w:after="120"/>
      <w:contextualSpacing/>
    </w:pPr>
    <w:rPr>
      <w:rFonts w:ascii="Arial Narrow" w:hAnsi="Arial Narrow" w:cs="Arial"/>
      <w:snapToGrid w:val="0"/>
      <w:sz w:val="18"/>
      <w:szCs w:val="22"/>
    </w:rPr>
  </w:style>
  <w:style w:type="character" w:customStyle="1" w:styleId="FooterTableFigureChar">
    <w:name w:val="Footer Table/Figure Char"/>
    <w:link w:val="FooterTableFigure"/>
    <w:rsid w:val="00B6533B"/>
    <w:rPr>
      <w:rFonts w:ascii="Arial Narrow" w:hAnsi="Arial Narrow" w:cs="Arial"/>
      <w:snapToGrid w:val="0"/>
      <w:sz w:val="18"/>
      <w:szCs w:val="22"/>
    </w:rPr>
  </w:style>
  <w:style w:type="paragraph" w:customStyle="1" w:styleId="Table">
    <w:name w:val="Table"/>
    <w:basedOn w:val="Normal"/>
    <w:qFormat/>
    <w:rsid w:val="008934F5"/>
    <w:pPr>
      <w:jc w:val="left"/>
    </w:pPr>
    <w:rPr>
      <w:rFonts w:ascii="Arial Narrow" w:eastAsiaTheme="minorHAnsi" w:hAnsi="Arial Narrow" w:cstheme="minorBidi"/>
      <w:sz w:val="20"/>
      <w:szCs w:val="22"/>
      <w:lang w:eastAsia="en-US"/>
    </w:rPr>
  </w:style>
  <w:style w:type="paragraph" w:styleId="NormalWeb">
    <w:name w:val="Normal (Web)"/>
    <w:basedOn w:val="Normal"/>
    <w:uiPriority w:val="99"/>
    <w:unhideWhenUsed/>
    <w:rsid w:val="00815397"/>
    <w:pPr>
      <w:spacing w:before="100" w:beforeAutospacing="1" w:after="100" w:afterAutospacing="1"/>
      <w:jc w:val="left"/>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63645578">
      <w:bodyDiv w:val="1"/>
      <w:marLeft w:val="0"/>
      <w:marRight w:val="0"/>
      <w:marTop w:val="0"/>
      <w:marBottom w:val="0"/>
      <w:divBdr>
        <w:top w:val="none" w:sz="0" w:space="0" w:color="auto"/>
        <w:left w:val="none" w:sz="0" w:space="0" w:color="auto"/>
        <w:bottom w:val="none" w:sz="0" w:space="0" w:color="auto"/>
        <w:right w:val="none" w:sz="0" w:space="0" w:color="auto"/>
      </w:divBdr>
    </w:div>
    <w:div w:id="76176744">
      <w:bodyDiv w:val="1"/>
      <w:marLeft w:val="0"/>
      <w:marRight w:val="0"/>
      <w:marTop w:val="0"/>
      <w:marBottom w:val="0"/>
      <w:divBdr>
        <w:top w:val="none" w:sz="0" w:space="0" w:color="auto"/>
        <w:left w:val="none" w:sz="0" w:space="0" w:color="auto"/>
        <w:bottom w:val="none" w:sz="0" w:space="0" w:color="auto"/>
        <w:right w:val="none" w:sz="0" w:space="0" w:color="auto"/>
      </w:divBdr>
    </w:div>
    <w:div w:id="257450267">
      <w:bodyDiv w:val="1"/>
      <w:marLeft w:val="0"/>
      <w:marRight w:val="0"/>
      <w:marTop w:val="0"/>
      <w:marBottom w:val="0"/>
      <w:divBdr>
        <w:top w:val="none" w:sz="0" w:space="0" w:color="auto"/>
        <w:left w:val="none" w:sz="0" w:space="0" w:color="auto"/>
        <w:bottom w:val="none" w:sz="0" w:space="0" w:color="auto"/>
        <w:right w:val="none" w:sz="0" w:space="0" w:color="auto"/>
      </w:divBdr>
    </w:div>
    <w:div w:id="417101693">
      <w:bodyDiv w:val="1"/>
      <w:marLeft w:val="0"/>
      <w:marRight w:val="0"/>
      <w:marTop w:val="0"/>
      <w:marBottom w:val="0"/>
      <w:divBdr>
        <w:top w:val="none" w:sz="0" w:space="0" w:color="auto"/>
        <w:left w:val="none" w:sz="0" w:space="0" w:color="auto"/>
        <w:bottom w:val="none" w:sz="0" w:space="0" w:color="auto"/>
        <w:right w:val="none" w:sz="0" w:space="0" w:color="auto"/>
      </w:divBdr>
    </w:div>
    <w:div w:id="484274041">
      <w:bodyDiv w:val="1"/>
      <w:marLeft w:val="0"/>
      <w:marRight w:val="0"/>
      <w:marTop w:val="0"/>
      <w:marBottom w:val="0"/>
      <w:divBdr>
        <w:top w:val="none" w:sz="0" w:space="0" w:color="auto"/>
        <w:left w:val="none" w:sz="0" w:space="0" w:color="auto"/>
        <w:bottom w:val="none" w:sz="0" w:space="0" w:color="auto"/>
        <w:right w:val="none" w:sz="0" w:space="0" w:color="auto"/>
      </w:divBdr>
    </w:div>
    <w:div w:id="753667543">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962998671">
      <w:bodyDiv w:val="1"/>
      <w:marLeft w:val="0"/>
      <w:marRight w:val="0"/>
      <w:marTop w:val="0"/>
      <w:marBottom w:val="0"/>
      <w:divBdr>
        <w:top w:val="none" w:sz="0" w:space="0" w:color="auto"/>
        <w:left w:val="none" w:sz="0" w:space="0" w:color="auto"/>
        <w:bottom w:val="none" w:sz="0" w:space="0" w:color="auto"/>
        <w:right w:val="none" w:sz="0" w:space="0" w:color="auto"/>
      </w:divBdr>
    </w:div>
    <w:div w:id="1183588103">
      <w:bodyDiv w:val="1"/>
      <w:marLeft w:val="0"/>
      <w:marRight w:val="0"/>
      <w:marTop w:val="0"/>
      <w:marBottom w:val="0"/>
      <w:divBdr>
        <w:top w:val="none" w:sz="0" w:space="0" w:color="auto"/>
        <w:left w:val="none" w:sz="0" w:space="0" w:color="auto"/>
        <w:bottom w:val="none" w:sz="0" w:space="0" w:color="auto"/>
        <w:right w:val="none" w:sz="0" w:space="0" w:color="auto"/>
      </w:divBdr>
    </w:div>
    <w:div w:id="1259756296">
      <w:bodyDiv w:val="1"/>
      <w:marLeft w:val="0"/>
      <w:marRight w:val="0"/>
      <w:marTop w:val="0"/>
      <w:marBottom w:val="0"/>
      <w:divBdr>
        <w:top w:val="none" w:sz="0" w:space="0" w:color="auto"/>
        <w:left w:val="none" w:sz="0" w:space="0" w:color="auto"/>
        <w:bottom w:val="none" w:sz="0" w:space="0" w:color="auto"/>
        <w:right w:val="none" w:sz="0" w:space="0" w:color="auto"/>
      </w:divBdr>
    </w:div>
    <w:div w:id="1306548319">
      <w:bodyDiv w:val="1"/>
      <w:marLeft w:val="0"/>
      <w:marRight w:val="0"/>
      <w:marTop w:val="0"/>
      <w:marBottom w:val="0"/>
      <w:divBdr>
        <w:top w:val="none" w:sz="0" w:space="0" w:color="auto"/>
        <w:left w:val="none" w:sz="0" w:space="0" w:color="auto"/>
        <w:bottom w:val="none" w:sz="0" w:space="0" w:color="auto"/>
        <w:right w:val="none" w:sz="0" w:space="0" w:color="auto"/>
      </w:divBdr>
    </w:div>
    <w:div w:id="1548684218">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42676564">
      <w:bodyDiv w:val="1"/>
      <w:marLeft w:val="0"/>
      <w:marRight w:val="0"/>
      <w:marTop w:val="0"/>
      <w:marBottom w:val="0"/>
      <w:divBdr>
        <w:top w:val="none" w:sz="0" w:space="0" w:color="auto"/>
        <w:left w:val="none" w:sz="0" w:space="0" w:color="auto"/>
        <w:bottom w:val="none" w:sz="0" w:space="0" w:color="auto"/>
        <w:right w:val="none" w:sz="0" w:space="0" w:color="auto"/>
      </w:divBdr>
    </w:div>
    <w:div w:id="1891531523">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78029779">
      <w:bodyDiv w:val="1"/>
      <w:marLeft w:val="0"/>
      <w:marRight w:val="0"/>
      <w:marTop w:val="0"/>
      <w:marBottom w:val="0"/>
      <w:divBdr>
        <w:top w:val="none" w:sz="0" w:space="0" w:color="auto"/>
        <w:left w:val="none" w:sz="0" w:space="0" w:color="auto"/>
        <w:bottom w:val="none" w:sz="0" w:space="0" w:color="auto"/>
        <w:right w:val="none" w:sz="0" w:space="0" w:color="auto"/>
      </w:divBdr>
    </w:div>
    <w:div w:id="1988512834">
      <w:bodyDiv w:val="1"/>
      <w:marLeft w:val="0"/>
      <w:marRight w:val="0"/>
      <w:marTop w:val="0"/>
      <w:marBottom w:val="0"/>
      <w:divBdr>
        <w:top w:val="none" w:sz="0" w:space="0" w:color="auto"/>
        <w:left w:val="none" w:sz="0" w:space="0" w:color="auto"/>
        <w:bottom w:val="none" w:sz="0" w:space="0" w:color="auto"/>
        <w:right w:val="none" w:sz="0" w:space="0" w:color="auto"/>
      </w:divBdr>
    </w:div>
    <w:div w:id="2004621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alth.gov.au/health-topics/medicine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health.gov.au/health-topics/medicin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0892AD-C596-40B4-89DF-FDD2641BC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2406</Words>
  <Characters>13536</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2023-10-19T23:53:00Z</dcterms:created>
  <dcterms:modified xsi:type="dcterms:W3CDTF">2023-10-23T22:52:00Z</dcterms:modified>
</cp:coreProperties>
</file>