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40F18CC8" w:rsidR="00B60939" w:rsidRPr="003D7B4C" w:rsidRDefault="00921526" w:rsidP="00C533D8">
      <w:pPr>
        <w:pStyle w:val="COMH1-non-numbered"/>
        <w:spacing w:before="0"/>
        <w:rPr>
          <w:sz w:val="36"/>
        </w:rPr>
      </w:pPr>
      <w:bookmarkStart w:id="0" w:name="_Toc124853838"/>
      <w:r w:rsidRPr="003D7B4C">
        <w:rPr>
          <w:sz w:val="36"/>
        </w:rPr>
        <w:t>6.09</w:t>
      </w:r>
      <w:r w:rsidR="00163F66" w:rsidRPr="003D7B4C">
        <w:rPr>
          <w:sz w:val="36"/>
        </w:rPr>
        <w:tab/>
      </w:r>
      <w:r w:rsidR="00FD19F3" w:rsidRPr="003D7B4C">
        <w:rPr>
          <w:sz w:val="36"/>
        </w:rPr>
        <w:t>ZANUBRUTINIB</w:t>
      </w:r>
      <w:r w:rsidR="00163F66" w:rsidRPr="003D7B4C">
        <w:rPr>
          <w:sz w:val="36"/>
        </w:rPr>
        <w:t>,</w:t>
      </w:r>
      <w:r w:rsidR="00163F66" w:rsidRPr="003D7B4C">
        <w:rPr>
          <w:sz w:val="36"/>
        </w:rPr>
        <w:br/>
      </w:r>
      <w:r w:rsidR="00DA62EA" w:rsidRPr="003D7B4C">
        <w:rPr>
          <w:sz w:val="36"/>
        </w:rPr>
        <w:t>C</w:t>
      </w:r>
      <w:r w:rsidR="00B57BF8" w:rsidRPr="003D7B4C">
        <w:rPr>
          <w:sz w:val="36"/>
        </w:rPr>
        <w:t>apsule</w:t>
      </w:r>
      <w:r w:rsidR="00DA62EA" w:rsidRPr="003D7B4C">
        <w:rPr>
          <w:sz w:val="36"/>
        </w:rPr>
        <w:t xml:space="preserve"> 80 mg</w:t>
      </w:r>
      <w:r w:rsidR="00163F66" w:rsidRPr="003D7B4C">
        <w:rPr>
          <w:sz w:val="36"/>
        </w:rPr>
        <w:t>,</w:t>
      </w:r>
      <w:r w:rsidR="00163F66" w:rsidRPr="003D7B4C">
        <w:rPr>
          <w:sz w:val="36"/>
        </w:rPr>
        <w:br/>
      </w:r>
      <w:r w:rsidR="00B57BF8" w:rsidRPr="003D7B4C">
        <w:rPr>
          <w:sz w:val="36"/>
        </w:rPr>
        <w:t>Brukinsa</w:t>
      </w:r>
      <w:r w:rsidR="00B60939" w:rsidRPr="003D7B4C">
        <w:rPr>
          <w:sz w:val="36"/>
        </w:rPr>
        <w:t>®</w:t>
      </w:r>
      <w:r w:rsidR="004A6040" w:rsidRPr="003D7B4C">
        <w:rPr>
          <w:sz w:val="36"/>
        </w:rPr>
        <w:t>,</w:t>
      </w:r>
      <w:r w:rsidR="004A6040" w:rsidRPr="003D7B4C">
        <w:rPr>
          <w:sz w:val="36"/>
        </w:rPr>
        <w:br/>
      </w:r>
      <w:r w:rsidR="00B57BF8" w:rsidRPr="003D7B4C">
        <w:rPr>
          <w:sz w:val="36"/>
        </w:rPr>
        <w:t>Bei</w:t>
      </w:r>
      <w:r w:rsidR="00D45CA0">
        <w:rPr>
          <w:sz w:val="36"/>
        </w:rPr>
        <w:t>g</w:t>
      </w:r>
      <w:r w:rsidR="00B57BF8" w:rsidRPr="003D7B4C">
        <w:rPr>
          <w:sz w:val="36"/>
        </w:rPr>
        <w:t>ene A</w:t>
      </w:r>
      <w:r w:rsidR="00DA62EA" w:rsidRPr="003D7B4C">
        <w:rPr>
          <w:sz w:val="36"/>
        </w:rPr>
        <w:t>us</w:t>
      </w:r>
      <w:r w:rsidR="00B57BF8" w:rsidRPr="003D7B4C">
        <w:rPr>
          <w:sz w:val="36"/>
        </w:rPr>
        <w:t xml:space="preserve"> Pty Ltd</w:t>
      </w:r>
      <w:r w:rsidR="00B60939" w:rsidRPr="003D7B4C">
        <w:rPr>
          <w:sz w:val="36"/>
        </w:rPr>
        <w:t>.</w:t>
      </w:r>
      <w:bookmarkEnd w:id="0"/>
    </w:p>
    <w:p w14:paraId="11C00795" w14:textId="3DFB6D23" w:rsidR="00B50DB8" w:rsidRPr="00C31E62" w:rsidRDefault="00B50DB8" w:rsidP="004A6040">
      <w:pPr>
        <w:pStyle w:val="COMH1numbered"/>
      </w:pPr>
      <w:bookmarkStart w:id="1" w:name="_Toc124853840"/>
      <w:r w:rsidRPr="00C31E62">
        <w:t xml:space="preserve">Purpose of </w:t>
      </w:r>
      <w:r w:rsidR="00CD7193" w:rsidRPr="00C31E62">
        <w:t>s</w:t>
      </w:r>
      <w:r w:rsidR="00BB3A45" w:rsidRPr="00C31E62">
        <w:t>ubmission</w:t>
      </w:r>
      <w:bookmarkEnd w:id="1"/>
    </w:p>
    <w:p w14:paraId="19414AA1" w14:textId="580C4EB9" w:rsidR="002C2775" w:rsidRPr="00C31E62" w:rsidRDefault="007170DA" w:rsidP="006A1BBC">
      <w:pPr>
        <w:pStyle w:val="COMexecsumnumberedpara"/>
      </w:pPr>
      <w:r w:rsidRPr="00C31E62">
        <w:t xml:space="preserve">The </w:t>
      </w:r>
      <w:r w:rsidR="00F73E08" w:rsidRPr="00C31E62">
        <w:t xml:space="preserve">Category </w:t>
      </w:r>
      <w:r w:rsidR="009F6FCA">
        <w:t>2</w:t>
      </w:r>
      <w:r w:rsidR="00F73E08" w:rsidRPr="00C31E62">
        <w:t xml:space="preserve"> </w:t>
      </w:r>
      <w:r w:rsidRPr="00C31E62">
        <w:t xml:space="preserve">submission requested </w:t>
      </w:r>
      <w:r w:rsidR="00576CF5">
        <w:t xml:space="preserve">a General Schedule Authority Required (Telephone/Streamlined) listing of zanubrutinib for the treatment of treatment </w:t>
      </w:r>
      <w:r w:rsidR="00D74E6F">
        <w:t>naïve</w:t>
      </w:r>
      <w:r w:rsidR="00576CF5">
        <w:t xml:space="preserve"> </w:t>
      </w:r>
      <w:r w:rsidR="009D3A59">
        <w:t>chronic lymphocytic leukaemia (</w:t>
      </w:r>
      <w:r w:rsidR="00576CF5">
        <w:t>CLL</w:t>
      </w:r>
      <w:r w:rsidR="009D3A59">
        <w:t>)</w:t>
      </w:r>
      <w:r w:rsidR="00576CF5">
        <w:t>/</w:t>
      </w:r>
      <w:r w:rsidR="009D3A59">
        <w:t>small lymphocytic l</w:t>
      </w:r>
      <w:r w:rsidR="0047248A">
        <w:t>ymphom</w:t>
      </w:r>
      <w:r w:rsidR="009D3A59">
        <w:t>a (</w:t>
      </w:r>
      <w:r w:rsidR="00576CF5">
        <w:t>SLL</w:t>
      </w:r>
      <w:r w:rsidR="009D3A59">
        <w:t>)</w:t>
      </w:r>
      <w:r w:rsidR="00576CF5">
        <w:t>.</w:t>
      </w:r>
    </w:p>
    <w:p w14:paraId="5C718DA4" w14:textId="5F0A27DC" w:rsidR="00C4696D" w:rsidRPr="00C31E62" w:rsidRDefault="005750C5" w:rsidP="00C4696D">
      <w:pPr>
        <w:pStyle w:val="COMexecsumnumberedpara"/>
      </w:pPr>
      <w:r w:rsidRPr="00C31E62">
        <w:t>Listing was requested on the basis of a cost-minimisation</w:t>
      </w:r>
      <w:r w:rsidR="001D71F4" w:rsidRPr="00C31E62">
        <w:t xml:space="preserve"> approach</w:t>
      </w:r>
      <w:r w:rsidR="00C4696D">
        <w:t xml:space="preserve"> </w:t>
      </w:r>
      <w:r w:rsidR="001A1C65">
        <w:t xml:space="preserve">(CMA) </w:t>
      </w:r>
      <w:r w:rsidRPr="00C31E62">
        <w:t xml:space="preserve">versus </w:t>
      </w:r>
      <w:r w:rsidR="00C4696D">
        <w:t>venetoclax + obinutuzumab.</w:t>
      </w:r>
    </w:p>
    <w:p w14:paraId="3718DE61" w14:textId="54DDD9C4" w:rsidR="008B1757" w:rsidRPr="00C31E62" w:rsidRDefault="00696EF9" w:rsidP="004A6040">
      <w:pPr>
        <w:pStyle w:val="COMtablefigcaption"/>
      </w:pPr>
      <w:bookmarkStart w:id="2" w:name="_Ref123831910"/>
      <w:r w:rsidRPr="00C31E62">
        <w:t xml:space="preserve">Table </w:t>
      </w:r>
      <w:fldSimple w:instr=" SEQ Table \* ARABIC " w:fldLock="1">
        <w:r w:rsidR="00540D87">
          <w:rPr>
            <w:noProof/>
          </w:rPr>
          <w:t>1</w:t>
        </w:r>
      </w:fldSimple>
      <w:bookmarkEnd w:id="2"/>
      <w:r w:rsidRPr="00C31E62">
        <w:t>:</w:t>
      </w:r>
      <w:r w:rsidR="00BC591F" w:rsidRPr="00C31E62">
        <w:t xml:space="preserve"> </w:t>
      </w:r>
      <w:r w:rsidR="008B1757" w:rsidRPr="00C31E62">
        <w:t xml:space="preserve">Key components of the clinical issue addressed </w:t>
      </w:r>
      <w:r w:rsidR="00194B87" w:rsidRPr="00C31E62">
        <w:t>in</w:t>
      </w:r>
      <w:r w:rsidR="008B1757" w:rsidRPr="00C31E62">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1"/>
      </w:tblGrid>
      <w:tr w:rsidR="00C31E62" w:rsidRPr="00C31E62" w14:paraId="569F5103" w14:textId="77777777" w:rsidTr="005C2D58">
        <w:trPr>
          <w:cantSplit/>
          <w:tblHeader/>
        </w:trPr>
        <w:tc>
          <w:tcPr>
            <w:tcW w:w="924" w:type="pct"/>
            <w:shd w:val="clear" w:color="auto" w:fill="auto"/>
          </w:tcPr>
          <w:p w14:paraId="501803FB" w14:textId="77777777" w:rsidR="008B1757" w:rsidRPr="00C31E62" w:rsidRDefault="008B1757" w:rsidP="004A6040">
            <w:pPr>
              <w:pStyle w:val="COMTableheadingrow"/>
              <w:rPr>
                <w:szCs w:val="20"/>
              </w:rPr>
            </w:pPr>
            <w:r w:rsidRPr="00C31E62">
              <w:t>Component</w:t>
            </w:r>
          </w:p>
        </w:tc>
        <w:tc>
          <w:tcPr>
            <w:tcW w:w="4076" w:type="pct"/>
            <w:shd w:val="clear" w:color="auto" w:fill="auto"/>
          </w:tcPr>
          <w:p w14:paraId="445D9EBB" w14:textId="77777777" w:rsidR="008B1757" w:rsidRPr="00C31E62" w:rsidRDefault="008B1757" w:rsidP="004A6040">
            <w:pPr>
              <w:pStyle w:val="COMTableheadingrow"/>
            </w:pPr>
            <w:r w:rsidRPr="00C31E62">
              <w:t>Description</w:t>
            </w:r>
          </w:p>
        </w:tc>
      </w:tr>
      <w:tr w:rsidR="00B65AA6" w:rsidRPr="00C31E62" w14:paraId="2EB546E2" w14:textId="77777777" w:rsidTr="005C2D58">
        <w:trPr>
          <w:cantSplit/>
        </w:trPr>
        <w:tc>
          <w:tcPr>
            <w:tcW w:w="924" w:type="pct"/>
            <w:shd w:val="clear" w:color="auto" w:fill="auto"/>
            <w:vAlign w:val="center"/>
          </w:tcPr>
          <w:p w14:paraId="38F3BB34" w14:textId="28771AE2" w:rsidR="00B65AA6" w:rsidRPr="00C31E62" w:rsidRDefault="00B65AA6" w:rsidP="00B65AA6">
            <w:pPr>
              <w:pStyle w:val="COMTabletext"/>
            </w:pPr>
            <w:r w:rsidRPr="00C31E62">
              <w:t>Population</w:t>
            </w:r>
          </w:p>
        </w:tc>
        <w:tc>
          <w:tcPr>
            <w:tcW w:w="4076" w:type="pct"/>
            <w:shd w:val="clear" w:color="auto" w:fill="auto"/>
            <w:vAlign w:val="center"/>
          </w:tcPr>
          <w:p w14:paraId="79618EEE" w14:textId="7FAAA687" w:rsidR="00B65AA6" w:rsidRPr="00C31E62" w:rsidRDefault="00B65AA6" w:rsidP="00B65AA6">
            <w:pPr>
              <w:pStyle w:val="COMTabletext"/>
              <w:rPr>
                <w:szCs w:val="20"/>
              </w:rPr>
            </w:pPr>
            <w:r w:rsidRPr="00231234">
              <w:t>Patients with previously untreated CLL and SLL who are inappropriate for fludarabine</w:t>
            </w:r>
            <w:r>
              <w:t>-</w:t>
            </w:r>
            <w:r w:rsidRPr="00231234">
              <w:t>based chemoimmunotherapy.</w:t>
            </w:r>
          </w:p>
        </w:tc>
      </w:tr>
      <w:tr w:rsidR="00B65AA6" w:rsidRPr="00C31E62" w14:paraId="0CA523AF" w14:textId="77777777" w:rsidTr="005C2D58">
        <w:trPr>
          <w:cantSplit/>
        </w:trPr>
        <w:tc>
          <w:tcPr>
            <w:tcW w:w="924" w:type="pct"/>
            <w:shd w:val="clear" w:color="auto" w:fill="auto"/>
            <w:vAlign w:val="center"/>
          </w:tcPr>
          <w:p w14:paraId="7B6D20D8" w14:textId="772D5660" w:rsidR="00B65AA6" w:rsidRPr="00C31E62" w:rsidRDefault="00B65AA6" w:rsidP="00B65AA6">
            <w:pPr>
              <w:pStyle w:val="COMTabletext"/>
            </w:pPr>
            <w:r w:rsidRPr="00C31E62">
              <w:t>Intervention</w:t>
            </w:r>
          </w:p>
        </w:tc>
        <w:tc>
          <w:tcPr>
            <w:tcW w:w="4076" w:type="pct"/>
            <w:shd w:val="clear" w:color="auto" w:fill="auto"/>
            <w:vAlign w:val="center"/>
          </w:tcPr>
          <w:p w14:paraId="2491E905" w14:textId="366FD49B" w:rsidR="00B65AA6" w:rsidRPr="00C31E62" w:rsidRDefault="00B65AA6" w:rsidP="00B65AA6">
            <w:pPr>
              <w:pStyle w:val="COMTabletext"/>
            </w:pPr>
            <w:r w:rsidRPr="00231234">
              <w:t xml:space="preserve">Oral </w:t>
            </w:r>
            <w:r>
              <w:t>z</w:t>
            </w:r>
            <w:r w:rsidRPr="00231234">
              <w:t>anubrutinib 160 mg twice daily until disease progression or unacceptable toxicity</w:t>
            </w:r>
            <w:r>
              <w:t>.</w:t>
            </w:r>
          </w:p>
        </w:tc>
      </w:tr>
      <w:tr w:rsidR="00B65AA6" w:rsidRPr="00C31E62" w14:paraId="0F81EBE4" w14:textId="77777777" w:rsidTr="005C2D58">
        <w:trPr>
          <w:cantSplit/>
        </w:trPr>
        <w:tc>
          <w:tcPr>
            <w:tcW w:w="924" w:type="pct"/>
            <w:shd w:val="clear" w:color="auto" w:fill="auto"/>
            <w:vAlign w:val="center"/>
          </w:tcPr>
          <w:p w14:paraId="3656B343" w14:textId="4C15545D" w:rsidR="00B65AA6" w:rsidRPr="00C31E62" w:rsidRDefault="00B65AA6" w:rsidP="00B65AA6">
            <w:pPr>
              <w:pStyle w:val="COMTabletext"/>
            </w:pPr>
            <w:r w:rsidRPr="00C31E62">
              <w:t>Comparator</w:t>
            </w:r>
          </w:p>
        </w:tc>
        <w:tc>
          <w:tcPr>
            <w:tcW w:w="4076" w:type="pct"/>
            <w:shd w:val="clear" w:color="auto" w:fill="auto"/>
            <w:vAlign w:val="center"/>
          </w:tcPr>
          <w:p w14:paraId="15F17F5E" w14:textId="77777777" w:rsidR="00B65AA6" w:rsidRDefault="00B65AA6" w:rsidP="004509A1">
            <w:pPr>
              <w:pStyle w:val="COMTabletext"/>
              <w:numPr>
                <w:ilvl w:val="0"/>
                <w:numId w:val="6"/>
              </w:numPr>
              <w:ind w:left="66" w:hanging="76"/>
            </w:pPr>
            <w:r>
              <w:t>Venetoclax + obinutuzumab (main comparator)</w:t>
            </w:r>
          </w:p>
          <w:p w14:paraId="60BFC754" w14:textId="77777777" w:rsidR="00B65AA6" w:rsidRDefault="00B65AA6" w:rsidP="004509A1">
            <w:pPr>
              <w:pStyle w:val="COMTabletext"/>
              <w:numPr>
                <w:ilvl w:val="0"/>
                <w:numId w:val="6"/>
              </w:numPr>
              <w:ind w:left="66" w:hanging="76"/>
            </w:pPr>
            <w:r>
              <w:t>Acalabrutinib monotherapy (near-market comparator)</w:t>
            </w:r>
          </w:p>
          <w:p w14:paraId="3727DE24" w14:textId="6D1F31A0" w:rsidR="00B65AA6" w:rsidRPr="00C31E62" w:rsidRDefault="00B65AA6" w:rsidP="004509A1">
            <w:pPr>
              <w:pStyle w:val="COMTabletext"/>
              <w:numPr>
                <w:ilvl w:val="0"/>
                <w:numId w:val="6"/>
              </w:numPr>
              <w:ind w:left="66" w:hanging="76"/>
            </w:pPr>
            <w:r>
              <w:t>Acalabrutinib + obinutuzumab (near-market comparator)</w:t>
            </w:r>
          </w:p>
        </w:tc>
      </w:tr>
      <w:tr w:rsidR="00B65AA6" w:rsidRPr="00C31E62" w14:paraId="02F86F0D" w14:textId="77777777" w:rsidTr="005C2D58">
        <w:trPr>
          <w:cantSplit/>
        </w:trPr>
        <w:tc>
          <w:tcPr>
            <w:tcW w:w="924" w:type="pct"/>
            <w:shd w:val="clear" w:color="auto" w:fill="auto"/>
            <w:vAlign w:val="center"/>
          </w:tcPr>
          <w:p w14:paraId="06433105" w14:textId="131C0BF2" w:rsidR="00B65AA6" w:rsidRPr="00C31E62" w:rsidRDefault="00B65AA6" w:rsidP="00B65AA6">
            <w:pPr>
              <w:pStyle w:val="COMTabletext"/>
            </w:pPr>
            <w:r w:rsidRPr="00C31E62">
              <w:t>Outcomes</w:t>
            </w:r>
          </w:p>
        </w:tc>
        <w:tc>
          <w:tcPr>
            <w:tcW w:w="4076" w:type="pct"/>
            <w:shd w:val="clear" w:color="auto" w:fill="auto"/>
            <w:vAlign w:val="center"/>
          </w:tcPr>
          <w:p w14:paraId="5ABC4037" w14:textId="2ACFEAB5" w:rsidR="00B65AA6" w:rsidRPr="00C31E62" w:rsidRDefault="00B65AA6" w:rsidP="00B65AA6">
            <w:pPr>
              <w:pStyle w:val="COMTabletext"/>
              <w:rPr>
                <w:rFonts w:eastAsia="Times New Roman" w:cs="Arial"/>
                <w:bCs w:val="0"/>
                <w:snapToGrid w:val="0"/>
                <w:szCs w:val="20"/>
              </w:rPr>
            </w:pPr>
            <w:r w:rsidRPr="00231234">
              <w:t>Progression-free survival; overall response rate; overall survival; time to next treatment; safety</w:t>
            </w:r>
            <w:r>
              <w:t>.</w:t>
            </w:r>
          </w:p>
        </w:tc>
      </w:tr>
      <w:tr w:rsidR="00B65AA6" w:rsidRPr="00C31E62" w14:paraId="22223890" w14:textId="77777777" w:rsidTr="005C2D58">
        <w:trPr>
          <w:cantSplit/>
        </w:trPr>
        <w:tc>
          <w:tcPr>
            <w:tcW w:w="924" w:type="pct"/>
            <w:shd w:val="clear" w:color="auto" w:fill="auto"/>
            <w:vAlign w:val="center"/>
          </w:tcPr>
          <w:p w14:paraId="0FC8FCE0" w14:textId="1A214D95" w:rsidR="00B65AA6" w:rsidRPr="00C31E62" w:rsidRDefault="00B65AA6" w:rsidP="00B65AA6">
            <w:pPr>
              <w:pStyle w:val="COMTabletext"/>
            </w:pPr>
            <w:r w:rsidRPr="00C31E62">
              <w:t>Clinical claim</w:t>
            </w:r>
          </w:p>
        </w:tc>
        <w:tc>
          <w:tcPr>
            <w:tcW w:w="4076" w:type="pct"/>
            <w:shd w:val="clear" w:color="auto" w:fill="auto"/>
            <w:vAlign w:val="center"/>
          </w:tcPr>
          <w:p w14:paraId="3B021CA6" w14:textId="77777777" w:rsidR="00B65AA6" w:rsidRDefault="00B65AA6" w:rsidP="00B65AA6">
            <w:pPr>
              <w:pStyle w:val="COMTabletext"/>
            </w:pPr>
            <w:r>
              <w:t>In patients with previously untreated CLL/SLL who are unsuitable for fludarabine-based chemoimmunotherapy, zanubrutinib is:</w:t>
            </w:r>
          </w:p>
          <w:p w14:paraId="5B11D98E" w14:textId="2FB7FB93" w:rsidR="00B65AA6" w:rsidRDefault="00B65AA6" w:rsidP="004509A1">
            <w:pPr>
              <w:pStyle w:val="COMTabletext"/>
              <w:numPr>
                <w:ilvl w:val="0"/>
                <w:numId w:val="6"/>
              </w:numPr>
              <w:ind w:left="66" w:hanging="76"/>
            </w:pPr>
            <w:r>
              <w:t>Non-inferior to venetoclax + obinutuzumab in terms of efficacy, with a non-inferior but different safety profile.</w:t>
            </w:r>
          </w:p>
          <w:p w14:paraId="13B565FC" w14:textId="77777777" w:rsidR="00B65AA6" w:rsidRDefault="00B65AA6" w:rsidP="004509A1">
            <w:pPr>
              <w:pStyle w:val="COMTabletext"/>
              <w:numPr>
                <w:ilvl w:val="0"/>
                <w:numId w:val="6"/>
              </w:numPr>
              <w:ind w:left="66" w:hanging="76"/>
            </w:pPr>
            <w:r>
              <w:t>Non-inferior to acalabrutinib in terms of efficacy and safety.</w:t>
            </w:r>
          </w:p>
          <w:p w14:paraId="2C99C4DE" w14:textId="7A9A7CDF" w:rsidR="00B65AA6" w:rsidRPr="00B65AA6" w:rsidRDefault="00B65AA6" w:rsidP="004509A1">
            <w:pPr>
              <w:pStyle w:val="COMTabletext"/>
              <w:numPr>
                <w:ilvl w:val="0"/>
                <w:numId w:val="6"/>
              </w:numPr>
              <w:ind w:left="66" w:hanging="76"/>
            </w:pPr>
            <w:r>
              <w:t>Non-inferior to acalabrutinib + obinutuzumab in terms of efficacy and safety.</w:t>
            </w:r>
          </w:p>
        </w:tc>
      </w:tr>
    </w:tbl>
    <w:p w14:paraId="323113F7" w14:textId="7FE5BD1F" w:rsidR="00B65AA6" w:rsidRDefault="00B65AA6" w:rsidP="00B65AA6">
      <w:pPr>
        <w:pStyle w:val="COMTablefooter"/>
      </w:pPr>
      <w:r>
        <w:t>Source: Table 1-1, p16 of the submission.</w:t>
      </w:r>
    </w:p>
    <w:p w14:paraId="527CA7F0" w14:textId="18A56BC7" w:rsidR="004E43B2" w:rsidRPr="00C31E62" w:rsidRDefault="00B65AA6" w:rsidP="00B65AA6">
      <w:pPr>
        <w:pStyle w:val="COMTablefooter"/>
        <w:rPr>
          <w:sz w:val="20"/>
        </w:rPr>
      </w:pPr>
      <w:r>
        <w:t>Abbreviations: CLL = chronic lymphocytic leukaemia, SLL = small lymphocytic leukaemia</w:t>
      </w:r>
    </w:p>
    <w:p w14:paraId="6B4AB6C2" w14:textId="7F01D731" w:rsidR="005C25FF" w:rsidRPr="00C31E62" w:rsidRDefault="005C25FF" w:rsidP="004A6040">
      <w:pPr>
        <w:pStyle w:val="COMH1numbered"/>
      </w:pPr>
      <w:bookmarkStart w:id="3" w:name="_Toc124853841"/>
      <w:r w:rsidRPr="00C31E62">
        <w:t>Background</w:t>
      </w:r>
      <w:bookmarkEnd w:id="3"/>
    </w:p>
    <w:p w14:paraId="60020B41" w14:textId="77777777" w:rsidR="00826A05" w:rsidRDefault="00826A05" w:rsidP="00826A05">
      <w:pPr>
        <w:pStyle w:val="COMexecsumnumberedpara"/>
      </w:pPr>
      <w:bookmarkStart w:id="4" w:name="_Toc22897638"/>
      <w:bookmarkStart w:id="5" w:name="_Toc124179161"/>
      <w:bookmarkStart w:id="6" w:name="_Toc124853842"/>
      <w:r>
        <w:t>A concurrent submission for zanubrutinib monotherapy for the treatment of relapsed/refractory CLL/SLL was considered at the March 2023 PBAC meeting.</w:t>
      </w:r>
    </w:p>
    <w:p w14:paraId="2C521D6D" w14:textId="19BE0630" w:rsidR="005C25FF" w:rsidRPr="00926E59" w:rsidRDefault="005C25FF" w:rsidP="004A6040">
      <w:pPr>
        <w:pStyle w:val="COMH2-non-numbered"/>
      </w:pPr>
      <w:r w:rsidRPr="00926E59">
        <w:t>Registration status</w:t>
      </w:r>
      <w:bookmarkEnd w:id="4"/>
      <w:bookmarkEnd w:id="5"/>
      <w:bookmarkEnd w:id="6"/>
    </w:p>
    <w:p w14:paraId="107DBB90" w14:textId="51A453C8" w:rsidR="00C16498" w:rsidRPr="00926E59" w:rsidRDefault="00B65AA6" w:rsidP="00C16498">
      <w:pPr>
        <w:pStyle w:val="COMexecsumnumberedpara"/>
      </w:pPr>
      <w:r w:rsidRPr="00926E59">
        <w:t xml:space="preserve">The submission was </w:t>
      </w:r>
      <w:r w:rsidR="005F5B9F" w:rsidRPr="00926E59">
        <w:t>made</w:t>
      </w:r>
      <w:r w:rsidRPr="00926E59">
        <w:t xml:space="preserve"> under the TGA/PBAC </w:t>
      </w:r>
      <w:r w:rsidR="005F5B9F" w:rsidRPr="00926E59">
        <w:t>P</w:t>
      </w:r>
      <w:r w:rsidRPr="00926E59">
        <w:t xml:space="preserve">arallel </w:t>
      </w:r>
      <w:r w:rsidR="005F5B9F" w:rsidRPr="00926E59">
        <w:t>P</w:t>
      </w:r>
      <w:r w:rsidRPr="00926E59">
        <w:t>roce</w:t>
      </w:r>
      <w:r w:rsidRPr="00F96C1F">
        <w:t>ss. At the time of the evaluation</w:t>
      </w:r>
      <w:r w:rsidR="005F5B9F" w:rsidRPr="00F96C1F">
        <w:t xml:space="preserve"> for PBAC consideration</w:t>
      </w:r>
      <w:r w:rsidRPr="00F96C1F">
        <w:t>, the Round 1 TGA</w:t>
      </w:r>
      <w:r w:rsidRPr="00926E59">
        <w:t xml:space="preserve"> clinical evaluation report was available. </w:t>
      </w:r>
      <w:r w:rsidR="001A1C65" w:rsidRPr="00926E59">
        <w:t xml:space="preserve">The TGA delegate’s overview was received in January 2023. </w:t>
      </w:r>
      <w:r w:rsidR="00642777">
        <w:t xml:space="preserve">The ACM considered that the product has an overall positive benefit-risk profile for the indication: </w:t>
      </w:r>
      <w:r w:rsidR="00642777" w:rsidRPr="00642777">
        <w:t>‘BRUKINSA is indicated as monotherapy for the treatment of adult patients with chronic lymphocytic leukaemia (CLL) or small lymphocytic lymphoma (SLL).’</w:t>
      </w:r>
    </w:p>
    <w:p w14:paraId="14EE7D63" w14:textId="6FD0D7AF" w:rsidR="00C16498" w:rsidRPr="00C31E62" w:rsidRDefault="00C16498" w:rsidP="00C16498">
      <w:pPr>
        <w:pStyle w:val="COMH2-non-numbered"/>
      </w:pPr>
      <w:bookmarkStart w:id="7" w:name="_Toc124179162"/>
      <w:bookmarkStart w:id="8" w:name="_Toc124853843"/>
      <w:r>
        <w:lastRenderedPageBreak/>
        <w:t>Previous PBAC consideration</w:t>
      </w:r>
      <w:bookmarkEnd w:id="7"/>
      <w:bookmarkEnd w:id="8"/>
    </w:p>
    <w:p w14:paraId="21215BE1" w14:textId="63A911AA" w:rsidR="00EC42C8" w:rsidRDefault="00FA25B3" w:rsidP="00EC42C8">
      <w:pPr>
        <w:pStyle w:val="COMexecsumnumberedpara"/>
      </w:pPr>
      <w:r w:rsidRPr="00FA25B3">
        <w:t>Zanubrutinib is listed on the PBS for the treatment of Waldenstrom macroglobulinaemia and mantle cell lymphoma.</w:t>
      </w:r>
    </w:p>
    <w:p w14:paraId="3EC7FAC0" w14:textId="4E2D68B2" w:rsidR="001D30D0" w:rsidRPr="00D43C42" w:rsidRDefault="00003DD8" w:rsidP="00EC42C8">
      <w:pPr>
        <w:pStyle w:val="COMexecsumnumberedpara"/>
      </w:pPr>
      <w:r w:rsidRPr="00003DD8">
        <w:t xml:space="preserve">The submission stated that a co-dependent application </w:t>
      </w:r>
      <w:r w:rsidR="001D30D0" w:rsidRPr="00003DD8">
        <w:t xml:space="preserve">(MSAC </w:t>
      </w:r>
      <w:r w:rsidR="001D30D0">
        <w:t>application</w:t>
      </w:r>
      <w:r w:rsidR="001D30D0" w:rsidRPr="00003DD8">
        <w:t xml:space="preserve"> 1731)</w:t>
      </w:r>
      <w:r w:rsidR="001D30D0">
        <w:t xml:space="preserve"> </w:t>
      </w:r>
      <w:r>
        <w:t>was</w:t>
      </w:r>
      <w:r w:rsidRPr="00003DD8">
        <w:t xml:space="preserve"> submitted to the MSAC requesting a broadening of the eligible patient population for 17p deletion testing to include untreated CLL/SLL patients, as well as the addition of zanubrutinib to the list of drugs for which </w:t>
      </w:r>
      <w:r w:rsidR="001D30D0">
        <w:t>MBS I</w:t>
      </w:r>
      <w:r w:rsidRPr="00003DD8">
        <w:t>tem 73343 can be used to determine PBS eligibility.</w:t>
      </w:r>
      <w:r w:rsidR="001D30D0">
        <w:t xml:space="preserve"> </w:t>
      </w:r>
      <w:r w:rsidR="001D30D0" w:rsidRPr="00021B9D">
        <w:rPr>
          <w:iCs/>
        </w:rPr>
        <w:t xml:space="preserve">This application was subsequently </w:t>
      </w:r>
      <w:r w:rsidR="002435D8" w:rsidRPr="00021B9D">
        <w:rPr>
          <w:iCs/>
        </w:rPr>
        <w:t>withdraw</w:t>
      </w:r>
      <w:r w:rsidR="008C7787" w:rsidRPr="00021B9D">
        <w:rPr>
          <w:iCs/>
        </w:rPr>
        <w:t>n</w:t>
      </w:r>
      <w:r w:rsidR="002435D8" w:rsidRPr="00021B9D">
        <w:rPr>
          <w:iCs/>
        </w:rPr>
        <w:t xml:space="preserve"> on the basis that the proposed amendments </w:t>
      </w:r>
      <w:r w:rsidR="004E25C5" w:rsidRPr="00021B9D">
        <w:rPr>
          <w:iCs/>
        </w:rPr>
        <w:t>would become redundant due to</w:t>
      </w:r>
      <w:r w:rsidR="002435D8" w:rsidRPr="00021B9D">
        <w:rPr>
          <w:iCs/>
        </w:rPr>
        <w:t xml:space="preserve"> implementation of </w:t>
      </w:r>
      <w:r w:rsidR="004E25C5" w:rsidRPr="00021B9D">
        <w:rPr>
          <w:iCs/>
        </w:rPr>
        <w:t>amendment</w:t>
      </w:r>
      <w:r w:rsidR="008C7787" w:rsidRPr="00021B9D">
        <w:rPr>
          <w:iCs/>
        </w:rPr>
        <w:t>s</w:t>
      </w:r>
      <w:r w:rsidR="004E25C5" w:rsidRPr="00021B9D">
        <w:rPr>
          <w:iCs/>
        </w:rPr>
        <w:t xml:space="preserve"> to MBS Item 73343</w:t>
      </w:r>
      <w:r w:rsidR="008C7787" w:rsidRPr="00021B9D">
        <w:rPr>
          <w:iCs/>
        </w:rPr>
        <w:t xml:space="preserve"> associated with MSAC application 1544.</w:t>
      </w:r>
      <w:r w:rsidR="00310179" w:rsidRPr="00021B9D">
        <w:rPr>
          <w:iCs/>
        </w:rPr>
        <w:t xml:space="preserve"> </w:t>
      </w:r>
    </w:p>
    <w:p w14:paraId="76E4EF3C" w14:textId="13040F70" w:rsidR="00B60939" w:rsidRPr="00C31E62" w:rsidRDefault="00B50DB8" w:rsidP="004E18E9">
      <w:pPr>
        <w:pStyle w:val="COMH1numbered"/>
      </w:pPr>
      <w:bookmarkStart w:id="9" w:name="_Toc107902078"/>
      <w:bookmarkStart w:id="10" w:name="_Toc124853844"/>
      <w:bookmarkEnd w:id="9"/>
      <w:r w:rsidRPr="00C31E62">
        <w:t>Requested listing</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2072"/>
        <w:gridCol w:w="970"/>
        <w:gridCol w:w="1089"/>
        <w:gridCol w:w="852"/>
        <w:gridCol w:w="1720"/>
      </w:tblGrid>
      <w:tr w:rsidR="00C31E62" w:rsidRPr="00C31E62" w14:paraId="73E16E29" w14:textId="77777777" w:rsidTr="00601418">
        <w:trPr>
          <w:cantSplit/>
          <w:trHeight w:val="20"/>
        </w:trPr>
        <w:tc>
          <w:tcPr>
            <w:tcW w:w="2314" w:type="dxa"/>
            <w:vAlign w:val="center"/>
          </w:tcPr>
          <w:p w14:paraId="4660296B" w14:textId="77777777" w:rsidR="00046D64" w:rsidRPr="00C31E62" w:rsidRDefault="00046D64" w:rsidP="00833652">
            <w:pPr>
              <w:keepNext/>
              <w:rPr>
                <w:rFonts w:ascii="Arial Narrow" w:hAnsi="Arial Narrow"/>
                <w:b/>
                <w:bCs/>
                <w:sz w:val="20"/>
                <w:szCs w:val="20"/>
              </w:rPr>
            </w:pPr>
            <w:bookmarkStart w:id="11" w:name="_Hlk104809055"/>
            <w:r w:rsidRPr="00C31E62">
              <w:rPr>
                <w:rFonts w:ascii="Arial Narrow" w:hAnsi="Arial Narrow"/>
                <w:b/>
                <w:bCs/>
                <w:sz w:val="20"/>
                <w:szCs w:val="20"/>
              </w:rPr>
              <w:t>MEDICINAL PRODUCT</w:t>
            </w:r>
          </w:p>
          <w:p w14:paraId="7221C2FD" w14:textId="77777777" w:rsidR="00046D64" w:rsidRPr="00C31E62" w:rsidRDefault="00046D64" w:rsidP="00833652">
            <w:pPr>
              <w:keepNext/>
              <w:rPr>
                <w:rFonts w:ascii="Arial Narrow" w:hAnsi="Arial Narrow"/>
                <w:b/>
                <w:sz w:val="20"/>
                <w:szCs w:val="20"/>
              </w:rPr>
            </w:pPr>
            <w:r w:rsidRPr="00C31E62">
              <w:rPr>
                <w:rFonts w:ascii="Arial Narrow" w:hAnsi="Arial Narrow"/>
                <w:b/>
                <w:bCs/>
                <w:sz w:val="20"/>
                <w:szCs w:val="20"/>
              </w:rPr>
              <w:t>medicinal product pack</w:t>
            </w:r>
          </w:p>
        </w:tc>
        <w:tc>
          <w:tcPr>
            <w:tcW w:w="2072" w:type="dxa"/>
            <w:vAlign w:val="center"/>
          </w:tcPr>
          <w:p w14:paraId="14424AF1" w14:textId="4682424A" w:rsidR="00046D64" w:rsidRPr="00C31E62" w:rsidRDefault="00C61A59" w:rsidP="00833652">
            <w:pPr>
              <w:pStyle w:val="COMTabletext"/>
              <w:jc w:val="center"/>
              <w:rPr>
                <w:b/>
                <w:bCs w:val="0"/>
                <w:szCs w:val="20"/>
              </w:rPr>
            </w:pPr>
            <w:r w:rsidRPr="00C31E62">
              <w:rPr>
                <w:b/>
                <w:bCs w:val="0"/>
                <w:snapToGrid w:val="0"/>
              </w:rPr>
              <w:t>Dispensed Price for Max. Qty</w:t>
            </w:r>
          </w:p>
        </w:tc>
        <w:tc>
          <w:tcPr>
            <w:tcW w:w="970" w:type="dxa"/>
            <w:vAlign w:val="center"/>
          </w:tcPr>
          <w:p w14:paraId="4E41A9BC" w14:textId="0E3A90D0" w:rsidR="00046D64" w:rsidRPr="00C31E62" w:rsidRDefault="00046D64" w:rsidP="00833652">
            <w:pPr>
              <w:keepNext/>
              <w:jc w:val="center"/>
              <w:rPr>
                <w:rFonts w:ascii="Arial Narrow" w:hAnsi="Arial Narrow"/>
                <w:b/>
                <w:sz w:val="20"/>
                <w:szCs w:val="20"/>
              </w:rPr>
            </w:pPr>
            <w:r w:rsidRPr="00C31E62">
              <w:rPr>
                <w:rFonts w:ascii="Arial Narrow" w:hAnsi="Arial Narrow"/>
                <w:b/>
                <w:sz w:val="20"/>
                <w:szCs w:val="20"/>
              </w:rPr>
              <w:t>Max. qty packs</w:t>
            </w:r>
          </w:p>
        </w:tc>
        <w:tc>
          <w:tcPr>
            <w:tcW w:w="1089" w:type="dxa"/>
            <w:vAlign w:val="center"/>
          </w:tcPr>
          <w:p w14:paraId="48197540" w14:textId="77777777" w:rsidR="00046D64" w:rsidRPr="00C31E62" w:rsidRDefault="00046D64" w:rsidP="00833652">
            <w:pPr>
              <w:keepNext/>
              <w:jc w:val="center"/>
              <w:rPr>
                <w:rFonts w:ascii="Arial Narrow" w:hAnsi="Arial Narrow"/>
                <w:b/>
                <w:sz w:val="20"/>
                <w:szCs w:val="20"/>
              </w:rPr>
            </w:pPr>
            <w:r w:rsidRPr="00C31E62">
              <w:rPr>
                <w:rFonts w:ascii="Arial Narrow" w:hAnsi="Arial Narrow"/>
                <w:b/>
                <w:sz w:val="20"/>
                <w:szCs w:val="20"/>
              </w:rPr>
              <w:t>Max. qty units</w:t>
            </w:r>
          </w:p>
        </w:tc>
        <w:tc>
          <w:tcPr>
            <w:tcW w:w="852" w:type="dxa"/>
            <w:vAlign w:val="center"/>
          </w:tcPr>
          <w:p w14:paraId="13B3FDEE" w14:textId="77777777" w:rsidR="00046D64" w:rsidRPr="00C31E62" w:rsidRDefault="00046D64" w:rsidP="00833652">
            <w:pPr>
              <w:keepNext/>
              <w:jc w:val="center"/>
              <w:rPr>
                <w:rFonts w:ascii="Arial Narrow" w:hAnsi="Arial Narrow"/>
                <w:b/>
                <w:sz w:val="20"/>
                <w:szCs w:val="20"/>
              </w:rPr>
            </w:pPr>
            <w:r w:rsidRPr="00C31E62">
              <w:rPr>
                <w:rFonts w:ascii="Arial Narrow" w:hAnsi="Arial Narrow"/>
                <w:b/>
                <w:sz w:val="20"/>
                <w:szCs w:val="20"/>
              </w:rPr>
              <w:t>№.of</w:t>
            </w:r>
          </w:p>
          <w:p w14:paraId="7B215997" w14:textId="77777777" w:rsidR="00046D64" w:rsidRPr="00C31E62" w:rsidRDefault="00046D64" w:rsidP="00833652">
            <w:pPr>
              <w:keepNext/>
              <w:jc w:val="center"/>
              <w:rPr>
                <w:rFonts w:ascii="Arial Narrow" w:hAnsi="Arial Narrow"/>
                <w:b/>
                <w:sz w:val="20"/>
                <w:szCs w:val="20"/>
              </w:rPr>
            </w:pPr>
            <w:r w:rsidRPr="00C31E62">
              <w:rPr>
                <w:rFonts w:ascii="Arial Narrow" w:hAnsi="Arial Narrow"/>
                <w:b/>
                <w:sz w:val="20"/>
                <w:szCs w:val="20"/>
              </w:rPr>
              <w:t>Rpts</w:t>
            </w:r>
          </w:p>
        </w:tc>
        <w:tc>
          <w:tcPr>
            <w:tcW w:w="1720" w:type="dxa"/>
            <w:vAlign w:val="center"/>
          </w:tcPr>
          <w:p w14:paraId="4976F6A8" w14:textId="77777777" w:rsidR="00046D64" w:rsidRPr="00C31E62" w:rsidRDefault="00046D64" w:rsidP="00833652">
            <w:pPr>
              <w:keepNext/>
              <w:jc w:val="center"/>
              <w:rPr>
                <w:rFonts w:ascii="Arial Narrow" w:hAnsi="Arial Narrow"/>
                <w:b/>
                <w:sz w:val="20"/>
                <w:szCs w:val="20"/>
                <w:lang w:val="fr-FR"/>
              </w:rPr>
            </w:pPr>
            <w:r w:rsidRPr="00C31E62">
              <w:rPr>
                <w:rFonts w:ascii="Arial Narrow" w:hAnsi="Arial Narrow"/>
                <w:b/>
                <w:sz w:val="20"/>
                <w:szCs w:val="20"/>
              </w:rPr>
              <w:t>Available brands</w:t>
            </w:r>
          </w:p>
        </w:tc>
      </w:tr>
      <w:tr w:rsidR="000444C5" w:rsidRPr="00C31E62" w14:paraId="40C1AD8E" w14:textId="77777777" w:rsidTr="00601418">
        <w:trPr>
          <w:cantSplit/>
          <w:trHeight w:val="20"/>
        </w:trPr>
        <w:tc>
          <w:tcPr>
            <w:tcW w:w="9017" w:type="dxa"/>
            <w:gridSpan w:val="6"/>
            <w:vAlign w:val="center"/>
          </w:tcPr>
          <w:p w14:paraId="2A4C00A6" w14:textId="561A0770" w:rsidR="000444C5" w:rsidRPr="00C31E62" w:rsidRDefault="000444C5" w:rsidP="00833652">
            <w:pPr>
              <w:pStyle w:val="COMTabletext"/>
              <w:rPr>
                <w:rFonts w:cs="Arial"/>
                <w:szCs w:val="20"/>
              </w:rPr>
            </w:pPr>
            <w:r>
              <w:t>ZANUBRUTINIB</w:t>
            </w:r>
            <w:r w:rsidRPr="00C31E62">
              <w:rPr>
                <w:rFonts w:cs="Arial"/>
                <w:szCs w:val="20"/>
              </w:rPr>
              <w:t xml:space="preserve"> </w:t>
            </w:r>
          </w:p>
        </w:tc>
      </w:tr>
      <w:tr w:rsidR="00C31E62" w:rsidRPr="00C31E62" w14:paraId="1DC2CC67" w14:textId="77777777" w:rsidTr="00601418">
        <w:trPr>
          <w:cantSplit/>
          <w:trHeight w:val="20"/>
        </w:trPr>
        <w:tc>
          <w:tcPr>
            <w:tcW w:w="2314" w:type="dxa"/>
            <w:vAlign w:val="center"/>
          </w:tcPr>
          <w:p w14:paraId="612C04D7" w14:textId="7F80D7F6" w:rsidR="002C36E3" w:rsidRPr="00C31E62" w:rsidRDefault="000444C5" w:rsidP="00833652">
            <w:pPr>
              <w:keepLines/>
              <w:widowControl w:val="0"/>
              <w:rPr>
                <w:rFonts w:ascii="Arial Narrow" w:hAnsi="Arial Narrow"/>
                <w:sz w:val="20"/>
                <w:szCs w:val="20"/>
              </w:rPr>
            </w:pPr>
            <w:r w:rsidRPr="000444C5">
              <w:rPr>
                <w:rFonts w:ascii="Arial Narrow" w:eastAsiaTheme="majorEastAsia" w:hAnsi="Arial Narrow" w:cstheme="majorBidi"/>
                <w:bCs/>
                <w:sz w:val="20"/>
              </w:rPr>
              <w:t>zanubrutinib 80 mg capsule, 120</w:t>
            </w:r>
          </w:p>
        </w:tc>
        <w:tc>
          <w:tcPr>
            <w:tcW w:w="2072" w:type="dxa"/>
          </w:tcPr>
          <w:p w14:paraId="165B0516" w14:textId="77777777" w:rsidR="000444C5" w:rsidRDefault="000444C5" w:rsidP="00833652">
            <w:pPr>
              <w:pStyle w:val="COMTabletext"/>
              <w:keepNext w:val="0"/>
              <w:keepLines/>
              <w:widowControl w:val="0"/>
              <w:jc w:val="center"/>
            </w:pPr>
            <w:r>
              <w:t>$8,794.57 published price</w:t>
            </w:r>
          </w:p>
          <w:p w14:paraId="70C2874A" w14:textId="3CDECFB8" w:rsidR="002C36E3" w:rsidRPr="00C31E62" w:rsidRDefault="000444C5" w:rsidP="00833652">
            <w:pPr>
              <w:pStyle w:val="COMTabletext"/>
              <w:keepNext w:val="0"/>
              <w:keepLines/>
              <w:widowControl w:val="0"/>
              <w:jc w:val="center"/>
              <w:rPr>
                <w:szCs w:val="20"/>
              </w:rPr>
            </w:pPr>
            <w:r>
              <w:t>$TBD effective price</w:t>
            </w:r>
          </w:p>
        </w:tc>
        <w:tc>
          <w:tcPr>
            <w:tcW w:w="970" w:type="dxa"/>
            <w:vAlign w:val="center"/>
          </w:tcPr>
          <w:p w14:paraId="71CD2441" w14:textId="40B29E55" w:rsidR="002C36E3" w:rsidRPr="00C31E62" w:rsidRDefault="000444C5" w:rsidP="00833652">
            <w:pPr>
              <w:keepLines/>
              <w:widowControl w:val="0"/>
              <w:jc w:val="center"/>
              <w:rPr>
                <w:rFonts w:ascii="Arial Narrow" w:hAnsi="Arial Narrow"/>
                <w:sz w:val="20"/>
                <w:szCs w:val="20"/>
              </w:rPr>
            </w:pPr>
            <w:r>
              <w:rPr>
                <w:rFonts w:ascii="Arial Narrow" w:hAnsi="Arial Narrow"/>
                <w:sz w:val="20"/>
              </w:rPr>
              <w:t>1</w:t>
            </w:r>
          </w:p>
        </w:tc>
        <w:tc>
          <w:tcPr>
            <w:tcW w:w="1089" w:type="dxa"/>
            <w:vAlign w:val="center"/>
          </w:tcPr>
          <w:p w14:paraId="65F4D3E9" w14:textId="226E0ACF" w:rsidR="002C36E3" w:rsidRPr="00C31E62" w:rsidRDefault="000444C5" w:rsidP="00833652">
            <w:pPr>
              <w:keepLines/>
              <w:widowControl w:val="0"/>
              <w:jc w:val="center"/>
              <w:rPr>
                <w:rFonts w:ascii="Arial Narrow" w:hAnsi="Arial Narrow"/>
                <w:sz w:val="20"/>
                <w:szCs w:val="20"/>
              </w:rPr>
            </w:pPr>
            <w:r>
              <w:rPr>
                <w:rFonts w:ascii="Arial Narrow" w:hAnsi="Arial Narrow"/>
                <w:sz w:val="20"/>
              </w:rPr>
              <w:t>120</w:t>
            </w:r>
          </w:p>
        </w:tc>
        <w:tc>
          <w:tcPr>
            <w:tcW w:w="852" w:type="dxa"/>
            <w:vAlign w:val="center"/>
          </w:tcPr>
          <w:p w14:paraId="7C728D0C" w14:textId="365F2B25" w:rsidR="002C36E3" w:rsidRPr="00C31E62" w:rsidRDefault="000444C5" w:rsidP="00833652">
            <w:pPr>
              <w:keepLines/>
              <w:widowControl w:val="0"/>
              <w:jc w:val="center"/>
              <w:rPr>
                <w:rFonts w:ascii="Arial Narrow" w:hAnsi="Arial Narrow"/>
                <w:sz w:val="20"/>
                <w:szCs w:val="20"/>
              </w:rPr>
            </w:pPr>
            <w:r>
              <w:rPr>
                <w:rFonts w:ascii="Arial Narrow" w:hAnsi="Arial Narrow"/>
                <w:sz w:val="20"/>
              </w:rPr>
              <w:t>5</w:t>
            </w:r>
          </w:p>
        </w:tc>
        <w:tc>
          <w:tcPr>
            <w:tcW w:w="1720" w:type="dxa"/>
            <w:vAlign w:val="center"/>
          </w:tcPr>
          <w:p w14:paraId="519A0BC8" w14:textId="421D44F6" w:rsidR="002C36E3" w:rsidRPr="00C31E62" w:rsidRDefault="006A1BBC" w:rsidP="00833652">
            <w:pPr>
              <w:keepLines/>
              <w:widowControl w:val="0"/>
              <w:rPr>
                <w:rFonts w:ascii="Arial Narrow" w:hAnsi="Arial Narrow"/>
                <w:sz w:val="20"/>
                <w:szCs w:val="20"/>
              </w:rPr>
            </w:pPr>
            <w:r>
              <w:rPr>
                <w:rFonts w:ascii="Arial Narrow" w:hAnsi="Arial Narrow"/>
                <w:sz w:val="20"/>
                <w:szCs w:val="20"/>
              </w:rPr>
              <w:t>B</w:t>
            </w:r>
            <w:r w:rsidR="000444C5" w:rsidRPr="000444C5">
              <w:rPr>
                <w:rFonts w:ascii="Arial Narrow" w:hAnsi="Arial Narrow"/>
                <w:sz w:val="20"/>
                <w:szCs w:val="20"/>
              </w:rPr>
              <w:t>rukinsa</w:t>
            </w:r>
          </w:p>
        </w:tc>
      </w:tr>
      <w:tr w:rsidR="00C31E62" w:rsidRPr="00C31E62" w14:paraId="3EE8ABAE"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tcPr>
          <w:p w14:paraId="3B622315" w14:textId="040B5019" w:rsidR="003A4C14" w:rsidRPr="00C31E62" w:rsidRDefault="003A4C14" w:rsidP="00833652">
            <w:pPr>
              <w:pStyle w:val="COMTabletext"/>
              <w:keepNext w:val="0"/>
              <w:widowControl w:val="0"/>
            </w:pPr>
            <w:bookmarkStart w:id="12" w:name="_Hlk104809470"/>
            <w:bookmarkEnd w:id="11"/>
            <w:r w:rsidRPr="00C31E62">
              <w:rPr>
                <w:b/>
              </w:rPr>
              <w:t xml:space="preserve">Category / Program: </w:t>
            </w:r>
            <w:r w:rsidRPr="00C31E62">
              <w:t>General Schedule</w:t>
            </w:r>
          </w:p>
        </w:tc>
      </w:tr>
      <w:tr w:rsidR="00C31E62" w:rsidRPr="00C31E62" w14:paraId="09416ED3"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tcPr>
          <w:p w14:paraId="7D2ED8D5" w14:textId="00ECCB27" w:rsidR="003A4C14" w:rsidRPr="00C31E62" w:rsidRDefault="003A4C14" w:rsidP="00833652">
            <w:pPr>
              <w:pStyle w:val="COMTabletext"/>
              <w:keepNext w:val="0"/>
              <w:widowControl w:val="0"/>
              <w:rPr>
                <w:b/>
              </w:rPr>
            </w:pPr>
            <w:r w:rsidRPr="00C31E62">
              <w:rPr>
                <w:b/>
              </w:rPr>
              <w:t xml:space="preserve">Prescriber type: </w:t>
            </w:r>
            <w:r w:rsidR="00C341F0">
              <w:fldChar w:fldCharType="begin" w:fldLock="1">
                <w:ffData>
                  <w:name w:val=""/>
                  <w:enabled/>
                  <w:calcOnExit w:val="0"/>
                  <w:checkBox>
                    <w:sizeAuto/>
                    <w:default w:val="1"/>
                  </w:checkBox>
                </w:ffData>
              </w:fldChar>
            </w:r>
            <w:r w:rsidR="00C341F0">
              <w:instrText xml:space="preserve"> FORMCHECKBOX </w:instrText>
            </w:r>
            <w:r w:rsidR="00AF7865">
              <w:fldChar w:fldCharType="separate"/>
            </w:r>
            <w:r w:rsidR="00C341F0">
              <w:fldChar w:fldCharType="end"/>
            </w:r>
            <w:r w:rsidRPr="00C31E62">
              <w:t xml:space="preserve">Medical Practitioners </w:t>
            </w:r>
          </w:p>
        </w:tc>
      </w:tr>
      <w:tr w:rsidR="00C31E62" w:rsidRPr="00C31E62" w14:paraId="070CFDD2"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tcPr>
          <w:p w14:paraId="3320A955" w14:textId="4180DC1F" w:rsidR="003A4C14" w:rsidRPr="00C31E62" w:rsidRDefault="003A4C14" w:rsidP="00833652">
            <w:pPr>
              <w:pStyle w:val="COMTabletext"/>
              <w:keepNext w:val="0"/>
              <w:widowControl w:val="0"/>
              <w:rPr>
                <w:rFonts w:eastAsia="Times New Roman"/>
              </w:rPr>
            </w:pPr>
            <w:r w:rsidRPr="00C31E62">
              <w:rPr>
                <w:b/>
              </w:rPr>
              <w:t xml:space="preserve">Restriction type: </w:t>
            </w:r>
            <w:r w:rsidR="00C341F0">
              <w:rPr>
                <w:rFonts w:eastAsia="Times New Roman"/>
              </w:rPr>
              <w:fldChar w:fldCharType="begin" w:fldLock="1">
                <w:ffData>
                  <w:name w:val=""/>
                  <w:enabled/>
                  <w:calcOnExit w:val="0"/>
                  <w:checkBox>
                    <w:sizeAuto/>
                    <w:default w:val="1"/>
                  </w:checkBox>
                </w:ffData>
              </w:fldChar>
            </w:r>
            <w:r w:rsidR="00C341F0">
              <w:rPr>
                <w:rFonts w:eastAsia="Times New Roman"/>
              </w:rPr>
              <w:instrText xml:space="preserve"> FORMCHECKBOX </w:instrText>
            </w:r>
            <w:r w:rsidR="00AF7865">
              <w:rPr>
                <w:rFonts w:eastAsia="Times New Roman"/>
              </w:rPr>
            </w:r>
            <w:r w:rsidR="00AF7865">
              <w:rPr>
                <w:rFonts w:eastAsia="Times New Roman"/>
              </w:rPr>
              <w:fldChar w:fldCharType="separate"/>
            </w:r>
            <w:r w:rsidR="00C341F0">
              <w:rPr>
                <w:rFonts w:eastAsia="Times New Roman"/>
              </w:rPr>
              <w:fldChar w:fldCharType="end"/>
            </w:r>
            <w:r w:rsidRPr="00C31E62">
              <w:rPr>
                <w:rFonts w:eastAsia="Times New Roman"/>
              </w:rPr>
              <w:t xml:space="preserve">Authority Required (telephone/online PBS Authorities system) </w:t>
            </w:r>
          </w:p>
        </w:tc>
      </w:tr>
      <w:tr w:rsidR="005D558E" w:rsidRPr="00C31E62" w14:paraId="5EF807A1"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tcPr>
          <w:p w14:paraId="44507DD4" w14:textId="77777777" w:rsidR="005D558E" w:rsidRPr="00C31E62" w:rsidRDefault="005D558E" w:rsidP="00833652">
            <w:pPr>
              <w:pStyle w:val="COMTabletext"/>
              <w:keepNext w:val="0"/>
              <w:widowControl w:val="0"/>
              <w:rPr>
                <w:b/>
              </w:rPr>
            </w:pPr>
          </w:p>
        </w:tc>
      </w:tr>
      <w:tr w:rsidR="00C31E62" w:rsidRPr="00C31E62" w14:paraId="1C77854D"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58BBA51" w14:textId="755FDD27" w:rsidR="003A4C14" w:rsidRPr="00B7522C" w:rsidRDefault="003A4C14" w:rsidP="00833652">
            <w:pPr>
              <w:pStyle w:val="COMTabletext"/>
              <w:keepNext w:val="0"/>
              <w:widowControl w:val="0"/>
              <w:rPr>
                <w:bCs w:val="0"/>
              </w:rPr>
            </w:pPr>
            <w:r w:rsidRPr="00B7522C">
              <w:rPr>
                <w:b/>
              </w:rPr>
              <w:t xml:space="preserve">Episodicity: </w:t>
            </w:r>
            <w:r w:rsidR="00C341F0" w:rsidRPr="00B7522C">
              <w:rPr>
                <w:bCs w:val="0"/>
              </w:rPr>
              <w:t>Untreated</w:t>
            </w:r>
          </w:p>
        </w:tc>
      </w:tr>
      <w:tr w:rsidR="00C31E62" w:rsidRPr="00C31E62" w14:paraId="4473716B"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C58C468" w14:textId="62FE0910" w:rsidR="003A4C14" w:rsidRPr="00B7522C" w:rsidRDefault="003A4C14" w:rsidP="00833652">
            <w:pPr>
              <w:pStyle w:val="COMTabletext"/>
              <w:keepNext w:val="0"/>
              <w:widowControl w:val="0"/>
              <w:rPr>
                <w:b/>
              </w:rPr>
            </w:pPr>
            <w:r w:rsidRPr="00B7522C">
              <w:rPr>
                <w:b/>
              </w:rPr>
              <w:t xml:space="preserve">Condition: </w:t>
            </w:r>
            <w:r w:rsidR="004759E0" w:rsidRPr="00B7522C">
              <w:rPr>
                <w:bCs w:val="0"/>
              </w:rPr>
              <w:t>Chronic lymphocytic leukaemia (CLL) or small lymphocytic lymphoma (SLL)</w:t>
            </w:r>
          </w:p>
        </w:tc>
      </w:tr>
      <w:tr w:rsidR="00C31E62" w:rsidRPr="00C31E62" w14:paraId="5BFE3347"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296BDDA" w14:textId="7E89B8F8" w:rsidR="003A4C14" w:rsidRPr="00C31E62" w:rsidRDefault="003A4C14" w:rsidP="00833652">
            <w:pPr>
              <w:pStyle w:val="COMTabletext"/>
              <w:keepNext w:val="0"/>
              <w:widowControl w:val="0"/>
            </w:pPr>
            <w:r w:rsidRPr="00C31E62">
              <w:rPr>
                <w:b/>
              </w:rPr>
              <w:t>Indication:</w:t>
            </w:r>
            <w:r w:rsidRPr="00C31E62">
              <w:t xml:space="preserve"> </w:t>
            </w:r>
            <w:r w:rsidR="004759E0" w:rsidRPr="004759E0">
              <w:t>Untreated chronic lymphocytic leukaemia (CLL) or small lymphocytic lymphoma (SLL)</w:t>
            </w:r>
          </w:p>
        </w:tc>
      </w:tr>
      <w:tr w:rsidR="005D558E" w:rsidRPr="00C31E62" w14:paraId="2AC48A6C"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CF12926" w14:textId="77777777" w:rsidR="005D558E" w:rsidRPr="00C31E62" w:rsidRDefault="005D558E" w:rsidP="00833652">
            <w:pPr>
              <w:pStyle w:val="COMTabletext"/>
              <w:keepNext w:val="0"/>
              <w:widowControl w:val="0"/>
              <w:rPr>
                <w:b/>
              </w:rPr>
            </w:pPr>
          </w:p>
        </w:tc>
      </w:tr>
      <w:tr w:rsidR="00C31E62" w:rsidRPr="00C31E62" w14:paraId="7A6417F7"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55B4B49" w14:textId="7C14FE2B" w:rsidR="003A4C14" w:rsidRPr="00C31E62" w:rsidRDefault="003A4C14" w:rsidP="00833652">
            <w:pPr>
              <w:pStyle w:val="COMTabletext"/>
              <w:keepNext w:val="0"/>
              <w:widowControl w:val="0"/>
            </w:pPr>
            <w:r w:rsidRPr="00C31E62">
              <w:rPr>
                <w:b/>
              </w:rPr>
              <w:t>Treatment Phase:</w:t>
            </w:r>
            <w:r w:rsidRPr="00C31E62">
              <w:t xml:space="preserve"> </w:t>
            </w:r>
            <w:r w:rsidR="004759E0" w:rsidRPr="004759E0">
              <w:rPr>
                <w:bCs w:val="0"/>
              </w:rPr>
              <w:t>Initial</w:t>
            </w:r>
            <w:r w:rsidR="004759E0">
              <w:rPr>
                <w:bCs w:val="0"/>
              </w:rPr>
              <w:t>, grandfathered, continuing</w:t>
            </w:r>
          </w:p>
        </w:tc>
      </w:tr>
      <w:tr w:rsidR="005D558E" w:rsidRPr="00C31E62" w14:paraId="0781E292"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E499265" w14:textId="77777777" w:rsidR="005D558E" w:rsidRPr="00C31E62" w:rsidRDefault="005D558E" w:rsidP="00833652">
            <w:pPr>
              <w:pStyle w:val="COMTabletext"/>
              <w:keepNext w:val="0"/>
              <w:widowControl w:val="0"/>
              <w:rPr>
                <w:b/>
              </w:rPr>
            </w:pPr>
          </w:p>
        </w:tc>
      </w:tr>
      <w:tr w:rsidR="00EE106E" w:rsidRPr="00C31E62" w14:paraId="26B4B2EA"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39FDB82" w14:textId="491DDB9D" w:rsidR="00EE106E" w:rsidRPr="00C31E62" w:rsidRDefault="00EE106E" w:rsidP="00833652">
            <w:pPr>
              <w:pStyle w:val="COMTabletext"/>
              <w:keepNext w:val="0"/>
              <w:widowControl w:val="0"/>
              <w:rPr>
                <w:b/>
              </w:rPr>
            </w:pPr>
            <w:r>
              <w:rPr>
                <w:b/>
              </w:rPr>
              <w:t>Initial</w:t>
            </w:r>
          </w:p>
        </w:tc>
      </w:tr>
      <w:tr w:rsidR="00C31E62" w:rsidRPr="00C31E62" w14:paraId="3ABBD2EC"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5D485398" w14:textId="6D6D440D" w:rsidR="003A4C14" w:rsidRPr="00C31E62" w:rsidRDefault="003A4C14" w:rsidP="00833652">
            <w:pPr>
              <w:pStyle w:val="COMTabletext"/>
              <w:keepNext w:val="0"/>
              <w:widowControl w:val="0"/>
            </w:pPr>
            <w:r w:rsidRPr="00C31E62">
              <w:rPr>
                <w:b/>
              </w:rPr>
              <w:t>Clinical criteria</w:t>
            </w:r>
            <w:r w:rsidR="004759E0">
              <w:rPr>
                <w:b/>
              </w:rPr>
              <w:t xml:space="preserve"> (initial)</w:t>
            </w:r>
            <w:r w:rsidRPr="00C31E62">
              <w:rPr>
                <w:b/>
              </w:rPr>
              <w:t>:</w:t>
            </w:r>
          </w:p>
        </w:tc>
      </w:tr>
      <w:tr w:rsidR="004759E0" w:rsidRPr="00C31E62" w14:paraId="1504FD31"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D7B7A05" w14:textId="24459DBA" w:rsidR="004759E0" w:rsidRPr="00C31E62" w:rsidRDefault="004759E0" w:rsidP="00833652">
            <w:pPr>
              <w:pStyle w:val="COMTabletext"/>
              <w:keepNext w:val="0"/>
              <w:widowControl w:val="0"/>
              <w:rPr>
                <w:b/>
              </w:rPr>
            </w:pPr>
            <w:r w:rsidRPr="00C04BF4">
              <w:t>The condition must be previously untreated</w:t>
            </w:r>
          </w:p>
        </w:tc>
      </w:tr>
      <w:tr w:rsidR="004759E0" w:rsidRPr="00C31E62" w14:paraId="369A6568"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F616632" w14:textId="1DC0BD51" w:rsidR="004759E0" w:rsidRPr="00C31E62" w:rsidRDefault="004759E0" w:rsidP="00833652">
            <w:pPr>
              <w:pStyle w:val="COMTabletext"/>
              <w:keepNext w:val="0"/>
              <w:widowControl w:val="0"/>
              <w:rPr>
                <w:b/>
              </w:rPr>
            </w:pPr>
            <w:r w:rsidRPr="00C31E62">
              <w:rPr>
                <w:b/>
              </w:rPr>
              <w:t>AND</w:t>
            </w:r>
          </w:p>
        </w:tc>
      </w:tr>
      <w:tr w:rsidR="004759E0" w:rsidRPr="00C31E62" w14:paraId="0B528000"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FE91188" w14:textId="7276242F" w:rsidR="004759E0" w:rsidRPr="00C31E62" w:rsidRDefault="004759E0" w:rsidP="00833652">
            <w:pPr>
              <w:pStyle w:val="COMTabletext"/>
              <w:keepNext w:val="0"/>
              <w:widowControl w:val="0"/>
              <w:rPr>
                <w:b/>
              </w:rPr>
            </w:pPr>
            <w:r w:rsidRPr="00C31E62">
              <w:rPr>
                <w:b/>
              </w:rPr>
              <w:t>Clinical criteria</w:t>
            </w:r>
            <w:r>
              <w:rPr>
                <w:b/>
              </w:rPr>
              <w:t xml:space="preserve"> (initial)</w:t>
            </w:r>
            <w:r w:rsidRPr="00C31E62">
              <w:rPr>
                <w:b/>
              </w:rPr>
              <w:t>:</w:t>
            </w:r>
          </w:p>
        </w:tc>
      </w:tr>
      <w:tr w:rsidR="004759E0" w:rsidRPr="00C31E62" w14:paraId="65A6CD41"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FB108AE" w14:textId="505795C0" w:rsidR="004759E0" w:rsidRPr="00C31E62" w:rsidRDefault="004759E0" w:rsidP="12893FCA">
            <w:pPr>
              <w:pStyle w:val="COMTabletext"/>
              <w:keepNext w:val="0"/>
              <w:widowControl w:val="0"/>
              <w:rPr>
                <w:b/>
              </w:rPr>
            </w:pPr>
            <w:r>
              <w:t>Patient must be inappropriate for fludarabine based chemo-immunotherapy</w:t>
            </w:r>
          </w:p>
        </w:tc>
      </w:tr>
      <w:tr w:rsidR="004759E0" w:rsidRPr="00C31E62" w14:paraId="0797F7C5"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A346874" w14:textId="4B18C1DD" w:rsidR="004759E0" w:rsidRPr="00C31E62" w:rsidRDefault="004759E0" w:rsidP="00833652">
            <w:pPr>
              <w:pStyle w:val="COMTabletext"/>
              <w:keepNext w:val="0"/>
              <w:widowControl w:val="0"/>
              <w:rPr>
                <w:b/>
              </w:rPr>
            </w:pPr>
            <w:r w:rsidRPr="00C31E62">
              <w:rPr>
                <w:b/>
              </w:rPr>
              <w:t>AND</w:t>
            </w:r>
          </w:p>
        </w:tc>
      </w:tr>
      <w:tr w:rsidR="004759E0" w:rsidRPr="00C31E62" w14:paraId="318B569A"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F8F8FC5" w14:textId="0F89E1ED" w:rsidR="004759E0" w:rsidRPr="00C31E62" w:rsidRDefault="004759E0" w:rsidP="00833652">
            <w:pPr>
              <w:pStyle w:val="COMTabletext"/>
              <w:keepNext w:val="0"/>
              <w:widowControl w:val="0"/>
              <w:rPr>
                <w:b/>
              </w:rPr>
            </w:pPr>
            <w:r w:rsidRPr="00C31E62">
              <w:rPr>
                <w:b/>
              </w:rPr>
              <w:t>Clinical criteria</w:t>
            </w:r>
            <w:r>
              <w:rPr>
                <w:b/>
              </w:rPr>
              <w:t xml:space="preserve"> (initial)</w:t>
            </w:r>
            <w:r w:rsidRPr="00C31E62">
              <w:rPr>
                <w:b/>
              </w:rPr>
              <w:t>:</w:t>
            </w:r>
          </w:p>
        </w:tc>
      </w:tr>
      <w:tr w:rsidR="004759E0" w:rsidRPr="00C31E62" w14:paraId="2AB0A2FD"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B0E3268" w14:textId="08C94694" w:rsidR="004759E0" w:rsidRPr="00C31E62" w:rsidRDefault="004759E0" w:rsidP="12893FCA">
            <w:pPr>
              <w:pStyle w:val="COMTabletext"/>
              <w:keepNext w:val="0"/>
              <w:widowControl w:val="0"/>
              <w:rPr>
                <w:b/>
              </w:rPr>
            </w:pPr>
            <w:r>
              <w:t xml:space="preserve">Patient must have a total cumulative illness rating scale (CIRS) score of greater than 6 (excluding CLL-induced illness or organ damage) OR </w:t>
            </w:r>
          </w:p>
        </w:tc>
      </w:tr>
      <w:tr w:rsidR="004759E0" w:rsidRPr="00C31E62" w14:paraId="51F49D0D"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CEA420C" w14:textId="2CA549FF" w:rsidR="004759E0" w:rsidRPr="00C31E62" w:rsidRDefault="004759E0" w:rsidP="12893FCA">
            <w:pPr>
              <w:pStyle w:val="COMTabletext"/>
              <w:keepNext w:val="0"/>
              <w:widowControl w:val="0"/>
              <w:rPr>
                <w:b/>
              </w:rPr>
            </w:pPr>
            <w:r>
              <w:t>Patient must have a creatinine clearance less than 70 mL/min</w:t>
            </w:r>
          </w:p>
        </w:tc>
      </w:tr>
      <w:tr w:rsidR="004759E0" w:rsidRPr="00C31E62" w14:paraId="782C5BB0"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6E8B31F" w14:textId="5C14983F" w:rsidR="004759E0" w:rsidRPr="00C31E62" w:rsidRDefault="004759E0" w:rsidP="00833652">
            <w:pPr>
              <w:pStyle w:val="COMTabletext"/>
              <w:keepNext w:val="0"/>
              <w:widowControl w:val="0"/>
              <w:rPr>
                <w:b/>
              </w:rPr>
            </w:pPr>
            <w:r w:rsidRPr="00C31E62">
              <w:rPr>
                <w:b/>
              </w:rPr>
              <w:t>AND</w:t>
            </w:r>
          </w:p>
        </w:tc>
      </w:tr>
      <w:tr w:rsidR="004759E0" w:rsidRPr="00C31E62" w14:paraId="6C84D757"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F82EB2C" w14:textId="389F4931" w:rsidR="004759E0" w:rsidRPr="00C31E62" w:rsidRDefault="004759E0" w:rsidP="00833652">
            <w:pPr>
              <w:pStyle w:val="COMTabletext"/>
              <w:keepNext w:val="0"/>
              <w:widowControl w:val="0"/>
              <w:rPr>
                <w:b/>
              </w:rPr>
            </w:pPr>
            <w:r w:rsidRPr="00C31E62">
              <w:rPr>
                <w:b/>
              </w:rPr>
              <w:t>Clinical criteria</w:t>
            </w:r>
            <w:r>
              <w:rPr>
                <w:b/>
              </w:rPr>
              <w:t xml:space="preserve"> (initial)</w:t>
            </w:r>
            <w:r w:rsidRPr="00C31E62">
              <w:rPr>
                <w:b/>
              </w:rPr>
              <w:t>:</w:t>
            </w:r>
          </w:p>
        </w:tc>
      </w:tr>
      <w:tr w:rsidR="004759E0" w:rsidRPr="00C31E62" w14:paraId="58C5493B"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EA3461A" w14:textId="579D8B7D" w:rsidR="004759E0" w:rsidRPr="00C31E62" w:rsidRDefault="004759E0" w:rsidP="00833652">
            <w:pPr>
              <w:pStyle w:val="COMTabletext"/>
              <w:keepNext w:val="0"/>
              <w:widowControl w:val="0"/>
              <w:rPr>
                <w:b/>
              </w:rPr>
            </w:pPr>
            <w:r w:rsidRPr="00C04BF4">
              <w:t>The treatment must be the sole PBS-subsidised therapy for this condition</w:t>
            </w:r>
            <w:r w:rsidR="005D558E">
              <w:t xml:space="preserve"> </w:t>
            </w:r>
          </w:p>
        </w:tc>
      </w:tr>
      <w:tr w:rsidR="00B7522C" w:rsidRPr="00C31E62" w14:paraId="4B63469E"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A453085" w14:textId="181F012E" w:rsidR="00B7522C" w:rsidRPr="00C04BF4" w:rsidRDefault="00B7522C" w:rsidP="00833652">
            <w:pPr>
              <w:pStyle w:val="COMTabletext"/>
              <w:keepNext w:val="0"/>
              <w:widowControl w:val="0"/>
            </w:pPr>
            <w:r>
              <w:t>OR</w:t>
            </w:r>
          </w:p>
        </w:tc>
      </w:tr>
      <w:tr w:rsidR="00B7522C" w:rsidRPr="00C31E62" w14:paraId="192FC1B8"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DC4FD21" w14:textId="16853F8C" w:rsidR="00B7522C" w:rsidRPr="00C04BF4" w:rsidRDefault="00B7522C" w:rsidP="00833652">
            <w:pPr>
              <w:pStyle w:val="COMTabletext"/>
              <w:keepNext w:val="0"/>
              <w:widowControl w:val="0"/>
            </w:pPr>
            <w:r>
              <w:t>Clinical criteria (initial):</w:t>
            </w:r>
          </w:p>
        </w:tc>
      </w:tr>
      <w:tr w:rsidR="004759E0" w:rsidRPr="00C31E62" w14:paraId="4AD3108F"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B9E814C" w14:textId="43E39A7D" w:rsidR="004759E0" w:rsidRPr="00C31E62" w:rsidRDefault="004759E0" w:rsidP="00833652">
            <w:pPr>
              <w:pStyle w:val="COMTabletext"/>
              <w:keepNext w:val="0"/>
              <w:widowControl w:val="0"/>
              <w:rPr>
                <w:b/>
              </w:rPr>
            </w:pPr>
            <w:r w:rsidRPr="00C04BF4">
              <w:lastRenderedPageBreak/>
              <w:t xml:space="preserve">Patient must have developed intolerance to another Bruton's tyrosine kinase (BTK) inhibitor or B-cell lymphoma 2 (BCL-2) inhibitor of a severity necessitating permanent treatment withdrawal when being treated for </w:t>
            </w:r>
            <w:r>
              <w:t xml:space="preserve">treatment naïve </w:t>
            </w:r>
            <w:r w:rsidRPr="00C04BF4">
              <w:t>CLL/SLL</w:t>
            </w:r>
            <w:r>
              <w:t>.</w:t>
            </w:r>
          </w:p>
        </w:tc>
      </w:tr>
      <w:tr w:rsidR="005D558E" w:rsidRPr="00C31E62" w14:paraId="23D33AEE"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D2F8A22" w14:textId="77777777" w:rsidR="005D558E" w:rsidRPr="00C04BF4" w:rsidRDefault="005D558E" w:rsidP="00833652">
            <w:pPr>
              <w:pStyle w:val="COMTabletext"/>
              <w:keepNext w:val="0"/>
              <w:widowControl w:val="0"/>
            </w:pPr>
          </w:p>
        </w:tc>
      </w:tr>
      <w:tr w:rsidR="004759E0" w:rsidRPr="00C31E62" w14:paraId="36663D15"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E999E9A" w14:textId="06D12AF1" w:rsidR="004759E0" w:rsidRPr="00C31E62" w:rsidRDefault="00EE106E" w:rsidP="00833652">
            <w:pPr>
              <w:pStyle w:val="COMTabletext"/>
              <w:keepNext w:val="0"/>
              <w:keepLines/>
              <w:widowControl w:val="0"/>
              <w:rPr>
                <w:b/>
              </w:rPr>
            </w:pPr>
            <w:r>
              <w:rPr>
                <w:b/>
              </w:rPr>
              <w:t>Grandfather</w:t>
            </w:r>
          </w:p>
        </w:tc>
      </w:tr>
      <w:tr w:rsidR="00EE106E" w:rsidRPr="00C31E62" w14:paraId="6AF9F916"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2A765D3" w14:textId="02430BF0" w:rsidR="00EE106E" w:rsidRPr="00C31E62" w:rsidRDefault="00EE106E" w:rsidP="00833652">
            <w:pPr>
              <w:pStyle w:val="COMTabletext"/>
              <w:keepNext w:val="0"/>
              <w:keepLines/>
              <w:widowControl w:val="0"/>
              <w:rPr>
                <w:b/>
              </w:rPr>
            </w:pPr>
            <w:r w:rsidRPr="00C31E62">
              <w:rPr>
                <w:b/>
              </w:rPr>
              <w:t>Clinical criteria</w:t>
            </w:r>
            <w:r>
              <w:rPr>
                <w:b/>
              </w:rPr>
              <w:t xml:space="preserve"> (grandfather)</w:t>
            </w:r>
            <w:r w:rsidRPr="00C31E62">
              <w:rPr>
                <w:b/>
              </w:rPr>
              <w:t>:</w:t>
            </w:r>
          </w:p>
        </w:tc>
      </w:tr>
      <w:tr w:rsidR="00EE106E" w:rsidRPr="00C31E62" w14:paraId="2937703E"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A340884" w14:textId="60F23975" w:rsidR="00EE106E" w:rsidRPr="00C31E62" w:rsidRDefault="00EE106E" w:rsidP="00833652">
            <w:pPr>
              <w:pStyle w:val="COMTabletext"/>
              <w:keepNext w:val="0"/>
              <w:keepLines/>
              <w:widowControl w:val="0"/>
              <w:rPr>
                <w:b/>
              </w:rPr>
            </w:pPr>
            <w:r w:rsidRPr="001F77BB">
              <w:t>Patient must have previously received non-PBS-subsidised treatment with this drug for untreated CLL/SLL prior to 1 Month 2023 [insert listing date here]</w:t>
            </w:r>
          </w:p>
        </w:tc>
      </w:tr>
      <w:tr w:rsidR="00EE106E" w:rsidRPr="00C31E62" w14:paraId="3993AF6C"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4D48F8C" w14:textId="47933278" w:rsidR="00EE106E" w:rsidRPr="00C31E62" w:rsidRDefault="00EE106E" w:rsidP="00833652">
            <w:pPr>
              <w:pStyle w:val="COMTabletext"/>
              <w:keepNext w:val="0"/>
              <w:widowControl w:val="0"/>
              <w:rPr>
                <w:b/>
              </w:rPr>
            </w:pPr>
            <w:r w:rsidRPr="00C31E62">
              <w:rPr>
                <w:b/>
              </w:rPr>
              <w:t>AND</w:t>
            </w:r>
          </w:p>
        </w:tc>
      </w:tr>
      <w:tr w:rsidR="00EE106E" w:rsidRPr="00C31E62" w14:paraId="3A07787A"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1BA7AD8" w14:textId="5E9D5EBE" w:rsidR="00EE106E" w:rsidRPr="00C31E62" w:rsidRDefault="00EE106E" w:rsidP="00833652">
            <w:pPr>
              <w:pStyle w:val="COMTabletext"/>
              <w:keepNext w:val="0"/>
              <w:widowControl w:val="0"/>
              <w:rPr>
                <w:b/>
              </w:rPr>
            </w:pPr>
            <w:r w:rsidRPr="00C31E62">
              <w:rPr>
                <w:b/>
              </w:rPr>
              <w:t>Clinical criteria</w:t>
            </w:r>
            <w:r>
              <w:rPr>
                <w:b/>
              </w:rPr>
              <w:t xml:space="preserve"> (grandfather)</w:t>
            </w:r>
            <w:r w:rsidRPr="00C31E62">
              <w:rPr>
                <w:b/>
              </w:rPr>
              <w:t>:</w:t>
            </w:r>
          </w:p>
        </w:tc>
      </w:tr>
      <w:tr w:rsidR="00EE106E" w:rsidRPr="00C31E62" w14:paraId="7E8B16E2"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D5705ED" w14:textId="32C79564" w:rsidR="00EE106E" w:rsidRPr="00C31E62" w:rsidRDefault="00EE106E" w:rsidP="00833652">
            <w:pPr>
              <w:pStyle w:val="COMTabletext"/>
              <w:keepNext w:val="0"/>
              <w:widowControl w:val="0"/>
              <w:rPr>
                <w:b/>
              </w:rPr>
            </w:pPr>
            <w:r w:rsidRPr="001F77BB">
              <w:t>The treatment must be the sole PBS-subsidised therapy for this condition</w:t>
            </w:r>
          </w:p>
        </w:tc>
      </w:tr>
      <w:tr w:rsidR="00EE106E" w:rsidRPr="00C31E62" w14:paraId="58B2F512"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6188D07B" w14:textId="2DBAD9CC" w:rsidR="00EE106E" w:rsidRPr="00C31E62" w:rsidRDefault="00EE106E" w:rsidP="00833652">
            <w:pPr>
              <w:pStyle w:val="COMTabletext"/>
              <w:keepNext w:val="0"/>
              <w:widowControl w:val="0"/>
              <w:rPr>
                <w:b/>
              </w:rPr>
            </w:pPr>
            <w:r w:rsidRPr="00C31E62">
              <w:rPr>
                <w:b/>
              </w:rPr>
              <w:t>AND</w:t>
            </w:r>
          </w:p>
        </w:tc>
      </w:tr>
      <w:tr w:rsidR="00EE106E" w:rsidRPr="00C31E62" w14:paraId="71D98378"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CE1146D" w14:textId="302A4FBB" w:rsidR="00EE106E" w:rsidRPr="00C31E62" w:rsidRDefault="00EE106E" w:rsidP="00833652">
            <w:pPr>
              <w:pStyle w:val="COMTabletext"/>
              <w:keepNext w:val="0"/>
              <w:widowControl w:val="0"/>
              <w:rPr>
                <w:b/>
              </w:rPr>
            </w:pPr>
            <w:r w:rsidRPr="00C31E62">
              <w:rPr>
                <w:b/>
              </w:rPr>
              <w:t>Clinical criteria</w:t>
            </w:r>
            <w:r>
              <w:rPr>
                <w:b/>
              </w:rPr>
              <w:t xml:space="preserve"> (grandfather)</w:t>
            </w:r>
            <w:r w:rsidRPr="00C31E62">
              <w:rPr>
                <w:b/>
              </w:rPr>
              <w:t>:</w:t>
            </w:r>
          </w:p>
        </w:tc>
      </w:tr>
      <w:tr w:rsidR="00EE106E" w:rsidRPr="00C31E62" w14:paraId="18B7082F"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336646A" w14:textId="2A5E377F" w:rsidR="00EE106E" w:rsidRPr="00C31E62" w:rsidRDefault="00EE106E" w:rsidP="00833652">
            <w:pPr>
              <w:pStyle w:val="COMTabletext"/>
              <w:keepNext w:val="0"/>
              <w:widowControl w:val="0"/>
              <w:rPr>
                <w:b/>
              </w:rPr>
            </w:pPr>
            <w:r w:rsidRPr="001F77BB">
              <w:t>Patient must not have developed disease progression while receiving treatment with this drug for this condition</w:t>
            </w:r>
          </w:p>
        </w:tc>
      </w:tr>
      <w:tr w:rsidR="005D558E" w:rsidRPr="00C31E62" w14:paraId="0A93E18A"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63A6DD3" w14:textId="77777777" w:rsidR="005D558E" w:rsidRPr="001F77BB" w:rsidRDefault="005D558E" w:rsidP="00833652">
            <w:pPr>
              <w:pStyle w:val="COMTabletext"/>
              <w:keepNext w:val="0"/>
              <w:widowControl w:val="0"/>
            </w:pPr>
          </w:p>
        </w:tc>
      </w:tr>
      <w:tr w:rsidR="00EE106E" w:rsidRPr="00C31E62" w14:paraId="3CA41DBC"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60807F65" w14:textId="4CB24473" w:rsidR="00EE106E" w:rsidRPr="00EE106E" w:rsidRDefault="00EE106E" w:rsidP="00833652">
            <w:pPr>
              <w:pStyle w:val="COMTabletext"/>
              <w:keepNext w:val="0"/>
              <w:widowControl w:val="0"/>
              <w:rPr>
                <w:b/>
                <w:bCs w:val="0"/>
              </w:rPr>
            </w:pPr>
            <w:r>
              <w:rPr>
                <w:b/>
                <w:bCs w:val="0"/>
              </w:rPr>
              <w:t>Continuing</w:t>
            </w:r>
          </w:p>
        </w:tc>
      </w:tr>
      <w:tr w:rsidR="00EE106E" w:rsidRPr="00C31E62" w14:paraId="4BF49477"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5D6C947" w14:textId="51CE7325" w:rsidR="00EE106E" w:rsidRDefault="00EE106E" w:rsidP="00833652">
            <w:pPr>
              <w:pStyle w:val="COMTabletext"/>
              <w:keepNext w:val="0"/>
              <w:widowControl w:val="0"/>
            </w:pPr>
            <w:r w:rsidRPr="00C31E62">
              <w:rPr>
                <w:b/>
              </w:rPr>
              <w:t>Clinical criteria</w:t>
            </w:r>
            <w:r>
              <w:rPr>
                <w:b/>
              </w:rPr>
              <w:t xml:space="preserve"> (continuing)</w:t>
            </w:r>
            <w:r w:rsidRPr="00C31E62">
              <w:rPr>
                <w:b/>
              </w:rPr>
              <w:t>:</w:t>
            </w:r>
          </w:p>
        </w:tc>
      </w:tr>
      <w:tr w:rsidR="00EE106E" w:rsidRPr="00C31E62" w14:paraId="1AC152EB"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39809EB" w14:textId="49152232" w:rsidR="00EE106E" w:rsidRDefault="00EE106E" w:rsidP="00833652">
            <w:pPr>
              <w:pStyle w:val="COMTabletext"/>
              <w:keepNext w:val="0"/>
              <w:widowControl w:val="0"/>
            </w:pPr>
            <w:r w:rsidRPr="00783081">
              <w:t>Patient must have previously received PBS-subsidised treatment with this drug for this condition</w:t>
            </w:r>
          </w:p>
        </w:tc>
      </w:tr>
      <w:tr w:rsidR="00EE106E" w:rsidRPr="00C31E62" w14:paraId="0BEACFF4"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230243C" w14:textId="4ACDB66C" w:rsidR="00EE106E" w:rsidRDefault="00EE106E" w:rsidP="00833652">
            <w:pPr>
              <w:pStyle w:val="COMTabletext"/>
              <w:keepNext w:val="0"/>
              <w:widowControl w:val="0"/>
            </w:pPr>
            <w:r w:rsidRPr="00C31E62">
              <w:rPr>
                <w:b/>
              </w:rPr>
              <w:t>AND</w:t>
            </w:r>
          </w:p>
        </w:tc>
      </w:tr>
      <w:tr w:rsidR="00EE106E" w:rsidRPr="00C31E62" w14:paraId="7600872E"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43A273F" w14:textId="2CCECD42" w:rsidR="00EE106E" w:rsidRDefault="00EE106E" w:rsidP="00833652">
            <w:pPr>
              <w:pStyle w:val="COMTabletext"/>
              <w:keepNext w:val="0"/>
              <w:widowControl w:val="0"/>
            </w:pPr>
            <w:r w:rsidRPr="00C31E62">
              <w:rPr>
                <w:b/>
              </w:rPr>
              <w:t>Clinical criteria</w:t>
            </w:r>
            <w:r>
              <w:rPr>
                <w:b/>
              </w:rPr>
              <w:t xml:space="preserve"> (continuing)</w:t>
            </w:r>
            <w:r w:rsidRPr="00C31E62">
              <w:rPr>
                <w:b/>
              </w:rPr>
              <w:t>:</w:t>
            </w:r>
          </w:p>
        </w:tc>
      </w:tr>
      <w:tr w:rsidR="00EE106E" w:rsidRPr="00C31E62" w14:paraId="40EEB759" w14:textId="77777777" w:rsidTr="0060141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8F7AE84" w14:textId="2BB97436" w:rsidR="00EE106E" w:rsidRDefault="00EE106E" w:rsidP="00833652">
            <w:pPr>
              <w:pStyle w:val="COMTabletext"/>
              <w:keepNext w:val="0"/>
              <w:widowControl w:val="0"/>
            </w:pPr>
            <w:r w:rsidRPr="00783081">
              <w:t>Patient must not develop disease progression while receiving PBS-subsidised treatment with this drug for this condition</w:t>
            </w:r>
          </w:p>
        </w:tc>
      </w:tr>
    </w:tbl>
    <w:bookmarkEnd w:id="12"/>
    <w:p w14:paraId="22BAEBD6" w14:textId="45A2BF30" w:rsidR="00046D64" w:rsidRPr="00C31E62" w:rsidRDefault="00D20F14" w:rsidP="00D20F14">
      <w:pPr>
        <w:pStyle w:val="COMTablefooter"/>
      </w:pPr>
      <w:r>
        <w:t>Abbreviations: TBD = to be determined</w:t>
      </w:r>
    </w:p>
    <w:p w14:paraId="7BCF7DE9" w14:textId="42D9BBBA" w:rsidR="00E631A3" w:rsidRDefault="00C434C9" w:rsidP="00E631A3">
      <w:pPr>
        <w:pStyle w:val="COMexecsumnumberedpara"/>
      </w:pPr>
      <w:r w:rsidRPr="00C434C9">
        <w:t xml:space="preserve">The submission proposed a special pricing arrangement for zanubrutinib, with an effective price to be determined based on a cost-minimisation of zanubrutinib to venetoclax </w:t>
      </w:r>
      <w:r w:rsidR="00794FAF">
        <w:t>plus</w:t>
      </w:r>
      <w:r w:rsidRPr="00C434C9">
        <w:t xml:space="preserve"> obinutuzumab, noting that venetoclax and obinutuzumab are subject to special pricing arrangements.</w:t>
      </w:r>
      <w:r w:rsidR="00EA04EC">
        <w:t xml:space="preserve"> As of 1 </w:t>
      </w:r>
      <w:r w:rsidR="007F2D6E">
        <w:t>February</w:t>
      </w:r>
      <w:r w:rsidR="00EA04EC">
        <w:t xml:space="preserve"> 2023, obinutuzumab for CLL does not have special pricing arrangements.</w:t>
      </w:r>
    </w:p>
    <w:p w14:paraId="43C12E66" w14:textId="62C8563A" w:rsidR="00385A58" w:rsidRPr="00021B9D" w:rsidRDefault="00FC5568" w:rsidP="00E631A3">
      <w:pPr>
        <w:pStyle w:val="COMexecsumnumberedpara"/>
        <w:rPr>
          <w:iCs/>
        </w:rPr>
      </w:pPr>
      <w:r w:rsidRPr="00021B9D">
        <w:rPr>
          <w:iCs/>
        </w:rPr>
        <w:t xml:space="preserve">The proposed restriction is narrower than the proposed TGA indication, which does not restrict treatment </w:t>
      </w:r>
      <w:r w:rsidR="0091239E" w:rsidRPr="00021B9D">
        <w:rPr>
          <w:iCs/>
        </w:rPr>
        <w:t>based on</w:t>
      </w:r>
      <w:r w:rsidRPr="00021B9D">
        <w:rPr>
          <w:iCs/>
        </w:rPr>
        <w:t xml:space="preserve"> suitability for fludarabine-based chemoimmunotherapy, CIRS score/renal function, or limit use to patients with previously untreated disease.</w:t>
      </w:r>
    </w:p>
    <w:p w14:paraId="1603F6AB" w14:textId="6FD13219" w:rsidR="00FC5568" w:rsidRPr="00151983" w:rsidRDefault="00FC5568" w:rsidP="12893FCA">
      <w:pPr>
        <w:pStyle w:val="COMexecsumnumberedpara"/>
      </w:pPr>
      <w:r>
        <w:t xml:space="preserve">The proposed initial treatment authority level and clinical criteria are generally consistent with the PBS listing for venetoclax for previously untreated CLL/SLL. </w:t>
      </w:r>
      <w:r w:rsidR="003B1564">
        <w:t xml:space="preserve">However, the proposed restriction does not specify a creatinine clearance </w:t>
      </w:r>
      <w:r w:rsidR="003B1564" w:rsidRPr="12893FCA">
        <w:rPr>
          <w:rFonts w:cs="Calibri"/>
        </w:rPr>
        <w:t>≥</w:t>
      </w:r>
      <w:r w:rsidR="00C32E77">
        <w:t>30 </w:t>
      </w:r>
      <w:r w:rsidR="003B1564">
        <w:t xml:space="preserve">mL/min, and </w:t>
      </w:r>
      <w:r>
        <w:t>also incorporates treatment of patients who have developed intolerance to another Bruton's tyrosine kinase (BTK) inhibitor or B-cell lymphoma 2 (BCL-2) inhibitor. There are currently no PBS-listed BTK inhibitors for patients with previously untreated CLL/SLL.</w:t>
      </w:r>
      <w:r w:rsidR="00C35875">
        <w:t xml:space="preserve"> </w:t>
      </w:r>
      <w:r w:rsidR="00C35875" w:rsidRPr="00CA2520">
        <w:rPr>
          <w:iCs/>
        </w:rPr>
        <w:t xml:space="preserve">The ESC considered it may also be appropriate to allow patients to be retreated with a BTKi if it is preceded by a gap of 12- or 24-months post first-line treatment. The ESC considered that </w:t>
      </w:r>
      <w:r w:rsidR="003E28A1">
        <w:rPr>
          <w:iCs/>
        </w:rPr>
        <w:t>retreatment</w:t>
      </w:r>
      <w:r w:rsidR="00C35875" w:rsidRPr="00CA2520">
        <w:rPr>
          <w:iCs/>
        </w:rPr>
        <w:t xml:space="preserve"> with a BTKi should only be permitted under the PBS once (i.e</w:t>
      </w:r>
      <w:r w:rsidR="003115A7" w:rsidRPr="00CA2520">
        <w:rPr>
          <w:iCs/>
        </w:rPr>
        <w:t>.,</w:t>
      </w:r>
      <w:r w:rsidR="00C35875" w:rsidRPr="00CA2520">
        <w:rPr>
          <w:iCs/>
        </w:rPr>
        <w:t xml:space="preserve"> whether the same agent or another BTKi). The ESC acknowledged that there were no firm data regarding a time-frame for a recurrence-free period after which it would be appropriate to re-treat with an agent from the same class, or the clinical outcomes with </w:t>
      </w:r>
      <w:r w:rsidR="003E28A1">
        <w:rPr>
          <w:iCs/>
        </w:rPr>
        <w:t>retreatment</w:t>
      </w:r>
      <w:r w:rsidR="00C35875" w:rsidRPr="00CA2520">
        <w:rPr>
          <w:iCs/>
        </w:rPr>
        <w:t>.</w:t>
      </w:r>
    </w:p>
    <w:p w14:paraId="76A5B580" w14:textId="5D6BC414" w:rsidR="00151983" w:rsidRDefault="00151983" w:rsidP="00151983">
      <w:pPr>
        <w:pStyle w:val="COMexecsumnumberedpara"/>
      </w:pPr>
      <w:r>
        <w:lastRenderedPageBreak/>
        <w:t xml:space="preserve">The pre-PBAC response </w:t>
      </w:r>
      <w:r>
        <w:rPr>
          <w:rFonts w:ascii="Calibri" w:hAnsi="Calibri" w:cs="Calibri"/>
          <w:lang w:val="en-US"/>
        </w:rPr>
        <w:t>stated that the sponsor</w:t>
      </w:r>
      <w:r w:rsidRPr="1BF19018">
        <w:rPr>
          <w:rFonts w:ascii="Calibri" w:hAnsi="Calibri" w:cs="Calibri"/>
          <w:lang w:val="en-US"/>
        </w:rPr>
        <w:t xml:space="preserve"> </w:t>
      </w:r>
      <w:r>
        <w:rPr>
          <w:rFonts w:ascii="Calibri" w:hAnsi="Calibri" w:cs="Calibri"/>
          <w:lang w:val="en-US"/>
        </w:rPr>
        <w:t>wa</w:t>
      </w:r>
      <w:r w:rsidRPr="1BF19018">
        <w:rPr>
          <w:rFonts w:ascii="Calibri" w:hAnsi="Calibri" w:cs="Calibri"/>
          <w:lang w:val="en-US"/>
        </w:rPr>
        <w:t xml:space="preserve">s open to clinician and PBAC advice on the proportion of patients that would be retreated, as the reasons for wanting to </w:t>
      </w:r>
      <w:r>
        <w:rPr>
          <w:rFonts w:ascii="Calibri" w:hAnsi="Calibri" w:cs="Calibri"/>
          <w:lang w:val="en-US"/>
        </w:rPr>
        <w:t>use sequential BTKi therapy</w:t>
      </w:r>
      <w:r w:rsidRPr="1BF19018">
        <w:rPr>
          <w:rFonts w:ascii="Calibri" w:hAnsi="Calibri" w:cs="Calibri"/>
          <w:lang w:val="en-US"/>
        </w:rPr>
        <w:t xml:space="preserve"> could vary.</w:t>
      </w:r>
    </w:p>
    <w:p w14:paraId="3ECF06B0" w14:textId="4BAE3BC8" w:rsidR="00FC5568" w:rsidRPr="00021B9D" w:rsidRDefault="00FC5568" w:rsidP="00E631A3">
      <w:pPr>
        <w:pStyle w:val="COMexecsumnumberedpara"/>
        <w:rPr>
          <w:iCs/>
        </w:rPr>
      </w:pPr>
      <w:r w:rsidRPr="00021B9D">
        <w:rPr>
          <w:iCs/>
        </w:rPr>
        <w:t>The proposed restriction does not include explicit criteria to assess the appropriateness for treatment with fludarabine-based chemoimmunotherapy</w:t>
      </w:r>
      <w:r w:rsidR="00A0469B" w:rsidRPr="00021B9D">
        <w:rPr>
          <w:iCs/>
        </w:rPr>
        <w:t>, consistent with the existing restriction</w:t>
      </w:r>
      <w:r w:rsidR="00306508" w:rsidRPr="00021B9D">
        <w:rPr>
          <w:iCs/>
        </w:rPr>
        <w:t>s</w:t>
      </w:r>
      <w:r w:rsidR="00A0469B" w:rsidRPr="00021B9D">
        <w:rPr>
          <w:iCs/>
        </w:rPr>
        <w:t xml:space="preserve"> for venetoclax + obinutuzumab</w:t>
      </w:r>
      <w:r w:rsidRPr="00021B9D">
        <w:rPr>
          <w:iCs/>
        </w:rPr>
        <w:t>.</w:t>
      </w:r>
      <w:r w:rsidR="00622EB9" w:rsidRPr="00021B9D">
        <w:rPr>
          <w:iCs/>
        </w:rPr>
        <w:t xml:space="preserve"> At the CLL clinician consultation meeting held in December 2022, the clinicians indicated that the existing PBS criteria around ‘inappropriate for fludarabine-based chemo-immunotherapy’ and ‘unsuitable for treatment with a purine analogue’ are no longer relevant to current clinical practice, and that fludarabine + cyclophosphamide + rituximab (FCR) is no longer a preferred regimen in any patient group (</w:t>
      </w:r>
      <w:r w:rsidR="0076070F" w:rsidRPr="00021B9D">
        <w:rPr>
          <w:iCs/>
        </w:rPr>
        <w:t xml:space="preserve">CLL Clinical Consultation Summary of Meeting, </w:t>
      </w:r>
      <w:r w:rsidR="00622EB9" w:rsidRPr="00021B9D">
        <w:rPr>
          <w:iCs/>
        </w:rPr>
        <w:t>December 2022).</w:t>
      </w:r>
    </w:p>
    <w:p w14:paraId="4CF262D9" w14:textId="6C13989C" w:rsidR="00BE62F1" w:rsidRPr="002809FE" w:rsidRDefault="003D5272" w:rsidP="006A1BBC">
      <w:pPr>
        <w:pStyle w:val="COMexecsumnumberedpara"/>
        <w:rPr>
          <w:iCs/>
        </w:rPr>
      </w:pPr>
      <w:r w:rsidRPr="002809FE">
        <w:rPr>
          <w:iCs/>
        </w:rPr>
        <w:t>At the CLL clinician consultation meeting held in December 2022, the clinicians noted a significant access issue for young and/or fit patients who do not meet the existing PBS criteria for BTKi or venetoclax. The clinicians noted that, while the clinical need is highest in patients with poor risk cytogenetics, it would not be appropriate to limit access to BTKi and/or venetoclax therapy to these specific groups given the high clinical need across the broader young, fit population (CLL Clinical Consultation Summary of Meeting, December 2022).</w:t>
      </w:r>
      <w:r w:rsidR="007B70B8" w:rsidRPr="002809FE">
        <w:rPr>
          <w:iCs/>
        </w:rPr>
        <w:t xml:space="preserve"> </w:t>
      </w:r>
      <w:r w:rsidR="007B70B8" w:rsidRPr="00CA2520">
        <w:t>The ESC considered that it would be appropriate to remove the requirements for patients to be inappropriate for fludarabine</w:t>
      </w:r>
      <w:r w:rsidR="009F3993">
        <w:t>-</w:t>
      </w:r>
      <w:r w:rsidR="007B70B8" w:rsidRPr="00CA2520">
        <w:t>based chemoimmunotherapy</w:t>
      </w:r>
      <w:r w:rsidR="009D3A79" w:rsidRPr="00CA2520">
        <w:t>, as well as the criteria for assessing suitability for fludarabine</w:t>
      </w:r>
      <w:r w:rsidR="009F3993">
        <w:t>-</w:t>
      </w:r>
      <w:r w:rsidR="009D3A79" w:rsidRPr="00CA2520">
        <w:t>based chemoimmunotherapy (CIRS score and creatinine clearance)</w:t>
      </w:r>
      <w:r w:rsidR="007B70B8" w:rsidRPr="00CA2520">
        <w:t xml:space="preserve"> from the requested restriction.</w:t>
      </w:r>
      <w:r w:rsidR="002809FE">
        <w:t xml:space="preserve"> </w:t>
      </w:r>
      <w:r w:rsidR="00BE62F1" w:rsidRPr="002809FE">
        <w:rPr>
          <w:rFonts w:ascii="Calibri" w:eastAsia="Calibri" w:hAnsi="Calibri" w:cs="Calibri"/>
        </w:rPr>
        <w:t xml:space="preserve">The Pre-Sub-Committee Response (PSCR) </w:t>
      </w:r>
      <w:r w:rsidR="00E379C6" w:rsidRPr="002809FE">
        <w:rPr>
          <w:rFonts w:ascii="Calibri" w:eastAsia="Calibri" w:hAnsi="Calibri" w:cs="Calibri"/>
        </w:rPr>
        <w:t xml:space="preserve">and the pre-PBAC response </w:t>
      </w:r>
      <w:r w:rsidR="00BE62F1" w:rsidRPr="002809FE">
        <w:rPr>
          <w:rFonts w:ascii="Calibri" w:eastAsia="Calibri" w:hAnsi="Calibri" w:cs="Calibri"/>
        </w:rPr>
        <w:t xml:space="preserve">stated that the sponsor accepts </w:t>
      </w:r>
      <w:r w:rsidR="00BE62F1" w:rsidRPr="00BE62F1">
        <w:t>the removal of these additional criteria to align with the advice received from the clinical consultation.</w:t>
      </w:r>
      <w:r w:rsidR="002809FE">
        <w:t xml:space="preserve"> The pre-PBAC response suggested </w:t>
      </w:r>
      <w:r w:rsidR="002809FE" w:rsidRPr="00D156F4">
        <w:rPr>
          <w:rFonts w:ascii="Calibri" w:hAnsi="Calibri" w:cs="Calibri"/>
          <w:lang w:val="en-US"/>
        </w:rPr>
        <w:t>that approximately 27-35% of patients may meet the current criteria</w:t>
      </w:r>
      <w:r w:rsidR="002809FE">
        <w:rPr>
          <w:rFonts w:ascii="Calibri" w:hAnsi="Calibri" w:cs="Calibri"/>
          <w:lang w:val="en-US"/>
        </w:rPr>
        <w:t xml:space="preserve"> for treatment or </w:t>
      </w:r>
      <w:r w:rsidR="003E28A1">
        <w:rPr>
          <w:rFonts w:ascii="Calibri" w:hAnsi="Calibri" w:cs="Calibri"/>
          <w:lang w:val="en-US"/>
        </w:rPr>
        <w:t>retreatment</w:t>
      </w:r>
      <w:r w:rsidR="002809FE">
        <w:rPr>
          <w:rFonts w:ascii="Calibri" w:hAnsi="Calibri" w:cs="Calibri"/>
          <w:lang w:val="en-US"/>
        </w:rPr>
        <w:t xml:space="preserve"> with a purine analogue</w:t>
      </w:r>
      <w:r w:rsidR="002809FE" w:rsidRPr="00D156F4">
        <w:rPr>
          <w:rFonts w:ascii="Calibri" w:hAnsi="Calibri" w:cs="Calibri"/>
          <w:lang w:val="en-US"/>
        </w:rPr>
        <w:t>, and subsequently may access BTKi treatment.</w:t>
      </w:r>
      <w:r w:rsidR="006A1BBC">
        <w:rPr>
          <w:rFonts w:ascii="Calibri" w:hAnsi="Calibri" w:cs="Calibri"/>
          <w:lang w:val="en-US"/>
        </w:rPr>
        <w:t xml:space="preserve"> </w:t>
      </w:r>
      <w:r w:rsidR="006A1BBC">
        <w:rPr>
          <w:lang w:val="en-GB" w:eastAsia="en-US"/>
        </w:rPr>
        <w:t>The PBAC considered that the use of fludarabine-based chemoimmunotherapy in CLL is</w:t>
      </w:r>
      <w:r w:rsidR="006A1BBC" w:rsidRPr="00C614D7">
        <w:rPr>
          <w:lang w:val="en-GB" w:eastAsia="en-US"/>
        </w:rPr>
        <w:t xml:space="preserve"> low and declining </w:t>
      </w:r>
      <w:r w:rsidR="006A1BBC">
        <w:rPr>
          <w:lang w:val="en-GB" w:eastAsia="en-US"/>
        </w:rPr>
        <w:t>and</w:t>
      </w:r>
      <w:r w:rsidR="006A1BBC" w:rsidRPr="00C614D7">
        <w:rPr>
          <w:lang w:val="en-GB" w:eastAsia="en-US"/>
        </w:rPr>
        <w:t xml:space="preserve"> </w:t>
      </w:r>
      <w:r w:rsidR="006A1BBC">
        <w:rPr>
          <w:lang w:val="en-GB" w:eastAsia="en-US"/>
        </w:rPr>
        <w:t>a</w:t>
      </w:r>
      <w:r w:rsidR="006A1BBC" w:rsidRPr="00C614D7">
        <w:rPr>
          <w:lang w:val="en-GB" w:eastAsia="en-US"/>
        </w:rPr>
        <w:t xml:space="preserve">s such, there would be no </w:t>
      </w:r>
      <w:r w:rsidR="006A1BBC">
        <w:rPr>
          <w:lang w:val="en-GB" w:eastAsia="en-US"/>
        </w:rPr>
        <w:t>increase in use</w:t>
      </w:r>
      <w:r w:rsidR="006A1BBC" w:rsidRPr="00C614D7">
        <w:rPr>
          <w:lang w:val="en-GB" w:eastAsia="en-US"/>
        </w:rPr>
        <w:t xml:space="preserve"> associated with the restriction change.</w:t>
      </w:r>
    </w:p>
    <w:p w14:paraId="53642847" w14:textId="7FE9C0DF" w:rsidR="00385A58" w:rsidRDefault="00385A58" w:rsidP="00E631A3">
      <w:pPr>
        <w:pStyle w:val="COMexecsumnumberedpara"/>
      </w:pPr>
      <w:r w:rsidRPr="00385A58">
        <w:t xml:space="preserve">The submission stated that the sponsor intends to commence a compassionate access program in January 2023, which would result in an estimated </w:t>
      </w:r>
      <w:r w:rsidR="00D37ECB">
        <w:t>&lt; 500</w:t>
      </w:r>
      <w:r w:rsidR="00D37ECB" w:rsidRPr="00385A58">
        <w:t xml:space="preserve"> </w:t>
      </w:r>
      <w:r w:rsidRPr="00385A58">
        <w:t>patients requiring grandfathered treatment with zanubrutinib.</w:t>
      </w:r>
      <w:r w:rsidR="005D558E">
        <w:t xml:space="preserve"> The Secretariat advised that the restriction could be </w:t>
      </w:r>
      <w:r w:rsidR="00FE1DE5">
        <w:t>simplified</w:t>
      </w:r>
      <w:r w:rsidR="005D558E">
        <w:t xml:space="preserve"> to a single restriction, with care taken so as to not inadvertently exclude such ‘grandfather’ patients. Specifically, ‘grandfather’ patients could continue treatment by the prescriber responding in the affirmative to the following Secretariat proposed parameter (provided all other criteria are met) on the first occasion a PBS prescription is written</w:t>
      </w:r>
      <w:r w:rsidR="000D095B">
        <w:t>, which is the same criterion that every patient would continue through</w:t>
      </w:r>
      <w:r w:rsidR="005D558E">
        <w:t>:</w:t>
      </w:r>
    </w:p>
    <w:p w14:paraId="0C2BBE16" w14:textId="77777777" w:rsidR="005D558E" w:rsidRPr="005C2D58" w:rsidRDefault="005D558E" w:rsidP="009F497A">
      <w:pPr>
        <w:pStyle w:val="COMexecsumnumberedpara"/>
        <w:keepNext/>
        <w:numPr>
          <w:ilvl w:val="0"/>
          <w:numId w:val="0"/>
        </w:numPr>
        <w:ind w:left="720"/>
        <w:rPr>
          <w:rFonts w:ascii="Arial Narrow" w:hAnsi="Arial Narrow"/>
          <w:b/>
          <w:bCs/>
          <w:sz w:val="20"/>
          <w:szCs w:val="20"/>
          <w:u w:val="single"/>
        </w:rPr>
      </w:pPr>
      <w:r w:rsidRPr="005C2D58">
        <w:rPr>
          <w:rFonts w:ascii="Arial Narrow" w:hAnsi="Arial Narrow"/>
          <w:b/>
          <w:bCs/>
          <w:sz w:val="20"/>
          <w:szCs w:val="20"/>
          <w:u w:val="single"/>
        </w:rPr>
        <w:lastRenderedPageBreak/>
        <w:t>Treatment criteria:</w:t>
      </w:r>
    </w:p>
    <w:p w14:paraId="267F13AB" w14:textId="34ECA727" w:rsidR="005D558E" w:rsidRPr="005C2D58" w:rsidRDefault="005D558E" w:rsidP="009F497A">
      <w:pPr>
        <w:pStyle w:val="COMexecsumnumberedpara"/>
        <w:keepNext/>
        <w:numPr>
          <w:ilvl w:val="0"/>
          <w:numId w:val="0"/>
        </w:numPr>
        <w:ind w:left="720"/>
        <w:rPr>
          <w:rFonts w:ascii="Arial Narrow" w:hAnsi="Arial Narrow"/>
          <w:sz w:val="20"/>
          <w:szCs w:val="20"/>
        </w:rPr>
      </w:pPr>
      <w:r w:rsidRPr="005C2D58">
        <w:rPr>
          <w:rFonts w:ascii="Arial Narrow" w:hAnsi="Arial Narrow"/>
          <w:sz w:val="20"/>
          <w:szCs w:val="20"/>
        </w:rPr>
        <w:t>Patient must be undergoing continuing treatment with this drug – the condition has not progressed whilst the patient has actively been on this drug</w:t>
      </w:r>
    </w:p>
    <w:p w14:paraId="14D2D54E" w14:textId="77777777" w:rsidR="00B7522C" w:rsidRPr="002C085E" w:rsidRDefault="00B7522C" w:rsidP="00B7522C">
      <w:pPr>
        <w:pStyle w:val="COMexecsumnumberedpara"/>
        <w:numPr>
          <w:ilvl w:val="0"/>
          <w:numId w:val="0"/>
        </w:numPr>
        <w:ind w:left="720"/>
        <w:rPr>
          <w:i/>
          <w:snapToGrid/>
          <w:lang w:val="en-US"/>
        </w:rPr>
      </w:pPr>
      <w:r w:rsidRPr="002C085E">
        <w:rPr>
          <w:i/>
          <w:snapToGrid/>
          <w:lang w:val="en-US"/>
        </w:rPr>
        <w:t>For more detail on PBAC’s view, see section 7 PBAC outcome.</w:t>
      </w:r>
    </w:p>
    <w:p w14:paraId="7075B85C" w14:textId="62A47B7B" w:rsidR="00B50DB8" w:rsidRPr="00C31E62" w:rsidDel="00195452" w:rsidRDefault="00203181" w:rsidP="004E18E9">
      <w:pPr>
        <w:pStyle w:val="COMH1numbered"/>
      </w:pPr>
      <w:bookmarkStart w:id="13" w:name="_Toc124853845"/>
      <w:r w:rsidRPr="00C31E62" w:rsidDel="00195452">
        <w:t xml:space="preserve">Population and </w:t>
      </w:r>
      <w:r w:rsidR="008E0D3C" w:rsidRPr="00C31E62" w:rsidDel="00195452">
        <w:t>d</w:t>
      </w:r>
      <w:r w:rsidRPr="00C31E62" w:rsidDel="00195452">
        <w:t>isease</w:t>
      </w:r>
      <w:bookmarkEnd w:id="13"/>
    </w:p>
    <w:p w14:paraId="249FE9B4" w14:textId="77777777" w:rsidR="00113F06" w:rsidRDefault="00113F06" w:rsidP="00B77046">
      <w:pPr>
        <w:pStyle w:val="COMexecsumnumberedpara"/>
      </w:pPr>
      <w:r w:rsidRPr="00113F06">
        <w:t>CLL and SLL are characterised by the progressive accumulation of functionally incompetent B lymphocytes in the peripheral blood, bone marrow and lymphoid tissues. In CLL, abnormal lymphocytes are predominantly found in blood, bone marrow and lymphoid tissue, whereas in SLL, abnormal lymphocytes are predominantly located in lymph nodes, bone marrow and other lymphoid tissue. Typical symptoms associated with CLL include swollen lymph nodes, pain, anaemia, infections, increased or unexplained bleeding/bruising, excessive nocturnal sweating, and unintentional weight loss.</w:t>
      </w:r>
      <w:r w:rsidRPr="00113F06" w:rsidDel="00195452">
        <w:t xml:space="preserve"> </w:t>
      </w:r>
    </w:p>
    <w:p w14:paraId="72269A69" w14:textId="275C5942" w:rsidR="00113F06" w:rsidRDefault="00113F06" w:rsidP="00B77046">
      <w:pPr>
        <w:pStyle w:val="COMexecsumnumberedpara"/>
      </w:pPr>
      <w:r w:rsidRPr="00113F06">
        <w:t>The mean age at diagnosis for CLL in Australia is 71.0 years (males: 70.2 years; females: 72.4 years), with a five-year relative survival rate in 2014-2018 of 85.4% (AIHW, 2022). The disease is more common in men than women (62% versus 38%). Characteristics associated with a worse prognosis include more advance</w:t>
      </w:r>
      <w:r w:rsidR="00DC2DE7">
        <w:t>d</w:t>
      </w:r>
      <w:r w:rsidRPr="00113F06">
        <w:t xml:space="preserve"> disease stage, genetic factors (17p deletion/TP53 mutation, 11q deletion, unmutated IGHV), biochemical/cell surface markers (thymidine kinase, serum β2 microglobulin), and patient characteristics (male sex, older age, worse ECOG performance score). Deletion of the short arm of chromosome 17 (17p deletion) is associated with resistance to conventional chemoimmunotherapy regimens (Hallek, 2015). 17p deletion is found in 5-8% of chemotherapy-naïve patients, but </w:t>
      </w:r>
      <w:r w:rsidR="00DC2DE7">
        <w:t>may</w:t>
      </w:r>
      <w:r w:rsidRPr="00113F06">
        <w:t xml:space="preserve"> also be acquired over time as patients undergo treatment.</w:t>
      </w:r>
      <w:r w:rsidRPr="00113F06" w:rsidDel="00195452">
        <w:t xml:space="preserve"> </w:t>
      </w:r>
    </w:p>
    <w:p w14:paraId="14E6EBDB" w14:textId="6E8EEEBF" w:rsidR="00113F06" w:rsidRDefault="00113F06" w:rsidP="00B77046">
      <w:pPr>
        <w:pStyle w:val="COMexecsumnumberedpara"/>
      </w:pPr>
      <w:r w:rsidRPr="00113F06">
        <w:t>In general, patients with asymptomatic early-stage disease, and selected patients with later</w:t>
      </w:r>
      <w:r w:rsidR="00DC2DE7">
        <w:t>-</w:t>
      </w:r>
      <w:r w:rsidRPr="00113F06">
        <w:t>stage disease can be monitored without therapy until they have evidence of progressive or symptomatic disease (Hallek et al., 2018). The choice of therapy depends on several factors, including age, fitness, comorbidities, and the presence of prognostic genetic mutations.</w:t>
      </w:r>
      <w:r w:rsidRPr="00113F06" w:rsidDel="00195452">
        <w:t xml:space="preserve"> </w:t>
      </w:r>
    </w:p>
    <w:p w14:paraId="25CE3806" w14:textId="6971F1DE" w:rsidR="009F70BB" w:rsidRDefault="009F70BB" w:rsidP="00B77046">
      <w:pPr>
        <w:pStyle w:val="COMexecsumnumberedpara"/>
      </w:pPr>
      <w:r w:rsidRPr="009F70BB">
        <w:t>Zanubrutinib is a small-molecule inhibitor of Bruton’s tyrosine kinase (BTK), a signalling molecule associated with the B-cell antigen receptor. In B-cells, BTK pathways are involved in B-cell proliferation, trafficking, chemotaxis, and adhesion.</w:t>
      </w:r>
    </w:p>
    <w:p w14:paraId="6533D5E0" w14:textId="77777777" w:rsidR="00151983" w:rsidRPr="00151983" w:rsidRDefault="00FD7AFB" w:rsidP="00151983">
      <w:pPr>
        <w:pStyle w:val="COMexecsumnumberedpara"/>
        <w:rPr>
          <w:i/>
          <w:iCs/>
        </w:rPr>
      </w:pPr>
      <w:r>
        <w:t xml:space="preserve">The submission positioned zanubrutinib as an alternative to venetoclax + obinutuzumab and chlorambucil + obinutuzumab for patients with 17p deletion, and </w:t>
      </w:r>
      <w:r w:rsidRPr="006473AB">
        <w:t>for patients</w:t>
      </w:r>
      <w:r>
        <w:t xml:space="preserve"> </w:t>
      </w:r>
      <w:r w:rsidR="00DA17A5">
        <w:t>without</w:t>
      </w:r>
      <w:r>
        <w:t xml:space="preserve"> 17p deletion </w:t>
      </w:r>
      <w:r w:rsidR="00DA17A5">
        <w:t>who</w:t>
      </w:r>
      <w:r>
        <w:t xml:space="preserve"> are older/unfit. </w:t>
      </w:r>
    </w:p>
    <w:p w14:paraId="51E5AE96" w14:textId="136A63B1" w:rsidR="00B50DB8" w:rsidRPr="00C31E62" w:rsidRDefault="00B50DB8" w:rsidP="004E18E9">
      <w:pPr>
        <w:pStyle w:val="COMH1numbered"/>
      </w:pPr>
      <w:bookmarkStart w:id="14" w:name="_Toc124853846"/>
      <w:r w:rsidRPr="00C31E62">
        <w:t>Comparator</w:t>
      </w:r>
      <w:bookmarkEnd w:id="14"/>
    </w:p>
    <w:p w14:paraId="08F8C08A" w14:textId="017CCF07" w:rsidR="008D048B" w:rsidRPr="008D048B" w:rsidRDefault="008D048B" w:rsidP="00B77046">
      <w:pPr>
        <w:pStyle w:val="COMexecsumnumberedpara"/>
        <w:rPr>
          <w:snapToGrid/>
          <w:lang w:val="en-US"/>
        </w:rPr>
      </w:pPr>
      <w:r w:rsidRPr="008D048B">
        <w:t xml:space="preserve">The submission nominated venetoclax + obinutuzumab as the main comparator. The main argument provided in support of this nomination was that venetoclax + </w:t>
      </w:r>
      <w:r w:rsidRPr="008D048B">
        <w:lastRenderedPageBreak/>
        <w:t>obinutuzumab is the treatment most likely to be replaced.</w:t>
      </w:r>
      <w:r w:rsidRPr="00021B9D">
        <w:rPr>
          <w:iCs/>
        </w:rPr>
        <w:t xml:space="preserve"> </w:t>
      </w:r>
      <w:r w:rsidR="00452DFE" w:rsidRPr="00CA2520">
        <w:t>The ESC considered</w:t>
      </w:r>
      <w:r w:rsidR="00452DFE">
        <w:rPr>
          <w:iCs/>
        </w:rPr>
        <w:t xml:space="preserve"> v</w:t>
      </w:r>
      <w:r w:rsidRPr="00021B9D">
        <w:rPr>
          <w:iCs/>
        </w:rPr>
        <w:t xml:space="preserve">enetoclax + obinutuzumab </w:t>
      </w:r>
      <w:r w:rsidR="00452DFE">
        <w:rPr>
          <w:iCs/>
        </w:rPr>
        <w:t>wa</w:t>
      </w:r>
      <w:r w:rsidRPr="00021B9D">
        <w:rPr>
          <w:iCs/>
        </w:rPr>
        <w:t xml:space="preserve">s an appropriate main comparator. </w:t>
      </w:r>
    </w:p>
    <w:p w14:paraId="3EF62767" w14:textId="425EB682" w:rsidR="008D048B" w:rsidRDefault="008D048B" w:rsidP="008D048B">
      <w:pPr>
        <w:pStyle w:val="COMexecsumnumberedpara"/>
      </w:pPr>
      <w:r>
        <w:t>The submission identified acalabrutinib monotherapy and acalabrutinib + obinutuzumab as near</w:t>
      </w:r>
      <w:r w:rsidR="009F3993">
        <w:t xml:space="preserve"> </w:t>
      </w:r>
      <w:r>
        <w:t xml:space="preserve">market comparators. </w:t>
      </w:r>
      <w:r w:rsidRPr="00021B9D">
        <w:rPr>
          <w:iCs/>
        </w:rPr>
        <w:t>A resubmission for acalabrutinib + obinutuzumab for the treatment of patients with previously untreated CLL/SLL who are unsuitable for fludarabine-based chemoimmunotherapy was considered at the December 2022 intracycle PBAC meeting (December 2022 intracycle PBAC meeting agenda).</w:t>
      </w:r>
      <w:r>
        <w:t xml:space="preserve"> </w:t>
      </w:r>
      <w:r w:rsidR="00A3458A" w:rsidRPr="00CA2520">
        <w:rPr>
          <w:iCs/>
        </w:rPr>
        <w:t>The ESC considered that acalabrutinib monotherapy and acalabrutinib + obinutuzumab were appropriate near-market comparators.</w:t>
      </w:r>
      <w:r w:rsidR="00A425E9">
        <w:rPr>
          <w:iCs/>
        </w:rPr>
        <w:t xml:space="preserve"> </w:t>
      </w:r>
      <w:r w:rsidR="00C64DF3">
        <w:rPr>
          <w:lang w:val="en-GB" w:eastAsia="en-US"/>
        </w:rPr>
        <w:t>The PBAC noted that acalabrutinib, and acalabrutinib plus obinutuzumab, were appropriately nominated as near market comparators, however had not been recommended for listing.</w:t>
      </w:r>
    </w:p>
    <w:p w14:paraId="0FEFE9EB" w14:textId="468C6B5A" w:rsidR="008D048B" w:rsidRPr="008D048B" w:rsidRDefault="008D048B" w:rsidP="008D048B">
      <w:pPr>
        <w:pStyle w:val="COMexecsumnumberedpara"/>
        <w:rPr>
          <w:snapToGrid/>
          <w:lang w:val="en-US"/>
        </w:rPr>
      </w:pPr>
      <w:r>
        <w:t>The submission noted that a submission for ibrutinib</w:t>
      </w:r>
      <w:r w:rsidR="00E71F89">
        <w:t xml:space="preserve">, for use </w:t>
      </w:r>
      <w:r>
        <w:t>in combination with venetoclax</w:t>
      </w:r>
      <w:r w:rsidR="00D27497">
        <w:t xml:space="preserve"> in patients with </w:t>
      </w:r>
      <w:r>
        <w:t xml:space="preserve">previously untreated CLL/SLL, </w:t>
      </w:r>
      <w:r w:rsidR="00030599">
        <w:t>was to be</w:t>
      </w:r>
      <w:r>
        <w:t xml:space="preserve"> considered </w:t>
      </w:r>
      <w:r w:rsidR="00D27497">
        <w:t>at the November 2022 PBAC meeting.</w:t>
      </w:r>
      <w:r w:rsidR="00FA25B3">
        <w:t xml:space="preserve"> </w:t>
      </w:r>
      <w:r w:rsidR="00FA25B3" w:rsidRPr="00021B9D">
        <w:rPr>
          <w:iCs/>
        </w:rPr>
        <w:t xml:space="preserve">This submission was considered at the </w:t>
      </w:r>
      <w:r w:rsidR="00C32E77" w:rsidRPr="00021B9D">
        <w:rPr>
          <w:iCs/>
        </w:rPr>
        <w:t>December</w:t>
      </w:r>
      <w:r w:rsidR="00C32E77">
        <w:rPr>
          <w:iCs/>
        </w:rPr>
        <w:t> </w:t>
      </w:r>
      <w:r w:rsidR="00FA25B3" w:rsidRPr="00021B9D">
        <w:rPr>
          <w:iCs/>
        </w:rPr>
        <w:t>2022 intracycle PBAC meeting.</w:t>
      </w:r>
      <w:r>
        <w:t xml:space="preserve"> The submission argued that ibrutinib + venetoclax is not a relevant comparator, due to the current lack of evidence around subsequent treatment options, and given that it is likely to be used in a different subset of patients compared to zanubrutinib due to its toxicity profile. </w:t>
      </w:r>
      <w:r w:rsidR="00C64DF3">
        <w:t>The PBAC noted ibrutinib plus venetoclax was not recommended at the December 2022 meeting.</w:t>
      </w:r>
    </w:p>
    <w:p w14:paraId="30A067BB" w14:textId="1716B48A" w:rsidR="00B50DB8" w:rsidRPr="002C085E" w:rsidRDefault="008D048B" w:rsidP="00E04474">
      <w:pPr>
        <w:pStyle w:val="COMexecsumnumberedpara"/>
        <w:rPr>
          <w:iCs/>
          <w:snapToGrid/>
          <w:lang w:val="en-US"/>
        </w:rPr>
      </w:pPr>
      <w:r w:rsidRPr="00021B9D">
        <w:rPr>
          <w:iCs/>
        </w:rPr>
        <w:t xml:space="preserve">A submission for ibrutinib </w:t>
      </w:r>
      <w:r w:rsidR="00E71F89" w:rsidRPr="00021B9D">
        <w:rPr>
          <w:iCs/>
        </w:rPr>
        <w:t xml:space="preserve">monotherapy, </w:t>
      </w:r>
      <w:r w:rsidRPr="00021B9D">
        <w:rPr>
          <w:iCs/>
        </w:rPr>
        <w:t>for the treatment of patients with previously untreated CLL/SLL who have 17p deletion received a positive recommendation at the November 2019 PBAC meeting (Paragraph 7.1, ibrutinib</w:t>
      </w:r>
      <w:r w:rsidR="00925404">
        <w:rPr>
          <w:iCs/>
        </w:rPr>
        <w:t xml:space="preserve"> Public Summary Document (PSD)</w:t>
      </w:r>
      <w:r w:rsidRPr="00021B9D">
        <w:rPr>
          <w:iCs/>
        </w:rPr>
        <w:t>, November 2019 PBAC meeting). However,</w:t>
      </w:r>
      <w:r w:rsidR="00540D87">
        <w:rPr>
          <w:iCs/>
        </w:rPr>
        <w:t xml:space="preserve"> at the time of the March 2023 PBAC meeting,</w:t>
      </w:r>
      <w:r w:rsidRPr="00021B9D">
        <w:rPr>
          <w:iCs/>
        </w:rPr>
        <w:t xml:space="preserve"> ibrutinib </w:t>
      </w:r>
      <w:r w:rsidR="00540D87">
        <w:rPr>
          <w:iCs/>
        </w:rPr>
        <w:t xml:space="preserve">was not </w:t>
      </w:r>
      <w:r w:rsidRPr="00021B9D">
        <w:rPr>
          <w:iCs/>
        </w:rPr>
        <w:t>listed on the PBS for the treatment of previously untreated CLL/SLL. At the November 2022 PBAC meeting, the positive recommendation was extended for a further 12 months (PBAC Outcomes, November 2022 PBAC meeting).</w:t>
      </w:r>
    </w:p>
    <w:p w14:paraId="01E6CFE0" w14:textId="574DBD16" w:rsidR="002C085E" w:rsidRPr="002C085E" w:rsidRDefault="002C085E" w:rsidP="002C085E">
      <w:pPr>
        <w:pStyle w:val="COMexecsumnumberedpara"/>
        <w:numPr>
          <w:ilvl w:val="0"/>
          <w:numId w:val="0"/>
        </w:numPr>
        <w:ind w:left="720"/>
        <w:rPr>
          <w:i/>
          <w:snapToGrid/>
          <w:lang w:val="en-US"/>
        </w:rPr>
      </w:pPr>
      <w:bookmarkStart w:id="15" w:name="_Hlk130888575"/>
      <w:r w:rsidRPr="002C085E">
        <w:rPr>
          <w:i/>
          <w:snapToGrid/>
          <w:lang w:val="en-US"/>
        </w:rPr>
        <w:t>For more detail on PBAC’s view, see section 7 PBAC outcome.</w:t>
      </w:r>
    </w:p>
    <w:p w14:paraId="7F9C27C8" w14:textId="77777777" w:rsidR="00223D5A" w:rsidRPr="00C31E62" w:rsidRDefault="00223D5A" w:rsidP="00223D5A">
      <w:pPr>
        <w:pStyle w:val="COMH1numbered"/>
        <w:numPr>
          <w:ilvl w:val="0"/>
          <w:numId w:val="1"/>
        </w:numPr>
      </w:pPr>
      <w:bookmarkStart w:id="16" w:name="_Toc124853847"/>
      <w:bookmarkStart w:id="17" w:name="_Toc22897640"/>
      <w:bookmarkEnd w:id="15"/>
      <w:r w:rsidRPr="00C31E62">
        <w:t>Consideration of the evidence</w:t>
      </w:r>
      <w:bookmarkEnd w:id="16"/>
    </w:p>
    <w:p w14:paraId="297A955B" w14:textId="77777777" w:rsidR="00463572" w:rsidRPr="00463572" w:rsidRDefault="00463572" w:rsidP="00892FAC">
      <w:pPr>
        <w:pStyle w:val="COMH2-non-numbered"/>
      </w:pPr>
      <w:bookmarkStart w:id="18" w:name="_Toc124179163"/>
      <w:bookmarkStart w:id="19" w:name="_Toc124853848"/>
      <w:r w:rsidRPr="00463572">
        <w:t>Sponsor hearing</w:t>
      </w:r>
    </w:p>
    <w:p w14:paraId="1ACD3C64" w14:textId="5FD7CEFC" w:rsidR="00463572" w:rsidRDefault="00463572" w:rsidP="00463572">
      <w:pPr>
        <w:widowControl w:val="0"/>
        <w:numPr>
          <w:ilvl w:val="1"/>
          <w:numId w:val="1"/>
        </w:numPr>
        <w:spacing w:after="120"/>
        <w:ind w:left="720" w:hanging="720"/>
        <w:rPr>
          <w:rFonts w:cs="Calibri"/>
          <w:bCs/>
          <w:snapToGrid w:val="0"/>
        </w:rPr>
      </w:pPr>
      <w:r w:rsidRPr="00F91542">
        <w:rPr>
          <w:rFonts w:cs="Calibri"/>
          <w:bCs/>
          <w:snapToGrid w:val="0"/>
        </w:rPr>
        <w:t>There was no hearing for this item.</w:t>
      </w:r>
    </w:p>
    <w:p w14:paraId="78000D66" w14:textId="77777777" w:rsidR="00D06232" w:rsidRPr="00D06232" w:rsidRDefault="00D06232" w:rsidP="00892FAC">
      <w:pPr>
        <w:pStyle w:val="COMH2-non-numbered"/>
      </w:pPr>
      <w:r w:rsidRPr="00D06232">
        <w:t>Consumer comments</w:t>
      </w:r>
    </w:p>
    <w:p w14:paraId="350EF0BA" w14:textId="5D18C24F" w:rsidR="00D06232" w:rsidRPr="00836F75" w:rsidRDefault="00D06232" w:rsidP="00D06232">
      <w:pPr>
        <w:widowControl w:val="0"/>
        <w:numPr>
          <w:ilvl w:val="1"/>
          <w:numId w:val="1"/>
        </w:numPr>
        <w:spacing w:after="120"/>
        <w:ind w:left="720" w:hanging="720"/>
        <w:rPr>
          <w:rFonts w:asciiTheme="minorHAnsi" w:hAnsiTheme="minorHAnsi"/>
          <w:bCs/>
          <w:snapToGrid w:val="0"/>
        </w:rPr>
      </w:pPr>
      <w:r w:rsidRPr="00836F75">
        <w:rPr>
          <w:rFonts w:asciiTheme="minorHAnsi" w:hAnsiTheme="minorHAnsi"/>
          <w:bCs/>
          <w:snapToGrid w:val="0"/>
        </w:rPr>
        <w:t>The PBAC noted and welcomed the input from individuals (</w:t>
      </w:r>
      <w:r w:rsidR="00B3309B">
        <w:rPr>
          <w:rFonts w:asciiTheme="minorHAnsi" w:hAnsiTheme="minorHAnsi"/>
          <w:bCs/>
          <w:snapToGrid w:val="0"/>
        </w:rPr>
        <w:t>1</w:t>
      </w:r>
      <w:r w:rsidRPr="00836F75">
        <w:rPr>
          <w:rFonts w:asciiTheme="minorHAnsi" w:hAnsiTheme="minorHAnsi"/>
          <w:bCs/>
          <w:snapToGrid w:val="0"/>
        </w:rPr>
        <w:t>), health care professionals (</w:t>
      </w:r>
      <w:r w:rsidR="009A0CF0">
        <w:rPr>
          <w:rFonts w:asciiTheme="minorHAnsi" w:hAnsiTheme="minorHAnsi"/>
          <w:bCs/>
          <w:snapToGrid w:val="0"/>
        </w:rPr>
        <w:t>3</w:t>
      </w:r>
      <w:r w:rsidRPr="00836F75">
        <w:rPr>
          <w:rFonts w:asciiTheme="minorHAnsi" w:hAnsiTheme="minorHAnsi"/>
          <w:bCs/>
          <w:snapToGrid w:val="0"/>
        </w:rPr>
        <w:t>)</w:t>
      </w:r>
      <w:r w:rsidR="00E70DD8">
        <w:rPr>
          <w:rFonts w:asciiTheme="minorHAnsi" w:hAnsiTheme="minorHAnsi"/>
          <w:bCs/>
          <w:snapToGrid w:val="0"/>
        </w:rPr>
        <w:t xml:space="preserve">, </w:t>
      </w:r>
      <w:r w:rsidRPr="00836F75">
        <w:rPr>
          <w:rFonts w:asciiTheme="minorHAnsi" w:hAnsiTheme="minorHAnsi"/>
          <w:bCs/>
          <w:snapToGrid w:val="0"/>
        </w:rPr>
        <w:t xml:space="preserve">and </w:t>
      </w:r>
      <w:r w:rsidR="00816D41">
        <w:rPr>
          <w:rFonts w:asciiTheme="minorHAnsi" w:hAnsiTheme="minorHAnsi"/>
          <w:bCs/>
          <w:snapToGrid w:val="0"/>
        </w:rPr>
        <w:t xml:space="preserve">from the </w:t>
      </w:r>
      <w:r w:rsidR="00B3309B">
        <w:rPr>
          <w:rFonts w:asciiTheme="minorHAnsi" w:hAnsiTheme="minorHAnsi"/>
          <w:bCs/>
          <w:snapToGrid w:val="0"/>
        </w:rPr>
        <w:t>f</w:t>
      </w:r>
      <w:r w:rsidR="00E70DD8">
        <w:rPr>
          <w:rFonts w:asciiTheme="minorHAnsi" w:hAnsiTheme="minorHAnsi"/>
          <w:bCs/>
          <w:snapToGrid w:val="0"/>
        </w:rPr>
        <w:t>our</w:t>
      </w:r>
      <w:r w:rsidR="00816D41">
        <w:rPr>
          <w:rFonts w:asciiTheme="minorHAnsi" w:hAnsiTheme="minorHAnsi"/>
          <w:bCs/>
          <w:snapToGrid w:val="0"/>
        </w:rPr>
        <w:t xml:space="preserve"> </w:t>
      </w:r>
      <w:r w:rsidRPr="00836F75">
        <w:rPr>
          <w:rFonts w:asciiTheme="minorHAnsi" w:hAnsiTheme="minorHAnsi"/>
          <w:bCs/>
          <w:snapToGrid w:val="0"/>
        </w:rPr>
        <w:t>organisations</w:t>
      </w:r>
      <w:r w:rsidR="00816D41">
        <w:rPr>
          <w:rFonts w:asciiTheme="minorHAnsi" w:hAnsiTheme="minorHAnsi"/>
          <w:bCs/>
          <w:snapToGrid w:val="0"/>
        </w:rPr>
        <w:t xml:space="preserve">, </w:t>
      </w:r>
      <w:r w:rsidR="00B3309B">
        <w:rPr>
          <w:rFonts w:asciiTheme="minorHAnsi" w:hAnsiTheme="minorHAnsi"/>
          <w:bCs/>
          <w:snapToGrid w:val="0"/>
        </w:rPr>
        <w:t xml:space="preserve">Haematology Society of Australia and New Zealand, </w:t>
      </w:r>
      <w:r w:rsidR="00816D41">
        <w:rPr>
          <w:rFonts w:asciiTheme="minorHAnsi" w:hAnsiTheme="minorHAnsi"/>
          <w:bCs/>
          <w:snapToGrid w:val="0"/>
        </w:rPr>
        <w:t xml:space="preserve">Rare Cancers Australia, </w:t>
      </w:r>
      <w:r w:rsidR="00816D41">
        <w:rPr>
          <w:bCs/>
        </w:rPr>
        <w:t>Lymphoma Australia</w:t>
      </w:r>
      <w:r w:rsidR="00171200">
        <w:rPr>
          <w:bCs/>
        </w:rPr>
        <w:t>,</w:t>
      </w:r>
      <w:r w:rsidR="00816D41">
        <w:rPr>
          <w:bCs/>
        </w:rPr>
        <w:t xml:space="preserve"> and the Leukaemia Foundation</w:t>
      </w:r>
      <w:r w:rsidRPr="00836F75">
        <w:rPr>
          <w:rFonts w:asciiTheme="minorHAnsi" w:hAnsiTheme="minorHAnsi"/>
          <w:bCs/>
          <w:snapToGrid w:val="0"/>
        </w:rPr>
        <w:t xml:space="preserve"> via the Consumer Comments facility on the PBS website. The comments described a range of benefits of treatment with</w:t>
      </w:r>
      <w:r>
        <w:rPr>
          <w:rFonts w:asciiTheme="minorHAnsi" w:hAnsiTheme="minorHAnsi"/>
          <w:bCs/>
          <w:snapToGrid w:val="0"/>
        </w:rPr>
        <w:t xml:space="preserve"> zanubrutinib</w:t>
      </w:r>
      <w:r w:rsidRPr="00836F75">
        <w:rPr>
          <w:rFonts w:asciiTheme="minorHAnsi" w:hAnsiTheme="minorHAnsi"/>
          <w:bCs/>
          <w:snapToGrid w:val="0"/>
        </w:rPr>
        <w:t xml:space="preserve"> including the</w:t>
      </w:r>
      <w:r>
        <w:rPr>
          <w:rFonts w:asciiTheme="minorHAnsi" w:hAnsiTheme="minorHAnsi"/>
          <w:bCs/>
          <w:snapToGrid w:val="0"/>
        </w:rPr>
        <w:t xml:space="preserve"> </w:t>
      </w:r>
      <w:r w:rsidR="00984E0D">
        <w:rPr>
          <w:rFonts w:asciiTheme="minorHAnsi" w:hAnsiTheme="minorHAnsi"/>
          <w:bCs/>
          <w:snapToGrid w:val="0"/>
        </w:rPr>
        <w:t xml:space="preserve">ease of taking zanubrutinib, efficacy, </w:t>
      </w:r>
      <w:r w:rsidR="00087D76">
        <w:rPr>
          <w:rFonts w:asciiTheme="minorHAnsi" w:hAnsiTheme="minorHAnsi"/>
          <w:bCs/>
          <w:snapToGrid w:val="0"/>
        </w:rPr>
        <w:t xml:space="preserve">high tolerability, the potential for reduced hospital visits, </w:t>
      </w:r>
      <w:r w:rsidR="00984E0D">
        <w:rPr>
          <w:rFonts w:asciiTheme="minorHAnsi" w:hAnsiTheme="minorHAnsi"/>
          <w:bCs/>
          <w:snapToGrid w:val="0"/>
        </w:rPr>
        <w:t xml:space="preserve">and the </w:t>
      </w:r>
      <w:r>
        <w:rPr>
          <w:rFonts w:asciiTheme="minorHAnsi" w:hAnsiTheme="minorHAnsi"/>
          <w:bCs/>
          <w:snapToGrid w:val="0"/>
        </w:rPr>
        <w:t xml:space="preserve">opportunity for improved quality of life through the </w:t>
      </w:r>
      <w:r w:rsidRPr="00836F75">
        <w:rPr>
          <w:rFonts w:asciiTheme="minorHAnsi" w:hAnsiTheme="minorHAnsi"/>
          <w:bCs/>
          <w:snapToGrid w:val="0"/>
        </w:rPr>
        <w:t>ability to return to work</w:t>
      </w:r>
      <w:r>
        <w:rPr>
          <w:rFonts w:asciiTheme="minorHAnsi" w:hAnsiTheme="minorHAnsi"/>
          <w:bCs/>
          <w:snapToGrid w:val="0"/>
        </w:rPr>
        <w:t xml:space="preserve"> </w:t>
      </w:r>
      <w:r>
        <w:rPr>
          <w:rFonts w:asciiTheme="minorHAnsi" w:hAnsiTheme="minorHAnsi"/>
          <w:bCs/>
          <w:snapToGrid w:val="0"/>
        </w:rPr>
        <w:lastRenderedPageBreak/>
        <w:t>and participate in the community</w:t>
      </w:r>
      <w:r w:rsidR="00087D76">
        <w:rPr>
          <w:rFonts w:asciiTheme="minorHAnsi" w:hAnsiTheme="minorHAnsi"/>
          <w:bCs/>
          <w:snapToGrid w:val="0"/>
        </w:rPr>
        <w:t>.</w:t>
      </w:r>
      <w:r w:rsidR="009F22F8">
        <w:rPr>
          <w:rFonts w:asciiTheme="minorHAnsi" w:hAnsiTheme="minorHAnsi"/>
          <w:bCs/>
          <w:snapToGrid w:val="0"/>
        </w:rPr>
        <w:t xml:space="preserve"> The PBAC noted that the consumer comments also described </w:t>
      </w:r>
      <w:r w:rsidR="009F22F8" w:rsidRPr="00FE3E22">
        <w:rPr>
          <w:lang w:val="en-GB" w:eastAsia="en-US"/>
        </w:rPr>
        <w:t>the difficulty of the ‘watch and wait’ approach for asymptomatic patients.</w:t>
      </w:r>
    </w:p>
    <w:p w14:paraId="609C0765" w14:textId="06C43039" w:rsidR="00B60939" w:rsidRPr="00C31E62" w:rsidRDefault="00B60939" w:rsidP="002E4F02">
      <w:pPr>
        <w:pStyle w:val="COMH2-non-numbered"/>
      </w:pPr>
      <w:r w:rsidRPr="00C31E62">
        <w:t>Clinical trials</w:t>
      </w:r>
      <w:bookmarkEnd w:id="17"/>
      <w:bookmarkEnd w:id="18"/>
      <w:bookmarkEnd w:id="19"/>
    </w:p>
    <w:p w14:paraId="5405FDA2" w14:textId="77777777" w:rsidR="00E04474" w:rsidRPr="00E04474" w:rsidRDefault="00E04474" w:rsidP="00B77046">
      <w:pPr>
        <w:pStyle w:val="COMexecsumnumberedpara"/>
      </w:pPr>
      <w:r w:rsidRPr="00E04474">
        <w:rPr>
          <w:snapToGrid/>
          <w:lang w:val="en-US"/>
        </w:rPr>
        <w:t>The submission was based on the following comparisons of zanubrutinib to the nominated comparators:</w:t>
      </w:r>
    </w:p>
    <w:p w14:paraId="6EEEB1CE" w14:textId="0AA271A1" w:rsidR="00E04474" w:rsidRPr="0022778F" w:rsidRDefault="00E04474" w:rsidP="0022778F">
      <w:pPr>
        <w:pStyle w:val="COMexecsummbulletlist"/>
      </w:pPr>
      <w:r w:rsidRPr="0022778F">
        <w:t>A</w:t>
      </w:r>
      <w:r w:rsidR="008B7D07" w:rsidRPr="0022778F">
        <w:t>n unanchored unadjusted</w:t>
      </w:r>
      <w:r w:rsidRPr="0022778F">
        <w:t xml:space="preserve"> </w:t>
      </w:r>
      <w:r w:rsidR="008B7D07" w:rsidRPr="0022778F">
        <w:t>(</w:t>
      </w:r>
      <w:r w:rsidRPr="0022778F">
        <w:t>naïve</w:t>
      </w:r>
      <w:r w:rsidR="008B7D07" w:rsidRPr="0022778F">
        <w:t>)</w:t>
      </w:r>
      <w:r w:rsidRPr="0022778F">
        <w:t xml:space="preserve"> </w:t>
      </w:r>
      <w:r w:rsidR="00B064FC" w:rsidRPr="0022778F">
        <w:t xml:space="preserve">indirect </w:t>
      </w:r>
      <w:r w:rsidRPr="0022778F">
        <w:t xml:space="preserve">comparison and an unanchored </w:t>
      </w:r>
      <w:r w:rsidR="00F150A9" w:rsidRPr="0022778F">
        <w:t>matching</w:t>
      </w:r>
      <w:r w:rsidR="007C50DB" w:rsidRPr="0022778F">
        <w:t>-</w:t>
      </w:r>
      <w:r w:rsidR="00F150A9" w:rsidRPr="0022778F">
        <w:t>adjusted indirect comparison (</w:t>
      </w:r>
      <w:r w:rsidRPr="0022778F">
        <w:t>MAIC</w:t>
      </w:r>
      <w:r w:rsidR="00F150A9" w:rsidRPr="0022778F">
        <w:t>)</w:t>
      </w:r>
      <w:r w:rsidRPr="0022778F">
        <w:t xml:space="preserve"> of zanubrutinib (SEQUOIA) versus venetoclax + obinutuzumab (CLL-14).</w:t>
      </w:r>
    </w:p>
    <w:p w14:paraId="56282020" w14:textId="346D43FE" w:rsidR="00E04474" w:rsidRDefault="00E04474" w:rsidP="0022778F">
      <w:pPr>
        <w:pStyle w:val="COMexecsummbulletlist"/>
      </w:pPr>
      <w:r>
        <w:t>A</w:t>
      </w:r>
      <w:r w:rsidR="008B7D07">
        <w:t>n unanchored unadjusted (</w:t>
      </w:r>
      <w:r>
        <w:t>naïve</w:t>
      </w:r>
      <w:r w:rsidR="008B7D07">
        <w:t>)</w:t>
      </w:r>
      <w:r>
        <w:t xml:space="preserve"> </w:t>
      </w:r>
      <w:r w:rsidR="00B064FC">
        <w:t xml:space="preserve">indirect </w:t>
      </w:r>
      <w:r>
        <w:t>comparison and an unanchored MAIC of zanubrutinib (SEQUOIA) versus acalabrutinib (ELEVATE-TN).</w:t>
      </w:r>
    </w:p>
    <w:p w14:paraId="5C6541DE" w14:textId="03CAAAED" w:rsidR="00E04474" w:rsidRDefault="00E04474" w:rsidP="0022778F">
      <w:pPr>
        <w:pStyle w:val="COMexecsummbulletlist"/>
      </w:pPr>
      <w:r>
        <w:t>A</w:t>
      </w:r>
      <w:r w:rsidR="008B7D07">
        <w:t>n unanchored unadjusted</w:t>
      </w:r>
      <w:r>
        <w:t xml:space="preserve"> </w:t>
      </w:r>
      <w:r w:rsidR="008B7D07">
        <w:t>(</w:t>
      </w:r>
      <w:r>
        <w:t>naïve</w:t>
      </w:r>
      <w:r w:rsidR="008B7D07">
        <w:t>)</w:t>
      </w:r>
      <w:r>
        <w:t xml:space="preserve"> comparison of zanubrutinib (SEQUOIA) versus acalabrutinib + obinutuzumab (ELEVATE-TN).</w:t>
      </w:r>
    </w:p>
    <w:p w14:paraId="0B00E1A1" w14:textId="7B520BD0" w:rsidR="00E94C93" w:rsidRPr="00E94C93" w:rsidRDefault="001A523E" w:rsidP="00B77046">
      <w:pPr>
        <w:pStyle w:val="COMexecsumnumberedpara"/>
      </w:pPr>
      <w:r>
        <w:rPr>
          <w:snapToGrid/>
          <w:lang w:val="en-US"/>
        </w:rPr>
        <w:t xml:space="preserve">A </w:t>
      </w:r>
      <w:r w:rsidR="00B064FC" w:rsidRPr="00B064FC">
        <w:rPr>
          <w:snapToGrid/>
          <w:lang w:val="en-US"/>
        </w:rPr>
        <w:t xml:space="preserve">MAIC </w:t>
      </w:r>
      <w:r w:rsidR="00866982">
        <w:rPr>
          <w:snapToGrid/>
          <w:lang w:val="en-US"/>
        </w:rPr>
        <w:t xml:space="preserve">for </w:t>
      </w:r>
      <w:r w:rsidR="00B064FC" w:rsidRPr="00B064FC">
        <w:rPr>
          <w:snapToGrid/>
          <w:lang w:val="en-US"/>
        </w:rPr>
        <w:t xml:space="preserve">zanubrutinib versus acalabrutinib + obinutuzumab </w:t>
      </w:r>
      <w:r>
        <w:rPr>
          <w:snapToGrid/>
          <w:lang w:val="en-US"/>
        </w:rPr>
        <w:t>was</w:t>
      </w:r>
      <w:r w:rsidR="00B064FC" w:rsidRPr="00B064FC">
        <w:rPr>
          <w:snapToGrid/>
          <w:lang w:val="en-US"/>
        </w:rPr>
        <w:t xml:space="preserve"> not presented</w:t>
      </w:r>
      <w:r w:rsidR="00B064FC">
        <w:rPr>
          <w:snapToGrid/>
          <w:lang w:val="en-US"/>
        </w:rPr>
        <w:t xml:space="preserve"> in the submission</w:t>
      </w:r>
      <w:r>
        <w:rPr>
          <w:snapToGrid/>
          <w:lang w:val="en-US"/>
        </w:rPr>
        <w:t>.</w:t>
      </w:r>
      <w:r w:rsidR="00B064FC">
        <w:t xml:space="preserve"> </w:t>
      </w:r>
      <w:r w:rsidR="00E04474" w:rsidRPr="00E04474">
        <w:rPr>
          <w:snapToGrid/>
          <w:lang w:val="en-US"/>
        </w:rPr>
        <w:t xml:space="preserve">The submission stated that this was due to acalabrutinib + obinutuzumab being a comparator that is unique to the Australian setting. </w:t>
      </w:r>
      <w:r w:rsidR="00FD71C4" w:rsidRPr="00021B9D">
        <w:rPr>
          <w:iCs/>
          <w:snapToGrid/>
          <w:lang w:val="en-US"/>
        </w:rPr>
        <w:t xml:space="preserve">A MAIC of zanubrutinib versus acalabrutinib + obinutuzumab may have been informative to establish the relative efficacy of zanubrutinib versus combination therapy with acalabrutinib + obinutuzumab. </w:t>
      </w:r>
      <w:r w:rsidRPr="00021B9D">
        <w:rPr>
          <w:iCs/>
          <w:snapToGrid/>
          <w:lang w:val="en-US"/>
        </w:rPr>
        <w:t xml:space="preserve">Additionally, statistical testing for the difference between zanubrutinib versus acalabrutinib </w:t>
      </w:r>
      <w:r w:rsidR="00CD0B98" w:rsidRPr="00021B9D">
        <w:rPr>
          <w:iCs/>
          <w:snapToGrid/>
          <w:lang w:val="en-US"/>
        </w:rPr>
        <w:t xml:space="preserve">in the unanchored unadjusted (naïve) comparison </w:t>
      </w:r>
      <w:r w:rsidRPr="00021B9D">
        <w:rPr>
          <w:iCs/>
          <w:snapToGrid/>
          <w:lang w:val="en-US"/>
        </w:rPr>
        <w:t>was not presented</w:t>
      </w:r>
      <w:r w:rsidR="00CD0B98" w:rsidRPr="00021B9D">
        <w:rPr>
          <w:iCs/>
          <w:snapToGrid/>
          <w:lang w:val="en-US"/>
        </w:rPr>
        <w:t xml:space="preserve">. A </w:t>
      </w:r>
      <w:r w:rsidR="00FD71C4" w:rsidRPr="00021B9D">
        <w:rPr>
          <w:iCs/>
          <w:snapToGrid/>
          <w:lang w:val="en-US"/>
        </w:rPr>
        <w:t>resubmission for acalabrutinib + obinutuzumab was considered at the December 2022 intracycle PBAC meeting.</w:t>
      </w:r>
    </w:p>
    <w:p w14:paraId="38872CF1" w14:textId="46954E7D" w:rsidR="00E94C93" w:rsidRDefault="00E94C93" w:rsidP="00B77046">
      <w:pPr>
        <w:pStyle w:val="COMexecsumnumberedpara"/>
      </w:pPr>
      <w:r>
        <w:t>D</w:t>
      </w:r>
      <w:r w:rsidRPr="00E94C93">
        <w:t xml:space="preserve">etails of the trial reports presented in the submission are provided in </w:t>
      </w:r>
      <w:r w:rsidR="00F5104C">
        <w:fldChar w:fldCharType="begin" w:fldLock="1"/>
      </w:r>
      <w:r w:rsidR="00F5104C">
        <w:instrText xml:space="preserve"> REF _Ref123831944 \h </w:instrText>
      </w:r>
      <w:r w:rsidR="00F5104C">
        <w:fldChar w:fldCharType="separate"/>
      </w:r>
      <w:r w:rsidR="00540D87" w:rsidRPr="00C31E62">
        <w:t xml:space="preserve">Table </w:t>
      </w:r>
      <w:r w:rsidR="00540D87">
        <w:rPr>
          <w:noProof/>
        </w:rPr>
        <w:t>2</w:t>
      </w:r>
      <w:r w:rsidR="00F5104C">
        <w:fldChar w:fldCharType="end"/>
      </w:r>
      <w:r w:rsidR="00F5104C">
        <w:t>.</w:t>
      </w:r>
    </w:p>
    <w:p w14:paraId="5437BA40" w14:textId="04EEEF4F" w:rsidR="00E94C93" w:rsidRPr="00C31E62" w:rsidRDefault="00F5104C" w:rsidP="008B66E5">
      <w:pPr>
        <w:pStyle w:val="COMtablefigcaption"/>
        <w:keepLines/>
      </w:pPr>
      <w:bookmarkStart w:id="20" w:name="_Ref123831944"/>
      <w:bookmarkStart w:id="21" w:name="_Ref123831909"/>
      <w:r w:rsidRPr="00C31E62">
        <w:lastRenderedPageBreak/>
        <w:t xml:space="preserve">Table </w:t>
      </w:r>
      <w:fldSimple w:instr=" SEQ Table \* ARABIC " w:fldLock="1">
        <w:r w:rsidR="00540D87">
          <w:rPr>
            <w:noProof/>
          </w:rPr>
          <w:t>2</w:t>
        </w:r>
      </w:fldSimple>
      <w:bookmarkEnd w:id="20"/>
      <w:r w:rsidR="00E94C93" w:rsidRPr="00C31E62">
        <w:t>: Trials and associated reports presented in the submission</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713"/>
        <w:gridCol w:w="2072"/>
      </w:tblGrid>
      <w:tr w:rsidR="00E94C93" w:rsidRPr="00C31E62" w14:paraId="2FD07431" w14:textId="77777777" w:rsidTr="006A1BBC">
        <w:trPr>
          <w:tblHeader/>
        </w:trPr>
        <w:tc>
          <w:tcPr>
            <w:tcW w:w="683" w:type="pct"/>
            <w:tcBorders>
              <w:top w:val="single" w:sz="4" w:space="0" w:color="auto"/>
              <w:left w:val="single" w:sz="4" w:space="0" w:color="auto"/>
              <w:bottom w:val="single" w:sz="4" w:space="0" w:color="auto"/>
              <w:right w:val="single" w:sz="4" w:space="0" w:color="auto"/>
            </w:tcBorders>
            <w:vAlign w:val="center"/>
          </w:tcPr>
          <w:p w14:paraId="78F0FDB1" w14:textId="77777777" w:rsidR="00E94C93" w:rsidRPr="00C31E62" w:rsidRDefault="00E94C93" w:rsidP="008B66E5">
            <w:pPr>
              <w:pStyle w:val="COMTableheadingrow"/>
              <w:keepLines/>
            </w:pPr>
            <w:r w:rsidRPr="00C31E62">
              <w:t>Trial ID</w:t>
            </w:r>
          </w:p>
        </w:tc>
        <w:tc>
          <w:tcPr>
            <w:tcW w:w="3168" w:type="pct"/>
            <w:tcBorders>
              <w:top w:val="single" w:sz="4" w:space="0" w:color="auto"/>
              <w:left w:val="single" w:sz="4" w:space="0" w:color="auto"/>
              <w:bottom w:val="single" w:sz="4" w:space="0" w:color="auto"/>
              <w:right w:val="single" w:sz="4" w:space="0" w:color="auto"/>
            </w:tcBorders>
            <w:vAlign w:val="center"/>
          </w:tcPr>
          <w:p w14:paraId="50416457" w14:textId="77777777" w:rsidR="00E94C93" w:rsidRPr="00C31E62" w:rsidRDefault="00E94C93" w:rsidP="008B66E5">
            <w:pPr>
              <w:pStyle w:val="COMTableheadingrow"/>
              <w:keepLines/>
              <w:jc w:val="center"/>
            </w:pPr>
            <w:r w:rsidRPr="00C31E62">
              <w:t>Protocol title/ Publication title</w:t>
            </w:r>
          </w:p>
        </w:tc>
        <w:tc>
          <w:tcPr>
            <w:tcW w:w="1149" w:type="pct"/>
            <w:tcBorders>
              <w:top w:val="single" w:sz="4" w:space="0" w:color="auto"/>
              <w:left w:val="single" w:sz="4" w:space="0" w:color="auto"/>
              <w:bottom w:val="single" w:sz="4" w:space="0" w:color="auto"/>
              <w:right w:val="single" w:sz="4" w:space="0" w:color="auto"/>
            </w:tcBorders>
            <w:vAlign w:val="center"/>
          </w:tcPr>
          <w:p w14:paraId="77B32CF4" w14:textId="77777777" w:rsidR="00E94C93" w:rsidRPr="00C31E62" w:rsidRDefault="00E94C93" w:rsidP="008B66E5">
            <w:pPr>
              <w:pStyle w:val="COMTableheadingrow"/>
              <w:keepLines/>
              <w:jc w:val="center"/>
            </w:pPr>
            <w:r w:rsidRPr="00C31E62">
              <w:t>Publication citation</w:t>
            </w:r>
          </w:p>
        </w:tc>
      </w:tr>
      <w:tr w:rsidR="00E94C93" w:rsidRPr="00C31E62" w14:paraId="6D3E442E" w14:textId="77777777" w:rsidTr="006A1BBC">
        <w:tc>
          <w:tcPr>
            <w:tcW w:w="5000" w:type="pct"/>
            <w:gridSpan w:val="3"/>
            <w:tcBorders>
              <w:top w:val="single" w:sz="4" w:space="0" w:color="auto"/>
              <w:bottom w:val="nil"/>
            </w:tcBorders>
            <w:vAlign w:val="center"/>
          </w:tcPr>
          <w:p w14:paraId="6B0656D6" w14:textId="77777777" w:rsidR="00E94C93" w:rsidRPr="008D194D" w:rsidRDefault="00E94C93" w:rsidP="008B66E5">
            <w:pPr>
              <w:pStyle w:val="COMTabletext"/>
              <w:keepLines/>
              <w:jc w:val="both"/>
              <w:rPr>
                <w:b/>
                <w:bCs w:val="0"/>
              </w:rPr>
            </w:pPr>
            <w:r>
              <w:rPr>
                <w:b/>
                <w:bCs w:val="0"/>
              </w:rPr>
              <w:t>Zanubrutinib trials</w:t>
            </w:r>
          </w:p>
        </w:tc>
      </w:tr>
      <w:tr w:rsidR="00E94C93" w:rsidRPr="00C31E62" w14:paraId="6DD8E6A1" w14:textId="77777777" w:rsidTr="006A1BBC">
        <w:trPr>
          <w:trHeight w:val="463"/>
        </w:trPr>
        <w:tc>
          <w:tcPr>
            <w:tcW w:w="683" w:type="pct"/>
            <w:vMerge w:val="restart"/>
            <w:vAlign w:val="center"/>
          </w:tcPr>
          <w:p w14:paraId="08CA7D0B" w14:textId="77777777" w:rsidR="00E94C93" w:rsidRPr="00C31E62" w:rsidRDefault="00E94C93" w:rsidP="008B66E5">
            <w:pPr>
              <w:pStyle w:val="COMTabletext"/>
              <w:keepLines/>
            </w:pPr>
            <w:r>
              <w:t>SEQUOIA (</w:t>
            </w:r>
            <w:r w:rsidRPr="008A4C47">
              <w:t>NCT03336333</w:t>
            </w:r>
            <w:r>
              <w:t>)</w:t>
            </w:r>
          </w:p>
        </w:tc>
        <w:tc>
          <w:tcPr>
            <w:tcW w:w="3168" w:type="pct"/>
            <w:tcBorders>
              <w:bottom w:val="nil"/>
            </w:tcBorders>
          </w:tcPr>
          <w:p w14:paraId="5B2BCADD" w14:textId="77777777" w:rsidR="00E94C93" w:rsidRPr="00C31E62" w:rsidRDefault="00E94C93" w:rsidP="008B66E5">
            <w:pPr>
              <w:pStyle w:val="COMTabletext"/>
              <w:keepLines/>
              <w:rPr>
                <w:szCs w:val="18"/>
              </w:rPr>
            </w:pPr>
            <w:r w:rsidRPr="00370D3C">
              <w:rPr>
                <w:szCs w:val="18"/>
              </w:rPr>
              <w:t xml:space="preserve">An </w:t>
            </w:r>
            <w:r>
              <w:rPr>
                <w:szCs w:val="18"/>
              </w:rPr>
              <w:t>i</w:t>
            </w:r>
            <w:r w:rsidRPr="00370D3C">
              <w:rPr>
                <w:szCs w:val="18"/>
              </w:rPr>
              <w:t xml:space="preserve">nternational, Phase 3, </w:t>
            </w:r>
            <w:r>
              <w:rPr>
                <w:szCs w:val="18"/>
              </w:rPr>
              <w:t>o</w:t>
            </w:r>
            <w:r w:rsidRPr="00370D3C">
              <w:rPr>
                <w:szCs w:val="18"/>
              </w:rPr>
              <w:t xml:space="preserve">pen-label, </w:t>
            </w:r>
            <w:r>
              <w:rPr>
                <w:szCs w:val="18"/>
              </w:rPr>
              <w:t>r</w:t>
            </w:r>
            <w:r w:rsidRPr="00370D3C">
              <w:rPr>
                <w:szCs w:val="18"/>
              </w:rPr>
              <w:t xml:space="preserve">andomized </w:t>
            </w:r>
            <w:r>
              <w:rPr>
                <w:szCs w:val="18"/>
              </w:rPr>
              <w:t>s</w:t>
            </w:r>
            <w:r w:rsidRPr="00370D3C">
              <w:rPr>
                <w:szCs w:val="18"/>
              </w:rPr>
              <w:t xml:space="preserve">tudy of BGB-3111 </w:t>
            </w:r>
            <w:r>
              <w:rPr>
                <w:szCs w:val="18"/>
              </w:rPr>
              <w:t>c</w:t>
            </w:r>
            <w:r w:rsidRPr="00370D3C">
              <w:rPr>
                <w:szCs w:val="18"/>
              </w:rPr>
              <w:t xml:space="preserve">ompared with </w:t>
            </w:r>
            <w:r>
              <w:rPr>
                <w:szCs w:val="18"/>
              </w:rPr>
              <w:t>b</w:t>
            </w:r>
            <w:r w:rsidRPr="00370D3C">
              <w:rPr>
                <w:szCs w:val="18"/>
              </w:rPr>
              <w:t xml:space="preserve">endamustine plus </w:t>
            </w:r>
            <w:r>
              <w:rPr>
                <w:szCs w:val="18"/>
              </w:rPr>
              <w:t>r</w:t>
            </w:r>
            <w:r w:rsidRPr="00370D3C">
              <w:rPr>
                <w:szCs w:val="18"/>
              </w:rPr>
              <w:t xml:space="preserve">ituximab in </w:t>
            </w:r>
            <w:r>
              <w:rPr>
                <w:szCs w:val="18"/>
              </w:rPr>
              <w:t>p</w:t>
            </w:r>
            <w:r w:rsidRPr="00370D3C">
              <w:rPr>
                <w:szCs w:val="18"/>
              </w:rPr>
              <w:t xml:space="preserve">atients with </w:t>
            </w:r>
            <w:r>
              <w:rPr>
                <w:szCs w:val="18"/>
              </w:rPr>
              <w:t>p</w:t>
            </w:r>
            <w:r w:rsidRPr="00370D3C">
              <w:rPr>
                <w:szCs w:val="18"/>
              </w:rPr>
              <w:t xml:space="preserve">reviously </w:t>
            </w:r>
            <w:r>
              <w:rPr>
                <w:szCs w:val="18"/>
              </w:rPr>
              <w:t>u</w:t>
            </w:r>
            <w:r w:rsidRPr="00370D3C">
              <w:rPr>
                <w:szCs w:val="18"/>
              </w:rPr>
              <w:t xml:space="preserve">ntreated </w:t>
            </w:r>
            <w:r>
              <w:rPr>
                <w:szCs w:val="18"/>
              </w:rPr>
              <w:t>c</w:t>
            </w:r>
            <w:r w:rsidRPr="00370D3C">
              <w:rPr>
                <w:szCs w:val="18"/>
              </w:rPr>
              <w:t xml:space="preserve">hronic </w:t>
            </w:r>
            <w:r>
              <w:rPr>
                <w:szCs w:val="18"/>
              </w:rPr>
              <w:t>l</w:t>
            </w:r>
            <w:r w:rsidRPr="00370D3C">
              <w:rPr>
                <w:szCs w:val="18"/>
              </w:rPr>
              <w:t xml:space="preserve">ymphocytic leukaemia or </w:t>
            </w:r>
            <w:r>
              <w:rPr>
                <w:szCs w:val="18"/>
              </w:rPr>
              <w:t>s</w:t>
            </w:r>
            <w:r w:rsidRPr="00370D3C">
              <w:rPr>
                <w:szCs w:val="18"/>
              </w:rPr>
              <w:t xml:space="preserve">mall </w:t>
            </w:r>
            <w:r>
              <w:rPr>
                <w:szCs w:val="18"/>
              </w:rPr>
              <w:t>l</w:t>
            </w:r>
            <w:r w:rsidRPr="00370D3C">
              <w:rPr>
                <w:szCs w:val="18"/>
              </w:rPr>
              <w:t xml:space="preserve">ymphocytic </w:t>
            </w:r>
            <w:r>
              <w:rPr>
                <w:szCs w:val="18"/>
              </w:rPr>
              <w:t>l</w:t>
            </w:r>
            <w:r w:rsidRPr="00370D3C">
              <w:rPr>
                <w:szCs w:val="18"/>
              </w:rPr>
              <w:t>ymphoma</w:t>
            </w:r>
            <w:r>
              <w:rPr>
                <w:szCs w:val="18"/>
              </w:rPr>
              <w:t>.</w:t>
            </w:r>
          </w:p>
        </w:tc>
        <w:tc>
          <w:tcPr>
            <w:tcW w:w="1149" w:type="pct"/>
            <w:tcBorders>
              <w:bottom w:val="nil"/>
            </w:tcBorders>
          </w:tcPr>
          <w:p w14:paraId="3A125F25" w14:textId="77777777" w:rsidR="00E94C93" w:rsidRPr="00C31E62" w:rsidRDefault="00E94C93" w:rsidP="008B66E5">
            <w:pPr>
              <w:pStyle w:val="COMTabletext"/>
              <w:keepLines/>
            </w:pPr>
            <w:r>
              <w:t>Interim clinical study report, 6 January 2022.</w:t>
            </w:r>
          </w:p>
        </w:tc>
      </w:tr>
      <w:tr w:rsidR="00E94C93" w:rsidRPr="00C31E62" w14:paraId="6F0C6782" w14:textId="77777777" w:rsidTr="006A1BBC">
        <w:trPr>
          <w:trHeight w:val="80"/>
        </w:trPr>
        <w:tc>
          <w:tcPr>
            <w:tcW w:w="683" w:type="pct"/>
            <w:vMerge/>
            <w:tcBorders>
              <w:right w:val="single" w:sz="4" w:space="0" w:color="auto"/>
            </w:tcBorders>
            <w:vAlign w:val="center"/>
          </w:tcPr>
          <w:p w14:paraId="3514A6AD" w14:textId="77777777" w:rsidR="00E94C93" w:rsidRPr="00C31E62" w:rsidRDefault="00E94C93" w:rsidP="008B66E5">
            <w:pPr>
              <w:pStyle w:val="COMTabletext"/>
              <w:keepLines/>
            </w:pPr>
          </w:p>
        </w:tc>
        <w:tc>
          <w:tcPr>
            <w:tcW w:w="3168" w:type="pct"/>
            <w:tcBorders>
              <w:top w:val="nil"/>
              <w:left w:val="single" w:sz="4" w:space="0" w:color="auto"/>
              <w:bottom w:val="nil"/>
              <w:right w:val="single" w:sz="4" w:space="0" w:color="auto"/>
            </w:tcBorders>
          </w:tcPr>
          <w:p w14:paraId="744AFBCF" w14:textId="77777777" w:rsidR="00E94C93" w:rsidRPr="007310BD" w:rsidRDefault="00E94C93" w:rsidP="008B66E5">
            <w:pPr>
              <w:pStyle w:val="COMTabletext"/>
              <w:keepLines/>
              <w:rPr>
                <w:szCs w:val="18"/>
                <w:lang w:val="en-US"/>
              </w:rPr>
            </w:pPr>
            <w:r w:rsidRPr="007310BD">
              <w:rPr>
                <w:szCs w:val="18"/>
                <w:lang w:val="en-US"/>
              </w:rPr>
              <w:t>Tam CS, Brown JR, Kahl BS, Ghia P</w:t>
            </w:r>
            <w:r>
              <w:rPr>
                <w:szCs w:val="18"/>
                <w:lang w:val="en-US"/>
              </w:rPr>
              <w:t>, et al.</w:t>
            </w:r>
            <w:r w:rsidRPr="007310BD">
              <w:rPr>
                <w:szCs w:val="18"/>
                <w:lang w:val="en-US"/>
              </w:rPr>
              <w:t xml:space="preserve"> Zanubrutinib versus bendamustine and rituximab in untreated chronic lymphocytic leukaemia and small lymphocytic lymphoma (SEQUOIA): a randomised, controlled, phase 3 trial. </w:t>
            </w:r>
          </w:p>
        </w:tc>
        <w:tc>
          <w:tcPr>
            <w:tcW w:w="1149" w:type="pct"/>
            <w:tcBorders>
              <w:top w:val="nil"/>
              <w:left w:val="single" w:sz="4" w:space="0" w:color="auto"/>
              <w:bottom w:val="nil"/>
              <w:right w:val="single" w:sz="4" w:space="0" w:color="auto"/>
            </w:tcBorders>
          </w:tcPr>
          <w:p w14:paraId="7BAB208B" w14:textId="77777777" w:rsidR="00E94C93" w:rsidRPr="00C31E62" w:rsidRDefault="00E94C93" w:rsidP="008B66E5">
            <w:pPr>
              <w:pStyle w:val="COMTabletext"/>
              <w:keepLines/>
              <w:rPr>
                <w:i/>
                <w:szCs w:val="18"/>
                <w:lang w:val="en-US"/>
              </w:rPr>
            </w:pPr>
            <w:r w:rsidRPr="00021B9D">
              <w:rPr>
                <w:iCs/>
                <w:szCs w:val="18"/>
                <w:lang w:val="en-US"/>
              </w:rPr>
              <w:t xml:space="preserve">The Lancet Oncology </w:t>
            </w:r>
            <w:r>
              <w:rPr>
                <w:szCs w:val="18"/>
                <w:lang w:val="en-US"/>
              </w:rPr>
              <w:t xml:space="preserve">2022; </w:t>
            </w:r>
            <w:r w:rsidRPr="00D8128B">
              <w:rPr>
                <w:szCs w:val="18"/>
                <w:lang w:val="en-US"/>
              </w:rPr>
              <w:t>23(8)</w:t>
            </w:r>
            <w:r>
              <w:rPr>
                <w:szCs w:val="18"/>
                <w:lang w:val="en-US"/>
              </w:rPr>
              <w:t>:</w:t>
            </w:r>
            <w:r w:rsidRPr="00D8128B">
              <w:rPr>
                <w:szCs w:val="18"/>
                <w:lang w:val="en-US"/>
              </w:rPr>
              <w:t>1031-1043)</w:t>
            </w:r>
            <w:r>
              <w:rPr>
                <w:szCs w:val="18"/>
                <w:lang w:val="en-US"/>
              </w:rPr>
              <w:t>.</w:t>
            </w:r>
          </w:p>
        </w:tc>
      </w:tr>
      <w:tr w:rsidR="00E94C93" w:rsidRPr="00C31E62" w14:paraId="67524322" w14:textId="77777777" w:rsidTr="006A1BBC">
        <w:trPr>
          <w:trHeight w:val="80"/>
        </w:trPr>
        <w:tc>
          <w:tcPr>
            <w:tcW w:w="683" w:type="pct"/>
            <w:vMerge/>
            <w:vAlign w:val="center"/>
          </w:tcPr>
          <w:p w14:paraId="49EBDF89" w14:textId="77777777" w:rsidR="00E94C93" w:rsidRPr="00C31E62" w:rsidRDefault="00E94C93" w:rsidP="008B66E5">
            <w:pPr>
              <w:pStyle w:val="COMTabletext"/>
              <w:keepLines/>
            </w:pPr>
          </w:p>
        </w:tc>
        <w:tc>
          <w:tcPr>
            <w:tcW w:w="3168" w:type="pct"/>
            <w:tcBorders>
              <w:top w:val="nil"/>
              <w:bottom w:val="nil"/>
            </w:tcBorders>
          </w:tcPr>
          <w:p w14:paraId="78EB679A" w14:textId="77777777" w:rsidR="00E94C93" w:rsidRPr="007310BD" w:rsidRDefault="00E94C93" w:rsidP="008B66E5">
            <w:pPr>
              <w:pStyle w:val="COMTabletext"/>
              <w:keepLines/>
              <w:rPr>
                <w:szCs w:val="18"/>
                <w:lang w:val="en-US"/>
              </w:rPr>
            </w:pPr>
            <w:r w:rsidRPr="007310BD">
              <w:rPr>
                <w:szCs w:val="18"/>
                <w:lang w:val="en-US"/>
              </w:rPr>
              <w:t xml:space="preserve">Tam CS, Robak T, Ghia P, Kahl BS, </w:t>
            </w:r>
            <w:r>
              <w:rPr>
                <w:szCs w:val="18"/>
                <w:lang w:val="en-US"/>
              </w:rPr>
              <w:t xml:space="preserve">et al. </w:t>
            </w:r>
            <w:r w:rsidRPr="007310BD">
              <w:rPr>
                <w:szCs w:val="18"/>
                <w:lang w:val="en-US"/>
              </w:rPr>
              <w:t>Zanubrutinib monotherapy for patients with treatment naïve chronic lymphocytic leukaemia</w:t>
            </w:r>
            <w:r>
              <w:rPr>
                <w:szCs w:val="18"/>
                <w:lang w:val="en-US"/>
              </w:rPr>
              <w:t xml:space="preserve"> </w:t>
            </w:r>
            <w:r w:rsidRPr="007310BD">
              <w:rPr>
                <w:szCs w:val="18"/>
                <w:lang w:val="en-US"/>
              </w:rPr>
              <w:t xml:space="preserve">and 17p deletion. </w:t>
            </w:r>
          </w:p>
        </w:tc>
        <w:tc>
          <w:tcPr>
            <w:tcW w:w="1149" w:type="pct"/>
            <w:tcBorders>
              <w:top w:val="nil"/>
              <w:bottom w:val="nil"/>
            </w:tcBorders>
          </w:tcPr>
          <w:p w14:paraId="79F2812B" w14:textId="77777777" w:rsidR="00E94C93" w:rsidRPr="00C31E62" w:rsidRDefault="00E94C93" w:rsidP="008B66E5">
            <w:pPr>
              <w:pStyle w:val="COMTabletext"/>
              <w:keepLines/>
              <w:rPr>
                <w:i/>
                <w:szCs w:val="18"/>
                <w:lang w:val="en-US"/>
              </w:rPr>
            </w:pPr>
            <w:r w:rsidRPr="00021B9D">
              <w:rPr>
                <w:iCs/>
                <w:szCs w:val="18"/>
                <w:lang w:val="en-US"/>
              </w:rPr>
              <w:t>Haematologica</w:t>
            </w:r>
            <w:r w:rsidRPr="007310BD">
              <w:rPr>
                <w:szCs w:val="18"/>
                <w:lang w:val="en-US"/>
              </w:rPr>
              <w:t xml:space="preserve"> 2020</w:t>
            </w:r>
            <w:r>
              <w:rPr>
                <w:szCs w:val="18"/>
                <w:lang w:val="en-US"/>
              </w:rPr>
              <w:t>; 1</w:t>
            </w:r>
            <w:r w:rsidRPr="007310BD">
              <w:rPr>
                <w:szCs w:val="18"/>
                <w:lang w:val="en-US"/>
              </w:rPr>
              <w:t>06(9):</w:t>
            </w:r>
            <w:r>
              <w:rPr>
                <w:szCs w:val="18"/>
                <w:lang w:val="en-US"/>
              </w:rPr>
              <w:t xml:space="preserve"> </w:t>
            </w:r>
            <w:r w:rsidRPr="007310BD">
              <w:rPr>
                <w:szCs w:val="18"/>
                <w:lang w:val="en-US"/>
              </w:rPr>
              <w:t>2354-2363.</w:t>
            </w:r>
          </w:p>
        </w:tc>
      </w:tr>
      <w:tr w:rsidR="00E94C93" w:rsidRPr="00C31E62" w14:paraId="752D9077" w14:textId="77777777" w:rsidTr="006A1BBC">
        <w:tc>
          <w:tcPr>
            <w:tcW w:w="5000" w:type="pct"/>
            <w:gridSpan w:val="3"/>
            <w:tcBorders>
              <w:top w:val="single" w:sz="4" w:space="0" w:color="auto"/>
              <w:bottom w:val="single" w:sz="4" w:space="0" w:color="auto"/>
            </w:tcBorders>
            <w:vAlign w:val="center"/>
          </w:tcPr>
          <w:p w14:paraId="59E65A93" w14:textId="77777777" w:rsidR="00E94C93" w:rsidRPr="00253A1D" w:rsidRDefault="00E94C93" w:rsidP="008B66E5">
            <w:pPr>
              <w:pStyle w:val="COMTabletext"/>
              <w:keepLines/>
              <w:jc w:val="both"/>
              <w:rPr>
                <w:b/>
                <w:bCs w:val="0"/>
                <w:iCs/>
                <w:szCs w:val="18"/>
              </w:rPr>
            </w:pPr>
            <w:r>
              <w:rPr>
                <w:b/>
                <w:bCs w:val="0"/>
                <w:iCs/>
                <w:szCs w:val="18"/>
              </w:rPr>
              <w:t>Venetoclax + obinutuzumab trials</w:t>
            </w:r>
          </w:p>
        </w:tc>
      </w:tr>
      <w:tr w:rsidR="00E94C93" w:rsidRPr="00C31E62" w14:paraId="1D9DDBF6" w14:textId="77777777" w:rsidTr="006A1BBC">
        <w:trPr>
          <w:trHeight w:val="70"/>
        </w:trPr>
        <w:tc>
          <w:tcPr>
            <w:tcW w:w="683" w:type="pct"/>
            <w:vMerge w:val="restart"/>
            <w:tcBorders>
              <w:top w:val="single" w:sz="4" w:space="0" w:color="auto"/>
              <w:bottom w:val="single" w:sz="4" w:space="0" w:color="auto"/>
              <w:right w:val="single" w:sz="4" w:space="0" w:color="auto"/>
            </w:tcBorders>
            <w:vAlign w:val="center"/>
          </w:tcPr>
          <w:p w14:paraId="700C27FA" w14:textId="77777777" w:rsidR="00E94C93" w:rsidRDefault="00E94C93" w:rsidP="008B66E5">
            <w:pPr>
              <w:pStyle w:val="COMTabletext"/>
              <w:keepLines/>
            </w:pPr>
            <w:r>
              <w:t>CLL-14</w:t>
            </w:r>
          </w:p>
          <w:p w14:paraId="1D66A0AD" w14:textId="77777777" w:rsidR="00E94C93" w:rsidRPr="00C31E62" w:rsidRDefault="00E94C93" w:rsidP="008B66E5">
            <w:pPr>
              <w:pStyle w:val="COMTabletext"/>
              <w:keepLines/>
            </w:pPr>
            <w:r>
              <w:t>(</w:t>
            </w:r>
            <w:r w:rsidRPr="008A4C47">
              <w:t>NCT02242942</w:t>
            </w:r>
            <w:r>
              <w:t>)</w:t>
            </w:r>
          </w:p>
        </w:tc>
        <w:tc>
          <w:tcPr>
            <w:tcW w:w="3168" w:type="pct"/>
            <w:tcBorders>
              <w:top w:val="single" w:sz="4" w:space="0" w:color="auto"/>
              <w:left w:val="single" w:sz="4" w:space="0" w:color="auto"/>
              <w:bottom w:val="nil"/>
              <w:right w:val="single" w:sz="4" w:space="0" w:color="auto"/>
            </w:tcBorders>
          </w:tcPr>
          <w:p w14:paraId="052ED442" w14:textId="77777777" w:rsidR="00E94C93" w:rsidRPr="00C31E62" w:rsidRDefault="00E94C93" w:rsidP="008B66E5">
            <w:pPr>
              <w:pStyle w:val="COMTabletext"/>
              <w:keepLines/>
            </w:pPr>
            <w:r w:rsidRPr="008A4C47">
              <w:rPr>
                <w:szCs w:val="18"/>
              </w:rPr>
              <w:t>Fischer K, Al-Sawaf O, Bahlo J, Fink AM,</w:t>
            </w:r>
            <w:r>
              <w:rPr>
                <w:szCs w:val="18"/>
              </w:rPr>
              <w:t xml:space="preserve"> et al. </w:t>
            </w:r>
            <w:r w:rsidRPr="008A4C47">
              <w:rPr>
                <w:szCs w:val="18"/>
              </w:rPr>
              <w:t xml:space="preserve">Venetoclax and </w:t>
            </w:r>
            <w:r>
              <w:rPr>
                <w:szCs w:val="18"/>
              </w:rPr>
              <w:t>o</w:t>
            </w:r>
            <w:r w:rsidRPr="008A4C47">
              <w:rPr>
                <w:szCs w:val="18"/>
              </w:rPr>
              <w:t xml:space="preserve">binutuzumab in </w:t>
            </w:r>
            <w:r>
              <w:rPr>
                <w:szCs w:val="18"/>
              </w:rPr>
              <w:t>p</w:t>
            </w:r>
            <w:r w:rsidRPr="008A4C47">
              <w:rPr>
                <w:szCs w:val="18"/>
              </w:rPr>
              <w:t xml:space="preserve">atients with CLL and </w:t>
            </w:r>
            <w:r>
              <w:rPr>
                <w:szCs w:val="18"/>
              </w:rPr>
              <w:t>c</w:t>
            </w:r>
            <w:r w:rsidRPr="008A4C47">
              <w:rPr>
                <w:szCs w:val="18"/>
              </w:rPr>
              <w:t xml:space="preserve">oexisting </w:t>
            </w:r>
            <w:r>
              <w:rPr>
                <w:szCs w:val="18"/>
              </w:rPr>
              <w:t>c</w:t>
            </w:r>
            <w:r w:rsidRPr="008A4C47">
              <w:rPr>
                <w:szCs w:val="18"/>
              </w:rPr>
              <w:t xml:space="preserve">onditions. </w:t>
            </w:r>
          </w:p>
        </w:tc>
        <w:tc>
          <w:tcPr>
            <w:tcW w:w="1149" w:type="pct"/>
            <w:tcBorders>
              <w:top w:val="single" w:sz="4" w:space="0" w:color="auto"/>
              <w:left w:val="single" w:sz="4" w:space="0" w:color="auto"/>
              <w:bottom w:val="nil"/>
              <w:right w:val="single" w:sz="4" w:space="0" w:color="auto"/>
            </w:tcBorders>
          </w:tcPr>
          <w:p w14:paraId="70919F6C" w14:textId="77777777" w:rsidR="00E94C93" w:rsidRPr="00C31E62" w:rsidRDefault="00E94C93" w:rsidP="008B66E5">
            <w:pPr>
              <w:pStyle w:val="COMTabletext"/>
              <w:keepLines/>
            </w:pPr>
            <w:r w:rsidRPr="00021B9D">
              <w:rPr>
                <w:iCs/>
                <w:szCs w:val="18"/>
              </w:rPr>
              <w:t>New England Journal of Medicine</w:t>
            </w:r>
            <w:r w:rsidRPr="008A4C47">
              <w:rPr>
                <w:szCs w:val="18"/>
              </w:rPr>
              <w:t xml:space="preserve"> 2019</w:t>
            </w:r>
            <w:r>
              <w:rPr>
                <w:szCs w:val="18"/>
              </w:rPr>
              <w:t xml:space="preserve">; </w:t>
            </w:r>
            <w:r w:rsidRPr="008A4C47">
              <w:rPr>
                <w:szCs w:val="18"/>
              </w:rPr>
              <w:t>380(23):</w:t>
            </w:r>
            <w:r>
              <w:rPr>
                <w:szCs w:val="18"/>
              </w:rPr>
              <w:t xml:space="preserve"> </w:t>
            </w:r>
            <w:r w:rsidRPr="008A4C47">
              <w:rPr>
                <w:szCs w:val="18"/>
              </w:rPr>
              <w:t>2225-2236.</w:t>
            </w:r>
          </w:p>
        </w:tc>
      </w:tr>
      <w:tr w:rsidR="00E94C93" w:rsidRPr="00C31E62" w14:paraId="1FA239A4" w14:textId="77777777" w:rsidTr="006A1BBC">
        <w:trPr>
          <w:trHeight w:val="329"/>
        </w:trPr>
        <w:tc>
          <w:tcPr>
            <w:tcW w:w="683" w:type="pct"/>
            <w:vMerge/>
            <w:tcBorders>
              <w:right w:val="single" w:sz="4" w:space="0" w:color="auto"/>
            </w:tcBorders>
            <w:vAlign w:val="center"/>
          </w:tcPr>
          <w:p w14:paraId="4C0C2B3B" w14:textId="77777777" w:rsidR="00E94C93" w:rsidRDefault="00E94C93" w:rsidP="008B66E5">
            <w:pPr>
              <w:pStyle w:val="COMTabletext"/>
              <w:keepLines/>
            </w:pPr>
          </w:p>
        </w:tc>
        <w:tc>
          <w:tcPr>
            <w:tcW w:w="3168" w:type="pct"/>
            <w:tcBorders>
              <w:top w:val="nil"/>
              <w:left w:val="single" w:sz="4" w:space="0" w:color="auto"/>
              <w:bottom w:val="nil"/>
              <w:right w:val="single" w:sz="4" w:space="0" w:color="auto"/>
            </w:tcBorders>
          </w:tcPr>
          <w:p w14:paraId="09E35F7D" w14:textId="77777777" w:rsidR="00E94C93" w:rsidRPr="00C31E62" w:rsidRDefault="00E94C93" w:rsidP="008B66E5">
            <w:pPr>
              <w:pStyle w:val="COMTabletext"/>
              <w:keepLines/>
              <w:rPr>
                <w:szCs w:val="18"/>
              </w:rPr>
            </w:pPr>
            <w:r w:rsidRPr="008A4C47">
              <w:rPr>
                <w:szCs w:val="18"/>
              </w:rPr>
              <w:t>Al-Sawaf O, Zhang C, Tandon M, Sinha A,</w:t>
            </w:r>
            <w:r>
              <w:rPr>
                <w:szCs w:val="18"/>
              </w:rPr>
              <w:t xml:space="preserve"> et al. </w:t>
            </w:r>
            <w:r w:rsidRPr="008A4C47">
              <w:rPr>
                <w:szCs w:val="18"/>
              </w:rPr>
              <w:t xml:space="preserve">Ven + obi versus chlorambucil plus obinutuzumab for previously untreated chronic lymphocytic leukaemia (CLL14): follow-up results from a multicentre, open-label, randomised, phase 3 trial. </w:t>
            </w:r>
          </w:p>
        </w:tc>
        <w:tc>
          <w:tcPr>
            <w:tcW w:w="1149" w:type="pct"/>
            <w:tcBorders>
              <w:top w:val="nil"/>
              <w:left w:val="single" w:sz="4" w:space="0" w:color="auto"/>
              <w:bottom w:val="nil"/>
              <w:right w:val="single" w:sz="4" w:space="0" w:color="auto"/>
            </w:tcBorders>
          </w:tcPr>
          <w:p w14:paraId="72D2E4D8" w14:textId="77777777" w:rsidR="00E94C93" w:rsidRPr="00C31E62" w:rsidRDefault="00E94C93" w:rsidP="008B66E5">
            <w:pPr>
              <w:pStyle w:val="COMTabletext"/>
              <w:keepLines/>
              <w:rPr>
                <w:i/>
                <w:szCs w:val="18"/>
              </w:rPr>
            </w:pPr>
            <w:r w:rsidRPr="00021B9D">
              <w:rPr>
                <w:iCs/>
                <w:szCs w:val="18"/>
                <w:lang w:val="en-US"/>
              </w:rPr>
              <w:t xml:space="preserve">The Lancet Oncology </w:t>
            </w:r>
            <w:r w:rsidRPr="008A4C47">
              <w:rPr>
                <w:szCs w:val="18"/>
              </w:rPr>
              <w:t>2020</w:t>
            </w:r>
            <w:r>
              <w:rPr>
                <w:szCs w:val="18"/>
              </w:rPr>
              <w:t xml:space="preserve">; </w:t>
            </w:r>
            <w:r w:rsidRPr="008A4C47">
              <w:rPr>
                <w:szCs w:val="18"/>
              </w:rPr>
              <w:t>21(9):1188-1200.</w:t>
            </w:r>
          </w:p>
        </w:tc>
      </w:tr>
      <w:tr w:rsidR="00E94C93" w:rsidRPr="00C31E62" w14:paraId="6A111E6F" w14:textId="77777777" w:rsidTr="006A1BBC">
        <w:tc>
          <w:tcPr>
            <w:tcW w:w="683" w:type="pct"/>
            <w:vMerge/>
            <w:tcBorders>
              <w:right w:val="single" w:sz="4" w:space="0" w:color="auto"/>
            </w:tcBorders>
            <w:vAlign w:val="center"/>
          </w:tcPr>
          <w:p w14:paraId="2D8A1621" w14:textId="77777777" w:rsidR="00E94C93" w:rsidRDefault="00E94C93" w:rsidP="008B66E5">
            <w:pPr>
              <w:pStyle w:val="COMTabletext"/>
              <w:keepLines/>
            </w:pPr>
          </w:p>
        </w:tc>
        <w:tc>
          <w:tcPr>
            <w:tcW w:w="3168" w:type="pct"/>
            <w:tcBorders>
              <w:top w:val="nil"/>
              <w:left w:val="single" w:sz="4" w:space="0" w:color="auto"/>
              <w:bottom w:val="nil"/>
              <w:right w:val="single" w:sz="4" w:space="0" w:color="auto"/>
            </w:tcBorders>
          </w:tcPr>
          <w:p w14:paraId="257FC9C1" w14:textId="77777777" w:rsidR="00E94C93" w:rsidRPr="00C31E62" w:rsidRDefault="00E94C93" w:rsidP="008B66E5">
            <w:pPr>
              <w:pStyle w:val="COMTabletext"/>
              <w:keepLines/>
              <w:rPr>
                <w:szCs w:val="18"/>
              </w:rPr>
            </w:pPr>
            <w:r w:rsidRPr="008A4C47">
              <w:rPr>
                <w:szCs w:val="18"/>
              </w:rPr>
              <w:t xml:space="preserve">Al-Sawaf O, Zhang C, Lu T, Liao MZ, </w:t>
            </w:r>
            <w:r>
              <w:rPr>
                <w:szCs w:val="18"/>
              </w:rPr>
              <w:t xml:space="preserve">et al. </w:t>
            </w:r>
            <w:r w:rsidRPr="008A4C47">
              <w:rPr>
                <w:szCs w:val="18"/>
              </w:rPr>
              <w:t xml:space="preserve">Minimal </w:t>
            </w:r>
            <w:r>
              <w:rPr>
                <w:szCs w:val="18"/>
              </w:rPr>
              <w:t>r</w:t>
            </w:r>
            <w:r w:rsidRPr="008A4C47">
              <w:rPr>
                <w:szCs w:val="18"/>
              </w:rPr>
              <w:t xml:space="preserve">esidual </w:t>
            </w:r>
            <w:r>
              <w:rPr>
                <w:szCs w:val="18"/>
              </w:rPr>
              <w:t>d</w:t>
            </w:r>
            <w:r w:rsidRPr="008A4C47">
              <w:rPr>
                <w:szCs w:val="18"/>
              </w:rPr>
              <w:t xml:space="preserve">isease </w:t>
            </w:r>
            <w:r>
              <w:rPr>
                <w:szCs w:val="18"/>
              </w:rPr>
              <w:t>d</w:t>
            </w:r>
            <w:r w:rsidRPr="008A4C47">
              <w:rPr>
                <w:szCs w:val="18"/>
              </w:rPr>
              <w:t xml:space="preserve">ynamics after </w:t>
            </w:r>
            <w:r>
              <w:rPr>
                <w:szCs w:val="18"/>
              </w:rPr>
              <w:t>v</w:t>
            </w:r>
            <w:r w:rsidRPr="008A4C47">
              <w:rPr>
                <w:szCs w:val="18"/>
              </w:rPr>
              <w:t>enetoclax-</w:t>
            </w:r>
            <w:r>
              <w:rPr>
                <w:szCs w:val="18"/>
              </w:rPr>
              <w:t>o</w:t>
            </w:r>
            <w:r w:rsidRPr="008A4C47">
              <w:rPr>
                <w:szCs w:val="18"/>
              </w:rPr>
              <w:t xml:space="preserve">binutuzumab </w:t>
            </w:r>
            <w:r>
              <w:rPr>
                <w:szCs w:val="18"/>
              </w:rPr>
              <w:t>t</w:t>
            </w:r>
            <w:r w:rsidRPr="008A4C47">
              <w:rPr>
                <w:szCs w:val="18"/>
              </w:rPr>
              <w:t xml:space="preserve">reatment: </w:t>
            </w:r>
            <w:r>
              <w:rPr>
                <w:szCs w:val="18"/>
              </w:rPr>
              <w:t>e</w:t>
            </w:r>
            <w:r w:rsidRPr="008A4C47">
              <w:rPr>
                <w:szCs w:val="18"/>
              </w:rPr>
              <w:t xml:space="preserve">xtended </w:t>
            </w:r>
            <w:r>
              <w:rPr>
                <w:szCs w:val="18"/>
              </w:rPr>
              <w:t>o</w:t>
            </w:r>
            <w:r w:rsidRPr="008A4C47">
              <w:rPr>
                <w:szCs w:val="18"/>
              </w:rPr>
              <w:t>ff-</w:t>
            </w:r>
            <w:r>
              <w:rPr>
                <w:szCs w:val="18"/>
              </w:rPr>
              <w:t>t</w:t>
            </w:r>
            <w:r w:rsidRPr="008A4C47">
              <w:rPr>
                <w:szCs w:val="18"/>
              </w:rPr>
              <w:t xml:space="preserve">reatment </w:t>
            </w:r>
            <w:r>
              <w:rPr>
                <w:szCs w:val="18"/>
              </w:rPr>
              <w:t>f</w:t>
            </w:r>
            <w:r w:rsidRPr="008A4C47">
              <w:rPr>
                <w:szCs w:val="18"/>
              </w:rPr>
              <w:t xml:space="preserve">ollow-up </w:t>
            </w:r>
            <w:r>
              <w:rPr>
                <w:szCs w:val="18"/>
              </w:rPr>
              <w:t>f</w:t>
            </w:r>
            <w:r w:rsidRPr="008A4C47">
              <w:rPr>
                <w:szCs w:val="18"/>
              </w:rPr>
              <w:t xml:space="preserve">rom the </w:t>
            </w:r>
            <w:r>
              <w:rPr>
                <w:szCs w:val="18"/>
              </w:rPr>
              <w:t>r</w:t>
            </w:r>
            <w:r w:rsidRPr="008A4C47">
              <w:rPr>
                <w:szCs w:val="18"/>
              </w:rPr>
              <w:t xml:space="preserve">andomized CLL14 </w:t>
            </w:r>
            <w:r>
              <w:rPr>
                <w:szCs w:val="18"/>
              </w:rPr>
              <w:t>s</w:t>
            </w:r>
            <w:r w:rsidRPr="008A4C47">
              <w:rPr>
                <w:szCs w:val="18"/>
              </w:rPr>
              <w:t xml:space="preserve">tudy. </w:t>
            </w:r>
          </w:p>
        </w:tc>
        <w:tc>
          <w:tcPr>
            <w:tcW w:w="1149" w:type="pct"/>
            <w:tcBorders>
              <w:top w:val="nil"/>
              <w:left w:val="single" w:sz="4" w:space="0" w:color="auto"/>
              <w:bottom w:val="nil"/>
              <w:right w:val="single" w:sz="4" w:space="0" w:color="auto"/>
            </w:tcBorders>
          </w:tcPr>
          <w:p w14:paraId="326BBBD1" w14:textId="77777777" w:rsidR="00E94C93" w:rsidRPr="00C31E62" w:rsidRDefault="00E94C93" w:rsidP="008B66E5">
            <w:pPr>
              <w:pStyle w:val="COMTabletext"/>
              <w:keepLines/>
              <w:rPr>
                <w:i/>
                <w:szCs w:val="18"/>
              </w:rPr>
            </w:pPr>
            <w:r w:rsidRPr="00021B9D">
              <w:rPr>
                <w:iCs/>
                <w:szCs w:val="18"/>
              </w:rPr>
              <w:t>Journal of Clinical Oncology</w:t>
            </w:r>
            <w:r w:rsidRPr="008A4C47">
              <w:rPr>
                <w:szCs w:val="18"/>
              </w:rPr>
              <w:t xml:space="preserve"> 2021</w:t>
            </w:r>
            <w:r>
              <w:rPr>
                <w:szCs w:val="18"/>
              </w:rPr>
              <w:t xml:space="preserve">; </w:t>
            </w:r>
            <w:r w:rsidRPr="008A4C47">
              <w:rPr>
                <w:szCs w:val="18"/>
              </w:rPr>
              <w:t>39(36):</w:t>
            </w:r>
            <w:r>
              <w:rPr>
                <w:szCs w:val="18"/>
              </w:rPr>
              <w:t xml:space="preserve"> </w:t>
            </w:r>
            <w:r w:rsidRPr="008A4C47">
              <w:rPr>
                <w:szCs w:val="18"/>
              </w:rPr>
              <w:t>4049-4060.</w:t>
            </w:r>
          </w:p>
        </w:tc>
      </w:tr>
      <w:tr w:rsidR="00E94C93" w:rsidRPr="00C31E62" w14:paraId="79593DCB" w14:textId="77777777" w:rsidTr="006A1BBC">
        <w:tc>
          <w:tcPr>
            <w:tcW w:w="683" w:type="pct"/>
            <w:vMerge/>
            <w:tcBorders>
              <w:right w:val="single" w:sz="4" w:space="0" w:color="auto"/>
            </w:tcBorders>
            <w:vAlign w:val="center"/>
          </w:tcPr>
          <w:p w14:paraId="2DC97C8A" w14:textId="77777777" w:rsidR="00E94C93" w:rsidRDefault="00E94C93" w:rsidP="008B66E5">
            <w:pPr>
              <w:pStyle w:val="COMTabletext"/>
              <w:keepLines/>
            </w:pPr>
          </w:p>
        </w:tc>
        <w:tc>
          <w:tcPr>
            <w:tcW w:w="3168" w:type="pct"/>
            <w:tcBorders>
              <w:top w:val="nil"/>
              <w:left w:val="single" w:sz="4" w:space="0" w:color="auto"/>
              <w:bottom w:val="nil"/>
              <w:right w:val="single" w:sz="4" w:space="0" w:color="auto"/>
            </w:tcBorders>
          </w:tcPr>
          <w:p w14:paraId="25BB8969" w14:textId="77777777" w:rsidR="00E94C93" w:rsidRPr="00C31E62" w:rsidRDefault="00E94C93" w:rsidP="008B66E5">
            <w:pPr>
              <w:pStyle w:val="COMTabletext"/>
              <w:keepLines/>
              <w:rPr>
                <w:szCs w:val="18"/>
              </w:rPr>
            </w:pPr>
            <w:r w:rsidRPr="008A4C47">
              <w:rPr>
                <w:szCs w:val="18"/>
              </w:rPr>
              <w:t>Al-Sawaf O, Gentile B, Devine J, Zhang C,</w:t>
            </w:r>
            <w:r>
              <w:rPr>
                <w:szCs w:val="18"/>
              </w:rPr>
              <w:t xml:space="preserve"> et al. </w:t>
            </w:r>
            <w:r w:rsidRPr="008A4C47">
              <w:rPr>
                <w:szCs w:val="18"/>
              </w:rPr>
              <w:t xml:space="preserve">Health-related quality of life with fixed-duration venetoclax-obinutuzumab for previously untreated chronic lymphocytic leukemia: Results from the randomized, phase 3 CLL14 trial. </w:t>
            </w:r>
          </w:p>
        </w:tc>
        <w:tc>
          <w:tcPr>
            <w:tcW w:w="1149" w:type="pct"/>
            <w:tcBorders>
              <w:top w:val="nil"/>
              <w:left w:val="single" w:sz="4" w:space="0" w:color="auto"/>
              <w:bottom w:val="nil"/>
              <w:right w:val="single" w:sz="4" w:space="0" w:color="auto"/>
            </w:tcBorders>
          </w:tcPr>
          <w:p w14:paraId="26933B5E" w14:textId="77777777" w:rsidR="00E94C93" w:rsidRPr="00C31E62" w:rsidRDefault="00E94C93" w:rsidP="008B66E5">
            <w:pPr>
              <w:pStyle w:val="COMTabletext"/>
              <w:keepLines/>
              <w:rPr>
                <w:i/>
                <w:szCs w:val="18"/>
              </w:rPr>
            </w:pPr>
            <w:r w:rsidRPr="00021B9D">
              <w:rPr>
                <w:iCs/>
                <w:szCs w:val="18"/>
              </w:rPr>
              <w:t>American Journal of Hematology</w:t>
            </w:r>
            <w:r w:rsidRPr="008A4C47">
              <w:rPr>
                <w:szCs w:val="18"/>
              </w:rPr>
              <w:t xml:space="preserve"> 2021;</w:t>
            </w:r>
            <w:r>
              <w:rPr>
                <w:szCs w:val="18"/>
              </w:rPr>
              <w:t xml:space="preserve"> </w:t>
            </w:r>
            <w:r w:rsidRPr="008A4C47">
              <w:rPr>
                <w:szCs w:val="18"/>
              </w:rPr>
              <w:t>96(9):</w:t>
            </w:r>
            <w:r>
              <w:rPr>
                <w:szCs w:val="18"/>
              </w:rPr>
              <w:t xml:space="preserve"> </w:t>
            </w:r>
            <w:r w:rsidRPr="008A4C47">
              <w:rPr>
                <w:szCs w:val="18"/>
              </w:rPr>
              <w:t>1112-1119.</w:t>
            </w:r>
          </w:p>
        </w:tc>
      </w:tr>
      <w:tr w:rsidR="00E94C93" w:rsidRPr="00C31E62" w14:paraId="33973F8C" w14:textId="77777777" w:rsidTr="006A1BBC">
        <w:tc>
          <w:tcPr>
            <w:tcW w:w="683" w:type="pct"/>
            <w:vMerge/>
            <w:tcBorders>
              <w:bottom w:val="single" w:sz="4" w:space="0" w:color="auto"/>
              <w:right w:val="single" w:sz="4" w:space="0" w:color="auto"/>
            </w:tcBorders>
            <w:vAlign w:val="center"/>
          </w:tcPr>
          <w:p w14:paraId="6FA47ADF" w14:textId="77777777" w:rsidR="00E94C93" w:rsidRDefault="00E94C93" w:rsidP="008B66E5">
            <w:pPr>
              <w:pStyle w:val="COMTabletext"/>
              <w:keepLines/>
            </w:pPr>
          </w:p>
        </w:tc>
        <w:tc>
          <w:tcPr>
            <w:tcW w:w="3168" w:type="pct"/>
            <w:tcBorders>
              <w:top w:val="nil"/>
              <w:left w:val="single" w:sz="4" w:space="0" w:color="auto"/>
              <w:bottom w:val="nil"/>
              <w:right w:val="single" w:sz="4" w:space="0" w:color="auto"/>
            </w:tcBorders>
          </w:tcPr>
          <w:p w14:paraId="140AAD08" w14:textId="77777777" w:rsidR="00E94C93" w:rsidRPr="00C31E62" w:rsidRDefault="00E94C93" w:rsidP="008B66E5">
            <w:pPr>
              <w:pStyle w:val="COMTabletext"/>
              <w:keepLines/>
              <w:rPr>
                <w:szCs w:val="18"/>
              </w:rPr>
            </w:pPr>
            <w:r w:rsidRPr="008A4C47">
              <w:rPr>
                <w:szCs w:val="18"/>
              </w:rPr>
              <w:t xml:space="preserve">Al-Sawaf O, Zhang C, Robrecht S, Kotak A, </w:t>
            </w:r>
            <w:r>
              <w:rPr>
                <w:szCs w:val="18"/>
              </w:rPr>
              <w:t>et all. S148 v</w:t>
            </w:r>
            <w:r w:rsidRPr="008A4C47">
              <w:rPr>
                <w:szCs w:val="18"/>
              </w:rPr>
              <w:t xml:space="preserve">enetoclax-obinutuzumab for previously untreated chronic lymphocytic leukemia: 5-year results of the randomized </w:t>
            </w:r>
            <w:r>
              <w:rPr>
                <w:szCs w:val="18"/>
              </w:rPr>
              <w:t>CLL</w:t>
            </w:r>
            <w:r w:rsidRPr="008A4C47">
              <w:rPr>
                <w:szCs w:val="18"/>
              </w:rPr>
              <w:t>14 study</w:t>
            </w:r>
            <w:r>
              <w:rPr>
                <w:szCs w:val="18"/>
              </w:rPr>
              <w:t>.</w:t>
            </w:r>
          </w:p>
        </w:tc>
        <w:tc>
          <w:tcPr>
            <w:tcW w:w="1149" w:type="pct"/>
            <w:tcBorders>
              <w:top w:val="nil"/>
              <w:left w:val="single" w:sz="4" w:space="0" w:color="auto"/>
              <w:bottom w:val="nil"/>
              <w:right w:val="single" w:sz="4" w:space="0" w:color="auto"/>
            </w:tcBorders>
          </w:tcPr>
          <w:p w14:paraId="789CD4A9" w14:textId="77777777" w:rsidR="00E94C93" w:rsidRPr="00C31E62" w:rsidRDefault="00E94C93" w:rsidP="008B66E5">
            <w:pPr>
              <w:pStyle w:val="COMTabletext"/>
              <w:keepLines/>
              <w:rPr>
                <w:i/>
                <w:szCs w:val="18"/>
              </w:rPr>
            </w:pPr>
            <w:r w:rsidRPr="00021B9D">
              <w:rPr>
                <w:iCs/>
                <w:szCs w:val="18"/>
              </w:rPr>
              <w:t xml:space="preserve">HemaSphere </w:t>
            </w:r>
            <w:r w:rsidRPr="008867A0">
              <w:rPr>
                <w:szCs w:val="18"/>
              </w:rPr>
              <w:t>2022; 6(S3): 100-101.</w:t>
            </w:r>
          </w:p>
        </w:tc>
      </w:tr>
      <w:tr w:rsidR="00E94C93" w:rsidRPr="00C31E62" w14:paraId="253641D8" w14:textId="77777777" w:rsidTr="006A1BBC">
        <w:tc>
          <w:tcPr>
            <w:tcW w:w="5000" w:type="pct"/>
            <w:gridSpan w:val="3"/>
            <w:tcBorders>
              <w:top w:val="single" w:sz="4" w:space="0" w:color="auto"/>
              <w:bottom w:val="single" w:sz="4" w:space="0" w:color="auto"/>
            </w:tcBorders>
            <w:vAlign w:val="center"/>
          </w:tcPr>
          <w:p w14:paraId="4C6DA3EB" w14:textId="77777777" w:rsidR="00E94C93" w:rsidRPr="00253A1D" w:rsidRDefault="00E94C93" w:rsidP="008B66E5">
            <w:pPr>
              <w:pStyle w:val="COMTabletext"/>
              <w:keepLines/>
              <w:jc w:val="both"/>
              <w:rPr>
                <w:b/>
                <w:bCs w:val="0"/>
                <w:iCs/>
                <w:szCs w:val="18"/>
              </w:rPr>
            </w:pPr>
            <w:r>
              <w:rPr>
                <w:b/>
                <w:bCs w:val="0"/>
                <w:iCs/>
                <w:szCs w:val="18"/>
              </w:rPr>
              <w:t>Acalabrutinib +/- obinutuzumab trials</w:t>
            </w:r>
          </w:p>
        </w:tc>
      </w:tr>
      <w:tr w:rsidR="00E94C93" w:rsidRPr="00C31E62" w14:paraId="570B7A7E" w14:textId="77777777" w:rsidTr="006A1BBC">
        <w:tc>
          <w:tcPr>
            <w:tcW w:w="683" w:type="pct"/>
            <w:vMerge w:val="restart"/>
            <w:tcBorders>
              <w:top w:val="single" w:sz="4" w:space="0" w:color="auto"/>
            </w:tcBorders>
            <w:vAlign w:val="center"/>
          </w:tcPr>
          <w:p w14:paraId="2D88BC48" w14:textId="77777777" w:rsidR="00E94C93" w:rsidRPr="00C31E62" w:rsidRDefault="00E94C93" w:rsidP="008B66E5">
            <w:pPr>
              <w:pStyle w:val="COMTabletext"/>
              <w:keepLines/>
            </w:pPr>
            <w:r>
              <w:t>ELEVATE-TN</w:t>
            </w:r>
          </w:p>
        </w:tc>
        <w:tc>
          <w:tcPr>
            <w:tcW w:w="3168" w:type="pct"/>
            <w:tcBorders>
              <w:top w:val="nil"/>
              <w:bottom w:val="nil"/>
              <w:right w:val="single" w:sz="4" w:space="0" w:color="auto"/>
            </w:tcBorders>
          </w:tcPr>
          <w:p w14:paraId="71ABF490" w14:textId="35CD61D0" w:rsidR="00E94C93" w:rsidRPr="00C31E62" w:rsidRDefault="00E94C93" w:rsidP="008B66E5">
            <w:pPr>
              <w:pStyle w:val="COMTabletext"/>
              <w:keepLines/>
              <w:rPr>
                <w:szCs w:val="18"/>
              </w:rPr>
            </w:pPr>
            <w:r w:rsidRPr="004D5942">
              <w:rPr>
                <w:szCs w:val="18"/>
              </w:rPr>
              <w:t xml:space="preserve">Sharman JP, Egyed M, Jurczak W, Skarbnik A, </w:t>
            </w:r>
            <w:r>
              <w:rPr>
                <w:szCs w:val="18"/>
              </w:rPr>
              <w:t xml:space="preserve">et al. </w:t>
            </w:r>
            <w:r w:rsidRPr="004D5942">
              <w:rPr>
                <w:szCs w:val="18"/>
              </w:rPr>
              <w:t>Acalabrutinib with or without obinutuzumab versus chlorambucil and obinutuz</w:t>
            </w:r>
            <w:r>
              <w:rPr>
                <w:szCs w:val="18"/>
              </w:rPr>
              <w:t>u</w:t>
            </w:r>
            <w:r w:rsidRPr="004D5942">
              <w:rPr>
                <w:szCs w:val="18"/>
              </w:rPr>
              <w:t>mab for treatment-</w:t>
            </w:r>
            <w:r w:rsidR="00D74E6F">
              <w:rPr>
                <w:szCs w:val="18"/>
              </w:rPr>
              <w:t>naïve</w:t>
            </w:r>
            <w:r w:rsidRPr="004D5942">
              <w:rPr>
                <w:szCs w:val="18"/>
              </w:rPr>
              <w:t xml:space="preserve"> chronic lymphocytic leukaemia (ELEVATE TN): a randomised, controlled, phase 3 trial.</w:t>
            </w:r>
          </w:p>
        </w:tc>
        <w:tc>
          <w:tcPr>
            <w:tcW w:w="1149" w:type="pct"/>
            <w:tcBorders>
              <w:top w:val="single" w:sz="4" w:space="0" w:color="auto"/>
              <w:left w:val="single" w:sz="4" w:space="0" w:color="auto"/>
              <w:bottom w:val="nil"/>
              <w:right w:val="single" w:sz="4" w:space="0" w:color="auto"/>
            </w:tcBorders>
          </w:tcPr>
          <w:p w14:paraId="6CD2336B" w14:textId="77777777" w:rsidR="00E94C93" w:rsidRPr="00C31E62" w:rsidRDefault="00E94C93" w:rsidP="008B66E5">
            <w:pPr>
              <w:pStyle w:val="COMTabletext"/>
              <w:keepLines/>
              <w:rPr>
                <w:i/>
                <w:szCs w:val="18"/>
              </w:rPr>
            </w:pPr>
            <w:r w:rsidRPr="00021B9D">
              <w:rPr>
                <w:iCs/>
                <w:szCs w:val="18"/>
              </w:rPr>
              <w:t xml:space="preserve">The Lancet </w:t>
            </w:r>
            <w:r w:rsidRPr="004D5942">
              <w:rPr>
                <w:szCs w:val="18"/>
              </w:rPr>
              <w:t>2020</w:t>
            </w:r>
            <w:r>
              <w:rPr>
                <w:szCs w:val="18"/>
              </w:rPr>
              <w:t>;</w:t>
            </w:r>
            <w:r w:rsidRPr="004D5942">
              <w:rPr>
                <w:szCs w:val="18"/>
              </w:rPr>
              <w:t xml:space="preserve"> 395(10232):</w:t>
            </w:r>
            <w:r>
              <w:rPr>
                <w:szCs w:val="18"/>
              </w:rPr>
              <w:t xml:space="preserve"> </w:t>
            </w:r>
            <w:r w:rsidRPr="004D5942">
              <w:rPr>
                <w:szCs w:val="18"/>
              </w:rPr>
              <w:t>1278-1291.</w:t>
            </w:r>
          </w:p>
        </w:tc>
      </w:tr>
      <w:tr w:rsidR="00E94C93" w:rsidRPr="00C31E62" w14:paraId="39FC58E2" w14:textId="77777777" w:rsidTr="006A1BBC">
        <w:tc>
          <w:tcPr>
            <w:tcW w:w="683" w:type="pct"/>
            <w:vMerge/>
            <w:vAlign w:val="center"/>
          </w:tcPr>
          <w:p w14:paraId="6E671FE4" w14:textId="77777777" w:rsidR="00E94C93" w:rsidRDefault="00E94C93" w:rsidP="008B66E5">
            <w:pPr>
              <w:pStyle w:val="COMTabletext"/>
              <w:keepLines/>
            </w:pPr>
          </w:p>
        </w:tc>
        <w:tc>
          <w:tcPr>
            <w:tcW w:w="3168" w:type="pct"/>
            <w:tcBorders>
              <w:top w:val="nil"/>
              <w:bottom w:val="nil"/>
              <w:right w:val="single" w:sz="4" w:space="0" w:color="auto"/>
            </w:tcBorders>
          </w:tcPr>
          <w:p w14:paraId="053F7228" w14:textId="77777777" w:rsidR="00E94C93" w:rsidRPr="00FB3CC3" w:rsidRDefault="00E94C93" w:rsidP="008B66E5">
            <w:pPr>
              <w:pStyle w:val="COMTabletext"/>
              <w:keepLines/>
              <w:rPr>
                <w:szCs w:val="18"/>
                <w:highlight w:val="yellow"/>
              </w:rPr>
            </w:pPr>
            <w:r w:rsidRPr="004E508E">
              <w:rPr>
                <w:szCs w:val="18"/>
              </w:rPr>
              <w:t>Sharman JP, Miklos E, Jurczak W, Skarbnik A et al. Efficacy and safety in a 4-year follow-up of the ELEVATE-TN study comparing acalabrutinib with or without obinutuzumab versus obinutuzumab plus chlorambucil in treatment-naïve chronic lymphocytic leukemia.</w:t>
            </w:r>
          </w:p>
        </w:tc>
        <w:tc>
          <w:tcPr>
            <w:tcW w:w="1149" w:type="pct"/>
            <w:tcBorders>
              <w:top w:val="nil"/>
              <w:left w:val="single" w:sz="4" w:space="0" w:color="auto"/>
              <w:bottom w:val="nil"/>
              <w:right w:val="single" w:sz="4" w:space="0" w:color="auto"/>
            </w:tcBorders>
          </w:tcPr>
          <w:p w14:paraId="6E0B139D" w14:textId="77777777" w:rsidR="00E94C93" w:rsidRPr="004D5942" w:rsidRDefault="00E94C93" w:rsidP="008B66E5">
            <w:pPr>
              <w:pStyle w:val="COMTabletext"/>
              <w:keepLines/>
              <w:rPr>
                <w:szCs w:val="18"/>
              </w:rPr>
            </w:pPr>
            <w:r w:rsidRPr="00021B9D">
              <w:rPr>
                <w:iCs/>
                <w:szCs w:val="18"/>
              </w:rPr>
              <w:t xml:space="preserve">Leukemia </w:t>
            </w:r>
            <w:r>
              <w:rPr>
                <w:szCs w:val="18"/>
              </w:rPr>
              <w:t>2022; 36:1171-1175.</w:t>
            </w:r>
          </w:p>
        </w:tc>
      </w:tr>
      <w:tr w:rsidR="00E94C93" w:rsidRPr="00021B9D" w14:paraId="4B6DB5BD" w14:textId="77777777" w:rsidTr="006A1BBC">
        <w:tc>
          <w:tcPr>
            <w:tcW w:w="683" w:type="pct"/>
            <w:vMerge/>
            <w:tcBorders>
              <w:bottom w:val="single" w:sz="4" w:space="0" w:color="auto"/>
            </w:tcBorders>
            <w:vAlign w:val="center"/>
          </w:tcPr>
          <w:p w14:paraId="20EAB0D8" w14:textId="77777777" w:rsidR="00E94C93" w:rsidRPr="00021B9D" w:rsidRDefault="00E94C93" w:rsidP="008B66E5">
            <w:pPr>
              <w:pStyle w:val="COMTabletext"/>
              <w:keepLines/>
            </w:pPr>
          </w:p>
        </w:tc>
        <w:tc>
          <w:tcPr>
            <w:tcW w:w="3168" w:type="pct"/>
            <w:tcBorders>
              <w:top w:val="nil"/>
              <w:bottom w:val="single" w:sz="4" w:space="0" w:color="auto"/>
              <w:right w:val="single" w:sz="4" w:space="0" w:color="auto"/>
            </w:tcBorders>
          </w:tcPr>
          <w:p w14:paraId="668F00AB" w14:textId="77777777" w:rsidR="00E94C93" w:rsidRPr="00021B9D" w:rsidRDefault="00E94C93" w:rsidP="008B66E5">
            <w:pPr>
              <w:pStyle w:val="COMTabletext"/>
              <w:keepLines/>
              <w:rPr>
                <w:iCs/>
                <w:szCs w:val="18"/>
                <w:highlight w:val="yellow"/>
              </w:rPr>
            </w:pPr>
            <w:r w:rsidRPr="00021B9D">
              <w:rPr>
                <w:iCs/>
                <w:szCs w:val="18"/>
              </w:rPr>
              <w:t>Sharman JP, Miklos E, Jurczak W, Skarbnik A et al. Acalabrutinib ± obinutuzumab versus obinutuzumab + chlorambucil in treatment-naïve chronic lymphocytic leukemia: five-year follow-up of ELEVATE-TN.</w:t>
            </w:r>
          </w:p>
        </w:tc>
        <w:tc>
          <w:tcPr>
            <w:tcW w:w="1149" w:type="pct"/>
            <w:tcBorders>
              <w:top w:val="nil"/>
              <w:left w:val="single" w:sz="4" w:space="0" w:color="auto"/>
              <w:bottom w:val="single" w:sz="4" w:space="0" w:color="auto"/>
              <w:right w:val="single" w:sz="4" w:space="0" w:color="auto"/>
            </w:tcBorders>
          </w:tcPr>
          <w:p w14:paraId="171994CA" w14:textId="77777777" w:rsidR="00E94C93" w:rsidRPr="00021B9D" w:rsidRDefault="00E94C93" w:rsidP="008B66E5">
            <w:pPr>
              <w:pStyle w:val="TableText"/>
              <w:keepLines/>
              <w:rPr>
                <w:szCs w:val="18"/>
              </w:rPr>
            </w:pPr>
            <w:r w:rsidRPr="00021B9D">
              <w:rPr>
                <w:iCs/>
                <w:szCs w:val="18"/>
              </w:rPr>
              <w:t xml:space="preserve">Journal of Clinical Oncology </w:t>
            </w:r>
            <w:r w:rsidRPr="00021B9D">
              <w:rPr>
                <w:szCs w:val="18"/>
              </w:rPr>
              <w:t>2022; 40 (16_suppl): 7539.</w:t>
            </w:r>
          </w:p>
        </w:tc>
      </w:tr>
    </w:tbl>
    <w:p w14:paraId="4AE201E1" w14:textId="77777777" w:rsidR="00E94C93" w:rsidRDefault="00E94C93" w:rsidP="008B66E5">
      <w:pPr>
        <w:pStyle w:val="COMTablefooter"/>
        <w:keepNext/>
        <w:keepLines/>
      </w:pPr>
      <w:r w:rsidRPr="00C31E62">
        <w:t>Source:</w:t>
      </w:r>
      <w:r>
        <w:t xml:space="preserve"> Table 2-3, pp37-38; Table 2-4, p39; Table 2-5, p40 of the submission.</w:t>
      </w:r>
    </w:p>
    <w:p w14:paraId="5B6EF5FE" w14:textId="77777777" w:rsidR="00E94C93" w:rsidRPr="00C31E62" w:rsidRDefault="00E94C93" w:rsidP="008B66E5">
      <w:pPr>
        <w:pStyle w:val="COMTablefooter"/>
        <w:keepNext/>
        <w:keepLines/>
        <w:rPr>
          <w:sz w:val="20"/>
        </w:rPr>
      </w:pPr>
      <w:r>
        <w:t>Selected conference abstract citations omitted.</w:t>
      </w:r>
    </w:p>
    <w:p w14:paraId="1DD06D7D" w14:textId="3EA6B897" w:rsidR="007F1017" w:rsidRPr="00C31E62" w:rsidRDefault="008F120A" w:rsidP="00B77046">
      <w:pPr>
        <w:pStyle w:val="COMexecsumnumberedpara"/>
      </w:pPr>
      <w:r w:rsidRPr="00C31E62">
        <w:t>The key features of the</w:t>
      </w:r>
      <w:r w:rsidR="00F5104C">
        <w:t xml:space="preserve"> SEQUOIA, CLL-14 and ELEVATE-TN trials</w:t>
      </w:r>
      <w:r w:rsidRPr="00C31E62">
        <w:t xml:space="preserve"> are summarised in</w:t>
      </w:r>
      <w:r w:rsidR="00D6076E" w:rsidRPr="00C31E62">
        <w:t xml:space="preserve"> </w:t>
      </w:r>
      <w:r w:rsidR="00D6076E" w:rsidRPr="00C31E62">
        <w:fldChar w:fldCharType="begin" w:fldLock="1"/>
      </w:r>
      <w:r w:rsidR="00D6076E" w:rsidRPr="00C31E62">
        <w:instrText xml:space="preserve"> REF _Ref104804098 \h  \* MERGEFORMAT </w:instrText>
      </w:r>
      <w:r w:rsidR="00D6076E" w:rsidRPr="00C31E62">
        <w:fldChar w:fldCharType="separate"/>
      </w:r>
      <w:r w:rsidR="00540D87" w:rsidRPr="00C31E62">
        <w:t xml:space="preserve">Table </w:t>
      </w:r>
      <w:r w:rsidR="00540D87">
        <w:t>3</w:t>
      </w:r>
      <w:r w:rsidR="00D6076E" w:rsidRPr="00C31E62">
        <w:fldChar w:fldCharType="end"/>
      </w:r>
      <w:r w:rsidRPr="00C31E62">
        <w:t>.</w:t>
      </w:r>
    </w:p>
    <w:p w14:paraId="355E2F15" w14:textId="203380A6" w:rsidR="007F1017" w:rsidRPr="00C31E62" w:rsidRDefault="00696EF9" w:rsidP="00FD4ED6">
      <w:pPr>
        <w:pStyle w:val="COMtablefigcaption"/>
      </w:pPr>
      <w:bookmarkStart w:id="22" w:name="_Ref104804098"/>
      <w:r w:rsidRPr="00C31E62">
        <w:lastRenderedPageBreak/>
        <w:t xml:space="preserve">Table </w:t>
      </w:r>
      <w:fldSimple w:instr=" SEQ Table \* ARABIC " w:fldLock="1">
        <w:r w:rsidR="00540D87">
          <w:rPr>
            <w:noProof/>
          </w:rPr>
          <w:t>3</w:t>
        </w:r>
      </w:fldSimple>
      <w:bookmarkEnd w:id="22"/>
      <w:r w:rsidR="00D6076E" w:rsidRPr="00C31E62">
        <w:t xml:space="preserve">: </w:t>
      </w:r>
      <w:r w:rsidR="007F1017" w:rsidRPr="00C31E62">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1"/>
        <w:gridCol w:w="561"/>
        <w:gridCol w:w="1264"/>
        <w:gridCol w:w="622"/>
        <w:gridCol w:w="3464"/>
        <w:gridCol w:w="2235"/>
      </w:tblGrid>
      <w:tr w:rsidR="009F3A6E" w:rsidRPr="00C31E62" w14:paraId="53DD7CC6" w14:textId="77777777" w:rsidTr="003F2CC0">
        <w:trPr>
          <w:cantSplit/>
          <w:tblHeader/>
        </w:trPr>
        <w:tc>
          <w:tcPr>
            <w:tcW w:w="484" w:type="pct"/>
            <w:shd w:val="clear" w:color="auto" w:fill="auto"/>
            <w:vAlign w:val="center"/>
          </w:tcPr>
          <w:p w14:paraId="794116BC" w14:textId="77777777" w:rsidR="00E52C49" w:rsidRPr="00C31E62" w:rsidRDefault="00E52C49" w:rsidP="001E34DF">
            <w:pPr>
              <w:pStyle w:val="COMTableheadingrow"/>
            </w:pPr>
            <w:r w:rsidRPr="00C31E62">
              <w:t>Trial</w:t>
            </w:r>
          </w:p>
        </w:tc>
        <w:tc>
          <w:tcPr>
            <w:tcW w:w="312" w:type="pct"/>
            <w:shd w:val="clear" w:color="auto" w:fill="auto"/>
            <w:vAlign w:val="center"/>
          </w:tcPr>
          <w:p w14:paraId="51122FE5" w14:textId="77777777" w:rsidR="00E52C49" w:rsidRPr="00C31E62" w:rsidRDefault="00E52C49" w:rsidP="00EC5836">
            <w:pPr>
              <w:pStyle w:val="COMTableheadingrow"/>
              <w:jc w:val="center"/>
            </w:pPr>
            <w:r w:rsidRPr="00C31E62">
              <w:t>N</w:t>
            </w:r>
          </w:p>
        </w:tc>
        <w:tc>
          <w:tcPr>
            <w:tcW w:w="702" w:type="pct"/>
            <w:shd w:val="clear" w:color="auto" w:fill="auto"/>
            <w:vAlign w:val="center"/>
          </w:tcPr>
          <w:p w14:paraId="41C438EF" w14:textId="77777777" w:rsidR="00E52C49" w:rsidRPr="00C31E62" w:rsidRDefault="00E52C49" w:rsidP="00EC5836">
            <w:pPr>
              <w:pStyle w:val="COMTableheadingrow"/>
              <w:jc w:val="center"/>
            </w:pPr>
            <w:r w:rsidRPr="00C31E62">
              <w:t>Design/ duration</w:t>
            </w:r>
          </w:p>
        </w:tc>
        <w:tc>
          <w:tcPr>
            <w:tcW w:w="340" w:type="pct"/>
            <w:shd w:val="clear" w:color="auto" w:fill="auto"/>
            <w:vAlign w:val="center"/>
          </w:tcPr>
          <w:p w14:paraId="1FC91360" w14:textId="77777777" w:rsidR="00E52C49" w:rsidRPr="00C31E62" w:rsidRDefault="00E52C49" w:rsidP="00EC5836">
            <w:pPr>
              <w:pStyle w:val="COMTableheadingrow"/>
              <w:jc w:val="center"/>
            </w:pPr>
            <w:r w:rsidRPr="00C31E62">
              <w:t>Risk of bias</w:t>
            </w:r>
          </w:p>
        </w:tc>
        <w:tc>
          <w:tcPr>
            <w:tcW w:w="1922" w:type="pct"/>
            <w:shd w:val="clear" w:color="auto" w:fill="auto"/>
            <w:vAlign w:val="center"/>
          </w:tcPr>
          <w:p w14:paraId="7FF90896" w14:textId="77777777" w:rsidR="00E52C49" w:rsidRPr="00C31E62" w:rsidRDefault="00E52C49" w:rsidP="00EC5836">
            <w:pPr>
              <w:pStyle w:val="COMTableheadingrow"/>
              <w:jc w:val="center"/>
            </w:pPr>
            <w:r w:rsidRPr="00C31E62">
              <w:t>Patient population</w:t>
            </w:r>
          </w:p>
        </w:tc>
        <w:tc>
          <w:tcPr>
            <w:tcW w:w="1240" w:type="pct"/>
            <w:shd w:val="clear" w:color="auto" w:fill="auto"/>
            <w:vAlign w:val="center"/>
          </w:tcPr>
          <w:p w14:paraId="0FCB63F9" w14:textId="753C6C50" w:rsidR="00E52C49" w:rsidRPr="00C31E62" w:rsidRDefault="00E52C49" w:rsidP="00EC5836">
            <w:pPr>
              <w:pStyle w:val="COMTableheadingrow"/>
              <w:jc w:val="center"/>
            </w:pPr>
            <w:r w:rsidRPr="00C31E62">
              <w:t>Outcomes</w:t>
            </w:r>
          </w:p>
        </w:tc>
      </w:tr>
      <w:tr w:rsidR="00E52C49" w:rsidRPr="00C31E62" w14:paraId="2A03CD4B" w14:textId="18F882E4" w:rsidTr="00E52C49">
        <w:trPr>
          <w:cantSplit/>
        </w:trPr>
        <w:tc>
          <w:tcPr>
            <w:tcW w:w="5000" w:type="pct"/>
            <w:gridSpan w:val="6"/>
            <w:shd w:val="clear" w:color="auto" w:fill="auto"/>
            <w:vAlign w:val="center"/>
          </w:tcPr>
          <w:p w14:paraId="73088C85" w14:textId="4DCD6CF3" w:rsidR="00E52C49" w:rsidRPr="00C31E62" w:rsidRDefault="00E52C49" w:rsidP="00EC5836">
            <w:pPr>
              <w:pStyle w:val="COMTableheadingrow"/>
            </w:pPr>
            <w:r>
              <w:t>Zanubrutinib versus bendamustine + rituximab</w:t>
            </w:r>
          </w:p>
        </w:tc>
      </w:tr>
      <w:tr w:rsidR="009F3A6E" w:rsidRPr="00021B9D" w14:paraId="4EE88DCB" w14:textId="77777777" w:rsidTr="003F2CC0">
        <w:trPr>
          <w:cantSplit/>
        </w:trPr>
        <w:tc>
          <w:tcPr>
            <w:tcW w:w="484" w:type="pct"/>
            <w:shd w:val="clear" w:color="auto" w:fill="auto"/>
            <w:vAlign w:val="center"/>
          </w:tcPr>
          <w:p w14:paraId="6EE77D33" w14:textId="277C4377" w:rsidR="00E52C49" w:rsidRPr="00021B9D" w:rsidRDefault="00E52C49" w:rsidP="00EC5836">
            <w:pPr>
              <w:pStyle w:val="COMTabletext"/>
              <w:rPr>
                <w:lang w:val="en-US"/>
              </w:rPr>
            </w:pPr>
            <w:r w:rsidRPr="00021B9D">
              <w:rPr>
                <w:lang w:val="en-US"/>
              </w:rPr>
              <w:t>SEQUOIA</w:t>
            </w:r>
          </w:p>
        </w:tc>
        <w:tc>
          <w:tcPr>
            <w:tcW w:w="312" w:type="pct"/>
            <w:shd w:val="clear" w:color="auto" w:fill="auto"/>
            <w:vAlign w:val="center"/>
          </w:tcPr>
          <w:p w14:paraId="41BB0E41" w14:textId="6D6D5D7E" w:rsidR="00E52C49" w:rsidRPr="00021B9D" w:rsidRDefault="00927F78" w:rsidP="00EC5836">
            <w:pPr>
              <w:pStyle w:val="COMTabletext"/>
              <w:jc w:val="center"/>
              <w:rPr>
                <w:lang w:val="en-US"/>
              </w:rPr>
            </w:pPr>
            <w:r w:rsidRPr="00021B9D">
              <w:rPr>
                <w:lang w:val="en-US"/>
              </w:rPr>
              <w:t>590</w:t>
            </w:r>
          </w:p>
        </w:tc>
        <w:tc>
          <w:tcPr>
            <w:tcW w:w="702" w:type="pct"/>
            <w:shd w:val="clear" w:color="auto" w:fill="auto"/>
            <w:vAlign w:val="center"/>
          </w:tcPr>
          <w:p w14:paraId="744D08AC" w14:textId="02AF718E" w:rsidR="00E52C49" w:rsidRPr="00021B9D" w:rsidRDefault="003775E5" w:rsidP="00EC5836">
            <w:pPr>
              <w:pStyle w:val="COMTabletext"/>
              <w:jc w:val="center"/>
              <w:rPr>
                <w:lang w:val="en-US"/>
              </w:rPr>
            </w:pPr>
            <w:r w:rsidRPr="00021B9D">
              <w:rPr>
                <w:lang w:val="en-US"/>
              </w:rPr>
              <w:t>Phase 3, randomised, open-label trial. Median duration of follow-up: 26.2 months</w:t>
            </w:r>
          </w:p>
        </w:tc>
        <w:tc>
          <w:tcPr>
            <w:tcW w:w="340" w:type="pct"/>
            <w:shd w:val="clear" w:color="auto" w:fill="auto"/>
            <w:vAlign w:val="center"/>
          </w:tcPr>
          <w:p w14:paraId="4A529D74" w14:textId="300AA3B0" w:rsidR="00E52C49" w:rsidRPr="00021B9D" w:rsidRDefault="003775E5" w:rsidP="00EC5836">
            <w:pPr>
              <w:pStyle w:val="COMTabletext"/>
              <w:jc w:val="center"/>
              <w:rPr>
                <w:lang w:val="en-US"/>
              </w:rPr>
            </w:pPr>
            <w:r w:rsidRPr="00021B9D">
              <w:rPr>
                <w:lang w:val="en-US"/>
              </w:rPr>
              <w:t>Unclear</w:t>
            </w:r>
          </w:p>
        </w:tc>
        <w:tc>
          <w:tcPr>
            <w:tcW w:w="1922" w:type="pct"/>
            <w:shd w:val="clear" w:color="auto" w:fill="auto"/>
            <w:vAlign w:val="center"/>
          </w:tcPr>
          <w:p w14:paraId="06E865C5" w14:textId="606CECB1" w:rsidR="000A79A7" w:rsidRPr="00021B9D" w:rsidRDefault="00B7201B" w:rsidP="004509A1">
            <w:pPr>
              <w:pStyle w:val="COMTabletext"/>
              <w:numPr>
                <w:ilvl w:val="0"/>
                <w:numId w:val="6"/>
              </w:numPr>
              <w:ind w:left="153" w:hanging="113"/>
              <w:rPr>
                <w:lang w:val="en-US"/>
              </w:rPr>
            </w:pPr>
            <w:r w:rsidRPr="00021B9D">
              <w:rPr>
                <w:lang w:val="en-US"/>
              </w:rPr>
              <w:t>Age ≥65 yea</w:t>
            </w:r>
            <w:r w:rsidR="000A79A7" w:rsidRPr="00021B9D">
              <w:rPr>
                <w:lang w:val="en-US"/>
              </w:rPr>
              <w:t>rs</w:t>
            </w:r>
            <w:r w:rsidR="00F103FA" w:rsidRPr="00021B9D">
              <w:rPr>
                <w:lang w:val="en-US"/>
              </w:rPr>
              <w:t>; or a</w:t>
            </w:r>
            <w:r w:rsidR="000A79A7" w:rsidRPr="00021B9D">
              <w:rPr>
                <w:lang w:val="en-US"/>
              </w:rPr>
              <w:t xml:space="preserve">ge </w:t>
            </w:r>
            <w:r w:rsidR="00F63284" w:rsidRPr="00021B9D">
              <w:rPr>
                <w:lang w:val="en-US"/>
              </w:rPr>
              <w:t xml:space="preserve">18-64 years </w:t>
            </w:r>
            <w:r w:rsidR="000A79A7" w:rsidRPr="00021B9D">
              <w:rPr>
                <w:lang w:val="en-US"/>
              </w:rPr>
              <w:t xml:space="preserve">with </w:t>
            </w:r>
            <w:r w:rsidR="001A3C65" w:rsidRPr="00021B9D">
              <w:rPr>
                <w:lang w:val="en-US"/>
              </w:rPr>
              <w:t xml:space="preserve">a </w:t>
            </w:r>
            <w:r w:rsidR="00F63284" w:rsidRPr="00021B9D">
              <w:rPr>
                <w:lang w:val="en-US"/>
              </w:rPr>
              <w:t>CIRS score &gt;6, CrCl &lt;70 mL/min, or</w:t>
            </w:r>
            <w:r w:rsidR="002379C9" w:rsidRPr="00021B9D">
              <w:rPr>
                <w:lang w:val="en-US"/>
              </w:rPr>
              <w:t xml:space="preserve"> history of</w:t>
            </w:r>
            <w:r w:rsidR="00F63284" w:rsidRPr="00021B9D">
              <w:rPr>
                <w:lang w:val="en-US"/>
              </w:rPr>
              <w:t xml:space="preserve"> previous </w:t>
            </w:r>
            <w:r w:rsidR="001A3C65" w:rsidRPr="00021B9D">
              <w:rPr>
                <w:lang w:val="en-US"/>
              </w:rPr>
              <w:t>severe infection or multiple previous infections</w:t>
            </w:r>
            <w:r w:rsidR="00F103FA" w:rsidRPr="00021B9D">
              <w:rPr>
                <w:lang w:val="en-US"/>
              </w:rPr>
              <w:t>.</w:t>
            </w:r>
            <w:r w:rsidR="00F103FA" w:rsidRPr="00021B9D">
              <w:rPr>
                <w:vertAlign w:val="superscript"/>
                <w:lang w:val="en-US"/>
              </w:rPr>
              <w:t>a</w:t>
            </w:r>
          </w:p>
          <w:p w14:paraId="07C62CE1" w14:textId="6A959BA9" w:rsidR="000A79A7" w:rsidRPr="00021B9D" w:rsidRDefault="00F103FA" w:rsidP="004509A1">
            <w:pPr>
              <w:pStyle w:val="COMTabletext"/>
              <w:numPr>
                <w:ilvl w:val="0"/>
                <w:numId w:val="6"/>
              </w:numPr>
              <w:ind w:left="153" w:hanging="113"/>
              <w:rPr>
                <w:lang w:val="en-US"/>
              </w:rPr>
            </w:pPr>
            <w:r w:rsidRPr="00021B9D">
              <w:rPr>
                <w:lang w:val="en-US"/>
              </w:rPr>
              <w:t>Confirmed p</w:t>
            </w:r>
            <w:r w:rsidR="00EA05D3" w:rsidRPr="00021B9D">
              <w:rPr>
                <w:lang w:val="en-US"/>
              </w:rPr>
              <w:t xml:space="preserve">resence of </w:t>
            </w:r>
            <w:r w:rsidR="002379C9" w:rsidRPr="00021B9D">
              <w:rPr>
                <w:lang w:val="en-US"/>
              </w:rPr>
              <w:t>17p deletion</w:t>
            </w:r>
            <w:r w:rsidRPr="00021B9D">
              <w:rPr>
                <w:lang w:val="en-US"/>
              </w:rPr>
              <w:t>.</w:t>
            </w:r>
            <w:r w:rsidR="007D1A68" w:rsidRPr="00021B9D">
              <w:rPr>
                <w:vertAlign w:val="superscript"/>
                <w:lang w:val="en-US"/>
              </w:rPr>
              <w:t>b</w:t>
            </w:r>
          </w:p>
          <w:p w14:paraId="78C7BA07" w14:textId="6C98E797" w:rsidR="001A3C65" w:rsidRPr="00021B9D" w:rsidRDefault="00752150" w:rsidP="004509A1">
            <w:pPr>
              <w:pStyle w:val="COMTabletext"/>
              <w:numPr>
                <w:ilvl w:val="0"/>
                <w:numId w:val="6"/>
              </w:numPr>
              <w:ind w:left="153" w:hanging="113"/>
              <w:rPr>
                <w:lang w:val="en-US"/>
              </w:rPr>
            </w:pPr>
            <w:r w:rsidRPr="00021B9D">
              <w:rPr>
                <w:szCs w:val="20"/>
              </w:rPr>
              <w:t xml:space="preserve">CD20+ </w:t>
            </w:r>
            <w:r w:rsidR="000A79A7" w:rsidRPr="00021B9D">
              <w:rPr>
                <w:szCs w:val="20"/>
              </w:rPr>
              <w:t>CLL/SLL disease requiring treatment.</w:t>
            </w:r>
          </w:p>
          <w:p w14:paraId="40F97DF9" w14:textId="1EFE6950" w:rsidR="00752150" w:rsidRPr="00021B9D" w:rsidRDefault="00752150" w:rsidP="004509A1">
            <w:pPr>
              <w:pStyle w:val="COMTabletext"/>
              <w:numPr>
                <w:ilvl w:val="0"/>
                <w:numId w:val="6"/>
              </w:numPr>
              <w:ind w:left="153" w:hanging="113"/>
              <w:rPr>
                <w:lang w:val="en-US"/>
              </w:rPr>
            </w:pPr>
            <w:r w:rsidRPr="00021B9D">
              <w:rPr>
                <w:lang w:val="en-US"/>
              </w:rPr>
              <w:t>Measurable disease by CT/MRI</w:t>
            </w:r>
          </w:p>
          <w:p w14:paraId="5198CE61" w14:textId="77777777" w:rsidR="00F103FA" w:rsidRPr="00021B9D" w:rsidRDefault="001A3C65" w:rsidP="004509A1">
            <w:pPr>
              <w:pStyle w:val="COMTabletext"/>
              <w:numPr>
                <w:ilvl w:val="0"/>
                <w:numId w:val="6"/>
              </w:numPr>
              <w:ind w:left="153" w:hanging="113"/>
              <w:rPr>
                <w:lang w:val="en-US"/>
              </w:rPr>
            </w:pPr>
            <w:r w:rsidRPr="00021B9D">
              <w:t xml:space="preserve">No </w:t>
            </w:r>
            <w:r w:rsidRPr="00021B9D">
              <w:rPr>
                <w:lang w:val="en-US"/>
              </w:rPr>
              <w:t>prior systemic treatment for CLL/SLL.</w:t>
            </w:r>
          </w:p>
          <w:p w14:paraId="32687347" w14:textId="66C610FD" w:rsidR="00752150" w:rsidRPr="00021B9D" w:rsidRDefault="00F103FA" w:rsidP="004509A1">
            <w:pPr>
              <w:pStyle w:val="COMTabletext"/>
              <w:numPr>
                <w:ilvl w:val="0"/>
                <w:numId w:val="6"/>
              </w:numPr>
              <w:ind w:left="153" w:hanging="113"/>
              <w:rPr>
                <w:lang w:val="en-US"/>
              </w:rPr>
            </w:pPr>
            <w:r w:rsidRPr="00021B9D">
              <w:rPr>
                <w:lang w:val="en-US"/>
              </w:rPr>
              <w:t>ECOG score ≤2</w:t>
            </w:r>
            <w:r w:rsidR="00752150" w:rsidRPr="00021B9D">
              <w:rPr>
                <w:lang w:val="en-US"/>
              </w:rPr>
              <w:t>.</w:t>
            </w:r>
          </w:p>
          <w:p w14:paraId="5E6F456D" w14:textId="5786B88A" w:rsidR="00F103FA" w:rsidRPr="00021B9D" w:rsidRDefault="00752150" w:rsidP="004509A1">
            <w:pPr>
              <w:pStyle w:val="COMTabletext"/>
              <w:numPr>
                <w:ilvl w:val="0"/>
                <w:numId w:val="6"/>
              </w:numPr>
              <w:ind w:left="153" w:hanging="113"/>
              <w:rPr>
                <w:lang w:val="en-US"/>
              </w:rPr>
            </w:pPr>
            <w:r w:rsidRPr="00021B9D">
              <w:rPr>
                <w:lang w:val="en-US"/>
              </w:rPr>
              <w:t>Life expectancy ≥6 months.</w:t>
            </w:r>
          </w:p>
        </w:tc>
        <w:tc>
          <w:tcPr>
            <w:tcW w:w="1240" w:type="pct"/>
            <w:shd w:val="clear" w:color="auto" w:fill="auto"/>
            <w:vAlign w:val="center"/>
          </w:tcPr>
          <w:p w14:paraId="3F0D8ABE" w14:textId="77777777" w:rsidR="00663911" w:rsidRPr="00021B9D" w:rsidRDefault="009F3A6E" w:rsidP="004509A1">
            <w:pPr>
              <w:pStyle w:val="COMTabletext"/>
              <w:numPr>
                <w:ilvl w:val="0"/>
                <w:numId w:val="6"/>
              </w:numPr>
              <w:ind w:left="153" w:hanging="113"/>
              <w:rPr>
                <w:lang w:val="en-US"/>
              </w:rPr>
            </w:pPr>
            <w:r w:rsidRPr="00021B9D">
              <w:rPr>
                <w:lang w:val="en-US"/>
              </w:rPr>
              <w:t>P</w:t>
            </w:r>
            <w:r w:rsidR="00663911" w:rsidRPr="00021B9D">
              <w:rPr>
                <w:lang w:val="en-US"/>
              </w:rPr>
              <w:t>rogression-free survival</w:t>
            </w:r>
          </w:p>
          <w:p w14:paraId="66313BAC" w14:textId="77777777" w:rsidR="00663911" w:rsidRPr="00021B9D" w:rsidRDefault="00663911" w:rsidP="004509A1">
            <w:pPr>
              <w:pStyle w:val="COMTabletext"/>
              <w:numPr>
                <w:ilvl w:val="0"/>
                <w:numId w:val="6"/>
              </w:numPr>
              <w:ind w:left="153" w:hanging="113"/>
              <w:rPr>
                <w:lang w:val="en-US"/>
              </w:rPr>
            </w:pPr>
            <w:r w:rsidRPr="00021B9D">
              <w:rPr>
                <w:lang w:val="en-US"/>
              </w:rPr>
              <w:t>Overall response rate</w:t>
            </w:r>
          </w:p>
          <w:p w14:paraId="2313F6F9" w14:textId="77777777" w:rsidR="00663911" w:rsidRPr="00021B9D" w:rsidRDefault="00663911" w:rsidP="004509A1">
            <w:pPr>
              <w:pStyle w:val="COMTabletext"/>
              <w:numPr>
                <w:ilvl w:val="0"/>
                <w:numId w:val="6"/>
              </w:numPr>
              <w:ind w:left="153" w:hanging="113"/>
              <w:rPr>
                <w:lang w:val="en-US"/>
              </w:rPr>
            </w:pPr>
            <w:r w:rsidRPr="00021B9D">
              <w:rPr>
                <w:lang w:val="en-US"/>
              </w:rPr>
              <w:t>Overall survival</w:t>
            </w:r>
          </w:p>
          <w:p w14:paraId="3023DB7C" w14:textId="77777777" w:rsidR="00663911" w:rsidRPr="00021B9D" w:rsidRDefault="00663911" w:rsidP="004509A1">
            <w:pPr>
              <w:pStyle w:val="COMTabletext"/>
              <w:numPr>
                <w:ilvl w:val="0"/>
                <w:numId w:val="6"/>
              </w:numPr>
              <w:ind w:left="153" w:hanging="113"/>
              <w:rPr>
                <w:lang w:val="en-US"/>
              </w:rPr>
            </w:pPr>
            <w:r w:rsidRPr="00021B9D">
              <w:rPr>
                <w:lang w:val="en-US"/>
              </w:rPr>
              <w:t>D</w:t>
            </w:r>
            <w:r w:rsidR="009F3A6E" w:rsidRPr="00021B9D">
              <w:rPr>
                <w:lang w:val="en-US"/>
              </w:rPr>
              <w:t>uration of response</w:t>
            </w:r>
          </w:p>
          <w:p w14:paraId="470EFE4E" w14:textId="77777777" w:rsidR="00663911" w:rsidRPr="00021B9D" w:rsidRDefault="009F3A6E" w:rsidP="004509A1">
            <w:pPr>
              <w:pStyle w:val="COMTabletext"/>
              <w:numPr>
                <w:ilvl w:val="0"/>
                <w:numId w:val="6"/>
              </w:numPr>
              <w:ind w:left="153" w:hanging="113"/>
              <w:rPr>
                <w:lang w:val="en-US"/>
              </w:rPr>
            </w:pPr>
            <w:r w:rsidRPr="00021B9D">
              <w:rPr>
                <w:lang w:val="en-US"/>
              </w:rPr>
              <w:t>MRD rate in 17p deletion cohort</w:t>
            </w:r>
          </w:p>
          <w:p w14:paraId="1B6A5FA2" w14:textId="77777777" w:rsidR="00663911" w:rsidRPr="00021B9D" w:rsidRDefault="00663911" w:rsidP="004509A1">
            <w:pPr>
              <w:pStyle w:val="COMTabletext"/>
              <w:numPr>
                <w:ilvl w:val="0"/>
                <w:numId w:val="6"/>
              </w:numPr>
              <w:ind w:left="153" w:hanging="113"/>
              <w:rPr>
                <w:lang w:val="en-US"/>
              </w:rPr>
            </w:pPr>
            <w:r w:rsidRPr="00021B9D">
              <w:rPr>
                <w:lang w:val="en-US"/>
              </w:rPr>
              <w:t>A</w:t>
            </w:r>
            <w:r w:rsidR="009F3A6E" w:rsidRPr="00021B9D">
              <w:rPr>
                <w:lang w:val="en-US"/>
              </w:rPr>
              <w:t>dverse events,</w:t>
            </w:r>
          </w:p>
          <w:p w14:paraId="6DC76214" w14:textId="3E95E4FE" w:rsidR="00E52C49" w:rsidRPr="00021B9D" w:rsidRDefault="001C68A9" w:rsidP="004509A1">
            <w:pPr>
              <w:pStyle w:val="COMTabletext"/>
              <w:numPr>
                <w:ilvl w:val="0"/>
                <w:numId w:val="6"/>
              </w:numPr>
              <w:ind w:left="153" w:hanging="113"/>
              <w:rPr>
                <w:lang w:val="en-US"/>
              </w:rPr>
            </w:pPr>
            <w:r w:rsidRPr="00021B9D">
              <w:rPr>
                <w:lang w:val="en-US"/>
              </w:rPr>
              <w:t>Quality of life</w:t>
            </w:r>
            <w:r w:rsidR="009F3A6E" w:rsidRPr="00021B9D">
              <w:rPr>
                <w:lang w:val="en-US"/>
              </w:rPr>
              <w:t xml:space="preserve"> (EORTC QLQ-C30, EQ-5D-5L).</w:t>
            </w:r>
          </w:p>
        </w:tc>
      </w:tr>
      <w:tr w:rsidR="00E52C49" w:rsidRPr="00C31E62" w14:paraId="28762BB8" w14:textId="2EEB8C97" w:rsidTr="00E52C49">
        <w:trPr>
          <w:cantSplit/>
        </w:trPr>
        <w:tc>
          <w:tcPr>
            <w:tcW w:w="5000" w:type="pct"/>
            <w:gridSpan w:val="6"/>
            <w:shd w:val="clear" w:color="auto" w:fill="auto"/>
            <w:vAlign w:val="center"/>
          </w:tcPr>
          <w:p w14:paraId="0276F3DE" w14:textId="0C4EF7BD" w:rsidR="00E52C49" w:rsidRPr="00A84D82" w:rsidRDefault="00E52C49" w:rsidP="00A84D82">
            <w:pPr>
              <w:pStyle w:val="COMTabletext"/>
              <w:rPr>
                <w:b/>
                <w:bCs w:val="0"/>
                <w:lang w:val="en-US"/>
              </w:rPr>
            </w:pPr>
            <w:r>
              <w:rPr>
                <w:b/>
                <w:szCs w:val="20"/>
              </w:rPr>
              <w:t>Venetoclax + obinutuzumab versus chlorambucil + obinutuzumab</w:t>
            </w:r>
          </w:p>
        </w:tc>
      </w:tr>
      <w:tr w:rsidR="009F3A6E" w:rsidRPr="00C31E62" w14:paraId="6BB16954" w14:textId="77777777" w:rsidTr="003F2CC0">
        <w:trPr>
          <w:cantSplit/>
        </w:trPr>
        <w:tc>
          <w:tcPr>
            <w:tcW w:w="484" w:type="pct"/>
            <w:shd w:val="clear" w:color="auto" w:fill="auto"/>
            <w:vAlign w:val="center"/>
          </w:tcPr>
          <w:p w14:paraId="587801CB" w14:textId="7457B1D0" w:rsidR="00572939" w:rsidRPr="00C31E62" w:rsidRDefault="00572939" w:rsidP="00572939">
            <w:pPr>
              <w:pStyle w:val="COMTabletext"/>
              <w:rPr>
                <w:lang w:val="en-US"/>
              </w:rPr>
            </w:pPr>
            <w:r>
              <w:rPr>
                <w:lang w:val="en-US"/>
              </w:rPr>
              <w:t>CLL-14</w:t>
            </w:r>
          </w:p>
        </w:tc>
        <w:tc>
          <w:tcPr>
            <w:tcW w:w="312" w:type="pct"/>
            <w:shd w:val="clear" w:color="auto" w:fill="auto"/>
            <w:vAlign w:val="center"/>
          </w:tcPr>
          <w:p w14:paraId="0EE9B253" w14:textId="2FE9B00F" w:rsidR="00572939" w:rsidRPr="00C31E62" w:rsidRDefault="00572939" w:rsidP="00572939">
            <w:pPr>
              <w:pStyle w:val="COMTabletext"/>
              <w:jc w:val="center"/>
              <w:rPr>
                <w:lang w:val="en-US"/>
              </w:rPr>
            </w:pPr>
            <w:r w:rsidRPr="00927F78">
              <w:rPr>
                <w:lang w:val="en-US"/>
              </w:rPr>
              <w:t>432</w:t>
            </w:r>
          </w:p>
        </w:tc>
        <w:tc>
          <w:tcPr>
            <w:tcW w:w="702" w:type="pct"/>
            <w:shd w:val="clear" w:color="auto" w:fill="auto"/>
            <w:vAlign w:val="center"/>
          </w:tcPr>
          <w:p w14:paraId="366ACB02" w14:textId="0A338424" w:rsidR="00572939" w:rsidRPr="00C31E62" w:rsidRDefault="00572939" w:rsidP="00EA05D3">
            <w:pPr>
              <w:pStyle w:val="TableText"/>
              <w:jc w:val="center"/>
              <w:rPr>
                <w:lang w:val="en-US"/>
              </w:rPr>
            </w:pPr>
            <w:r w:rsidRPr="00930348">
              <w:rPr>
                <w:lang w:val="en-US"/>
              </w:rPr>
              <w:t>Phase 3, randomised, op</w:t>
            </w:r>
            <w:r>
              <w:rPr>
                <w:lang w:val="en-US"/>
              </w:rPr>
              <w:t>en</w:t>
            </w:r>
            <w:r w:rsidRPr="00930348">
              <w:rPr>
                <w:lang w:val="en-US"/>
              </w:rPr>
              <w:t>-label trial</w:t>
            </w:r>
            <w:r>
              <w:rPr>
                <w:lang w:val="en-US"/>
              </w:rPr>
              <w:t>.</w:t>
            </w:r>
            <w:r w:rsidR="00AE79FE">
              <w:rPr>
                <w:lang w:val="en-US"/>
              </w:rPr>
              <w:t xml:space="preserve"> </w:t>
            </w:r>
            <w:r>
              <w:rPr>
                <w:lang w:val="en-US"/>
              </w:rPr>
              <w:t xml:space="preserve">Median duration of follow-up: </w:t>
            </w:r>
            <w:r w:rsidRPr="00572939">
              <w:t>65.4 months (Al-Sawaf et al., 2022)</w:t>
            </w:r>
            <w:r w:rsidR="003775E5">
              <w:t>.</w:t>
            </w:r>
          </w:p>
        </w:tc>
        <w:tc>
          <w:tcPr>
            <w:tcW w:w="340" w:type="pct"/>
            <w:shd w:val="clear" w:color="auto" w:fill="auto"/>
            <w:vAlign w:val="center"/>
          </w:tcPr>
          <w:p w14:paraId="39FACFB0" w14:textId="36933F81" w:rsidR="00572939" w:rsidRPr="00C31E62" w:rsidRDefault="003775E5" w:rsidP="00572939">
            <w:pPr>
              <w:pStyle w:val="COMTabletext"/>
              <w:jc w:val="center"/>
              <w:rPr>
                <w:lang w:val="en-US"/>
              </w:rPr>
            </w:pPr>
            <w:r w:rsidRPr="00021B9D">
              <w:rPr>
                <w:lang w:val="en-US"/>
              </w:rPr>
              <w:t>Unclear</w:t>
            </w:r>
          </w:p>
        </w:tc>
        <w:tc>
          <w:tcPr>
            <w:tcW w:w="1922" w:type="pct"/>
            <w:shd w:val="clear" w:color="auto" w:fill="auto"/>
            <w:vAlign w:val="center"/>
          </w:tcPr>
          <w:p w14:paraId="52E7BA34" w14:textId="6862B2BE" w:rsidR="00B7201B" w:rsidRDefault="00B7201B" w:rsidP="004509A1">
            <w:pPr>
              <w:keepNext/>
              <w:numPr>
                <w:ilvl w:val="0"/>
                <w:numId w:val="9"/>
              </w:numPr>
              <w:ind w:left="153" w:hanging="113"/>
              <w:jc w:val="left"/>
              <w:rPr>
                <w:rFonts w:ascii="Arial Narrow" w:hAnsi="Arial Narrow"/>
                <w:sz w:val="20"/>
                <w:szCs w:val="20"/>
              </w:rPr>
            </w:pPr>
            <w:r w:rsidRPr="00564DAD">
              <w:rPr>
                <w:rFonts w:ascii="Arial Narrow" w:hAnsi="Arial Narrow"/>
                <w:sz w:val="20"/>
                <w:szCs w:val="20"/>
              </w:rPr>
              <w:t>Age ≥18 years</w:t>
            </w:r>
            <w:r>
              <w:rPr>
                <w:rFonts w:ascii="Arial Narrow" w:hAnsi="Arial Narrow"/>
                <w:sz w:val="20"/>
                <w:szCs w:val="20"/>
              </w:rPr>
              <w:t>.</w:t>
            </w:r>
          </w:p>
          <w:p w14:paraId="1EDF5022" w14:textId="77777777" w:rsidR="00B7201B" w:rsidRDefault="00B7201B" w:rsidP="004509A1">
            <w:pPr>
              <w:keepNext/>
              <w:numPr>
                <w:ilvl w:val="0"/>
                <w:numId w:val="9"/>
              </w:numPr>
              <w:ind w:left="153" w:hanging="113"/>
              <w:jc w:val="left"/>
              <w:rPr>
                <w:rFonts w:ascii="Arial Narrow" w:hAnsi="Arial Narrow"/>
                <w:sz w:val="20"/>
                <w:szCs w:val="20"/>
              </w:rPr>
            </w:pPr>
            <w:r w:rsidRPr="00564DAD">
              <w:rPr>
                <w:rFonts w:ascii="Arial Narrow" w:hAnsi="Arial Narrow"/>
                <w:sz w:val="20"/>
                <w:szCs w:val="20"/>
              </w:rPr>
              <w:t>CIRS score &gt;6 or CrCl &lt;70 mL/min</w:t>
            </w:r>
            <w:r>
              <w:rPr>
                <w:rFonts w:ascii="Arial Narrow" w:hAnsi="Arial Narrow"/>
                <w:sz w:val="20"/>
                <w:szCs w:val="20"/>
              </w:rPr>
              <w:t>.</w:t>
            </w:r>
          </w:p>
          <w:p w14:paraId="7811E9C3" w14:textId="77777777" w:rsidR="00B7201B" w:rsidRDefault="00B7201B" w:rsidP="004509A1">
            <w:pPr>
              <w:keepNext/>
              <w:numPr>
                <w:ilvl w:val="0"/>
                <w:numId w:val="9"/>
              </w:numPr>
              <w:ind w:left="153" w:hanging="113"/>
              <w:jc w:val="left"/>
              <w:rPr>
                <w:rFonts w:ascii="Arial Narrow" w:hAnsi="Arial Narrow"/>
                <w:sz w:val="20"/>
                <w:szCs w:val="20"/>
              </w:rPr>
            </w:pPr>
            <w:r>
              <w:rPr>
                <w:rFonts w:ascii="Arial Narrow" w:hAnsi="Arial Narrow"/>
                <w:sz w:val="20"/>
                <w:szCs w:val="20"/>
              </w:rPr>
              <w:t>CLL disease requiring treatment.</w:t>
            </w:r>
          </w:p>
          <w:p w14:paraId="492240A0" w14:textId="77777777" w:rsidR="00572939" w:rsidRPr="00752150" w:rsidRDefault="00B7201B" w:rsidP="004509A1">
            <w:pPr>
              <w:pStyle w:val="COMTabletext"/>
              <w:numPr>
                <w:ilvl w:val="0"/>
                <w:numId w:val="9"/>
              </w:numPr>
              <w:ind w:left="153" w:hanging="113"/>
              <w:rPr>
                <w:lang w:val="en-US"/>
              </w:rPr>
            </w:pPr>
            <w:r w:rsidRPr="00960C28">
              <w:rPr>
                <w:szCs w:val="20"/>
              </w:rPr>
              <w:t>Documented previously untreated CLL</w:t>
            </w:r>
            <w:r>
              <w:rPr>
                <w:szCs w:val="20"/>
              </w:rPr>
              <w:t>.</w:t>
            </w:r>
          </w:p>
          <w:p w14:paraId="65FE631C" w14:textId="5C89238B" w:rsidR="00752150" w:rsidRPr="00C31E62" w:rsidRDefault="00752150" w:rsidP="004509A1">
            <w:pPr>
              <w:pStyle w:val="COMTabletext"/>
              <w:numPr>
                <w:ilvl w:val="0"/>
                <w:numId w:val="9"/>
              </w:numPr>
              <w:ind w:left="153" w:hanging="113"/>
              <w:rPr>
                <w:lang w:val="en-US"/>
              </w:rPr>
            </w:pPr>
            <w:r w:rsidRPr="00752150">
              <w:rPr>
                <w:lang w:val="en-US"/>
              </w:rPr>
              <w:t>Life expectancy &gt;6 months</w:t>
            </w:r>
            <w:r>
              <w:rPr>
                <w:lang w:val="en-US"/>
              </w:rPr>
              <w:t>.</w:t>
            </w:r>
          </w:p>
        </w:tc>
        <w:tc>
          <w:tcPr>
            <w:tcW w:w="1240" w:type="pct"/>
            <w:shd w:val="clear" w:color="auto" w:fill="auto"/>
            <w:vAlign w:val="center"/>
          </w:tcPr>
          <w:p w14:paraId="33E6122C" w14:textId="77777777" w:rsidR="00663911" w:rsidRDefault="00663911" w:rsidP="004509A1">
            <w:pPr>
              <w:pStyle w:val="COMTabletext"/>
              <w:numPr>
                <w:ilvl w:val="0"/>
                <w:numId w:val="6"/>
              </w:numPr>
              <w:ind w:left="153" w:hanging="113"/>
              <w:rPr>
                <w:lang w:val="en-US"/>
              </w:rPr>
            </w:pPr>
            <w:r w:rsidRPr="009F3A6E">
              <w:rPr>
                <w:lang w:val="en-US"/>
              </w:rPr>
              <w:t>P</w:t>
            </w:r>
            <w:r>
              <w:rPr>
                <w:lang w:val="en-US"/>
              </w:rPr>
              <w:t>rogression-free survival</w:t>
            </w:r>
          </w:p>
          <w:p w14:paraId="4F7F093C" w14:textId="1E63C83B" w:rsidR="00663911" w:rsidRDefault="00663911" w:rsidP="004509A1">
            <w:pPr>
              <w:pStyle w:val="COMTabletext"/>
              <w:numPr>
                <w:ilvl w:val="0"/>
                <w:numId w:val="6"/>
              </w:numPr>
              <w:ind w:left="153" w:hanging="113"/>
              <w:rPr>
                <w:lang w:val="en-US"/>
              </w:rPr>
            </w:pPr>
            <w:r>
              <w:rPr>
                <w:lang w:val="en-US"/>
              </w:rPr>
              <w:t>Overall response rate</w:t>
            </w:r>
          </w:p>
          <w:p w14:paraId="75053A8D" w14:textId="48A4E9FE" w:rsidR="00663911" w:rsidRDefault="00663911" w:rsidP="004509A1">
            <w:pPr>
              <w:pStyle w:val="COMTabletext"/>
              <w:numPr>
                <w:ilvl w:val="0"/>
                <w:numId w:val="6"/>
              </w:numPr>
              <w:ind w:left="153" w:hanging="113"/>
              <w:rPr>
                <w:lang w:val="en-US"/>
              </w:rPr>
            </w:pPr>
            <w:r>
              <w:rPr>
                <w:lang w:val="en-US"/>
              </w:rPr>
              <w:t>Overall survival</w:t>
            </w:r>
          </w:p>
          <w:p w14:paraId="5439C789" w14:textId="77777777" w:rsidR="00663911" w:rsidRDefault="009F3A6E" w:rsidP="004509A1">
            <w:pPr>
              <w:pStyle w:val="COMTabletext"/>
              <w:numPr>
                <w:ilvl w:val="0"/>
                <w:numId w:val="6"/>
              </w:numPr>
              <w:ind w:left="153" w:hanging="113"/>
              <w:rPr>
                <w:lang w:val="en-US"/>
              </w:rPr>
            </w:pPr>
            <w:r w:rsidRPr="00663911">
              <w:rPr>
                <w:lang w:val="en-US"/>
              </w:rPr>
              <w:t>MRD response rate</w:t>
            </w:r>
          </w:p>
          <w:p w14:paraId="73D70038" w14:textId="77777777" w:rsidR="00663911" w:rsidRDefault="00663911" w:rsidP="004509A1">
            <w:pPr>
              <w:pStyle w:val="COMTabletext"/>
              <w:numPr>
                <w:ilvl w:val="0"/>
                <w:numId w:val="6"/>
              </w:numPr>
              <w:ind w:left="153" w:hanging="113"/>
              <w:rPr>
                <w:lang w:val="en-US"/>
              </w:rPr>
            </w:pPr>
            <w:r>
              <w:rPr>
                <w:lang w:val="en-US"/>
              </w:rPr>
              <w:t>D</w:t>
            </w:r>
            <w:r w:rsidR="009F3A6E" w:rsidRPr="00663911">
              <w:rPr>
                <w:lang w:val="en-US"/>
              </w:rPr>
              <w:t>uration of response</w:t>
            </w:r>
          </w:p>
          <w:p w14:paraId="6BEF86BE" w14:textId="77777777" w:rsidR="00663911" w:rsidRDefault="00663911" w:rsidP="004509A1">
            <w:pPr>
              <w:pStyle w:val="COMTabletext"/>
              <w:numPr>
                <w:ilvl w:val="0"/>
                <w:numId w:val="6"/>
              </w:numPr>
              <w:ind w:left="153" w:hanging="113"/>
              <w:rPr>
                <w:lang w:val="en-US"/>
              </w:rPr>
            </w:pPr>
            <w:r>
              <w:rPr>
                <w:lang w:val="en-US"/>
              </w:rPr>
              <w:t>Time to next treatment</w:t>
            </w:r>
          </w:p>
          <w:p w14:paraId="20CA9FFE" w14:textId="77777777" w:rsidR="00663911" w:rsidRDefault="00663911" w:rsidP="004509A1">
            <w:pPr>
              <w:pStyle w:val="COMTabletext"/>
              <w:numPr>
                <w:ilvl w:val="0"/>
                <w:numId w:val="6"/>
              </w:numPr>
              <w:ind w:left="153" w:hanging="113"/>
              <w:rPr>
                <w:lang w:val="en-US"/>
              </w:rPr>
            </w:pPr>
            <w:r>
              <w:rPr>
                <w:lang w:val="en-US"/>
              </w:rPr>
              <w:t>E</w:t>
            </w:r>
            <w:r w:rsidR="009F3A6E" w:rsidRPr="00663911">
              <w:rPr>
                <w:lang w:val="en-US"/>
              </w:rPr>
              <w:t>vent-free survival</w:t>
            </w:r>
          </w:p>
          <w:p w14:paraId="1EB87BD1" w14:textId="77777777" w:rsidR="00663911" w:rsidRDefault="00663911" w:rsidP="004509A1">
            <w:pPr>
              <w:pStyle w:val="COMTabletext"/>
              <w:numPr>
                <w:ilvl w:val="0"/>
                <w:numId w:val="6"/>
              </w:numPr>
              <w:ind w:left="153" w:hanging="113"/>
              <w:rPr>
                <w:lang w:val="en-US"/>
              </w:rPr>
            </w:pPr>
            <w:r>
              <w:rPr>
                <w:lang w:val="en-US"/>
              </w:rPr>
              <w:t>A</w:t>
            </w:r>
            <w:r w:rsidR="009F3A6E" w:rsidRPr="00663911">
              <w:rPr>
                <w:lang w:val="en-US"/>
              </w:rPr>
              <w:t>dverse events</w:t>
            </w:r>
          </w:p>
          <w:p w14:paraId="6B2D10A5" w14:textId="0DACA590" w:rsidR="00572939" w:rsidRPr="00663911" w:rsidRDefault="001C68A9" w:rsidP="004509A1">
            <w:pPr>
              <w:pStyle w:val="COMTabletext"/>
              <w:numPr>
                <w:ilvl w:val="0"/>
                <w:numId w:val="6"/>
              </w:numPr>
              <w:ind w:left="153" w:hanging="113"/>
              <w:rPr>
                <w:lang w:val="en-US"/>
              </w:rPr>
            </w:pPr>
            <w:r>
              <w:rPr>
                <w:lang w:val="en-US"/>
              </w:rPr>
              <w:t>Quality of life</w:t>
            </w:r>
            <w:r w:rsidRPr="009F3A6E">
              <w:rPr>
                <w:lang w:val="en-US"/>
              </w:rPr>
              <w:t xml:space="preserve"> </w:t>
            </w:r>
            <w:r w:rsidR="009F3A6E" w:rsidRPr="00663911">
              <w:rPr>
                <w:lang w:val="en-US"/>
              </w:rPr>
              <w:t>(MDASI, EORTC QLQ-C30, EQ-5D-5L).</w:t>
            </w:r>
          </w:p>
        </w:tc>
      </w:tr>
      <w:tr w:rsidR="00572939" w:rsidRPr="00C31E62" w14:paraId="6FAF7622" w14:textId="07E5A1A6" w:rsidTr="00E52C49">
        <w:trPr>
          <w:cantSplit/>
        </w:trPr>
        <w:tc>
          <w:tcPr>
            <w:tcW w:w="5000" w:type="pct"/>
            <w:gridSpan w:val="6"/>
            <w:shd w:val="clear" w:color="auto" w:fill="auto"/>
            <w:vAlign w:val="center"/>
          </w:tcPr>
          <w:p w14:paraId="4610057D" w14:textId="79AAE753" w:rsidR="00572939" w:rsidRPr="00A84D82" w:rsidRDefault="00572939" w:rsidP="00572939">
            <w:pPr>
              <w:pStyle w:val="COMTabletext"/>
              <w:rPr>
                <w:b/>
                <w:bCs w:val="0"/>
                <w:lang w:val="en-US"/>
              </w:rPr>
            </w:pPr>
            <w:r>
              <w:rPr>
                <w:b/>
                <w:bCs w:val="0"/>
              </w:rPr>
              <w:t>Acalabrutinib versus a</w:t>
            </w:r>
            <w:r w:rsidRPr="00A84D82">
              <w:rPr>
                <w:b/>
                <w:bCs w:val="0"/>
              </w:rPr>
              <w:t>calabrutinib + obinutuzumab v</w:t>
            </w:r>
            <w:r>
              <w:rPr>
                <w:b/>
                <w:bCs w:val="0"/>
              </w:rPr>
              <w:t xml:space="preserve">ersus </w:t>
            </w:r>
            <w:r w:rsidRPr="00A84D82">
              <w:rPr>
                <w:b/>
                <w:bCs w:val="0"/>
              </w:rPr>
              <w:t>chlorambucil + obinutuzumab</w:t>
            </w:r>
          </w:p>
        </w:tc>
      </w:tr>
      <w:tr w:rsidR="009F3A6E" w:rsidRPr="00C31E62" w14:paraId="3BD580ED" w14:textId="77777777" w:rsidTr="003F2CC0">
        <w:trPr>
          <w:cantSplit/>
        </w:trPr>
        <w:tc>
          <w:tcPr>
            <w:tcW w:w="484" w:type="pct"/>
            <w:shd w:val="clear" w:color="auto" w:fill="auto"/>
            <w:vAlign w:val="center"/>
          </w:tcPr>
          <w:p w14:paraId="18F7E020" w14:textId="3967BBCE" w:rsidR="00572939" w:rsidRPr="00C31E62" w:rsidRDefault="00572939" w:rsidP="00572939">
            <w:pPr>
              <w:pStyle w:val="COMTabletext"/>
              <w:rPr>
                <w:lang w:val="en-US"/>
              </w:rPr>
            </w:pPr>
            <w:r>
              <w:rPr>
                <w:lang w:val="en-US"/>
              </w:rPr>
              <w:t>ELEVATE-TN</w:t>
            </w:r>
          </w:p>
        </w:tc>
        <w:tc>
          <w:tcPr>
            <w:tcW w:w="312" w:type="pct"/>
            <w:shd w:val="clear" w:color="auto" w:fill="auto"/>
            <w:vAlign w:val="center"/>
          </w:tcPr>
          <w:p w14:paraId="785DF08E" w14:textId="70B03F4C" w:rsidR="00572939" w:rsidRPr="00C31E62" w:rsidRDefault="00572939" w:rsidP="00572939">
            <w:pPr>
              <w:pStyle w:val="COMTabletext"/>
              <w:jc w:val="center"/>
              <w:rPr>
                <w:lang w:val="en-US"/>
              </w:rPr>
            </w:pPr>
            <w:r w:rsidRPr="00927F78">
              <w:rPr>
                <w:lang w:val="en-US"/>
              </w:rPr>
              <w:t>535</w:t>
            </w:r>
          </w:p>
        </w:tc>
        <w:tc>
          <w:tcPr>
            <w:tcW w:w="702" w:type="pct"/>
            <w:shd w:val="clear" w:color="auto" w:fill="auto"/>
            <w:vAlign w:val="center"/>
          </w:tcPr>
          <w:p w14:paraId="46E27BFC" w14:textId="1C058218" w:rsidR="00572939" w:rsidRPr="003775E5" w:rsidRDefault="00572939" w:rsidP="00EA05D3">
            <w:pPr>
              <w:pStyle w:val="TableText"/>
              <w:jc w:val="center"/>
            </w:pPr>
            <w:r w:rsidRPr="00930348">
              <w:rPr>
                <w:lang w:val="en-US"/>
              </w:rPr>
              <w:t>Phase 3, randomised, op</w:t>
            </w:r>
            <w:r>
              <w:rPr>
                <w:lang w:val="en-US"/>
              </w:rPr>
              <w:t>en</w:t>
            </w:r>
            <w:r w:rsidRPr="00930348">
              <w:rPr>
                <w:lang w:val="en-US"/>
              </w:rPr>
              <w:t>-label trial</w:t>
            </w:r>
            <w:r>
              <w:rPr>
                <w:lang w:val="en-US"/>
              </w:rPr>
              <w:t>.</w:t>
            </w:r>
            <w:r w:rsidR="00EA05D3">
              <w:rPr>
                <w:lang w:val="en-US"/>
              </w:rPr>
              <w:t xml:space="preserve"> </w:t>
            </w:r>
            <w:r>
              <w:rPr>
                <w:lang w:val="en-US"/>
              </w:rPr>
              <w:t xml:space="preserve">Median duration of follow-up: </w:t>
            </w:r>
            <w:r w:rsidR="003775E5">
              <w:rPr>
                <w:lang w:val="en-US"/>
              </w:rPr>
              <w:t>58.2 months (</w:t>
            </w:r>
            <w:r w:rsidR="003775E5">
              <w:t>Sharman et al., 2022).</w:t>
            </w:r>
          </w:p>
        </w:tc>
        <w:tc>
          <w:tcPr>
            <w:tcW w:w="340" w:type="pct"/>
            <w:shd w:val="clear" w:color="auto" w:fill="auto"/>
            <w:vAlign w:val="center"/>
          </w:tcPr>
          <w:p w14:paraId="79BB4AE2" w14:textId="49F81766" w:rsidR="00572939" w:rsidRPr="00C31E62" w:rsidRDefault="003775E5" w:rsidP="00572939">
            <w:pPr>
              <w:pStyle w:val="COMTabletext"/>
              <w:jc w:val="center"/>
              <w:rPr>
                <w:lang w:val="en-US"/>
              </w:rPr>
            </w:pPr>
            <w:r w:rsidRPr="00021B9D">
              <w:rPr>
                <w:lang w:val="en-US"/>
              </w:rPr>
              <w:t>Unclear</w:t>
            </w:r>
          </w:p>
        </w:tc>
        <w:tc>
          <w:tcPr>
            <w:tcW w:w="1922" w:type="pct"/>
            <w:shd w:val="clear" w:color="auto" w:fill="auto"/>
            <w:vAlign w:val="center"/>
          </w:tcPr>
          <w:p w14:paraId="4BD0CC1D" w14:textId="2D700960" w:rsidR="001B2C21" w:rsidRDefault="00B7201B" w:rsidP="004509A1">
            <w:pPr>
              <w:pStyle w:val="COMTabletext"/>
              <w:numPr>
                <w:ilvl w:val="0"/>
                <w:numId w:val="9"/>
              </w:numPr>
              <w:ind w:left="153" w:hanging="113"/>
              <w:rPr>
                <w:lang w:val="en-US"/>
              </w:rPr>
            </w:pPr>
            <w:r w:rsidRPr="001B2C21">
              <w:rPr>
                <w:lang w:val="en-US"/>
              </w:rPr>
              <w:t>Age ≥65 years or 18-</w:t>
            </w:r>
            <w:r w:rsidR="002379C9" w:rsidRPr="001B2C21">
              <w:rPr>
                <w:lang w:val="en-US"/>
              </w:rPr>
              <w:t>64</w:t>
            </w:r>
            <w:r w:rsidRPr="001B2C21">
              <w:rPr>
                <w:lang w:val="en-US"/>
              </w:rPr>
              <w:t xml:space="preserve"> years </w:t>
            </w:r>
            <w:r w:rsidR="00A9413D" w:rsidRPr="001B2C21">
              <w:rPr>
                <w:lang w:val="en-US"/>
              </w:rPr>
              <w:t>with a CIRS</w:t>
            </w:r>
            <w:r w:rsidR="009F3A6E">
              <w:rPr>
                <w:lang w:val="en-US"/>
              </w:rPr>
              <w:t>-Geriatric</w:t>
            </w:r>
            <w:r w:rsidR="00A9413D" w:rsidRPr="001B2C21">
              <w:rPr>
                <w:lang w:val="en-US"/>
              </w:rPr>
              <w:t xml:space="preserve"> score &gt;6 or </w:t>
            </w:r>
            <w:r w:rsidRPr="001B2C21">
              <w:rPr>
                <w:lang w:val="en-US"/>
              </w:rPr>
              <w:t>CrCl of 30-69 mL/min).</w:t>
            </w:r>
          </w:p>
          <w:p w14:paraId="4FCE1BC0" w14:textId="77777777" w:rsidR="001B2C21" w:rsidRDefault="00B7201B" w:rsidP="004509A1">
            <w:pPr>
              <w:pStyle w:val="COMTabletext"/>
              <w:numPr>
                <w:ilvl w:val="0"/>
                <w:numId w:val="9"/>
              </w:numPr>
              <w:ind w:left="153" w:hanging="113"/>
              <w:rPr>
                <w:lang w:val="en-US"/>
              </w:rPr>
            </w:pPr>
            <w:r w:rsidRPr="001B2C21">
              <w:rPr>
                <w:lang w:val="en-US"/>
              </w:rPr>
              <w:t>Active CD20+ CLL disease requiring treatment.</w:t>
            </w:r>
          </w:p>
          <w:p w14:paraId="18FE6579" w14:textId="77777777" w:rsidR="001B2C21" w:rsidRDefault="00B7201B" w:rsidP="004509A1">
            <w:pPr>
              <w:pStyle w:val="COMTabletext"/>
              <w:numPr>
                <w:ilvl w:val="0"/>
                <w:numId w:val="9"/>
              </w:numPr>
              <w:ind w:left="153" w:hanging="113"/>
              <w:rPr>
                <w:lang w:val="en-US"/>
              </w:rPr>
            </w:pPr>
            <w:r w:rsidRPr="001B2C21">
              <w:rPr>
                <w:lang w:val="en-US"/>
              </w:rPr>
              <w:t>No prior systemic treatment for CLL.</w:t>
            </w:r>
          </w:p>
          <w:p w14:paraId="2134C63A" w14:textId="6C191318" w:rsidR="00FC6330" w:rsidRPr="001B2C21" w:rsidRDefault="00FC6330" w:rsidP="004509A1">
            <w:pPr>
              <w:pStyle w:val="COMTabletext"/>
              <w:numPr>
                <w:ilvl w:val="0"/>
                <w:numId w:val="9"/>
              </w:numPr>
              <w:ind w:left="153" w:hanging="113"/>
              <w:rPr>
                <w:lang w:val="en-US"/>
              </w:rPr>
            </w:pPr>
            <w:r w:rsidRPr="001B2C21">
              <w:rPr>
                <w:lang w:val="en-US"/>
              </w:rPr>
              <w:t>ECOG score ≤2.</w:t>
            </w:r>
          </w:p>
        </w:tc>
        <w:tc>
          <w:tcPr>
            <w:tcW w:w="1240" w:type="pct"/>
            <w:shd w:val="clear" w:color="auto" w:fill="auto"/>
            <w:vAlign w:val="center"/>
          </w:tcPr>
          <w:p w14:paraId="0F171A96" w14:textId="77777777" w:rsidR="003F2CC0" w:rsidRDefault="003F2CC0" w:rsidP="004509A1">
            <w:pPr>
              <w:pStyle w:val="COMTabletext"/>
              <w:numPr>
                <w:ilvl w:val="0"/>
                <w:numId w:val="6"/>
              </w:numPr>
              <w:ind w:left="153" w:hanging="113"/>
              <w:rPr>
                <w:lang w:val="en-US"/>
              </w:rPr>
            </w:pPr>
            <w:r w:rsidRPr="009F3A6E">
              <w:rPr>
                <w:lang w:val="en-US"/>
              </w:rPr>
              <w:t>P</w:t>
            </w:r>
            <w:r>
              <w:rPr>
                <w:lang w:val="en-US"/>
              </w:rPr>
              <w:t>rogression-free survival</w:t>
            </w:r>
          </w:p>
          <w:p w14:paraId="0463B015" w14:textId="77777777" w:rsidR="003F2CC0" w:rsidRDefault="003F2CC0" w:rsidP="004509A1">
            <w:pPr>
              <w:pStyle w:val="COMTabletext"/>
              <w:numPr>
                <w:ilvl w:val="0"/>
                <w:numId w:val="6"/>
              </w:numPr>
              <w:ind w:left="153" w:hanging="113"/>
              <w:rPr>
                <w:lang w:val="en-US"/>
              </w:rPr>
            </w:pPr>
            <w:r>
              <w:rPr>
                <w:lang w:val="en-US"/>
              </w:rPr>
              <w:t>Overall response rate</w:t>
            </w:r>
          </w:p>
          <w:p w14:paraId="055222F3" w14:textId="77777777" w:rsidR="003F2CC0" w:rsidRDefault="003F2CC0" w:rsidP="004509A1">
            <w:pPr>
              <w:pStyle w:val="COMTabletext"/>
              <w:numPr>
                <w:ilvl w:val="0"/>
                <w:numId w:val="6"/>
              </w:numPr>
              <w:ind w:left="153" w:hanging="113"/>
              <w:rPr>
                <w:lang w:val="en-US"/>
              </w:rPr>
            </w:pPr>
            <w:r>
              <w:rPr>
                <w:lang w:val="en-US"/>
              </w:rPr>
              <w:t>Overall survival</w:t>
            </w:r>
          </w:p>
          <w:p w14:paraId="77E85333" w14:textId="77777777" w:rsidR="003F2CC0" w:rsidRDefault="003F2CC0" w:rsidP="004509A1">
            <w:pPr>
              <w:pStyle w:val="COMTabletext"/>
              <w:numPr>
                <w:ilvl w:val="0"/>
                <w:numId w:val="6"/>
              </w:numPr>
              <w:ind w:left="153" w:hanging="113"/>
              <w:rPr>
                <w:lang w:val="en-US"/>
              </w:rPr>
            </w:pPr>
            <w:r>
              <w:rPr>
                <w:lang w:val="en-US"/>
              </w:rPr>
              <w:t>Time to next treatment</w:t>
            </w:r>
          </w:p>
          <w:p w14:paraId="7C77E7EA" w14:textId="77777777" w:rsidR="003F2CC0" w:rsidRDefault="003F2CC0" w:rsidP="004509A1">
            <w:pPr>
              <w:pStyle w:val="COMTabletext"/>
              <w:numPr>
                <w:ilvl w:val="0"/>
                <w:numId w:val="6"/>
              </w:numPr>
              <w:ind w:left="153" w:hanging="113"/>
              <w:rPr>
                <w:lang w:val="en-US"/>
              </w:rPr>
            </w:pPr>
            <w:r>
              <w:rPr>
                <w:lang w:val="en-US"/>
              </w:rPr>
              <w:t>A</w:t>
            </w:r>
            <w:r w:rsidR="009F3A6E" w:rsidRPr="003F2CC0">
              <w:rPr>
                <w:lang w:val="en-US"/>
              </w:rPr>
              <w:t xml:space="preserve">dverse events </w:t>
            </w:r>
          </w:p>
          <w:p w14:paraId="00A557F2" w14:textId="5B8D0349" w:rsidR="00572939" w:rsidRPr="003F2CC0" w:rsidRDefault="001C68A9" w:rsidP="004509A1">
            <w:pPr>
              <w:pStyle w:val="COMTabletext"/>
              <w:numPr>
                <w:ilvl w:val="0"/>
                <w:numId w:val="6"/>
              </w:numPr>
              <w:ind w:left="153" w:hanging="113"/>
              <w:rPr>
                <w:lang w:val="en-US"/>
              </w:rPr>
            </w:pPr>
            <w:r>
              <w:rPr>
                <w:lang w:val="en-US"/>
              </w:rPr>
              <w:t>Quality of life</w:t>
            </w:r>
            <w:r w:rsidRPr="009F3A6E">
              <w:rPr>
                <w:lang w:val="en-US"/>
              </w:rPr>
              <w:t xml:space="preserve"> </w:t>
            </w:r>
            <w:r w:rsidR="009F3A6E" w:rsidRPr="003F2CC0">
              <w:rPr>
                <w:lang w:val="en-US"/>
              </w:rPr>
              <w:t>(FACIT-Fatigue, EORTC QLQ-C30, EQ-5D-3L).</w:t>
            </w:r>
          </w:p>
        </w:tc>
      </w:tr>
    </w:tbl>
    <w:p w14:paraId="73C90051" w14:textId="77777777" w:rsidR="002E1341" w:rsidRDefault="00045017" w:rsidP="002E1341">
      <w:pPr>
        <w:pStyle w:val="COMTablefooter"/>
      </w:pPr>
      <w:r w:rsidRPr="00C31E62">
        <w:t xml:space="preserve">Source: </w:t>
      </w:r>
      <w:r w:rsidR="002E1341" w:rsidRPr="002E1341">
        <w:t>Section 8, pp24-25; Section 9.3 pp31-34 of the SEQUOIA interim clinical study report; Section 3.4, p42-44; Section 4.1 pp44-47 of the CLL-14 trial protocol (Fischer et al., 2019); p6 of Sharman et al. (2020); pp9-11 of Sharman et al. (2020; supplementary appendix); Table 4, p14 of the November 2021 acalabrutinib Public Summary Document.</w:t>
      </w:r>
    </w:p>
    <w:p w14:paraId="0E4B81E6" w14:textId="3BAE8BE7" w:rsidR="002E1341" w:rsidRPr="002E1341" w:rsidRDefault="002E1341" w:rsidP="002E1341">
      <w:pPr>
        <w:pStyle w:val="COMTablefooter"/>
      </w:pPr>
      <w:r>
        <w:t xml:space="preserve">Abbreviations: CD = cluster of differentiation, CIRS = Cumulative Illness Rating Scale, </w:t>
      </w:r>
      <w:r w:rsidR="001C68A9">
        <w:t xml:space="preserve">CLL = chronic lymphocytic leukaemia, </w:t>
      </w:r>
      <w:r>
        <w:t xml:space="preserve">CrCl = creatinine clearance, CT = computerised tomography, </w:t>
      </w:r>
      <w:r w:rsidR="001C68A9">
        <w:t xml:space="preserve">ECOG = European Cooperative Oncology Group, </w:t>
      </w:r>
      <w:r w:rsidR="001C68A9" w:rsidRPr="001C68A9">
        <w:t>EORTC = European Organisation for Research and Treatment of Cancer</w:t>
      </w:r>
      <w:r w:rsidR="00CC5664">
        <w:t xml:space="preserve">, </w:t>
      </w:r>
      <w:r w:rsidR="001C68A9" w:rsidRPr="001C68A9">
        <w:t>FACIT = Functional Assessment of Chronic Illness Therapy</w:t>
      </w:r>
      <w:r w:rsidR="001C68A9">
        <w:t xml:space="preserve">, </w:t>
      </w:r>
      <w:r w:rsidR="007D1A68">
        <w:t>MDASI =</w:t>
      </w:r>
      <w:r w:rsidR="007D1A68" w:rsidRPr="007D1A68">
        <w:t xml:space="preserve"> MD Anderson Symptom Inventory</w:t>
      </w:r>
      <w:r w:rsidR="007D1A68">
        <w:t xml:space="preserve">, </w:t>
      </w:r>
      <w:r w:rsidR="001C68A9">
        <w:t xml:space="preserve">MRI = magnetic resonance imaging, MRD = minimal residual disease, </w:t>
      </w:r>
      <w:r w:rsidR="00CC5664" w:rsidRPr="00CC5664">
        <w:t>QLQ = quality of life questionnaire</w:t>
      </w:r>
      <w:r w:rsidR="00CC5664">
        <w:t xml:space="preserve">, </w:t>
      </w:r>
      <w:r w:rsidR="001C68A9">
        <w:t>SLL = small lymphocytic leukaemia.</w:t>
      </w:r>
    </w:p>
    <w:p w14:paraId="6D047EEC" w14:textId="77777777" w:rsidR="00FC6330" w:rsidRDefault="00FC6330" w:rsidP="00EC5836">
      <w:pPr>
        <w:pStyle w:val="COMTablefooter"/>
      </w:pPr>
      <w:r>
        <w:rPr>
          <w:vertAlign w:val="superscript"/>
        </w:rPr>
        <w:t>a</w:t>
      </w:r>
      <w:r>
        <w:t xml:space="preserve"> Patients who did not have 17p deletion were included in Cohort 1 and randomised to receive zanubrutinib or bendamustine + rituximab.</w:t>
      </w:r>
    </w:p>
    <w:p w14:paraId="1095487C" w14:textId="1AD4C050" w:rsidR="00620C25" w:rsidRDefault="00FC6330" w:rsidP="00EC5836">
      <w:pPr>
        <w:pStyle w:val="COMTablefooter"/>
      </w:pPr>
      <w:r>
        <w:rPr>
          <w:vertAlign w:val="superscript"/>
        </w:rPr>
        <w:t>b</w:t>
      </w:r>
      <w:r>
        <w:t xml:space="preserve"> Patients who had 17p deletion were included in Cohort 2 and received zanubrutinib in a non-randomised fashion.</w:t>
      </w:r>
    </w:p>
    <w:p w14:paraId="6264BB02" w14:textId="72E97F60" w:rsidR="00953EE9" w:rsidRPr="00C31E62" w:rsidRDefault="00953EE9" w:rsidP="00953EE9">
      <w:pPr>
        <w:pStyle w:val="COMexecsumnumberedpara"/>
      </w:pPr>
      <w:r w:rsidRPr="00021B9D">
        <w:t xml:space="preserve">The SEQUOIA, CLL-14, and ELEVATE-TN trials had an unclear risk of bias. As the trials were open label, investigators, patients, and study personnel were not blinded to treatment allocation, which may have influenced the treatment of patients in the trial. Assessments made by study investigators (who were not blinded to treatment allocation) were at high risk of bias. Each trial included blinded assessments by an independent review committee, which had a lower risk of assessment bias. However, </w:t>
      </w:r>
      <w:r w:rsidRPr="00021B9D">
        <w:lastRenderedPageBreak/>
        <w:t xml:space="preserve">longer term </w:t>
      </w:r>
      <w:r w:rsidR="00F96509" w:rsidRPr="00021B9D">
        <w:t xml:space="preserve">progression-free survival </w:t>
      </w:r>
      <w:r w:rsidRPr="00021B9D">
        <w:t>results reported in publications for the CLL-14 and ELEVATE-TN trials were based on investigator assessment.</w:t>
      </w:r>
    </w:p>
    <w:p w14:paraId="6B7E429E" w14:textId="1C8BDE6C" w:rsidR="00364224" w:rsidRDefault="00364224" w:rsidP="00364224">
      <w:pPr>
        <w:pStyle w:val="COMexecsumnumberedpara"/>
      </w:pPr>
      <w:r w:rsidRPr="00364224">
        <w:t>The SEQUOIA trial included two main cohorts</w:t>
      </w:r>
      <w:r w:rsidR="00F96509">
        <w:t>. P</w:t>
      </w:r>
      <w:r w:rsidRPr="00364224">
        <w:t>atients without 17p deletion (Cohort 1) were randomised to receive treatment with either zanubrutinib or bendamustine + rituximab. Patients with 17p deletion (Cohort 2) received treatment with zanubrutinib in a non-randomised fashion</w:t>
      </w:r>
      <w:r w:rsidR="000B6F91">
        <w:t xml:space="preserve">, </w:t>
      </w:r>
      <w:r w:rsidRPr="00364224">
        <w:t>on the basis that chemoimmunotherapy is not indicated for patients with 17p deletion due to poor response.</w:t>
      </w:r>
    </w:p>
    <w:p w14:paraId="0C2B0E5F" w14:textId="3E24865C" w:rsidR="00953EE9" w:rsidRPr="00021B9D" w:rsidRDefault="00953EE9" w:rsidP="00364224">
      <w:pPr>
        <w:pStyle w:val="COMexecsumnumberedpara"/>
        <w:rPr>
          <w:iCs/>
        </w:rPr>
      </w:pPr>
      <w:r w:rsidRPr="00021B9D">
        <w:rPr>
          <w:iCs/>
        </w:rPr>
        <w:t>There were differences in eligibility criteria between the trials.</w:t>
      </w:r>
      <w:r w:rsidR="000B6F91" w:rsidRPr="00021B9D">
        <w:rPr>
          <w:iCs/>
        </w:rPr>
        <w:t xml:space="preserve"> The SEQUOIA trial included CLL and SLL patients, whereas the CLL-14 and ELEVATE-TN trials included patients with CLL only. Patients were eligible for the SEQUOIA trial if they were aged ≥65 years, or aged &lt;65 years and met additional criteria (creatinine clearance of 30 to 69 mL/min or a CIRS score &gt;6). Patients were eligible for the ELEVATE-TN </w:t>
      </w:r>
      <w:r w:rsidR="007C3BCF" w:rsidRPr="00021B9D">
        <w:rPr>
          <w:iCs/>
        </w:rPr>
        <w:t xml:space="preserve">trial </w:t>
      </w:r>
      <w:r w:rsidR="000B6F91" w:rsidRPr="00021B9D">
        <w:rPr>
          <w:iCs/>
        </w:rPr>
        <w:t>if they were aged ≥65 years, or aged &lt;65 years and met additional criteria (creatinine clearance of 30 to 69 mL/min or a CIRS-Geriatric score &gt;6). Eligibility for the CLL-14 trial required all patients to have either a CIRS score &gt;6 or a creatinine clearance &lt;70</w:t>
      </w:r>
      <w:r w:rsidR="003B7DFF">
        <w:rPr>
          <w:iCs/>
        </w:rPr>
        <w:t> </w:t>
      </w:r>
      <w:r w:rsidR="000B6F91" w:rsidRPr="00021B9D">
        <w:rPr>
          <w:iCs/>
        </w:rPr>
        <w:t>mL/min.</w:t>
      </w:r>
    </w:p>
    <w:p w14:paraId="6741EBDB" w14:textId="23D925C8" w:rsidR="00194B20" w:rsidRDefault="00194B20" w:rsidP="00364224">
      <w:pPr>
        <w:pStyle w:val="COMexecsumnumberedpara"/>
      </w:pPr>
      <w:r w:rsidRPr="00194B20">
        <w:t xml:space="preserve">The median age of patients in the zanubrutinib (non-17p deletion) arm of the SEQUOIA trial was 70 years, and 64% of patients were male. Among patients with CLL, 14% had Binet </w:t>
      </w:r>
      <w:r w:rsidR="003B7DFF">
        <w:t>S</w:t>
      </w:r>
      <w:r w:rsidRPr="00194B20">
        <w:t xml:space="preserve">tage A (Stage B: 57%, Stage C: 29%). Among patients with SLL, 15% had Binet </w:t>
      </w:r>
      <w:r w:rsidR="003B7DFF">
        <w:t>S</w:t>
      </w:r>
      <w:r w:rsidRPr="00194B20">
        <w:t>tage A (Stage B: 60%, Stage C: 25%). Bulky disease (≥5</w:t>
      </w:r>
      <w:r w:rsidR="003B7DFF">
        <w:t> </w:t>
      </w:r>
      <w:r w:rsidRPr="00194B20">
        <w:t xml:space="preserve">cm) was reported in 29% of patients. The ECOG score was 0 in 46% (1: 48%, 2: 6%), 52% had unmutated IGHV and 56% had a beta-2-microglobulin &gt;3.5 mg. Based on the pooled zanubrutinib arms used in the MAIC (i.e., patients with and without 17p deletion) 25% </w:t>
      </w:r>
      <w:r w:rsidR="00930261">
        <w:t xml:space="preserve">of </w:t>
      </w:r>
      <w:r w:rsidRPr="00194B20">
        <w:t>patients had a CIRS score &gt;6</w:t>
      </w:r>
      <w:r w:rsidR="00117EF5">
        <w:t xml:space="preserve"> and 48% had a creatinine clearance &lt;70 mL/min.</w:t>
      </w:r>
    </w:p>
    <w:p w14:paraId="10E252A4" w14:textId="2414AF85" w:rsidR="00D45F3F" w:rsidRDefault="00D45F3F" w:rsidP="00194B20">
      <w:pPr>
        <w:pStyle w:val="COMexecsumnumberedpara"/>
      </w:pPr>
      <w:r w:rsidRPr="00D45F3F">
        <w:t xml:space="preserve">There were differences between the trials in the duration of treatments. In the CLL-14 trial, treatment with venetoclax was based on a fixed treatment duration of 12 cycles (48 weeks), whereas treatment with </w:t>
      </w:r>
      <w:r>
        <w:t xml:space="preserve">zanubrutinib in the SEQUOIA trial and </w:t>
      </w:r>
      <w:r w:rsidRPr="00D45F3F">
        <w:t>acalabrutinib in the ELEVATE-TN trial was ongoing until disease progression or unacceptable toxicity.</w:t>
      </w:r>
    </w:p>
    <w:p w14:paraId="489E4AD2" w14:textId="636CA026" w:rsidR="00866381" w:rsidRPr="00CA2520" w:rsidRDefault="00866381" w:rsidP="00194B20">
      <w:pPr>
        <w:pStyle w:val="COMexecsumnumberedpara"/>
        <w:rPr>
          <w:iCs/>
        </w:rPr>
      </w:pPr>
      <w:r w:rsidRPr="00CA2520">
        <w:rPr>
          <w:iCs/>
        </w:rPr>
        <w:t xml:space="preserve">The </w:t>
      </w:r>
      <w:r w:rsidR="00AF4B22">
        <w:rPr>
          <w:iCs/>
        </w:rPr>
        <w:t>PSCR</w:t>
      </w:r>
      <w:r w:rsidRPr="00CA2520">
        <w:rPr>
          <w:iCs/>
        </w:rPr>
        <w:t xml:space="preserve"> stated that updated PFS and OS results from the SEQUOIA trial will be presented </w:t>
      </w:r>
      <w:r w:rsidR="00415255" w:rsidRPr="00CA2520">
        <w:rPr>
          <w:iCs/>
        </w:rPr>
        <w:t>at an international conference i</w:t>
      </w:r>
      <w:r w:rsidRPr="00CA2520">
        <w:rPr>
          <w:iCs/>
        </w:rPr>
        <w:t>n June 2023.</w:t>
      </w:r>
    </w:p>
    <w:p w14:paraId="10AE1B7B" w14:textId="5C8B28BF" w:rsidR="00F82642" w:rsidRPr="00953EE9" w:rsidRDefault="00F82642" w:rsidP="00194B20">
      <w:pPr>
        <w:pStyle w:val="COMexecsumnumberedpara"/>
      </w:pPr>
      <w:r w:rsidRPr="00F82642">
        <w:t>The submission argued that there are no previously accepted non-inferiority margins in this disease area</w:t>
      </w:r>
      <w:r w:rsidR="00117EF5">
        <w:t xml:space="preserve">, and that </w:t>
      </w:r>
      <w:r w:rsidRPr="00F82642">
        <w:t>it can be difficult to conclusively establish non-inferiority in the context of small sample sizes of trials in the CLL, particularly in the absence of head-to-head data. The submission requested that the PBAC make a clinical judgement in consideration of the known limitations of MAIC analyses and low statistical power.</w:t>
      </w:r>
    </w:p>
    <w:p w14:paraId="4A4FE085" w14:textId="1C5613CC" w:rsidR="00B60939" w:rsidRPr="00C31E62" w:rsidRDefault="00B60939" w:rsidP="00EC5836">
      <w:pPr>
        <w:pStyle w:val="COMH2-non-numbered"/>
      </w:pPr>
      <w:bookmarkStart w:id="23" w:name="_Toc22897641"/>
      <w:bookmarkStart w:id="24" w:name="_Toc124179164"/>
      <w:bookmarkStart w:id="25" w:name="_Toc124853849"/>
      <w:r w:rsidRPr="00C31E62">
        <w:lastRenderedPageBreak/>
        <w:t>Comparative effectiveness</w:t>
      </w:r>
      <w:bookmarkEnd w:id="23"/>
      <w:bookmarkEnd w:id="24"/>
      <w:bookmarkEnd w:id="25"/>
    </w:p>
    <w:p w14:paraId="2DD9E8F0" w14:textId="574E6389" w:rsidR="00194B20" w:rsidRPr="005C2D58" w:rsidRDefault="00C73C0B" w:rsidP="0022778F">
      <w:pPr>
        <w:pStyle w:val="4-SubsectSubhead"/>
        <w:rPr>
          <w:sz w:val="24"/>
          <w:szCs w:val="24"/>
        </w:rPr>
      </w:pPr>
      <w:r w:rsidRPr="005C2D58">
        <w:rPr>
          <w:sz w:val="24"/>
          <w:szCs w:val="24"/>
        </w:rPr>
        <w:t>Unanchored unadjusted (n</w:t>
      </w:r>
      <w:r w:rsidR="00F82642" w:rsidRPr="005C2D58">
        <w:rPr>
          <w:sz w:val="24"/>
          <w:szCs w:val="24"/>
        </w:rPr>
        <w:t>aïve</w:t>
      </w:r>
      <w:r w:rsidRPr="005C2D58">
        <w:rPr>
          <w:sz w:val="24"/>
          <w:szCs w:val="24"/>
        </w:rPr>
        <w:t xml:space="preserve">) indirect </w:t>
      </w:r>
      <w:r w:rsidR="00F82642" w:rsidRPr="005C2D58">
        <w:rPr>
          <w:sz w:val="24"/>
          <w:szCs w:val="24"/>
        </w:rPr>
        <w:t xml:space="preserve">comparison of PFS and OS </w:t>
      </w:r>
      <w:r w:rsidR="00D97FFC" w:rsidRPr="005C2D58">
        <w:rPr>
          <w:sz w:val="24"/>
          <w:szCs w:val="24"/>
        </w:rPr>
        <w:t>for the SEQUOIA, CLL-14 and</w:t>
      </w:r>
      <w:r w:rsidR="00F82642" w:rsidRPr="005C2D58">
        <w:rPr>
          <w:sz w:val="24"/>
          <w:szCs w:val="24"/>
        </w:rPr>
        <w:t xml:space="preserve"> ELEVATE-TN </w:t>
      </w:r>
      <w:r w:rsidR="00D97FFC" w:rsidRPr="005C2D58">
        <w:rPr>
          <w:sz w:val="24"/>
          <w:szCs w:val="24"/>
        </w:rPr>
        <w:t>trials</w:t>
      </w:r>
      <w:r w:rsidR="00F82642" w:rsidRPr="005C2D58">
        <w:rPr>
          <w:sz w:val="24"/>
          <w:szCs w:val="24"/>
        </w:rPr>
        <w:t xml:space="preserve"> (median follow-up: </w:t>
      </w:r>
      <w:r w:rsidR="00E125C0" w:rsidRPr="005C2D58">
        <w:rPr>
          <w:sz w:val="24"/>
          <w:szCs w:val="24"/>
        </w:rPr>
        <w:t xml:space="preserve">25.0 months, 28.1 months and 28.3 months, </w:t>
      </w:r>
      <w:r w:rsidR="00F82642" w:rsidRPr="005C2D58">
        <w:rPr>
          <w:sz w:val="24"/>
          <w:szCs w:val="24"/>
        </w:rPr>
        <w:t>respectively)</w:t>
      </w:r>
    </w:p>
    <w:p w14:paraId="52DE2969" w14:textId="73EDCCCF" w:rsidR="00F82642" w:rsidRPr="00F82642" w:rsidRDefault="00F82642" w:rsidP="00B77046">
      <w:pPr>
        <w:pStyle w:val="COMexecsumnumberedpara"/>
      </w:pPr>
      <w:r w:rsidRPr="00F82642">
        <w:rPr>
          <w:snapToGrid/>
          <w:lang w:val="en-US"/>
        </w:rPr>
        <w:t xml:space="preserve">Kaplan-Meier plots of independent review committee-assessed progression-free survival for patients without and patients with 17p deletion </w:t>
      </w:r>
      <w:r w:rsidR="00A45341">
        <w:rPr>
          <w:snapToGrid/>
          <w:lang w:val="en-US"/>
        </w:rPr>
        <w:t xml:space="preserve">in the SEQUOIA trial </w:t>
      </w:r>
      <w:r w:rsidRPr="00F82642">
        <w:rPr>
          <w:snapToGrid/>
          <w:lang w:val="en-US"/>
        </w:rPr>
        <w:t xml:space="preserve">are presented in </w:t>
      </w:r>
      <w:r w:rsidR="009E3309">
        <w:rPr>
          <w:snapToGrid/>
          <w:lang w:val="en-US"/>
        </w:rPr>
        <w:fldChar w:fldCharType="begin" w:fldLock="1"/>
      </w:r>
      <w:r w:rsidR="009E3309">
        <w:rPr>
          <w:snapToGrid/>
          <w:lang w:val="en-US"/>
        </w:rPr>
        <w:instrText xml:space="preserve"> REF _Ref123841803 \h </w:instrText>
      </w:r>
      <w:r w:rsidR="009E3309">
        <w:rPr>
          <w:snapToGrid/>
          <w:lang w:val="en-US"/>
        </w:rPr>
      </w:r>
      <w:r w:rsidR="009E3309">
        <w:rPr>
          <w:snapToGrid/>
          <w:lang w:val="en-US"/>
        </w:rPr>
        <w:fldChar w:fldCharType="separate"/>
      </w:r>
      <w:r w:rsidR="00540D87">
        <w:t xml:space="preserve">Figure </w:t>
      </w:r>
      <w:r w:rsidR="00540D87">
        <w:rPr>
          <w:noProof/>
        </w:rPr>
        <w:t>1</w:t>
      </w:r>
      <w:r w:rsidR="009E3309">
        <w:rPr>
          <w:snapToGrid/>
          <w:lang w:val="en-US"/>
        </w:rPr>
        <w:fldChar w:fldCharType="end"/>
      </w:r>
      <w:r w:rsidR="009E3309">
        <w:rPr>
          <w:snapToGrid/>
          <w:lang w:val="en-US"/>
        </w:rPr>
        <w:t xml:space="preserve"> </w:t>
      </w:r>
      <w:r w:rsidRPr="00F82642">
        <w:rPr>
          <w:snapToGrid/>
          <w:lang w:val="en-US"/>
        </w:rPr>
        <w:t xml:space="preserve">and </w:t>
      </w:r>
      <w:r w:rsidR="000A71DE">
        <w:rPr>
          <w:snapToGrid/>
          <w:lang w:val="en-US"/>
        </w:rPr>
        <w:fldChar w:fldCharType="begin" w:fldLock="1"/>
      </w:r>
      <w:r w:rsidR="000A71DE">
        <w:rPr>
          <w:snapToGrid/>
          <w:lang w:val="en-US"/>
        </w:rPr>
        <w:instrText xml:space="preserve"> REF _Ref123841813 \h </w:instrText>
      </w:r>
      <w:r w:rsidR="000A71DE">
        <w:rPr>
          <w:snapToGrid/>
          <w:lang w:val="en-US"/>
        </w:rPr>
      </w:r>
      <w:r w:rsidR="000A71DE">
        <w:rPr>
          <w:snapToGrid/>
          <w:lang w:val="en-US"/>
        </w:rPr>
        <w:fldChar w:fldCharType="separate"/>
      </w:r>
      <w:r w:rsidR="00540D87">
        <w:t xml:space="preserve">Figure </w:t>
      </w:r>
      <w:r w:rsidR="00540D87">
        <w:rPr>
          <w:noProof/>
        </w:rPr>
        <w:t>2</w:t>
      </w:r>
      <w:r w:rsidR="000A71DE">
        <w:rPr>
          <w:snapToGrid/>
          <w:lang w:val="en-US"/>
        </w:rPr>
        <w:fldChar w:fldCharType="end"/>
      </w:r>
      <w:r w:rsidRPr="00F82642">
        <w:rPr>
          <w:snapToGrid/>
          <w:lang w:val="en-US"/>
        </w:rPr>
        <w:t xml:space="preserve">, respectively. </w:t>
      </w:r>
    </w:p>
    <w:p w14:paraId="5AE1B79E" w14:textId="7AA22F71" w:rsidR="00F82642" w:rsidRDefault="00F82642" w:rsidP="00F82642">
      <w:pPr>
        <w:pStyle w:val="COMtablefigcaption"/>
      </w:pPr>
      <w:bookmarkStart w:id="26" w:name="_Ref123841803"/>
      <w:r>
        <w:t xml:space="preserve">Figure </w:t>
      </w:r>
      <w:fldSimple w:instr=" SEQ Figure \* ARABIC " w:fldLock="1">
        <w:r w:rsidR="00540D87">
          <w:rPr>
            <w:noProof/>
          </w:rPr>
          <w:t>1</w:t>
        </w:r>
      </w:fldSimple>
      <w:bookmarkEnd w:id="26"/>
      <w:r w:rsidRPr="00080502">
        <w:rPr>
          <w:snapToGrid w:val="0"/>
        </w:rPr>
        <w:t xml:space="preserve">: Independent review committee-assessed progression-free survival results for the </w:t>
      </w:r>
      <w:r>
        <w:rPr>
          <w:snapToGrid w:val="0"/>
        </w:rPr>
        <w:t>SEQUOIA trial (patients without 17p deletion; median follow-up 25.</w:t>
      </w:r>
      <w:r w:rsidR="000A71DE">
        <w:rPr>
          <w:snapToGrid w:val="0"/>
        </w:rPr>
        <w:t>0</w:t>
      </w:r>
      <w:r>
        <w:rPr>
          <w:snapToGrid w:val="0"/>
        </w:rPr>
        <w:t xml:space="preserve"> months)</w:t>
      </w:r>
    </w:p>
    <w:p w14:paraId="204E0E4E" w14:textId="77777777" w:rsidR="00F82642" w:rsidRDefault="00F82642" w:rsidP="00F82642">
      <w:r>
        <w:rPr>
          <w:noProof/>
        </w:rPr>
        <w:drawing>
          <wp:inline distT="0" distB="0" distL="0" distR="0" wp14:anchorId="7017D718" wp14:editId="4AD02835">
            <wp:extent cx="5391150" cy="3461244"/>
            <wp:effectExtent l="0" t="0" r="0" b="6350"/>
            <wp:docPr id="17" name="Picture 17" descr="Figure 1: Independent review committee-assessed progression-free survival results for the SEQUOIA trial (patients without 17p deletion; median follow-up 25.0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1: Independent review committee-assessed progression-free survival results for the SEQUOIA trial (patients without 17p deletion; median follow-up 25.0 months)"/>
                    <pic:cNvPicPr/>
                  </pic:nvPicPr>
                  <pic:blipFill>
                    <a:blip r:embed="rId8"/>
                    <a:stretch>
                      <a:fillRect/>
                    </a:stretch>
                  </pic:blipFill>
                  <pic:spPr>
                    <a:xfrm>
                      <a:off x="0" y="0"/>
                      <a:ext cx="5397576" cy="3465370"/>
                    </a:xfrm>
                    <a:prstGeom prst="rect">
                      <a:avLst/>
                    </a:prstGeom>
                  </pic:spPr>
                </pic:pic>
              </a:graphicData>
            </a:graphic>
          </wp:inline>
        </w:drawing>
      </w:r>
    </w:p>
    <w:p w14:paraId="6D877B02" w14:textId="77777777" w:rsidR="00F82642" w:rsidRDefault="00F82642" w:rsidP="00F82642">
      <w:pPr>
        <w:pStyle w:val="TableFooter"/>
      </w:pPr>
      <w:r>
        <w:t>Source: Figure 2-8, p61 of the submission.</w:t>
      </w:r>
    </w:p>
    <w:p w14:paraId="0186F02B" w14:textId="77777777" w:rsidR="00F82642" w:rsidRDefault="00F82642" w:rsidP="00F82642">
      <w:pPr>
        <w:pStyle w:val="TableFooter"/>
      </w:pPr>
      <w:r>
        <w:t>Abbreviations: CI = confidence interval, HR = hazard ratio</w:t>
      </w:r>
    </w:p>
    <w:p w14:paraId="30B85F97" w14:textId="3D4ABA08" w:rsidR="00F82642" w:rsidRDefault="00D97FFC" w:rsidP="00D97FFC">
      <w:pPr>
        <w:pStyle w:val="COMtablefigcaption"/>
      </w:pPr>
      <w:bookmarkStart w:id="27" w:name="_Ref123841813"/>
      <w:r>
        <w:lastRenderedPageBreak/>
        <w:t xml:space="preserve">Figure </w:t>
      </w:r>
      <w:fldSimple w:instr=" SEQ Figure \* ARABIC " w:fldLock="1">
        <w:r w:rsidR="00540D87">
          <w:rPr>
            <w:noProof/>
          </w:rPr>
          <w:t>2</w:t>
        </w:r>
      </w:fldSimple>
      <w:bookmarkEnd w:id="27"/>
      <w:r w:rsidR="00F82642" w:rsidRPr="00080502">
        <w:rPr>
          <w:snapToGrid w:val="0"/>
        </w:rPr>
        <w:t xml:space="preserve">: Independent review committee-assessed progression-free survival results for the </w:t>
      </w:r>
      <w:r w:rsidR="00F82642">
        <w:rPr>
          <w:snapToGrid w:val="0"/>
        </w:rPr>
        <w:t>SEQUOIA trial (patients with 17p deletion; median follow-up 27.9 months)</w:t>
      </w:r>
    </w:p>
    <w:p w14:paraId="2C37DFA7" w14:textId="77777777" w:rsidR="00F82642" w:rsidRDefault="00F82642" w:rsidP="00F82642">
      <w:r w:rsidRPr="00D26C42">
        <w:rPr>
          <w:noProof/>
        </w:rPr>
        <w:drawing>
          <wp:inline distT="0" distB="0" distL="0" distR="0" wp14:anchorId="6AC1A758" wp14:editId="523CC512">
            <wp:extent cx="5441950" cy="2532089"/>
            <wp:effectExtent l="0" t="0" r="6350" b="1905"/>
            <wp:docPr id="22" name="Picture 22" descr="Figure 2: Independent review committee-assessed progression-free survival results for the SEQUOIA trial (patients with 17p deletion; median follow-up 27.9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2: Independent review committee-assessed progression-free survival results for the SEQUOIA trial (patients with 17p deletion; median follow-up 27.9 months)"/>
                    <pic:cNvPicPr/>
                  </pic:nvPicPr>
                  <pic:blipFill>
                    <a:blip r:embed="rId9"/>
                    <a:stretch>
                      <a:fillRect/>
                    </a:stretch>
                  </pic:blipFill>
                  <pic:spPr>
                    <a:xfrm>
                      <a:off x="0" y="0"/>
                      <a:ext cx="5454505" cy="2537931"/>
                    </a:xfrm>
                    <a:prstGeom prst="rect">
                      <a:avLst/>
                    </a:prstGeom>
                  </pic:spPr>
                </pic:pic>
              </a:graphicData>
            </a:graphic>
          </wp:inline>
        </w:drawing>
      </w:r>
    </w:p>
    <w:p w14:paraId="768BC6B2" w14:textId="77777777" w:rsidR="00F82642" w:rsidRDefault="00F82642" w:rsidP="00F82642">
      <w:pPr>
        <w:pStyle w:val="TableFooter"/>
      </w:pPr>
      <w:r>
        <w:t xml:space="preserve">Source: Figure 2-9, p61 of the submission. </w:t>
      </w:r>
    </w:p>
    <w:p w14:paraId="57DD1D05" w14:textId="433289B4" w:rsidR="00F82642" w:rsidRDefault="00C0506B" w:rsidP="00F82642">
      <w:pPr>
        <w:pStyle w:val="COMexecsumnumberedpara"/>
      </w:pPr>
      <w:r>
        <w:fldChar w:fldCharType="begin" w:fldLock="1"/>
      </w:r>
      <w:r>
        <w:instrText xml:space="preserve"> REF _Ref123841945 \h </w:instrText>
      </w:r>
      <w:r>
        <w:fldChar w:fldCharType="separate"/>
      </w:r>
      <w:r w:rsidR="00540D87" w:rsidRPr="00C31E62">
        <w:t xml:space="preserve">Table </w:t>
      </w:r>
      <w:r w:rsidR="00540D87">
        <w:rPr>
          <w:noProof/>
        </w:rPr>
        <w:t>4</w:t>
      </w:r>
      <w:r>
        <w:fldChar w:fldCharType="end"/>
      </w:r>
      <w:r w:rsidR="000A71DE">
        <w:t xml:space="preserve"> </w:t>
      </w:r>
      <w:r w:rsidR="00F82642">
        <w:t>presents a summary of i</w:t>
      </w:r>
      <w:r w:rsidR="00F82642" w:rsidRPr="009A4B5D">
        <w:t xml:space="preserve">ndependent review committee-assessed progression-free survival results for the </w:t>
      </w:r>
      <w:r w:rsidR="00F82642">
        <w:t>SEQUOIA</w:t>
      </w:r>
      <w:r w:rsidR="00F82642" w:rsidRPr="009A4B5D">
        <w:t>, CLL-14 and ELEVATE-TN trials</w:t>
      </w:r>
      <w:r w:rsidR="00F82642">
        <w:t>.</w:t>
      </w:r>
    </w:p>
    <w:p w14:paraId="58AF372F" w14:textId="3AF5904F" w:rsidR="00F82642" w:rsidRPr="00191822" w:rsidRDefault="000A71DE" w:rsidP="000A71DE">
      <w:pPr>
        <w:pStyle w:val="COMtablefigcaption"/>
        <w:rPr>
          <w:snapToGrid w:val="0"/>
        </w:rPr>
      </w:pPr>
      <w:bookmarkStart w:id="28" w:name="_Ref123841945"/>
      <w:r w:rsidRPr="00C31E62">
        <w:t xml:space="preserve">Table </w:t>
      </w:r>
      <w:fldSimple w:instr=" SEQ Table \* ARABIC " w:fldLock="1">
        <w:r w:rsidR="00540D87">
          <w:rPr>
            <w:noProof/>
          </w:rPr>
          <w:t>4</w:t>
        </w:r>
      </w:fldSimple>
      <w:bookmarkEnd w:id="28"/>
      <w:r w:rsidR="00F82642" w:rsidRPr="00080502">
        <w:rPr>
          <w:snapToGrid w:val="0"/>
        </w:rPr>
        <w:t xml:space="preserve">: Independent review committee-assessed progression-free survival results for the </w:t>
      </w:r>
      <w:r w:rsidR="00F82642">
        <w:rPr>
          <w:snapToGrid w:val="0"/>
        </w:rPr>
        <w:t>SEQUOIA</w:t>
      </w:r>
      <w:r w:rsidR="00F82642" w:rsidRPr="00080502">
        <w:rPr>
          <w:snapToGrid w:val="0"/>
        </w:rPr>
        <w:t>, CLL-14 and ELEVATE-TN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8"/>
        <w:gridCol w:w="933"/>
        <w:gridCol w:w="943"/>
        <w:gridCol w:w="934"/>
        <w:gridCol w:w="932"/>
        <w:gridCol w:w="934"/>
        <w:gridCol w:w="932"/>
        <w:gridCol w:w="932"/>
        <w:gridCol w:w="929"/>
      </w:tblGrid>
      <w:tr w:rsidR="00F82642" w:rsidRPr="000F3327" w14:paraId="489BC6A4" w14:textId="77777777" w:rsidTr="005F6406">
        <w:trPr>
          <w:trHeight w:val="70"/>
          <w:tblHeader/>
        </w:trPr>
        <w:tc>
          <w:tcPr>
            <w:tcW w:w="858" w:type="pct"/>
            <w:vMerge w:val="restart"/>
            <w:tcBorders>
              <w:top w:val="single" w:sz="4" w:space="0" w:color="auto"/>
              <w:left w:val="single" w:sz="4" w:space="0" w:color="auto"/>
              <w:right w:val="single" w:sz="4" w:space="0" w:color="auto"/>
            </w:tcBorders>
            <w:shd w:val="clear" w:color="auto" w:fill="FFFFFF"/>
            <w:vAlign w:val="center"/>
          </w:tcPr>
          <w:p w14:paraId="54E4F544" w14:textId="77777777" w:rsidR="00F82642" w:rsidRPr="000F3327" w:rsidRDefault="00F82642" w:rsidP="006A1BBC">
            <w:pPr>
              <w:keepNext/>
              <w:rPr>
                <w:rFonts w:ascii="Arial Narrow" w:hAnsi="Arial Narrow"/>
                <w:b/>
                <w:iCs/>
                <w:sz w:val="20"/>
                <w:szCs w:val="20"/>
              </w:rPr>
            </w:pPr>
          </w:p>
        </w:tc>
        <w:tc>
          <w:tcPr>
            <w:tcW w:w="1558" w:type="pct"/>
            <w:gridSpan w:val="3"/>
            <w:tcBorders>
              <w:top w:val="single" w:sz="4" w:space="0" w:color="auto"/>
              <w:left w:val="single" w:sz="4" w:space="0" w:color="auto"/>
              <w:right w:val="single" w:sz="4" w:space="0" w:color="auto"/>
            </w:tcBorders>
            <w:shd w:val="clear" w:color="auto" w:fill="FFFFFF"/>
          </w:tcPr>
          <w:p w14:paraId="6EA220D2" w14:textId="77777777" w:rsidR="00F82642" w:rsidRPr="000F3327" w:rsidRDefault="00F82642" w:rsidP="006A1BBC">
            <w:pPr>
              <w:keepNext/>
              <w:jc w:val="center"/>
              <w:rPr>
                <w:rFonts w:ascii="Arial Narrow" w:hAnsi="Arial Narrow"/>
                <w:b/>
                <w:iCs/>
                <w:sz w:val="20"/>
                <w:szCs w:val="20"/>
              </w:rPr>
            </w:pPr>
            <w:r>
              <w:rPr>
                <w:rFonts w:ascii="Arial Narrow" w:hAnsi="Arial Narrow"/>
                <w:b/>
                <w:bCs/>
                <w:iCs/>
                <w:sz w:val="20"/>
                <w:szCs w:val="20"/>
              </w:rPr>
              <w:t>SEQUOIA</w:t>
            </w:r>
          </w:p>
        </w:tc>
        <w:tc>
          <w:tcPr>
            <w:tcW w:w="1035" w:type="pct"/>
            <w:gridSpan w:val="2"/>
            <w:tcBorders>
              <w:top w:val="single" w:sz="4" w:space="0" w:color="auto"/>
              <w:left w:val="single" w:sz="4" w:space="0" w:color="auto"/>
            </w:tcBorders>
            <w:shd w:val="clear" w:color="auto" w:fill="FFFFFF"/>
          </w:tcPr>
          <w:p w14:paraId="5CD20070"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CLL-14</w:t>
            </w:r>
          </w:p>
        </w:tc>
        <w:tc>
          <w:tcPr>
            <w:tcW w:w="1550" w:type="pct"/>
            <w:gridSpan w:val="3"/>
            <w:tcBorders>
              <w:top w:val="single" w:sz="4" w:space="0" w:color="auto"/>
              <w:right w:val="single" w:sz="4" w:space="0" w:color="auto"/>
            </w:tcBorders>
            <w:shd w:val="clear" w:color="auto" w:fill="FFFFFF"/>
          </w:tcPr>
          <w:p w14:paraId="7F67B51B" w14:textId="77777777" w:rsidR="00F82642" w:rsidRPr="000F3327" w:rsidRDefault="00F82642" w:rsidP="006A1BBC">
            <w:pPr>
              <w:keepNext/>
              <w:jc w:val="center"/>
              <w:rPr>
                <w:rFonts w:ascii="Arial Narrow" w:hAnsi="Arial Narrow"/>
                <w:b/>
                <w:bCs/>
                <w:iCs/>
                <w:sz w:val="20"/>
                <w:szCs w:val="20"/>
              </w:rPr>
            </w:pPr>
            <w:r w:rsidRPr="000F3327">
              <w:rPr>
                <w:rFonts w:ascii="Arial Narrow" w:hAnsi="Arial Narrow"/>
                <w:b/>
                <w:iCs/>
                <w:sz w:val="20"/>
                <w:szCs w:val="20"/>
              </w:rPr>
              <w:t>ELEVATE-TN</w:t>
            </w:r>
          </w:p>
        </w:tc>
      </w:tr>
      <w:tr w:rsidR="00F82642" w:rsidRPr="000F3327" w14:paraId="0B9E4009" w14:textId="77777777" w:rsidTr="005F6406">
        <w:trPr>
          <w:trHeight w:val="401"/>
          <w:tblHeader/>
        </w:trPr>
        <w:tc>
          <w:tcPr>
            <w:tcW w:w="858" w:type="pct"/>
            <w:vMerge/>
            <w:tcBorders>
              <w:left w:val="single" w:sz="4" w:space="0" w:color="auto"/>
              <w:right w:val="single" w:sz="4" w:space="0" w:color="auto"/>
            </w:tcBorders>
            <w:shd w:val="clear" w:color="auto" w:fill="FFFFFF"/>
            <w:vAlign w:val="center"/>
          </w:tcPr>
          <w:p w14:paraId="1B2068E8" w14:textId="77777777" w:rsidR="00F82642" w:rsidRPr="000F3327" w:rsidRDefault="00F82642" w:rsidP="006A1BBC">
            <w:pPr>
              <w:keepNext/>
              <w:rPr>
                <w:rFonts w:ascii="Arial Narrow" w:hAnsi="Arial Narrow"/>
                <w:b/>
                <w:iCs/>
                <w:sz w:val="20"/>
                <w:szCs w:val="20"/>
              </w:rPr>
            </w:pPr>
          </w:p>
        </w:tc>
        <w:tc>
          <w:tcPr>
            <w:tcW w:w="517" w:type="pct"/>
            <w:tcBorders>
              <w:left w:val="single" w:sz="4" w:space="0" w:color="auto"/>
              <w:bottom w:val="nil"/>
            </w:tcBorders>
            <w:shd w:val="clear" w:color="auto" w:fill="FFFFFF"/>
            <w:vAlign w:val="center"/>
          </w:tcPr>
          <w:p w14:paraId="45655244"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ZANU</w:t>
            </w:r>
          </w:p>
        </w:tc>
        <w:tc>
          <w:tcPr>
            <w:tcW w:w="523" w:type="pct"/>
            <w:tcBorders>
              <w:bottom w:val="nil"/>
            </w:tcBorders>
            <w:shd w:val="clear" w:color="auto" w:fill="FFFFFF"/>
          </w:tcPr>
          <w:p w14:paraId="5B11C734" w14:textId="77777777" w:rsidR="00F82642" w:rsidRDefault="00F82642" w:rsidP="006A1BBC">
            <w:pPr>
              <w:keepNext/>
              <w:jc w:val="center"/>
              <w:rPr>
                <w:rFonts w:ascii="Arial Narrow" w:hAnsi="Arial Narrow"/>
                <w:b/>
                <w:iCs/>
                <w:sz w:val="20"/>
                <w:szCs w:val="20"/>
              </w:rPr>
            </w:pPr>
            <w:r w:rsidRPr="000F3327">
              <w:rPr>
                <w:rFonts w:ascii="Arial Narrow" w:hAnsi="Arial Narrow"/>
                <w:b/>
                <w:iCs/>
                <w:sz w:val="20"/>
                <w:szCs w:val="20"/>
              </w:rPr>
              <w:t xml:space="preserve">ZANU </w:t>
            </w:r>
          </w:p>
          <w:p w14:paraId="54140130"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(17p del)</w:t>
            </w:r>
          </w:p>
        </w:tc>
        <w:tc>
          <w:tcPr>
            <w:tcW w:w="518" w:type="pct"/>
            <w:tcBorders>
              <w:bottom w:val="nil"/>
              <w:right w:val="single" w:sz="4" w:space="0" w:color="auto"/>
            </w:tcBorders>
            <w:shd w:val="clear" w:color="auto" w:fill="FFFFFF"/>
            <w:vAlign w:val="center"/>
          </w:tcPr>
          <w:p w14:paraId="1E7E6C7A"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BEN +</w:t>
            </w:r>
            <w:r>
              <w:rPr>
                <w:rFonts w:ascii="Arial Narrow" w:hAnsi="Arial Narrow"/>
                <w:b/>
                <w:iCs/>
                <w:sz w:val="20"/>
                <w:szCs w:val="20"/>
              </w:rPr>
              <w:t xml:space="preserve"> </w:t>
            </w:r>
            <w:r w:rsidRPr="000F3327">
              <w:rPr>
                <w:rFonts w:ascii="Arial Narrow" w:hAnsi="Arial Narrow"/>
                <w:b/>
                <w:iCs/>
                <w:sz w:val="20"/>
                <w:szCs w:val="20"/>
              </w:rPr>
              <w:t>RIT</w:t>
            </w:r>
          </w:p>
        </w:tc>
        <w:tc>
          <w:tcPr>
            <w:tcW w:w="517" w:type="pct"/>
            <w:tcBorders>
              <w:left w:val="single" w:sz="4" w:space="0" w:color="auto"/>
              <w:bottom w:val="nil"/>
            </w:tcBorders>
            <w:shd w:val="clear" w:color="auto" w:fill="FFFFFF"/>
            <w:vAlign w:val="center"/>
          </w:tcPr>
          <w:p w14:paraId="73143638"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VEN + OBI</w:t>
            </w:r>
          </w:p>
        </w:tc>
        <w:tc>
          <w:tcPr>
            <w:tcW w:w="518" w:type="pct"/>
            <w:tcBorders>
              <w:bottom w:val="nil"/>
            </w:tcBorders>
            <w:shd w:val="clear" w:color="auto" w:fill="FFFFFF"/>
            <w:vAlign w:val="center"/>
          </w:tcPr>
          <w:p w14:paraId="6971017F"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CHL + OBI</w:t>
            </w:r>
          </w:p>
        </w:tc>
        <w:tc>
          <w:tcPr>
            <w:tcW w:w="517" w:type="pct"/>
            <w:tcBorders>
              <w:bottom w:val="nil"/>
            </w:tcBorders>
            <w:shd w:val="clear" w:color="auto" w:fill="FFFFFF"/>
            <w:vAlign w:val="center"/>
          </w:tcPr>
          <w:p w14:paraId="2F53486B"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 xml:space="preserve">ACAL + </w:t>
            </w:r>
            <w:r>
              <w:rPr>
                <w:rFonts w:ascii="Arial Narrow" w:hAnsi="Arial Narrow"/>
                <w:b/>
                <w:iCs/>
                <w:sz w:val="20"/>
                <w:szCs w:val="20"/>
              </w:rPr>
              <w:t>O</w:t>
            </w:r>
            <w:r w:rsidRPr="000F3327">
              <w:rPr>
                <w:rFonts w:ascii="Arial Narrow" w:hAnsi="Arial Narrow"/>
                <w:b/>
                <w:iCs/>
                <w:sz w:val="20"/>
                <w:szCs w:val="20"/>
              </w:rPr>
              <w:t>BI</w:t>
            </w:r>
          </w:p>
        </w:tc>
        <w:tc>
          <w:tcPr>
            <w:tcW w:w="517" w:type="pct"/>
            <w:tcBorders>
              <w:bottom w:val="nil"/>
            </w:tcBorders>
            <w:shd w:val="clear" w:color="auto" w:fill="FFFFFF"/>
            <w:vAlign w:val="center"/>
          </w:tcPr>
          <w:p w14:paraId="290DFE33"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ACAL</w:t>
            </w:r>
          </w:p>
        </w:tc>
        <w:tc>
          <w:tcPr>
            <w:tcW w:w="516" w:type="pct"/>
            <w:tcBorders>
              <w:bottom w:val="nil"/>
              <w:right w:val="single" w:sz="4" w:space="0" w:color="auto"/>
            </w:tcBorders>
            <w:shd w:val="clear" w:color="auto" w:fill="FFFFFF"/>
            <w:vAlign w:val="center"/>
          </w:tcPr>
          <w:p w14:paraId="18DDAF64"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 xml:space="preserve">CHL + </w:t>
            </w:r>
            <w:r>
              <w:rPr>
                <w:rFonts w:ascii="Arial Narrow" w:hAnsi="Arial Narrow"/>
                <w:b/>
                <w:iCs/>
                <w:sz w:val="20"/>
                <w:szCs w:val="20"/>
              </w:rPr>
              <w:t>O</w:t>
            </w:r>
            <w:r w:rsidRPr="000F3327">
              <w:rPr>
                <w:rFonts w:ascii="Arial Narrow" w:hAnsi="Arial Narrow"/>
                <w:b/>
                <w:iCs/>
                <w:sz w:val="20"/>
                <w:szCs w:val="20"/>
              </w:rPr>
              <w:t>BI</w:t>
            </w:r>
          </w:p>
        </w:tc>
      </w:tr>
      <w:tr w:rsidR="00F82642" w:rsidRPr="000F3327" w14:paraId="1AED4DCF" w14:textId="77777777" w:rsidTr="005F6406">
        <w:trPr>
          <w:trHeight w:val="277"/>
          <w:tblHeader/>
        </w:trPr>
        <w:tc>
          <w:tcPr>
            <w:tcW w:w="858" w:type="pct"/>
            <w:vMerge/>
            <w:tcBorders>
              <w:left w:val="single" w:sz="4" w:space="0" w:color="auto"/>
              <w:bottom w:val="single" w:sz="4" w:space="0" w:color="auto"/>
              <w:right w:val="single" w:sz="4" w:space="0" w:color="auto"/>
            </w:tcBorders>
            <w:shd w:val="clear" w:color="auto" w:fill="FFFFFF"/>
            <w:vAlign w:val="center"/>
          </w:tcPr>
          <w:p w14:paraId="510B4F4B" w14:textId="77777777" w:rsidR="00F82642" w:rsidRPr="000F3327" w:rsidRDefault="00F82642" w:rsidP="006A1BBC">
            <w:pPr>
              <w:keepNext/>
              <w:rPr>
                <w:rFonts w:ascii="Arial Narrow" w:hAnsi="Arial Narrow"/>
                <w:b/>
                <w:iCs/>
                <w:sz w:val="20"/>
                <w:szCs w:val="20"/>
              </w:rPr>
            </w:pPr>
          </w:p>
        </w:tc>
        <w:tc>
          <w:tcPr>
            <w:tcW w:w="517" w:type="pct"/>
            <w:tcBorders>
              <w:top w:val="nil"/>
              <w:left w:val="single" w:sz="4" w:space="0" w:color="auto"/>
              <w:bottom w:val="single" w:sz="4" w:space="0" w:color="auto"/>
              <w:right w:val="single" w:sz="4" w:space="0" w:color="auto"/>
            </w:tcBorders>
            <w:shd w:val="clear" w:color="auto" w:fill="FFFFFF"/>
          </w:tcPr>
          <w:p w14:paraId="39EDC8AA"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241</w:t>
            </w:r>
          </w:p>
        </w:tc>
        <w:tc>
          <w:tcPr>
            <w:tcW w:w="523" w:type="pct"/>
            <w:tcBorders>
              <w:top w:val="nil"/>
              <w:left w:val="single" w:sz="4" w:space="0" w:color="auto"/>
              <w:bottom w:val="single" w:sz="4" w:space="0" w:color="auto"/>
              <w:right w:val="single" w:sz="4" w:space="0" w:color="auto"/>
            </w:tcBorders>
            <w:shd w:val="clear" w:color="auto" w:fill="FFFFFF"/>
          </w:tcPr>
          <w:p w14:paraId="7237E21E"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110</w:t>
            </w:r>
          </w:p>
        </w:tc>
        <w:tc>
          <w:tcPr>
            <w:tcW w:w="518" w:type="pct"/>
            <w:tcBorders>
              <w:top w:val="nil"/>
              <w:left w:val="single" w:sz="4" w:space="0" w:color="auto"/>
              <w:bottom w:val="single" w:sz="4" w:space="0" w:color="auto"/>
              <w:right w:val="single" w:sz="4" w:space="0" w:color="auto"/>
            </w:tcBorders>
            <w:shd w:val="clear" w:color="auto" w:fill="FFFFFF"/>
          </w:tcPr>
          <w:p w14:paraId="64EA9A39"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238</w:t>
            </w:r>
          </w:p>
        </w:tc>
        <w:tc>
          <w:tcPr>
            <w:tcW w:w="517" w:type="pct"/>
            <w:tcBorders>
              <w:top w:val="nil"/>
              <w:left w:val="single" w:sz="4" w:space="0" w:color="auto"/>
              <w:bottom w:val="single" w:sz="4" w:space="0" w:color="auto"/>
              <w:right w:val="single" w:sz="4" w:space="0" w:color="auto"/>
            </w:tcBorders>
            <w:shd w:val="clear" w:color="auto" w:fill="FFFFFF"/>
          </w:tcPr>
          <w:p w14:paraId="172B6A54"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N=216</w:t>
            </w:r>
          </w:p>
        </w:tc>
        <w:tc>
          <w:tcPr>
            <w:tcW w:w="518" w:type="pct"/>
            <w:tcBorders>
              <w:top w:val="nil"/>
              <w:left w:val="single" w:sz="4" w:space="0" w:color="auto"/>
              <w:bottom w:val="single" w:sz="4" w:space="0" w:color="auto"/>
              <w:right w:val="single" w:sz="4" w:space="0" w:color="auto"/>
            </w:tcBorders>
            <w:shd w:val="clear" w:color="auto" w:fill="FFFFFF"/>
          </w:tcPr>
          <w:p w14:paraId="779AE863"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N=216</w:t>
            </w:r>
          </w:p>
        </w:tc>
        <w:tc>
          <w:tcPr>
            <w:tcW w:w="517" w:type="pct"/>
            <w:tcBorders>
              <w:top w:val="nil"/>
              <w:left w:val="single" w:sz="4" w:space="0" w:color="auto"/>
              <w:bottom w:val="single" w:sz="4" w:space="0" w:color="auto"/>
              <w:right w:val="single" w:sz="4" w:space="0" w:color="auto"/>
            </w:tcBorders>
            <w:shd w:val="clear" w:color="auto" w:fill="FFFFFF"/>
          </w:tcPr>
          <w:p w14:paraId="0CD20FEF"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N=179</w:t>
            </w:r>
          </w:p>
        </w:tc>
        <w:tc>
          <w:tcPr>
            <w:tcW w:w="517" w:type="pct"/>
            <w:tcBorders>
              <w:top w:val="nil"/>
              <w:left w:val="single" w:sz="4" w:space="0" w:color="auto"/>
              <w:bottom w:val="single" w:sz="4" w:space="0" w:color="auto"/>
              <w:right w:val="single" w:sz="4" w:space="0" w:color="auto"/>
            </w:tcBorders>
            <w:shd w:val="clear" w:color="auto" w:fill="FFFFFF"/>
            <w:vAlign w:val="center"/>
          </w:tcPr>
          <w:p w14:paraId="71BA01F0"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N=179</w:t>
            </w:r>
          </w:p>
        </w:tc>
        <w:tc>
          <w:tcPr>
            <w:tcW w:w="516" w:type="pct"/>
            <w:tcBorders>
              <w:top w:val="nil"/>
              <w:left w:val="single" w:sz="4" w:space="0" w:color="auto"/>
              <w:bottom w:val="single" w:sz="4" w:space="0" w:color="auto"/>
              <w:right w:val="single" w:sz="4" w:space="0" w:color="auto"/>
            </w:tcBorders>
            <w:shd w:val="clear" w:color="auto" w:fill="FFFFFF"/>
            <w:vAlign w:val="center"/>
          </w:tcPr>
          <w:p w14:paraId="07E94449" w14:textId="77777777" w:rsidR="00F82642" w:rsidRPr="000F3327" w:rsidRDefault="00F82642" w:rsidP="006A1BBC">
            <w:pPr>
              <w:keepNext/>
              <w:jc w:val="center"/>
              <w:rPr>
                <w:rFonts w:ascii="Arial Narrow" w:hAnsi="Arial Narrow"/>
                <w:b/>
                <w:iCs/>
                <w:sz w:val="20"/>
                <w:szCs w:val="20"/>
              </w:rPr>
            </w:pPr>
            <w:r w:rsidRPr="000F3327">
              <w:rPr>
                <w:rFonts w:ascii="Arial Narrow" w:hAnsi="Arial Narrow"/>
                <w:b/>
                <w:iCs/>
                <w:sz w:val="20"/>
                <w:szCs w:val="20"/>
              </w:rPr>
              <w:t>N=177</w:t>
            </w:r>
          </w:p>
        </w:tc>
      </w:tr>
      <w:tr w:rsidR="00F82642" w:rsidRPr="000F3327" w14:paraId="63C47A1B" w14:textId="77777777" w:rsidTr="005F6406">
        <w:trPr>
          <w:cantSplit/>
        </w:trPr>
        <w:tc>
          <w:tcPr>
            <w:tcW w:w="858" w:type="pct"/>
            <w:tcBorders>
              <w:top w:val="single" w:sz="4" w:space="0" w:color="auto"/>
              <w:bottom w:val="single" w:sz="4" w:space="0" w:color="auto"/>
              <w:right w:val="single" w:sz="4" w:space="0" w:color="auto"/>
            </w:tcBorders>
            <w:vAlign w:val="center"/>
          </w:tcPr>
          <w:p w14:paraId="1CCEB4E6" w14:textId="77777777" w:rsidR="00F82642" w:rsidRPr="000F3327" w:rsidRDefault="00F82642" w:rsidP="006A1BBC">
            <w:pPr>
              <w:keepNext/>
              <w:jc w:val="left"/>
              <w:rPr>
                <w:rFonts w:ascii="Arial Narrow" w:hAnsi="Arial Narrow"/>
                <w:sz w:val="20"/>
                <w:szCs w:val="20"/>
              </w:rPr>
            </w:pPr>
            <w:r w:rsidRPr="000F3327">
              <w:rPr>
                <w:rFonts w:ascii="Arial Narrow" w:hAnsi="Arial Narrow"/>
                <w:sz w:val="20"/>
                <w:szCs w:val="20"/>
              </w:rPr>
              <w:t>Median follow-up</w:t>
            </w:r>
            <w:r>
              <w:rPr>
                <w:rFonts w:ascii="Arial Narrow" w:hAnsi="Arial Narrow"/>
                <w:sz w:val="20"/>
                <w:szCs w:val="20"/>
              </w:rPr>
              <w:t>, months (range)</w:t>
            </w:r>
          </w:p>
        </w:tc>
        <w:tc>
          <w:tcPr>
            <w:tcW w:w="517" w:type="pct"/>
            <w:tcBorders>
              <w:top w:val="single" w:sz="4" w:space="0" w:color="auto"/>
              <w:left w:val="single" w:sz="4" w:space="0" w:color="auto"/>
              <w:bottom w:val="single" w:sz="4" w:space="0" w:color="auto"/>
            </w:tcBorders>
            <w:shd w:val="clear" w:color="auto" w:fill="FFFFFF"/>
          </w:tcPr>
          <w:p w14:paraId="40FEA5F5" w14:textId="77777777" w:rsidR="00F82642" w:rsidRDefault="00F82642" w:rsidP="006A1BBC">
            <w:pPr>
              <w:keepNext/>
              <w:jc w:val="center"/>
              <w:rPr>
                <w:rFonts w:ascii="Arial Narrow" w:hAnsi="Arial Narrow"/>
                <w:iCs/>
                <w:sz w:val="20"/>
                <w:szCs w:val="20"/>
              </w:rPr>
            </w:pPr>
            <w:r w:rsidRPr="00362208">
              <w:rPr>
                <w:rFonts w:ascii="Arial Narrow" w:hAnsi="Arial Narrow"/>
                <w:iCs/>
                <w:sz w:val="20"/>
                <w:szCs w:val="20"/>
              </w:rPr>
              <w:t>25.1</w:t>
            </w:r>
            <w:r>
              <w:rPr>
                <w:rFonts w:ascii="Arial Narrow" w:hAnsi="Arial Narrow"/>
                <w:iCs/>
                <w:sz w:val="20"/>
                <w:szCs w:val="20"/>
              </w:rPr>
              <w:t xml:space="preserve"> </w:t>
            </w:r>
          </w:p>
          <w:p w14:paraId="04319002" w14:textId="77777777" w:rsidR="00F82642" w:rsidRPr="000F3327" w:rsidRDefault="00F82642" w:rsidP="006A1BBC">
            <w:pPr>
              <w:keepNext/>
              <w:jc w:val="center"/>
              <w:rPr>
                <w:rFonts w:ascii="Arial Narrow" w:hAnsi="Arial Narrow"/>
                <w:iCs/>
                <w:sz w:val="20"/>
                <w:szCs w:val="20"/>
              </w:rPr>
            </w:pPr>
            <w:r w:rsidRPr="00362208">
              <w:rPr>
                <w:rFonts w:ascii="Arial Narrow" w:hAnsi="Arial Narrow"/>
                <w:iCs/>
                <w:sz w:val="20"/>
                <w:szCs w:val="20"/>
              </w:rPr>
              <w:t>(0.0</w:t>
            </w:r>
            <w:r>
              <w:rPr>
                <w:rFonts w:ascii="Arial Narrow" w:hAnsi="Arial Narrow"/>
                <w:iCs/>
                <w:sz w:val="20"/>
                <w:szCs w:val="20"/>
              </w:rPr>
              <w:t>-</w:t>
            </w:r>
            <w:r w:rsidRPr="00362208">
              <w:rPr>
                <w:rFonts w:ascii="Arial Narrow" w:hAnsi="Arial Narrow"/>
                <w:iCs/>
                <w:sz w:val="20"/>
                <w:szCs w:val="20"/>
              </w:rPr>
              <w:t>41.4)</w:t>
            </w:r>
          </w:p>
        </w:tc>
        <w:tc>
          <w:tcPr>
            <w:tcW w:w="523" w:type="pct"/>
            <w:tcBorders>
              <w:top w:val="single" w:sz="4" w:space="0" w:color="auto"/>
              <w:bottom w:val="single" w:sz="4" w:space="0" w:color="auto"/>
            </w:tcBorders>
            <w:shd w:val="clear" w:color="auto" w:fill="FFFFFF"/>
          </w:tcPr>
          <w:p w14:paraId="7C6E54B2" w14:textId="77777777" w:rsidR="00F82642" w:rsidRDefault="00F82642" w:rsidP="006A1BBC">
            <w:pPr>
              <w:keepNext/>
              <w:jc w:val="center"/>
              <w:rPr>
                <w:rFonts w:ascii="Arial Narrow" w:hAnsi="Arial Narrow"/>
                <w:iCs/>
                <w:sz w:val="20"/>
                <w:szCs w:val="20"/>
              </w:rPr>
            </w:pPr>
            <w:r w:rsidRPr="003B7939">
              <w:rPr>
                <w:rFonts w:ascii="Arial Narrow" w:hAnsi="Arial Narrow"/>
                <w:iCs/>
                <w:sz w:val="20"/>
                <w:szCs w:val="20"/>
              </w:rPr>
              <w:t>27.9</w:t>
            </w:r>
            <w:r>
              <w:rPr>
                <w:rFonts w:ascii="Arial Narrow" w:hAnsi="Arial Narrow"/>
                <w:iCs/>
                <w:sz w:val="20"/>
                <w:szCs w:val="20"/>
              </w:rPr>
              <w:t xml:space="preserve"> </w:t>
            </w:r>
          </w:p>
          <w:p w14:paraId="2FB424CE" w14:textId="77777777" w:rsidR="00F82642" w:rsidRPr="000F3327" w:rsidRDefault="00F82642" w:rsidP="006A1BBC">
            <w:pPr>
              <w:keepNext/>
              <w:jc w:val="center"/>
              <w:rPr>
                <w:rFonts w:ascii="Arial Narrow" w:hAnsi="Arial Narrow"/>
                <w:iCs/>
                <w:sz w:val="20"/>
                <w:szCs w:val="20"/>
              </w:rPr>
            </w:pPr>
            <w:r w:rsidRPr="003B7939">
              <w:rPr>
                <w:rFonts w:ascii="Arial Narrow" w:hAnsi="Arial Narrow"/>
                <w:iCs/>
                <w:sz w:val="20"/>
                <w:szCs w:val="20"/>
              </w:rPr>
              <w:t>(1.0</w:t>
            </w:r>
            <w:r>
              <w:rPr>
                <w:rFonts w:ascii="Arial Narrow" w:hAnsi="Arial Narrow"/>
                <w:iCs/>
                <w:sz w:val="20"/>
                <w:szCs w:val="20"/>
              </w:rPr>
              <w:t>-</w:t>
            </w:r>
            <w:r w:rsidRPr="003B7939">
              <w:rPr>
                <w:rFonts w:ascii="Arial Narrow" w:hAnsi="Arial Narrow"/>
                <w:iCs/>
                <w:sz w:val="20"/>
                <w:szCs w:val="20"/>
              </w:rPr>
              <w:t>38.8)</w:t>
            </w:r>
          </w:p>
        </w:tc>
        <w:tc>
          <w:tcPr>
            <w:tcW w:w="518" w:type="pct"/>
            <w:tcBorders>
              <w:top w:val="single" w:sz="4" w:space="0" w:color="auto"/>
              <w:bottom w:val="single" w:sz="4" w:space="0" w:color="auto"/>
              <w:right w:val="single" w:sz="4" w:space="0" w:color="auto"/>
            </w:tcBorders>
            <w:shd w:val="clear" w:color="auto" w:fill="FFFFFF"/>
          </w:tcPr>
          <w:p w14:paraId="2CF4BB4B" w14:textId="77777777" w:rsidR="00F82642" w:rsidRDefault="00F82642" w:rsidP="006A1BBC">
            <w:pPr>
              <w:keepNext/>
              <w:jc w:val="center"/>
              <w:rPr>
                <w:rFonts w:ascii="Arial Narrow" w:hAnsi="Arial Narrow"/>
                <w:iCs/>
                <w:sz w:val="20"/>
                <w:szCs w:val="20"/>
              </w:rPr>
            </w:pPr>
            <w:r w:rsidRPr="000F3327">
              <w:rPr>
                <w:rFonts w:ascii="Arial Narrow" w:hAnsi="Arial Narrow"/>
                <w:iCs/>
                <w:sz w:val="20"/>
                <w:szCs w:val="20"/>
              </w:rPr>
              <w:t xml:space="preserve">24.6 </w:t>
            </w:r>
          </w:p>
          <w:p w14:paraId="43C1F886" w14:textId="77777777" w:rsidR="00F82642" w:rsidRPr="000F3327" w:rsidRDefault="00F82642" w:rsidP="006A1BBC">
            <w:pPr>
              <w:keepNext/>
              <w:jc w:val="center"/>
              <w:rPr>
                <w:rFonts w:ascii="Arial Narrow" w:hAnsi="Arial Narrow"/>
                <w:iCs/>
                <w:sz w:val="20"/>
                <w:szCs w:val="20"/>
              </w:rPr>
            </w:pPr>
            <w:r w:rsidRPr="00362208">
              <w:rPr>
                <w:rFonts w:ascii="Arial Narrow" w:hAnsi="Arial Narrow"/>
                <w:iCs/>
                <w:sz w:val="20"/>
                <w:szCs w:val="20"/>
              </w:rPr>
              <w:t>(0.0</w:t>
            </w:r>
            <w:r>
              <w:rPr>
                <w:rFonts w:ascii="Arial Narrow" w:hAnsi="Arial Narrow"/>
                <w:iCs/>
                <w:sz w:val="20"/>
                <w:szCs w:val="20"/>
              </w:rPr>
              <w:t>-</w:t>
            </w:r>
            <w:r w:rsidRPr="00362208">
              <w:rPr>
                <w:rFonts w:ascii="Arial Narrow" w:hAnsi="Arial Narrow"/>
                <w:iCs/>
                <w:sz w:val="20"/>
                <w:szCs w:val="20"/>
              </w:rPr>
              <w:t>36.2)</w:t>
            </w:r>
          </w:p>
        </w:tc>
        <w:tc>
          <w:tcPr>
            <w:tcW w:w="1035" w:type="pct"/>
            <w:gridSpan w:val="2"/>
            <w:tcBorders>
              <w:top w:val="single" w:sz="4" w:space="0" w:color="auto"/>
              <w:left w:val="single" w:sz="4" w:space="0" w:color="auto"/>
              <w:bottom w:val="single" w:sz="4" w:space="0" w:color="auto"/>
            </w:tcBorders>
            <w:shd w:val="clear" w:color="auto" w:fill="FFFFFF"/>
          </w:tcPr>
          <w:p w14:paraId="03680313" w14:textId="77777777" w:rsidR="00F82642" w:rsidRDefault="00F82642" w:rsidP="006A1BBC">
            <w:pPr>
              <w:keepNext/>
              <w:jc w:val="center"/>
              <w:rPr>
                <w:rFonts w:ascii="Arial Narrow" w:hAnsi="Arial Narrow"/>
                <w:iCs/>
                <w:sz w:val="20"/>
                <w:szCs w:val="20"/>
              </w:rPr>
            </w:pPr>
            <w:r w:rsidRPr="009E40D6">
              <w:rPr>
                <w:rFonts w:ascii="Arial Narrow" w:hAnsi="Arial Narrow"/>
                <w:iCs/>
                <w:sz w:val="20"/>
                <w:szCs w:val="20"/>
              </w:rPr>
              <w:t xml:space="preserve">28.1 </w:t>
            </w:r>
          </w:p>
          <w:p w14:paraId="484AB3F0" w14:textId="77777777" w:rsidR="00F82642" w:rsidRPr="000F3327" w:rsidRDefault="00F82642" w:rsidP="006A1BBC">
            <w:pPr>
              <w:keepNext/>
              <w:jc w:val="center"/>
              <w:rPr>
                <w:rFonts w:ascii="Arial Narrow" w:hAnsi="Arial Narrow"/>
                <w:iCs/>
                <w:sz w:val="20"/>
                <w:szCs w:val="20"/>
              </w:rPr>
            </w:pPr>
            <w:r w:rsidRPr="009E40D6">
              <w:rPr>
                <w:rFonts w:ascii="Arial Narrow" w:hAnsi="Arial Narrow"/>
                <w:iCs/>
                <w:sz w:val="20"/>
                <w:szCs w:val="20"/>
              </w:rPr>
              <w:t>(0.0</w:t>
            </w:r>
            <w:r>
              <w:rPr>
                <w:rFonts w:ascii="Arial Narrow" w:hAnsi="Arial Narrow"/>
                <w:iCs/>
                <w:sz w:val="20"/>
                <w:szCs w:val="20"/>
              </w:rPr>
              <w:t>-</w:t>
            </w:r>
            <w:r w:rsidRPr="009E40D6">
              <w:rPr>
                <w:rFonts w:ascii="Arial Narrow" w:hAnsi="Arial Narrow"/>
                <w:iCs/>
                <w:sz w:val="20"/>
                <w:szCs w:val="20"/>
              </w:rPr>
              <w:t>35.9)</w:t>
            </w:r>
          </w:p>
        </w:tc>
        <w:tc>
          <w:tcPr>
            <w:tcW w:w="517" w:type="pct"/>
            <w:tcBorders>
              <w:top w:val="single" w:sz="4" w:space="0" w:color="auto"/>
              <w:bottom w:val="single" w:sz="4" w:space="0" w:color="auto"/>
              <w:right w:val="single" w:sz="4" w:space="0" w:color="auto"/>
            </w:tcBorders>
            <w:shd w:val="clear" w:color="auto" w:fill="FFFFFF"/>
            <w:vAlign w:val="center"/>
          </w:tcPr>
          <w:p w14:paraId="74E5D554" w14:textId="77777777" w:rsidR="00F82642" w:rsidRDefault="00F82642" w:rsidP="006A1BBC">
            <w:pPr>
              <w:keepNext/>
              <w:jc w:val="center"/>
              <w:rPr>
                <w:rFonts w:ascii="Arial Narrow" w:hAnsi="Arial Narrow"/>
                <w:iCs/>
                <w:sz w:val="20"/>
                <w:szCs w:val="20"/>
              </w:rPr>
            </w:pPr>
            <w:r w:rsidRPr="0076533B">
              <w:rPr>
                <w:rFonts w:ascii="Arial Narrow" w:hAnsi="Arial Narrow"/>
                <w:iCs/>
                <w:sz w:val="20"/>
                <w:szCs w:val="20"/>
              </w:rPr>
              <w:t xml:space="preserve">28.5 </w:t>
            </w:r>
          </w:p>
          <w:p w14:paraId="3035DADF" w14:textId="77777777" w:rsidR="00F82642" w:rsidRPr="000F3327" w:rsidRDefault="00F82642" w:rsidP="006A1BBC">
            <w:pPr>
              <w:keepNext/>
              <w:jc w:val="center"/>
              <w:rPr>
                <w:rFonts w:ascii="Arial Narrow" w:hAnsi="Arial Narrow"/>
                <w:iCs/>
                <w:sz w:val="20"/>
                <w:szCs w:val="20"/>
              </w:rPr>
            </w:pPr>
            <w:r w:rsidRPr="0076533B">
              <w:rPr>
                <w:rFonts w:ascii="Arial Narrow" w:hAnsi="Arial Narrow"/>
                <w:iCs/>
                <w:sz w:val="20"/>
                <w:szCs w:val="20"/>
              </w:rPr>
              <w:t xml:space="preserve">(1.7-40.3) </w:t>
            </w:r>
          </w:p>
        </w:tc>
        <w:tc>
          <w:tcPr>
            <w:tcW w:w="517" w:type="pct"/>
            <w:tcBorders>
              <w:top w:val="single" w:sz="4" w:space="0" w:color="auto"/>
              <w:bottom w:val="single" w:sz="4" w:space="0" w:color="auto"/>
              <w:right w:val="single" w:sz="4" w:space="0" w:color="auto"/>
            </w:tcBorders>
            <w:shd w:val="clear" w:color="auto" w:fill="FFFFFF"/>
            <w:vAlign w:val="center"/>
          </w:tcPr>
          <w:p w14:paraId="1D1A7175" w14:textId="77777777" w:rsidR="00F82642" w:rsidRDefault="00F82642" w:rsidP="006A1BBC">
            <w:pPr>
              <w:keepNext/>
              <w:jc w:val="center"/>
              <w:rPr>
                <w:rFonts w:ascii="Arial Narrow" w:hAnsi="Arial Narrow"/>
                <w:iCs/>
                <w:sz w:val="20"/>
                <w:szCs w:val="20"/>
              </w:rPr>
            </w:pPr>
            <w:r w:rsidRPr="0076533B">
              <w:rPr>
                <w:rFonts w:ascii="Arial Narrow" w:hAnsi="Arial Narrow"/>
                <w:iCs/>
                <w:sz w:val="20"/>
                <w:szCs w:val="20"/>
              </w:rPr>
              <w:t xml:space="preserve">28.4 </w:t>
            </w:r>
          </w:p>
          <w:p w14:paraId="1A7F642E" w14:textId="77777777" w:rsidR="00F82642" w:rsidRPr="000F3327" w:rsidRDefault="00F82642" w:rsidP="006A1BBC">
            <w:pPr>
              <w:keepNext/>
              <w:jc w:val="center"/>
              <w:rPr>
                <w:rFonts w:ascii="Arial Narrow" w:hAnsi="Arial Narrow"/>
                <w:iCs/>
                <w:sz w:val="20"/>
                <w:szCs w:val="20"/>
              </w:rPr>
            </w:pPr>
            <w:r w:rsidRPr="0076533B">
              <w:rPr>
                <w:rFonts w:ascii="Arial Narrow" w:hAnsi="Arial Narrow"/>
                <w:iCs/>
                <w:sz w:val="20"/>
                <w:szCs w:val="20"/>
              </w:rPr>
              <w:t>(0.1-40.8)</w:t>
            </w:r>
          </w:p>
        </w:tc>
        <w:tc>
          <w:tcPr>
            <w:tcW w:w="516" w:type="pct"/>
            <w:tcBorders>
              <w:top w:val="single" w:sz="4" w:space="0" w:color="auto"/>
              <w:bottom w:val="single" w:sz="4" w:space="0" w:color="auto"/>
              <w:right w:val="single" w:sz="4" w:space="0" w:color="auto"/>
            </w:tcBorders>
            <w:shd w:val="clear" w:color="auto" w:fill="FFFFFF"/>
            <w:vAlign w:val="center"/>
          </w:tcPr>
          <w:p w14:paraId="243307EA" w14:textId="77777777" w:rsidR="00F82642" w:rsidRDefault="00F82642" w:rsidP="006A1BBC">
            <w:pPr>
              <w:keepNext/>
              <w:jc w:val="center"/>
              <w:rPr>
                <w:rFonts w:ascii="Arial Narrow" w:hAnsi="Arial Narrow"/>
                <w:iCs/>
                <w:sz w:val="20"/>
                <w:szCs w:val="20"/>
              </w:rPr>
            </w:pPr>
            <w:r w:rsidRPr="0076533B">
              <w:rPr>
                <w:rFonts w:ascii="Arial Narrow" w:hAnsi="Arial Narrow"/>
                <w:iCs/>
                <w:sz w:val="20"/>
                <w:szCs w:val="20"/>
              </w:rPr>
              <w:t xml:space="preserve">28.0 </w:t>
            </w:r>
          </w:p>
          <w:p w14:paraId="54C34F42" w14:textId="77777777" w:rsidR="00F82642" w:rsidRPr="000F3327" w:rsidRDefault="00F82642" w:rsidP="006A1BBC">
            <w:pPr>
              <w:keepNext/>
              <w:jc w:val="center"/>
              <w:rPr>
                <w:rFonts w:ascii="Arial Narrow" w:hAnsi="Arial Narrow"/>
                <w:iCs/>
                <w:sz w:val="20"/>
                <w:szCs w:val="20"/>
              </w:rPr>
            </w:pPr>
            <w:r w:rsidRPr="0076533B">
              <w:rPr>
                <w:rFonts w:ascii="Arial Narrow" w:hAnsi="Arial Narrow"/>
                <w:iCs/>
                <w:sz w:val="20"/>
                <w:szCs w:val="20"/>
              </w:rPr>
              <w:t>(0.0-40.4)</w:t>
            </w:r>
          </w:p>
        </w:tc>
      </w:tr>
      <w:tr w:rsidR="005F6406" w:rsidRPr="000F3327" w14:paraId="79A10338" w14:textId="77777777" w:rsidTr="005F6406">
        <w:trPr>
          <w:cantSplit/>
        </w:trPr>
        <w:tc>
          <w:tcPr>
            <w:tcW w:w="858" w:type="pct"/>
            <w:tcBorders>
              <w:top w:val="single" w:sz="4" w:space="0" w:color="auto"/>
              <w:right w:val="single" w:sz="4" w:space="0" w:color="auto"/>
            </w:tcBorders>
            <w:vAlign w:val="center"/>
          </w:tcPr>
          <w:p w14:paraId="038D4391" w14:textId="77777777" w:rsidR="005F6406" w:rsidRDefault="005F6406" w:rsidP="005F6406">
            <w:pPr>
              <w:keepNext/>
              <w:jc w:val="left"/>
              <w:rPr>
                <w:rFonts w:ascii="Arial Narrow" w:hAnsi="Arial Narrow"/>
                <w:sz w:val="20"/>
                <w:szCs w:val="20"/>
              </w:rPr>
            </w:pPr>
            <w:r w:rsidRPr="000F3327">
              <w:rPr>
                <w:rFonts w:ascii="Arial Narrow" w:hAnsi="Arial Narrow"/>
                <w:sz w:val="20"/>
                <w:szCs w:val="20"/>
              </w:rPr>
              <w:t>Events, n (%)</w:t>
            </w:r>
          </w:p>
          <w:p w14:paraId="5D65B86A" w14:textId="77777777" w:rsidR="005F6406" w:rsidRDefault="005F6406" w:rsidP="005F6406">
            <w:pPr>
              <w:keepNext/>
              <w:ind w:left="357" w:hanging="357"/>
              <w:jc w:val="left"/>
              <w:rPr>
                <w:rFonts w:ascii="Arial Narrow" w:hAnsi="Arial Narrow"/>
                <w:sz w:val="20"/>
                <w:szCs w:val="20"/>
              </w:rPr>
            </w:pPr>
            <w:r>
              <w:rPr>
                <w:rFonts w:ascii="Arial Narrow" w:hAnsi="Arial Narrow"/>
                <w:sz w:val="20"/>
                <w:szCs w:val="20"/>
              </w:rPr>
              <w:t>- Progression</w:t>
            </w:r>
          </w:p>
          <w:p w14:paraId="226090D4" w14:textId="77777777" w:rsidR="005F6406" w:rsidRPr="00362208" w:rsidRDefault="005F6406" w:rsidP="005F6406">
            <w:pPr>
              <w:keepNext/>
              <w:ind w:left="357" w:hanging="357"/>
              <w:jc w:val="left"/>
              <w:rPr>
                <w:rFonts w:ascii="Arial Narrow" w:hAnsi="Arial Narrow"/>
                <w:sz w:val="20"/>
                <w:szCs w:val="20"/>
              </w:rPr>
            </w:pPr>
            <w:r>
              <w:rPr>
                <w:rFonts w:ascii="Arial Narrow" w:hAnsi="Arial Narrow"/>
                <w:sz w:val="20"/>
                <w:szCs w:val="20"/>
              </w:rPr>
              <w:t>- Death</w:t>
            </w:r>
          </w:p>
        </w:tc>
        <w:tc>
          <w:tcPr>
            <w:tcW w:w="517" w:type="pct"/>
            <w:tcBorders>
              <w:top w:val="single" w:sz="4" w:space="0" w:color="auto"/>
              <w:left w:val="single" w:sz="4" w:space="0" w:color="auto"/>
              <w:bottom w:val="single" w:sz="4" w:space="0" w:color="auto"/>
            </w:tcBorders>
            <w:shd w:val="clear" w:color="auto" w:fill="FFFFFF"/>
          </w:tcPr>
          <w:p w14:paraId="6DA0D214" w14:textId="77777777" w:rsidR="005F6406" w:rsidRDefault="005F6406" w:rsidP="005F6406">
            <w:pPr>
              <w:keepNext/>
              <w:jc w:val="center"/>
              <w:rPr>
                <w:rFonts w:ascii="Arial Narrow" w:hAnsi="Arial Narrow"/>
                <w:iCs/>
                <w:sz w:val="20"/>
                <w:szCs w:val="20"/>
              </w:rPr>
            </w:pPr>
            <w:r w:rsidRPr="00362208">
              <w:rPr>
                <w:rFonts w:ascii="Arial Narrow" w:hAnsi="Arial Narrow"/>
                <w:iCs/>
                <w:sz w:val="20"/>
                <w:szCs w:val="20"/>
              </w:rPr>
              <w:t>36 (14.9)</w:t>
            </w:r>
          </w:p>
          <w:p w14:paraId="4DA84AE4" w14:textId="77777777" w:rsidR="005F6406" w:rsidRDefault="005F6406" w:rsidP="005F6406">
            <w:pPr>
              <w:keepNext/>
              <w:jc w:val="center"/>
              <w:rPr>
                <w:rFonts w:ascii="Arial Narrow" w:hAnsi="Arial Narrow"/>
                <w:iCs/>
                <w:sz w:val="20"/>
                <w:szCs w:val="20"/>
              </w:rPr>
            </w:pPr>
            <w:r w:rsidRPr="007E3BB0">
              <w:rPr>
                <w:rFonts w:ascii="Arial Narrow" w:hAnsi="Arial Narrow"/>
                <w:iCs/>
                <w:sz w:val="20"/>
                <w:szCs w:val="20"/>
              </w:rPr>
              <w:t>27 (11.2)</w:t>
            </w:r>
          </w:p>
          <w:p w14:paraId="4C4DEFF5" w14:textId="77777777" w:rsidR="005F6406" w:rsidRPr="000F3327" w:rsidRDefault="005F6406" w:rsidP="005F6406">
            <w:pPr>
              <w:keepNext/>
              <w:jc w:val="center"/>
              <w:rPr>
                <w:rFonts w:ascii="Arial Narrow" w:hAnsi="Arial Narrow"/>
                <w:iCs/>
                <w:sz w:val="20"/>
                <w:szCs w:val="20"/>
              </w:rPr>
            </w:pPr>
            <w:r w:rsidRPr="007E3BB0">
              <w:rPr>
                <w:rFonts w:ascii="Arial Narrow" w:hAnsi="Arial Narrow"/>
                <w:iCs/>
                <w:sz w:val="20"/>
                <w:szCs w:val="20"/>
              </w:rPr>
              <w:t>9 (3.7)</w:t>
            </w:r>
          </w:p>
        </w:tc>
        <w:tc>
          <w:tcPr>
            <w:tcW w:w="523" w:type="pct"/>
            <w:tcBorders>
              <w:top w:val="single" w:sz="4" w:space="0" w:color="auto"/>
              <w:bottom w:val="single" w:sz="4" w:space="0" w:color="auto"/>
            </w:tcBorders>
            <w:shd w:val="clear" w:color="auto" w:fill="FFFFFF"/>
          </w:tcPr>
          <w:p w14:paraId="64FB6FC1" w14:textId="77777777" w:rsidR="005F6406" w:rsidRDefault="005F6406" w:rsidP="005F6406">
            <w:pPr>
              <w:keepNext/>
              <w:jc w:val="center"/>
              <w:rPr>
                <w:rFonts w:ascii="Arial Narrow" w:hAnsi="Arial Narrow"/>
                <w:iCs/>
                <w:sz w:val="20"/>
                <w:szCs w:val="20"/>
              </w:rPr>
            </w:pPr>
            <w:r w:rsidRPr="003B7939">
              <w:rPr>
                <w:rFonts w:ascii="Arial Narrow" w:hAnsi="Arial Narrow"/>
                <w:iCs/>
                <w:sz w:val="20"/>
                <w:szCs w:val="20"/>
              </w:rPr>
              <w:t>15 (13.6)</w:t>
            </w:r>
          </w:p>
          <w:p w14:paraId="1CFB3295" w14:textId="77777777" w:rsidR="005F6406" w:rsidRDefault="005F6406" w:rsidP="005F6406">
            <w:pPr>
              <w:keepNext/>
              <w:jc w:val="center"/>
              <w:rPr>
                <w:rFonts w:ascii="Arial Narrow" w:hAnsi="Arial Narrow"/>
                <w:iCs/>
                <w:sz w:val="20"/>
                <w:szCs w:val="20"/>
              </w:rPr>
            </w:pPr>
            <w:r w:rsidRPr="003B7939">
              <w:rPr>
                <w:rFonts w:ascii="Arial Narrow" w:hAnsi="Arial Narrow"/>
                <w:iCs/>
                <w:sz w:val="20"/>
                <w:szCs w:val="20"/>
              </w:rPr>
              <w:t>14 (12.7)</w:t>
            </w:r>
          </w:p>
          <w:p w14:paraId="6BD02E15" w14:textId="77777777" w:rsidR="005F6406" w:rsidRPr="000F3327" w:rsidRDefault="005F6406" w:rsidP="005F6406">
            <w:pPr>
              <w:keepNext/>
              <w:jc w:val="center"/>
              <w:rPr>
                <w:rFonts w:ascii="Arial Narrow" w:hAnsi="Arial Narrow"/>
                <w:iCs/>
                <w:sz w:val="20"/>
                <w:szCs w:val="20"/>
              </w:rPr>
            </w:pPr>
            <w:r w:rsidRPr="003B7939">
              <w:rPr>
                <w:rFonts w:ascii="Arial Narrow" w:hAnsi="Arial Narrow"/>
                <w:iCs/>
                <w:sz w:val="20"/>
                <w:szCs w:val="20"/>
              </w:rPr>
              <w:t>1 (0.9)</w:t>
            </w:r>
          </w:p>
        </w:tc>
        <w:tc>
          <w:tcPr>
            <w:tcW w:w="518" w:type="pct"/>
            <w:tcBorders>
              <w:top w:val="single" w:sz="4" w:space="0" w:color="auto"/>
              <w:bottom w:val="single" w:sz="4" w:space="0" w:color="auto"/>
              <w:right w:val="single" w:sz="4" w:space="0" w:color="auto"/>
            </w:tcBorders>
            <w:shd w:val="clear" w:color="auto" w:fill="FFFFFF"/>
          </w:tcPr>
          <w:p w14:paraId="2C84BF0F" w14:textId="77777777" w:rsidR="005F6406" w:rsidRDefault="005F6406" w:rsidP="005F6406">
            <w:pPr>
              <w:keepNext/>
              <w:jc w:val="center"/>
              <w:rPr>
                <w:rFonts w:ascii="Arial Narrow" w:hAnsi="Arial Narrow"/>
                <w:iCs/>
                <w:sz w:val="20"/>
                <w:szCs w:val="20"/>
              </w:rPr>
            </w:pPr>
            <w:r w:rsidRPr="00362208">
              <w:rPr>
                <w:rFonts w:ascii="Arial Narrow" w:hAnsi="Arial Narrow"/>
                <w:iCs/>
                <w:sz w:val="20"/>
                <w:szCs w:val="20"/>
              </w:rPr>
              <w:t>71 (29.8)</w:t>
            </w:r>
          </w:p>
          <w:p w14:paraId="7BA27DC9" w14:textId="77777777" w:rsidR="005F6406" w:rsidRDefault="005F6406" w:rsidP="005F6406">
            <w:pPr>
              <w:keepNext/>
              <w:jc w:val="center"/>
              <w:rPr>
                <w:rFonts w:ascii="Arial Narrow" w:hAnsi="Arial Narrow"/>
                <w:iCs/>
                <w:sz w:val="20"/>
                <w:szCs w:val="20"/>
              </w:rPr>
            </w:pPr>
            <w:r w:rsidRPr="007E3BB0">
              <w:rPr>
                <w:rFonts w:ascii="Arial Narrow" w:hAnsi="Arial Narrow"/>
                <w:iCs/>
                <w:sz w:val="20"/>
                <w:szCs w:val="20"/>
              </w:rPr>
              <w:t>59 (24.8)</w:t>
            </w:r>
          </w:p>
          <w:p w14:paraId="23C071F8" w14:textId="77777777" w:rsidR="005F6406" w:rsidRPr="000F3327" w:rsidRDefault="005F6406" w:rsidP="005F6406">
            <w:pPr>
              <w:keepNext/>
              <w:jc w:val="center"/>
              <w:rPr>
                <w:rFonts w:ascii="Arial Narrow" w:hAnsi="Arial Narrow"/>
                <w:iCs/>
                <w:sz w:val="20"/>
                <w:szCs w:val="20"/>
              </w:rPr>
            </w:pPr>
            <w:r w:rsidRPr="007E3BB0">
              <w:rPr>
                <w:rFonts w:ascii="Arial Narrow" w:hAnsi="Arial Narrow"/>
                <w:iCs/>
                <w:sz w:val="20"/>
                <w:szCs w:val="20"/>
              </w:rPr>
              <w:t>12 (5.0)</w:t>
            </w:r>
          </w:p>
        </w:tc>
        <w:tc>
          <w:tcPr>
            <w:tcW w:w="517" w:type="pct"/>
            <w:tcBorders>
              <w:top w:val="single" w:sz="4" w:space="0" w:color="auto"/>
              <w:left w:val="single" w:sz="4" w:space="0" w:color="auto"/>
            </w:tcBorders>
            <w:shd w:val="clear" w:color="auto" w:fill="FFFFFF"/>
          </w:tcPr>
          <w:p w14:paraId="28E10AF1" w14:textId="77777777" w:rsidR="005F6406" w:rsidRDefault="005F6406" w:rsidP="005F6406">
            <w:pPr>
              <w:keepNext/>
              <w:jc w:val="center"/>
              <w:rPr>
                <w:rFonts w:ascii="Arial Narrow" w:hAnsi="Arial Narrow"/>
                <w:iCs/>
                <w:sz w:val="20"/>
                <w:szCs w:val="20"/>
              </w:rPr>
            </w:pPr>
            <w:r w:rsidRPr="00362707">
              <w:rPr>
                <w:rFonts w:ascii="Arial Narrow" w:hAnsi="Arial Narrow"/>
                <w:iCs/>
                <w:sz w:val="20"/>
                <w:szCs w:val="20"/>
              </w:rPr>
              <w:t>29 (13.4)</w:t>
            </w:r>
          </w:p>
          <w:p w14:paraId="5C6D7CD7" w14:textId="77777777" w:rsidR="005F6406" w:rsidRDefault="005F6406" w:rsidP="005F6406">
            <w:pPr>
              <w:keepNext/>
              <w:jc w:val="center"/>
              <w:rPr>
                <w:rFonts w:ascii="Arial Narrow" w:hAnsi="Arial Narrow"/>
                <w:iCs/>
                <w:sz w:val="20"/>
                <w:szCs w:val="20"/>
              </w:rPr>
            </w:pPr>
            <w:r w:rsidRPr="00362707">
              <w:rPr>
                <w:rFonts w:ascii="Arial Narrow" w:hAnsi="Arial Narrow"/>
                <w:iCs/>
                <w:sz w:val="20"/>
                <w:szCs w:val="20"/>
              </w:rPr>
              <w:t xml:space="preserve"> 14 (6.5)</w:t>
            </w:r>
          </w:p>
          <w:p w14:paraId="6F5B3445" w14:textId="77777777" w:rsidR="005F6406" w:rsidRPr="000F3327" w:rsidRDefault="005F6406" w:rsidP="005F6406">
            <w:pPr>
              <w:keepNext/>
              <w:jc w:val="center"/>
              <w:rPr>
                <w:rFonts w:ascii="Arial Narrow" w:hAnsi="Arial Narrow"/>
                <w:iCs/>
                <w:sz w:val="20"/>
                <w:szCs w:val="20"/>
              </w:rPr>
            </w:pPr>
            <w:r w:rsidRPr="00362707">
              <w:rPr>
                <w:rFonts w:ascii="Arial Narrow" w:hAnsi="Arial Narrow"/>
                <w:iCs/>
                <w:sz w:val="20"/>
                <w:szCs w:val="20"/>
              </w:rPr>
              <w:t xml:space="preserve"> </w:t>
            </w:r>
            <w:r w:rsidRPr="00682FE6">
              <w:rPr>
                <w:rFonts w:ascii="Arial Narrow" w:hAnsi="Arial Narrow"/>
                <w:iCs/>
                <w:sz w:val="20"/>
                <w:szCs w:val="20"/>
              </w:rPr>
              <w:t xml:space="preserve">15 (6.9) </w:t>
            </w:r>
          </w:p>
        </w:tc>
        <w:tc>
          <w:tcPr>
            <w:tcW w:w="518" w:type="pct"/>
            <w:tcBorders>
              <w:top w:val="single" w:sz="4" w:space="0" w:color="auto"/>
            </w:tcBorders>
            <w:shd w:val="clear" w:color="auto" w:fill="FFFFFF"/>
          </w:tcPr>
          <w:p w14:paraId="18F1380D" w14:textId="77777777" w:rsidR="005F6406" w:rsidRDefault="005F6406" w:rsidP="005F6406">
            <w:pPr>
              <w:keepNext/>
              <w:jc w:val="center"/>
              <w:rPr>
                <w:rFonts w:ascii="Arial Narrow" w:hAnsi="Arial Narrow"/>
                <w:iCs/>
                <w:sz w:val="20"/>
                <w:szCs w:val="20"/>
              </w:rPr>
            </w:pPr>
            <w:r w:rsidRPr="00362707">
              <w:rPr>
                <w:rFonts w:ascii="Arial Narrow" w:hAnsi="Arial Narrow"/>
                <w:iCs/>
                <w:sz w:val="20"/>
                <w:szCs w:val="20"/>
              </w:rPr>
              <w:t>79 (36.6)</w:t>
            </w:r>
          </w:p>
          <w:p w14:paraId="78FFFD4C" w14:textId="77777777" w:rsidR="005F6406" w:rsidRDefault="005F6406" w:rsidP="005F6406">
            <w:pPr>
              <w:keepNext/>
              <w:jc w:val="center"/>
              <w:rPr>
                <w:rFonts w:ascii="Arial Narrow" w:hAnsi="Arial Narrow"/>
                <w:iCs/>
                <w:sz w:val="20"/>
                <w:szCs w:val="20"/>
              </w:rPr>
            </w:pPr>
            <w:r w:rsidRPr="00362707">
              <w:rPr>
                <w:rFonts w:ascii="Arial Narrow" w:hAnsi="Arial Narrow"/>
                <w:iCs/>
                <w:sz w:val="20"/>
                <w:szCs w:val="20"/>
              </w:rPr>
              <w:t>71 (32.9</w:t>
            </w:r>
            <w:r>
              <w:rPr>
                <w:rFonts w:ascii="Arial Narrow" w:hAnsi="Arial Narrow"/>
                <w:iCs/>
                <w:sz w:val="20"/>
                <w:szCs w:val="20"/>
              </w:rPr>
              <w:t>)</w:t>
            </w:r>
          </w:p>
          <w:p w14:paraId="0FA53DC1" w14:textId="77777777" w:rsidR="005F6406" w:rsidRPr="000F3327" w:rsidRDefault="005F6406" w:rsidP="005F6406">
            <w:pPr>
              <w:keepNext/>
              <w:jc w:val="center"/>
              <w:rPr>
                <w:rFonts w:ascii="Arial Narrow" w:hAnsi="Arial Narrow"/>
                <w:iCs/>
                <w:sz w:val="20"/>
                <w:szCs w:val="20"/>
              </w:rPr>
            </w:pPr>
            <w:r w:rsidRPr="00682FE6">
              <w:rPr>
                <w:rFonts w:ascii="Arial Narrow" w:hAnsi="Arial Narrow"/>
                <w:iCs/>
                <w:sz w:val="20"/>
                <w:szCs w:val="20"/>
              </w:rPr>
              <w:t>8 (3.7)</w:t>
            </w:r>
          </w:p>
        </w:tc>
        <w:tc>
          <w:tcPr>
            <w:tcW w:w="517" w:type="pct"/>
            <w:tcBorders>
              <w:top w:val="single" w:sz="4" w:space="0" w:color="auto"/>
            </w:tcBorders>
            <w:shd w:val="clear" w:color="auto" w:fill="FFFFFF"/>
          </w:tcPr>
          <w:p w14:paraId="63C5AED3" w14:textId="77777777" w:rsidR="005F6406" w:rsidRDefault="005F6406" w:rsidP="005F6406">
            <w:pPr>
              <w:keepNext/>
              <w:jc w:val="center"/>
              <w:rPr>
                <w:rFonts w:ascii="Arial Narrow" w:hAnsi="Arial Narrow"/>
                <w:iCs/>
                <w:sz w:val="20"/>
                <w:szCs w:val="20"/>
              </w:rPr>
            </w:pPr>
            <w:r w:rsidRPr="009E015E">
              <w:rPr>
                <w:rFonts w:ascii="Arial Narrow" w:hAnsi="Arial Narrow"/>
                <w:iCs/>
                <w:sz w:val="20"/>
                <w:szCs w:val="20"/>
              </w:rPr>
              <w:t xml:space="preserve">14 (7.8) </w:t>
            </w:r>
          </w:p>
          <w:p w14:paraId="31D0B277" w14:textId="77777777" w:rsidR="005F6406" w:rsidRDefault="005F6406" w:rsidP="005F6406">
            <w:pPr>
              <w:keepNext/>
              <w:jc w:val="center"/>
              <w:rPr>
                <w:rFonts w:ascii="Arial Narrow" w:hAnsi="Arial Narrow"/>
                <w:iCs/>
                <w:sz w:val="20"/>
                <w:szCs w:val="20"/>
              </w:rPr>
            </w:pPr>
            <w:r w:rsidRPr="009E015E">
              <w:rPr>
                <w:rFonts w:ascii="Arial Narrow" w:hAnsi="Arial Narrow"/>
                <w:iCs/>
                <w:sz w:val="20"/>
                <w:szCs w:val="20"/>
              </w:rPr>
              <w:t xml:space="preserve">9 (5.0) </w:t>
            </w:r>
          </w:p>
          <w:p w14:paraId="1D7C16B1" w14:textId="2E5B4298" w:rsidR="005F6406" w:rsidRPr="000F3327" w:rsidRDefault="005F6406" w:rsidP="005F6406">
            <w:pPr>
              <w:keepNext/>
              <w:jc w:val="center"/>
              <w:rPr>
                <w:rFonts w:ascii="Arial Narrow" w:hAnsi="Arial Narrow"/>
                <w:iCs/>
                <w:sz w:val="20"/>
                <w:szCs w:val="20"/>
              </w:rPr>
            </w:pPr>
            <w:r w:rsidRPr="009E015E">
              <w:rPr>
                <w:rFonts w:ascii="Arial Narrow" w:hAnsi="Arial Narrow"/>
                <w:iCs/>
                <w:sz w:val="20"/>
                <w:szCs w:val="20"/>
              </w:rPr>
              <w:t>5 (2.8)</w:t>
            </w:r>
          </w:p>
        </w:tc>
        <w:tc>
          <w:tcPr>
            <w:tcW w:w="517" w:type="pct"/>
            <w:tcBorders>
              <w:top w:val="single" w:sz="4" w:space="0" w:color="auto"/>
            </w:tcBorders>
            <w:shd w:val="clear" w:color="auto" w:fill="FFFFFF"/>
          </w:tcPr>
          <w:p w14:paraId="4039AECF" w14:textId="77777777" w:rsidR="005F6406" w:rsidRDefault="005F6406" w:rsidP="005F6406">
            <w:pPr>
              <w:keepNext/>
              <w:jc w:val="center"/>
              <w:rPr>
                <w:rFonts w:ascii="Arial Narrow" w:hAnsi="Arial Narrow"/>
                <w:iCs/>
                <w:sz w:val="20"/>
                <w:szCs w:val="20"/>
              </w:rPr>
            </w:pPr>
            <w:r w:rsidRPr="009E015E">
              <w:rPr>
                <w:rFonts w:ascii="Arial Narrow" w:hAnsi="Arial Narrow"/>
                <w:iCs/>
                <w:sz w:val="20"/>
                <w:szCs w:val="20"/>
              </w:rPr>
              <w:t>26 (14.5)</w:t>
            </w:r>
          </w:p>
          <w:p w14:paraId="7FF40C31" w14:textId="77777777" w:rsidR="005F6406" w:rsidRDefault="005F6406" w:rsidP="005F6406">
            <w:pPr>
              <w:keepNext/>
              <w:jc w:val="center"/>
              <w:rPr>
                <w:rFonts w:ascii="Arial Narrow" w:hAnsi="Arial Narrow"/>
                <w:iCs/>
                <w:sz w:val="20"/>
                <w:szCs w:val="20"/>
              </w:rPr>
            </w:pPr>
            <w:r w:rsidRPr="009E015E">
              <w:rPr>
                <w:rFonts w:ascii="Arial Narrow" w:hAnsi="Arial Narrow"/>
                <w:iCs/>
                <w:sz w:val="20"/>
                <w:szCs w:val="20"/>
              </w:rPr>
              <w:t xml:space="preserve">20 (11.2) </w:t>
            </w:r>
          </w:p>
          <w:p w14:paraId="05389938" w14:textId="5084C190" w:rsidR="005F6406" w:rsidRPr="000F3327" w:rsidRDefault="005F6406" w:rsidP="005F6406">
            <w:pPr>
              <w:keepNext/>
              <w:jc w:val="center"/>
              <w:rPr>
                <w:rFonts w:ascii="Arial Narrow" w:hAnsi="Arial Narrow"/>
                <w:iCs/>
                <w:sz w:val="20"/>
                <w:szCs w:val="20"/>
              </w:rPr>
            </w:pPr>
            <w:r w:rsidRPr="009E015E">
              <w:rPr>
                <w:rFonts w:ascii="Arial Narrow" w:hAnsi="Arial Narrow"/>
                <w:iCs/>
                <w:sz w:val="20"/>
                <w:szCs w:val="20"/>
              </w:rPr>
              <w:t>6 (3.4)</w:t>
            </w:r>
          </w:p>
        </w:tc>
        <w:tc>
          <w:tcPr>
            <w:tcW w:w="516" w:type="pct"/>
            <w:tcBorders>
              <w:top w:val="single" w:sz="4" w:space="0" w:color="auto"/>
            </w:tcBorders>
            <w:shd w:val="clear" w:color="auto" w:fill="FFFFFF"/>
          </w:tcPr>
          <w:p w14:paraId="50727CDE" w14:textId="77777777" w:rsidR="005F6406" w:rsidRDefault="005F6406" w:rsidP="005F6406">
            <w:pPr>
              <w:keepNext/>
              <w:jc w:val="center"/>
              <w:rPr>
                <w:rFonts w:ascii="Arial Narrow" w:hAnsi="Arial Narrow"/>
                <w:iCs/>
                <w:sz w:val="20"/>
                <w:szCs w:val="20"/>
              </w:rPr>
            </w:pPr>
            <w:r w:rsidRPr="005F6406">
              <w:rPr>
                <w:rFonts w:ascii="Arial Narrow" w:hAnsi="Arial Narrow"/>
                <w:iCs/>
                <w:sz w:val="20"/>
                <w:szCs w:val="20"/>
              </w:rPr>
              <w:t>93 (52.5)</w:t>
            </w:r>
          </w:p>
          <w:p w14:paraId="532D3C52" w14:textId="77777777" w:rsidR="005F6406" w:rsidRDefault="005F6406" w:rsidP="005F6406">
            <w:pPr>
              <w:keepNext/>
              <w:jc w:val="center"/>
              <w:rPr>
                <w:rFonts w:ascii="Arial Narrow" w:hAnsi="Arial Narrow"/>
                <w:iCs/>
                <w:sz w:val="20"/>
                <w:szCs w:val="20"/>
              </w:rPr>
            </w:pPr>
            <w:r w:rsidRPr="005F6406">
              <w:rPr>
                <w:rFonts w:ascii="Arial Narrow" w:hAnsi="Arial Narrow"/>
                <w:iCs/>
                <w:sz w:val="20"/>
                <w:szCs w:val="20"/>
              </w:rPr>
              <w:t>82 (46.3)</w:t>
            </w:r>
          </w:p>
          <w:p w14:paraId="70334312" w14:textId="096FF04E" w:rsidR="005F6406" w:rsidRPr="000F3327" w:rsidRDefault="005F6406" w:rsidP="005F6406">
            <w:pPr>
              <w:keepNext/>
              <w:jc w:val="center"/>
              <w:rPr>
                <w:rFonts w:ascii="Arial Narrow" w:hAnsi="Arial Narrow"/>
                <w:iCs/>
                <w:sz w:val="20"/>
                <w:szCs w:val="20"/>
              </w:rPr>
            </w:pPr>
            <w:r w:rsidRPr="005F6406">
              <w:rPr>
                <w:rFonts w:ascii="Arial Narrow" w:hAnsi="Arial Narrow"/>
                <w:iCs/>
                <w:sz w:val="20"/>
                <w:szCs w:val="20"/>
              </w:rPr>
              <w:t>11 (6.2)</w:t>
            </w:r>
          </w:p>
        </w:tc>
      </w:tr>
      <w:tr w:rsidR="00F82642" w:rsidRPr="000F3327" w14:paraId="48EC12E8" w14:textId="77777777" w:rsidTr="005F6406">
        <w:tc>
          <w:tcPr>
            <w:tcW w:w="858" w:type="pct"/>
            <w:vAlign w:val="center"/>
          </w:tcPr>
          <w:p w14:paraId="31057AF3" w14:textId="77777777" w:rsidR="00F82642" w:rsidRPr="000F3327" w:rsidRDefault="00F82642" w:rsidP="006A1BBC">
            <w:pPr>
              <w:keepNext/>
              <w:jc w:val="left"/>
              <w:rPr>
                <w:rFonts w:ascii="Arial Narrow" w:hAnsi="Arial Narrow"/>
                <w:iCs/>
                <w:sz w:val="20"/>
                <w:szCs w:val="20"/>
              </w:rPr>
            </w:pPr>
            <w:r w:rsidRPr="000F3327">
              <w:rPr>
                <w:rFonts w:ascii="Arial Narrow" w:hAnsi="Arial Narrow"/>
                <w:sz w:val="20"/>
                <w:szCs w:val="20"/>
              </w:rPr>
              <w:t>Median PFS, months (95% CI)</w:t>
            </w:r>
          </w:p>
        </w:tc>
        <w:tc>
          <w:tcPr>
            <w:tcW w:w="517" w:type="pct"/>
            <w:tcBorders>
              <w:top w:val="single" w:sz="4" w:space="0" w:color="auto"/>
            </w:tcBorders>
            <w:shd w:val="clear" w:color="auto" w:fill="FFFFFF"/>
            <w:vAlign w:val="center"/>
          </w:tcPr>
          <w:p w14:paraId="3A4A7CA4"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NE </w:t>
            </w:r>
          </w:p>
          <w:p w14:paraId="569C7A8A"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(NE, NE)</w:t>
            </w:r>
          </w:p>
        </w:tc>
        <w:tc>
          <w:tcPr>
            <w:tcW w:w="523" w:type="pct"/>
            <w:tcBorders>
              <w:top w:val="single" w:sz="4" w:space="0" w:color="auto"/>
            </w:tcBorders>
            <w:shd w:val="clear" w:color="auto" w:fill="FFFFFF"/>
            <w:vAlign w:val="center"/>
          </w:tcPr>
          <w:p w14:paraId="4C15ED9A"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NE </w:t>
            </w:r>
          </w:p>
          <w:p w14:paraId="00491540"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(NE, NE)</w:t>
            </w:r>
          </w:p>
        </w:tc>
        <w:tc>
          <w:tcPr>
            <w:tcW w:w="518" w:type="pct"/>
            <w:tcBorders>
              <w:top w:val="single" w:sz="4" w:space="0" w:color="auto"/>
            </w:tcBorders>
            <w:shd w:val="clear" w:color="auto" w:fill="FFFFFF"/>
            <w:vAlign w:val="center"/>
          </w:tcPr>
          <w:p w14:paraId="0EC0E5BC"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33.7 </w:t>
            </w:r>
          </w:p>
          <w:p w14:paraId="193A1A98"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(28.1, NE)</w:t>
            </w:r>
          </w:p>
        </w:tc>
        <w:tc>
          <w:tcPr>
            <w:tcW w:w="517" w:type="pct"/>
            <w:shd w:val="clear" w:color="auto" w:fill="FFFFFF"/>
          </w:tcPr>
          <w:p w14:paraId="651AEB07"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NE </w:t>
            </w:r>
          </w:p>
          <w:p w14:paraId="54B74536"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(NE, NE) </w:t>
            </w:r>
          </w:p>
        </w:tc>
        <w:tc>
          <w:tcPr>
            <w:tcW w:w="518" w:type="pct"/>
            <w:shd w:val="clear" w:color="auto" w:fill="FFFFFF"/>
          </w:tcPr>
          <w:p w14:paraId="15E71A96"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NE </w:t>
            </w:r>
          </w:p>
          <w:p w14:paraId="5DF3AA88"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(31.1, NE)</w:t>
            </w:r>
          </w:p>
        </w:tc>
        <w:tc>
          <w:tcPr>
            <w:tcW w:w="517" w:type="pct"/>
            <w:shd w:val="clear" w:color="auto" w:fill="FFFFFF"/>
          </w:tcPr>
          <w:p w14:paraId="67E20C87"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NE </w:t>
            </w:r>
          </w:p>
          <w:p w14:paraId="6607912D"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(NE, NE)</w:t>
            </w:r>
          </w:p>
        </w:tc>
        <w:tc>
          <w:tcPr>
            <w:tcW w:w="517" w:type="pct"/>
            <w:shd w:val="clear" w:color="auto" w:fill="FFFFFF"/>
          </w:tcPr>
          <w:p w14:paraId="4B594809"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NE </w:t>
            </w:r>
          </w:p>
          <w:p w14:paraId="3B2D4F32"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(34.2, NE)</w:t>
            </w:r>
          </w:p>
        </w:tc>
        <w:tc>
          <w:tcPr>
            <w:tcW w:w="516" w:type="pct"/>
            <w:shd w:val="clear" w:color="auto" w:fill="FFFFFF"/>
          </w:tcPr>
          <w:p w14:paraId="54440768"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 xml:space="preserve">22.6 </w:t>
            </w:r>
          </w:p>
          <w:p w14:paraId="50DCFD3E" w14:textId="77777777" w:rsidR="00F82642" w:rsidRPr="0095356B" w:rsidRDefault="00F82642" w:rsidP="006A1BBC">
            <w:pPr>
              <w:keepNext/>
              <w:jc w:val="center"/>
              <w:rPr>
                <w:rFonts w:ascii="Arial Narrow" w:hAnsi="Arial Narrow"/>
                <w:iCs/>
                <w:sz w:val="20"/>
                <w:szCs w:val="20"/>
              </w:rPr>
            </w:pPr>
            <w:r w:rsidRPr="0095356B">
              <w:rPr>
                <w:rFonts w:ascii="Arial Narrow" w:hAnsi="Arial Narrow"/>
                <w:iCs/>
                <w:sz w:val="20"/>
                <w:szCs w:val="20"/>
              </w:rPr>
              <w:t>(20.2, 27.6)</w:t>
            </w:r>
          </w:p>
        </w:tc>
      </w:tr>
      <w:tr w:rsidR="00F82642" w:rsidRPr="000F3327" w14:paraId="4C5BB676" w14:textId="77777777" w:rsidTr="005F6406">
        <w:tc>
          <w:tcPr>
            <w:tcW w:w="858" w:type="pct"/>
          </w:tcPr>
          <w:p w14:paraId="239E30E4" w14:textId="77777777" w:rsidR="00F82642" w:rsidRPr="000F3327" w:rsidRDefault="00F82642" w:rsidP="006A1BBC">
            <w:pPr>
              <w:keepNext/>
              <w:jc w:val="left"/>
              <w:rPr>
                <w:rFonts w:ascii="Arial Narrow" w:hAnsi="Arial Narrow"/>
                <w:sz w:val="20"/>
                <w:szCs w:val="20"/>
              </w:rPr>
            </w:pPr>
            <w:r w:rsidRPr="000F3327">
              <w:rPr>
                <w:rFonts w:ascii="Arial Narrow" w:hAnsi="Arial Narrow"/>
                <w:sz w:val="20"/>
                <w:szCs w:val="20"/>
              </w:rPr>
              <w:t>HR vs comparator (95% CI)</w:t>
            </w:r>
          </w:p>
        </w:tc>
        <w:tc>
          <w:tcPr>
            <w:tcW w:w="517" w:type="pct"/>
            <w:shd w:val="clear" w:color="auto" w:fill="FFFFFF"/>
            <w:vAlign w:val="center"/>
          </w:tcPr>
          <w:p w14:paraId="06C64FCE" w14:textId="77777777" w:rsidR="00F82642" w:rsidRPr="00362208" w:rsidRDefault="00F82642" w:rsidP="006A1BBC">
            <w:pPr>
              <w:keepNext/>
              <w:jc w:val="center"/>
              <w:rPr>
                <w:rFonts w:ascii="Arial Narrow" w:hAnsi="Arial Narrow"/>
                <w:b/>
                <w:bCs/>
                <w:iCs/>
                <w:sz w:val="20"/>
                <w:szCs w:val="20"/>
              </w:rPr>
            </w:pPr>
            <w:r w:rsidRPr="00362208">
              <w:rPr>
                <w:rFonts w:ascii="Arial Narrow" w:hAnsi="Arial Narrow"/>
                <w:b/>
                <w:bCs/>
                <w:iCs/>
                <w:sz w:val="20"/>
                <w:szCs w:val="20"/>
              </w:rPr>
              <w:t xml:space="preserve">0.42 </w:t>
            </w:r>
          </w:p>
          <w:p w14:paraId="00F0556D" w14:textId="77777777" w:rsidR="00F82642" w:rsidRPr="00362208" w:rsidRDefault="00F82642" w:rsidP="006A1BBC">
            <w:pPr>
              <w:keepNext/>
              <w:jc w:val="center"/>
              <w:rPr>
                <w:rFonts w:ascii="Arial Narrow" w:hAnsi="Arial Narrow"/>
                <w:b/>
                <w:bCs/>
                <w:iCs/>
                <w:sz w:val="20"/>
                <w:szCs w:val="20"/>
              </w:rPr>
            </w:pPr>
            <w:r w:rsidRPr="00362208">
              <w:rPr>
                <w:rFonts w:ascii="Arial Narrow" w:hAnsi="Arial Narrow"/>
                <w:b/>
                <w:bCs/>
                <w:iCs/>
                <w:sz w:val="20"/>
                <w:szCs w:val="20"/>
              </w:rPr>
              <w:t>(0.28, 0.63)</w:t>
            </w:r>
          </w:p>
        </w:tc>
        <w:tc>
          <w:tcPr>
            <w:tcW w:w="523" w:type="pct"/>
            <w:shd w:val="clear" w:color="auto" w:fill="FFFFFF"/>
            <w:vAlign w:val="center"/>
          </w:tcPr>
          <w:p w14:paraId="1F09E3EE" w14:textId="77777777" w:rsidR="00F82642" w:rsidRPr="003B7939" w:rsidRDefault="00F82642" w:rsidP="006A1BBC">
            <w:pPr>
              <w:keepNext/>
              <w:jc w:val="center"/>
              <w:rPr>
                <w:rFonts w:ascii="Arial Narrow" w:hAnsi="Arial Narrow"/>
                <w:iCs/>
                <w:sz w:val="20"/>
                <w:szCs w:val="20"/>
              </w:rPr>
            </w:pPr>
            <w:r>
              <w:rPr>
                <w:rFonts w:ascii="Arial Narrow" w:hAnsi="Arial Narrow"/>
                <w:iCs/>
                <w:sz w:val="20"/>
                <w:szCs w:val="20"/>
              </w:rPr>
              <w:t>-</w:t>
            </w:r>
          </w:p>
        </w:tc>
        <w:tc>
          <w:tcPr>
            <w:tcW w:w="518" w:type="pct"/>
            <w:shd w:val="clear" w:color="auto" w:fill="FFFFFF"/>
            <w:vAlign w:val="center"/>
          </w:tcPr>
          <w:p w14:paraId="5979F72E" w14:textId="77777777" w:rsidR="00F82642" w:rsidRPr="000F3327" w:rsidRDefault="00F82642" w:rsidP="006A1BBC">
            <w:pPr>
              <w:keepNext/>
              <w:jc w:val="center"/>
              <w:rPr>
                <w:rFonts w:ascii="Arial Narrow" w:hAnsi="Arial Narrow"/>
                <w:iCs/>
                <w:sz w:val="20"/>
                <w:szCs w:val="20"/>
              </w:rPr>
            </w:pPr>
            <w:r>
              <w:rPr>
                <w:rFonts w:ascii="Arial Narrow" w:hAnsi="Arial Narrow"/>
                <w:iCs/>
                <w:sz w:val="20"/>
                <w:szCs w:val="20"/>
              </w:rPr>
              <w:t>-</w:t>
            </w:r>
          </w:p>
        </w:tc>
        <w:tc>
          <w:tcPr>
            <w:tcW w:w="517" w:type="pct"/>
            <w:shd w:val="clear" w:color="auto" w:fill="FFFFFF"/>
            <w:vAlign w:val="center"/>
          </w:tcPr>
          <w:p w14:paraId="370C7D43" w14:textId="77777777" w:rsidR="00F82642" w:rsidRDefault="00F82642" w:rsidP="006A1BBC">
            <w:pPr>
              <w:keepNext/>
              <w:jc w:val="center"/>
              <w:rPr>
                <w:rFonts w:ascii="Arial Narrow" w:hAnsi="Arial Narrow"/>
                <w:b/>
                <w:bCs/>
                <w:iCs/>
                <w:sz w:val="20"/>
                <w:szCs w:val="20"/>
              </w:rPr>
            </w:pPr>
            <w:r w:rsidRPr="00991947">
              <w:rPr>
                <w:rFonts w:ascii="Arial Narrow" w:hAnsi="Arial Narrow"/>
                <w:b/>
                <w:bCs/>
                <w:iCs/>
                <w:sz w:val="20"/>
                <w:szCs w:val="20"/>
              </w:rPr>
              <w:t>0.3</w:t>
            </w:r>
            <w:r>
              <w:rPr>
                <w:rFonts w:ascii="Arial Narrow" w:hAnsi="Arial Narrow"/>
                <w:b/>
                <w:bCs/>
                <w:iCs/>
                <w:sz w:val="20"/>
                <w:szCs w:val="20"/>
              </w:rPr>
              <w:t>3</w:t>
            </w:r>
          </w:p>
          <w:p w14:paraId="752E3187" w14:textId="77777777" w:rsidR="00F82642" w:rsidRPr="000F3327" w:rsidRDefault="00F82642" w:rsidP="006A1BBC">
            <w:pPr>
              <w:keepNext/>
              <w:jc w:val="center"/>
              <w:rPr>
                <w:rFonts w:ascii="Arial Narrow" w:hAnsi="Arial Narrow"/>
                <w:b/>
                <w:bCs/>
                <w:iCs/>
                <w:sz w:val="20"/>
                <w:szCs w:val="20"/>
              </w:rPr>
            </w:pPr>
            <w:r>
              <w:rPr>
                <w:rFonts w:ascii="Arial Narrow" w:hAnsi="Arial Narrow"/>
                <w:b/>
                <w:bCs/>
                <w:iCs/>
                <w:sz w:val="20"/>
                <w:szCs w:val="20"/>
              </w:rPr>
              <w:t>(</w:t>
            </w:r>
            <w:r w:rsidRPr="00991947">
              <w:rPr>
                <w:rFonts w:ascii="Arial Narrow" w:hAnsi="Arial Narrow"/>
                <w:b/>
                <w:bCs/>
                <w:iCs/>
                <w:sz w:val="20"/>
                <w:szCs w:val="20"/>
              </w:rPr>
              <w:t>0.2</w:t>
            </w:r>
            <w:r>
              <w:rPr>
                <w:rFonts w:ascii="Arial Narrow" w:hAnsi="Arial Narrow"/>
                <w:b/>
                <w:bCs/>
                <w:iCs/>
                <w:sz w:val="20"/>
                <w:szCs w:val="20"/>
              </w:rPr>
              <w:t>2,</w:t>
            </w:r>
            <w:r w:rsidRPr="00991947">
              <w:rPr>
                <w:rFonts w:ascii="Arial Narrow" w:hAnsi="Arial Narrow"/>
                <w:b/>
                <w:bCs/>
                <w:iCs/>
                <w:sz w:val="20"/>
                <w:szCs w:val="20"/>
              </w:rPr>
              <w:t xml:space="preserve"> 0.5</w:t>
            </w:r>
            <w:r>
              <w:rPr>
                <w:rFonts w:ascii="Arial Narrow" w:hAnsi="Arial Narrow"/>
                <w:b/>
                <w:bCs/>
                <w:iCs/>
                <w:sz w:val="20"/>
                <w:szCs w:val="20"/>
              </w:rPr>
              <w:t>1)</w:t>
            </w:r>
          </w:p>
        </w:tc>
        <w:tc>
          <w:tcPr>
            <w:tcW w:w="518" w:type="pct"/>
            <w:shd w:val="clear" w:color="auto" w:fill="FFFFFF"/>
            <w:vAlign w:val="center"/>
          </w:tcPr>
          <w:p w14:paraId="082EFF1C" w14:textId="77777777" w:rsidR="00F82642" w:rsidRPr="000F3327" w:rsidRDefault="00F82642" w:rsidP="006A1BBC">
            <w:pPr>
              <w:keepNext/>
              <w:jc w:val="center"/>
              <w:rPr>
                <w:rFonts w:ascii="Arial Narrow" w:hAnsi="Arial Narrow"/>
                <w:iCs/>
                <w:sz w:val="20"/>
                <w:szCs w:val="20"/>
              </w:rPr>
            </w:pPr>
            <w:r>
              <w:rPr>
                <w:rFonts w:ascii="Arial Narrow" w:hAnsi="Arial Narrow"/>
                <w:iCs/>
                <w:sz w:val="20"/>
                <w:szCs w:val="20"/>
              </w:rPr>
              <w:t>-</w:t>
            </w:r>
          </w:p>
        </w:tc>
        <w:tc>
          <w:tcPr>
            <w:tcW w:w="517" w:type="pct"/>
            <w:shd w:val="clear" w:color="auto" w:fill="FFFFFF"/>
          </w:tcPr>
          <w:p w14:paraId="0DFD7A6A" w14:textId="77777777" w:rsidR="00F82642" w:rsidRDefault="00F82642" w:rsidP="006A1BBC">
            <w:pPr>
              <w:keepNext/>
              <w:jc w:val="center"/>
              <w:rPr>
                <w:rFonts w:ascii="Arial Narrow" w:hAnsi="Arial Narrow"/>
                <w:b/>
                <w:bCs/>
                <w:iCs/>
                <w:sz w:val="20"/>
                <w:szCs w:val="20"/>
              </w:rPr>
            </w:pPr>
            <w:r>
              <w:rPr>
                <w:rFonts w:ascii="Arial Narrow" w:hAnsi="Arial Narrow"/>
                <w:b/>
                <w:bCs/>
                <w:iCs/>
                <w:sz w:val="20"/>
                <w:szCs w:val="20"/>
              </w:rPr>
              <w:t xml:space="preserve">0.1 </w:t>
            </w:r>
          </w:p>
          <w:p w14:paraId="504DF28C" w14:textId="77777777" w:rsidR="00F82642" w:rsidRPr="00CA29B6" w:rsidRDefault="00F82642" w:rsidP="006A1BBC">
            <w:pPr>
              <w:keepNext/>
              <w:jc w:val="center"/>
              <w:rPr>
                <w:rFonts w:ascii="Arial Narrow" w:hAnsi="Arial Narrow"/>
                <w:b/>
                <w:bCs/>
                <w:iCs/>
                <w:sz w:val="20"/>
                <w:szCs w:val="20"/>
              </w:rPr>
            </w:pPr>
            <w:r>
              <w:rPr>
                <w:rFonts w:ascii="Arial Narrow" w:hAnsi="Arial Narrow"/>
                <w:b/>
                <w:bCs/>
                <w:iCs/>
                <w:sz w:val="20"/>
                <w:szCs w:val="20"/>
              </w:rPr>
              <w:t>(0.06, 0.17)</w:t>
            </w:r>
          </w:p>
        </w:tc>
        <w:tc>
          <w:tcPr>
            <w:tcW w:w="517" w:type="pct"/>
            <w:shd w:val="clear" w:color="auto" w:fill="FFFFFF"/>
          </w:tcPr>
          <w:p w14:paraId="595ECDFC" w14:textId="77777777" w:rsidR="00F82642" w:rsidRDefault="00F82642" w:rsidP="006A1BBC">
            <w:pPr>
              <w:keepNext/>
              <w:jc w:val="center"/>
              <w:rPr>
                <w:rFonts w:ascii="Arial Narrow" w:hAnsi="Arial Narrow"/>
                <w:b/>
                <w:bCs/>
                <w:iCs/>
                <w:sz w:val="20"/>
                <w:szCs w:val="20"/>
              </w:rPr>
            </w:pPr>
            <w:r w:rsidRPr="00CA29B6">
              <w:rPr>
                <w:rFonts w:ascii="Arial Narrow" w:hAnsi="Arial Narrow"/>
                <w:b/>
                <w:bCs/>
                <w:iCs/>
                <w:sz w:val="20"/>
                <w:szCs w:val="20"/>
              </w:rPr>
              <w:t xml:space="preserve">0.2 </w:t>
            </w:r>
          </w:p>
          <w:p w14:paraId="25111052" w14:textId="2662A400" w:rsidR="00F82642" w:rsidRPr="000F3327" w:rsidRDefault="00F82642" w:rsidP="006A1BBC">
            <w:pPr>
              <w:keepNext/>
              <w:jc w:val="center"/>
              <w:rPr>
                <w:rFonts w:ascii="Arial Narrow" w:hAnsi="Arial Narrow"/>
                <w:iCs/>
                <w:sz w:val="20"/>
                <w:szCs w:val="20"/>
              </w:rPr>
            </w:pPr>
            <w:r w:rsidRPr="00CA29B6">
              <w:rPr>
                <w:rFonts w:ascii="Arial Narrow" w:hAnsi="Arial Narrow"/>
                <w:b/>
                <w:bCs/>
                <w:iCs/>
                <w:sz w:val="20"/>
                <w:szCs w:val="20"/>
              </w:rPr>
              <w:t>(0.13, 0.3</w:t>
            </w:r>
            <w:r w:rsidR="005F6406">
              <w:rPr>
                <w:rFonts w:ascii="Arial Narrow" w:hAnsi="Arial Narrow"/>
                <w:b/>
                <w:bCs/>
                <w:iCs/>
                <w:sz w:val="20"/>
                <w:szCs w:val="20"/>
              </w:rPr>
              <w:t>0</w:t>
            </w:r>
            <w:r w:rsidRPr="00CA29B6">
              <w:rPr>
                <w:rFonts w:ascii="Arial Narrow" w:hAnsi="Arial Narrow"/>
                <w:b/>
                <w:bCs/>
                <w:iCs/>
                <w:sz w:val="20"/>
                <w:szCs w:val="20"/>
              </w:rPr>
              <w:t>)</w:t>
            </w:r>
          </w:p>
        </w:tc>
        <w:tc>
          <w:tcPr>
            <w:tcW w:w="516" w:type="pct"/>
            <w:shd w:val="clear" w:color="auto" w:fill="FFFFFF"/>
            <w:vAlign w:val="center"/>
          </w:tcPr>
          <w:p w14:paraId="1AABD01D" w14:textId="77777777" w:rsidR="00F82642" w:rsidRPr="000F3327" w:rsidRDefault="00F82642" w:rsidP="006A1BBC">
            <w:pPr>
              <w:keepNext/>
              <w:jc w:val="center"/>
              <w:rPr>
                <w:rFonts w:ascii="Arial Narrow" w:hAnsi="Arial Narrow"/>
                <w:iCs/>
                <w:sz w:val="20"/>
                <w:szCs w:val="20"/>
              </w:rPr>
            </w:pPr>
            <w:r>
              <w:rPr>
                <w:rFonts w:ascii="Arial Narrow" w:hAnsi="Arial Narrow"/>
                <w:iCs/>
                <w:sz w:val="20"/>
                <w:szCs w:val="20"/>
              </w:rPr>
              <w:t>-</w:t>
            </w:r>
          </w:p>
        </w:tc>
      </w:tr>
      <w:tr w:rsidR="00F82642" w:rsidRPr="000F3327" w14:paraId="20E2426C" w14:textId="77777777" w:rsidTr="005F6406">
        <w:trPr>
          <w:trHeight w:val="814"/>
        </w:trPr>
        <w:tc>
          <w:tcPr>
            <w:tcW w:w="858" w:type="pct"/>
          </w:tcPr>
          <w:p w14:paraId="7573A31B" w14:textId="77777777" w:rsidR="00F82642" w:rsidRPr="000F3327" w:rsidRDefault="00F82642" w:rsidP="006A1BBC">
            <w:pPr>
              <w:keepNext/>
              <w:widowControl w:val="0"/>
              <w:jc w:val="left"/>
              <w:rPr>
                <w:rFonts w:ascii="Arial Narrow" w:hAnsi="Arial Narrow"/>
                <w:snapToGrid w:val="0"/>
                <w:sz w:val="20"/>
                <w:szCs w:val="20"/>
              </w:rPr>
            </w:pPr>
            <w:r w:rsidRPr="000F3327">
              <w:rPr>
                <w:rFonts w:ascii="Arial Narrow" w:hAnsi="Arial Narrow"/>
                <w:snapToGrid w:val="0"/>
                <w:sz w:val="20"/>
                <w:szCs w:val="20"/>
              </w:rPr>
              <w:t>KM estimate of PFS</w:t>
            </w:r>
          </w:p>
          <w:p w14:paraId="704545A1" w14:textId="77777777" w:rsidR="00F82642" w:rsidRPr="000F3327" w:rsidRDefault="00F82642" w:rsidP="006A1BBC">
            <w:pPr>
              <w:keepNext/>
              <w:widowControl w:val="0"/>
              <w:jc w:val="left"/>
              <w:rPr>
                <w:rFonts w:ascii="Arial Narrow" w:hAnsi="Arial Narrow"/>
                <w:snapToGrid w:val="0"/>
                <w:sz w:val="20"/>
                <w:szCs w:val="20"/>
              </w:rPr>
            </w:pPr>
            <w:r w:rsidRPr="000F3327">
              <w:rPr>
                <w:rFonts w:ascii="Arial Narrow" w:hAnsi="Arial Narrow"/>
                <w:snapToGrid w:val="0"/>
                <w:sz w:val="20"/>
                <w:szCs w:val="20"/>
              </w:rPr>
              <w:t>- 12 months, % (95% CI)</w:t>
            </w:r>
          </w:p>
          <w:p w14:paraId="2C8D3763" w14:textId="77777777" w:rsidR="00F82642" w:rsidRPr="000F3327" w:rsidRDefault="00F82642" w:rsidP="006A1BBC">
            <w:pPr>
              <w:keepNext/>
              <w:jc w:val="left"/>
              <w:rPr>
                <w:rFonts w:ascii="Arial Narrow" w:hAnsi="Arial Narrow"/>
                <w:snapToGrid w:val="0"/>
                <w:sz w:val="20"/>
                <w:szCs w:val="20"/>
              </w:rPr>
            </w:pPr>
            <w:r w:rsidRPr="000F3327">
              <w:rPr>
                <w:rFonts w:ascii="Arial Narrow" w:hAnsi="Arial Narrow"/>
                <w:snapToGrid w:val="0"/>
                <w:sz w:val="20"/>
                <w:szCs w:val="20"/>
              </w:rPr>
              <w:t>- 24 months, % (95% CI)</w:t>
            </w:r>
          </w:p>
        </w:tc>
        <w:tc>
          <w:tcPr>
            <w:tcW w:w="517" w:type="pct"/>
            <w:shd w:val="clear" w:color="auto" w:fill="FFFFFF"/>
          </w:tcPr>
          <w:p w14:paraId="40929B38" w14:textId="77777777" w:rsidR="00F82642" w:rsidRPr="000F3327" w:rsidRDefault="00F82642" w:rsidP="006A1BBC">
            <w:pPr>
              <w:keepNext/>
              <w:jc w:val="center"/>
              <w:rPr>
                <w:rFonts w:ascii="Arial Narrow" w:hAnsi="Arial Narrow"/>
                <w:iCs/>
                <w:sz w:val="20"/>
                <w:szCs w:val="20"/>
              </w:rPr>
            </w:pPr>
          </w:p>
          <w:p w14:paraId="53598D68" w14:textId="77777777" w:rsidR="00F82642" w:rsidRDefault="00F82642" w:rsidP="006A1BBC">
            <w:pPr>
              <w:keepNext/>
              <w:jc w:val="center"/>
              <w:rPr>
                <w:rFonts w:ascii="Arial Narrow" w:hAnsi="Arial Narrow"/>
                <w:iCs/>
                <w:sz w:val="20"/>
                <w:szCs w:val="20"/>
              </w:rPr>
            </w:pPr>
            <w:r w:rsidRPr="003F394B">
              <w:rPr>
                <w:rFonts w:ascii="Arial Narrow" w:hAnsi="Arial Narrow"/>
                <w:iCs/>
                <w:sz w:val="20"/>
                <w:szCs w:val="20"/>
              </w:rPr>
              <w:t xml:space="preserve">94.5 </w:t>
            </w:r>
          </w:p>
          <w:p w14:paraId="2D92B55C" w14:textId="77777777" w:rsidR="00F82642" w:rsidRDefault="00F82642" w:rsidP="006A1BBC">
            <w:pPr>
              <w:keepNext/>
              <w:jc w:val="center"/>
              <w:rPr>
                <w:rFonts w:ascii="Arial Narrow" w:hAnsi="Arial Narrow"/>
                <w:iCs/>
                <w:sz w:val="20"/>
                <w:szCs w:val="20"/>
              </w:rPr>
            </w:pPr>
            <w:r w:rsidRPr="003F394B">
              <w:rPr>
                <w:rFonts w:ascii="Arial Narrow" w:hAnsi="Arial Narrow"/>
                <w:iCs/>
                <w:sz w:val="20"/>
                <w:szCs w:val="20"/>
              </w:rPr>
              <w:t>(90.8, 96.8)</w:t>
            </w:r>
          </w:p>
          <w:p w14:paraId="70445772" w14:textId="77777777" w:rsidR="00F82642" w:rsidRDefault="00F82642" w:rsidP="006A1BBC">
            <w:pPr>
              <w:keepNext/>
              <w:jc w:val="center"/>
              <w:rPr>
                <w:rFonts w:ascii="Arial Narrow" w:hAnsi="Arial Narrow"/>
                <w:iCs/>
                <w:sz w:val="20"/>
                <w:szCs w:val="20"/>
              </w:rPr>
            </w:pPr>
            <w:r w:rsidRPr="003F394B">
              <w:rPr>
                <w:rFonts w:ascii="Arial Narrow" w:hAnsi="Arial Narrow"/>
                <w:iCs/>
                <w:sz w:val="20"/>
                <w:szCs w:val="20"/>
              </w:rPr>
              <w:t xml:space="preserve">85.5 </w:t>
            </w:r>
          </w:p>
          <w:p w14:paraId="08DBA621" w14:textId="77777777" w:rsidR="00F82642" w:rsidRPr="000F3327" w:rsidRDefault="00F82642" w:rsidP="006A1BBC">
            <w:pPr>
              <w:keepNext/>
              <w:jc w:val="center"/>
              <w:rPr>
                <w:rFonts w:ascii="Arial Narrow" w:hAnsi="Arial Narrow"/>
                <w:iCs/>
                <w:sz w:val="20"/>
                <w:szCs w:val="20"/>
              </w:rPr>
            </w:pPr>
            <w:r w:rsidRPr="003F394B">
              <w:rPr>
                <w:rFonts w:ascii="Arial Narrow" w:hAnsi="Arial Narrow"/>
                <w:iCs/>
                <w:sz w:val="20"/>
                <w:szCs w:val="20"/>
              </w:rPr>
              <w:t>(80.1, 89.6)</w:t>
            </w:r>
          </w:p>
        </w:tc>
        <w:tc>
          <w:tcPr>
            <w:tcW w:w="523" w:type="pct"/>
            <w:shd w:val="clear" w:color="auto" w:fill="FFFFFF"/>
          </w:tcPr>
          <w:p w14:paraId="6D810140" w14:textId="77777777" w:rsidR="00F82642" w:rsidRPr="000F3327" w:rsidRDefault="00F82642" w:rsidP="006A1BBC">
            <w:pPr>
              <w:keepNext/>
              <w:jc w:val="center"/>
              <w:rPr>
                <w:rFonts w:ascii="Arial Narrow" w:hAnsi="Arial Narrow"/>
                <w:iCs/>
                <w:sz w:val="20"/>
                <w:szCs w:val="20"/>
              </w:rPr>
            </w:pPr>
          </w:p>
          <w:p w14:paraId="0919D61C" w14:textId="77777777" w:rsidR="00F82642" w:rsidRDefault="00F82642" w:rsidP="006A1BBC">
            <w:pPr>
              <w:keepNext/>
              <w:jc w:val="center"/>
              <w:rPr>
                <w:rFonts w:ascii="Arial Narrow" w:hAnsi="Arial Narrow"/>
                <w:iCs/>
                <w:sz w:val="20"/>
                <w:szCs w:val="20"/>
              </w:rPr>
            </w:pPr>
            <w:r w:rsidRPr="003B7939">
              <w:rPr>
                <w:rFonts w:ascii="Arial Narrow" w:hAnsi="Arial Narrow"/>
                <w:iCs/>
                <w:sz w:val="20"/>
                <w:szCs w:val="20"/>
              </w:rPr>
              <w:t xml:space="preserve">93.6 </w:t>
            </w:r>
          </w:p>
          <w:p w14:paraId="3F37AC57" w14:textId="77777777" w:rsidR="00F82642" w:rsidRDefault="00F82642" w:rsidP="006A1BBC">
            <w:pPr>
              <w:keepNext/>
              <w:jc w:val="center"/>
              <w:rPr>
                <w:rFonts w:ascii="Arial Narrow" w:hAnsi="Arial Narrow"/>
                <w:iCs/>
                <w:sz w:val="20"/>
                <w:szCs w:val="20"/>
              </w:rPr>
            </w:pPr>
            <w:r w:rsidRPr="003B7939">
              <w:rPr>
                <w:rFonts w:ascii="Arial Narrow" w:hAnsi="Arial Narrow"/>
                <w:iCs/>
                <w:sz w:val="20"/>
                <w:szCs w:val="20"/>
              </w:rPr>
              <w:t>(87.0, 96.9)</w:t>
            </w:r>
          </w:p>
          <w:p w14:paraId="55DB59F9" w14:textId="77777777" w:rsidR="00F82642" w:rsidRDefault="00F82642" w:rsidP="006A1BBC">
            <w:pPr>
              <w:keepNext/>
              <w:jc w:val="center"/>
              <w:rPr>
                <w:rFonts w:ascii="Arial Narrow" w:hAnsi="Arial Narrow"/>
                <w:iCs/>
                <w:sz w:val="20"/>
                <w:szCs w:val="20"/>
              </w:rPr>
            </w:pPr>
            <w:r w:rsidRPr="003B7939">
              <w:rPr>
                <w:rFonts w:ascii="Arial Narrow" w:hAnsi="Arial Narrow"/>
                <w:iCs/>
                <w:sz w:val="20"/>
                <w:szCs w:val="20"/>
              </w:rPr>
              <w:t xml:space="preserve">88.9 </w:t>
            </w:r>
          </w:p>
          <w:p w14:paraId="5B179386" w14:textId="77777777" w:rsidR="00F82642" w:rsidRPr="000F3327" w:rsidRDefault="00F82642" w:rsidP="006A1BBC">
            <w:pPr>
              <w:keepNext/>
              <w:jc w:val="center"/>
              <w:rPr>
                <w:rFonts w:ascii="Arial Narrow" w:hAnsi="Arial Narrow"/>
                <w:iCs/>
                <w:sz w:val="20"/>
                <w:szCs w:val="20"/>
              </w:rPr>
            </w:pPr>
            <w:r w:rsidRPr="003B7939">
              <w:rPr>
                <w:rFonts w:ascii="Arial Narrow" w:hAnsi="Arial Narrow"/>
                <w:iCs/>
                <w:sz w:val="20"/>
                <w:szCs w:val="20"/>
              </w:rPr>
              <w:t>(81.3, 93.6)</w:t>
            </w:r>
          </w:p>
        </w:tc>
        <w:tc>
          <w:tcPr>
            <w:tcW w:w="518" w:type="pct"/>
            <w:shd w:val="clear" w:color="auto" w:fill="FFFFFF"/>
          </w:tcPr>
          <w:p w14:paraId="3283755D" w14:textId="77777777" w:rsidR="00F82642" w:rsidRPr="000F3327" w:rsidRDefault="00F82642" w:rsidP="006A1BBC">
            <w:pPr>
              <w:keepNext/>
              <w:jc w:val="center"/>
              <w:rPr>
                <w:rFonts w:ascii="Arial Narrow" w:hAnsi="Arial Narrow"/>
                <w:iCs/>
                <w:sz w:val="20"/>
                <w:szCs w:val="20"/>
              </w:rPr>
            </w:pPr>
          </w:p>
          <w:p w14:paraId="783A4A06" w14:textId="77777777" w:rsidR="00F82642" w:rsidRDefault="00F82642" w:rsidP="006A1BBC">
            <w:pPr>
              <w:keepNext/>
              <w:jc w:val="center"/>
              <w:rPr>
                <w:rFonts w:ascii="Arial Narrow" w:hAnsi="Arial Narrow"/>
                <w:iCs/>
                <w:sz w:val="20"/>
                <w:szCs w:val="20"/>
              </w:rPr>
            </w:pPr>
            <w:r w:rsidRPr="007E3BB0">
              <w:rPr>
                <w:rFonts w:ascii="Arial Narrow" w:hAnsi="Arial Narrow"/>
                <w:iCs/>
                <w:sz w:val="20"/>
                <w:szCs w:val="20"/>
              </w:rPr>
              <w:t xml:space="preserve">90.2 </w:t>
            </w:r>
          </w:p>
          <w:p w14:paraId="6F36AED4" w14:textId="77777777" w:rsidR="00F82642" w:rsidRDefault="00F82642" w:rsidP="006A1BBC">
            <w:pPr>
              <w:keepNext/>
              <w:jc w:val="center"/>
              <w:rPr>
                <w:rFonts w:ascii="Arial Narrow" w:hAnsi="Arial Narrow"/>
                <w:iCs/>
                <w:sz w:val="20"/>
                <w:szCs w:val="20"/>
              </w:rPr>
            </w:pPr>
            <w:r w:rsidRPr="007E3BB0">
              <w:rPr>
                <w:rFonts w:ascii="Arial Narrow" w:hAnsi="Arial Narrow"/>
                <w:iCs/>
                <w:sz w:val="20"/>
                <w:szCs w:val="20"/>
              </w:rPr>
              <w:t>(85.4, 93.5)</w:t>
            </w:r>
            <w:r>
              <w:rPr>
                <w:rFonts w:ascii="Arial Narrow" w:hAnsi="Arial Narrow"/>
                <w:iCs/>
                <w:sz w:val="20"/>
                <w:szCs w:val="20"/>
              </w:rPr>
              <w:t xml:space="preserve"> </w:t>
            </w:r>
          </w:p>
          <w:p w14:paraId="1FDDF587" w14:textId="77777777" w:rsidR="00F82642" w:rsidRDefault="00F82642" w:rsidP="006A1BBC">
            <w:pPr>
              <w:keepNext/>
              <w:jc w:val="center"/>
              <w:rPr>
                <w:rFonts w:ascii="Arial Narrow" w:hAnsi="Arial Narrow"/>
                <w:iCs/>
                <w:sz w:val="20"/>
                <w:szCs w:val="20"/>
              </w:rPr>
            </w:pPr>
            <w:r w:rsidRPr="007E3BB0">
              <w:rPr>
                <w:rFonts w:ascii="Arial Narrow" w:hAnsi="Arial Narrow"/>
                <w:iCs/>
                <w:sz w:val="20"/>
                <w:szCs w:val="20"/>
              </w:rPr>
              <w:t xml:space="preserve">69.5 </w:t>
            </w:r>
          </w:p>
          <w:p w14:paraId="2120EEEC" w14:textId="77777777" w:rsidR="00F82642" w:rsidRPr="000F3327" w:rsidRDefault="00F82642" w:rsidP="006A1BBC">
            <w:pPr>
              <w:keepNext/>
              <w:jc w:val="center"/>
              <w:rPr>
                <w:rFonts w:ascii="Arial Narrow" w:hAnsi="Arial Narrow"/>
                <w:iCs/>
                <w:sz w:val="20"/>
                <w:szCs w:val="20"/>
              </w:rPr>
            </w:pPr>
            <w:r w:rsidRPr="007E3BB0">
              <w:rPr>
                <w:rFonts w:ascii="Arial Narrow" w:hAnsi="Arial Narrow"/>
                <w:iCs/>
                <w:sz w:val="20"/>
                <w:szCs w:val="20"/>
              </w:rPr>
              <w:t>(62.4, 75.5)</w:t>
            </w:r>
          </w:p>
        </w:tc>
        <w:tc>
          <w:tcPr>
            <w:tcW w:w="517" w:type="pct"/>
            <w:shd w:val="clear" w:color="auto" w:fill="FFFFFF"/>
          </w:tcPr>
          <w:p w14:paraId="077A9407" w14:textId="77777777" w:rsidR="00F82642" w:rsidRDefault="00F82642" w:rsidP="006A1BBC">
            <w:pPr>
              <w:keepNext/>
              <w:jc w:val="center"/>
              <w:rPr>
                <w:rFonts w:ascii="Arial Narrow" w:hAnsi="Arial Narrow"/>
                <w:iCs/>
                <w:sz w:val="20"/>
                <w:szCs w:val="20"/>
              </w:rPr>
            </w:pPr>
          </w:p>
          <w:p w14:paraId="048D7E2E" w14:textId="77777777" w:rsidR="00F82642" w:rsidRDefault="00F82642" w:rsidP="006A1BBC">
            <w:pPr>
              <w:keepNext/>
              <w:jc w:val="center"/>
              <w:rPr>
                <w:rFonts w:ascii="Arial Narrow" w:hAnsi="Arial Narrow"/>
                <w:iCs/>
                <w:sz w:val="20"/>
                <w:szCs w:val="20"/>
              </w:rPr>
            </w:pPr>
            <w:r w:rsidRPr="00FD3B9E">
              <w:rPr>
                <w:rFonts w:ascii="Arial Narrow" w:hAnsi="Arial Narrow"/>
                <w:iCs/>
                <w:sz w:val="20"/>
                <w:szCs w:val="20"/>
              </w:rPr>
              <w:t>94.6</w:t>
            </w:r>
          </w:p>
          <w:p w14:paraId="432E4F93" w14:textId="77777777" w:rsidR="00F82642" w:rsidRDefault="00F82642" w:rsidP="006A1BBC">
            <w:pPr>
              <w:keepNext/>
              <w:jc w:val="center"/>
              <w:rPr>
                <w:rFonts w:ascii="Arial Narrow" w:hAnsi="Arial Narrow"/>
                <w:iCs/>
                <w:sz w:val="20"/>
                <w:szCs w:val="20"/>
              </w:rPr>
            </w:pPr>
            <w:r w:rsidRPr="00FD3B9E">
              <w:rPr>
                <w:rFonts w:ascii="Arial Narrow" w:hAnsi="Arial Narrow"/>
                <w:iCs/>
                <w:sz w:val="20"/>
                <w:szCs w:val="20"/>
              </w:rPr>
              <w:t>(91.5, 97.7)</w:t>
            </w:r>
          </w:p>
          <w:p w14:paraId="62AFA253" w14:textId="77777777" w:rsidR="00F82642" w:rsidRDefault="00F82642" w:rsidP="006A1BBC">
            <w:pPr>
              <w:keepNext/>
              <w:jc w:val="center"/>
              <w:rPr>
                <w:rFonts w:ascii="Arial Narrow" w:hAnsi="Arial Narrow"/>
                <w:iCs/>
                <w:sz w:val="20"/>
                <w:szCs w:val="20"/>
              </w:rPr>
            </w:pPr>
            <w:r w:rsidRPr="00FD3B9E">
              <w:rPr>
                <w:rFonts w:ascii="Arial Narrow" w:hAnsi="Arial Narrow"/>
                <w:iCs/>
                <w:sz w:val="20"/>
                <w:szCs w:val="20"/>
              </w:rPr>
              <w:t>88.6</w:t>
            </w:r>
          </w:p>
          <w:p w14:paraId="06F347E3" w14:textId="32EA9046" w:rsidR="00F82642" w:rsidRPr="000F3327" w:rsidRDefault="00F82642" w:rsidP="006A1BBC">
            <w:pPr>
              <w:keepNext/>
              <w:jc w:val="center"/>
              <w:rPr>
                <w:rFonts w:ascii="Arial Narrow" w:hAnsi="Arial Narrow"/>
                <w:iCs/>
                <w:sz w:val="20"/>
                <w:szCs w:val="20"/>
              </w:rPr>
            </w:pPr>
            <w:r w:rsidRPr="00FD3B9E">
              <w:rPr>
                <w:rFonts w:ascii="Arial Narrow" w:hAnsi="Arial Narrow"/>
                <w:iCs/>
                <w:sz w:val="20"/>
                <w:szCs w:val="20"/>
              </w:rPr>
              <w:t>(</w:t>
            </w:r>
            <w:r w:rsidR="005C3F42">
              <w:rPr>
                <w:rFonts w:ascii="Arial Narrow" w:hAnsi="Arial Narrow"/>
                <w:iCs/>
                <w:sz w:val="20"/>
                <w:szCs w:val="20"/>
              </w:rPr>
              <w:t>8</w:t>
            </w:r>
            <w:r w:rsidRPr="00FD3B9E">
              <w:rPr>
                <w:rFonts w:ascii="Arial Narrow" w:hAnsi="Arial Narrow"/>
                <w:iCs/>
                <w:sz w:val="20"/>
                <w:szCs w:val="20"/>
              </w:rPr>
              <w:t>4.2, 93.0)</w:t>
            </w:r>
          </w:p>
        </w:tc>
        <w:tc>
          <w:tcPr>
            <w:tcW w:w="518" w:type="pct"/>
            <w:shd w:val="clear" w:color="auto" w:fill="FFFFFF"/>
          </w:tcPr>
          <w:p w14:paraId="3E197B00" w14:textId="77777777" w:rsidR="00F82642" w:rsidRDefault="00F82642" w:rsidP="006A1BBC">
            <w:pPr>
              <w:keepNext/>
              <w:jc w:val="center"/>
              <w:rPr>
                <w:rFonts w:ascii="Arial Narrow" w:hAnsi="Arial Narrow"/>
                <w:iCs/>
                <w:sz w:val="20"/>
                <w:szCs w:val="20"/>
              </w:rPr>
            </w:pPr>
          </w:p>
          <w:p w14:paraId="729076EE" w14:textId="77777777" w:rsidR="00F82642" w:rsidRDefault="00F82642" w:rsidP="006A1BBC">
            <w:pPr>
              <w:keepNext/>
              <w:jc w:val="center"/>
              <w:rPr>
                <w:rFonts w:ascii="Arial Narrow" w:hAnsi="Arial Narrow"/>
                <w:iCs/>
                <w:sz w:val="20"/>
                <w:szCs w:val="20"/>
              </w:rPr>
            </w:pPr>
            <w:r w:rsidRPr="00FD3B9E">
              <w:rPr>
                <w:rFonts w:ascii="Arial Narrow" w:hAnsi="Arial Narrow"/>
                <w:iCs/>
                <w:sz w:val="20"/>
                <w:szCs w:val="20"/>
              </w:rPr>
              <w:t>91.2</w:t>
            </w:r>
          </w:p>
          <w:p w14:paraId="2B2F70B0" w14:textId="77777777" w:rsidR="00F82642" w:rsidRDefault="00F82642" w:rsidP="006A1BBC">
            <w:pPr>
              <w:keepNext/>
              <w:jc w:val="center"/>
              <w:rPr>
                <w:rFonts w:ascii="Arial Narrow" w:hAnsi="Arial Narrow"/>
                <w:iCs/>
                <w:sz w:val="20"/>
                <w:szCs w:val="20"/>
              </w:rPr>
            </w:pPr>
            <w:r w:rsidRPr="00FD3B9E">
              <w:rPr>
                <w:rFonts w:ascii="Arial Narrow" w:hAnsi="Arial Narrow"/>
                <w:iCs/>
                <w:sz w:val="20"/>
                <w:szCs w:val="20"/>
              </w:rPr>
              <w:t>(87.3, 95.1)</w:t>
            </w:r>
          </w:p>
          <w:p w14:paraId="5602DCE3" w14:textId="77777777" w:rsidR="00F82642" w:rsidRDefault="00F82642" w:rsidP="006A1BBC">
            <w:pPr>
              <w:keepNext/>
              <w:jc w:val="center"/>
              <w:rPr>
                <w:rFonts w:ascii="Arial Narrow" w:hAnsi="Arial Narrow"/>
                <w:iCs/>
                <w:sz w:val="20"/>
                <w:szCs w:val="20"/>
              </w:rPr>
            </w:pPr>
            <w:r w:rsidRPr="00FD3B9E">
              <w:rPr>
                <w:rFonts w:ascii="Arial Narrow" w:hAnsi="Arial Narrow"/>
                <w:iCs/>
                <w:sz w:val="20"/>
                <w:szCs w:val="20"/>
              </w:rPr>
              <w:t xml:space="preserve">63.7 </w:t>
            </w:r>
          </w:p>
          <w:p w14:paraId="46E0DF35" w14:textId="77777777" w:rsidR="00F82642" w:rsidRPr="000F3327" w:rsidRDefault="00F82642" w:rsidP="006A1BBC">
            <w:pPr>
              <w:keepNext/>
              <w:jc w:val="center"/>
              <w:rPr>
                <w:rFonts w:ascii="Arial Narrow" w:hAnsi="Arial Narrow"/>
                <w:iCs/>
                <w:sz w:val="20"/>
                <w:szCs w:val="20"/>
              </w:rPr>
            </w:pPr>
            <w:r w:rsidRPr="00FD3B9E">
              <w:rPr>
                <w:rFonts w:ascii="Arial Narrow" w:hAnsi="Arial Narrow"/>
                <w:iCs/>
                <w:sz w:val="20"/>
                <w:szCs w:val="20"/>
              </w:rPr>
              <w:t>(57.0, 70.4)</w:t>
            </w:r>
          </w:p>
        </w:tc>
        <w:tc>
          <w:tcPr>
            <w:tcW w:w="517" w:type="pct"/>
            <w:shd w:val="clear" w:color="auto" w:fill="FFFFFF"/>
          </w:tcPr>
          <w:p w14:paraId="3BDFDFED" w14:textId="77777777" w:rsidR="00F82642" w:rsidRDefault="00F82642" w:rsidP="006A1BBC">
            <w:pPr>
              <w:keepNext/>
              <w:jc w:val="center"/>
              <w:rPr>
                <w:rFonts w:ascii="Arial Narrow" w:hAnsi="Arial Narrow"/>
                <w:iCs/>
                <w:sz w:val="20"/>
                <w:szCs w:val="20"/>
              </w:rPr>
            </w:pPr>
          </w:p>
          <w:p w14:paraId="169E619D"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95.9</w:t>
            </w:r>
          </w:p>
          <w:p w14:paraId="551387B2"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(91.7, 98.0)</w:t>
            </w:r>
          </w:p>
          <w:p w14:paraId="69499253"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92.7</w:t>
            </w:r>
          </w:p>
          <w:p w14:paraId="467F721D" w14:textId="77777777" w:rsidR="00F82642" w:rsidRPr="000F3327" w:rsidRDefault="00F82642" w:rsidP="006A1BBC">
            <w:pPr>
              <w:keepNext/>
              <w:jc w:val="center"/>
              <w:rPr>
                <w:rFonts w:ascii="Arial Narrow" w:hAnsi="Arial Narrow"/>
                <w:iCs/>
                <w:sz w:val="20"/>
                <w:szCs w:val="20"/>
              </w:rPr>
            </w:pPr>
            <w:r w:rsidRPr="000245BC">
              <w:rPr>
                <w:rFonts w:ascii="Arial Narrow" w:hAnsi="Arial Narrow"/>
                <w:iCs/>
                <w:sz w:val="20"/>
                <w:szCs w:val="20"/>
              </w:rPr>
              <w:t>(87.4, 95.8)</w:t>
            </w:r>
          </w:p>
        </w:tc>
        <w:tc>
          <w:tcPr>
            <w:tcW w:w="517" w:type="pct"/>
            <w:shd w:val="clear" w:color="auto" w:fill="FFFFFF"/>
          </w:tcPr>
          <w:p w14:paraId="224994F5" w14:textId="77777777" w:rsidR="00F82642" w:rsidRDefault="00F82642" w:rsidP="006A1BBC">
            <w:pPr>
              <w:keepNext/>
              <w:jc w:val="center"/>
              <w:rPr>
                <w:rFonts w:ascii="Arial Narrow" w:hAnsi="Arial Narrow"/>
                <w:iCs/>
                <w:sz w:val="20"/>
                <w:szCs w:val="20"/>
              </w:rPr>
            </w:pPr>
          </w:p>
          <w:p w14:paraId="7BE44D59"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92.9</w:t>
            </w:r>
          </w:p>
          <w:p w14:paraId="00784114"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(87.8, 95.9)</w:t>
            </w:r>
          </w:p>
          <w:p w14:paraId="2065458E"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87.3</w:t>
            </w:r>
          </w:p>
          <w:p w14:paraId="682A0F48" w14:textId="77777777" w:rsidR="00F82642" w:rsidRPr="000F3327" w:rsidRDefault="00F82642" w:rsidP="006A1BBC">
            <w:pPr>
              <w:keepNext/>
              <w:jc w:val="center"/>
              <w:rPr>
                <w:rFonts w:ascii="Arial Narrow" w:hAnsi="Arial Narrow"/>
                <w:iCs/>
                <w:sz w:val="20"/>
                <w:szCs w:val="20"/>
              </w:rPr>
            </w:pPr>
            <w:r w:rsidRPr="000245BC">
              <w:rPr>
                <w:rFonts w:ascii="Arial Narrow" w:hAnsi="Arial Narrow"/>
                <w:iCs/>
                <w:sz w:val="20"/>
                <w:szCs w:val="20"/>
              </w:rPr>
              <w:t>(80.9, 91.7)</w:t>
            </w:r>
          </w:p>
        </w:tc>
        <w:tc>
          <w:tcPr>
            <w:tcW w:w="516" w:type="pct"/>
            <w:shd w:val="clear" w:color="auto" w:fill="FFFFFF"/>
          </w:tcPr>
          <w:p w14:paraId="3099396D" w14:textId="77777777" w:rsidR="00F82642" w:rsidRDefault="00F82642" w:rsidP="006A1BBC">
            <w:pPr>
              <w:keepNext/>
              <w:jc w:val="center"/>
              <w:rPr>
                <w:rFonts w:ascii="Arial Narrow" w:hAnsi="Arial Narrow"/>
                <w:iCs/>
                <w:sz w:val="20"/>
                <w:szCs w:val="20"/>
              </w:rPr>
            </w:pPr>
          </w:p>
          <w:p w14:paraId="013CDAED"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 xml:space="preserve">84.6 </w:t>
            </w:r>
          </w:p>
          <w:p w14:paraId="16A75EC9"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(78.0, 89.3)</w:t>
            </w:r>
          </w:p>
          <w:p w14:paraId="2DEC10B3" w14:textId="77777777" w:rsidR="00F82642" w:rsidRDefault="00F82642" w:rsidP="006A1BBC">
            <w:pPr>
              <w:keepNext/>
              <w:jc w:val="center"/>
              <w:rPr>
                <w:rFonts w:ascii="Arial Narrow" w:hAnsi="Arial Narrow"/>
                <w:iCs/>
                <w:sz w:val="20"/>
                <w:szCs w:val="20"/>
              </w:rPr>
            </w:pPr>
            <w:r w:rsidRPr="000245BC">
              <w:rPr>
                <w:rFonts w:ascii="Arial Narrow" w:hAnsi="Arial Narrow"/>
                <w:iCs/>
                <w:sz w:val="20"/>
                <w:szCs w:val="20"/>
              </w:rPr>
              <w:t xml:space="preserve">46.7 </w:t>
            </w:r>
          </w:p>
          <w:p w14:paraId="54497389" w14:textId="77777777" w:rsidR="00F82642" w:rsidRPr="000F3327" w:rsidRDefault="00F82642" w:rsidP="006A1BBC">
            <w:pPr>
              <w:keepNext/>
              <w:jc w:val="center"/>
              <w:rPr>
                <w:rFonts w:ascii="Arial Narrow" w:hAnsi="Arial Narrow"/>
                <w:iCs/>
                <w:sz w:val="20"/>
                <w:szCs w:val="20"/>
              </w:rPr>
            </w:pPr>
            <w:r w:rsidRPr="000245BC">
              <w:rPr>
                <w:rFonts w:ascii="Arial Narrow" w:hAnsi="Arial Narrow"/>
                <w:iCs/>
                <w:sz w:val="20"/>
                <w:szCs w:val="20"/>
              </w:rPr>
              <w:t>(38.5, 54.6)</w:t>
            </w:r>
          </w:p>
        </w:tc>
      </w:tr>
    </w:tbl>
    <w:p w14:paraId="231AFDC1" w14:textId="77777777" w:rsidR="00F82642" w:rsidRDefault="00F82642" w:rsidP="00F82642">
      <w:pPr>
        <w:pStyle w:val="COMTablefooter"/>
      </w:pPr>
      <w:r w:rsidRPr="008D6C9C">
        <w:t>Source:</w:t>
      </w:r>
      <w:r>
        <w:t xml:space="preserve"> Table 27, pp122-123; Table 18, pp100-101 of the SEQUOIA interim clinical study report; Table 4, p13 of the July 2020 acalabrutinib Public Summary Document; Table 4, p10 of the March 2020 venetoclax Public Summary Document.</w:t>
      </w:r>
    </w:p>
    <w:p w14:paraId="5D85AAC1" w14:textId="77777777" w:rsidR="00F82642" w:rsidRDefault="00F82642" w:rsidP="00F82642">
      <w:pPr>
        <w:pStyle w:val="COMTablefooter"/>
      </w:pPr>
      <w:r>
        <w:t>Abbreviations: ACAL = acalabrutinib, BEN = bendamustine, CHL = chlorambucil, CI = confidence interval, HR = hazard ratio, KM = Kaplan-Meier, NE = not estimable, NR = not reported, OBI = obinutuzumab, PFS = progression-free survival, RIT = rituximab, VEN = venetoclax, ZANU = zanubrutinib</w:t>
      </w:r>
    </w:p>
    <w:p w14:paraId="6BF49F8D" w14:textId="77777777" w:rsidR="00F82642" w:rsidRDefault="00F82642" w:rsidP="00C0506B">
      <w:pPr>
        <w:pStyle w:val="COMexecsumnumberedpara"/>
      </w:pPr>
      <w:r>
        <w:t xml:space="preserve">Among patients without 17p deletion in the SEQUOIA trial, treatment with zanubrutinib was associated with a statistically significant improvement in progression free survival compared to bendamustine + rituximab (median progression-free </w:t>
      </w:r>
      <w:r>
        <w:lastRenderedPageBreak/>
        <w:t>survival not reached in either arm; hazard ratio = 0.42 [95% CI: 0.28, 0.63]). The proportion of patients free from disease progression at 24 months was numerically higher in the zanubrutinib arms (without 17p deletion: 85.5%; with 17p deletion: 88.9%) compared to the bendamustine + rituximab arm (69.5%).</w:t>
      </w:r>
    </w:p>
    <w:p w14:paraId="04E2BB17" w14:textId="63AF46DE" w:rsidR="00F82642" w:rsidRDefault="00F82642" w:rsidP="00C0506B">
      <w:pPr>
        <w:pStyle w:val="COMexecsumnumberedpara"/>
      </w:pPr>
      <w:r>
        <w:t>Based on a</w:t>
      </w:r>
      <w:r w:rsidR="00C73C0B">
        <w:t>n unanchored unadjusted (</w:t>
      </w:r>
      <w:r>
        <w:t>naïve</w:t>
      </w:r>
      <w:r w:rsidR="00C73C0B">
        <w:t>)</w:t>
      </w:r>
      <w:r>
        <w:t xml:space="preserve"> comparison of independent review committee-assessed progression-free survival at 24 months across the SEQUOIA, CLL-14 and ELEVATE-TN trials, the proportion of patients remaining free from disease progression was 85.5% for the zanubrutinib non-17p deletion arm, 88.9% for the zanubrutinib 17p deletion arm, 88.6% for the venetoclax + obinutuzumab arm, 87.3% for the acalabrutinib monotherapy arm, and 92.7% for the acalabrutinib + obinutuzumab arm. </w:t>
      </w:r>
    </w:p>
    <w:p w14:paraId="626502D0" w14:textId="192C111E" w:rsidR="00C0506B" w:rsidRDefault="00F82642" w:rsidP="00C0506B">
      <w:pPr>
        <w:pStyle w:val="COMexecsumnumberedpara"/>
      </w:pPr>
      <w:r>
        <w:t xml:space="preserve">Based on a median follow-up of 65.4 months, the proportion of patients free from disease progression at 60 months was 62.6% in the venetoclax + obinutuzumab arm of the CLL-14 trial (Al-Sawaf et al., 2022). Based on a median follow-up of 58.2 months, the proportion of patients free from disease progression at 60 months was 84% in the acalabrutinib + obinutuzumab arm and 72% in the acalabrutinib monotherapy arm of the ELEVATE-TN trial (Sharman et al., 2022). The results of a post hoc analysis of the ELEVATE-TN trial conducted at a median follow-up of 58.2 months (Sharman et al., 2022) were suggestive of a statistically significant difference in investigator-assessed progression-free survival in favour of acalabrutinib + obinutuzumab compared to acalabrutinib monotherapy (hazard ratio = 0.51 [95% CI: 0.32, 0.81]). </w:t>
      </w:r>
      <w:r w:rsidR="00515358" w:rsidRPr="00CA2520">
        <w:rPr>
          <w:iCs/>
        </w:rPr>
        <w:t xml:space="preserve">The </w:t>
      </w:r>
      <w:r w:rsidR="0793A8E2" w:rsidRPr="00CA2520">
        <w:rPr>
          <w:iCs/>
        </w:rPr>
        <w:t>ESC considered that these results were supportive of the clinical claim of non-inferior efficacy of zanubrutinib when compared with venetoclax</w:t>
      </w:r>
      <w:r w:rsidR="00922C18" w:rsidRPr="00CA2520">
        <w:rPr>
          <w:iCs/>
        </w:rPr>
        <w:t xml:space="preserve"> plus</w:t>
      </w:r>
      <w:r w:rsidR="003115A7" w:rsidRPr="00CA2520">
        <w:rPr>
          <w:iCs/>
        </w:rPr>
        <w:t xml:space="preserve"> </w:t>
      </w:r>
      <w:r w:rsidR="0793A8E2" w:rsidRPr="00CA2520">
        <w:rPr>
          <w:iCs/>
        </w:rPr>
        <w:t xml:space="preserve">obinutuzumab, </w:t>
      </w:r>
      <w:r w:rsidR="5A9D20D4" w:rsidRPr="00CA2520">
        <w:rPr>
          <w:iCs/>
        </w:rPr>
        <w:t xml:space="preserve">acalabrutinib </w:t>
      </w:r>
      <w:r w:rsidR="00922C18" w:rsidRPr="00CA2520">
        <w:rPr>
          <w:iCs/>
        </w:rPr>
        <w:t>plus</w:t>
      </w:r>
      <w:r w:rsidR="5A9D20D4" w:rsidRPr="00CA2520">
        <w:rPr>
          <w:iCs/>
        </w:rPr>
        <w:t xml:space="preserve"> obinutuzumab and acalabrutinib monotherapy with regards to progression free survival.</w:t>
      </w:r>
    </w:p>
    <w:p w14:paraId="4392446B" w14:textId="2932DA73" w:rsidR="00F82642" w:rsidRPr="00F82642" w:rsidRDefault="00C0506B" w:rsidP="00C0506B">
      <w:pPr>
        <w:pStyle w:val="COMexecsumnumberedpara"/>
      </w:pPr>
      <w:r>
        <w:t xml:space="preserve">Kaplan-Meier plots of overall survival for patients without and patients with 17p deletion </w:t>
      </w:r>
      <w:r w:rsidR="00A45341">
        <w:t xml:space="preserve">in the SEQUOIA trial </w:t>
      </w:r>
      <w:r>
        <w:t xml:space="preserve">are presented </w:t>
      </w:r>
      <w:r w:rsidR="006F5920">
        <w:t xml:space="preserve">in </w:t>
      </w:r>
      <w:r w:rsidR="006F5920">
        <w:fldChar w:fldCharType="begin" w:fldLock="1"/>
      </w:r>
      <w:r w:rsidR="006F5920">
        <w:instrText xml:space="preserve"> REF _Ref123842283 \h </w:instrText>
      </w:r>
      <w:r w:rsidR="006F5920">
        <w:fldChar w:fldCharType="separate"/>
      </w:r>
      <w:r w:rsidR="00540D87">
        <w:t xml:space="preserve">Figure </w:t>
      </w:r>
      <w:r w:rsidR="00540D87">
        <w:rPr>
          <w:noProof/>
        </w:rPr>
        <w:t>3</w:t>
      </w:r>
      <w:r w:rsidR="006F5920">
        <w:fldChar w:fldCharType="end"/>
      </w:r>
      <w:r w:rsidR="006F5920">
        <w:t xml:space="preserve"> </w:t>
      </w:r>
      <w:r>
        <w:t>and</w:t>
      </w:r>
      <w:r w:rsidR="006F5920">
        <w:t xml:space="preserve"> </w:t>
      </w:r>
      <w:r w:rsidR="006F5920">
        <w:fldChar w:fldCharType="begin" w:fldLock="1"/>
      </w:r>
      <w:r w:rsidR="006F5920">
        <w:instrText xml:space="preserve"> REF _Ref123842301 \h </w:instrText>
      </w:r>
      <w:r w:rsidR="006F5920">
        <w:fldChar w:fldCharType="separate"/>
      </w:r>
      <w:r w:rsidR="00540D87">
        <w:t xml:space="preserve">Figure </w:t>
      </w:r>
      <w:r w:rsidR="00540D87">
        <w:rPr>
          <w:noProof/>
        </w:rPr>
        <w:t>4</w:t>
      </w:r>
      <w:r w:rsidR="006F5920">
        <w:fldChar w:fldCharType="end"/>
      </w:r>
      <w:r>
        <w:t>, respectively.</w:t>
      </w:r>
    </w:p>
    <w:p w14:paraId="41EEAA9E" w14:textId="626C3A94" w:rsidR="00C0506B" w:rsidRDefault="00EF01DC" w:rsidP="0022778F">
      <w:pPr>
        <w:pStyle w:val="COMtablefigcaption"/>
      </w:pPr>
      <w:bookmarkStart w:id="29" w:name="_Ref123842283"/>
      <w:r>
        <w:lastRenderedPageBreak/>
        <w:t xml:space="preserve">Figure </w:t>
      </w:r>
      <w:fldSimple w:instr=" SEQ Figure \* ARABIC " w:fldLock="1">
        <w:r w:rsidR="00540D87">
          <w:rPr>
            <w:noProof/>
          </w:rPr>
          <w:t>3</w:t>
        </w:r>
      </w:fldSimple>
      <w:bookmarkEnd w:id="29"/>
      <w:r w:rsidR="00C0506B" w:rsidRPr="00080502">
        <w:rPr>
          <w:snapToGrid w:val="0"/>
        </w:rPr>
        <w:t xml:space="preserve">: </w:t>
      </w:r>
      <w:r w:rsidR="00C0506B">
        <w:rPr>
          <w:snapToGrid w:val="0"/>
        </w:rPr>
        <w:t>Overall</w:t>
      </w:r>
      <w:r w:rsidR="00C0506B" w:rsidRPr="00080502">
        <w:rPr>
          <w:snapToGrid w:val="0"/>
        </w:rPr>
        <w:t xml:space="preserve"> survival results for the </w:t>
      </w:r>
      <w:r w:rsidR="00C0506B">
        <w:rPr>
          <w:snapToGrid w:val="0"/>
        </w:rPr>
        <w:t>SEQUOIA trial (patients without 17p deletion)</w:t>
      </w:r>
    </w:p>
    <w:p w14:paraId="7C1454A0" w14:textId="77777777" w:rsidR="00C0506B" w:rsidRDefault="00C0506B" w:rsidP="0022778F">
      <w:pPr>
        <w:keepNext/>
      </w:pPr>
      <w:r w:rsidRPr="00117BC1">
        <w:rPr>
          <w:noProof/>
        </w:rPr>
        <w:drawing>
          <wp:inline distT="0" distB="0" distL="0" distR="0" wp14:anchorId="52DDA095" wp14:editId="18C1F9CD">
            <wp:extent cx="5732145" cy="2679065"/>
            <wp:effectExtent l="0" t="0" r="1905" b="6985"/>
            <wp:docPr id="23" name="Picture 23" descr="Figure 3: Overall survival results for the SEQUOIA trial (patients without 17p dele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3: Overall survival results for the SEQUOIA trial (patients without 17p deletion)"/>
                    <pic:cNvPicPr/>
                  </pic:nvPicPr>
                  <pic:blipFill>
                    <a:blip r:embed="rId10"/>
                    <a:stretch>
                      <a:fillRect/>
                    </a:stretch>
                  </pic:blipFill>
                  <pic:spPr>
                    <a:xfrm>
                      <a:off x="0" y="0"/>
                      <a:ext cx="5732145" cy="2679065"/>
                    </a:xfrm>
                    <a:prstGeom prst="rect">
                      <a:avLst/>
                    </a:prstGeom>
                  </pic:spPr>
                </pic:pic>
              </a:graphicData>
            </a:graphic>
          </wp:inline>
        </w:drawing>
      </w:r>
    </w:p>
    <w:p w14:paraId="32FF672D" w14:textId="77777777" w:rsidR="00C0506B" w:rsidRDefault="00C0506B" w:rsidP="0022778F">
      <w:pPr>
        <w:pStyle w:val="TableFooter"/>
        <w:keepNext/>
      </w:pPr>
      <w:r>
        <w:t>Source: Figure 6, p111 of the SEQUOIA interim clinical study report.</w:t>
      </w:r>
    </w:p>
    <w:p w14:paraId="0B25F64D" w14:textId="77777777" w:rsidR="00C0506B" w:rsidRDefault="00C0506B" w:rsidP="00C0506B">
      <w:pPr>
        <w:pStyle w:val="TableFooter"/>
      </w:pPr>
      <w:r>
        <w:t>Abbreviations: BR = bendamustine + rituximab.</w:t>
      </w:r>
    </w:p>
    <w:p w14:paraId="4A66B05A" w14:textId="2A09B6A9" w:rsidR="00C0506B" w:rsidRDefault="00EF01DC" w:rsidP="00EF01DC">
      <w:pPr>
        <w:pStyle w:val="COMtablefigcaption"/>
      </w:pPr>
      <w:bookmarkStart w:id="30" w:name="_Ref123842301"/>
      <w:r>
        <w:t xml:space="preserve">Figure </w:t>
      </w:r>
      <w:fldSimple w:instr=" SEQ Figure \* ARABIC " w:fldLock="1">
        <w:r w:rsidR="00540D87">
          <w:rPr>
            <w:noProof/>
          </w:rPr>
          <w:t>4</w:t>
        </w:r>
      </w:fldSimple>
      <w:bookmarkEnd w:id="30"/>
      <w:r w:rsidR="00C0506B" w:rsidRPr="00080502">
        <w:rPr>
          <w:snapToGrid w:val="0"/>
        </w:rPr>
        <w:t xml:space="preserve">: </w:t>
      </w:r>
      <w:r w:rsidR="00C0506B">
        <w:rPr>
          <w:snapToGrid w:val="0"/>
        </w:rPr>
        <w:t>Overall</w:t>
      </w:r>
      <w:r w:rsidR="00C0506B" w:rsidRPr="00080502">
        <w:rPr>
          <w:snapToGrid w:val="0"/>
        </w:rPr>
        <w:t xml:space="preserve"> survival results for the </w:t>
      </w:r>
      <w:r w:rsidR="00C0506B">
        <w:rPr>
          <w:snapToGrid w:val="0"/>
        </w:rPr>
        <w:t>SEQUOIA trial (patients with 17p deletion)</w:t>
      </w:r>
    </w:p>
    <w:p w14:paraId="6088585E" w14:textId="77777777" w:rsidR="00C0506B" w:rsidRDefault="00C0506B" w:rsidP="00C0506B">
      <w:r>
        <w:rPr>
          <w:noProof/>
        </w:rPr>
        <w:drawing>
          <wp:inline distT="0" distB="0" distL="0" distR="0" wp14:anchorId="3D3A66BE" wp14:editId="5004425F">
            <wp:extent cx="5105400" cy="2333625"/>
            <wp:effectExtent l="0" t="0" r="0" b="9525"/>
            <wp:docPr id="24" name="Picture 24" descr="Figure 4: Overall survival results for the SEQUOIA trial (patients with 17p dele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4: Overall survival results for the SEQUOIA trial (patients with 17p deletion)"/>
                    <pic:cNvPicPr/>
                  </pic:nvPicPr>
                  <pic:blipFill>
                    <a:blip r:embed="rId11"/>
                    <a:stretch>
                      <a:fillRect/>
                    </a:stretch>
                  </pic:blipFill>
                  <pic:spPr>
                    <a:xfrm>
                      <a:off x="0" y="0"/>
                      <a:ext cx="5105400" cy="2333625"/>
                    </a:xfrm>
                    <a:prstGeom prst="rect">
                      <a:avLst/>
                    </a:prstGeom>
                  </pic:spPr>
                </pic:pic>
              </a:graphicData>
            </a:graphic>
          </wp:inline>
        </w:drawing>
      </w:r>
    </w:p>
    <w:p w14:paraId="69B2E8A9" w14:textId="77777777" w:rsidR="00C0506B" w:rsidRDefault="00C0506B" w:rsidP="00C0506B">
      <w:pPr>
        <w:pStyle w:val="TableFooter"/>
      </w:pPr>
      <w:r>
        <w:t>Source: Figure 2-12, pp65-66 of the submission.</w:t>
      </w:r>
    </w:p>
    <w:p w14:paraId="4FCF3489" w14:textId="5E90A39F" w:rsidR="00C0506B" w:rsidRDefault="004E4F4B" w:rsidP="00A45341">
      <w:pPr>
        <w:pStyle w:val="COMexecsumnumberedpara"/>
      </w:pPr>
      <w:r>
        <w:fldChar w:fldCharType="begin" w:fldLock="1"/>
      </w:r>
      <w:r>
        <w:instrText xml:space="preserve"> REF _Ref124022301 \h </w:instrText>
      </w:r>
      <w:r>
        <w:fldChar w:fldCharType="separate"/>
      </w:r>
      <w:r w:rsidR="00540D87" w:rsidRPr="00C31E62">
        <w:t xml:space="preserve">Table </w:t>
      </w:r>
      <w:r w:rsidR="00540D87">
        <w:rPr>
          <w:noProof/>
        </w:rPr>
        <w:t>5</w:t>
      </w:r>
      <w:r>
        <w:fldChar w:fldCharType="end"/>
      </w:r>
      <w:r>
        <w:t xml:space="preserve"> </w:t>
      </w:r>
      <w:r w:rsidR="00C0506B">
        <w:t>presents a summary of overall</w:t>
      </w:r>
      <w:r w:rsidR="00C0506B" w:rsidRPr="009A4B5D">
        <w:t xml:space="preserve"> survival results for the </w:t>
      </w:r>
      <w:r w:rsidR="00C0506B">
        <w:t>SEQUOIA</w:t>
      </w:r>
      <w:r w:rsidR="00C0506B" w:rsidRPr="009A4B5D">
        <w:t>, CLL-14 and ELEVATE-TN trials</w:t>
      </w:r>
      <w:r w:rsidR="00C0506B">
        <w:t>.</w:t>
      </w:r>
    </w:p>
    <w:p w14:paraId="5B1F3D5D" w14:textId="76772F7E" w:rsidR="00C0506B" w:rsidRPr="00191822" w:rsidRDefault="008B437D" w:rsidP="008B437D">
      <w:pPr>
        <w:pStyle w:val="TableFigureCaption"/>
        <w:rPr>
          <w:snapToGrid w:val="0"/>
        </w:rPr>
      </w:pPr>
      <w:bookmarkStart w:id="31" w:name="_Ref124022301"/>
      <w:r w:rsidRPr="00C31E62">
        <w:lastRenderedPageBreak/>
        <w:t xml:space="preserve">Table </w:t>
      </w:r>
      <w:fldSimple w:instr=" SEQ Table \* ARABIC " w:fldLock="1">
        <w:r w:rsidR="00540D87">
          <w:rPr>
            <w:noProof/>
          </w:rPr>
          <w:t>5</w:t>
        </w:r>
      </w:fldSimple>
      <w:bookmarkEnd w:id="31"/>
      <w:r w:rsidR="00C0506B" w:rsidRPr="00080502">
        <w:rPr>
          <w:snapToGrid w:val="0"/>
        </w:rPr>
        <w:t xml:space="preserve">: </w:t>
      </w:r>
      <w:r w:rsidR="00C0506B">
        <w:rPr>
          <w:snapToGrid w:val="0"/>
        </w:rPr>
        <w:t>Overall</w:t>
      </w:r>
      <w:r w:rsidR="00C0506B" w:rsidRPr="00080502">
        <w:rPr>
          <w:snapToGrid w:val="0"/>
        </w:rPr>
        <w:t xml:space="preserve"> survival results for the </w:t>
      </w:r>
      <w:r w:rsidR="00C0506B">
        <w:rPr>
          <w:snapToGrid w:val="0"/>
        </w:rPr>
        <w:t>SEQUOIA</w:t>
      </w:r>
      <w:r w:rsidR="00C0506B" w:rsidRPr="00080502">
        <w:rPr>
          <w:snapToGrid w:val="0"/>
        </w:rPr>
        <w:t>, CLL-14 and ELEVATE-TN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8"/>
        <w:gridCol w:w="933"/>
        <w:gridCol w:w="943"/>
        <w:gridCol w:w="934"/>
        <w:gridCol w:w="932"/>
        <w:gridCol w:w="934"/>
        <w:gridCol w:w="932"/>
        <w:gridCol w:w="932"/>
        <w:gridCol w:w="929"/>
      </w:tblGrid>
      <w:tr w:rsidR="00C0506B" w:rsidRPr="000F3327" w14:paraId="008536B9" w14:textId="77777777" w:rsidTr="006A1BBC">
        <w:trPr>
          <w:trHeight w:val="70"/>
          <w:tblHeader/>
        </w:trPr>
        <w:tc>
          <w:tcPr>
            <w:tcW w:w="858" w:type="pct"/>
            <w:vMerge w:val="restart"/>
            <w:tcBorders>
              <w:top w:val="single" w:sz="4" w:space="0" w:color="auto"/>
              <w:left w:val="single" w:sz="4" w:space="0" w:color="auto"/>
              <w:right w:val="single" w:sz="4" w:space="0" w:color="auto"/>
            </w:tcBorders>
            <w:shd w:val="clear" w:color="auto" w:fill="FFFFFF"/>
            <w:vAlign w:val="center"/>
          </w:tcPr>
          <w:p w14:paraId="58821192" w14:textId="77777777" w:rsidR="00C0506B" w:rsidRPr="000F3327" w:rsidRDefault="00C0506B" w:rsidP="006A1BBC">
            <w:pPr>
              <w:keepNext/>
              <w:rPr>
                <w:rFonts w:ascii="Arial Narrow" w:hAnsi="Arial Narrow"/>
                <w:b/>
                <w:iCs/>
                <w:sz w:val="20"/>
                <w:szCs w:val="20"/>
              </w:rPr>
            </w:pPr>
          </w:p>
        </w:tc>
        <w:tc>
          <w:tcPr>
            <w:tcW w:w="1558" w:type="pct"/>
            <w:gridSpan w:val="3"/>
            <w:tcBorders>
              <w:top w:val="single" w:sz="4" w:space="0" w:color="auto"/>
              <w:left w:val="single" w:sz="4" w:space="0" w:color="auto"/>
              <w:right w:val="single" w:sz="4" w:space="0" w:color="auto"/>
            </w:tcBorders>
            <w:shd w:val="clear" w:color="auto" w:fill="FFFFFF"/>
          </w:tcPr>
          <w:p w14:paraId="10E8E063" w14:textId="77777777" w:rsidR="00C0506B" w:rsidRPr="000F3327" w:rsidRDefault="00C0506B" w:rsidP="006A1BBC">
            <w:pPr>
              <w:keepNext/>
              <w:jc w:val="center"/>
              <w:rPr>
                <w:rFonts w:ascii="Arial Narrow" w:hAnsi="Arial Narrow"/>
                <w:b/>
                <w:iCs/>
                <w:sz w:val="20"/>
                <w:szCs w:val="20"/>
              </w:rPr>
            </w:pPr>
            <w:r>
              <w:rPr>
                <w:rFonts w:ascii="Arial Narrow" w:hAnsi="Arial Narrow"/>
                <w:b/>
                <w:bCs/>
                <w:iCs/>
                <w:sz w:val="20"/>
                <w:szCs w:val="20"/>
              </w:rPr>
              <w:t>SEQUOIA</w:t>
            </w:r>
          </w:p>
        </w:tc>
        <w:tc>
          <w:tcPr>
            <w:tcW w:w="1035" w:type="pct"/>
            <w:gridSpan w:val="2"/>
            <w:tcBorders>
              <w:top w:val="single" w:sz="4" w:space="0" w:color="auto"/>
              <w:left w:val="single" w:sz="4" w:space="0" w:color="auto"/>
            </w:tcBorders>
            <w:shd w:val="clear" w:color="auto" w:fill="FFFFFF"/>
          </w:tcPr>
          <w:p w14:paraId="50F50158"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CLL-14</w:t>
            </w:r>
          </w:p>
        </w:tc>
        <w:tc>
          <w:tcPr>
            <w:tcW w:w="1549" w:type="pct"/>
            <w:gridSpan w:val="3"/>
            <w:tcBorders>
              <w:top w:val="single" w:sz="4" w:space="0" w:color="auto"/>
              <w:right w:val="single" w:sz="4" w:space="0" w:color="auto"/>
            </w:tcBorders>
            <w:shd w:val="clear" w:color="auto" w:fill="FFFFFF"/>
          </w:tcPr>
          <w:p w14:paraId="62415C77" w14:textId="77777777" w:rsidR="00C0506B" w:rsidRPr="000F3327" w:rsidRDefault="00C0506B" w:rsidP="006A1BBC">
            <w:pPr>
              <w:keepNext/>
              <w:jc w:val="center"/>
              <w:rPr>
                <w:rFonts w:ascii="Arial Narrow" w:hAnsi="Arial Narrow"/>
                <w:b/>
                <w:bCs/>
                <w:iCs/>
                <w:sz w:val="20"/>
                <w:szCs w:val="20"/>
              </w:rPr>
            </w:pPr>
            <w:r w:rsidRPr="000F3327">
              <w:rPr>
                <w:rFonts w:ascii="Arial Narrow" w:hAnsi="Arial Narrow"/>
                <w:b/>
                <w:iCs/>
                <w:sz w:val="20"/>
                <w:szCs w:val="20"/>
              </w:rPr>
              <w:t>ELEVATE-TN</w:t>
            </w:r>
          </w:p>
        </w:tc>
      </w:tr>
      <w:tr w:rsidR="00C0506B" w:rsidRPr="000F3327" w14:paraId="77439288" w14:textId="77777777" w:rsidTr="006A1BBC">
        <w:trPr>
          <w:trHeight w:val="401"/>
          <w:tblHeader/>
        </w:trPr>
        <w:tc>
          <w:tcPr>
            <w:tcW w:w="858" w:type="pct"/>
            <w:vMerge/>
            <w:tcBorders>
              <w:left w:val="single" w:sz="4" w:space="0" w:color="auto"/>
              <w:right w:val="single" w:sz="4" w:space="0" w:color="auto"/>
            </w:tcBorders>
            <w:shd w:val="clear" w:color="auto" w:fill="FFFFFF"/>
            <w:vAlign w:val="center"/>
          </w:tcPr>
          <w:p w14:paraId="1191037E" w14:textId="77777777" w:rsidR="00C0506B" w:rsidRPr="000F3327" w:rsidRDefault="00C0506B" w:rsidP="006A1BBC">
            <w:pPr>
              <w:keepNext/>
              <w:rPr>
                <w:rFonts w:ascii="Arial Narrow" w:hAnsi="Arial Narrow"/>
                <w:b/>
                <w:iCs/>
                <w:sz w:val="20"/>
                <w:szCs w:val="20"/>
              </w:rPr>
            </w:pPr>
          </w:p>
        </w:tc>
        <w:tc>
          <w:tcPr>
            <w:tcW w:w="517" w:type="pct"/>
            <w:tcBorders>
              <w:left w:val="single" w:sz="4" w:space="0" w:color="auto"/>
              <w:bottom w:val="nil"/>
            </w:tcBorders>
            <w:shd w:val="clear" w:color="auto" w:fill="FFFFFF"/>
            <w:vAlign w:val="center"/>
          </w:tcPr>
          <w:p w14:paraId="033FB9AB"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ZANU</w:t>
            </w:r>
          </w:p>
        </w:tc>
        <w:tc>
          <w:tcPr>
            <w:tcW w:w="523" w:type="pct"/>
            <w:tcBorders>
              <w:bottom w:val="nil"/>
            </w:tcBorders>
            <w:shd w:val="clear" w:color="auto" w:fill="FFFFFF"/>
          </w:tcPr>
          <w:p w14:paraId="3EC27946" w14:textId="77777777" w:rsidR="00C0506B" w:rsidRDefault="00C0506B" w:rsidP="006A1BBC">
            <w:pPr>
              <w:keepNext/>
              <w:jc w:val="center"/>
              <w:rPr>
                <w:rFonts w:ascii="Arial Narrow" w:hAnsi="Arial Narrow"/>
                <w:b/>
                <w:iCs/>
                <w:sz w:val="20"/>
                <w:szCs w:val="20"/>
              </w:rPr>
            </w:pPr>
            <w:r w:rsidRPr="000F3327">
              <w:rPr>
                <w:rFonts w:ascii="Arial Narrow" w:hAnsi="Arial Narrow"/>
                <w:b/>
                <w:iCs/>
                <w:sz w:val="20"/>
                <w:szCs w:val="20"/>
              </w:rPr>
              <w:t xml:space="preserve">ZANU </w:t>
            </w:r>
          </w:p>
          <w:p w14:paraId="45B351B4"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(17p del)</w:t>
            </w:r>
          </w:p>
        </w:tc>
        <w:tc>
          <w:tcPr>
            <w:tcW w:w="518" w:type="pct"/>
            <w:tcBorders>
              <w:bottom w:val="nil"/>
              <w:right w:val="single" w:sz="4" w:space="0" w:color="auto"/>
            </w:tcBorders>
            <w:shd w:val="clear" w:color="auto" w:fill="FFFFFF"/>
            <w:vAlign w:val="center"/>
          </w:tcPr>
          <w:p w14:paraId="0B524255"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BEN +</w:t>
            </w:r>
            <w:r>
              <w:rPr>
                <w:rFonts w:ascii="Arial Narrow" w:hAnsi="Arial Narrow"/>
                <w:b/>
                <w:iCs/>
                <w:sz w:val="20"/>
                <w:szCs w:val="20"/>
              </w:rPr>
              <w:t xml:space="preserve"> </w:t>
            </w:r>
            <w:r w:rsidRPr="000F3327">
              <w:rPr>
                <w:rFonts w:ascii="Arial Narrow" w:hAnsi="Arial Narrow"/>
                <w:b/>
                <w:iCs/>
                <w:sz w:val="20"/>
                <w:szCs w:val="20"/>
              </w:rPr>
              <w:t>RIT</w:t>
            </w:r>
          </w:p>
        </w:tc>
        <w:tc>
          <w:tcPr>
            <w:tcW w:w="517" w:type="pct"/>
            <w:tcBorders>
              <w:left w:val="single" w:sz="4" w:space="0" w:color="auto"/>
              <w:bottom w:val="nil"/>
            </w:tcBorders>
            <w:shd w:val="clear" w:color="auto" w:fill="FFFFFF"/>
            <w:vAlign w:val="center"/>
          </w:tcPr>
          <w:p w14:paraId="6DC7657B"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VEN + OBI</w:t>
            </w:r>
          </w:p>
        </w:tc>
        <w:tc>
          <w:tcPr>
            <w:tcW w:w="518" w:type="pct"/>
            <w:tcBorders>
              <w:bottom w:val="nil"/>
            </w:tcBorders>
            <w:shd w:val="clear" w:color="auto" w:fill="FFFFFF"/>
            <w:vAlign w:val="center"/>
          </w:tcPr>
          <w:p w14:paraId="158D1F24"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CHL + OBI</w:t>
            </w:r>
          </w:p>
        </w:tc>
        <w:tc>
          <w:tcPr>
            <w:tcW w:w="517" w:type="pct"/>
            <w:tcBorders>
              <w:bottom w:val="nil"/>
            </w:tcBorders>
            <w:shd w:val="clear" w:color="auto" w:fill="FFFFFF"/>
            <w:vAlign w:val="center"/>
          </w:tcPr>
          <w:p w14:paraId="61F05A81"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 xml:space="preserve">ACAL + </w:t>
            </w:r>
            <w:r>
              <w:rPr>
                <w:rFonts w:ascii="Arial Narrow" w:hAnsi="Arial Narrow"/>
                <w:b/>
                <w:iCs/>
                <w:sz w:val="20"/>
                <w:szCs w:val="20"/>
              </w:rPr>
              <w:t>O</w:t>
            </w:r>
            <w:r w:rsidRPr="000F3327">
              <w:rPr>
                <w:rFonts w:ascii="Arial Narrow" w:hAnsi="Arial Narrow"/>
                <w:b/>
                <w:iCs/>
                <w:sz w:val="20"/>
                <w:szCs w:val="20"/>
              </w:rPr>
              <w:t>BI</w:t>
            </w:r>
          </w:p>
        </w:tc>
        <w:tc>
          <w:tcPr>
            <w:tcW w:w="517" w:type="pct"/>
            <w:tcBorders>
              <w:bottom w:val="nil"/>
            </w:tcBorders>
            <w:shd w:val="clear" w:color="auto" w:fill="FFFFFF"/>
            <w:vAlign w:val="center"/>
          </w:tcPr>
          <w:p w14:paraId="5CCCEA11"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ACAL</w:t>
            </w:r>
          </w:p>
        </w:tc>
        <w:tc>
          <w:tcPr>
            <w:tcW w:w="515" w:type="pct"/>
            <w:tcBorders>
              <w:bottom w:val="nil"/>
              <w:right w:val="single" w:sz="4" w:space="0" w:color="auto"/>
            </w:tcBorders>
            <w:shd w:val="clear" w:color="auto" w:fill="FFFFFF"/>
            <w:vAlign w:val="center"/>
          </w:tcPr>
          <w:p w14:paraId="3C3C7AE6"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 xml:space="preserve">CHL + </w:t>
            </w:r>
            <w:r>
              <w:rPr>
                <w:rFonts w:ascii="Arial Narrow" w:hAnsi="Arial Narrow"/>
                <w:b/>
                <w:iCs/>
                <w:sz w:val="20"/>
                <w:szCs w:val="20"/>
              </w:rPr>
              <w:t>O</w:t>
            </w:r>
            <w:r w:rsidRPr="000F3327">
              <w:rPr>
                <w:rFonts w:ascii="Arial Narrow" w:hAnsi="Arial Narrow"/>
                <w:b/>
                <w:iCs/>
                <w:sz w:val="20"/>
                <w:szCs w:val="20"/>
              </w:rPr>
              <w:t>BI</w:t>
            </w:r>
          </w:p>
        </w:tc>
      </w:tr>
      <w:tr w:rsidR="00C0506B" w:rsidRPr="000F3327" w14:paraId="2BC89F4E" w14:textId="77777777" w:rsidTr="006A1BBC">
        <w:trPr>
          <w:trHeight w:val="277"/>
          <w:tblHeader/>
        </w:trPr>
        <w:tc>
          <w:tcPr>
            <w:tcW w:w="858" w:type="pct"/>
            <w:vMerge/>
            <w:tcBorders>
              <w:left w:val="single" w:sz="4" w:space="0" w:color="auto"/>
              <w:bottom w:val="single" w:sz="4" w:space="0" w:color="auto"/>
              <w:right w:val="single" w:sz="4" w:space="0" w:color="auto"/>
            </w:tcBorders>
            <w:shd w:val="clear" w:color="auto" w:fill="FFFFFF"/>
            <w:vAlign w:val="center"/>
          </w:tcPr>
          <w:p w14:paraId="76596875" w14:textId="77777777" w:rsidR="00C0506B" w:rsidRPr="000F3327" w:rsidRDefault="00C0506B" w:rsidP="006A1BBC">
            <w:pPr>
              <w:keepNext/>
              <w:rPr>
                <w:rFonts w:ascii="Arial Narrow" w:hAnsi="Arial Narrow"/>
                <w:b/>
                <w:iCs/>
                <w:sz w:val="20"/>
                <w:szCs w:val="20"/>
              </w:rPr>
            </w:pPr>
          </w:p>
        </w:tc>
        <w:tc>
          <w:tcPr>
            <w:tcW w:w="517" w:type="pct"/>
            <w:tcBorders>
              <w:top w:val="nil"/>
              <w:left w:val="single" w:sz="4" w:space="0" w:color="auto"/>
              <w:bottom w:val="single" w:sz="4" w:space="0" w:color="auto"/>
              <w:right w:val="single" w:sz="4" w:space="0" w:color="auto"/>
            </w:tcBorders>
            <w:shd w:val="clear" w:color="auto" w:fill="FFFFFF"/>
          </w:tcPr>
          <w:p w14:paraId="5F0956D9"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241</w:t>
            </w:r>
          </w:p>
        </w:tc>
        <w:tc>
          <w:tcPr>
            <w:tcW w:w="523" w:type="pct"/>
            <w:tcBorders>
              <w:top w:val="nil"/>
              <w:left w:val="single" w:sz="4" w:space="0" w:color="auto"/>
              <w:bottom w:val="single" w:sz="4" w:space="0" w:color="auto"/>
              <w:right w:val="single" w:sz="4" w:space="0" w:color="auto"/>
            </w:tcBorders>
            <w:shd w:val="clear" w:color="auto" w:fill="FFFFFF"/>
          </w:tcPr>
          <w:p w14:paraId="0455B6E6"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110</w:t>
            </w:r>
          </w:p>
        </w:tc>
        <w:tc>
          <w:tcPr>
            <w:tcW w:w="518" w:type="pct"/>
            <w:tcBorders>
              <w:top w:val="nil"/>
              <w:left w:val="single" w:sz="4" w:space="0" w:color="auto"/>
              <w:bottom w:val="single" w:sz="4" w:space="0" w:color="auto"/>
              <w:right w:val="single" w:sz="4" w:space="0" w:color="auto"/>
            </w:tcBorders>
            <w:shd w:val="clear" w:color="auto" w:fill="FFFFFF"/>
          </w:tcPr>
          <w:p w14:paraId="675656E4"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238</w:t>
            </w:r>
          </w:p>
        </w:tc>
        <w:tc>
          <w:tcPr>
            <w:tcW w:w="517" w:type="pct"/>
            <w:tcBorders>
              <w:top w:val="nil"/>
              <w:left w:val="single" w:sz="4" w:space="0" w:color="auto"/>
              <w:bottom w:val="single" w:sz="4" w:space="0" w:color="auto"/>
              <w:right w:val="single" w:sz="4" w:space="0" w:color="auto"/>
            </w:tcBorders>
            <w:shd w:val="clear" w:color="auto" w:fill="FFFFFF"/>
          </w:tcPr>
          <w:p w14:paraId="765051A6"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N=216</w:t>
            </w:r>
          </w:p>
        </w:tc>
        <w:tc>
          <w:tcPr>
            <w:tcW w:w="518" w:type="pct"/>
            <w:tcBorders>
              <w:top w:val="nil"/>
              <w:left w:val="single" w:sz="4" w:space="0" w:color="auto"/>
              <w:bottom w:val="single" w:sz="4" w:space="0" w:color="auto"/>
              <w:right w:val="single" w:sz="4" w:space="0" w:color="auto"/>
            </w:tcBorders>
            <w:shd w:val="clear" w:color="auto" w:fill="FFFFFF"/>
          </w:tcPr>
          <w:p w14:paraId="025951EF"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N=216</w:t>
            </w:r>
          </w:p>
        </w:tc>
        <w:tc>
          <w:tcPr>
            <w:tcW w:w="517" w:type="pct"/>
            <w:tcBorders>
              <w:top w:val="nil"/>
              <w:left w:val="single" w:sz="4" w:space="0" w:color="auto"/>
              <w:bottom w:val="single" w:sz="4" w:space="0" w:color="auto"/>
              <w:right w:val="single" w:sz="4" w:space="0" w:color="auto"/>
            </w:tcBorders>
            <w:shd w:val="clear" w:color="auto" w:fill="FFFFFF"/>
          </w:tcPr>
          <w:p w14:paraId="37A8DE6B"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N=179</w:t>
            </w:r>
          </w:p>
        </w:tc>
        <w:tc>
          <w:tcPr>
            <w:tcW w:w="517" w:type="pct"/>
            <w:tcBorders>
              <w:top w:val="nil"/>
              <w:left w:val="single" w:sz="4" w:space="0" w:color="auto"/>
              <w:bottom w:val="single" w:sz="4" w:space="0" w:color="auto"/>
              <w:right w:val="single" w:sz="4" w:space="0" w:color="auto"/>
            </w:tcBorders>
            <w:shd w:val="clear" w:color="auto" w:fill="FFFFFF"/>
            <w:vAlign w:val="center"/>
          </w:tcPr>
          <w:p w14:paraId="6469893C"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N=179</w:t>
            </w:r>
          </w:p>
        </w:tc>
        <w:tc>
          <w:tcPr>
            <w:tcW w:w="515" w:type="pct"/>
            <w:tcBorders>
              <w:top w:val="nil"/>
              <w:left w:val="single" w:sz="4" w:space="0" w:color="auto"/>
              <w:bottom w:val="single" w:sz="4" w:space="0" w:color="auto"/>
              <w:right w:val="single" w:sz="4" w:space="0" w:color="auto"/>
            </w:tcBorders>
            <w:shd w:val="clear" w:color="auto" w:fill="FFFFFF"/>
            <w:vAlign w:val="center"/>
          </w:tcPr>
          <w:p w14:paraId="3FC2B5E3" w14:textId="77777777" w:rsidR="00C0506B" w:rsidRPr="000F3327" w:rsidRDefault="00C0506B" w:rsidP="006A1BBC">
            <w:pPr>
              <w:keepNext/>
              <w:jc w:val="center"/>
              <w:rPr>
                <w:rFonts w:ascii="Arial Narrow" w:hAnsi="Arial Narrow"/>
                <w:b/>
                <w:iCs/>
                <w:sz w:val="20"/>
                <w:szCs w:val="20"/>
              </w:rPr>
            </w:pPr>
            <w:r w:rsidRPr="000F3327">
              <w:rPr>
                <w:rFonts w:ascii="Arial Narrow" w:hAnsi="Arial Narrow"/>
                <w:b/>
                <w:iCs/>
                <w:sz w:val="20"/>
                <w:szCs w:val="20"/>
              </w:rPr>
              <w:t>N=177</w:t>
            </w:r>
          </w:p>
        </w:tc>
      </w:tr>
      <w:tr w:rsidR="00617D1C" w:rsidRPr="00CC1A8B" w14:paraId="6443B66B" w14:textId="77777777" w:rsidTr="006A1BBC">
        <w:trPr>
          <w:cantSplit/>
        </w:trPr>
        <w:tc>
          <w:tcPr>
            <w:tcW w:w="858" w:type="pct"/>
            <w:tcBorders>
              <w:top w:val="single" w:sz="4" w:space="0" w:color="auto"/>
              <w:bottom w:val="single" w:sz="4" w:space="0" w:color="auto"/>
              <w:right w:val="single" w:sz="4" w:space="0" w:color="auto"/>
            </w:tcBorders>
            <w:vAlign w:val="center"/>
          </w:tcPr>
          <w:p w14:paraId="4A944502" w14:textId="77777777" w:rsidR="00617D1C" w:rsidRPr="00EB0DDD" w:rsidRDefault="00617D1C" w:rsidP="00617D1C">
            <w:pPr>
              <w:keepNext/>
              <w:jc w:val="left"/>
              <w:rPr>
                <w:rFonts w:ascii="Arial Narrow" w:hAnsi="Arial Narrow"/>
                <w:sz w:val="20"/>
                <w:szCs w:val="20"/>
              </w:rPr>
            </w:pPr>
            <w:r w:rsidRPr="00EB0DDD">
              <w:rPr>
                <w:rFonts w:ascii="Arial Narrow" w:hAnsi="Arial Narrow"/>
                <w:sz w:val="20"/>
                <w:szCs w:val="20"/>
              </w:rPr>
              <w:t>Median follow-up, months (range)</w:t>
            </w:r>
          </w:p>
        </w:tc>
        <w:tc>
          <w:tcPr>
            <w:tcW w:w="517" w:type="pct"/>
            <w:tcBorders>
              <w:top w:val="single" w:sz="4" w:space="0" w:color="auto"/>
              <w:left w:val="single" w:sz="4" w:space="0" w:color="auto"/>
              <w:bottom w:val="single" w:sz="4" w:space="0" w:color="auto"/>
            </w:tcBorders>
            <w:shd w:val="clear" w:color="auto" w:fill="FFFFFF"/>
          </w:tcPr>
          <w:p w14:paraId="52DFAAC6" w14:textId="77777777" w:rsidR="00617D1C" w:rsidRDefault="00617D1C" w:rsidP="00617D1C">
            <w:pPr>
              <w:keepNext/>
              <w:jc w:val="center"/>
              <w:rPr>
                <w:rFonts w:ascii="Arial Narrow" w:hAnsi="Arial Narrow"/>
                <w:iCs/>
                <w:sz w:val="20"/>
                <w:szCs w:val="20"/>
              </w:rPr>
            </w:pPr>
            <w:r w:rsidRPr="00362208">
              <w:rPr>
                <w:rFonts w:ascii="Arial Narrow" w:hAnsi="Arial Narrow"/>
                <w:iCs/>
                <w:sz w:val="20"/>
                <w:szCs w:val="20"/>
              </w:rPr>
              <w:t>2</w:t>
            </w:r>
            <w:r>
              <w:rPr>
                <w:rFonts w:ascii="Arial Narrow" w:hAnsi="Arial Narrow"/>
                <w:iCs/>
                <w:sz w:val="20"/>
                <w:szCs w:val="20"/>
              </w:rPr>
              <w:t>6</w:t>
            </w:r>
            <w:r w:rsidRPr="00362208">
              <w:rPr>
                <w:rFonts w:ascii="Arial Narrow" w:hAnsi="Arial Narrow"/>
                <w:iCs/>
                <w:sz w:val="20"/>
                <w:szCs w:val="20"/>
              </w:rPr>
              <w:t>.</w:t>
            </w:r>
            <w:r>
              <w:rPr>
                <w:rFonts w:ascii="Arial Narrow" w:hAnsi="Arial Narrow"/>
                <w:iCs/>
                <w:sz w:val="20"/>
                <w:szCs w:val="20"/>
              </w:rPr>
              <w:t xml:space="preserve">5 </w:t>
            </w:r>
          </w:p>
          <w:p w14:paraId="62D7481F" w14:textId="69A750C2" w:rsidR="00617D1C" w:rsidRPr="00CC1A8B" w:rsidRDefault="00617D1C" w:rsidP="00617D1C">
            <w:pPr>
              <w:keepNext/>
              <w:jc w:val="center"/>
              <w:rPr>
                <w:rFonts w:ascii="Arial Narrow" w:hAnsi="Arial Narrow"/>
                <w:iCs/>
                <w:sz w:val="20"/>
                <w:szCs w:val="20"/>
                <w:highlight w:val="yellow"/>
              </w:rPr>
            </w:pPr>
            <w:r w:rsidRPr="00362208">
              <w:rPr>
                <w:rFonts w:ascii="Arial Narrow" w:hAnsi="Arial Narrow"/>
                <w:iCs/>
                <w:sz w:val="20"/>
                <w:szCs w:val="20"/>
              </w:rPr>
              <w:t>(0.</w:t>
            </w:r>
            <w:r>
              <w:rPr>
                <w:rFonts w:ascii="Arial Narrow" w:hAnsi="Arial Narrow"/>
                <w:iCs/>
                <w:sz w:val="20"/>
                <w:szCs w:val="20"/>
              </w:rPr>
              <w:t>3-</w:t>
            </w:r>
            <w:r w:rsidRPr="00362208">
              <w:rPr>
                <w:rFonts w:ascii="Arial Narrow" w:hAnsi="Arial Narrow"/>
                <w:iCs/>
                <w:sz w:val="20"/>
                <w:szCs w:val="20"/>
              </w:rPr>
              <w:t>41.4)</w:t>
            </w:r>
          </w:p>
        </w:tc>
        <w:tc>
          <w:tcPr>
            <w:tcW w:w="523" w:type="pct"/>
            <w:tcBorders>
              <w:top w:val="single" w:sz="4" w:space="0" w:color="auto"/>
              <w:bottom w:val="single" w:sz="4" w:space="0" w:color="auto"/>
            </w:tcBorders>
            <w:shd w:val="clear" w:color="auto" w:fill="FFFFFF"/>
          </w:tcPr>
          <w:p w14:paraId="6024FA6D" w14:textId="77777777" w:rsidR="00617D1C" w:rsidRDefault="00617D1C" w:rsidP="00617D1C">
            <w:pPr>
              <w:keepNext/>
              <w:jc w:val="center"/>
              <w:rPr>
                <w:rFonts w:ascii="Arial Narrow" w:hAnsi="Arial Narrow"/>
                <w:iCs/>
                <w:sz w:val="20"/>
                <w:szCs w:val="20"/>
              </w:rPr>
            </w:pPr>
            <w:r>
              <w:rPr>
                <w:rFonts w:ascii="Arial Narrow" w:hAnsi="Arial Narrow"/>
                <w:iCs/>
                <w:sz w:val="20"/>
                <w:szCs w:val="20"/>
              </w:rPr>
              <w:t>30.4</w:t>
            </w:r>
          </w:p>
          <w:p w14:paraId="5018B837" w14:textId="05A822C9" w:rsidR="00617D1C" w:rsidRPr="00CC1A8B" w:rsidRDefault="00617D1C" w:rsidP="00617D1C">
            <w:pPr>
              <w:keepNext/>
              <w:jc w:val="center"/>
              <w:rPr>
                <w:rFonts w:ascii="Arial Narrow" w:hAnsi="Arial Narrow"/>
                <w:iCs/>
                <w:sz w:val="20"/>
                <w:szCs w:val="20"/>
                <w:highlight w:val="yellow"/>
              </w:rPr>
            </w:pPr>
            <w:r w:rsidRPr="003B7939">
              <w:rPr>
                <w:rFonts w:ascii="Arial Narrow" w:hAnsi="Arial Narrow"/>
                <w:iCs/>
                <w:sz w:val="20"/>
                <w:szCs w:val="20"/>
              </w:rPr>
              <w:t>(</w:t>
            </w:r>
            <w:r>
              <w:rPr>
                <w:rFonts w:ascii="Arial Narrow" w:hAnsi="Arial Narrow"/>
                <w:iCs/>
                <w:sz w:val="20"/>
                <w:szCs w:val="20"/>
              </w:rPr>
              <w:t>5.0-</w:t>
            </w:r>
            <w:r w:rsidRPr="003B7939">
              <w:rPr>
                <w:rFonts w:ascii="Arial Narrow" w:hAnsi="Arial Narrow"/>
                <w:iCs/>
                <w:sz w:val="20"/>
                <w:szCs w:val="20"/>
              </w:rPr>
              <w:t>38.8)</w:t>
            </w:r>
          </w:p>
        </w:tc>
        <w:tc>
          <w:tcPr>
            <w:tcW w:w="518" w:type="pct"/>
            <w:tcBorders>
              <w:top w:val="single" w:sz="4" w:space="0" w:color="auto"/>
              <w:bottom w:val="single" w:sz="4" w:space="0" w:color="auto"/>
              <w:right w:val="single" w:sz="4" w:space="0" w:color="auto"/>
            </w:tcBorders>
            <w:shd w:val="clear" w:color="auto" w:fill="FFFFFF"/>
          </w:tcPr>
          <w:p w14:paraId="42C36F28" w14:textId="77777777" w:rsidR="00617D1C" w:rsidRDefault="00617D1C" w:rsidP="00617D1C">
            <w:pPr>
              <w:keepNext/>
              <w:jc w:val="center"/>
              <w:rPr>
                <w:rFonts w:ascii="Arial Narrow" w:hAnsi="Arial Narrow"/>
                <w:iCs/>
                <w:sz w:val="20"/>
                <w:szCs w:val="20"/>
              </w:rPr>
            </w:pPr>
            <w:r w:rsidRPr="000F3327">
              <w:rPr>
                <w:rFonts w:ascii="Arial Narrow" w:hAnsi="Arial Narrow"/>
                <w:iCs/>
                <w:sz w:val="20"/>
                <w:szCs w:val="20"/>
              </w:rPr>
              <w:t>2</w:t>
            </w:r>
            <w:r>
              <w:rPr>
                <w:rFonts w:ascii="Arial Narrow" w:hAnsi="Arial Narrow"/>
                <w:iCs/>
                <w:sz w:val="20"/>
                <w:szCs w:val="20"/>
              </w:rPr>
              <w:t>5.1</w:t>
            </w:r>
          </w:p>
          <w:p w14:paraId="7F94108B" w14:textId="5E8C2D04" w:rsidR="00617D1C" w:rsidRPr="007A2857" w:rsidRDefault="00617D1C" w:rsidP="00617D1C">
            <w:pPr>
              <w:keepNext/>
              <w:jc w:val="center"/>
              <w:rPr>
                <w:rFonts w:ascii="Arial Narrow" w:hAnsi="Arial Narrow"/>
                <w:iCs/>
                <w:sz w:val="20"/>
                <w:szCs w:val="20"/>
              </w:rPr>
            </w:pPr>
            <w:r w:rsidRPr="00362208">
              <w:rPr>
                <w:rFonts w:ascii="Arial Narrow" w:hAnsi="Arial Narrow"/>
                <w:iCs/>
                <w:sz w:val="20"/>
                <w:szCs w:val="20"/>
              </w:rPr>
              <w:t>(0.0</w:t>
            </w:r>
            <w:r>
              <w:rPr>
                <w:rFonts w:ascii="Arial Narrow" w:hAnsi="Arial Narrow"/>
                <w:iCs/>
                <w:sz w:val="20"/>
                <w:szCs w:val="20"/>
              </w:rPr>
              <w:t>-</w:t>
            </w:r>
            <w:r w:rsidRPr="00362208">
              <w:rPr>
                <w:rFonts w:ascii="Arial Narrow" w:hAnsi="Arial Narrow"/>
                <w:iCs/>
                <w:sz w:val="20"/>
                <w:szCs w:val="20"/>
              </w:rPr>
              <w:t>3</w:t>
            </w:r>
            <w:r>
              <w:rPr>
                <w:rFonts w:ascii="Arial Narrow" w:hAnsi="Arial Narrow"/>
                <w:iCs/>
                <w:sz w:val="20"/>
                <w:szCs w:val="20"/>
              </w:rPr>
              <w:t>8</w:t>
            </w:r>
            <w:r w:rsidRPr="00362208">
              <w:rPr>
                <w:rFonts w:ascii="Arial Narrow" w:hAnsi="Arial Narrow"/>
                <w:iCs/>
                <w:sz w:val="20"/>
                <w:szCs w:val="20"/>
              </w:rPr>
              <w:t>.</w:t>
            </w:r>
            <w:r>
              <w:rPr>
                <w:rFonts w:ascii="Arial Narrow" w:hAnsi="Arial Narrow"/>
                <w:iCs/>
                <w:sz w:val="20"/>
                <w:szCs w:val="20"/>
              </w:rPr>
              <w:t>9</w:t>
            </w:r>
            <w:r w:rsidRPr="00362208">
              <w:rPr>
                <w:rFonts w:ascii="Arial Narrow" w:hAnsi="Arial Narrow"/>
                <w:iCs/>
                <w:sz w:val="20"/>
                <w:szCs w:val="20"/>
              </w:rPr>
              <w:t>)</w:t>
            </w:r>
          </w:p>
        </w:tc>
        <w:tc>
          <w:tcPr>
            <w:tcW w:w="1035" w:type="pct"/>
            <w:gridSpan w:val="2"/>
            <w:tcBorders>
              <w:top w:val="single" w:sz="4" w:space="0" w:color="auto"/>
              <w:left w:val="single" w:sz="4" w:space="0" w:color="auto"/>
              <w:bottom w:val="single" w:sz="4" w:space="0" w:color="auto"/>
            </w:tcBorders>
            <w:shd w:val="clear" w:color="auto" w:fill="FFFFFF"/>
          </w:tcPr>
          <w:p w14:paraId="6E4B9842" w14:textId="77777777" w:rsidR="00617D1C" w:rsidRPr="00E32172" w:rsidRDefault="00617D1C" w:rsidP="00617D1C">
            <w:pPr>
              <w:keepNext/>
              <w:jc w:val="center"/>
              <w:rPr>
                <w:rFonts w:ascii="Arial Narrow" w:hAnsi="Arial Narrow"/>
                <w:iCs/>
                <w:sz w:val="20"/>
                <w:szCs w:val="20"/>
              </w:rPr>
            </w:pPr>
            <w:r w:rsidRPr="00E32172">
              <w:rPr>
                <w:rFonts w:ascii="Arial Narrow" w:hAnsi="Arial Narrow"/>
                <w:iCs/>
                <w:sz w:val="20"/>
                <w:szCs w:val="20"/>
              </w:rPr>
              <w:t xml:space="preserve">28.1 </w:t>
            </w:r>
          </w:p>
          <w:p w14:paraId="651D0E3E" w14:textId="77777777" w:rsidR="00617D1C" w:rsidRPr="00CC1A8B" w:rsidRDefault="00617D1C" w:rsidP="00617D1C">
            <w:pPr>
              <w:keepNext/>
              <w:jc w:val="center"/>
              <w:rPr>
                <w:rFonts w:ascii="Arial Narrow" w:hAnsi="Arial Narrow"/>
                <w:iCs/>
                <w:sz w:val="20"/>
                <w:szCs w:val="20"/>
                <w:highlight w:val="yellow"/>
              </w:rPr>
            </w:pPr>
            <w:r w:rsidRPr="00E32172">
              <w:rPr>
                <w:rFonts w:ascii="Arial Narrow" w:hAnsi="Arial Narrow"/>
                <w:iCs/>
                <w:sz w:val="20"/>
                <w:szCs w:val="20"/>
              </w:rPr>
              <w:t>(0.0-35.9)</w:t>
            </w:r>
          </w:p>
        </w:tc>
        <w:tc>
          <w:tcPr>
            <w:tcW w:w="517" w:type="pct"/>
            <w:tcBorders>
              <w:top w:val="single" w:sz="4" w:space="0" w:color="auto"/>
              <w:bottom w:val="single" w:sz="4" w:space="0" w:color="auto"/>
              <w:right w:val="single" w:sz="4" w:space="0" w:color="auto"/>
            </w:tcBorders>
            <w:shd w:val="clear" w:color="auto" w:fill="FFFFFF"/>
            <w:vAlign w:val="center"/>
          </w:tcPr>
          <w:p w14:paraId="26B83A84" w14:textId="77777777" w:rsidR="00617D1C" w:rsidRDefault="00617D1C" w:rsidP="00617D1C">
            <w:pPr>
              <w:keepNext/>
              <w:jc w:val="center"/>
              <w:rPr>
                <w:rFonts w:ascii="Arial Narrow" w:hAnsi="Arial Narrow"/>
                <w:iCs/>
                <w:sz w:val="20"/>
                <w:szCs w:val="20"/>
              </w:rPr>
            </w:pPr>
            <w:r w:rsidRPr="0076533B">
              <w:rPr>
                <w:rFonts w:ascii="Arial Narrow" w:hAnsi="Arial Narrow"/>
                <w:iCs/>
                <w:sz w:val="20"/>
                <w:szCs w:val="20"/>
              </w:rPr>
              <w:t xml:space="preserve">28.5 </w:t>
            </w:r>
          </w:p>
          <w:p w14:paraId="04A99334" w14:textId="77777777" w:rsidR="00617D1C" w:rsidRPr="00CC1A8B" w:rsidRDefault="00617D1C" w:rsidP="00617D1C">
            <w:pPr>
              <w:keepNext/>
              <w:jc w:val="center"/>
              <w:rPr>
                <w:rFonts w:ascii="Arial Narrow" w:hAnsi="Arial Narrow"/>
                <w:iCs/>
                <w:sz w:val="20"/>
                <w:szCs w:val="20"/>
                <w:highlight w:val="yellow"/>
              </w:rPr>
            </w:pPr>
            <w:r w:rsidRPr="0076533B">
              <w:rPr>
                <w:rFonts w:ascii="Arial Narrow" w:hAnsi="Arial Narrow"/>
                <w:iCs/>
                <w:sz w:val="20"/>
                <w:szCs w:val="20"/>
              </w:rPr>
              <w:t xml:space="preserve">(1.7-40.3) </w:t>
            </w:r>
          </w:p>
        </w:tc>
        <w:tc>
          <w:tcPr>
            <w:tcW w:w="517" w:type="pct"/>
            <w:tcBorders>
              <w:top w:val="single" w:sz="4" w:space="0" w:color="auto"/>
              <w:bottom w:val="single" w:sz="4" w:space="0" w:color="auto"/>
              <w:right w:val="single" w:sz="4" w:space="0" w:color="auto"/>
            </w:tcBorders>
            <w:shd w:val="clear" w:color="auto" w:fill="FFFFFF"/>
            <w:vAlign w:val="center"/>
          </w:tcPr>
          <w:p w14:paraId="7880DCAC" w14:textId="77777777" w:rsidR="00617D1C" w:rsidRDefault="00617D1C" w:rsidP="00617D1C">
            <w:pPr>
              <w:keepNext/>
              <w:jc w:val="center"/>
              <w:rPr>
                <w:rFonts w:ascii="Arial Narrow" w:hAnsi="Arial Narrow"/>
                <w:iCs/>
                <w:sz w:val="20"/>
                <w:szCs w:val="20"/>
              </w:rPr>
            </w:pPr>
            <w:r w:rsidRPr="0076533B">
              <w:rPr>
                <w:rFonts w:ascii="Arial Narrow" w:hAnsi="Arial Narrow"/>
                <w:iCs/>
                <w:sz w:val="20"/>
                <w:szCs w:val="20"/>
              </w:rPr>
              <w:t xml:space="preserve">28.4 </w:t>
            </w:r>
          </w:p>
          <w:p w14:paraId="029EA7D3" w14:textId="77777777" w:rsidR="00617D1C" w:rsidRPr="00CC1A8B" w:rsidRDefault="00617D1C" w:rsidP="00617D1C">
            <w:pPr>
              <w:keepNext/>
              <w:jc w:val="center"/>
              <w:rPr>
                <w:rFonts w:ascii="Arial Narrow" w:hAnsi="Arial Narrow"/>
                <w:iCs/>
                <w:sz w:val="20"/>
                <w:szCs w:val="20"/>
                <w:highlight w:val="yellow"/>
              </w:rPr>
            </w:pPr>
            <w:r w:rsidRPr="0076533B">
              <w:rPr>
                <w:rFonts w:ascii="Arial Narrow" w:hAnsi="Arial Narrow"/>
                <w:iCs/>
                <w:sz w:val="20"/>
                <w:szCs w:val="20"/>
              </w:rPr>
              <w:t>(0.1-40.8)</w:t>
            </w:r>
          </w:p>
        </w:tc>
        <w:tc>
          <w:tcPr>
            <w:tcW w:w="515" w:type="pct"/>
            <w:tcBorders>
              <w:top w:val="single" w:sz="4" w:space="0" w:color="auto"/>
              <w:bottom w:val="single" w:sz="4" w:space="0" w:color="auto"/>
              <w:right w:val="single" w:sz="4" w:space="0" w:color="auto"/>
            </w:tcBorders>
            <w:shd w:val="clear" w:color="auto" w:fill="FFFFFF"/>
            <w:vAlign w:val="center"/>
          </w:tcPr>
          <w:p w14:paraId="1B990E84" w14:textId="77777777" w:rsidR="00617D1C" w:rsidRDefault="00617D1C" w:rsidP="00617D1C">
            <w:pPr>
              <w:keepNext/>
              <w:jc w:val="center"/>
              <w:rPr>
                <w:rFonts w:ascii="Arial Narrow" w:hAnsi="Arial Narrow"/>
                <w:iCs/>
                <w:sz w:val="20"/>
                <w:szCs w:val="20"/>
              </w:rPr>
            </w:pPr>
            <w:r w:rsidRPr="0076533B">
              <w:rPr>
                <w:rFonts w:ascii="Arial Narrow" w:hAnsi="Arial Narrow"/>
                <w:iCs/>
                <w:sz w:val="20"/>
                <w:szCs w:val="20"/>
              </w:rPr>
              <w:t xml:space="preserve">28.0 </w:t>
            </w:r>
          </w:p>
          <w:p w14:paraId="59CE8EA8" w14:textId="77777777" w:rsidR="00617D1C" w:rsidRPr="00CC1A8B" w:rsidRDefault="00617D1C" w:rsidP="00617D1C">
            <w:pPr>
              <w:keepNext/>
              <w:jc w:val="center"/>
              <w:rPr>
                <w:rFonts w:ascii="Arial Narrow" w:hAnsi="Arial Narrow"/>
                <w:iCs/>
                <w:sz w:val="20"/>
                <w:szCs w:val="20"/>
                <w:highlight w:val="yellow"/>
              </w:rPr>
            </w:pPr>
            <w:r w:rsidRPr="0076533B">
              <w:rPr>
                <w:rFonts w:ascii="Arial Narrow" w:hAnsi="Arial Narrow"/>
                <w:iCs/>
                <w:sz w:val="20"/>
                <w:szCs w:val="20"/>
              </w:rPr>
              <w:t>(0.0-40.4)</w:t>
            </w:r>
          </w:p>
        </w:tc>
      </w:tr>
      <w:tr w:rsidR="00C0506B" w:rsidRPr="00CC1A8B" w14:paraId="75B4B5C3" w14:textId="77777777" w:rsidTr="006A1BBC">
        <w:trPr>
          <w:cantSplit/>
        </w:trPr>
        <w:tc>
          <w:tcPr>
            <w:tcW w:w="858" w:type="pct"/>
            <w:tcBorders>
              <w:top w:val="single" w:sz="4" w:space="0" w:color="auto"/>
              <w:right w:val="single" w:sz="4" w:space="0" w:color="auto"/>
            </w:tcBorders>
            <w:vAlign w:val="center"/>
          </w:tcPr>
          <w:p w14:paraId="14BA1C96" w14:textId="77777777" w:rsidR="00C0506B" w:rsidRPr="00EB0DDD" w:rsidRDefault="00C0506B" w:rsidP="006A1BBC">
            <w:pPr>
              <w:keepNext/>
              <w:jc w:val="left"/>
              <w:rPr>
                <w:rFonts w:ascii="Arial Narrow" w:hAnsi="Arial Narrow"/>
                <w:sz w:val="20"/>
                <w:szCs w:val="20"/>
              </w:rPr>
            </w:pPr>
            <w:r w:rsidRPr="00EB0DDD">
              <w:rPr>
                <w:rFonts w:ascii="Arial Narrow" w:hAnsi="Arial Narrow"/>
                <w:sz w:val="20"/>
                <w:szCs w:val="20"/>
              </w:rPr>
              <w:t>Deaths, n (%)</w:t>
            </w:r>
          </w:p>
        </w:tc>
        <w:tc>
          <w:tcPr>
            <w:tcW w:w="517" w:type="pct"/>
            <w:tcBorders>
              <w:top w:val="single" w:sz="4" w:space="0" w:color="auto"/>
              <w:left w:val="single" w:sz="4" w:space="0" w:color="auto"/>
              <w:bottom w:val="single" w:sz="4" w:space="0" w:color="auto"/>
            </w:tcBorders>
            <w:shd w:val="clear" w:color="auto" w:fill="FFFFFF"/>
          </w:tcPr>
          <w:p w14:paraId="42E767AE" w14:textId="77777777" w:rsidR="00C0506B" w:rsidRPr="00CC1A8B" w:rsidRDefault="00C0506B" w:rsidP="006A1BBC">
            <w:pPr>
              <w:keepNext/>
              <w:jc w:val="center"/>
              <w:rPr>
                <w:rFonts w:ascii="Arial Narrow" w:hAnsi="Arial Narrow"/>
                <w:iCs/>
                <w:sz w:val="20"/>
                <w:szCs w:val="20"/>
                <w:highlight w:val="yellow"/>
              </w:rPr>
            </w:pPr>
            <w:r w:rsidRPr="00BC3265">
              <w:rPr>
                <w:rFonts w:ascii="Arial Narrow" w:hAnsi="Arial Narrow"/>
                <w:iCs/>
                <w:sz w:val="20"/>
                <w:szCs w:val="20"/>
              </w:rPr>
              <w:t>16 (6.6)</w:t>
            </w:r>
          </w:p>
        </w:tc>
        <w:tc>
          <w:tcPr>
            <w:tcW w:w="523" w:type="pct"/>
            <w:tcBorders>
              <w:top w:val="single" w:sz="4" w:space="0" w:color="auto"/>
              <w:bottom w:val="single" w:sz="4" w:space="0" w:color="auto"/>
            </w:tcBorders>
            <w:shd w:val="clear" w:color="auto" w:fill="FFFFFF"/>
          </w:tcPr>
          <w:p w14:paraId="42815919" w14:textId="77777777" w:rsidR="00C0506B" w:rsidRPr="00CC1A8B" w:rsidRDefault="00C0506B" w:rsidP="006A1BBC">
            <w:pPr>
              <w:keepNext/>
              <w:jc w:val="center"/>
              <w:rPr>
                <w:rFonts w:ascii="Arial Narrow" w:hAnsi="Arial Narrow"/>
                <w:iCs/>
                <w:sz w:val="20"/>
                <w:szCs w:val="20"/>
                <w:highlight w:val="yellow"/>
              </w:rPr>
            </w:pPr>
            <w:r w:rsidRPr="00AC5629">
              <w:rPr>
                <w:rFonts w:ascii="Arial Narrow" w:hAnsi="Arial Narrow"/>
                <w:iCs/>
                <w:sz w:val="20"/>
                <w:szCs w:val="20"/>
              </w:rPr>
              <w:t>8 (7.3)</w:t>
            </w:r>
          </w:p>
        </w:tc>
        <w:tc>
          <w:tcPr>
            <w:tcW w:w="518" w:type="pct"/>
            <w:tcBorders>
              <w:top w:val="single" w:sz="4" w:space="0" w:color="auto"/>
              <w:bottom w:val="single" w:sz="4" w:space="0" w:color="auto"/>
              <w:right w:val="single" w:sz="4" w:space="0" w:color="auto"/>
            </w:tcBorders>
            <w:shd w:val="clear" w:color="auto" w:fill="FFFFFF"/>
          </w:tcPr>
          <w:p w14:paraId="7743FA95" w14:textId="77777777" w:rsidR="00C0506B" w:rsidRPr="00CC1A8B" w:rsidRDefault="00C0506B" w:rsidP="006A1BBC">
            <w:pPr>
              <w:keepNext/>
              <w:jc w:val="center"/>
              <w:rPr>
                <w:rFonts w:ascii="Arial Narrow" w:hAnsi="Arial Narrow"/>
                <w:iCs/>
                <w:sz w:val="20"/>
                <w:szCs w:val="20"/>
                <w:highlight w:val="yellow"/>
              </w:rPr>
            </w:pPr>
            <w:r w:rsidRPr="00BC3265">
              <w:rPr>
                <w:rFonts w:ascii="Arial Narrow" w:hAnsi="Arial Narrow"/>
                <w:iCs/>
                <w:sz w:val="20"/>
                <w:szCs w:val="20"/>
              </w:rPr>
              <w:t>14 (5.9)</w:t>
            </w:r>
          </w:p>
        </w:tc>
        <w:tc>
          <w:tcPr>
            <w:tcW w:w="517" w:type="pct"/>
            <w:tcBorders>
              <w:top w:val="single" w:sz="4" w:space="0" w:color="auto"/>
              <w:left w:val="single" w:sz="4" w:space="0" w:color="auto"/>
            </w:tcBorders>
            <w:shd w:val="clear" w:color="auto" w:fill="FFFFFF"/>
          </w:tcPr>
          <w:p w14:paraId="05F1128E" w14:textId="77777777" w:rsidR="00C0506B" w:rsidRPr="00CC1A8B" w:rsidRDefault="00C0506B" w:rsidP="006A1BBC">
            <w:pPr>
              <w:keepNext/>
              <w:jc w:val="center"/>
              <w:rPr>
                <w:rFonts w:ascii="Arial Narrow" w:hAnsi="Arial Narrow"/>
                <w:iCs/>
                <w:sz w:val="20"/>
                <w:szCs w:val="20"/>
                <w:highlight w:val="yellow"/>
              </w:rPr>
            </w:pPr>
            <w:r w:rsidRPr="00E32172">
              <w:rPr>
                <w:rFonts w:ascii="Arial Narrow" w:hAnsi="Arial Narrow"/>
                <w:iCs/>
                <w:sz w:val="20"/>
                <w:szCs w:val="20"/>
              </w:rPr>
              <w:t>20 (9.3)</w:t>
            </w:r>
          </w:p>
        </w:tc>
        <w:tc>
          <w:tcPr>
            <w:tcW w:w="518" w:type="pct"/>
            <w:tcBorders>
              <w:top w:val="single" w:sz="4" w:space="0" w:color="auto"/>
            </w:tcBorders>
            <w:shd w:val="clear" w:color="auto" w:fill="FFFFFF"/>
          </w:tcPr>
          <w:p w14:paraId="0C617EC5" w14:textId="77777777" w:rsidR="00C0506B" w:rsidRPr="00CC1A8B" w:rsidRDefault="00C0506B" w:rsidP="006A1BBC">
            <w:pPr>
              <w:keepNext/>
              <w:jc w:val="center"/>
              <w:rPr>
                <w:rFonts w:ascii="Arial Narrow" w:hAnsi="Arial Narrow"/>
                <w:iCs/>
                <w:sz w:val="20"/>
                <w:szCs w:val="20"/>
                <w:highlight w:val="yellow"/>
              </w:rPr>
            </w:pPr>
            <w:r w:rsidRPr="00E32172">
              <w:rPr>
                <w:rFonts w:ascii="Arial Narrow" w:hAnsi="Arial Narrow"/>
                <w:iCs/>
                <w:sz w:val="20"/>
                <w:szCs w:val="20"/>
              </w:rPr>
              <w:t>17 (7.9)</w:t>
            </w:r>
          </w:p>
        </w:tc>
        <w:tc>
          <w:tcPr>
            <w:tcW w:w="517" w:type="pct"/>
            <w:tcBorders>
              <w:top w:val="single" w:sz="4" w:space="0" w:color="auto"/>
            </w:tcBorders>
            <w:shd w:val="clear" w:color="auto" w:fill="FFFFFF"/>
          </w:tcPr>
          <w:p w14:paraId="1349135A" w14:textId="77777777" w:rsidR="00C0506B" w:rsidRPr="00CC1A8B" w:rsidRDefault="00C0506B" w:rsidP="006A1BBC">
            <w:pPr>
              <w:keepNext/>
              <w:jc w:val="center"/>
              <w:rPr>
                <w:rFonts w:ascii="Arial Narrow" w:hAnsi="Arial Narrow"/>
                <w:iCs/>
                <w:sz w:val="20"/>
                <w:szCs w:val="20"/>
                <w:highlight w:val="yellow"/>
              </w:rPr>
            </w:pPr>
            <w:r w:rsidRPr="00993A03">
              <w:rPr>
                <w:rFonts w:ascii="Arial Narrow" w:hAnsi="Arial Narrow"/>
                <w:iCs/>
                <w:sz w:val="20"/>
                <w:szCs w:val="20"/>
              </w:rPr>
              <w:t xml:space="preserve">9 (5.0) </w:t>
            </w:r>
          </w:p>
        </w:tc>
        <w:tc>
          <w:tcPr>
            <w:tcW w:w="517" w:type="pct"/>
            <w:tcBorders>
              <w:top w:val="single" w:sz="4" w:space="0" w:color="auto"/>
            </w:tcBorders>
            <w:shd w:val="clear" w:color="auto" w:fill="FFFFFF"/>
          </w:tcPr>
          <w:p w14:paraId="7578179E" w14:textId="77777777" w:rsidR="00C0506B" w:rsidRPr="00CC1A8B" w:rsidRDefault="00C0506B" w:rsidP="006A1BBC">
            <w:pPr>
              <w:keepNext/>
              <w:jc w:val="center"/>
              <w:rPr>
                <w:rFonts w:ascii="Arial Narrow" w:hAnsi="Arial Narrow"/>
                <w:iCs/>
                <w:sz w:val="20"/>
                <w:szCs w:val="20"/>
                <w:highlight w:val="yellow"/>
              </w:rPr>
            </w:pPr>
            <w:r w:rsidRPr="00993A03">
              <w:rPr>
                <w:rFonts w:ascii="Arial Narrow" w:hAnsi="Arial Narrow"/>
                <w:iCs/>
                <w:sz w:val="20"/>
                <w:szCs w:val="20"/>
              </w:rPr>
              <w:t>11 (6.1)</w:t>
            </w:r>
          </w:p>
        </w:tc>
        <w:tc>
          <w:tcPr>
            <w:tcW w:w="515" w:type="pct"/>
            <w:tcBorders>
              <w:top w:val="single" w:sz="4" w:space="0" w:color="auto"/>
            </w:tcBorders>
            <w:shd w:val="clear" w:color="auto" w:fill="FFFFFF"/>
          </w:tcPr>
          <w:p w14:paraId="1B2F03E2" w14:textId="77777777" w:rsidR="00C0506B" w:rsidRPr="00CC1A8B" w:rsidRDefault="00C0506B" w:rsidP="006A1BBC">
            <w:pPr>
              <w:keepNext/>
              <w:jc w:val="center"/>
              <w:rPr>
                <w:rFonts w:ascii="Arial Narrow" w:hAnsi="Arial Narrow"/>
                <w:iCs/>
                <w:sz w:val="20"/>
                <w:szCs w:val="20"/>
                <w:highlight w:val="yellow"/>
              </w:rPr>
            </w:pPr>
            <w:r w:rsidRPr="00993A03">
              <w:rPr>
                <w:rFonts w:ascii="Arial Narrow" w:hAnsi="Arial Narrow"/>
                <w:iCs/>
                <w:sz w:val="20"/>
                <w:szCs w:val="20"/>
              </w:rPr>
              <w:t>17 (9.6</w:t>
            </w:r>
            <w:r>
              <w:rPr>
                <w:rFonts w:ascii="Arial Narrow" w:hAnsi="Arial Narrow"/>
                <w:iCs/>
                <w:sz w:val="20"/>
                <w:szCs w:val="20"/>
              </w:rPr>
              <w:t>)</w:t>
            </w:r>
          </w:p>
        </w:tc>
      </w:tr>
      <w:tr w:rsidR="00C0506B" w:rsidRPr="00CC1A8B" w14:paraId="079AEBB4" w14:textId="77777777" w:rsidTr="006A1BBC">
        <w:tc>
          <w:tcPr>
            <w:tcW w:w="858" w:type="pct"/>
            <w:vAlign w:val="center"/>
          </w:tcPr>
          <w:p w14:paraId="30ADF0AD" w14:textId="77777777" w:rsidR="00C0506B" w:rsidRPr="00EB0DDD" w:rsidRDefault="00C0506B" w:rsidP="006A1BBC">
            <w:pPr>
              <w:keepNext/>
              <w:jc w:val="left"/>
              <w:rPr>
                <w:rFonts w:ascii="Arial Narrow" w:hAnsi="Arial Narrow"/>
                <w:iCs/>
                <w:sz w:val="20"/>
                <w:szCs w:val="20"/>
              </w:rPr>
            </w:pPr>
            <w:r w:rsidRPr="00EB0DDD">
              <w:rPr>
                <w:rFonts w:ascii="Arial Narrow" w:hAnsi="Arial Narrow"/>
                <w:sz w:val="20"/>
                <w:szCs w:val="20"/>
              </w:rPr>
              <w:t>Median OS, months (95% CI)</w:t>
            </w:r>
          </w:p>
        </w:tc>
        <w:tc>
          <w:tcPr>
            <w:tcW w:w="517" w:type="pct"/>
            <w:tcBorders>
              <w:top w:val="single" w:sz="4" w:space="0" w:color="auto"/>
            </w:tcBorders>
            <w:shd w:val="clear" w:color="auto" w:fill="FFFFFF"/>
            <w:vAlign w:val="center"/>
          </w:tcPr>
          <w:p w14:paraId="1BF6F9FC" w14:textId="77777777" w:rsidR="00C0506B" w:rsidRPr="00AC5629" w:rsidRDefault="00C0506B" w:rsidP="006A1BBC">
            <w:pPr>
              <w:keepNext/>
              <w:jc w:val="center"/>
              <w:rPr>
                <w:rFonts w:ascii="Arial Narrow" w:hAnsi="Arial Narrow"/>
                <w:iCs/>
                <w:sz w:val="20"/>
                <w:szCs w:val="20"/>
              </w:rPr>
            </w:pPr>
            <w:r w:rsidRPr="00AC5629">
              <w:rPr>
                <w:rFonts w:ascii="Arial Narrow" w:hAnsi="Arial Narrow"/>
                <w:iCs/>
                <w:sz w:val="20"/>
                <w:szCs w:val="20"/>
              </w:rPr>
              <w:t xml:space="preserve">NE </w:t>
            </w:r>
          </w:p>
          <w:p w14:paraId="6CE109EB" w14:textId="77777777" w:rsidR="00C0506B" w:rsidRPr="00CC1A8B" w:rsidRDefault="00C0506B" w:rsidP="006A1BBC">
            <w:pPr>
              <w:keepNext/>
              <w:jc w:val="center"/>
              <w:rPr>
                <w:rFonts w:ascii="Arial Narrow" w:hAnsi="Arial Narrow"/>
                <w:iCs/>
                <w:sz w:val="20"/>
                <w:szCs w:val="20"/>
                <w:highlight w:val="yellow"/>
              </w:rPr>
            </w:pPr>
            <w:r w:rsidRPr="00AC5629">
              <w:rPr>
                <w:rFonts w:ascii="Arial Narrow" w:hAnsi="Arial Narrow"/>
                <w:iCs/>
                <w:sz w:val="20"/>
                <w:szCs w:val="20"/>
              </w:rPr>
              <w:t>(NE, NE)</w:t>
            </w:r>
          </w:p>
        </w:tc>
        <w:tc>
          <w:tcPr>
            <w:tcW w:w="523" w:type="pct"/>
            <w:tcBorders>
              <w:top w:val="single" w:sz="4" w:space="0" w:color="auto"/>
            </w:tcBorders>
            <w:shd w:val="clear" w:color="auto" w:fill="FFFFFF"/>
            <w:vAlign w:val="center"/>
          </w:tcPr>
          <w:p w14:paraId="10466041" w14:textId="77777777" w:rsidR="00C0506B" w:rsidRPr="00EB0DDD" w:rsidRDefault="00C0506B" w:rsidP="006A1BBC">
            <w:pPr>
              <w:keepNext/>
              <w:jc w:val="center"/>
              <w:rPr>
                <w:rFonts w:ascii="Arial Narrow" w:hAnsi="Arial Narrow"/>
                <w:iCs/>
                <w:sz w:val="20"/>
                <w:szCs w:val="20"/>
              </w:rPr>
            </w:pPr>
            <w:r w:rsidRPr="00EB0DDD">
              <w:rPr>
                <w:rFonts w:ascii="Arial Narrow" w:hAnsi="Arial Narrow"/>
                <w:iCs/>
                <w:sz w:val="20"/>
                <w:szCs w:val="20"/>
              </w:rPr>
              <w:t xml:space="preserve">NE </w:t>
            </w:r>
          </w:p>
          <w:p w14:paraId="76E75608" w14:textId="77777777" w:rsidR="00C0506B" w:rsidRPr="00CC1A8B" w:rsidRDefault="00C0506B" w:rsidP="006A1BBC">
            <w:pPr>
              <w:keepNext/>
              <w:jc w:val="center"/>
              <w:rPr>
                <w:rFonts w:ascii="Arial Narrow" w:hAnsi="Arial Narrow"/>
                <w:iCs/>
                <w:sz w:val="20"/>
                <w:szCs w:val="20"/>
                <w:highlight w:val="yellow"/>
              </w:rPr>
            </w:pPr>
            <w:r w:rsidRPr="00EB0DDD">
              <w:rPr>
                <w:rFonts w:ascii="Arial Narrow" w:hAnsi="Arial Narrow"/>
                <w:iCs/>
                <w:sz w:val="20"/>
                <w:szCs w:val="20"/>
              </w:rPr>
              <w:t>(NE, NE)</w:t>
            </w:r>
          </w:p>
        </w:tc>
        <w:tc>
          <w:tcPr>
            <w:tcW w:w="518" w:type="pct"/>
            <w:tcBorders>
              <w:top w:val="single" w:sz="4" w:space="0" w:color="auto"/>
            </w:tcBorders>
            <w:shd w:val="clear" w:color="auto" w:fill="FFFFFF"/>
            <w:vAlign w:val="center"/>
          </w:tcPr>
          <w:p w14:paraId="23DC687E" w14:textId="77777777" w:rsidR="00C0506B" w:rsidRDefault="00C0506B" w:rsidP="006A1BBC">
            <w:pPr>
              <w:keepNext/>
              <w:jc w:val="center"/>
              <w:rPr>
                <w:rFonts w:ascii="Arial Narrow" w:hAnsi="Arial Narrow"/>
                <w:iCs/>
                <w:sz w:val="20"/>
                <w:szCs w:val="20"/>
              </w:rPr>
            </w:pPr>
            <w:r w:rsidRPr="005F4A89">
              <w:rPr>
                <w:rFonts w:ascii="Arial Narrow" w:hAnsi="Arial Narrow"/>
                <w:iCs/>
                <w:sz w:val="20"/>
                <w:szCs w:val="20"/>
              </w:rPr>
              <w:t xml:space="preserve">37.8 </w:t>
            </w:r>
          </w:p>
          <w:p w14:paraId="59A17FB7" w14:textId="77777777" w:rsidR="00C0506B" w:rsidRPr="00CC1A8B" w:rsidRDefault="00C0506B" w:rsidP="006A1BBC">
            <w:pPr>
              <w:keepNext/>
              <w:jc w:val="center"/>
              <w:rPr>
                <w:rFonts w:ascii="Arial Narrow" w:hAnsi="Arial Narrow"/>
                <w:iCs/>
                <w:sz w:val="20"/>
                <w:szCs w:val="20"/>
                <w:highlight w:val="yellow"/>
              </w:rPr>
            </w:pPr>
            <w:r w:rsidRPr="005F4A89">
              <w:rPr>
                <w:rFonts w:ascii="Arial Narrow" w:hAnsi="Arial Narrow"/>
                <w:iCs/>
                <w:sz w:val="20"/>
                <w:szCs w:val="20"/>
              </w:rPr>
              <w:t>(37.8, NE)</w:t>
            </w:r>
          </w:p>
        </w:tc>
        <w:tc>
          <w:tcPr>
            <w:tcW w:w="517" w:type="pct"/>
            <w:shd w:val="clear" w:color="auto" w:fill="FFFFFF"/>
          </w:tcPr>
          <w:p w14:paraId="23AD766F" w14:textId="77777777" w:rsidR="00C0506B" w:rsidRDefault="00C0506B" w:rsidP="006A1BBC">
            <w:pPr>
              <w:keepNext/>
              <w:jc w:val="center"/>
              <w:rPr>
                <w:rFonts w:ascii="Arial Narrow" w:hAnsi="Arial Narrow"/>
                <w:iCs/>
                <w:sz w:val="20"/>
                <w:szCs w:val="20"/>
              </w:rPr>
            </w:pPr>
            <w:r w:rsidRPr="00833245">
              <w:rPr>
                <w:rFonts w:ascii="Arial Narrow" w:hAnsi="Arial Narrow"/>
                <w:iCs/>
                <w:sz w:val="20"/>
                <w:szCs w:val="20"/>
              </w:rPr>
              <w:t xml:space="preserve">NE </w:t>
            </w:r>
          </w:p>
          <w:p w14:paraId="50A549D4" w14:textId="77777777" w:rsidR="00C0506B" w:rsidRPr="00CC1A8B" w:rsidRDefault="00C0506B" w:rsidP="006A1BBC">
            <w:pPr>
              <w:keepNext/>
              <w:jc w:val="center"/>
              <w:rPr>
                <w:rFonts w:ascii="Arial Narrow" w:hAnsi="Arial Narrow"/>
                <w:iCs/>
                <w:sz w:val="20"/>
                <w:szCs w:val="20"/>
                <w:highlight w:val="yellow"/>
              </w:rPr>
            </w:pPr>
            <w:r w:rsidRPr="00833245">
              <w:rPr>
                <w:rFonts w:ascii="Arial Narrow" w:hAnsi="Arial Narrow"/>
                <w:iCs/>
                <w:sz w:val="20"/>
                <w:szCs w:val="20"/>
              </w:rPr>
              <w:t>(</w:t>
            </w:r>
            <w:r>
              <w:rPr>
                <w:rFonts w:ascii="Arial Narrow" w:hAnsi="Arial Narrow"/>
                <w:iCs/>
                <w:sz w:val="20"/>
                <w:szCs w:val="20"/>
              </w:rPr>
              <w:t>NR</w:t>
            </w:r>
            <w:r w:rsidRPr="00833245">
              <w:rPr>
                <w:rFonts w:ascii="Arial Narrow" w:hAnsi="Arial Narrow"/>
                <w:iCs/>
                <w:sz w:val="20"/>
                <w:szCs w:val="20"/>
              </w:rPr>
              <w:t>)</w:t>
            </w:r>
          </w:p>
        </w:tc>
        <w:tc>
          <w:tcPr>
            <w:tcW w:w="518" w:type="pct"/>
            <w:shd w:val="clear" w:color="auto" w:fill="FFFFFF"/>
          </w:tcPr>
          <w:p w14:paraId="700E2B1F" w14:textId="77777777" w:rsidR="00C0506B" w:rsidRDefault="00C0506B" w:rsidP="006A1BBC">
            <w:pPr>
              <w:keepNext/>
              <w:jc w:val="center"/>
              <w:rPr>
                <w:rFonts w:ascii="Arial Narrow" w:hAnsi="Arial Narrow"/>
                <w:iCs/>
                <w:sz w:val="20"/>
                <w:szCs w:val="20"/>
              </w:rPr>
            </w:pPr>
            <w:r w:rsidRPr="00833245">
              <w:rPr>
                <w:rFonts w:ascii="Arial Narrow" w:hAnsi="Arial Narrow"/>
                <w:iCs/>
                <w:sz w:val="20"/>
                <w:szCs w:val="20"/>
              </w:rPr>
              <w:t xml:space="preserve">NE </w:t>
            </w:r>
          </w:p>
          <w:p w14:paraId="6A992DAF" w14:textId="77777777" w:rsidR="00C0506B" w:rsidRPr="00833245" w:rsidRDefault="00C0506B" w:rsidP="006A1BBC">
            <w:pPr>
              <w:keepNext/>
              <w:jc w:val="center"/>
              <w:rPr>
                <w:rFonts w:ascii="Arial Narrow" w:hAnsi="Arial Narrow"/>
                <w:iCs/>
                <w:sz w:val="20"/>
                <w:szCs w:val="20"/>
              </w:rPr>
            </w:pPr>
            <w:r w:rsidRPr="00833245">
              <w:rPr>
                <w:rFonts w:ascii="Arial Narrow" w:hAnsi="Arial Narrow"/>
                <w:iCs/>
                <w:sz w:val="20"/>
                <w:szCs w:val="20"/>
              </w:rPr>
              <w:t>(</w:t>
            </w:r>
            <w:r>
              <w:rPr>
                <w:rFonts w:ascii="Arial Narrow" w:hAnsi="Arial Narrow"/>
                <w:iCs/>
                <w:sz w:val="20"/>
                <w:szCs w:val="20"/>
              </w:rPr>
              <w:t>NR</w:t>
            </w:r>
            <w:r w:rsidRPr="00833245">
              <w:rPr>
                <w:rFonts w:ascii="Arial Narrow" w:hAnsi="Arial Narrow"/>
                <w:iCs/>
                <w:sz w:val="20"/>
                <w:szCs w:val="20"/>
              </w:rPr>
              <w:t>)</w:t>
            </w:r>
          </w:p>
        </w:tc>
        <w:tc>
          <w:tcPr>
            <w:tcW w:w="517" w:type="pct"/>
            <w:shd w:val="clear" w:color="auto" w:fill="FFFFFF"/>
          </w:tcPr>
          <w:p w14:paraId="117A824C" w14:textId="77777777" w:rsidR="00C0506B" w:rsidRPr="00E42B25" w:rsidRDefault="00C0506B" w:rsidP="006A1BBC">
            <w:pPr>
              <w:keepNext/>
              <w:jc w:val="center"/>
              <w:rPr>
                <w:rFonts w:ascii="Arial Narrow" w:hAnsi="Arial Narrow"/>
                <w:iCs/>
                <w:sz w:val="20"/>
                <w:szCs w:val="20"/>
              </w:rPr>
            </w:pPr>
            <w:r w:rsidRPr="00E42B25">
              <w:rPr>
                <w:rFonts w:ascii="Arial Narrow" w:hAnsi="Arial Narrow"/>
                <w:iCs/>
                <w:sz w:val="20"/>
                <w:szCs w:val="20"/>
              </w:rPr>
              <w:t xml:space="preserve">NE </w:t>
            </w:r>
          </w:p>
          <w:p w14:paraId="23E54A6B" w14:textId="77777777" w:rsidR="00C0506B" w:rsidRPr="00E42B25" w:rsidRDefault="00C0506B" w:rsidP="006A1BBC">
            <w:pPr>
              <w:keepNext/>
              <w:jc w:val="center"/>
              <w:rPr>
                <w:rFonts w:ascii="Arial Narrow" w:hAnsi="Arial Narrow"/>
                <w:iCs/>
                <w:sz w:val="20"/>
                <w:szCs w:val="20"/>
              </w:rPr>
            </w:pPr>
            <w:r w:rsidRPr="00E42B25">
              <w:rPr>
                <w:rFonts w:ascii="Arial Narrow" w:hAnsi="Arial Narrow"/>
                <w:iCs/>
                <w:sz w:val="20"/>
                <w:szCs w:val="20"/>
              </w:rPr>
              <w:t>(NE, NE)</w:t>
            </w:r>
          </w:p>
        </w:tc>
        <w:tc>
          <w:tcPr>
            <w:tcW w:w="517" w:type="pct"/>
            <w:shd w:val="clear" w:color="auto" w:fill="FFFFFF"/>
          </w:tcPr>
          <w:p w14:paraId="2E64B62D" w14:textId="77777777" w:rsidR="00C0506B" w:rsidRPr="00E42B25" w:rsidRDefault="00C0506B" w:rsidP="006A1BBC">
            <w:pPr>
              <w:keepNext/>
              <w:jc w:val="center"/>
              <w:rPr>
                <w:rFonts w:ascii="Arial Narrow" w:hAnsi="Arial Narrow"/>
                <w:iCs/>
                <w:sz w:val="20"/>
                <w:szCs w:val="20"/>
              </w:rPr>
            </w:pPr>
            <w:r w:rsidRPr="00E42B25">
              <w:rPr>
                <w:rFonts w:ascii="Arial Narrow" w:hAnsi="Arial Narrow"/>
                <w:iCs/>
                <w:sz w:val="20"/>
                <w:szCs w:val="20"/>
              </w:rPr>
              <w:t xml:space="preserve">NE </w:t>
            </w:r>
          </w:p>
          <w:p w14:paraId="68ADA4E0" w14:textId="77777777" w:rsidR="00C0506B" w:rsidRPr="00E42B25" w:rsidRDefault="00C0506B" w:rsidP="006A1BBC">
            <w:pPr>
              <w:keepNext/>
              <w:jc w:val="center"/>
              <w:rPr>
                <w:rFonts w:ascii="Arial Narrow" w:hAnsi="Arial Narrow"/>
                <w:iCs/>
                <w:sz w:val="20"/>
                <w:szCs w:val="20"/>
              </w:rPr>
            </w:pPr>
            <w:r w:rsidRPr="00E42B25">
              <w:rPr>
                <w:rFonts w:ascii="Arial Narrow" w:hAnsi="Arial Narrow"/>
                <w:iCs/>
                <w:sz w:val="20"/>
                <w:szCs w:val="20"/>
              </w:rPr>
              <w:t>(NE, NE)</w:t>
            </w:r>
          </w:p>
        </w:tc>
        <w:tc>
          <w:tcPr>
            <w:tcW w:w="515" w:type="pct"/>
            <w:shd w:val="clear" w:color="auto" w:fill="FFFFFF"/>
          </w:tcPr>
          <w:p w14:paraId="689B1EFB" w14:textId="77777777" w:rsidR="00C0506B" w:rsidRPr="00E42B25" w:rsidRDefault="00C0506B" w:rsidP="006A1BBC">
            <w:pPr>
              <w:keepNext/>
              <w:jc w:val="center"/>
              <w:rPr>
                <w:rFonts w:ascii="Arial Narrow" w:hAnsi="Arial Narrow"/>
                <w:iCs/>
                <w:sz w:val="20"/>
                <w:szCs w:val="20"/>
              </w:rPr>
            </w:pPr>
            <w:r w:rsidRPr="00E42B25">
              <w:rPr>
                <w:rFonts w:ascii="Arial Narrow" w:hAnsi="Arial Narrow"/>
                <w:iCs/>
                <w:sz w:val="20"/>
                <w:szCs w:val="20"/>
              </w:rPr>
              <w:t xml:space="preserve">NE </w:t>
            </w:r>
          </w:p>
          <w:p w14:paraId="22007BD2" w14:textId="77777777" w:rsidR="00C0506B" w:rsidRPr="00E42B25" w:rsidRDefault="00C0506B" w:rsidP="006A1BBC">
            <w:pPr>
              <w:keepNext/>
              <w:jc w:val="center"/>
              <w:rPr>
                <w:rFonts w:ascii="Arial Narrow" w:hAnsi="Arial Narrow"/>
                <w:iCs/>
                <w:sz w:val="20"/>
                <w:szCs w:val="20"/>
              </w:rPr>
            </w:pPr>
            <w:r w:rsidRPr="00E42B25">
              <w:rPr>
                <w:rFonts w:ascii="Arial Narrow" w:hAnsi="Arial Narrow"/>
                <w:iCs/>
                <w:sz w:val="20"/>
                <w:szCs w:val="20"/>
              </w:rPr>
              <w:t>(NE, NE)</w:t>
            </w:r>
          </w:p>
        </w:tc>
      </w:tr>
      <w:tr w:rsidR="00C0506B" w:rsidRPr="00CC1A8B" w14:paraId="525812FB" w14:textId="77777777" w:rsidTr="006A1BBC">
        <w:tc>
          <w:tcPr>
            <w:tcW w:w="858" w:type="pct"/>
          </w:tcPr>
          <w:p w14:paraId="5D5105A5" w14:textId="77777777" w:rsidR="00C0506B" w:rsidRPr="00EB0DDD" w:rsidRDefault="00C0506B" w:rsidP="006A1BBC">
            <w:pPr>
              <w:keepNext/>
              <w:jc w:val="left"/>
              <w:rPr>
                <w:rFonts w:ascii="Arial Narrow" w:hAnsi="Arial Narrow"/>
                <w:sz w:val="20"/>
                <w:szCs w:val="20"/>
              </w:rPr>
            </w:pPr>
            <w:r w:rsidRPr="00EB0DDD">
              <w:rPr>
                <w:rFonts w:ascii="Arial Narrow" w:hAnsi="Arial Narrow"/>
                <w:sz w:val="20"/>
                <w:szCs w:val="20"/>
              </w:rPr>
              <w:t>HR vs comparator (95% CI)</w:t>
            </w:r>
          </w:p>
        </w:tc>
        <w:tc>
          <w:tcPr>
            <w:tcW w:w="517" w:type="pct"/>
            <w:shd w:val="clear" w:color="auto" w:fill="FFFFFF"/>
            <w:vAlign w:val="center"/>
          </w:tcPr>
          <w:p w14:paraId="0852800F" w14:textId="77777777" w:rsidR="00C0506B" w:rsidRDefault="00C0506B" w:rsidP="006A1BBC">
            <w:pPr>
              <w:keepNext/>
              <w:jc w:val="center"/>
              <w:rPr>
                <w:rFonts w:ascii="Arial Narrow" w:hAnsi="Arial Narrow"/>
                <w:b/>
                <w:bCs/>
                <w:iCs/>
                <w:sz w:val="20"/>
                <w:szCs w:val="20"/>
              </w:rPr>
            </w:pPr>
            <w:r w:rsidRPr="005F4A89">
              <w:rPr>
                <w:rFonts w:ascii="Arial Narrow" w:hAnsi="Arial Narrow"/>
                <w:b/>
                <w:bCs/>
                <w:iCs/>
                <w:sz w:val="20"/>
                <w:szCs w:val="20"/>
              </w:rPr>
              <w:t xml:space="preserve">1.07 </w:t>
            </w:r>
          </w:p>
          <w:p w14:paraId="60076F40" w14:textId="77777777" w:rsidR="00C0506B" w:rsidRPr="00CC1A8B" w:rsidRDefault="00C0506B" w:rsidP="006A1BBC">
            <w:pPr>
              <w:keepNext/>
              <w:jc w:val="center"/>
              <w:rPr>
                <w:rFonts w:ascii="Arial Narrow" w:hAnsi="Arial Narrow"/>
                <w:b/>
                <w:bCs/>
                <w:iCs/>
                <w:sz w:val="20"/>
                <w:szCs w:val="20"/>
                <w:highlight w:val="yellow"/>
              </w:rPr>
            </w:pPr>
            <w:r w:rsidRPr="005F4A89">
              <w:rPr>
                <w:rFonts w:ascii="Arial Narrow" w:hAnsi="Arial Narrow"/>
                <w:b/>
                <w:bCs/>
                <w:iCs/>
                <w:sz w:val="20"/>
                <w:szCs w:val="20"/>
              </w:rPr>
              <w:t>(0.51, 2.22)</w:t>
            </w:r>
          </w:p>
        </w:tc>
        <w:tc>
          <w:tcPr>
            <w:tcW w:w="523" w:type="pct"/>
            <w:shd w:val="clear" w:color="auto" w:fill="FFFFFF"/>
            <w:vAlign w:val="center"/>
          </w:tcPr>
          <w:p w14:paraId="1843E61C" w14:textId="77777777" w:rsidR="00C0506B" w:rsidRPr="00AC5629" w:rsidRDefault="00C0506B" w:rsidP="006A1BBC">
            <w:pPr>
              <w:keepNext/>
              <w:jc w:val="center"/>
              <w:rPr>
                <w:rFonts w:ascii="Arial Narrow" w:hAnsi="Arial Narrow"/>
                <w:iCs/>
                <w:sz w:val="20"/>
                <w:szCs w:val="20"/>
              </w:rPr>
            </w:pPr>
            <w:r w:rsidRPr="00AC5629">
              <w:rPr>
                <w:rFonts w:ascii="Arial Narrow" w:hAnsi="Arial Narrow"/>
                <w:iCs/>
                <w:sz w:val="20"/>
                <w:szCs w:val="20"/>
              </w:rPr>
              <w:t>-</w:t>
            </w:r>
          </w:p>
        </w:tc>
        <w:tc>
          <w:tcPr>
            <w:tcW w:w="518" w:type="pct"/>
            <w:shd w:val="clear" w:color="auto" w:fill="FFFFFF"/>
            <w:vAlign w:val="center"/>
          </w:tcPr>
          <w:p w14:paraId="7FDF7D4F" w14:textId="77777777" w:rsidR="00C0506B" w:rsidRPr="00AC5629" w:rsidRDefault="00C0506B" w:rsidP="006A1BBC">
            <w:pPr>
              <w:keepNext/>
              <w:jc w:val="center"/>
              <w:rPr>
                <w:rFonts w:ascii="Arial Narrow" w:hAnsi="Arial Narrow"/>
                <w:iCs/>
                <w:sz w:val="20"/>
                <w:szCs w:val="20"/>
              </w:rPr>
            </w:pPr>
            <w:r w:rsidRPr="00AC5629">
              <w:rPr>
                <w:rFonts w:ascii="Arial Narrow" w:hAnsi="Arial Narrow"/>
                <w:iCs/>
                <w:sz w:val="20"/>
                <w:szCs w:val="20"/>
              </w:rPr>
              <w:t>-</w:t>
            </w:r>
          </w:p>
        </w:tc>
        <w:tc>
          <w:tcPr>
            <w:tcW w:w="517" w:type="pct"/>
            <w:shd w:val="clear" w:color="auto" w:fill="FFFFFF"/>
            <w:vAlign w:val="center"/>
          </w:tcPr>
          <w:p w14:paraId="3BD7484B" w14:textId="77777777" w:rsidR="00C0506B" w:rsidRDefault="00C0506B" w:rsidP="006A1BBC">
            <w:pPr>
              <w:keepNext/>
              <w:jc w:val="center"/>
              <w:rPr>
                <w:rFonts w:ascii="Arial Narrow" w:hAnsi="Arial Narrow"/>
                <w:b/>
                <w:bCs/>
                <w:iCs/>
                <w:sz w:val="20"/>
                <w:szCs w:val="20"/>
              </w:rPr>
            </w:pPr>
            <w:r w:rsidRPr="00833245">
              <w:rPr>
                <w:rFonts w:ascii="Arial Narrow" w:hAnsi="Arial Narrow"/>
                <w:b/>
                <w:bCs/>
                <w:iCs/>
                <w:sz w:val="20"/>
                <w:szCs w:val="20"/>
              </w:rPr>
              <w:t xml:space="preserve">1.24 </w:t>
            </w:r>
          </w:p>
          <w:p w14:paraId="4CFD442E" w14:textId="77777777" w:rsidR="00C0506B" w:rsidRPr="00CC1A8B" w:rsidRDefault="00C0506B" w:rsidP="006A1BBC">
            <w:pPr>
              <w:keepNext/>
              <w:jc w:val="center"/>
              <w:rPr>
                <w:rFonts w:ascii="Arial Narrow" w:hAnsi="Arial Narrow"/>
                <w:b/>
                <w:bCs/>
                <w:iCs/>
                <w:sz w:val="20"/>
                <w:szCs w:val="20"/>
                <w:highlight w:val="yellow"/>
              </w:rPr>
            </w:pPr>
            <w:r w:rsidRPr="00833245">
              <w:rPr>
                <w:rFonts w:ascii="Arial Narrow" w:hAnsi="Arial Narrow"/>
                <w:b/>
                <w:bCs/>
                <w:iCs/>
                <w:sz w:val="20"/>
                <w:szCs w:val="20"/>
              </w:rPr>
              <w:t>(0.64, 2.40)</w:t>
            </w:r>
          </w:p>
        </w:tc>
        <w:tc>
          <w:tcPr>
            <w:tcW w:w="518" w:type="pct"/>
            <w:shd w:val="clear" w:color="auto" w:fill="FFFFFF"/>
            <w:vAlign w:val="center"/>
          </w:tcPr>
          <w:p w14:paraId="2B2D77DF" w14:textId="77777777" w:rsidR="00C0506B" w:rsidRPr="00CC1A8B" w:rsidRDefault="00C0506B" w:rsidP="006A1BBC">
            <w:pPr>
              <w:keepNext/>
              <w:jc w:val="center"/>
              <w:rPr>
                <w:rFonts w:ascii="Arial Narrow" w:hAnsi="Arial Narrow"/>
                <w:iCs/>
                <w:sz w:val="20"/>
                <w:szCs w:val="20"/>
                <w:highlight w:val="yellow"/>
              </w:rPr>
            </w:pPr>
            <w:r w:rsidRPr="00833245">
              <w:rPr>
                <w:rFonts w:ascii="Arial Narrow" w:hAnsi="Arial Narrow"/>
                <w:iCs/>
                <w:sz w:val="20"/>
                <w:szCs w:val="20"/>
              </w:rPr>
              <w:t>-</w:t>
            </w:r>
          </w:p>
        </w:tc>
        <w:tc>
          <w:tcPr>
            <w:tcW w:w="517" w:type="pct"/>
            <w:shd w:val="clear" w:color="auto" w:fill="FFFFFF"/>
          </w:tcPr>
          <w:p w14:paraId="0A5C73B7" w14:textId="77777777" w:rsidR="00C0506B" w:rsidRDefault="00C0506B" w:rsidP="006A1BBC">
            <w:pPr>
              <w:keepNext/>
              <w:jc w:val="center"/>
              <w:rPr>
                <w:rFonts w:ascii="Arial Narrow" w:hAnsi="Arial Narrow"/>
                <w:b/>
                <w:bCs/>
                <w:iCs/>
                <w:sz w:val="20"/>
                <w:szCs w:val="20"/>
              </w:rPr>
            </w:pPr>
            <w:r w:rsidRPr="00AF18F7">
              <w:rPr>
                <w:rFonts w:ascii="Arial Narrow" w:hAnsi="Arial Narrow"/>
                <w:b/>
                <w:bCs/>
                <w:iCs/>
                <w:sz w:val="20"/>
                <w:szCs w:val="20"/>
              </w:rPr>
              <w:t xml:space="preserve">0.47 </w:t>
            </w:r>
          </w:p>
          <w:p w14:paraId="17CFF4D2" w14:textId="77777777" w:rsidR="00C0506B" w:rsidRPr="00CC1A8B" w:rsidRDefault="00C0506B" w:rsidP="006A1BBC">
            <w:pPr>
              <w:keepNext/>
              <w:jc w:val="center"/>
              <w:rPr>
                <w:rFonts w:ascii="Arial Narrow" w:hAnsi="Arial Narrow"/>
                <w:b/>
                <w:bCs/>
                <w:iCs/>
                <w:sz w:val="20"/>
                <w:szCs w:val="20"/>
                <w:highlight w:val="yellow"/>
              </w:rPr>
            </w:pPr>
            <w:r w:rsidRPr="00AF18F7">
              <w:rPr>
                <w:rFonts w:ascii="Arial Narrow" w:hAnsi="Arial Narrow"/>
                <w:b/>
                <w:bCs/>
                <w:iCs/>
                <w:sz w:val="20"/>
                <w:szCs w:val="20"/>
              </w:rPr>
              <w:t xml:space="preserve">(0.21, 1.06) </w:t>
            </w:r>
          </w:p>
        </w:tc>
        <w:tc>
          <w:tcPr>
            <w:tcW w:w="517" w:type="pct"/>
            <w:shd w:val="clear" w:color="auto" w:fill="FFFFFF"/>
          </w:tcPr>
          <w:p w14:paraId="1FEFDEC1" w14:textId="77777777" w:rsidR="00C0506B" w:rsidRDefault="00C0506B" w:rsidP="006A1BBC">
            <w:pPr>
              <w:keepNext/>
              <w:jc w:val="center"/>
              <w:rPr>
                <w:rFonts w:ascii="Arial Narrow" w:hAnsi="Arial Narrow"/>
                <w:b/>
                <w:bCs/>
                <w:iCs/>
                <w:sz w:val="20"/>
                <w:szCs w:val="20"/>
              </w:rPr>
            </w:pPr>
            <w:r w:rsidRPr="00AF18F7">
              <w:rPr>
                <w:rFonts w:ascii="Arial Narrow" w:hAnsi="Arial Narrow"/>
                <w:b/>
                <w:bCs/>
                <w:iCs/>
                <w:sz w:val="20"/>
                <w:szCs w:val="20"/>
              </w:rPr>
              <w:t xml:space="preserve">0.60 </w:t>
            </w:r>
          </w:p>
          <w:p w14:paraId="50414A02" w14:textId="77777777" w:rsidR="00C0506B" w:rsidRPr="00CC1A8B" w:rsidRDefault="00C0506B" w:rsidP="006A1BBC">
            <w:pPr>
              <w:keepNext/>
              <w:jc w:val="center"/>
              <w:rPr>
                <w:rFonts w:ascii="Arial Narrow" w:hAnsi="Arial Narrow"/>
                <w:iCs/>
                <w:sz w:val="20"/>
                <w:szCs w:val="20"/>
                <w:highlight w:val="yellow"/>
              </w:rPr>
            </w:pPr>
            <w:r w:rsidRPr="00AF18F7">
              <w:rPr>
                <w:rFonts w:ascii="Arial Narrow" w:hAnsi="Arial Narrow"/>
                <w:b/>
                <w:bCs/>
                <w:iCs/>
                <w:sz w:val="20"/>
                <w:szCs w:val="20"/>
              </w:rPr>
              <w:t>(0.28, 1.27)</w:t>
            </w:r>
          </w:p>
        </w:tc>
        <w:tc>
          <w:tcPr>
            <w:tcW w:w="515" w:type="pct"/>
            <w:shd w:val="clear" w:color="auto" w:fill="FFFFFF"/>
            <w:vAlign w:val="center"/>
          </w:tcPr>
          <w:p w14:paraId="73C11BE5" w14:textId="77777777" w:rsidR="00C0506B" w:rsidRPr="00CC1A8B" w:rsidRDefault="00C0506B" w:rsidP="006A1BBC">
            <w:pPr>
              <w:keepNext/>
              <w:jc w:val="center"/>
              <w:rPr>
                <w:rFonts w:ascii="Arial Narrow" w:hAnsi="Arial Narrow"/>
                <w:iCs/>
                <w:sz w:val="20"/>
                <w:szCs w:val="20"/>
                <w:highlight w:val="yellow"/>
              </w:rPr>
            </w:pPr>
            <w:r w:rsidRPr="00AF18F7">
              <w:rPr>
                <w:rFonts w:ascii="Arial Narrow" w:hAnsi="Arial Narrow"/>
                <w:iCs/>
                <w:sz w:val="20"/>
                <w:szCs w:val="20"/>
              </w:rPr>
              <w:t>-</w:t>
            </w:r>
          </w:p>
        </w:tc>
      </w:tr>
      <w:tr w:rsidR="00C0506B" w:rsidRPr="00CC1A8B" w14:paraId="58E05454" w14:textId="77777777" w:rsidTr="006A1BBC">
        <w:trPr>
          <w:trHeight w:val="329"/>
        </w:trPr>
        <w:tc>
          <w:tcPr>
            <w:tcW w:w="858" w:type="pct"/>
          </w:tcPr>
          <w:p w14:paraId="17DD0B84" w14:textId="77777777" w:rsidR="00C0506B" w:rsidRPr="00EB0DDD" w:rsidRDefault="00C0506B" w:rsidP="006A1BBC">
            <w:pPr>
              <w:keepNext/>
              <w:widowControl w:val="0"/>
              <w:jc w:val="left"/>
              <w:rPr>
                <w:rFonts w:ascii="Arial Narrow" w:hAnsi="Arial Narrow"/>
                <w:snapToGrid w:val="0"/>
                <w:sz w:val="20"/>
                <w:szCs w:val="20"/>
              </w:rPr>
            </w:pPr>
            <w:r w:rsidRPr="00EB0DDD">
              <w:rPr>
                <w:rFonts w:ascii="Arial Narrow" w:hAnsi="Arial Narrow"/>
                <w:snapToGrid w:val="0"/>
                <w:sz w:val="20"/>
                <w:szCs w:val="20"/>
              </w:rPr>
              <w:t>KM estimate of OS</w:t>
            </w:r>
          </w:p>
          <w:p w14:paraId="160F82C0" w14:textId="77777777" w:rsidR="00C0506B" w:rsidRPr="00EB0DDD" w:rsidRDefault="00C0506B" w:rsidP="006A1BBC">
            <w:pPr>
              <w:keepNext/>
              <w:widowControl w:val="0"/>
              <w:jc w:val="left"/>
              <w:rPr>
                <w:rFonts w:ascii="Arial Narrow" w:hAnsi="Arial Narrow"/>
                <w:snapToGrid w:val="0"/>
                <w:sz w:val="20"/>
                <w:szCs w:val="20"/>
              </w:rPr>
            </w:pPr>
            <w:r w:rsidRPr="00EB0DDD">
              <w:rPr>
                <w:rFonts w:ascii="Arial Narrow" w:hAnsi="Arial Narrow"/>
                <w:snapToGrid w:val="0"/>
                <w:sz w:val="20"/>
                <w:szCs w:val="20"/>
              </w:rPr>
              <w:t>- 12 months, % (95% CI)</w:t>
            </w:r>
          </w:p>
          <w:p w14:paraId="6C17B146" w14:textId="77777777" w:rsidR="00C0506B" w:rsidRPr="00EB0DDD" w:rsidRDefault="00C0506B" w:rsidP="006A1BBC">
            <w:pPr>
              <w:keepNext/>
              <w:jc w:val="left"/>
              <w:rPr>
                <w:rFonts w:ascii="Arial Narrow" w:hAnsi="Arial Narrow"/>
                <w:snapToGrid w:val="0"/>
                <w:sz w:val="20"/>
                <w:szCs w:val="20"/>
              </w:rPr>
            </w:pPr>
            <w:r w:rsidRPr="00EB0DDD">
              <w:rPr>
                <w:rFonts w:ascii="Arial Narrow" w:hAnsi="Arial Narrow"/>
                <w:snapToGrid w:val="0"/>
                <w:sz w:val="20"/>
                <w:szCs w:val="20"/>
              </w:rPr>
              <w:t>- 24 months, % (95% CI)</w:t>
            </w:r>
          </w:p>
        </w:tc>
        <w:tc>
          <w:tcPr>
            <w:tcW w:w="517" w:type="pct"/>
            <w:shd w:val="clear" w:color="auto" w:fill="FFFFFF"/>
          </w:tcPr>
          <w:p w14:paraId="63F8CD1A" w14:textId="77777777" w:rsidR="00C0506B" w:rsidRDefault="00C0506B" w:rsidP="006A1BBC">
            <w:pPr>
              <w:keepNext/>
              <w:jc w:val="center"/>
              <w:rPr>
                <w:rFonts w:ascii="Arial Narrow" w:hAnsi="Arial Narrow"/>
                <w:iCs/>
                <w:sz w:val="20"/>
                <w:szCs w:val="20"/>
              </w:rPr>
            </w:pPr>
          </w:p>
          <w:p w14:paraId="5AE15641" w14:textId="77777777" w:rsidR="00C0506B" w:rsidRDefault="00C0506B" w:rsidP="006A1BBC">
            <w:pPr>
              <w:keepNext/>
              <w:jc w:val="center"/>
              <w:rPr>
                <w:rFonts w:ascii="Arial Narrow" w:hAnsi="Arial Narrow"/>
                <w:iCs/>
                <w:sz w:val="20"/>
                <w:szCs w:val="20"/>
              </w:rPr>
            </w:pPr>
            <w:r w:rsidRPr="005F4A89">
              <w:rPr>
                <w:rFonts w:ascii="Arial Narrow" w:hAnsi="Arial Narrow"/>
                <w:iCs/>
                <w:sz w:val="20"/>
                <w:szCs w:val="20"/>
              </w:rPr>
              <w:t xml:space="preserve">98.3 </w:t>
            </w:r>
          </w:p>
          <w:p w14:paraId="11B6E677" w14:textId="77777777" w:rsidR="00C0506B" w:rsidRDefault="00C0506B" w:rsidP="006A1BBC">
            <w:pPr>
              <w:keepNext/>
              <w:jc w:val="center"/>
              <w:rPr>
                <w:rFonts w:ascii="Arial Narrow" w:hAnsi="Arial Narrow"/>
                <w:iCs/>
                <w:sz w:val="20"/>
                <w:szCs w:val="20"/>
              </w:rPr>
            </w:pPr>
            <w:r w:rsidRPr="005F4A89">
              <w:rPr>
                <w:rFonts w:ascii="Arial Narrow" w:hAnsi="Arial Narrow"/>
                <w:iCs/>
                <w:sz w:val="20"/>
                <w:szCs w:val="20"/>
              </w:rPr>
              <w:t>(95.6, 99.4)</w:t>
            </w:r>
          </w:p>
          <w:p w14:paraId="30B41775" w14:textId="77777777" w:rsidR="00C0506B" w:rsidRDefault="00C0506B" w:rsidP="006A1BBC">
            <w:pPr>
              <w:keepNext/>
              <w:jc w:val="center"/>
              <w:rPr>
                <w:rFonts w:ascii="Arial Narrow" w:hAnsi="Arial Narrow"/>
                <w:iCs/>
                <w:sz w:val="20"/>
                <w:szCs w:val="20"/>
              </w:rPr>
            </w:pPr>
            <w:r w:rsidRPr="005F4A89">
              <w:rPr>
                <w:rFonts w:ascii="Arial Narrow" w:hAnsi="Arial Narrow"/>
                <w:iCs/>
                <w:sz w:val="20"/>
                <w:szCs w:val="20"/>
              </w:rPr>
              <w:t xml:space="preserve">94.3 </w:t>
            </w:r>
          </w:p>
          <w:p w14:paraId="07F4AE23" w14:textId="77777777" w:rsidR="00C0506B" w:rsidRPr="002B1587" w:rsidRDefault="00C0506B" w:rsidP="006A1BBC">
            <w:pPr>
              <w:keepNext/>
              <w:jc w:val="center"/>
              <w:rPr>
                <w:rFonts w:ascii="Arial Narrow" w:hAnsi="Arial Narrow"/>
                <w:iCs/>
                <w:sz w:val="20"/>
                <w:szCs w:val="20"/>
              </w:rPr>
            </w:pPr>
            <w:r w:rsidRPr="005F4A89">
              <w:rPr>
                <w:rFonts w:ascii="Arial Narrow" w:hAnsi="Arial Narrow"/>
                <w:iCs/>
                <w:sz w:val="20"/>
                <w:szCs w:val="20"/>
              </w:rPr>
              <w:t>(90.4, 96.7)</w:t>
            </w:r>
          </w:p>
        </w:tc>
        <w:tc>
          <w:tcPr>
            <w:tcW w:w="523" w:type="pct"/>
            <w:shd w:val="clear" w:color="auto" w:fill="FFFFFF"/>
          </w:tcPr>
          <w:p w14:paraId="50C924E5" w14:textId="77777777" w:rsidR="00C0506B" w:rsidRDefault="00C0506B" w:rsidP="006A1BBC">
            <w:pPr>
              <w:keepNext/>
              <w:jc w:val="center"/>
              <w:rPr>
                <w:rFonts w:ascii="Arial Narrow" w:hAnsi="Arial Narrow"/>
                <w:iCs/>
                <w:sz w:val="20"/>
                <w:szCs w:val="20"/>
              </w:rPr>
            </w:pPr>
          </w:p>
          <w:p w14:paraId="4F99372A" w14:textId="77777777" w:rsidR="00C0506B" w:rsidRDefault="00C0506B" w:rsidP="006A1BBC">
            <w:pPr>
              <w:keepNext/>
              <w:jc w:val="center"/>
              <w:rPr>
                <w:rFonts w:ascii="Arial Narrow" w:hAnsi="Arial Narrow"/>
                <w:iCs/>
                <w:sz w:val="20"/>
                <w:szCs w:val="20"/>
              </w:rPr>
            </w:pPr>
            <w:r w:rsidRPr="00EB0DDD">
              <w:rPr>
                <w:rFonts w:ascii="Arial Narrow" w:hAnsi="Arial Narrow"/>
                <w:iCs/>
                <w:sz w:val="20"/>
                <w:szCs w:val="20"/>
              </w:rPr>
              <w:t xml:space="preserve">96.4 </w:t>
            </w:r>
          </w:p>
          <w:p w14:paraId="43E61528" w14:textId="77777777" w:rsidR="00C0506B" w:rsidRDefault="00C0506B" w:rsidP="006A1BBC">
            <w:pPr>
              <w:keepNext/>
              <w:jc w:val="center"/>
              <w:rPr>
                <w:rFonts w:ascii="Arial Narrow" w:hAnsi="Arial Narrow"/>
                <w:iCs/>
                <w:sz w:val="20"/>
                <w:szCs w:val="20"/>
              </w:rPr>
            </w:pPr>
            <w:r w:rsidRPr="00EB0DDD">
              <w:rPr>
                <w:rFonts w:ascii="Arial Narrow" w:hAnsi="Arial Narrow"/>
                <w:iCs/>
                <w:sz w:val="20"/>
                <w:szCs w:val="20"/>
              </w:rPr>
              <w:t>(90.6, 98.6)</w:t>
            </w:r>
          </w:p>
          <w:p w14:paraId="6CC683A2" w14:textId="77777777" w:rsidR="00C0506B" w:rsidRDefault="00C0506B" w:rsidP="006A1BBC">
            <w:pPr>
              <w:keepNext/>
              <w:jc w:val="center"/>
              <w:rPr>
                <w:rFonts w:ascii="Arial Narrow" w:hAnsi="Arial Narrow"/>
                <w:iCs/>
                <w:sz w:val="20"/>
                <w:szCs w:val="20"/>
              </w:rPr>
            </w:pPr>
            <w:r w:rsidRPr="00EB0DDD">
              <w:rPr>
                <w:rFonts w:ascii="Arial Narrow" w:hAnsi="Arial Narrow"/>
                <w:iCs/>
                <w:sz w:val="20"/>
                <w:szCs w:val="20"/>
              </w:rPr>
              <w:t xml:space="preserve">93.6 </w:t>
            </w:r>
          </w:p>
          <w:p w14:paraId="16B4D178" w14:textId="77777777" w:rsidR="00C0506B" w:rsidRPr="002B1587" w:rsidRDefault="00C0506B" w:rsidP="006A1BBC">
            <w:pPr>
              <w:keepNext/>
              <w:jc w:val="center"/>
              <w:rPr>
                <w:rFonts w:ascii="Arial Narrow" w:hAnsi="Arial Narrow"/>
                <w:iCs/>
                <w:sz w:val="20"/>
                <w:szCs w:val="20"/>
              </w:rPr>
            </w:pPr>
            <w:r w:rsidRPr="00EB0DDD">
              <w:rPr>
                <w:rFonts w:ascii="Arial Narrow" w:hAnsi="Arial Narrow"/>
                <w:iCs/>
                <w:sz w:val="20"/>
                <w:szCs w:val="20"/>
              </w:rPr>
              <w:t>(87.1, 96.9)</w:t>
            </w:r>
          </w:p>
        </w:tc>
        <w:tc>
          <w:tcPr>
            <w:tcW w:w="518" w:type="pct"/>
            <w:shd w:val="clear" w:color="auto" w:fill="FFFFFF"/>
          </w:tcPr>
          <w:p w14:paraId="31D4A690" w14:textId="77777777" w:rsidR="00C0506B" w:rsidRDefault="00C0506B" w:rsidP="006A1BBC">
            <w:pPr>
              <w:keepNext/>
              <w:jc w:val="center"/>
              <w:rPr>
                <w:rFonts w:ascii="Arial Narrow" w:hAnsi="Arial Narrow"/>
                <w:iCs/>
                <w:sz w:val="20"/>
                <w:szCs w:val="20"/>
              </w:rPr>
            </w:pPr>
          </w:p>
          <w:p w14:paraId="46069E1B" w14:textId="77777777" w:rsidR="00C0506B" w:rsidRDefault="00C0506B" w:rsidP="006A1BBC">
            <w:pPr>
              <w:keepNext/>
              <w:jc w:val="center"/>
              <w:rPr>
                <w:rFonts w:ascii="Arial Narrow" w:hAnsi="Arial Narrow"/>
                <w:iCs/>
                <w:sz w:val="20"/>
                <w:szCs w:val="20"/>
              </w:rPr>
            </w:pPr>
            <w:r w:rsidRPr="005F4A89">
              <w:rPr>
                <w:rFonts w:ascii="Arial Narrow" w:hAnsi="Arial Narrow"/>
                <w:iCs/>
                <w:sz w:val="20"/>
                <w:szCs w:val="20"/>
              </w:rPr>
              <w:t xml:space="preserve">96.4 </w:t>
            </w:r>
          </w:p>
          <w:p w14:paraId="06EC49B4" w14:textId="77777777" w:rsidR="00C0506B" w:rsidRDefault="00C0506B" w:rsidP="006A1BBC">
            <w:pPr>
              <w:keepNext/>
              <w:jc w:val="center"/>
              <w:rPr>
                <w:rFonts w:ascii="Arial Narrow" w:hAnsi="Arial Narrow"/>
                <w:iCs/>
                <w:sz w:val="20"/>
                <w:szCs w:val="20"/>
              </w:rPr>
            </w:pPr>
            <w:r w:rsidRPr="005F4A89">
              <w:rPr>
                <w:rFonts w:ascii="Arial Narrow" w:hAnsi="Arial Narrow"/>
                <w:iCs/>
                <w:sz w:val="20"/>
                <w:szCs w:val="20"/>
              </w:rPr>
              <w:t>(93.0, 98.2)</w:t>
            </w:r>
          </w:p>
          <w:p w14:paraId="31D43457" w14:textId="77777777" w:rsidR="00C0506B" w:rsidRDefault="00C0506B" w:rsidP="006A1BBC">
            <w:pPr>
              <w:keepNext/>
              <w:jc w:val="center"/>
              <w:rPr>
                <w:rFonts w:ascii="Arial Narrow" w:hAnsi="Arial Narrow"/>
                <w:iCs/>
                <w:sz w:val="20"/>
                <w:szCs w:val="20"/>
              </w:rPr>
            </w:pPr>
            <w:r w:rsidRPr="005F4A89">
              <w:rPr>
                <w:rFonts w:ascii="Arial Narrow" w:hAnsi="Arial Narrow"/>
                <w:iCs/>
                <w:sz w:val="20"/>
                <w:szCs w:val="20"/>
              </w:rPr>
              <w:t xml:space="preserve">94.6 </w:t>
            </w:r>
          </w:p>
          <w:p w14:paraId="34E8BF0E" w14:textId="77777777" w:rsidR="00C0506B" w:rsidRPr="002B1587" w:rsidRDefault="00C0506B" w:rsidP="006A1BBC">
            <w:pPr>
              <w:keepNext/>
              <w:jc w:val="center"/>
              <w:rPr>
                <w:rFonts w:ascii="Arial Narrow" w:hAnsi="Arial Narrow"/>
                <w:iCs/>
                <w:sz w:val="20"/>
                <w:szCs w:val="20"/>
              </w:rPr>
            </w:pPr>
            <w:r w:rsidRPr="005F4A89">
              <w:rPr>
                <w:rFonts w:ascii="Arial Narrow" w:hAnsi="Arial Narrow"/>
                <w:iCs/>
                <w:sz w:val="20"/>
                <w:szCs w:val="20"/>
              </w:rPr>
              <w:t>(90.6, 96.9)</w:t>
            </w:r>
          </w:p>
        </w:tc>
        <w:tc>
          <w:tcPr>
            <w:tcW w:w="517" w:type="pct"/>
            <w:shd w:val="clear" w:color="auto" w:fill="FFFFFF"/>
          </w:tcPr>
          <w:p w14:paraId="5FF64092" w14:textId="77777777" w:rsidR="00C0506B" w:rsidRPr="00A84159" w:rsidRDefault="00C0506B" w:rsidP="006A1BBC">
            <w:pPr>
              <w:keepNext/>
              <w:jc w:val="center"/>
              <w:rPr>
                <w:rFonts w:ascii="Arial Narrow" w:hAnsi="Arial Narrow"/>
                <w:iCs/>
                <w:sz w:val="20"/>
                <w:szCs w:val="20"/>
              </w:rPr>
            </w:pPr>
          </w:p>
          <w:p w14:paraId="0517FBA2" w14:textId="77777777" w:rsidR="00C0506B" w:rsidRDefault="00C0506B" w:rsidP="006A1BBC">
            <w:pPr>
              <w:keepNext/>
              <w:jc w:val="center"/>
              <w:rPr>
                <w:rFonts w:ascii="Arial Narrow" w:hAnsi="Arial Narrow"/>
                <w:iCs/>
                <w:sz w:val="20"/>
                <w:szCs w:val="20"/>
              </w:rPr>
            </w:pPr>
            <w:r w:rsidRPr="00A84159">
              <w:rPr>
                <w:rFonts w:ascii="Arial Narrow" w:hAnsi="Arial Narrow"/>
                <w:iCs/>
                <w:sz w:val="20"/>
                <w:szCs w:val="20"/>
              </w:rPr>
              <w:t xml:space="preserve">93.3 </w:t>
            </w:r>
          </w:p>
          <w:p w14:paraId="041D1A1F" w14:textId="77777777" w:rsidR="00C0506B" w:rsidRPr="00A84159" w:rsidRDefault="00C0506B" w:rsidP="006A1BBC">
            <w:pPr>
              <w:keepNext/>
              <w:jc w:val="center"/>
              <w:rPr>
                <w:rFonts w:ascii="Arial Narrow" w:hAnsi="Arial Narrow"/>
                <w:iCs/>
                <w:sz w:val="20"/>
                <w:szCs w:val="20"/>
              </w:rPr>
            </w:pPr>
            <w:r w:rsidRPr="00A84159">
              <w:rPr>
                <w:rFonts w:ascii="Arial Narrow" w:hAnsi="Arial Narrow"/>
                <w:iCs/>
                <w:sz w:val="20"/>
                <w:szCs w:val="20"/>
              </w:rPr>
              <w:t>(89.8, 96.7)</w:t>
            </w:r>
          </w:p>
          <w:p w14:paraId="6B7FC770" w14:textId="77777777" w:rsidR="00C0506B" w:rsidRDefault="00C0506B" w:rsidP="006A1BBC">
            <w:pPr>
              <w:keepNext/>
              <w:jc w:val="center"/>
              <w:rPr>
                <w:rFonts w:ascii="Arial Narrow" w:hAnsi="Arial Narrow"/>
                <w:iCs/>
                <w:sz w:val="20"/>
                <w:szCs w:val="20"/>
              </w:rPr>
            </w:pPr>
            <w:r w:rsidRPr="00A84159">
              <w:rPr>
                <w:rFonts w:ascii="Arial Narrow" w:hAnsi="Arial Narrow"/>
                <w:iCs/>
                <w:sz w:val="20"/>
                <w:szCs w:val="20"/>
              </w:rPr>
              <w:t xml:space="preserve">91.8 </w:t>
            </w:r>
          </w:p>
          <w:p w14:paraId="20130C06" w14:textId="77777777" w:rsidR="00C0506B" w:rsidRPr="00A84159" w:rsidRDefault="00C0506B" w:rsidP="006A1BBC">
            <w:pPr>
              <w:keepNext/>
              <w:jc w:val="center"/>
              <w:rPr>
                <w:rFonts w:ascii="Arial Narrow" w:hAnsi="Arial Narrow"/>
                <w:iCs/>
                <w:sz w:val="20"/>
                <w:szCs w:val="20"/>
              </w:rPr>
            </w:pPr>
            <w:r w:rsidRPr="00A84159">
              <w:rPr>
                <w:rFonts w:ascii="Arial Narrow" w:hAnsi="Arial Narrow"/>
                <w:iCs/>
                <w:sz w:val="20"/>
                <w:szCs w:val="20"/>
              </w:rPr>
              <w:t>(88.1, 95.5)</w:t>
            </w:r>
          </w:p>
        </w:tc>
        <w:tc>
          <w:tcPr>
            <w:tcW w:w="518" w:type="pct"/>
            <w:shd w:val="clear" w:color="auto" w:fill="FFFFFF"/>
          </w:tcPr>
          <w:p w14:paraId="15C1113B" w14:textId="77777777" w:rsidR="00C0506B" w:rsidRPr="00A84159" w:rsidRDefault="00C0506B" w:rsidP="006A1BBC">
            <w:pPr>
              <w:keepNext/>
              <w:jc w:val="center"/>
              <w:rPr>
                <w:rFonts w:ascii="Arial Narrow" w:hAnsi="Arial Narrow"/>
                <w:iCs/>
                <w:sz w:val="20"/>
                <w:szCs w:val="20"/>
              </w:rPr>
            </w:pPr>
          </w:p>
          <w:p w14:paraId="2ABED01D" w14:textId="77777777" w:rsidR="00C0506B" w:rsidRDefault="00C0506B" w:rsidP="006A1BBC">
            <w:pPr>
              <w:keepNext/>
              <w:jc w:val="center"/>
              <w:rPr>
                <w:rFonts w:ascii="Arial Narrow" w:hAnsi="Arial Narrow"/>
                <w:iCs/>
                <w:sz w:val="20"/>
                <w:szCs w:val="20"/>
              </w:rPr>
            </w:pPr>
            <w:r w:rsidRPr="00A84159">
              <w:rPr>
                <w:rFonts w:ascii="Arial Narrow" w:hAnsi="Arial Narrow"/>
                <w:iCs/>
                <w:sz w:val="20"/>
                <w:szCs w:val="20"/>
              </w:rPr>
              <w:t>95.3</w:t>
            </w:r>
          </w:p>
          <w:p w14:paraId="7542AD8B" w14:textId="77777777" w:rsidR="00C0506B" w:rsidRPr="00A84159" w:rsidRDefault="00C0506B" w:rsidP="006A1BBC">
            <w:pPr>
              <w:keepNext/>
              <w:jc w:val="center"/>
              <w:rPr>
                <w:rFonts w:ascii="Arial Narrow" w:hAnsi="Arial Narrow"/>
                <w:iCs/>
                <w:sz w:val="20"/>
                <w:szCs w:val="20"/>
              </w:rPr>
            </w:pPr>
            <w:r w:rsidRPr="00A84159">
              <w:rPr>
                <w:rFonts w:ascii="Arial Narrow" w:hAnsi="Arial Narrow"/>
                <w:iCs/>
                <w:sz w:val="20"/>
                <w:szCs w:val="20"/>
              </w:rPr>
              <w:t>(92.4</w:t>
            </w:r>
            <w:r>
              <w:rPr>
                <w:rFonts w:ascii="Arial Narrow" w:hAnsi="Arial Narrow"/>
                <w:iCs/>
                <w:sz w:val="20"/>
                <w:szCs w:val="20"/>
              </w:rPr>
              <w:t xml:space="preserve">, </w:t>
            </w:r>
            <w:r w:rsidRPr="00A84159">
              <w:rPr>
                <w:rFonts w:ascii="Arial Narrow" w:hAnsi="Arial Narrow"/>
                <w:iCs/>
                <w:sz w:val="20"/>
                <w:szCs w:val="20"/>
              </w:rPr>
              <w:t>98.1)</w:t>
            </w:r>
          </w:p>
          <w:p w14:paraId="1A089281" w14:textId="77777777" w:rsidR="00C0506B" w:rsidRDefault="00C0506B" w:rsidP="006A1BBC">
            <w:pPr>
              <w:keepNext/>
              <w:jc w:val="center"/>
              <w:rPr>
                <w:rFonts w:ascii="Arial Narrow" w:hAnsi="Arial Narrow"/>
                <w:iCs/>
                <w:sz w:val="20"/>
                <w:szCs w:val="20"/>
              </w:rPr>
            </w:pPr>
            <w:r w:rsidRPr="00A84159">
              <w:rPr>
                <w:rFonts w:ascii="Arial Narrow" w:hAnsi="Arial Narrow"/>
                <w:iCs/>
                <w:sz w:val="20"/>
                <w:szCs w:val="20"/>
              </w:rPr>
              <w:t xml:space="preserve">93.3 </w:t>
            </w:r>
          </w:p>
          <w:p w14:paraId="55E90CA5" w14:textId="77777777" w:rsidR="00C0506B" w:rsidRPr="00A84159" w:rsidRDefault="00C0506B" w:rsidP="006A1BBC">
            <w:pPr>
              <w:keepNext/>
              <w:jc w:val="center"/>
              <w:rPr>
                <w:rFonts w:ascii="Arial Narrow" w:hAnsi="Arial Narrow"/>
                <w:iCs/>
                <w:sz w:val="20"/>
                <w:szCs w:val="20"/>
              </w:rPr>
            </w:pPr>
            <w:r w:rsidRPr="00A84159">
              <w:rPr>
                <w:rFonts w:ascii="Arial Narrow" w:hAnsi="Arial Narrow"/>
                <w:iCs/>
                <w:sz w:val="20"/>
                <w:szCs w:val="20"/>
              </w:rPr>
              <w:t>(90.0, 96.7)</w:t>
            </w:r>
          </w:p>
        </w:tc>
        <w:tc>
          <w:tcPr>
            <w:tcW w:w="517" w:type="pct"/>
            <w:shd w:val="clear" w:color="auto" w:fill="FFFFFF"/>
          </w:tcPr>
          <w:p w14:paraId="6896EF1B" w14:textId="77777777" w:rsidR="00C0506B" w:rsidRPr="00AF4B22" w:rsidRDefault="00C0506B" w:rsidP="006A1BBC">
            <w:pPr>
              <w:keepNext/>
              <w:jc w:val="center"/>
              <w:rPr>
                <w:rFonts w:ascii="Arial Narrow" w:hAnsi="Arial Narrow"/>
                <w:iCs/>
                <w:sz w:val="20"/>
                <w:szCs w:val="20"/>
              </w:rPr>
            </w:pPr>
          </w:p>
          <w:p w14:paraId="015FBE7F" w14:textId="77777777" w:rsidR="00C0506B" w:rsidRPr="00AF4B22" w:rsidRDefault="00C0506B" w:rsidP="006A1BBC">
            <w:pPr>
              <w:keepNext/>
              <w:jc w:val="center"/>
              <w:rPr>
                <w:rFonts w:ascii="Arial Narrow" w:hAnsi="Arial Narrow"/>
                <w:iCs/>
                <w:sz w:val="20"/>
                <w:szCs w:val="20"/>
              </w:rPr>
            </w:pPr>
            <w:r w:rsidRPr="00AF4B22">
              <w:rPr>
                <w:rFonts w:ascii="Arial Narrow" w:hAnsi="Arial Narrow"/>
                <w:iCs/>
                <w:sz w:val="20"/>
                <w:szCs w:val="20"/>
              </w:rPr>
              <w:t xml:space="preserve">96.1 </w:t>
            </w:r>
          </w:p>
          <w:p w14:paraId="511BBFE3" w14:textId="77777777" w:rsidR="00C0506B" w:rsidRDefault="00C0506B" w:rsidP="006A1BBC">
            <w:pPr>
              <w:keepNext/>
              <w:jc w:val="center"/>
              <w:rPr>
                <w:rFonts w:ascii="Arial Narrow" w:hAnsi="Arial Narrow"/>
                <w:iCs/>
                <w:sz w:val="20"/>
                <w:szCs w:val="20"/>
              </w:rPr>
            </w:pPr>
            <w:r w:rsidRPr="00AF4B22">
              <w:rPr>
                <w:rFonts w:ascii="Arial Narrow" w:hAnsi="Arial Narrow"/>
                <w:iCs/>
                <w:sz w:val="20"/>
                <w:szCs w:val="20"/>
              </w:rPr>
              <w:t>(91.9, 98</w:t>
            </w:r>
            <w:r w:rsidRPr="005A7C26">
              <w:rPr>
                <w:rFonts w:ascii="Arial Narrow" w:hAnsi="Arial Narrow"/>
                <w:iCs/>
                <w:sz w:val="20"/>
                <w:szCs w:val="20"/>
              </w:rPr>
              <w:t>.1)</w:t>
            </w:r>
          </w:p>
          <w:p w14:paraId="309D58AF" w14:textId="77777777" w:rsidR="00C0506B" w:rsidRDefault="00C0506B" w:rsidP="006A1BBC">
            <w:pPr>
              <w:keepNext/>
              <w:jc w:val="center"/>
              <w:rPr>
                <w:rFonts w:ascii="Arial Narrow" w:hAnsi="Arial Narrow"/>
                <w:iCs/>
                <w:sz w:val="20"/>
                <w:szCs w:val="20"/>
              </w:rPr>
            </w:pPr>
            <w:r w:rsidRPr="00A437EB">
              <w:rPr>
                <w:rFonts w:ascii="Arial Narrow" w:hAnsi="Arial Narrow"/>
                <w:iCs/>
                <w:sz w:val="20"/>
                <w:szCs w:val="20"/>
              </w:rPr>
              <w:t xml:space="preserve">94.9 </w:t>
            </w:r>
          </w:p>
          <w:p w14:paraId="1F600220" w14:textId="77777777" w:rsidR="00C0506B" w:rsidRPr="002B1587" w:rsidRDefault="00C0506B" w:rsidP="006A1BBC">
            <w:pPr>
              <w:keepNext/>
              <w:jc w:val="center"/>
              <w:rPr>
                <w:rFonts w:ascii="Arial Narrow" w:hAnsi="Arial Narrow"/>
                <w:iCs/>
                <w:sz w:val="20"/>
                <w:szCs w:val="20"/>
              </w:rPr>
            </w:pPr>
            <w:r w:rsidRPr="00A437EB">
              <w:rPr>
                <w:rFonts w:ascii="Arial Narrow" w:hAnsi="Arial Narrow"/>
                <w:iCs/>
                <w:sz w:val="20"/>
                <w:szCs w:val="20"/>
              </w:rPr>
              <w:t>(90.5, 97.3)</w:t>
            </w:r>
          </w:p>
        </w:tc>
        <w:tc>
          <w:tcPr>
            <w:tcW w:w="517" w:type="pct"/>
            <w:shd w:val="clear" w:color="auto" w:fill="FFFFFF"/>
          </w:tcPr>
          <w:p w14:paraId="413E4337" w14:textId="77777777" w:rsidR="00C0506B" w:rsidRDefault="00C0506B" w:rsidP="006A1BBC">
            <w:pPr>
              <w:keepNext/>
              <w:jc w:val="center"/>
              <w:rPr>
                <w:rFonts w:ascii="Arial Narrow" w:hAnsi="Arial Narrow"/>
                <w:iCs/>
                <w:sz w:val="20"/>
                <w:szCs w:val="20"/>
              </w:rPr>
            </w:pPr>
          </w:p>
          <w:p w14:paraId="0CA57AA9" w14:textId="77777777" w:rsidR="00C0506B" w:rsidRDefault="00C0506B" w:rsidP="006A1BBC">
            <w:pPr>
              <w:keepNext/>
              <w:jc w:val="center"/>
              <w:rPr>
                <w:rFonts w:ascii="Arial Narrow" w:hAnsi="Arial Narrow"/>
                <w:iCs/>
                <w:sz w:val="20"/>
                <w:szCs w:val="20"/>
              </w:rPr>
            </w:pPr>
            <w:r w:rsidRPr="005A7C26">
              <w:rPr>
                <w:rFonts w:ascii="Arial Narrow" w:hAnsi="Arial Narrow"/>
                <w:iCs/>
                <w:sz w:val="20"/>
                <w:szCs w:val="20"/>
              </w:rPr>
              <w:t xml:space="preserve">98.3 </w:t>
            </w:r>
          </w:p>
          <w:p w14:paraId="435F6B87" w14:textId="77777777" w:rsidR="00C0506B" w:rsidRDefault="00C0506B" w:rsidP="006A1BBC">
            <w:pPr>
              <w:keepNext/>
              <w:jc w:val="center"/>
              <w:rPr>
                <w:rFonts w:ascii="Arial Narrow" w:hAnsi="Arial Narrow"/>
                <w:iCs/>
                <w:sz w:val="20"/>
                <w:szCs w:val="20"/>
              </w:rPr>
            </w:pPr>
            <w:r w:rsidRPr="005A7C26">
              <w:rPr>
                <w:rFonts w:ascii="Arial Narrow" w:hAnsi="Arial Narrow"/>
                <w:iCs/>
                <w:sz w:val="20"/>
                <w:szCs w:val="20"/>
              </w:rPr>
              <w:t>(94.8, 99.4)</w:t>
            </w:r>
          </w:p>
          <w:p w14:paraId="3EACF47B" w14:textId="77777777" w:rsidR="00C0506B" w:rsidRDefault="00C0506B" w:rsidP="006A1BBC">
            <w:pPr>
              <w:keepNext/>
              <w:jc w:val="center"/>
              <w:rPr>
                <w:rFonts w:ascii="Arial Narrow" w:hAnsi="Arial Narrow"/>
                <w:iCs/>
                <w:sz w:val="20"/>
                <w:szCs w:val="20"/>
              </w:rPr>
            </w:pPr>
            <w:r w:rsidRPr="00A437EB">
              <w:rPr>
                <w:rFonts w:ascii="Arial Narrow" w:hAnsi="Arial Narrow"/>
                <w:iCs/>
                <w:sz w:val="20"/>
                <w:szCs w:val="20"/>
              </w:rPr>
              <w:t xml:space="preserve">94.7 </w:t>
            </w:r>
          </w:p>
          <w:p w14:paraId="0C2BF5BE" w14:textId="77777777" w:rsidR="00C0506B" w:rsidRPr="002B1587" w:rsidRDefault="00C0506B" w:rsidP="006A1BBC">
            <w:pPr>
              <w:keepNext/>
              <w:jc w:val="center"/>
              <w:rPr>
                <w:rFonts w:ascii="Arial Narrow" w:hAnsi="Arial Narrow"/>
                <w:iCs/>
                <w:sz w:val="20"/>
                <w:szCs w:val="20"/>
              </w:rPr>
            </w:pPr>
            <w:r w:rsidRPr="00A437EB">
              <w:rPr>
                <w:rFonts w:ascii="Arial Narrow" w:hAnsi="Arial Narrow"/>
                <w:iCs/>
                <w:sz w:val="20"/>
                <w:szCs w:val="20"/>
              </w:rPr>
              <w:t>(90.2, 97.2)</w:t>
            </w:r>
          </w:p>
        </w:tc>
        <w:tc>
          <w:tcPr>
            <w:tcW w:w="515" w:type="pct"/>
            <w:shd w:val="clear" w:color="auto" w:fill="FFFFFF"/>
          </w:tcPr>
          <w:p w14:paraId="0D7F3273" w14:textId="77777777" w:rsidR="00C0506B" w:rsidRDefault="00C0506B" w:rsidP="006A1BBC">
            <w:pPr>
              <w:keepNext/>
              <w:jc w:val="center"/>
              <w:rPr>
                <w:rFonts w:ascii="Arial Narrow" w:hAnsi="Arial Narrow"/>
                <w:iCs/>
                <w:sz w:val="20"/>
                <w:szCs w:val="20"/>
              </w:rPr>
            </w:pPr>
          </w:p>
          <w:p w14:paraId="63BF10A2" w14:textId="77777777" w:rsidR="00C0506B" w:rsidRDefault="00C0506B" w:rsidP="006A1BBC">
            <w:pPr>
              <w:keepNext/>
              <w:jc w:val="center"/>
              <w:rPr>
                <w:rFonts w:ascii="Arial Narrow" w:hAnsi="Arial Narrow"/>
                <w:iCs/>
                <w:sz w:val="20"/>
                <w:szCs w:val="20"/>
              </w:rPr>
            </w:pPr>
            <w:r w:rsidRPr="005A7C26">
              <w:rPr>
                <w:rFonts w:ascii="Arial Narrow" w:hAnsi="Arial Narrow"/>
                <w:iCs/>
                <w:sz w:val="20"/>
                <w:szCs w:val="20"/>
              </w:rPr>
              <w:t xml:space="preserve">96.5 </w:t>
            </w:r>
          </w:p>
          <w:p w14:paraId="33EE1329" w14:textId="77777777" w:rsidR="00C0506B" w:rsidRDefault="00C0506B" w:rsidP="006A1BBC">
            <w:pPr>
              <w:keepNext/>
              <w:jc w:val="center"/>
              <w:rPr>
                <w:rFonts w:ascii="Arial Narrow" w:hAnsi="Arial Narrow"/>
                <w:iCs/>
                <w:sz w:val="20"/>
                <w:szCs w:val="20"/>
              </w:rPr>
            </w:pPr>
            <w:r w:rsidRPr="005A7C26">
              <w:rPr>
                <w:rFonts w:ascii="Arial Narrow" w:hAnsi="Arial Narrow"/>
                <w:iCs/>
                <w:sz w:val="20"/>
                <w:szCs w:val="20"/>
              </w:rPr>
              <w:t>(92.4, 98.4)</w:t>
            </w:r>
          </w:p>
          <w:p w14:paraId="4F61CC7B" w14:textId="77777777" w:rsidR="00C0506B" w:rsidRDefault="00C0506B" w:rsidP="006A1BBC">
            <w:pPr>
              <w:keepNext/>
              <w:jc w:val="center"/>
              <w:rPr>
                <w:rFonts w:ascii="Arial Narrow" w:hAnsi="Arial Narrow"/>
                <w:iCs/>
                <w:sz w:val="20"/>
                <w:szCs w:val="20"/>
              </w:rPr>
            </w:pPr>
            <w:r w:rsidRPr="00A437EB">
              <w:rPr>
                <w:rFonts w:ascii="Arial Narrow" w:hAnsi="Arial Narrow"/>
                <w:iCs/>
                <w:sz w:val="20"/>
                <w:szCs w:val="20"/>
              </w:rPr>
              <w:t xml:space="preserve">91.7 </w:t>
            </w:r>
          </w:p>
          <w:p w14:paraId="75EE7A8C" w14:textId="77777777" w:rsidR="00C0506B" w:rsidRPr="00020E4C" w:rsidRDefault="00C0506B" w:rsidP="006A1BBC">
            <w:pPr>
              <w:keepNext/>
              <w:jc w:val="center"/>
              <w:rPr>
                <w:rFonts w:ascii="Arial Narrow" w:hAnsi="Arial Narrow"/>
                <w:iCs/>
                <w:sz w:val="20"/>
                <w:szCs w:val="20"/>
              </w:rPr>
            </w:pPr>
            <w:r w:rsidRPr="00A437EB">
              <w:rPr>
                <w:rFonts w:ascii="Arial Narrow" w:hAnsi="Arial Narrow"/>
                <w:iCs/>
                <w:sz w:val="20"/>
                <w:szCs w:val="20"/>
              </w:rPr>
              <w:t>(86.3, 95.0)</w:t>
            </w:r>
          </w:p>
        </w:tc>
      </w:tr>
    </w:tbl>
    <w:p w14:paraId="2929787B" w14:textId="77777777" w:rsidR="00346F59" w:rsidRDefault="00C0506B" w:rsidP="00346F59">
      <w:pPr>
        <w:pStyle w:val="COMTablefooter"/>
      </w:pPr>
      <w:r w:rsidRPr="00E42B25">
        <w:t xml:space="preserve">Source: Table 21, pp110-111; Table 31, p129 of the </w:t>
      </w:r>
      <w:r>
        <w:t>SEQUOIA</w:t>
      </w:r>
      <w:r w:rsidRPr="00E42B25">
        <w:t xml:space="preserve"> </w:t>
      </w:r>
      <w:r>
        <w:t xml:space="preserve">interim </w:t>
      </w:r>
      <w:r w:rsidRPr="00E42B25">
        <w:t>clinical study report; Table 5, p12 of the March 2020 venetoclax Public Summary Document; Table 4, p15 of the July 2020 acalabrutinib Public Summary Document.</w:t>
      </w:r>
    </w:p>
    <w:p w14:paraId="2271DB99" w14:textId="5AB33C9F" w:rsidR="00C0506B" w:rsidRPr="00C0506B" w:rsidRDefault="00C0506B" w:rsidP="00346F59">
      <w:pPr>
        <w:pStyle w:val="COMTablefooter"/>
      </w:pPr>
      <w:r w:rsidRPr="00E42B25">
        <w:t>Abbreviations: ACAL = acalabrutinib, BEN = bendamustine, CHL = chlorambucil, CI = confidence interval, HR = hazard ratio, KM = Kaplan-Meier, NE = not estimable, NR = not reported, OBI = obinutuzumab, OS = overall survival, RIT = rituximab, VEN = venetoclax, ZANU = zanubrutinib</w:t>
      </w:r>
    </w:p>
    <w:p w14:paraId="457D3CB3" w14:textId="77777777" w:rsidR="008B437D" w:rsidRPr="008B437D" w:rsidRDefault="008B437D" w:rsidP="008B437D">
      <w:pPr>
        <w:pStyle w:val="COMexecsumnumberedpara"/>
      </w:pPr>
      <w:r>
        <w:t xml:space="preserve">Among patients without 17p deletion in the SEQUOIA trial, there was no statistically significant difference in overall survival between the zanubrutinib and bendamustine + rituximab arms (median overall survival not reached in either arm; hazard ratio = 1.07 [95% CI: 0.51, 2.22]). </w:t>
      </w:r>
      <w:r w:rsidRPr="00021B9D">
        <w:rPr>
          <w:iCs/>
        </w:rPr>
        <w:t>Overall survival data for the SEQUOIA trial is immature.</w:t>
      </w:r>
    </w:p>
    <w:p w14:paraId="5AEFE973" w14:textId="77777777" w:rsidR="008B437D" w:rsidRDefault="008B437D" w:rsidP="008B437D">
      <w:pPr>
        <w:pStyle w:val="COMexecsumnumberedpara"/>
      </w:pPr>
      <w:r>
        <w:t>Based on a naïve comparison of overall survival at 24 months</w:t>
      </w:r>
      <w:r w:rsidRPr="005C28B7">
        <w:t xml:space="preserve"> across the SEQUOIA, CLL-14 and ELEVATE-TN trials,</w:t>
      </w:r>
      <w:r>
        <w:t xml:space="preserve"> the proportion of patients remaining alive was 94.3% for the zanubrutinib non-17p deletion arm, 93.6% for the zanubrutinib 17p deletion arm, 91.8% for the venetoclax + obinutuzumab arm, 94.7% for the acalabrutinib monotherapy arm, and 94.9% for the acalabrutinib + obinutuzumab arm.</w:t>
      </w:r>
    </w:p>
    <w:p w14:paraId="6E204DCB" w14:textId="21EE0F2F" w:rsidR="008B437D" w:rsidRPr="00C31E62" w:rsidRDefault="008B437D" w:rsidP="003115A7">
      <w:pPr>
        <w:pStyle w:val="COMexecsumnumberedpara"/>
        <w:spacing w:line="259" w:lineRule="auto"/>
      </w:pPr>
      <w:r>
        <w:t>Based on a median follow-up of 65.4 months, the proportion of patients remaining alive at 60 months was 81.9% in the venetoclax + obinutuzumab arm of the CLL-14 trial (Al-Sawaf et al., 2022). Based on a median follow-up of 58.2 months, the proportion of patients remaining alive at 60 months was 90% in the acalabrutinib + obinutuzumab arm and 84% in the acalabrutinib monotherapy arm of the ELEVATE-TN trial (Sharman et al., 2022). The results of a post hoc analysis of the ELEVATE-TN trial conducted at a median follow-up of 58.2 months (Sharman et al., 2022) favoured the acalabrutinib + obinutuzumab arm, although the difference was not statistically significant (hazard ratio = 0.56 [95% CI: 0.31, 1.00]).</w:t>
      </w:r>
      <w:r w:rsidR="6103B738">
        <w:t xml:space="preserve"> </w:t>
      </w:r>
      <w:r w:rsidR="00EA7DA9" w:rsidRPr="00CA2520">
        <w:rPr>
          <w:iCs/>
        </w:rPr>
        <w:t xml:space="preserve">The </w:t>
      </w:r>
      <w:r w:rsidR="6103B738" w:rsidRPr="00CA2520">
        <w:rPr>
          <w:iCs/>
        </w:rPr>
        <w:t>ESC considered these results were supportive of the clinical claim of non-inferior efficacy of zanubrutinib when compared with venetoclax</w:t>
      </w:r>
      <w:r w:rsidR="00922C18" w:rsidRPr="00CA2520">
        <w:rPr>
          <w:iCs/>
        </w:rPr>
        <w:t xml:space="preserve"> plus </w:t>
      </w:r>
      <w:r w:rsidR="6103B738" w:rsidRPr="00CA2520">
        <w:rPr>
          <w:iCs/>
        </w:rPr>
        <w:t xml:space="preserve">obinutuzumab, acalabrutinib </w:t>
      </w:r>
      <w:r w:rsidR="00922C18" w:rsidRPr="00CA2520">
        <w:rPr>
          <w:iCs/>
        </w:rPr>
        <w:t>plus</w:t>
      </w:r>
      <w:r w:rsidR="6103B738" w:rsidRPr="00CA2520">
        <w:rPr>
          <w:iCs/>
        </w:rPr>
        <w:t xml:space="preserve"> obinutuzumab and acalabrutinib monotherapy with regards to overall survival.</w:t>
      </w:r>
    </w:p>
    <w:p w14:paraId="77F9AA3D" w14:textId="22D371BF" w:rsidR="00D26A54" w:rsidRPr="005C2D58" w:rsidRDefault="00D26A54" w:rsidP="003B7DFF">
      <w:pPr>
        <w:pStyle w:val="4-SubsectSubhead"/>
        <w:rPr>
          <w:snapToGrid w:val="0"/>
          <w:sz w:val="24"/>
          <w:szCs w:val="24"/>
        </w:rPr>
      </w:pPr>
      <w:r w:rsidRPr="005C2D58">
        <w:rPr>
          <w:sz w:val="24"/>
          <w:szCs w:val="24"/>
        </w:rPr>
        <w:lastRenderedPageBreak/>
        <w:t xml:space="preserve">Other outcomes from </w:t>
      </w:r>
      <w:r w:rsidR="00ED7BF4" w:rsidRPr="005C2D58">
        <w:rPr>
          <w:sz w:val="24"/>
          <w:szCs w:val="24"/>
        </w:rPr>
        <w:t>the SEQUOIA, CLL-14</w:t>
      </w:r>
      <w:r w:rsidRPr="005C2D58">
        <w:rPr>
          <w:sz w:val="24"/>
          <w:szCs w:val="24"/>
        </w:rPr>
        <w:t xml:space="preserve"> </w:t>
      </w:r>
      <w:r w:rsidR="00ED7BF4" w:rsidRPr="005C2D58">
        <w:rPr>
          <w:sz w:val="24"/>
          <w:szCs w:val="24"/>
        </w:rPr>
        <w:t>and ELEVATE-TN trials</w:t>
      </w:r>
    </w:p>
    <w:p w14:paraId="55E4588C" w14:textId="325FE7CA" w:rsidR="006C7521" w:rsidRDefault="006C7521" w:rsidP="006C7521">
      <w:pPr>
        <w:pStyle w:val="COMexecsumnumberedpara"/>
      </w:pPr>
      <w:r>
        <w:t>Among patients without 17p deletion in the SEQUOIA trial, the overall response rate was 94.6% in the zanubrutinib arm and 85.3% in the bendamustine + rituximab arm. Among patients with 17p deletion, the overall response rate was 90.0%. The overall response rates for the acalabrutinib + obinutuzumab and acalabrutinib monotherapy arms in the ELEVATE-TN trial were 93.</w:t>
      </w:r>
      <w:r w:rsidR="00090ABC">
        <w:t>9</w:t>
      </w:r>
      <w:r>
        <w:t>% and 85.5%, respectively.</w:t>
      </w:r>
      <w:r w:rsidR="00131B9C">
        <w:t xml:space="preserve"> Independent review committee-assessed overall response rate results were not available for the CLL-14 trial.</w:t>
      </w:r>
    </w:p>
    <w:p w14:paraId="72583E77" w14:textId="14A26406" w:rsidR="006C7521" w:rsidRDefault="006C7521" w:rsidP="00D84730">
      <w:pPr>
        <w:pStyle w:val="COMexecsumnumberedpara"/>
      </w:pPr>
      <w:r>
        <w:t xml:space="preserve">The median duration of response </w:t>
      </w:r>
      <w:r w:rsidR="00131B9C">
        <w:t xml:space="preserve">in the SEQUOIA trial </w:t>
      </w:r>
      <w:r>
        <w:t>was not reached in either zanubrutinib arm, and was 30.6 months in the bendamustine + rituximab arm. Among patients without 17p deletion, the event-free rate at 24 months was 87.5% for zanubrutinib and 70.3% for bendamustine + rituximab. Among patients with 17p deletion, the event-free rate at 24 months was 91.6%.</w:t>
      </w:r>
      <w:r w:rsidR="00131B9C">
        <w:t xml:space="preserve"> Results for independent review committee-assessed duration of response were not available for the CLL-14 and ELEVATE-TN trials.</w:t>
      </w:r>
    </w:p>
    <w:p w14:paraId="1BF5D0AB" w14:textId="75468BB3" w:rsidR="00DC254B" w:rsidRPr="00B85F87" w:rsidRDefault="00F52EE6" w:rsidP="006A1BBC">
      <w:pPr>
        <w:pStyle w:val="COMexecsumnumberedpara"/>
      </w:pPr>
      <w:r>
        <w:t xml:space="preserve">Results of quality of life outcomes for the </w:t>
      </w:r>
      <w:r w:rsidR="00917490">
        <w:t>SEQUOIA trial</w:t>
      </w:r>
      <w:r w:rsidR="00A31EC0">
        <w:t xml:space="preserve"> </w:t>
      </w:r>
      <w:r>
        <w:t xml:space="preserve">were available for the </w:t>
      </w:r>
      <w:r w:rsidR="00A31EC0">
        <w:t>EORTC QLQ-C30 and the EQ-5D</w:t>
      </w:r>
      <w:r>
        <w:t xml:space="preserve"> visual analogue scale</w:t>
      </w:r>
      <w:r w:rsidR="00A31EC0">
        <w:t>. T</w:t>
      </w:r>
      <w:r w:rsidR="006C7521">
        <w:t xml:space="preserve">he change from baseline </w:t>
      </w:r>
      <w:r w:rsidR="00917490">
        <w:t xml:space="preserve">in the EORTC QLQ-30 </w:t>
      </w:r>
      <w:r w:rsidR="006C7521">
        <w:t>was statistically significant in favour of zanubrutinib at Week 24 for the global health score</w:t>
      </w:r>
      <w:r w:rsidR="00131B9C">
        <w:t>,</w:t>
      </w:r>
      <w:r w:rsidR="006C7521">
        <w:t xml:space="preserve"> physical function, nausea/vomiting, and diarrhoea compared with bendamustine + rituximab. </w:t>
      </w:r>
      <w:bookmarkStart w:id="32" w:name="_Hlk124022861"/>
      <w:r w:rsidR="00DC254B">
        <w:t xml:space="preserve">Similar improvements in the </w:t>
      </w:r>
      <w:bookmarkEnd w:id="32"/>
      <w:r w:rsidR="00DC254B">
        <w:t xml:space="preserve">EQ-5D visual analogue scale were observed in the zanubrutinib and bendamustine + rituximab arms at Week 12 and Week 24. </w:t>
      </w:r>
    </w:p>
    <w:p w14:paraId="4B75C244" w14:textId="0F422BA7" w:rsidR="00DC254B" w:rsidRPr="00B85F87" w:rsidRDefault="00871428" w:rsidP="00DC254B">
      <w:pPr>
        <w:pStyle w:val="COMexecsumnumberedpara"/>
      </w:pPr>
      <w:r>
        <w:rPr>
          <w:snapToGrid/>
          <w:lang w:val="en-US"/>
        </w:rPr>
        <w:t>Results of quality of life outcomes for the C</w:t>
      </w:r>
      <w:r w:rsidR="00DC254B" w:rsidRPr="00B85F87">
        <w:rPr>
          <w:snapToGrid/>
          <w:lang w:val="en-US"/>
        </w:rPr>
        <w:t xml:space="preserve">LL-14 trial </w:t>
      </w:r>
      <w:r>
        <w:rPr>
          <w:snapToGrid/>
          <w:lang w:val="en-US"/>
        </w:rPr>
        <w:t xml:space="preserve">were available for the </w:t>
      </w:r>
      <w:r w:rsidR="00DC254B" w:rsidRPr="00B85F87">
        <w:rPr>
          <w:snapToGrid/>
          <w:lang w:val="en-US"/>
        </w:rPr>
        <w:t>EORTC QLQ-C30</w:t>
      </w:r>
      <w:r>
        <w:rPr>
          <w:snapToGrid/>
          <w:lang w:val="en-US"/>
        </w:rPr>
        <w:t xml:space="preserve"> </w:t>
      </w:r>
      <w:r w:rsidR="00DC254B" w:rsidRPr="00B85F87">
        <w:rPr>
          <w:snapToGrid/>
          <w:lang w:val="en-US"/>
        </w:rPr>
        <w:t xml:space="preserve">and the MD Anderson Symptom Inventory (MDASI). The </w:t>
      </w:r>
      <w:r w:rsidR="00DC254B" w:rsidRPr="00B85F87">
        <w:t xml:space="preserve">mean physical functioning and role functioning scores for the EORTC QLQ-C30 remained stable in both treatment arms at all time points. Improvement in the mean global health score was observed in both study arms with clinically meaningful improvements of ≥8 points in </w:t>
      </w:r>
      <w:r w:rsidR="000454B0">
        <w:t>C</w:t>
      </w:r>
      <w:r w:rsidR="00DC254B" w:rsidRPr="00B85F87">
        <w:t xml:space="preserve">ycle </w:t>
      </w:r>
      <w:r w:rsidR="000454B0">
        <w:t>3</w:t>
      </w:r>
      <w:r w:rsidR="00DC254B" w:rsidRPr="00B85F87">
        <w:t xml:space="preserve"> in the venetoclax + obinutuzumab arm and Cycle 8 in the chlorambucil + obinutuzumab arm. Based on MDASI scores, CLL symptoms, core cancer symptoms, and symptom interference were generally low and comparable between treatment arms at baseline and were maintained throughout treatment and follow-up.</w:t>
      </w:r>
    </w:p>
    <w:p w14:paraId="0ABD2839" w14:textId="484CDDFD" w:rsidR="00AE709B" w:rsidRPr="00B85F87" w:rsidRDefault="00871428" w:rsidP="006A1BBC">
      <w:pPr>
        <w:pStyle w:val="COMexecsumnumberedpara"/>
      </w:pPr>
      <w:r>
        <w:t xml:space="preserve">Results of quality of life outcomes for the </w:t>
      </w:r>
      <w:r w:rsidR="00F52EE6">
        <w:t>ELEVATE-TN</w:t>
      </w:r>
      <w:r>
        <w:t xml:space="preserve"> trial were available for </w:t>
      </w:r>
      <w:r w:rsidR="00F52EE6">
        <w:t>the FACIT-</w:t>
      </w:r>
      <w:r w:rsidR="00AE709B">
        <w:t xml:space="preserve">Fatigue, EORTC QLQ-C30 and </w:t>
      </w:r>
      <w:r w:rsidR="00F52EE6">
        <w:t xml:space="preserve">the </w:t>
      </w:r>
      <w:r w:rsidR="00AE709B">
        <w:t>EQ-5D</w:t>
      </w:r>
      <w:r w:rsidR="00F52EE6">
        <w:t xml:space="preserve"> visual analogue scale</w:t>
      </w:r>
      <w:r w:rsidR="00AE709B">
        <w:t>.</w:t>
      </w:r>
      <w:r w:rsidR="00A0098D">
        <w:t xml:space="preserve"> </w:t>
      </w:r>
      <w:r w:rsidR="00236E6D">
        <w:t xml:space="preserve">Patients across all three arms showed improvements in the FACIT-Fatigue Global Fatigue Score that exceeded the nominated clinically important difference of 3 points. There were no statistically significant differences between groups for any of the FACIT-Fatigue domains. For the EORTC QLQ-C30, statistically significant differences favouring chlorambucil + obinutuzumab were noted for role functioning at Week 96, fatigue at Week 24 and diarrhoea at Week 24 compared to acalabrutinib + obinutuzumab, and for role functioning at Week 96 and diarrhoea at Week 24 compared to acalabrutinib </w:t>
      </w:r>
      <w:r w:rsidR="00236E6D">
        <w:lastRenderedPageBreak/>
        <w:t>monotherapy. There were no statistically significant differences between groups for the EQ-5D visual analogue scale scores at Week 24 or Week 96.</w:t>
      </w:r>
    </w:p>
    <w:p w14:paraId="683058E0" w14:textId="3EB4D2FF" w:rsidR="00245E8D" w:rsidRPr="005C2D58" w:rsidRDefault="00245E8D" w:rsidP="000454B0">
      <w:pPr>
        <w:pStyle w:val="4-SubsectSubhead"/>
        <w:rPr>
          <w:sz w:val="24"/>
          <w:szCs w:val="24"/>
        </w:rPr>
      </w:pPr>
      <w:r w:rsidRPr="005C2D58">
        <w:rPr>
          <w:sz w:val="24"/>
          <w:szCs w:val="24"/>
        </w:rPr>
        <w:t>Matching-adjusted indirect comparisons</w:t>
      </w:r>
    </w:p>
    <w:p w14:paraId="5A04CA91" w14:textId="563E95A1" w:rsidR="0036430E" w:rsidRPr="00021B9D" w:rsidRDefault="0036430E" w:rsidP="0036430E">
      <w:pPr>
        <w:pStyle w:val="COMexecsumnumberedpara"/>
        <w:rPr>
          <w:iCs/>
        </w:rPr>
      </w:pPr>
      <w:r>
        <w:t>The submission presented MAICs for zanubrutinib versus venetoclax + obinutuzumab and zanubrutinib versus acalabrutinib monotherapy for the outcomes of progression-free survival and overall survival. MAICs were not presented for safety outcomes.</w:t>
      </w:r>
    </w:p>
    <w:p w14:paraId="263AC870" w14:textId="35D9D30C" w:rsidR="0036430E" w:rsidRPr="00021B9D" w:rsidRDefault="0036430E" w:rsidP="0036430E">
      <w:pPr>
        <w:pStyle w:val="COMexecsumnumberedpara"/>
        <w:rPr>
          <w:iCs/>
        </w:rPr>
      </w:pPr>
      <w:r>
        <w:t>Due to the lack of a common reference arm between the SEQUOIA and comparator trials, the MAICs were unanchored comparisons.</w:t>
      </w:r>
    </w:p>
    <w:p w14:paraId="008242A3" w14:textId="4F404AB3" w:rsidR="00D26917" w:rsidRPr="00021B9D" w:rsidRDefault="00D26917" w:rsidP="0036430E">
      <w:pPr>
        <w:pStyle w:val="COMexecsumnumberedpara"/>
        <w:rPr>
          <w:iCs/>
        </w:rPr>
      </w:pPr>
      <w:r>
        <w:t xml:space="preserve">Results for zanubrutinib in the MAICs were based on pooled data for the zanubrutinib non-17p deletion and 17p deletion arms of the SEQUOIA trial. </w:t>
      </w:r>
      <w:r w:rsidR="000F2894">
        <w:t xml:space="preserve">While pooling of the zanubrutinib arms </w:t>
      </w:r>
      <w:r w:rsidR="00E8061E">
        <w:t xml:space="preserve">resulted in a larger </w:t>
      </w:r>
      <w:r w:rsidR="000F2894">
        <w:t>sample size, the inclusion of non-randomised patients with 17p deletion may have affected the reliability of the results. In particular, over 30% of patients in the pooled zanubrutinib population had 17p deletion. The presence of 17p deletion was a separate inclusion criterion in the SEQUOIA trial, and patients with 17p deletion did not need to meet the other specified age, CIRS score, creatinine clearance or previous infection criteria.</w:t>
      </w:r>
    </w:p>
    <w:p w14:paraId="5BA52FD7" w14:textId="43BAA7EF" w:rsidR="007F20DF" w:rsidRDefault="00D26917" w:rsidP="0036430E">
      <w:pPr>
        <w:pStyle w:val="COMexecsumnumberedpara"/>
      </w:pPr>
      <w:r>
        <w:t xml:space="preserve">The submission stated that subgroup analyses comparing the treatment effect on progression-free survival across different levels of baseline factors were explored in publications </w:t>
      </w:r>
      <w:r w:rsidR="00E8061E">
        <w:t>for</w:t>
      </w:r>
      <w:r>
        <w:t xml:space="preserve"> the ELEVATE-TN, CLL-14, ALLIANCE (ibrutinib +/- rituximab versus bendamustine + rituximab in previously untreated CLL) and RESONATE-2 (ibrutinib versus chlorambucil) trials, and in the SEQUOIA clinical study report. </w:t>
      </w:r>
    </w:p>
    <w:p w14:paraId="552F1D5A" w14:textId="16B6DBA7" w:rsidR="007F20DF" w:rsidRDefault="00D26917" w:rsidP="0036430E">
      <w:pPr>
        <w:pStyle w:val="COMexecsumnumberedpara"/>
      </w:pPr>
      <w:r>
        <w:t xml:space="preserve">Baseline factors were flagged as treatment effect modifiers if at least one of the studies detected a significant difference in the treatment effect across different factor levels. </w:t>
      </w:r>
      <w:r w:rsidR="007F20DF">
        <w:t xml:space="preserve">The following baseline factors were identified as treatment effect modifiers: IGHV mutation, cytogenetic mutation, β2-microglobulin, ZAP-70 methylation, </w:t>
      </w:r>
      <w:r w:rsidR="008D547B">
        <w:t xml:space="preserve">and </w:t>
      </w:r>
      <w:r w:rsidR="007F20DF">
        <w:t>CLL staging.</w:t>
      </w:r>
      <w:r w:rsidR="2502C5A0">
        <w:t xml:space="preserve"> </w:t>
      </w:r>
      <w:r w:rsidR="002B3C6F" w:rsidRPr="00CA2520">
        <w:rPr>
          <w:iCs/>
        </w:rPr>
        <w:t xml:space="preserve">The </w:t>
      </w:r>
      <w:r w:rsidR="2502C5A0" w:rsidRPr="00CA2520">
        <w:rPr>
          <w:iCs/>
        </w:rPr>
        <w:t>ESC considered these to be appropriate</w:t>
      </w:r>
      <w:r w:rsidR="002B3C6F" w:rsidRPr="00CA2520">
        <w:rPr>
          <w:iCs/>
        </w:rPr>
        <w:t>.</w:t>
      </w:r>
    </w:p>
    <w:p w14:paraId="15AB8CA4" w14:textId="7C8E30E8" w:rsidR="007F20DF" w:rsidRDefault="00D26917" w:rsidP="0036430E">
      <w:pPr>
        <w:pStyle w:val="COMexecsumnumberedpara"/>
      </w:pPr>
      <w:r>
        <w:t xml:space="preserve">Baseline characteristics which demonstrated a numerical difference in treatment effects across different factor levels, but were not statistically significant, were flagged as potential treatment effect modifiers. </w:t>
      </w:r>
      <w:r w:rsidR="007F20DF">
        <w:t>These included bulky disease, age group, sex, geographic region, any cytopenia</w:t>
      </w:r>
      <w:r w:rsidR="008D547B">
        <w:t xml:space="preserve"> and </w:t>
      </w:r>
      <w:r w:rsidR="007F20DF">
        <w:t>complex karyotype.</w:t>
      </w:r>
    </w:p>
    <w:p w14:paraId="22CC03D7" w14:textId="087DA028" w:rsidR="003A1108" w:rsidRDefault="007F20DF" w:rsidP="003A1108">
      <w:pPr>
        <w:pStyle w:val="COMexecsumnumberedpara"/>
      </w:pPr>
      <w:r>
        <w:t xml:space="preserve">The following variables that were not identified as either treatment effect modifiers or prognostic factors with effect modifier potential were flagged as prognostic factors: ECOG performance score, cancer type, time from initial diagnosis, ethnicity, cytopenia types and associated haematology results, creatinine clearance, lactate dehydrogenase, B-symptoms, </w:t>
      </w:r>
      <w:r w:rsidR="003B53F8">
        <w:t>CIRS score (</w:t>
      </w:r>
      <w:r>
        <w:t>standard or geriatric version</w:t>
      </w:r>
      <w:r w:rsidR="003B53F8">
        <w:t>)</w:t>
      </w:r>
      <w:r>
        <w:t xml:space="preserve"> and tumour lysis syndrome risk.</w:t>
      </w:r>
      <w:r w:rsidR="60F16B62">
        <w:t xml:space="preserve"> </w:t>
      </w:r>
      <w:r w:rsidR="002B3C6F" w:rsidRPr="00CA2520">
        <w:rPr>
          <w:iCs/>
        </w:rPr>
        <w:t xml:space="preserve">The ESC considered that </w:t>
      </w:r>
      <w:r w:rsidR="60F16B62" w:rsidRPr="00CA2520">
        <w:rPr>
          <w:iCs/>
        </w:rPr>
        <w:t xml:space="preserve">CIRS score is not relevant in this situation as it is </w:t>
      </w:r>
      <w:r w:rsidR="002B3C6F" w:rsidRPr="00CA2520">
        <w:rPr>
          <w:iCs/>
        </w:rPr>
        <w:t>used to assess patients’ suitability</w:t>
      </w:r>
      <w:r w:rsidR="00625095" w:rsidRPr="00CA2520">
        <w:rPr>
          <w:iCs/>
        </w:rPr>
        <w:t xml:space="preserve"> </w:t>
      </w:r>
      <w:r w:rsidR="60F16B62" w:rsidRPr="00CA2520">
        <w:rPr>
          <w:iCs/>
        </w:rPr>
        <w:t>for treat</w:t>
      </w:r>
      <w:r w:rsidR="002B3C6F" w:rsidRPr="00CA2520">
        <w:rPr>
          <w:iCs/>
        </w:rPr>
        <w:t>ment</w:t>
      </w:r>
      <w:r w:rsidR="60F16B62" w:rsidRPr="00CA2520">
        <w:rPr>
          <w:iCs/>
        </w:rPr>
        <w:t xml:space="preserve"> with chemoimmunotherapy.</w:t>
      </w:r>
    </w:p>
    <w:p w14:paraId="7BA14269" w14:textId="7ECD4200" w:rsidR="003A1108" w:rsidRPr="00D26917" w:rsidRDefault="003A1108" w:rsidP="003A1108">
      <w:pPr>
        <w:pStyle w:val="COMexecsumnumberedpara"/>
      </w:pPr>
      <w:r>
        <w:t xml:space="preserve">The submission stated that to find the most optimal </w:t>
      </w:r>
      <w:r w:rsidR="003770E1">
        <w:t>model</w:t>
      </w:r>
      <w:r>
        <w:t xml:space="preserve">, several sets of matching </w:t>
      </w:r>
      <w:r w:rsidR="003770E1">
        <w:t>variables</w:t>
      </w:r>
      <w:r>
        <w:t xml:space="preserve"> were explored. In the first step, the full set of mutually available factors were </w:t>
      </w:r>
      <w:r>
        <w:lastRenderedPageBreak/>
        <w:t xml:space="preserve">used for matching and then, if necessary, the full set was further simplified by eliminating some factors based on their relevance until an optimal effective sample size was reached. If multiple descriptive statistics were available for the same factor, then an effort was made to adjust for the largest set of descriptive statistics for each, giving the highest priority to grouped ranges of values. Exclusion of potential treatment effect modifier or prognostic factors to preserve the effective sample size may not be </w:t>
      </w:r>
      <w:r w:rsidR="003770E1">
        <w:t xml:space="preserve">a </w:t>
      </w:r>
      <w:r>
        <w:t>reasonable approach. Selective exclusion of variables is associated with a high risk of bias.</w:t>
      </w:r>
    </w:p>
    <w:p w14:paraId="7B174017" w14:textId="24CD5421" w:rsidR="00245E8D" w:rsidRPr="005C2D58" w:rsidRDefault="00F73B34" w:rsidP="000454B0">
      <w:pPr>
        <w:pStyle w:val="5-SubSubSubHead"/>
        <w:rPr>
          <w:snapToGrid w:val="0"/>
          <w:sz w:val="24"/>
          <w:szCs w:val="24"/>
        </w:rPr>
      </w:pPr>
      <w:r w:rsidRPr="005C2D58">
        <w:rPr>
          <w:snapToGrid w:val="0"/>
          <w:sz w:val="24"/>
          <w:szCs w:val="24"/>
        </w:rPr>
        <w:t>MAIC of z</w:t>
      </w:r>
      <w:r w:rsidR="0036430E" w:rsidRPr="005C2D58">
        <w:rPr>
          <w:snapToGrid w:val="0"/>
          <w:sz w:val="24"/>
          <w:szCs w:val="24"/>
        </w:rPr>
        <w:t xml:space="preserve">anubrutinib </w:t>
      </w:r>
      <w:r w:rsidRPr="005C2D58">
        <w:rPr>
          <w:snapToGrid w:val="0"/>
          <w:sz w:val="24"/>
          <w:szCs w:val="24"/>
        </w:rPr>
        <w:t xml:space="preserve">(SEQUOIA) </w:t>
      </w:r>
      <w:r w:rsidR="0036430E" w:rsidRPr="005C2D58">
        <w:rPr>
          <w:snapToGrid w:val="0"/>
          <w:sz w:val="24"/>
          <w:szCs w:val="24"/>
        </w:rPr>
        <w:t>versus venetoclax + obinutuzumab</w:t>
      </w:r>
      <w:r w:rsidRPr="005C2D58">
        <w:rPr>
          <w:snapToGrid w:val="0"/>
          <w:sz w:val="24"/>
          <w:szCs w:val="24"/>
        </w:rPr>
        <w:t xml:space="preserve"> (CLL-14)</w:t>
      </w:r>
    </w:p>
    <w:p w14:paraId="7C0782C8" w14:textId="7D54983F" w:rsidR="00547111" w:rsidRDefault="003A1108" w:rsidP="00547111">
      <w:pPr>
        <w:pStyle w:val="COMexecsumnumberedpara"/>
      </w:pPr>
      <w:r>
        <w:t xml:space="preserve">The technical document </w:t>
      </w:r>
      <w:r w:rsidR="00555601">
        <w:t>included</w:t>
      </w:r>
      <w:r>
        <w:t xml:space="preserve"> three different MAIC models</w:t>
      </w:r>
      <w:r w:rsidR="00060B8B">
        <w:t xml:space="preserve"> for zanubrutinib versus venetoclax + </w:t>
      </w:r>
      <w:r w:rsidR="00060B8B" w:rsidRPr="002B3C6F">
        <w:t xml:space="preserve">obinutuzumab </w:t>
      </w:r>
      <w:r w:rsidRPr="002B3C6F">
        <w:t>based on alternative sets of matching variables (Models 1 to 3</w:t>
      </w:r>
      <w:r w:rsidR="00582B6A" w:rsidRPr="002B3C6F">
        <w:t xml:space="preserve">). A summary of the variables </w:t>
      </w:r>
      <w:r w:rsidR="00627BD6" w:rsidRPr="002B3C6F">
        <w:t xml:space="preserve">included for </w:t>
      </w:r>
      <w:r w:rsidR="00582B6A" w:rsidRPr="002B3C6F">
        <w:t>match</w:t>
      </w:r>
      <w:r w:rsidR="00627BD6" w:rsidRPr="002B3C6F">
        <w:t>ing</w:t>
      </w:r>
      <w:r w:rsidR="00582B6A" w:rsidRPr="002B3C6F">
        <w:t xml:space="preserve"> in each model</w:t>
      </w:r>
      <w:r w:rsidR="00627BD6" w:rsidRPr="002B3C6F">
        <w:t xml:space="preserve">, and the distribution of effect modifiers/prognostic variables before and after re-weighting </w:t>
      </w:r>
      <w:r w:rsidR="000454B0">
        <w:t>were</w:t>
      </w:r>
      <w:r w:rsidR="000454B0" w:rsidRPr="002B3C6F">
        <w:t xml:space="preserve"> </w:t>
      </w:r>
      <w:r w:rsidR="00582B6A" w:rsidRPr="002B3C6F">
        <w:t xml:space="preserve">presented in </w:t>
      </w:r>
      <w:r w:rsidR="002B3C6F" w:rsidRPr="002B3C6F">
        <w:t xml:space="preserve">the main body </w:t>
      </w:r>
      <w:r w:rsidR="00582B6A" w:rsidRPr="002B3C6F">
        <w:t>of the commentary.</w:t>
      </w:r>
      <w:r w:rsidR="00582B6A">
        <w:t xml:space="preserve"> </w:t>
      </w:r>
      <w:r w:rsidR="00547111">
        <w:t xml:space="preserve">Results for Model 1 were presented in the submission and formed the basis for the clinical claim. </w:t>
      </w:r>
      <w:r>
        <w:t>The main difference between Model 1 and 2 was the exclusion of</w:t>
      </w:r>
      <w:r w:rsidR="007C0D4C">
        <w:t xml:space="preserve"> the </w:t>
      </w:r>
      <w:r w:rsidR="0050282A">
        <w:t xml:space="preserve">CLL International </w:t>
      </w:r>
      <w:r w:rsidR="007C0D4C">
        <w:t xml:space="preserve">Prognostic Index </w:t>
      </w:r>
      <w:r w:rsidR="0050282A">
        <w:t>(</w:t>
      </w:r>
      <w:r>
        <w:t>CLL-IPI</w:t>
      </w:r>
      <w:r w:rsidR="007C0D4C">
        <w:t>)</w:t>
      </w:r>
      <w:r>
        <w:t xml:space="preserve"> from matching in Model 1. Model 3 was described as exploratory, and included CIRS score as a matching variable, along with exclusion of a number of other variables in order to preserve the effective sample size. No justification was provided in the submission for the selection of Model 1 compared to the other models.</w:t>
      </w:r>
    </w:p>
    <w:p w14:paraId="778181D3" w14:textId="56C7341C" w:rsidR="0036430E" w:rsidRDefault="00754527" w:rsidP="00547111">
      <w:pPr>
        <w:pStyle w:val="COMexecsumnumberedpara"/>
      </w:pPr>
      <w:r>
        <w:t>R</w:t>
      </w:r>
      <w:r w:rsidR="00547111">
        <w:t xml:space="preserve">esults </w:t>
      </w:r>
      <w:r>
        <w:t>for</w:t>
      </w:r>
      <w:r w:rsidR="00547111">
        <w:t xml:space="preserve"> the MAICs of </w:t>
      </w:r>
      <w:r w:rsidR="00471CEB">
        <w:t xml:space="preserve">investigator-assessed </w:t>
      </w:r>
      <w:r w:rsidR="00547111">
        <w:t>progression-free survival and overall survival</w:t>
      </w:r>
      <w:r w:rsidR="00060B8B">
        <w:t xml:space="preserve"> for Models 1 to 3 are presented in</w:t>
      </w:r>
      <w:r>
        <w:t xml:space="preserve"> </w:t>
      </w:r>
      <w:r>
        <w:fldChar w:fldCharType="begin" w:fldLock="1"/>
      </w:r>
      <w:r>
        <w:instrText xml:space="preserve"> REF _Ref123847771 \h </w:instrText>
      </w:r>
      <w:r>
        <w:fldChar w:fldCharType="separate"/>
      </w:r>
      <w:r w:rsidR="00540D87" w:rsidRPr="00C31E62">
        <w:t xml:space="preserve">Table </w:t>
      </w:r>
      <w:r w:rsidR="00540D87">
        <w:rPr>
          <w:noProof/>
        </w:rPr>
        <w:t>6</w:t>
      </w:r>
      <w:r>
        <w:fldChar w:fldCharType="end"/>
      </w:r>
      <w:r w:rsidR="00060B8B">
        <w:t xml:space="preserve">. </w:t>
      </w:r>
    </w:p>
    <w:p w14:paraId="3CABE029" w14:textId="3B5DEB89" w:rsidR="00060B8B" w:rsidRDefault="00060B8B" w:rsidP="00060B8B">
      <w:pPr>
        <w:pStyle w:val="COMtablefigcaption"/>
        <w:rPr>
          <w:snapToGrid w:val="0"/>
        </w:rPr>
      </w:pPr>
      <w:bookmarkStart w:id="33" w:name="_Ref123847771"/>
      <w:bookmarkStart w:id="34" w:name="_Ref123847747"/>
      <w:r w:rsidRPr="00C31E62">
        <w:t xml:space="preserve">Table </w:t>
      </w:r>
      <w:r w:rsidR="009D248A" w:rsidRPr="000C2812">
        <w:rPr>
          <w:snapToGrid w:val="0"/>
        </w:rPr>
        <w:fldChar w:fldCharType="begin" w:fldLock="1"/>
      </w:r>
      <w:r w:rsidR="009D248A" w:rsidRPr="000C2812">
        <w:rPr>
          <w:snapToGrid w:val="0"/>
        </w:rPr>
        <w:instrText xml:space="preserve"> SEQ Table \* ARABIC </w:instrText>
      </w:r>
      <w:r w:rsidR="009D248A" w:rsidRPr="000C2812">
        <w:rPr>
          <w:snapToGrid w:val="0"/>
        </w:rPr>
        <w:fldChar w:fldCharType="separate"/>
      </w:r>
      <w:r w:rsidR="00540D87" w:rsidRPr="000C2812">
        <w:rPr>
          <w:snapToGrid w:val="0"/>
        </w:rPr>
        <w:t>6</w:t>
      </w:r>
      <w:r w:rsidR="009D248A" w:rsidRPr="000C2812">
        <w:rPr>
          <w:snapToGrid w:val="0"/>
        </w:rPr>
        <w:fldChar w:fldCharType="end"/>
      </w:r>
      <w:bookmarkEnd w:id="33"/>
      <w:r w:rsidRPr="00080502">
        <w:rPr>
          <w:snapToGrid w:val="0"/>
        </w:rPr>
        <w:t>:</w:t>
      </w:r>
      <w:r w:rsidRPr="000C2812">
        <w:rPr>
          <w:snapToGrid w:val="0"/>
        </w:rPr>
        <w:t xml:space="preserve"> R</w:t>
      </w:r>
      <w:r w:rsidRPr="00921CED">
        <w:rPr>
          <w:snapToGrid w:val="0"/>
        </w:rPr>
        <w:t>e</w:t>
      </w:r>
      <w:r w:rsidR="00754527">
        <w:rPr>
          <w:snapToGrid w:val="0"/>
        </w:rPr>
        <w:t>sults for the</w:t>
      </w:r>
      <w:r w:rsidR="00754527" w:rsidRPr="00754527">
        <w:t xml:space="preserve"> </w:t>
      </w:r>
      <w:r w:rsidR="00754527" w:rsidRPr="00754527">
        <w:rPr>
          <w:snapToGrid w:val="0"/>
        </w:rPr>
        <w:t xml:space="preserve">MAICs of </w:t>
      </w:r>
      <w:r w:rsidR="00AE2D89">
        <w:rPr>
          <w:snapToGrid w:val="0"/>
        </w:rPr>
        <w:t xml:space="preserve">investigator-assessed </w:t>
      </w:r>
      <w:r w:rsidR="00754527" w:rsidRPr="00754527">
        <w:rPr>
          <w:snapToGrid w:val="0"/>
        </w:rPr>
        <w:t xml:space="preserve">progression-free survival and overall survival </w:t>
      </w:r>
      <w:r w:rsidR="00754527" w:rsidRPr="00921CED">
        <w:rPr>
          <w:snapToGrid w:val="0"/>
        </w:rPr>
        <w:t xml:space="preserve">for zanubrutinib versus </w:t>
      </w:r>
      <w:r w:rsidR="00754527">
        <w:rPr>
          <w:snapToGrid w:val="0"/>
        </w:rPr>
        <w:t>venetoclax</w:t>
      </w:r>
      <w:r w:rsidR="00754527" w:rsidRPr="00921CED">
        <w:rPr>
          <w:snapToGrid w:val="0"/>
        </w:rPr>
        <w:t xml:space="preserve"> + obinutuzumab</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453"/>
      </w:tblGrid>
      <w:tr w:rsidR="00060B8B" w:rsidRPr="00BE0126" w14:paraId="39BE6C95" w14:textId="77777777" w:rsidTr="006A1BBC">
        <w:trPr>
          <w:trHeight w:val="44"/>
        </w:trPr>
        <w:tc>
          <w:tcPr>
            <w:tcW w:w="1976" w:type="pct"/>
            <w:shd w:val="clear" w:color="auto" w:fill="auto"/>
            <w:vAlign w:val="center"/>
          </w:tcPr>
          <w:p w14:paraId="28C34B7B" w14:textId="6E4B8474" w:rsidR="00060B8B" w:rsidRPr="00617D12" w:rsidRDefault="009262A4" w:rsidP="00555601">
            <w:pPr>
              <w:keepNext/>
              <w:jc w:val="left"/>
              <w:rPr>
                <w:rFonts w:ascii="Arial Narrow" w:hAnsi="Arial Narrow" w:cstheme="minorHAnsi"/>
                <w:b/>
                <w:bCs/>
                <w:color w:val="000000"/>
                <w:sz w:val="20"/>
                <w:szCs w:val="20"/>
                <w:vertAlign w:val="superscript"/>
              </w:rPr>
            </w:pPr>
            <w:r>
              <w:rPr>
                <w:rFonts w:ascii="Arial Narrow" w:hAnsi="Arial Narrow" w:cstheme="minorHAnsi"/>
                <w:b/>
                <w:bCs/>
                <w:color w:val="000000"/>
                <w:sz w:val="20"/>
                <w:szCs w:val="20"/>
              </w:rPr>
              <w:t>Model</w:t>
            </w:r>
            <w:r w:rsidR="00617D12">
              <w:rPr>
                <w:rFonts w:ascii="Arial Narrow" w:hAnsi="Arial Narrow" w:cstheme="minorHAnsi"/>
                <w:b/>
                <w:bCs/>
                <w:color w:val="000000"/>
                <w:sz w:val="20"/>
                <w:szCs w:val="20"/>
                <w:vertAlign w:val="superscript"/>
              </w:rPr>
              <w:t>a</w:t>
            </w:r>
          </w:p>
        </w:tc>
        <w:tc>
          <w:tcPr>
            <w:tcW w:w="3024" w:type="pct"/>
            <w:shd w:val="clear" w:color="auto" w:fill="auto"/>
            <w:vAlign w:val="center"/>
          </w:tcPr>
          <w:p w14:paraId="67336534" w14:textId="77777777" w:rsidR="00060B8B" w:rsidRPr="00AC1C91" w:rsidRDefault="00060B8B" w:rsidP="00555601">
            <w:pPr>
              <w:keepNext/>
              <w:jc w:val="center"/>
              <w:rPr>
                <w:rFonts w:ascii="Arial Narrow" w:hAnsi="Arial Narrow" w:cstheme="minorHAnsi"/>
                <w:b/>
                <w:bCs/>
                <w:color w:val="000000"/>
                <w:sz w:val="20"/>
                <w:szCs w:val="20"/>
              </w:rPr>
            </w:pPr>
            <w:r>
              <w:rPr>
                <w:rFonts w:ascii="Arial Narrow" w:hAnsi="Arial Narrow" w:cstheme="minorHAnsi"/>
                <w:b/>
                <w:bCs/>
                <w:color w:val="000000"/>
                <w:sz w:val="20"/>
                <w:szCs w:val="20"/>
              </w:rPr>
              <w:t>Hazard ratio (95% CI)</w:t>
            </w:r>
          </w:p>
        </w:tc>
      </w:tr>
      <w:tr w:rsidR="00754527" w:rsidRPr="00BE0126" w14:paraId="7BA4E72A" w14:textId="77777777" w:rsidTr="00754527">
        <w:trPr>
          <w:trHeight w:val="44"/>
        </w:trPr>
        <w:tc>
          <w:tcPr>
            <w:tcW w:w="5000" w:type="pct"/>
            <w:gridSpan w:val="2"/>
            <w:shd w:val="clear" w:color="auto" w:fill="auto"/>
            <w:vAlign w:val="center"/>
          </w:tcPr>
          <w:p w14:paraId="43DFCC14" w14:textId="531FFE5D" w:rsidR="00754527" w:rsidRPr="00754527" w:rsidRDefault="00AE2D89" w:rsidP="00555601">
            <w:pPr>
              <w:keepNext/>
              <w:jc w:val="left"/>
              <w:rPr>
                <w:rFonts w:ascii="Arial Narrow" w:hAnsi="Arial Narrow" w:cstheme="minorHAnsi"/>
                <w:b/>
                <w:bCs/>
                <w:color w:val="000000"/>
                <w:sz w:val="20"/>
                <w:szCs w:val="20"/>
              </w:rPr>
            </w:pPr>
            <w:r>
              <w:rPr>
                <w:rFonts w:ascii="Arial Narrow" w:hAnsi="Arial Narrow" w:cstheme="minorHAnsi"/>
                <w:b/>
                <w:bCs/>
                <w:color w:val="000000"/>
                <w:sz w:val="20"/>
                <w:szCs w:val="20"/>
              </w:rPr>
              <w:t>Investigator-assessed p</w:t>
            </w:r>
            <w:r w:rsidR="009262A4">
              <w:rPr>
                <w:rFonts w:ascii="Arial Narrow" w:hAnsi="Arial Narrow" w:cstheme="minorHAnsi"/>
                <w:b/>
                <w:bCs/>
                <w:color w:val="000000"/>
                <w:sz w:val="20"/>
                <w:szCs w:val="20"/>
              </w:rPr>
              <w:t>rogression-free</w:t>
            </w:r>
            <w:r w:rsidR="00754527">
              <w:rPr>
                <w:rFonts w:ascii="Arial Narrow" w:hAnsi="Arial Narrow" w:cstheme="minorHAnsi"/>
                <w:b/>
                <w:bCs/>
                <w:color w:val="000000"/>
                <w:sz w:val="20"/>
                <w:szCs w:val="20"/>
              </w:rPr>
              <w:t xml:space="preserve"> survival</w:t>
            </w:r>
          </w:p>
        </w:tc>
      </w:tr>
      <w:tr w:rsidR="00060B8B" w:rsidRPr="00BE0126" w14:paraId="04EB8E1A" w14:textId="77777777" w:rsidTr="006A1BBC">
        <w:trPr>
          <w:trHeight w:val="44"/>
        </w:trPr>
        <w:tc>
          <w:tcPr>
            <w:tcW w:w="1976" w:type="pct"/>
            <w:shd w:val="clear" w:color="auto" w:fill="auto"/>
            <w:vAlign w:val="center"/>
          </w:tcPr>
          <w:p w14:paraId="59587129" w14:textId="77777777" w:rsidR="00060B8B" w:rsidRPr="00AC1C91" w:rsidRDefault="00060B8B" w:rsidP="00555601">
            <w:pPr>
              <w:keepNext/>
              <w:jc w:val="left"/>
              <w:rPr>
                <w:rFonts w:ascii="Arial Narrow" w:hAnsi="Arial Narrow" w:cstheme="minorHAnsi"/>
                <w:color w:val="000000"/>
                <w:sz w:val="20"/>
                <w:szCs w:val="20"/>
              </w:rPr>
            </w:pPr>
            <w:r>
              <w:rPr>
                <w:rFonts w:ascii="Arial Narrow" w:hAnsi="Arial Narrow" w:cstheme="minorHAnsi"/>
                <w:color w:val="000000"/>
                <w:sz w:val="20"/>
                <w:szCs w:val="20"/>
              </w:rPr>
              <w:t xml:space="preserve">Naïve comparison (N = </w:t>
            </w:r>
            <w:r w:rsidRPr="00D7697A">
              <w:rPr>
                <w:rFonts w:ascii="Arial Narrow" w:hAnsi="Arial Narrow" w:cstheme="minorHAnsi"/>
                <w:color w:val="000000"/>
                <w:sz w:val="20"/>
                <w:szCs w:val="20"/>
              </w:rPr>
              <w:t>352</w:t>
            </w:r>
            <w:r>
              <w:rPr>
                <w:rFonts w:ascii="Arial Narrow" w:hAnsi="Arial Narrow" w:cstheme="minorHAnsi"/>
                <w:color w:val="000000"/>
                <w:sz w:val="20"/>
                <w:szCs w:val="20"/>
              </w:rPr>
              <w:t>)</w:t>
            </w:r>
          </w:p>
        </w:tc>
        <w:tc>
          <w:tcPr>
            <w:tcW w:w="3024" w:type="pct"/>
            <w:shd w:val="clear" w:color="auto" w:fill="auto"/>
            <w:vAlign w:val="center"/>
          </w:tcPr>
          <w:p w14:paraId="30FA145A" w14:textId="1B410846" w:rsidR="00060B8B" w:rsidRPr="00AC1C91" w:rsidRDefault="00060B8B" w:rsidP="00555601">
            <w:pPr>
              <w:keepNext/>
              <w:jc w:val="center"/>
              <w:rPr>
                <w:rFonts w:ascii="Arial Narrow" w:hAnsi="Arial Narrow" w:cstheme="minorHAnsi"/>
                <w:color w:val="000000"/>
                <w:sz w:val="20"/>
                <w:szCs w:val="20"/>
              </w:rPr>
            </w:pPr>
            <w:r w:rsidRPr="00D7697A">
              <w:rPr>
                <w:rFonts w:ascii="Arial Narrow" w:hAnsi="Arial Narrow" w:cstheme="minorHAnsi"/>
                <w:color w:val="000000"/>
                <w:sz w:val="20"/>
                <w:szCs w:val="20"/>
              </w:rPr>
              <w:t>1.1</w:t>
            </w:r>
            <w:r w:rsidR="00471CEB">
              <w:rPr>
                <w:rFonts w:ascii="Arial Narrow" w:hAnsi="Arial Narrow" w:cstheme="minorHAnsi"/>
                <w:color w:val="000000"/>
                <w:sz w:val="20"/>
                <w:szCs w:val="20"/>
              </w:rPr>
              <w:t>0</w:t>
            </w:r>
            <w:r w:rsidRPr="00D7697A">
              <w:rPr>
                <w:rFonts w:ascii="Arial Narrow" w:hAnsi="Arial Narrow" w:cstheme="minorHAnsi"/>
                <w:color w:val="000000"/>
                <w:sz w:val="20"/>
                <w:szCs w:val="20"/>
              </w:rPr>
              <w:t xml:space="preserve"> (0.69</w:t>
            </w:r>
            <w:r>
              <w:rPr>
                <w:rFonts w:ascii="Arial Narrow" w:hAnsi="Arial Narrow" w:cstheme="minorHAnsi"/>
                <w:color w:val="000000"/>
                <w:sz w:val="20"/>
                <w:szCs w:val="20"/>
              </w:rPr>
              <w:t xml:space="preserve">, </w:t>
            </w:r>
            <w:r w:rsidRPr="00D7697A">
              <w:rPr>
                <w:rFonts w:ascii="Arial Narrow" w:hAnsi="Arial Narrow" w:cstheme="minorHAnsi"/>
                <w:color w:val="000000"/>
                <w:sz w:val="20"/>
                <w:szCs w:val="20"/>
              </w:rPr>
              <w:t>1.76)</w:t>
            </w:r>
          </w:p>
        </w:tc>
      </w:tr>
      <w:tr w:rsidR="00060B8B" w:rsidRPr="00BE0126" w14:paraId="26F1469E" w14:textId="77777777" w:rsidTr="006A1BBC">
        <w:trPr>
          <w:trHeight w:val="44"/>
        </w:trPr>
        <w:tc>
          <w:tcPr>
            <w:tcW w:w="1976" w:type="pct"/>
            <w:shd w:val="clear" w:color="auto" w:fill="auto"/>
            <w:vAlign w:val="center"/>
          </w:tcPr>
          <w:p w14:paraId="5BB720E8" w14:textId="77777777" w:rsidR="00060B8B" w:rsidRPr="00AC1C91" w:rsidRDefault="00060B8B" w:rsidP="00555601">
            <w:pPr>
              <w:keepNext/>
              <w:jc w:val="left"/>
              <w:rPr>
                <w:rFonts w:ascii="Arial Narrow" w:hAnsi="Arial Narrow" w:cstheme="minorHAnsi"/>
                <w:color w:val="000000"/>
                <w:sz w:val="20"/>
                <w:szCs w:val="20"/>
              </w:rPr>
            </w:pPr>
            <w:r w:rsidRPr="00AC1C91">
              <w:rPr>
                <w:rFonts w:ascii="Arial Narrow" w:hAnsi="Arial Narrow" w:cstheme="minorHAnsi"/>
                <w:color w:val="000000"/>
                <w:sz w:val="20"/>
                <w:szCs w:val="20"/>
              </w:rPr>
              <w:t>Model 1</w:t>
            </w:r>
            <w:r>
              <w:rPr>
                <w:rFonts w:ascii="Arial Narrow" w:hAnsi="Arial Narrow" w:cstheme="minorHAnsi"/>
                <w:color w:val="000000"/>
                <w:sz w:val="20"/>
                <w:szCs w:val="20"/>
              </w:rPr>
              <w:t xml:space="preserve"> (ESS = </w:t>
            </w:r>
            <w:r w:rsidRPr="00D7697A">
              <w:rPr>
                <w:rFonts w:ascii="Arial Narrow" w:hAnsi="Arial Narrow" w:cstheme="minorHAnsi"/>
                <w:color w:val="000000"/>
                <w:sz w:val="20"/>
                <w:szCs w:val="20"/>
              </w:rPr>
              <w:t>160.5</w:t>
            </w:r>
            <w:r>
              <w:rPr>
                <w:rFonts w:ascii="Arial Narrow" w:hAnsi="Arial Narrow" w:cstheme="minorHAnsi"/>
                <w:color w:val="000000"/>
                <w:sz w:val="20"/>
                <w:szCs w:val="20"/>
              </w:rPr>
              <w:t>)</w:t>
            </w:r>
          </w:p>
        </w:tc>
        <w:tc>
          <w:tcPr>
            <w:tcW w:w="3024" w:type="pct"/>
            <w:shd w:val="clear" w:color="auto" w:fill="auto"/>
            <w:vAlign w:val="center"/>
          </w:tcPr>
          <w:p w14:paraId="1B765D98" w14:textId="77777777" w:rsidR="00060B8B" w:rsidRPr="00AC1C91" w:rsidRDefault="00060B8B" w:rsidP="00555601">
            <w:pPr>
              <w:keepNext/>
              <w:jc w:val="center"/>
              <w:rPr>
                <w:rFonts w:ascii="Arial Narrow" w:hAnsi="Arial Narrow" w:cstheme="minorHAnsi"/>
                <w:color w:val="000000"/>
                <w:sz w:val="20"/>
                <w:szCs w:val="20"/>
              </w:rPr>
            </w:pPr>
            <w:r w:rsidRPr="00D7697A">
              <w:rPr>
                <w:rFonts w:ascii="Arial Narrow" w:hAnsi="Arial Narrow" w:cstheme="minorHAnsi"/>
                <w:color w:val="000000"/>
                <w:sz w:val="20"/>
                <w:szCs w:val="20"/>
              </w:rPr>
              <w:t>1.01 (0.57</w:t>
            </w:r>
            <w:r>
              <w:rPr>
                <w:rFonts w:ascii="Arial Narrow" w:hAnsi="Arial Narrow" w:cstheme="minorHAnsi"/>
                <w:color w:val="000000"/>
                <w:sz w:val="20"/>
                <w:szCs w:val="20"/>
              </w:rPr>
              <w:t xml:space="preserve">, </w:t>
            </w:r>
            <w:r w:rsidRPr="00D7697A">
              <w:rPr>
                <w:rFonts w:ascii="Arial Narrow" w:hAnsi="Arial Narrow" w:cstheme="minorHAnsi"/>
                <w:color w:val="000000"/>
                <w:sz w:val="20"/>
                <w:szCs w:val="20"/>
              </w:rPr>
              <w:t>1.81</w:t>
            </w:r>
            <w:r>
              <w:rPr>
                <w:rFonts w:ascii="Arial Narrow" w:hAnsi="Arial Narrow" w:cstheme="minorHAnsi"/>
                <w:color w:val="000000"/>
                <w:sz w:val="20"/>
                <w:szCs w:val="20"/>
              </w:rPr>
              <w:t>)</w:t>
            </w:r>
          </w:p>
        </w:tc>
      </w:tr>
      <w:tr w:rsidR="00060B8B" w:rsidRPr="00BE0126" w14:paraId="3A1CD5FC" w14:textId="77777777" w:rsidTr="006A1BBC">
        <w:trPr>
          <w:trHeight w:val="44"/>
        </w:trPr>
        <w:tc>
          <w:tcPr>
            <w:tcW w:w="1976" w:type="pct"/>
            <w:shd w:val="clear" w:color="auto" w:fill="auto"/>
            <w:vAlign w:val="center"/>
          </w:tcPr>
          <w:p w14:paraId="112EF04C" w14:textId="77777777" w:rsidR="00060B8B" w:rsidRPr="00AC1C91" w:rsidRDefault="00060B8B" w:rsidP="00555601">
            <w:pPr>
              <w:keepNext/>
              <w:jc w:val="left"/>
              <w:rPr>
                <w:rFonts w:ascii="Arial Narrow" w:hAnsi="Arial Narrow" w:cstheme="minorHAnsi"/>
                <w:color w:val="000000"/>
                <w:sz w:val="20"/>
                <w:szCs w:val="20"/>
              </w:rPr>
            </w:pPr>
            <w:r>
              <w:rPr>
                <w:rFonts w:ascii="Arial Narrow" w:hAnsi="Arial Narrow" w:cstheme="minorHAnsi"/>
                <w:color w:val="000000"/>
                <w:sz w:val="20"/>
                <w:szCs w:val="20"/>
              </w:rPr>
              <w:t>Model 2 (ESS = 155.1)</w:t>
            </w:r>
          </w:p>
        </w:tc>
        <w:tc>
          <w:tcPr>
            <w:tcW w:w="3024" w:type="pct"/>
            <w:shd w:val="clear" w:color="auto" w:fill="auto"/>
            <w:vAlign w:val="center"/>
          </w:tcPr>
          <w:p w14:paraId="50C53F5E" w14:textId="77777777" w:rsidR="00060B8B" w:rsidRPr="00AC1C91" w:rsidRDefault="00060B8B" w:rsidP="00555601">
            <w:pPr>
              <w:keepNext/>
              <w:jc w:val="center"/>
              <w:rPr>
                <w:rFonts w:ascii="Arial Narrow" w:hAnsi="Arial Narrow" w:cstheme="minorHAnsi"/>
                <w:color w:val="000000"/>
                <w:sz w:val="20"/>
                <w:szCs w:val="20"/>
              </w:rPr>
            </w:pPr>
            <w:r w:rsidRPr="00D7697A">
              <w:rPr>
                <w:rFonts w:ascii="Arial Narrow" w:hAnsi="Arial Narrow" w:cstheme="minorHAnsi"/>
                <w:color w:val="000000"/>
                <w:sz w:val="20"/>
                <w:szCs w:val="20"/>
              </w:rPr>
              <w:t>1.03 (0.57</w:t>
            </w:r>
            <w:r>
              <w:rPr>
                <w:rFonts w:ascii="Arial Narrow" w:hAnsi="Arial Narrow" w:cstheme="minorHAnsi"/>
                <w:color w:val="000000"/>
                <w:sz w:val="20"/>
                <w:szCs w:val="20"/>
              </w:rPr>
              <w:t xml:space="preserve">, </w:t>
            </w:r>
            <w:r w:rsidRPr="00D7697A">
              <w:rPr>
                <w:rFonts w:ascii="Arial Narrow" w:hAnsi="Arial Narrow" w:cstheme="minorHAnsi"/>
                <w:color w:val="000000"/>
                <w:sz w:val="20"/>
                <w:szCs w:val="20"/>
              </w:rPr>
              <w:t>1.88)</w:t>
            </w:r>
          </w:p>
        </w:tc>
      </w:tr>
      <w:tr w:rsidR="00060B8B" w:rsidRPr="00BE0126" w14:paraId="44068ABA" w14:textId="77777777" w:rsidTr="006A1BBC">
        <w:trPr>
          <w:trHeight w:val="44"/>
        </w:trPr>
        <w:tc>
          <w:tcPr>
            <w:tcW w:w="1976" w:type="pct"/>
            <w:shd w:val="clear" w:color="auto" w:fill="auto"/>
            <w:vAlign w:val="center"/>
          </w:tcPr>
          <w:p w14:paraId="7F4A0068" w14:textId="77777777" w:rsidR="00060B8B" w:rsidRPr="00450D20" w:rsidRDefault="00060B8B" w:rsidP="00555601">
            <w:pPr>
              <w:keepNext/>
              <w:jc w:val="left"/>
              <w:rPr>
                <w:rFonts w:ascii="Arial Narrow" w:hAnsi="Arial Narrow" w:cstheme="minorHAnsi"/>
                <w:color w:val="000000"/>
                <w:sz w:val="20"/>
                <w:szCs w:val="20"/>
                <w:vertAlign w:val="superscript"/>
              </w:rPr>
            </w:pPr>
            <w:r w:rsidRPr="00450D20">
              <w:rPr>
                <w:rFonts w:ascii="Arial Narrow" w:hAnsi="Arial Narrow" w:cstheme="minorHAnsi"/>
                <w:color w:val="000000"/>
                <w:sz w:val="20"/>
                <w:szCs w:val="20"/>
              </w:rPr>
              <w:t>Model 3 (ESS</w:t>
            </w:r>
            <w:r>
              <w:rPr>
                <w:rFonts w:ascii="Arial Narrow" w:hAnsi="Arial Narrow" w:cstheme="minorHAnsi"/>
                <w:color w:val="000000"/>
                <w:sz w:val="20"/>
                <w:szCs w:val="20"/>
              </w:rPr>
              <w:t xml:space="preserve"> </w:t>
            </w:r>
            <w:r w:rsidRPr="00450D20">
              <w:rPr>
                <w:rFonts w:ascii="Arial Narrow" w:hAnsi="Arial Narrow" w:cstheme="minorHAnsi"/>
                <w:color w:val="000000"/>
                <w:sz w:val="20"/>
                <w:szCs w:val="20"/>
              </w:rPr>
              <w:t>=</w:t>
            </w:r>
            <w:r>
              <w:rPr>
                <w:rFonts w:ascii="Arial Narrow" w:hAnsi="Arial Narrow" w:cstheme="minorHAnsi"/>
                <w:color w:val="000000"/>
                <w:sz w:val="20"/>
                <w:szCs w:val="20"/>
              </w:rPr>
              <w:t xml:space="preserve"> </w:t>
            </w:r>
            <w:r w:rsidRPr="00450D20">
              <w:rPr>
                <w:rFonts w:ascii="Arial Narrow" w:hAnsi="Arial Narrow" w:cstheme="minorHAnsi"/>
                <w:color w:val="000000"/>
                <w:sz w:val="20"/>
                <w:szCs w:val="20"/>
              </w:rPr>
              <w:t>55.8)</w:t>
            </w:r>
          </w:p>
        </w:tc>
        <w:tc>
          <w:tcPr>
            <w:tcW w:w="3024" w:type="pct"/>
            <w:shd w:val="clear" w:color="auto" w:fill="auto"/>
            <w:vAlign w:val="center"/>
          </w:tcPr>
          <w:p w14:paraId="54FE8A25" w14:textId="77777777" w:rsidR="00060B8B" w:rsidRPr="00D7697A" w:rsidRDefault="00060B8B" w:rsidP="00555601">
            <w:pPr>
              <w:keepNext/>
              <w:jc w:val="center"/>
              <w:rPr>
                <w:rFonts w:ascii="Arial Narrow" w:hAnsi="Arial Narrow" w:cstheme="minorHAnsi"/>
                <w:color w:val="000000"/>
                <w:sz w:val="20"/>
                <w:szCs w:val="20"/>
              </w:rPr>
            </w:pPr>
            <w:r w:rsidRPr="00450D20">
              <w:rPr>
                <w:rFonts w:ascii="Arial Narrow" w:hAnsi="Arial Narrow" w:cstheme="minorHAnsi"/>
                <w:color w:val="000000"/>
                <w:sz w:val="20"/>
                <w:szCs w:val="20"/>
              </w:rPr>
              <w:t>0.90 (0.34</w:t>
            </w:r>
            <w:r>
              <w:rPr>
                <w:rFonts w:ascii="Arial Narrow" w:hAnsi="Arial Narrow" w:cstheme="minorHAnsi"/>
                <w:color w:val="000000"/>
                <w:sz w:val="20"/>
                <w:szCs w:val="20"/>
              </w:rPr>
              <w:t xml:space="preserve">, </w:t>
            </w:r>
            <w:r w:rsidRPr="00450D20">
              <w:rPr>
                <w:rFonts w:ascii="Arial Narrow" w:hAnsi="Arial Narrow" w:cstheme="minorHAnsi"/>
                <w:color w:val="000000"/>
                <w:sz w:val="20"/>
                <w:szCs w:val="20"/>
              </w:rPr>
              <w:t>2.38)</w:t>
            </w:r>
          </w:p>
        </w:tc>
      </w:tr>
      <w:tr w:rsidR="009262A4" w:rsidRPr="00BE0126" w14:paraId="534A590C" w14:textId="77777777" w:rsidTr="009262A4">
        <w:trPr>
          <w:trHeight w:val="44"/>
        </w:trPr>
        <w:tc>
          <w:tcPr>
            <w:tcW w:w="5000" w:type="pct"/>
            <w:gridSpan w:val="2"/>
            <w:shd w:val="clear" w:color="auto" w:fill="auto"/>
            <w:vAlign w:val="center"/>
          </w:tcPr>
          <w:p w14:paraId="5D7B03B7" w14:textId="492EFF50" w:rsidR="009262A4" w:rsidRPr="009262A4" w:rsidRDefault="009262A4" w:rsidP="00555601">
            <w:pPr>
              <w:keepNext/>
              <w:jc w:val="left"/>
              <w:rPr>
                <w:rFonts w:ascii="Arial Narrow" w:hAnsi="Arial Narrow" w:cstheme="minorHAnsi"/>
                <w:b/>
                <w:bCs/>
                <w:color w:val="000000"/>
                <w:sz w:val="20"/>
                <w:szCs w:val="20"/>
              </w:rPr>
            </w:pPr>
            <w:r>
              <w:rPr>
                <w:rFonts w:ascii="Arial Narrow" w:hAnsi="Arial Narrow" w:cstheme="minorHAnsi"/>
                <w:b/>
                <w:bCs/>
                <w:color w:val="000000"/>
                <w:sz w:val="20"/>
                <w:szCs w:val="20"/>
              </w:rPr>
              <w:t>Overall survival</w:t>
            </w:r>
          </w:p>
        </w:tc>
      </w:tr>
      <w:tr w:rsidR="009262A4" w:rsidRPr="00BE0126" w14:paraId="36B3AC41" w14:textId="77777777" w:rsidTr="006A1BBC">
        <w:trPr>
          <w:trHeight w:val="44"/>
        </w:trPr>
        <w:tc>
          <w:tcPr>
            <w:tcW w:w="1976" w:type="pct"/>
            <w:shd w:val="clear" w:color="auto" w:fill="auto"/>
            <w:vAlign w:val="center"/>
          </w:tcPr>
          <w:p w14:paraId="162142A6" w14:textId="27A1A591" w:rsidR="009262A4" w:rsidRPr="00450D20" w:rsidRDefault="009262A4" w:rsidP="00555601">
            <w:pPr>
              <w:keepNext/>
              <w:jc w:val="left"/>
              <w:rPr>
                <w:rFonts w:ascii="Arial Narrow" w:hAnsi="Arial Narrow" w:cstheme="minorHAnsi"/>
                <w:color w:val="000000"/>
                <w:sz w:val="20"/>
                <w:szCs w:val="20"/>
              </w:rPr>
            </w:pPr>
            <w:r>
              <w:rPr>
                <w:rFonts w:ascii="Arial Narrow" w:hAnsi="Arial Narrow" w:cstheme="minorHAnsi"/>
                <w:color w:val="000000"/>
                <w:sz w:val="20"/>
                <w:szCs w:val="20"/>
              </w:rPr>
              <w:t xml:space="preserve">Naïve comparison (N = </w:t>
            </w:r>
            <w:r w:rsidRPr="00D7697A">
              <w:rPr>
                <w:rFonts w:ascii="Arial Narrow" w:hAnsi="Arial Narrow" w:cstheme="minorHAnsi"/>
                <w:color w:val="000000"/>
                <w:sz w:val="20"/>
                <w:szCs w:val="20"/>
              </w:rPr>
              <w:t>352</w:t>
            </w:r>
            <w:r>
              <w:rPr>
                <w:rFonts w:ascii="Arial Narrow" w:hAnsi="Arial Narrow" w:cstheme="minorHAnsi"/>
                <w:color w:val="000000"/>
                <w:sz w:val="20"/>
                <w:szCs w:val="20"/>
              </w:rPr>
              <w:t>)</w:t>
            </w:r>
          </w:p>
        </w:tc>
        <w:tc>
          <w:tcPr>
            <w:tcW w:w="3024" w:type="pct"/>
            <w:shd w:val="clear" w:color="auto" w:fill="auto"/>
            <w:vAlign w:val="center"/>
          </w:tcPr>
          <w:p w14:paraId="1506889D" w14:textId="7F596897" w:rsidR="009262A4" w:rsidRPr="00450D20" w:rsidRDefault="009262A4" w:rsidP="00555601">
            <w:pPr>
              <w:keepNext/>
              <w:jc w:val="center"/>
              <w:rPr>
                <w:rFonts w:ascii="Arial Narrow" w:hAnsi="Arial Narrow" w:cstheme="minorHAnsi"/>
                <w:color w:val="000000"/>
                <w:sz w:val="20"/>
                <w:szCs w:val="20"/>
              </w:rPr>
            </w:pPr>
            <w:r w:rsidRPr="00AC1C91">
              <w:rPr>
                <w:rFonts w:ascii="Arial Narrow" w:hAnsi="Arial Narrow" w:cstheme="minorHAnsi"/>
                <w:color w:val="000000"/>
                <w:sz w:val="20"/>
                <w:szCs w:val="20"/>
              </w:rPr>
              <w:t>0.75 (0.42, 1.34)</w:t>
            </w:r>
          </w:p>
        </w:tc>
      </w:tr>
      <w:tr w:rsidR="009262A4" w:rsidRPr="00BE0126" w14:paraId="68F9961E" w14:textId="77777777" w:rsidTr="006A1BBC">
        <w:trPr>
          <w:trHeight w:val="44"/>
        </w:trPr>
        <w:tc>
          <w:tcPr>
            <w:tcW w:w="1976" w:type="pct"/>
            <w:shd w:val="clear" w:color="auto" w:fill="auto"/>
            <w:vAlign w:val="center"/>
          </w:tcPr>
          <w:p w14:paraId="015F7A86" w14:textId="240E5C8C" w:rsidR="009262A4" w:rsidRPr="00450D20" w:rsidRDefault="009262A4" w:rsidP="00555601">
            <w:pPr>
              <w:keepNext/>
              <w:jc w:val="left"/>
              <w:rPr>
                <w:rFonts w:ascii="Arial Narrow" w:hAnsi="Arial Narrow" w:cstheme="minorHAnsi"/>
                <w:color w:val="000000"/>
                <w:sz w:val="20"/>
                <w:szCs w:val="20"/>
              </w:rPr>
            </w:pPr>
            <w:r w:rsidRPr="00AC1C91">
              <w:rPr>
                <w:rFonts w:ascii="Arial Narrow" w:hAnsi="Arial Narrow" w:cstheme="minorHAnsi"/>
                <w:color w:val="000000"/>
                <w:sz w:val="20"/>
                <w:szCs w:val="20"/>
              </w:rPr>
              <w:t>Model 1</w:t>
            </w:r>
            <w:r>
              <w:rPr>
                <w:rFonts w:ascii="Arial Narrow" w:hAnsi="Arial Narrow" w:cstheme="minorHAnsi"/>
                <w:color w:val="000000"/>
                <w:sz w:val="20"/>
                <w:szCs w:val="20"/>
              </w:rPr>
              <w:t xml:space="preserve"> (ESS = </w:t>
            </w:r>
            <w:r w:rsidRPr="00D7697A">
              <w:rPr>
                <w:rFonts w:ascii="Arial Narrow" w:hAnsi="Arial Narrow" w:cstheme="minorHAnsi"/>
                <w:color w:val="000000"/>
                <w:sz w:val="20"/>
                <w:szCs w:val="20"/>
              </w:rPr>
              <w:t>160.5</w:t>
            </w:r>
            <w:r>
              <w:rPr>
                <w:rFonts w:ascii="Arial Narrow" w:hAnsi="Arial Narrow" w:cstheme="minorHAnsi"/>
                <w:color w:val="000000"/>
                <w:sz w:val="20"/>
                <w:szCs w:val="20"/>
              </w:rPr>
              <w:t>)</w:t>
            </w:r>
          </w:p>
        </w:tc>
        <w:tc>
          <w:tcPr>
            <w:tcW w:w="3024" w:type="pct"/>
            <w:shd w:val="clear" w:color="auto" w:fill="auto"/>
            <w:vAlign w:val="center"/>
          </w:tcPr>
          <w:p w14:paraId="46EC0E9E" w14:textId="56012BB8" w:rsidR="009262A4" w:rsidRPr="00450D20" w:rsidRDefault="009262A4" w:rsidP="00555601">
            <w:pPr>
              <w:keepNext/>
              <w:jc w:val="center"/>
              <w:rPr>
                <w:rFonts w:ascii="Arial Narrow" w:hAnsi="Arial Narrow" w:cstheme="minorHAnsi"/>
                <w:color w:val="000000"/>
                <w:sz w:val="20"/>
                <w:szCs w:val="20"/>
              </w:rPr>
            </w:pPr>
            <w:r w:rsidRPr="00AC1C91">
              <w:rPr>
                <w:rFonts w:ascii="Arial Narrow" w:hAnsi="Arial Narrow" w:cstheme="minorHAnsi"/>
                <w:color w:val="000000"/>
                <w:sz w:val="20"/>
                <w:szCs w:val="20"/>
              </w:rPr>
              <w:t>0.90 (0.45, 1.80)</w:t>
            </w:r>
          </w:p>
        </w:tc>
      </w:tr>
      <w:tr w:rsidR="009262A4" w:rsidRPr="00BE0126" w14:paraId="508F35D2" w14:textId="77777777" w:rsidTr="006A1BBC">
        <w:trPr>
          <w:trHeight w:val="44"/>
        </w:trPr>
        <w:tc>
          <w:tcPr>
            <w:tcW w:w="1976" w:type="pct"/>
            <w:shd w:val="clear" w:color="auto" w:fill="auto"/>
            <w:vAlign w:val="center"/>
          </w:tcPr>
          <w:p w14:paraId="09EF7BCE" w14:textId="05F708EA" w:rsidR="009262A4" w:rsidRPr="00450D20" w:rsidRDefault="009262A4" w:rsidP="00555601">
            <w:pPr>
              <w:keepNext/>
              <w:jc w:val="left"/>
              <w:rPr>
                <w:rFonts w:ascii="Arial Narrow" w:hAnsi="Arial Narrow" w:cstheme="minorHAnsi"/>
                <w:color w:val="000000"/>
                <w:sz w:val="20"/>
                <w:szCs w:val="20"/>
              </w:rPr>
            </w:pPr>
            <w:r>
              <w:rPr>
                <w:rFonts w:ascii="Arial Narrow" w:hAnsi="Arial Narrow" w:cstheme="minorHAnsi"/>
                <w:color w:val="000000"/>
                <w:sz w:val="20"/>
                <w:szCs w:val="20"/>
              </w:rPr>
              <w:t>Model 2 (ESS = 155.1)</w:t>
            </w:r>
          </w:p>
        </w:tc>
        <w:tc>
          <w:tcPr>
            <w:tcW w:w="3024" w:type="pct"/>
            <w:shd w:val="clear" w:color="auto" w:fill="auto"/>
            <w:vAlign w:val="center"/>
          </w:tcPr>
          <w:p w14:paraId="436D3B78" w14:textId="711DAF07" w:rsidR="009262A4" w:rsidRPr="00450D20" w:rsidRDefault="009262A4" w:rsidP="00555601">
            <w:pPr>
              <w:keepNext/>
              <w:jc w:val="center"/>
              <w:rPr>
                <w:rFonts w:ascii="Arial Narrow" w:hAnsi="Arial Narrow" w:cstheme="minorHAnsi"/>
                <w:color w:val="000000"/>
                <w:sz w:val="20"/>
                <w:szCs w:val="20"/>
              </w:rPr>
            </w:pPr>
            <w:r w:rsidRPr="00AF3470">
              <w:rPr>
                <w:rFonts w:ascii="Arial Narrow" w:hAnsi="Arial Narrow" w:cstheme="minorHAnsi"/>
                <w:color w:val="000000"/>
                <w:sz w:val="20"/>
                <w:szCs w:val="20"/>
              </w:rPr>
              <w:t>0.88 (0.42</w:t>
            </w:r>
            <w:r>
              <w:rPr>
                <w:rFonts w:ascii="Arial Narrow" w:hAnsi="Arial Narrow" w:cstheme="minorHAnsi"/>
                <w:color w:val="000000"/>
                <w:sz w:val="20"/>
                <w:szCs w:val="20"/>
              </w:rPr>
              <w:t xml:space="preserve">, </w:t>
            </w:r>
            <w:r w:rsidRPr="00AF3470">
              <w:rPr>
                <w:rFonts w:ascii="Arial Narrow" w:hAnsi="Arial Narrow" w:cstheme="minorHAnsi"/>
                <w:color w:val="000000"/>
                <w:sz w:val="20"/>
                <w:szCs w:val="20"/>
              </w:rPr>
              <w:t>1.81)</w:t>
            </w:r>
          </w:p>
        </w:tc>
      </w:tr>
      <w:tr w:rsidR="009262A4" w:rsidRPr="00BE0126" w14:paraId="34CCDD03" w14:textId="77777777" w:rsidTr="006A1BBC">
        <w:trPr>
          <w:trHeight w:val="44"/>
        </w:trPr>
        <w:tc>
          <w:tcPr>
            <w:tcW w:w="1976" w:type="pct"/>
            <w:shd w:val="clear" w:color="auto" w:fill="auto"/>
            <w:vAlign w:val="center"/>
          </w:tcPr>
          <w:p w14:paraId="6ECC323A" w14:textId="1AD09E53" w:rsidR="009262A4" w:rsidRPr="00450D20" w:rsidRDefault="009262A4" w:rsidP="00555601">
            <w:pPr>
              <w:keepNext/>
              <w:jc w:val="left"/>
              <w:rPr>
                <w:rFonts w:ascii="Arial Narrow" w:hAnsi="Arial Narrow" w:cstheme="minorHAnsi"/>
                <w:color w:val="000000"/>
                <w:sz w:val="20"/>
                <w:szCs w:val="20"/>
              </w:rPr>
            </w:pPr>
            <w:r w:rsidRPr="00450D20">
              <w:rPr>
                <w:rFonts w:ascii="Arial Narrow" w:hAnsi="Arial Narrow" w:cstheme="minorHAnsi"/>
                <w:color w:val="000000"/>
                <w:sz w:val="20"/>
                <w:szCs w:val="20"/>
              </w:rPr>
              <w:t>Model 3 (ESS</w:t>
            </w:r>
            <w:r>
              <w:rPr>
                <w:rFonts w:ascii="Arial Narrow" w:hAnsi="Arial Narrow" w:cstheme="minorHAnsi"/>
                <w:color w:val="000000"/>
                <w:sz w:val="20"/>
                <w:szCs w:val="20"/>
              </w:rPr>
              <w:t xml:space="preserve"> </w:t>
            </w:r>
            <w:r w:rsidRPr="00450D20">
              <w:rPr>
                <w:rFonts w:ascii="Arial Narrow" w:hAnsi="Arial Narrow" w:cstheme="minorHAnsi"/>
                <w:color w:val="000000"/>
                <w:sz w:val="20"/>
                <w:szCs w:val="20"/>
              </w:rPr>
              <w:t>=</w:t>
            </w:r>
            <w:r>
              <w:rPr>
                <w:rFonts w:ascii="Arial Narrow" w:hAnsi="Arial Narrow" w:cstheme="minorHAnsi"/>
                <w:color w:val="000000"/>
                <w:sz w:val="20"/>
                <w:szCs w:val="20"/>
              </w:rPr>
              <w:t xml:space="preserve"> </w:t>
            </w:r>
            <w:r w:rsidRPr="00450D20">
              <w:rPr>
                <w:rFonts w:ascii="Arial Narrow" w:hAnsi="Arial Narrow" w:cstheme="minorHAnsi"/>
                <w:color w:val="000000"/>
                <w:sz w:val="20"/>
                <w:szCs w:val="20"/>
              </w:rPr>
              <w:t>55.8)</w:t>
            </w:r>
          </w:p>
        </w:tc>
        <w:tc>
          <w:tcPr>
            <w:tcW w:w="3024" w:type="pct"/>
            <w:shd w:val="clear" w:color="auto" w:fill="auto"/>
            <w:vAlign w:val="center"/>
          </w:tcPr>
          <w:p w14:paraId="2AAFC95E" w14:textId="50569684" w:rsidR="009262A4" w:rsidRPr="00450D20" w:rsidRDefault="009262A4" w:rsidP="00555601">
            <w:pPr>
              <w:keepNext/>
              <w:jc w:val="center"/>
              <w:rPr>
                <w:rFonts w:ascii="Arial Narrow" w:hAnsi="Arial Narrow" w:cstheme="minorHAnsi"/>
                <w:color w:val="000000"/>
                <w:sz w:val="20"/>
                <w:szCs w:val="20"/>
              </w:rPr>
            </w:pPr>
            <w:r w:rsidRPr="003E473E">
              <w:rPr>
                <w:rFonts w:ascii="Arial Narrow" w:hAnsi="Arial Narrow" w:cstheme="minorHAnsi"/>
                <w:color w:val="000000"/>
                <w:sz w:val="20"/>
                <w:szCs w:val="20"/>
              </w:rPr>
              <w:t>0.66 (0.21</w:t>
            </w:r>
            <w:r>
              <w:rPr>
                <w:rFonts w:ascii="Arial Narrow" w:hAnsi="Arial Narrow" w:cstheme="minorHAnsi"/>
                <w:color w:val="000000"/>
                <w:sz w:val="20"/>
                <w:szCs w:val="20"/>
              </w:rPr>
              <w:t xml:space="preserve">, </w:t>
            </w:r>
            <w:r w:rsidRPr="003E473E">
              <w:rPr>
                <w:rFonts w:ascii="Arial Narrow" w:hAnsi="Arial Narrow" w:cstheme="minorHAnsi"/>
                <w:color w:val="000000"/>
                <w:sz w:val="20"/>
                <w:szCs w:val="20"/>
              </w:rPr>
              <w:t>2.10)</w:t>
            </w:r>
          </w:p>
        </w:tc>
      </w:tr>
    </w:tbl>
    <w:p w14:paraId="4A04E0E1" w14:textId="727C91DA" w:rsidR="00060B8B" w:rsidRDefault="00060B8B" w:rsidP="00060B8B">
      <w:pPr>
        <w:pStyle w:val="COMTablefooter"/>
        <w:rPr>
          <w:bCs/>
          <w:iCs/>
        </w:rPr>
      </w:pPr>
      <w:r w:rsidRPr="00A33B45">
        <w:rPr>
          <w:bCs/>
          <w:iCs/>
        </w:rPr>
        <w:t>Source:</w:t>
      </w:r>
      <w:r>
        <w:rPr>
          <w:bCs/>
          <w:iCs/>
        </w:rPr>
        <w:t xml:space="preserve"> </w:t>
      </w:r>
      <w:bookmarkStart w:id="35" w:name="_Hlk123848117"/>
      <w:r>
        <w:rPr>
          <w:bCs/>
          <w:iCs/>
        </w:rPr>
        <w:t xml:space="preserve">Table </w:t>
      </w:r>
      <w:r w:rsidR="006D6FF6">
        <w:rPr>
          <w:bCs/>
          <w:iCs/>
        </w:rPr>
        <w:t>11, p45</w:t>
      </w:r>
      <w:bookmarkEnd w:id="35"/>
      <w:r w:rsidR="000A0E6D">
        <w:rPr>
          <w:bCs/>
          <w:iCs/>
        </w:rPr>
        <w:t xml:space="preserve">; </w:t>
      </w:r>
      <w:r w:rsidR="009C33AD">
        <w:rPr>
          <w:bCs/>
          <w:iCs/>
        </w:rPr>
        <w:t xml:space="preserve">Table 17, p56; </w:t>
      </w:r>
      <w:r w:rsidR="000A0E6D">
        <w:rPr>
          <w:bCs/>
          <w:iCs/>
        </w:rPr>
        <w:t xml:space="preserve">Table 31, p95; </w:t>
      </w:r>
      <w:r w:rsidR="009C33AD">
        <w:rPr>
          <w:bCs/>
          <w:iCs/>
        </w:rPr>
        <w:t xml:space="preserve">Table 32, p95 </w:t>
      </w:r>
      <w:r w:rsidR="006D6FF6" w:rsidRPr="006D6FF6">
        <w:rPr>
          <w:bCs/>
          <w:iCs/>
        </w:rPr>
        <w:t>of the MAIC technical document, Attachment 4 of the submission.</w:t>
      </w:r>
    </w:p>
    <w:p w14:paraId="7CB29C06" w14:textId="77777777" w:rsidR="00617D12" w:rsidRDefault="00060B8B" w:rsidP="00617D12">
      <w:pPr>
        <w:pStyle w:val="COMTablefooter"/>
        <w:rPr>
          <w:bCs/>
          <w:iCs/>
        </w:rPr>
      </w:pPr>
      <w:r>
        <w:rPr>
          <w:bCs/>
          <w:iCs/>
        </w:rPr>
        <w:t>Abbreviations: ESS = effective sample size, MAIC = matching adjusted indirect comparison</w:t>
      </w:r>
    </w:p>
    <w:p w14:paraId="6B18905B" w14:textId="77777777" w:rsidR="00617D12" w:rsidRDefault="00617D12" w:rsidP="00617D12">
      <w:pPr>
        <w:pStyle w:val="COMTablefooter"/>
        <w:rPr>
          <w:bCs/>
          <w:iCs/>
        </w:rPr>
      </w:pPr>
      <w:r>
        <w:rPr>
          <w:bCs/>
          <w:iCs/>
          <w:vertAlign w:val="superscript"/>
        </w:rPr>
        <w:t>a</w:t>
      </w:r>
      <w:r>
        <w:rPr>
          <w:bCs/>
          <w:iCs/>
        </w:rPr>
        <w:t xml:space="preserve"> The submission presented the results for Model 1. Results for alternative models were included in the MAIC technical report.</w:t>
      </w:r>
    </w:p>
    <w:p w14:paraId="467AF812" w14:textId="79F260ED" w:rsidR="0036430E" w:rsidRPr="00944C70" w:rsidRDefault="00944C70" w:rsidP="00944C70">
      <w:pPr>
        <w:pStyle w:val="COMexecsumnumberedpara"/>
      </w:pPr>
      <w:r>
        <w:t xml:space="preserve">Prior to </w:t>
      </w:r>
      <w:r w:rsidR="00477073">
        <w:t xml:space="preserve">adjustment of the </w:t>
      </w:r>
      <w:r>
        <w:t>MAIC (i.e., based on a naïve comparison of zanubrutinib and venetoclax + obinutuzumab), the hazard ratio for progression-free survival favoured venetoclax + obinutuzumab, but was not statistically significant (HR = 1.10 [95% CI: 0.69, 1.76]). After adjustment</w:t>
      </w:r>
      <w:r w:rsidR="00477073" w:rsidRPr="00477073">
        <w:t xml:space="preserve"> </w:t>
      </w:r>
      <w:r w:rsidR="00477073">
        <w:t>of the MAIC</w:t>
      </w:r>
      <w:r w:rsidR="00C64DD0">
        <w:t>, the difference</w:t>
      </w:r>
      <w:r>
        <w:t xml:space="preserve"> </w:t>
      </w:r>
      <w:r w:rsidR="00C64DD0">
        <w:t>was</w:t>
      </w:r>
      <w:r>
        <w:t xml:space="preserve"> not statistically </w:t>
      </w:r>
      <w:r>
        <w:lastRenderedPageBreak/>
        <w:t>significant</w:t>
      </w:r>
      <w:r w:rsidR="00C64DD0">
        <w:t xml:space="preserve"> for Model 1, or for any of the </w:t>
      </w:r>
      <w:r w:rsidR="0098095B">
        <w:t>other models included in the</w:t>
      </w:r>
      <w:r w:rsidR="00F2402F">
        <w:t xml:space="preserve"> MAIC</w:t>
      </w:r>
      <w:r w:rsidR="0098095B">
        <w:t xml:space="preserve"> technical report.</w:t>
      </w:r>
    </w:p>
    <w:p w14:paraId="6C9D9085" w14:textId="7D334A19" w:rsidR="00BA2771" w:rsidRPr="00BA2771" w:rsidRDefault="00BA2771" w:rsidP="00BA2771">
      <w:pPr>
        <w:pStyle w:val="COMexecsumnumberedpara"/>
      </w:pPr>
      <w:r>
        <w:t>Prior to adjustment</w:t>
      </w:r>
      <w:r w:rsidR="00477073">
        <w:t xml:space="preserve"> of the</w:t>
      </w:r>
      <w:r>
        <w:t xml:space="preserve"> </w:t>
      </w:r>
      <w:r w:rsidR="00477073">
        <w:t xml:space="preserve">MAIC </w:t>
      </w:r>
      <w:r>
        <w:t xml:space="preserve">(i.e., based on a naïve comparison of zanubrutinib and venetoclax + obinutuzumab), the hazard ratio for overall survival favoured zanubrutinib, but was not statistically significant (HR = 0.75 [95% CI: 0.42, 1.34]). </w:t>
      </w:r>
      <w:r w:rsidR="00C64DD0">
        <w:t xml:space="preserve">After adjustment, the difference was not statistically significant for Model 1, or for any of the other models included in the </w:t>
      </w:r>
      <w:r w:rsidR="00F2402F">
        <w:t xml:space="preserve">MAIC </w:t>
      </w:r>
      <w:r w:rsidR="00C64DD0">
        <w:t>technical report.</w:t>
      </w:r>
    </w:p>
    <w:p w14:paraId="630FB5E5" w14:textId="3E83D0D5" w:rsidR="00BA2771" w:rsidRPr="00944C70" w:rsidRDefault="00944C70" w:rsidP="00944C70">
      <w:pPr>
        <w:pStyle w:val="COMexecsumnumberedpara"/>
      </w:pPr>
      <w:r>
        <w:t xml:space="preserve">No non-inferiority margin for progression-free survival or overall survival were proposed in the submission. Inclusion of CIRS score &gt;6 as a matching variable resulted in a large reduction in effective sample size, suggesting poor overlap between the trial populations. The results should be interpreted with caution due to the </w:t>
      </w:r>
      <w:r w:rsidR="000B73E2">
        <w:t xml:space="preserve">immaturity of the survival data for the SEQUOIA trial, the </w:t>
      </w:r>
      <w:r>
        <w:t>wide confidence intervals, and the risk of bias associated with selective exclusion of variables</w:t>
      </w:r>
      <w:r w:rsidR="000B73E2">
        <w:t>.</w:t>
      </w:r>
    </w:p>
    <w:p w14:paraId="4F79148E" w14:textId="44E1E411" w:rsidR="00F73B34" w:rsidRPr="005C2D58" w:rsidRDefault="00F73B34" w:rsidP="000454B0">
      <w:pPr>
        <w:pStyle w:val="5-SubSubSubHead"/>
        <w:rPr>
          <w:snapToGrid w:val="0"/>
          <w:sz w:val="24"/>
          <w:szCs w:val="24"/>
        </w:rPr>
      </w:pPr>
      <w:r w:rsidRPr="005C2D58">
        <w:rPr>
          <w:snapToGrid w:val="0"/>
          <w:sz w:val="24"/>
          <w:szCs w:val="24"/>
        </w:rPr>
        <w:t>MAIC of zanubrutinib (SEQUOIA) versus acalabrutinib (ELEVATE-TN)</w:t>
      </w:r>
    </w:p>
    <w:p w14:paraId="4432CEFD" w14:textId="0BE4B79C" w:rsidR="00337312" w:rsidRPr="009C33AD" w:rsidRDefault="00F73B34" w:rsidP="009C33AD">
      <w:pPr>
        <w:pStyle w:val="COMexecsumnumberedpara"/>
      </w:pPr>
      <w:r>
        <w:t xml:space="preserve">The technical document </w:t>
      </w:r>
      <w:r w:rsidR="00555601">
        <w:t>included</w:t>
      </w:r>
      <w:r>
        <w:t xml:space="preserve"> </w:t>
      </w:r>
      <w:r w:rsidR="000B73E2">
        <w:t>five</w:t>
      </w:r>
      <w:r>
        <w:t xml:space="preserve"> different MAIC models for zanubrutinib versus </w:t>
      </w:r>
      <w:r w:rsidR="00555601">
        <w:t>acalabrutinib ba</w:t>
      </w:r>
      <w:r>
        <w:t xml:space="preserve">sed on alternative sets of matching </w:t>
      </w:r>
      <w:r w:rsidRPr="00F122CF">
        <w:t xml:space="preserve">variables (Models 1 to </w:t>
      </w:r>
      <w:r w:rsidR="00555601" w:rsidRPr="00F122CF">
        <w:t>5</w:t>
      </w:r>
      <w:r w:rsidRPr="00F122CF">
        <w:t xml:space="preserve">). A summary of the variables included for matching in each model, and the distribution of effect modifiers/prognostic variables before and after re-weighting are presented in </w:t>
      </w:r>
      <w:r w:rsidR="00F122CF" w:rsidRPr="00F122CF">
        <w:t>the main body</w:t>
      </w:r>
      <w:r w:rsidRPr="00F122CF">
        <w:t xml:space="preserve"> of the commentary. </w:t>
      </w:r>
      <w:r w:rsidR="00555601" w:rsidRPr="00F122CF">
        <w:t>Results</w:t>
      </w:r>
      <w:r w:rsidR="00555601">
        <w:t xml:space="preserve"> for Model 3 were presented in the submission and formed the basis for the clinical claim. No justification was provided in the submission for the selection of Model 3 compared to the other models.</w:t>
      </w:r>
    </w:p>
    <w:p w14:paraId="44F952C2" w14:textId="78792D42" w:rsidR="00337312" w:rsidRDefault="00555601" w:rsidP="00555601">
      <w:pPr>
        <w:pStyle w:val="COMexecsumnumberedpara"/>
      </w:pPr>
      <w:r>
        <w:t xml:space="preserve">Results for the MAICs of </w:t>
      </w:r>
      <w:r w:rsidR="000B73E2">
        <w:t xml:space="preserve">investigator-assessed </w:t>
      </w:r>
      <w:r>
        <w:t xml:space="preserve">progression-free survival and overall survival for Models 1 to </w:t>
      </w:r>
      <w:r w:rsidR="002C6350">
        <w:t>5</w:t>
      </w:r>
      <w:r>
        <w:t xml:space="preserve"> are presented in</w:t>
      </w:r>
      <w:r w:rsidR="00DF24A2">
        <w:t xml:space="preserve"> </w:t>
      </w:r>
      <w:r>
        <w:fldChar w:fldCharType="begin" w:fldLock="1"/>
      </w:r>
      <w:r>
        <w:instrText xml:space="preserve"> REF _Ref123848772 \h </w:instrText>
      </w:r>
      <w:r>
        <w:fldChar w:fldCharType="separate"/>
      </w:r>
      <w:r w:rsidR="00540D87" w:rsidRPr="00C31E62">
        <w:t xml:space="preserve">Table </w:t>
      </w:r>
      <w:r w:rsidR="00540D87">
        <w:rPr>
          <w:noProof/>
        </w:rPr>
        <w:t>7</w:t>
      </w:r>
      <w:r>
        <w:fldChar w:fldCharType="end"/>
      </w:r>
      <w:r w:rsidR="00DF24A2">
        <w:t>.</w:t>
      </w:r>
    </w:p>
    <w:p w14:paraId="67FADFB7" w14:textId="256BCDD4" w:rsidR="00DF24A2" w:rsidRDefault="00DF24A2" w:rsidP="005C2D58">
      <w:pPr>
        <w:pStyle w:val="COMtablefigcaption"/>
        <w:rPr>
          <w:snapToGrid w:val="0"/>
        </w:rPr>
      </w:pPr>
      <w:bookmarkStart w:id="36" w:name="_Ref123848772"/>
      <w:r w:rsidRPr="00C31E62">
        <w:t xml:space="preserve">Table </w:t>
      </w:r>
      <w:fldSimple w:instr=" SEQ Table \* ARABIC " w:fldLock="1">
        <w:r w:rsidR="00540D87">
          <w:rPr>
            <w:noProof/>
          </w:rPr>
          <w:t>7</w:t>
        </w:r>
      </w:fldSimple>
      <w:bookmarkEnd w:id="36"/>
      <w:r w:rsidRPr="00080502">
        <w:rPr>
          <w:snapToGrid w:val="0"/>
        </w:rPr>
        <w:t>:</w:t>
      </w:r>
      <w:r w:rsidRPr="00921CED">
        <w:t xml:space="preserve"> </w:t>
      </w:r>
      <w:r>
        <w:t>R</w:t>
      </w:r>
      <w:r w:rsidRPr="00921CED">
        <w:rPr>
          <w:snapToGrid w:val="0"/>
        </w:rPr>
        <w:t>e</w:t>
      </w:r>
      <w:r>
        <w:rPr>
          <w:snapToGrid w:val="0"/>
        </w:rPr>
        <w:t>sults for the</w:t>
      </w:r>
      <w:r w:rsidRPr="00754527">
        <w:t xml:space="preserve"> </w:t>
      </w:r>
      <w:r w:rsidRPr="00754527">
        <w:rPr>
          <w:snapToGrid w:val="0"/>
        </w:rPr>
        <w:t xml:space="preserve">MAICs of </w:t>
      </w:r>
      <w:r>
        <w:rPr>
          <w:snapToGrid w:val="0"/>
        </w:rPr>
        <w:t xml:space="preserve">investigator-assessed </w:t>
      </w:r>
      <w:r w:rsidRPr="00754527">
        <w:rPr>
          <w:snapToGrid w:val="0"/>
        </w:rPr>
        <w:t xml:space="preserve">progression-free survival and overall survival </w:t>
      </w:r>
      <w:r w:rsidRPr="00921CED">
        <w:rPr>
          <w:snapToGrid w:val="0"/>
        </w:rPr>
        <w:t xml:space="preserve">for zanubrutinib versus </w:t>
      </w:r>
      <w:r>
        <w:rPr>
          <w:snapToGrid w:val="0"/>
        </w:rPr>
        <w:t>venetoclax</w:t>
      </w:r>
      <w:r w:rsidRPr="00921CED">
        <w:rPr>
          <w:snapToGrid w:val="0"/>
        </w:rPr>
        <w:t xml:space="preserve"> + obinutuzumab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453"/>
      </w:tblGrid>
      <w:tr w:rsidR="00DF24A2" w:rsidRPr="00BE0126" w14:paraId="636A3E42" w14:textId="77777777" w:rsidTr="006D6FF6">
        <w:tc>
          <w:tcPr>
            <w:tcW w:w="1976" w:type="pct"/>
            <w:shd w:val="clear" w:color="auto" w:fill="auto"/>
            <w:vAlign w:val="center"/>
          </w:tcPr>
          <w:p w14:paraId="1E656A37" w14:textId="0ACFBD8A" w:rsidR="00DF24A2" w:rsidRPr="00617D12" w:rsidRDefault="00DF24A2" w:rsidP="005C2D58">
            <w:pPr>
              <w:keepNext/>
              <w:jc w:val="left"/>
              <w:rPr>
                <w:rFonts w:ascii="Arial Narrow" w:hAnsi="Arial Narrow" w:cstheme="minorHAnsi"/>
                <w:b/>
                <w:bCs/>
                <w:color w:val="000000"/>
                <w:sz w:val="20"/>
                <w:szCs w:val="20"/>
                <w:vertAlign w:val="superscript"/>
              </w:rPr>
            </w:pPr>
            <w:r>
              <w:rPr>
                <w:rFonts w:ascii="Arial Narrow" w:hAnsi="Arial Narrow" w:cstheme="minorHAnsi"/>
                <w:b/>
                <w:bCs/>
                <w:color w:val="000000"/>
                <w:sz w:val="20"/>
                <w:szCs w:val="20"/>
              </w:rPr>
              <w:t>Model</w:t>
            </w:r>
            <w:r w:rsidR="00617D12">
              <w:rPr>
                <w:rFonts w:ascii="Arial Narrow" w:hAnsi="Arial Narrow" w:cstheme="minorHAnsi"/>
                <w:b/>
                <w:bCs/>
                <w:color w:val="000000"/>
                <w:sz w:val="20"/>
                <w:szCs w:val="20"/>
                <w:vertAlign w:val="superscript"/>
              </w:rPr>
              <w:t>a</w:t>
            </w:r>
          </w:p>
        </w:tc>
        <w:tc>
          <w:tcPr>
            <w:tcW w:w="3024" w:type="pct"/>
            <w:shd w:val="clear" w:color="auto" w:fill="auto"/>
            <w:vAlign w:val="center"/>
          </w:tcPr>
          <w:p w14:paraId="33A887B0" w14:textId="77777777" w:rsidR="00DF24A2" w:rsidRPr="00AC1C91" w:rsidRDefault="00DF24A2" w:rsidP="005C2D58">
            <w:pPr>
              <w:keepNext/>
              <w:jc w:val="center"/>
              <w:rPr>
                <w:rFonts w:ascii="Arial Narrow" w:hAnsi="Arial Narrow" w:cstheme="minorHAnsi"/>
                <w:b/>
                <w:bCs/>
                <w:color w:val="000000"/>
                <w:sz w:val="20"/>
                <w:szCs w:val="20"/>
              </w:rPr>
            </w:pPr>
            <w:r>
              <w:rPr>
                <w:rFonts w:ascii="Arial Narrow" w:hAnsi="Arial Narrow" w:cstheme="minorHAnsi"/>
                <w:b/>
                <w:bCs/>
                <w:color w:val="000000"/>
                <w:sz w:val="20"/>
                <w:szCs w:val="20"/>
              </w:rPr>
              <w:t>Hazard ratio (95% CI)</w:t>
            </w:r>
          </w:p>
        </w:tc>
      </w:tr>
      <w:tr w:rsidR="00DF24A2" w:rsidRPr="00BE0126" w14:paraId="12967BA3" w14:textId="77777777" w:rsidTr="006D6FF6">
        <w:tc>
          <w:tcPr>
            <w:tcW w:w="5000" w:type="pct"/>
            <w:gridSpan w:val="2"/>
            <w:shd w:val="clear" w:color="auto" w:fill="auto"/>
            <w:vAlign w:val="center"/>
          </w:tcPr>
          <w:p w14:paraId="7DE34336" w14:textId="77777777" w:rsidR="00DF24A2" w:rsidRPr="00754527" w:rsidRDefault="00DF24A2" w:rsidP="005C2D58">
            <w:pPr>
              <w:keepNext/>
              <w:jc w:val="left"/>
              <w:rPr>
                <w:rFonts w:ascii="Arial Narrow" w:hAnsi="Arial Narrow" w:cstheme="minorHAnsi"/>
                <w:b/>
                <w:bCs/>
                <w:color w:val="000000"/>
                <w:sz w:val="20"/>
                <w:szCs w:val="20"/>
              </w:rPr>
            </w:pPr>
            <w:r>
              <w:rPr>
                <w:rFonts w:ascii="Arial Narrow" w:hAnsi="Arial Narrow" w:cstheme="minorHAnsi"/>
                <w:b/>
                <w:bCs/>
                <w:color w:val="000000"/>
                <w:sz w:val="20"/>
                <w:szCs w:val="20"/>
              </w:rPr>
              <w:t>Investigator-assessed progression-free survival</w:t>
            </w:r>
          </w:p>
        </w:tc>
      </w:tr>
      <w:tr w:rsidR="00727119" w:rsidRPr="00BE0126" w14:paraId="794DDC27" w14:textId="77777777" w:rsidTr="006D6FF6">
        <w:tc>
          <w:tcPr>
            <w:tcW w:w="1976" w:type="pct"/>
            <w:shd w:val="clear" w:color="auto" w:fill="auto"/>
            <w:vAlign w:val="center"/>
          </w:tcPr>
          <w:p w14:paraId="3211C9FF" w14:textId="66256E15" w:rsidR="00727119" w:rsidRPr="00AC1C91" w:rsidRDefault="00727119" w:rsidP="005C2D58">
            <w:pPr>
              <w:pStyle w:val="COMTabletext"/>
            </w:pPr>
            <w:r>
              <w:t xml:space="preserve">Naïve comparison (N = </w:t>
            </w:r>
            <w:r w:rsidRPr="00D7697A">
              <w:t>352</w:t>
            </w:r>
            <w:r>
              <w:t>)</w:t>
            </w:r>
          </w:p>
        </w:tc>
        <w:tc>
          <w:tcPr>
            <w:tcW w:w="3024" w:type="pct"/>
            <w:shd w:val="clear" w:color="auto" w:fill="auto"/>
            <w:vAlign w:val="center"/>
          </w:tcPr>
          <w:p w14:paraId="6F7F14CC" w14:textId="37BAEA42" w:rsidR="00727119" w:rsidRPr="00AC1C91" w:rsidRDefault="00727119" w:rsidP="005C2D58">
            <w:pPr>
              <w:pStyle w:val="COMTabletext"/>
              <w:jc w:val="center"/>
            </w:pPr>
            <w:r w:rsidRPr="00E017EB">
              <w:t>0.89 (0.55</w:t>
            </w:r>
            <w:r>
              <w:t xml:space="preserve">, </w:t>
            </w:r>
            <w:r w:rsidRPr="00E017EB">
              <w:t>1.42)</w:t>
            </w:r>
          </w:p>
        </w:tc>
      </w:tr>
      <w:tr w:rsidR="00727119" w:rsidRPr="00BE0126" w14:paraId="579AA4BD" w14:textId="77777777" w:rsidTr="006D6FF6">
        <w:tc>
          <w:tcPr>
            <w:tcW w:w="1976" w:type="pct"/>
            <w:shd w:val="clear" w:color="auto" w:fill="auto"/>
            <w:vAlign w:val="center"/>
          </w:tcPr>
          <w:p w14:paraId="3B03C2B9" w14:textId="27097D3B" w:rsidR="00727119" w:rsidRPr="00AC1C91" w:rsidRDefault="00727119" w:rsidP="005C2D58">
            <w:pPr>
              <w:pStyle w:val="COMTabletext"/>
            </w:pPr>
            <w:r w:rsidRPr="009A30A9">
              <w:t>Model 1 (ESS=132.5)</w:t>
            </w:r>
          </w:p>
        </w:tc>
        <w:tc>
          <w:tcPr>
            <w:tcW w:w="3024" w:type="pct"/>
            <w:shd w:val="clear" w:color="auto" w:fill="auto"/>
            <w:vAlign w:val="center"/>
          </w:tcPr>
          <w:p w14:paraId="1A52051B" w14:textId="13C16F33" w:rsidR="00727119" w:rsidRPr="00AC1C91" w:rsidRDefault="00727119" w:rsidP="005C2D58">
            <w:pPr>
              <w:pStyle w:val="COMTabletext"/>
              <w:jc w:val="center"/>
            </w:pPr>
            <w:r w:rsidRPr="009A30A9">
              <w:t>0.93 (0.52</w:t>
            </w:r>
            <w:r>
              <w:t xml:space="preserve">, </w:t>
            </w:r>
            <w:r w:rsidRPr="009A30A9">
              <w:t>1.67)</w:t>
            </w:r>
          </w:p>
        </w:tc>
      </w:tr>
      <w:tr w:rsidR="00727119" w:rsidRPr="00BE0126" w14:paraId="29779C62" w14:textId="77777777" w:rsidTr="006D6FF6">
        <w:tc>
          <w:tcPr>
            <w:tcW w:w="1976" w:type="pct"/>
            <w:shd w:val="clear" w:color="auto" w:fill="auto"/>
            <w:vAlign w:val="center"/>
          </w:tcPr>
          <w:p w14:paraId="62AECEE2" w14:textId="1D5648DE" w:rsidR="00727119" w:rsidRPr="00AC1C91" w:rsidRDefault="00727119" w:rsidP="005C2D58">
            <w:pPr>
              <w:pStyle w:val="COMTabletext"/>
            </w:pPr>
            <w:r w:rsidRPr="009A30A9">
              <w:t>Model 2 (ESS=107.5)</w:t>
            </w:r>
          </w:p>
        </w:tc>
        <w:tc>
          <w:tcPr>
            <w:tcW w:w="3024" w:type="pct"/>
            <w:shd w:val="clear" w:color="auto" w:fill="auto"/>
            <w:vAlign w:val="center"/>
          </w:tcPr>
          <w:p w14:paraId="6743A757" w14:textId="452A12E1" w:rsidR="00727119" w:rsidRPr="00AC1C91" w:rsidRDefault="00727119" w:rsidP="005C2D58">
            <w:pPr>
              <w:pStyle w:val="COMTabletext"/>
              <w:jc w:val="center"/>
            </w:pPr>
            <w:r w:rsidRPr="009A30A9">
              <w:t>0.84 (0.46</w:t>
            </w:r>
            <w:r>
              <w:t xml:space="preserve">, </w:t>
            </w:r>
            <w:r w:rsidRPr="009A30A9">
              <w:t>1.54)</w:t>
            </w:r>
          </w:p>
        </w:tc>
      </w:tr>
      <w:tr w:rsidR="00727119" w:rsidRPr="00BE0126" w14:paraId="3234599E" w14:textId="77777777" w:rsidTr="006D6FF6">
        <w:tc>
          <w:tcPr>
            <w:tcW w:w="1976" w:type="pct"/>
            <w:shd w:val="clear" w:color="auto" w:fill="auto"/>
            <w:vAlign w:val="center"/>
          </w:tcPr>
          <w:p w14:paraId="6CB72507" w14:textId="2E7B9EBC" w:rsidR="00727119" w:rsidRPr="00450D20" w:rsidRDefault="00727119" w:rsidP="005C2D58">
            <w:pPr>
              <w:pStyle w:val="COMTabletext"/>
              <w:rPr>
                <w:vertAlign w:val="superscript"/>
              </w:rPr>
            </w:pPr>
            <w:r w:rsidRPr="009A30A9">
              <w:t>Model 3 (ESS=159.8)</w:t>
            </w:r>
          </w:p>
        </w:tc>
        <w:tc>
          <w:tcPr>
            <w:tcW w:w="3024" w:type="pct"/>
            <w:shd w:val="clear" w:color="auto" w:fill="auto"/>
            <w:vAlign w:val="center"/>
          </w:tcPr>
          <w:p w14:paraId="49147E0B" w14:textId="31D4EBF2" w:rsidR="00727119" w:rsidRPr="00D7697A" w:rsidRDefault="00727119" w:rsidP="005C2D58">
            <w:pPr>
              <w:pStyle w:val="COMTabletext"/>
              <w:jc w:val="center"/>
            </w:pPr>
            <w:r w:rsidRPr="00177819">
              <w:t>0.92 (0.53</w:t>
            </w:r>
            <w:r>
              <w:t xml:space="preserve">, </w:t>
            </w:r>
            <w:r w:rsidRPr="00177819">
              <w:t>1.60)</w:t>
            </w:r>
          </w:p>
        </w:tc>
      </w:tr>
      <w:tr w:rsidR="00727119" w:rsidRPr="00BE0126" w14:paraId="726FBBB3" w14:textId="77777777" w:rsidTr="006D6FF6">
        <w:tc>
          <w:tcPr>
            <w:tcW w:w="1976" w:type="pct"/>
            <w:shd w:val="clear" w:color="auto" w:fill="auto"/>
            <w:vAlign w:val="center"/>
          </w:tcPr>
          <w:p w14:paraId="6CB92B83" w14:textId="68603ECE" w:rsidR="00727119" w:rsidRPr="00450D20" w:rsidRDefault="00727119" w:rsidP="005C2D58">
            <w:pPr>
              <w:pStyle w:val="COMTabletext"/>
            </w:pPr>
            <w:r w:rsidRPr="009A30A9">
              <w:t>Model 4 (ESS=124.5)</w:t>
            </w:r>
          </w:p>
        </w:tc>
        <w:tc>
          <w:tcPr>
            <w:tcW w:w="3024" w:type="pct"/>
            <w:shd w:val="clear" w:color="auto" w:fill="auto"/>
            <w:vAlign w:val="center"/>
          </w:tcPr>
          <w:p w14:paraId="16C72F56" w14:textId="4F56663D" w:rsidR="00727119" w:rsidRPr="00450D20" w:rsidRDefault="00727119" w:rsidP="005C2D58">
            <w:pPr>
              <w:pStyle w:val="COMTabletext"/>
              <w:jc w:val="center"/>
            </w:pPr>
            <w:r w:rsidRPr="00177819">
              <w:t>0.84 (0.46</w:t>
            </w:r>
            <w:r>
              <w:t xml:space="preserve">, </w:t>
            </w:r>
            <w:r w:rsidRPr="00177819">
              <w:t>1.52)</w:t>
            </w:r>
          </w:p>
        </w:tc>
      </w:tr>
      <w:tr w:rsidR="00727119" w:rsidRPr="00BE0126" w14:paraId="48E68E4D" w14:textId="77777777" w:rsidTr="006D6FF6">
        <w:tc>
          <w:tcPr>
            <w:tcW w:w="1976" w:type="pct"/>
            <w:shd w:val="clear" w:color="auto" w:fill="auto"/>
            <w:vAlign w:val="center"/>
          </w:tcPr>
          <w:p w14:paraId="692C3C99" w14:textId="621EE1F9" w:rsidR="00727119" w:rsidRPr="00450D20" w:rsidRDefault="00727119" w:rsidP="005C2D58">
            <w:pPr>
              <w:pStyle w:val="COMTabletext"/>
            </w:pPr>
            <w:r w:rsidRPr="009A30A9">
              <w:t>Model 5 (ESS=136.4)</w:t>
            </w:r>
          </w:p>
        </w:tc>
        <w:tc>
          <w:tcPr>
            <w:tcW w:w="3024" w:type="pct"/>
            <w:shd w:val="clear" w:color="auto" w:fill="auto"/>
            <w:vAlign w:val="center"/>
          </w:tcPr>
          <w:p w14:paraId="611DA241" w14:textId="55D0080A" w:rsidR="00727119" w:rsidRPr="00450D20" w:rsidRDefault="00727119" w:rsidP="005C2D58">
            <w:pPr>
              <w:pStyle w:val="COMTabletext"/>
              <w:jc w:val="center"/>
            </w:pPr>
            <w:r w:rsidRPr="00177819">
              <w:t>0.87 (0.50</w:t>
            </w:r>
            <w:r>
              <w:t xml:space="preserve">, </w:t>
            </w:r>
            <w:r w:rsidRPr="00177819">
              <w:t>1.54)</w:t>
            </w:r>
          </w:p>
        </w:tc>
      </w:tr>
      <w:tr w:rsidR="00DF24A2" w:rsidRPr="00BE0126" w14:paraId="59B59308" w14:textId="77777777" w:rsidTr="006D6FF6">
        <w:tc>
          <w:tcPr>
            <w:tcW w:w="5000" w:type="pct"/>
            <w:gridSpan w:val="2"/>
            <w:shd w:val="clear" w:color="auto" w:fill="auto"/>
            <w:vAlign w:val="center"/>
          </w:tcPr>
          <w:p w14:paraId="1D5ED246" w14:textId="77777777" w:rsidR="00DF24A2" w:rsidRPr="009262A4" w:rsidRDefault="00DF24A2" w:rsidP="005C2D58">
            <w:pPr>
              <w:keepNext/>
              <w:jc w:val="left"/>
              <w:rPr>
                <w:rFonts w:ascii="Arial Narrow" w:hAnsi="Arial Narrow" w:cstheme="minorHAnsi"/>
                <w:b/>
                <w:bCs/>
                <w:color w:val="000000"/>
                <w:sz w:val="20"/>
                <w:szCs w:val="20"/>
              </w:rPr>
            </w:pPr>
            <w:r>
              <w:rPr>
                <w:rFonts w:ascii="Arial Narrow" w:hAnsi="Arial Narrow" w:cstheme="minorHAnsi"/>
                <w:b/>
                <w:bCs/>
                <w:color w:val="000000"/>
                <w:sz w:val="20"/>
                <w:szCs w:val="20"/>
              </w:rPr>
              <w:t>Overall survival</w:t>
            </w:r>
          </w:p>
        </w:tc>
      </w:tr>
      <w:tr w:rsidR="00727119" w:rsidRPr="00BE0126" w14:paraId="31F2C36C" w14:textId="77777777" w:rsidTr="006D6FF6">
        <w:tc>
          <w:tcPr>
            <w:tcW w:w="1976" w:type="pct"/>
            <w:shd w:val="clear" w:color="auto" w:fill="auto"/>
          </w:tcPr>
          <w:p w14:paraId="25D67E50" w14:textId="0FFBC593" w:rsidR="00727119" w:rsidRPr="00450D20" w:rsidRDefault="00727119" w:rsidP="005C2D58">
            <w:pPr>
              <w:pStyle w:val="COMTabletext"/>
              <w:rPr>
                <w:rFonts w:cstheme="minorHAnsi"/>
                <w:color w:val="000000"/>
                <w:szCs w:val="20"/>
              </w:rPr>
            </w:pPr>
            <w:r w:rsidRPr="0001110B">
              <w:t>Naïve comparison (N = 352)</w:t>
            </w:r>
          </w:p>
        </w:tc>
        <w:tc>
          <w:tcPr>
            <w:tcW w:w="3024" w:type="pct"/>
            <w:shd w:val="clear" w:color="auto" w:fill="auto"/>
          </w:tcPr>
          <w:p w14:paraId="30B885D3" w14:textId="0841747F" w:rsidR="00727119" w:rsidRPr="00450D20" w:rsidRDefault="00727119" w:rsidP="005C2D58">
            <w:pPr>
              <w:pStyle w:val="COMTabletext"/>
              <w:jc w:val="center"/>
              <w:rPr>
                <w:rFonts w:cstheme="minorHAnsi"/>
                <w:color w:val="000000"/>
                <w:szCs w:val="20"/>
              </w:rPr>
            </w:pPr>
            <w:r w:rsidRPr="0001110B">
              <w:t>1.14 (0.56, 2.34)</w:t>
            </w:r>
          </w:p>
        </w:tc>
      </w:tr>
      <w:tr w:rsidR="00727119" w:rsidRPr="00BE0126" w14:paraId="6D0A3AA2" w14:textId="77777777" w:rsidTr="006D6FF6">
        <w:tc>
          <w:tcPr>
            <w:tcW w:w="1976" w:type="pct"/>
            <w:shd w:val="clear" w:color="auto" w:fill="auto"/>
          </w:tcPr>
          <w:p w14:paraId="493FE2EC" w14:textId="0804BE39" w:rsidR="00727119" w:rsidRPr="00450D20" w:rsidRDefault="00727119" w:rsidP="005C2D58">
            <w:pPr>
              <w:pStyle w:val="COMTabletext"/>
              <w:rPr>
                <w:rFonts w:cstheme="minorHAnsi"/>
                <w:color w:val="000000"/>
                <w:szCs w:val="20"/>
              </w:rPr>
            </w:pPr>
            <w:r w:rsidRPr="0001110B">
              <w:t>Model 1 (ESS=132.5)</w:t>
            </w:r>
          </w:p>
        </w:tc>
        <w:tc>
          <w:tcPr>
            <w:tcW w:w="3024" w:type="pct"/>
            <w:shd w:val="clear" w:color="auto" w:fill="auto"/>
          </w:tcPr>
          <w:p w14:paraId="32F145A9" w14:textId="29D8AFE6" w:rsidR="00727119" w:rsidRPr="00450D20" w:rsidRDefault="00727119" w:rsidP="005C2D58">
            <w:pPr>
              <w:pStyle w:val="COMTabletext"/>
              <w:jc w:val="center"/>
              <w:rPr>
                <w:rFonts w:cstheme="minorHAnsi"/>
                <w:color w:val="000000"/>
                <w:szCs w:val="20"/>
              </w:rPr>
            </w:pPr>
            <w:r w:rsidRPr="0001110B">
              <w:t>1.21 (0.50-2.89)</w:t>
            </w:r>
          </w:p>
        </w:tc>
      </w:tr>
      <w:tr w:rsidR="00727119" w:rsidRPr="00BE0126" w14:paraId="752A08C7" w14:textId="77777777" w:rsidTr="006D6FF6">
        <w:tc>
          <w:tcPr>
            <w:tcW w:w="1976" w:type="pct"/>
            <w:shd w:val="clear" w:color="auto" w:fill="auto"/>
          </w:tcPr>
          <w:p w14:paraId="3C785BAD" w14:textId="64F1DC05" w:rsidR="00727119" w:rsidRPr="00450D20" w:rsidRDefault="00727119" w:rsidP="005C2D58">
            <w:pPr>
              <w:pStyle w:val="COMTabletext"/>
              <w:rPr>
                <w:rFonts w:cstheme="minorHAnsi"/>
                <w:color w:val="000000"/>
                <w:szCs w:val="20"/>
              </w:rPr>
            </w:pPr>
            <w:r w:rsidRPr="0001110B">
              <w:t>Model 2 (ESS=107.5)</w:t>
            </w:r>
          </w:p>
        </w:tc>
        <w:tc>
          <w:tcPr>
            <w:tcW w:w="3024" w:type="pct"/>
            <w:shd w:val="clear" w:color="auto" w:fill="auto"/>
          </w:tcPr>
          <w:p w14:paraId="7061DB61" w14:textId="6AF5BA7E" w:rsidR="00727119" w:rsidRPr="00450D20" w:rsidRDefault="00727119" w:rsidP="005C2D58">
            <w:pPr>
              <w:pStyle w:val="COMTabletext"/>
              <w:jc w:val="center"/>
              <w:rPr>
                <w:rFonts w:cstheme="minorHAnsi"/>
                <w:color w:val="000000"/>
                <w:szCs w:val="20"/>
              </w:rPr>
            </w:pPr>
            <w:r w:rsidRPr="0001110B">
              <w:t>1.05 (0.44-2.48)</w:t>
            </w:r>
          </w:p>
        </w:tc>
      </w:tr>
      <w:tr w:rsidR="00727119" w:rsidRPr="00BE0126" w14:paraId="1F7D3715" w14:textId="77777777" w:rsidTr="006D6FF6">
        <w:tc>
          <w:tcPr>
            <w:tcW w:w="1976" w:type="pct"/>
            <w:shd w:val="clear" w:color="auto" w:fill="auto"/>
          </w:tcPr>
          <w:p w14:paraId="689FB3E6" w14:textId="58D07935" w:rsidR="00727119" w:rsidRPr="00450D20" w:rsidRDefault="00727119" w:rsidP="005C2D58">
            <w:pPr>
              <w:pStyle w:val="COMTabletext"/>
              <w:rPr>
                <w:rFonts w:cstheme="minorHAnsi"/>
                <w:color w:val="000000"/>
                <w:szCs w:val="20"/>
              </w:rPr>
            </w:pPr>
            <w:r w:rsidRPr="0001110B">
              <w:t>Model 3 (ESS=159.8)</w:t>
            </w:r>
          </w:p>
        </w:tc>
        <w:tc>
          <w:tcPr>
            <w:tcW w:w="3024" w:type="pct"/>
            <w:shd w:val="clear" w:color="auto" w:fill="auto"/>
          </w:tcPr>
          <w:p w14:paraId="51C57743" w14:textId="782537F3" w:rsidR="00727119" w:rsidRPr="00450D20" w:rsidRDefault="00727119" w:rsidP="005C2D58">
            <w:pPr>
              <w:pStyle w:val="COMTabletext"/>
              <w:jc w:val="center"/>
              <w:rPr>
                <w:rFonts w:cstheme="minorHAnsi"/>
                <w:color w:val="000000"/>
                <w:szCs w:val="20"/>
              </w:rPr>
            </w:pPr>
            <w:r w:rsidRPr="0001110B">
              <w:t>1.22 (0.56-2.65)</w:t>
            </w:r>
          </w:p>
        </w:tc>
      </w:tr>
      <w:tr w:rsidR="00727119" w:rsidRPr="00BE0126" w14:paraId="2A172798" w14:textId="77777777" w:rsidTr="006D6FF6">
        <w:tc>
          <w:tcPr>
            <w:tcW w:w="1976" w:type="pct"/>
            <w:shd w:val="clear" w:color="auto" w:fill="auto"/>
          </w:tcPr>
          <w:p w14:paraId="21068EB8" w14:textId="46E06913" w:rsidR="00727119" w:rsidRPr="00450D20" w:rsidRDefault="00727119" w:rsidP="005C2D58">
            <w:pPr>
              <w:pStyle w:val="COMTabletext"/>
              <w:rPr>
                <w:rFonts w:cstheme="minorHAnsi"/>
                <w:color w:val="000000"/>
                <w:szCs w:val="20"/>
              </w:rPr>
            </w:pPr>
            <w:r w:rsidRPr="0001110B">
              <w:t>Model 4 (ESS=124.5)</w:t>
            </w:r>
          </w:p>
        </w:tc>
        <w:tc>
          <w:tcPr>
            <w:tcW w:w="3024" w:type="pct"/>
            <w:shd w:val="clear" w:color="auto" w:fill="auto"/>
          </w:tcPr>
          <w:p w14:paraId="139DDC3F" w14:textId="2A2BEB39" w:rsidR="00727119" w:rsidRPr="003E473E" w:rsidRDefault="00727119" w:rsidP="005C2D58">
            <w:pPr>
              <w:pStyle w:val="COMTabletext"/>
              <w:jc w:val="center"/>
              <w:rPr>
                <w:rFonts w:cstheme="minorHAnsi"/>
                <w:color w:val="000000"/>
                <w:szCs w:val="20"/>
              </w:rPr>
            </w:pPr>
            <w:r w:rsidRPr="0001110B">
              <w:t>1.08 (0.47-2.46)</w:t>
            </w:r>
          </w:p>
        </w:tc>
      </w:tr>
      <w:tr w:rsidR="00727119" w:rsidRPr="00BE0126" w14:paraId="2CCB2BD7" w14:textId="77777777" w:rsidTr="006D6FF6">
        <w:tc>
          <w:tcPr>
            <w:tcW w:w="1976" w:type="pct"/>
            <w:shd w:val="clear" w:color="auto" w:fill="auto"/>
          </w:tcPr>
          <w:p w14:paraId="04795447" w14:textId="71EBC411" w:rsidR="00727119" w:rsidRPr="00450D20" w:rsidRDefault="00727119" w:rsidP="005C2D58">
            <w:pPr>
              <w:pStyle w:val="COMTabletext"/>
              <w:rPr>
                <w:rFonts w:cstheme="minorHAnsi"/>
                <w:color w:val="000000"/>
                <w:szCs w:val="20"/>
              </w:rPr>
            </w:pPr>
            <w:r w:rsidRPr="0001110B">
              <w:t>Model 5 (ESS=136.4)</w:t>
            </w:r>
          </w:p>
        </w:tc>
        <w:tc>
          <w:tcPr>
            <w:tcW w:w="3024" w:type="pct"/>
            <w:shd w:val="clear" w:color="auto" w:fill="auto"/>
          </w:tcPr>
          <w:p w14:paraId="3DA2E22A" w14:textId="7CCDC29F" w:rsidR="00727119" w:rsidRPr="003E473E" w:rsidRDefault="00727119" w:rsidP="005C2D58">
            <w:pPr>
              <w:pStyle w:val="COMTabletext"/>
              <w:jc w:val="center"/>
              <w:rPr>
                <w:rFonts w:cstheme="minorHAnsi"/>
                <w:color w:val="000000"/>
                <w:szCs w:val="20"/>
              </w:rPr>
            </w:pPr>
            <w:r w:rsidRPr="0001110B">
              <w:t>1.06 (0.48-2.37)</w:t>
            </w:r>
          </w:p>
        </w:tc>
      </w:tr>
    </w:tbl>
    <w:p w14:paraId="454B27F3" w14:textId="17A445E1" w:rsidR="00DF24A2" w:rsidRDefault="00DF24A2" w:rsidP="005C2D58">
      <w:pPr>
        <w:pStyle w:val="COMTablefooter"/>
        <w:keepNext/>
        <w:rPr>
          <w:bCs/>
          <w:iCs/>
        </w:rPr>
      </w:pPr>
      <w:r w:rsidRPr="00A33B45">
        <w:rPr>
          <w:bCs/>
          <w:iCs/>
        </w:rPr>
        <w:t>Source:</w:t>
      </w:r>
      <w:r>
        <w:rPr>
          <w:bCs/>
          <w:iCs/>
        </w:rPr>
        <w:t xml:space="preserve"> Table </w:t>
      </w:r>
      <w:r w:rsidR="00C577DF">
        <w:rPr>
          <w:bCs/>
          <w:iCs/>
        </w:rPr>
        <w:t>6, pp35-36; Table 28, p90 of the MAIC technical document, Attachment 4 of the submission.</w:t>
      </w:r>
    </w:p>
    <w:p w14:paraId="78DF736D" w14:textId="77777777" w:rsidR="00617D12" w:rsidRDefault="00DF24A2" w:rsidP="005C2D58">
      <w:pPr>
        <w:pStyle w:val="COMTablefooter"/>
        <w:keepNext/>
        <w:rPr>
          <w:bCs/>
          <w:iCs/>
        </w:rPr>
      </w:pPr>
      <w:r>
        <w:rPr>
          <w:bCs/>
          <w:iCs/>
        </w:rPr>
        <w:t>Abbreviations: ESS = effective sample size, MAIC = matching adjusted indirect comparison</w:t>
      </w:r>
    </w:p>
    <w:p w14:paraId="2F5C07AC" w14:textId="77777777" w:rsidR="00617D12" w:rsidRDefault="00617D12" w:rsidP="0022778F">
      <w:pPr>
        <w:pStyle w:val="COMTablefooter"/>
        <w:rPr>
          <w:bCs/>
          <w:iCs/>
        </w:rPr>
      </w:pPr>
      <w:r>
        <w:rPr>
          <w:bCs/>
          <w:iCs/>
          <w:vertAlign w:val="superscript"/>
        </w:rPr>
        <w:t>a</w:t>
      </w:r>
      <w:r>
        <w:rPr>
          <w:bCs/>
          <w:iCs/>
        </w:rPr>
        <w:t xml:space="preserve"> The submission presented the results for Model 1. Results for alternative models were included in the MAIC technical report.</w:t>
      </w:r>
    </w:p>
    <w:p w14:paraId="76A7005A" w14:textId="4DE9D9C8" w:rsidR="002C6350" w:rsidRDefault="002C6350" w:rsidP="00B77046">
      <w:pPr>
        <w:pStyle w:val="COMexecsumnumberedpara"/>
      </w:pPr>
      <w:r>
        <w:lastRenderedPageBreak/>
        <w:t xml:space="preserve">Prior to adjustment </w:t>
      </w:r>
      <w:r w:rsidR="00477073">
        <w:t xml:space="preserve">of the MAIC </w:t>
      </w:r>
      <w:r>
        <w:t xml:space="preserve">(i.e., based on a naïve comparison of zanubrutinib and acalabrutinib), the hazard ratio for progression-free survival favoured zanubrutinib, but was not statistically significant (HR = 0.89 [95% CI: 0.55, 1.42]). </w:t>
      </w:r>
      <w:r w:rsidR="00617D12">
        <w:t xml:space="preserve">After adjustment, the difference was not statistically significant for Model 3, or for any of the other models included in the </w:t>
      </w:r>
      <w:r w:rsidR="00F2402F">
        <w:t xml:space="preserve">MAIC </w:t>
      </w:r>
      <w:r w:rsidR="00617D12">
        <w:t>technical report.</w:t>
      </w:r>
    </w:p>
    <w:p w14:paraId="0A7134E8" w14:textId="5E072791" w:rsidR="002C6350" w:rsidRDefault="002C6350" w:rsidP="002C6350">
      <w:pPr>
        <w:pStyle w:val="COMexecsumnumberedpara"/>
      </w:pPr>
      <w:r>
        <w:t>Prior to adjustment</w:t>
      </w:r>
      <w:r w:rsidR="00477073">
        <w:t xml:space="preserve"> of the</w:t>
      </w:r>
      <w:r>
        <w:t xml:space="preserve"> </w:t>
      </w:r>
      <w:r w:rsidR="00477073">
        <w:t xml:space="preserve">MAIC </w:t>
      </w:r>
      <w:r>
        <w:t>(i.e., based on a naïve comparison of zanubrutinib and acalabrutinib), the hazard ratio for overall survival favoured zanubrutinib, but was not statistically significant (HR = 1.14 [95% CI: 0.56, 2.34]). After adjustment</w:t>
      </w:r>
      <w:r w:rsidR="002434A2">
        <w:t xml:space="preserve"> in Model 3</w:t>
      </w:r>
      <w:r>
        <w:t xml:space="preserve">, the difference in overall survival between zanubrutinib and acalabrutinib remained not statistically significant (HR = 1.22 [95% CI: 0.56, 2.65]). </w:t>
      </w:r>
      <w:r w:rsidR="00617D12">
        <w:t xml:space="preserve">After adjustment, the difference was not statistically significant for Model 3, or for any of the other models included in the </w:t>
      </w:r>
      <w:r w:rsidR="00F2402F">
        <w:t xml:space="preserve">MAIC </w:t>
      </w:r>
      <w:r w:rsidR="00617D12">
        <w:t>technical report.</w:t>
      </w:r>
    </w:p>
    <w:p w14:paraId="4A7B98BB" w14:textId="11F2E503" w:rsidR="002434A2" w:rsidRPr="00021B9D" w:rsidRDefault="002C6350" w:rsidP="002434A2">
      <w:pPr>
        <w:pStyle w:val="COMexecsumnumberedpara"/>
        <w:rPr>
          <w:iCs/>
        </w:rPr>
      </w:pPr>
      <w:r>
        <w:t xml:space="preserve">No non-inferiority margin for progression-free survival or overall survival were proposed in the submission. </w:t>
      </w:r>
      <w:r w:rsidR="002434A2">
        <w:t xml:space="preserve">The </w:t>
      </w:r>
      <w:r w:rsidR="00922C18">
        <w:t xml:space="preserve">evaluation stated the </w:t>
      </w:r>
      <w:r w:rsidR="002434A2">
        <w:t>results of the MAICs for progression-free survival and overall survival should be interpreted with caution due to the immaturity of clinical data for the SEQUOIA trial, wide confidence intervals around the point estimates, and the risk of bias associated with selective exclusion of variables.</w:t>
      </w:r>
    </w:p>
    <w:p w14:paraId="45AAC921" w14:textId="778C5177" w:rsidR="009B2937" w:rsidRPr="009B2937" w:rsidRDefault="009B2937" w:rsidP="009B2937">
      <w:pPr>
        <w:pStyle w:val="COMH2-non-numbered"/>
      </w:pPr>
      <w:bookmarkStart w:id="37" w:name="_Toc124179165"/>
      <w:bookmarkStart w:id="38" w:name="_Toc124853850"/>
      <w:r>
        <w:t>Comparative harms</w:t>
      </w:r>
      <w:bookmarkEnd w:id="37"/>
      <w:bookmarkEnd w:id="38"/>
    </w:p>
    <w:p w14:paraId="3A4C29EB" w14:textId="77356F7E" w:rsidR="00BA174F" w:rsidRPr="00021B9D" w:rsidRDefault="002434A2" w:rsidP="00BA174F">
      <w:pPr>
        <w:pStyle w:val="COMexecsumnumberedpara"/>
        <w:rPr>
          <w:iCs/>
        </w:rPr>
      </w:pPr>
      <w:r>
        <w:fldChar w:fldCharType="begin" w:fldLock="1"/>
      </w:r>
      <w:r>
        <w:instrText xml:space="preserve"> REF _Ref124024625 \h </w:instrText>
      </w:r>
      <w:r>
        <w:fldChar w:fldCharType="separate"/>
      </w:r>
      <w:r w:rsidR="00540D87" w:rsidRPr="00C31E62">
        <w:t xml:space="preserve">Table </w:t>
      </w:r>
      <w:r w:rsidR="00540D87">
        <w:rPr>
          <w:noProof/>
        </w:rPr>
        <w:t>8</w:t>
      </w:r>
      <w:r>
        <w:fldChar w:fldCharType="end"/>
      </w:r>
      <w:r>
        <w:t xml:space="preserve"> </w:t>
      </w:r>
      <w:r w:rsidR="00550A35">
        <w:t>presents a</w:t>
      </w:r>
      <w:r w:rsidR="00BA174F">
        <w:t xml:space="preserve"> comparison of safety outcomes for the SEQUOIA, CLL-14 and ELEVATE-TN trials based on a median follow-up of 25.9-30.5 months in the SEQUOIA trial, 28.1 months in the CLL-14 trial, and 28.0-28.5 months in the ELEVATE-TN trial. </w:t>
      </w:r>
    </w:p>
    <w:p w14:paraId="24AA102E" w14:textId="75124B64" w:rsidR="00BA174F" w:rsidRDefault="00550A35" w:rsidP="00BA174F">
      <w:pPr>
        <w:pStyle w:val="TableHeading"/>
        <w:spacing w:before="0" w:after="0" w:line="240" w:lineRule="auto"/>
        <w:jc w:val="both"/>
      </w:pPr>
      <w:bookmarkStart w:id="39" w:name="_Ref124024625"/>
      <w:r w:rsidRPr="00C31E62">
        <w:lastRenderedPageBreak/>
        <w:t xml:space="preserve">Table </w:t>
      </w:r>
      <w:fldSimple w:instr=" SEQ Table \* ARABIC " w:fldLock="1">
        <w:r w:rsidR="00540D87">
          <w:rPr>
            <w:noProof/>
          </w:rPr>
          <w:t>8</w:t>
        </w:r>
      </w:fldSimple>
      <w:bookmarkEnd w:id="39"/>
      <w:r w:rsidRPr="00080502">
        <w:rPr>
          <w:snapToGrid w:val="0"/>
        </w:rPr>
        <w:t>:</w:t>
      </w:r>
      <w:r w:rsidR="00BA174F" w:rsidRPr="00191822">
        <w:t xml:space="preserve"> </w:t>
      </w:r>
      <w:r w:rsidR="00BA174F">
        <w:t>Comparison of reported adverse events for the SEQUOIA, CLL-14 and ELEVATE-TN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7"/>
        <w:gridCol w:w="844"/>
        <w:gridCol w:w="844"/>
        <w:gridCol w:w="844"/>
        <w:gridCol w:w="844"/>
        <w:gridCol w:w="844"/>
        <w:gridCol w:w="844"/>
        <w:gridCol w:w="844"/>
        <w:gridCol w:w="842"/>
      </w:tblGrid>
      <w:tr w:rsidR="00BA174F" w:rsidRPr="000F3327" w14:paraId="0956FC65" w14:textId="77777777" w:rsidTr="006A1BBC">
        <w:trPr>
          <w:tblHeader/>
        </w:trPr>
        <w:tc>
          <w:tcPr>
            <w:tcW w:w="1257" w:type="pct"/>
            <w:vMerge w:val="restart"/>
            <w:tcBorders>
              <w:top w:val="single" w:sz="4" w:space="0" w:color="auto"/>
              <w:left w:val="single" w:sz="4" w:space="0" w:color="auto"/>
              <w:right w:val="single" w:sz="4" w:space="0" w:color="auto"/>
            </w:tcBorders>
            <w:shd w:val="clear" w:color="auto" w:fill="FFFFFF"/>
            <w:vAlign w:val="center"/>
          </w:tcPr>
          <w:p w14:paraId="2B3B8111" w14:textId="77777777" w:rsidR="00BA174F" w:rsidRPr="000F3327" w:rsidRDefault="00BA174F" w:rsidP="006A1BBC">
            <w:pPr>
              <w:keepNext/>
              <w:rPr>
                <w:rFonts w:ascii="Arial Narrow" w:hAnsi="Arial Narrow"/>
                <w:b/>
                <w:iCs/>
                <w:sz w:val="20"/>
                <w:szCs w:val="20"/>
              </w:rPr>
            </w:pPr>
          </w:p>
        </w:tc>
        <w:tc>
          <w:tcPr>
            <w:tcW w:w="1404" w:type="pct"/>
            <w:gridSpan w:val="3"/>
            <w:tcBorders>
              <w:top w:val="single" w:sz="4" w:space="0" w:color="auto"/>
              <w:left w:val="single" w:sz="4" w:space="0" w:color="auto"/>
              <w:right w:val="single" w:sz="4" w:space="0" w:color="auto"/>
            </w:tcBorders>
            <w:shd w:val="clear" w:color="auto" w:fill="FFFFFF"/>
          </w:tcPr>
          <w:p w14:paraId="24D3202D" w14:textId="77777777" w:rsidR="00BA174F" w:rsidRPr="000F3327" w:rsidRDefault="00BA174F" w:rsidP="006A1BBC">
            <w:pPr>
              <w:keepNext/>
              <w:jc w:val="center"/>
              <w:rPr>
                <w:rFonts w:ascii="Arial Narrow" w:hAnsi="Arial Narrow"/>
                <w:b/>
                <w:iCs/>
                <w:sz w:val="20"/>
                <w:szCs w:val="20"/>
              </w:rPr>
            </w:pPr>
            <w:r>
              <w:rPr>
                <w:rFonts w:ascii="Arial Narrow" w:hAnsi="Arial Narrow"/>
                <w:b/>
                <w:bCs/>
                <w:iCs/>
                <w:sz w:val="20"/>
                <w:szCs w:val="20"/>
              </w:rPr>
              <w:t>SEQUOIA</w:t>
            </w:r>
          </w:p>
        </w:tc>
        <w:tc>
          <w:tcPr>
            <w:tcW w:w="936" w:type="pct"/>
            <w:gridSpan w:val="2"/>
            <w:tcBorders>
              <w:top w:val="single" w:sz="4" w:space="0" w:color="auto"/>
              <w:left w:val="single" w:sz="4" w:space="0" w:color="auto"/>
            </w:tcBorders>
            <w:shd w:val="clear" w:color="auto" w:fill="FFFFFF"/>
          </w:tcPr>
          <w:p w14:paraId="52861E43"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CLL-14</w:t>
            </w:r>
          </w:p>
        </w:tc>
        <w:tc>
          <w:tcPr>
            <w:tcW w:w="1403" w:type="pct"/>
            <w:gridSpan w:val="3"/>
            <w:tcBorders>
              <w:top w:val="single" w:sz="4" w:space="0" w:color="auto"/>
              <w:right w:val="single" w:sz="4" w:space="0" w:color="auto"/>
            </w:tcBorders>
            <w:shd w:val="clear" w:color="auto" w:fill="FFFFFF"/>
          </w:tcPr>
          <w:p w14:paraId="7E43C7DA" w14:textId="77777777" w:rsidR="00BA174F" w:rsidRPr="000F3327" w:rsidRDefault="00BA174F" w:rsidP="006A1BBC">
            <w:pPr>
              <w:keepNext/>
              <w:jc w:val="center"/>
              <w:rPr>
                <w:rFonts w:ascii="Arial Narrow" w:hAnsi="Arial Narrow"/>
                <w:b/>
                <w:bCs/>
                <w:iCs/>
                <w:sz w:val="20"/>
                <w:szCs w:val="20"/>
              </w:rPr>
            </w:pPr>
            <w:r w:rsidRPr="000F3327">
              <w:rPr>
                <w:rFonts w:ascii="Arial Narrow" w:hAnsi="Arial Narrow"/>
                <w:b/>
                <w:iCs/>
                <w:sz w:val="20"/>
                <w:szCs w:val="20"/>
              </w:rPr>
              <w:t>ELEVATE-TN</w:t>
            </w:r>
          </w:p>
        </w:tc>
      </w:tr>
      <w:tr w:rsidR="00BA174F" w:rsidRPr="000F3327" w14:paraId="014C647C" w14:textId="77777777" w:rsidTr="006A1BBC">
        <w:trPr>
          <w:tblHeader/>
        </w:trPr>
        <w:tc>
          <w:tcPr>
            <w:tcW w:w="1257" w:type="pct"/>
            <w:vMerge/>
            <w:tcBorders>
              <w:left w:val="single" w:sz="4" w:space="0" w:color="auto"/>
              <w:right w:val="single" w:sz="4" w:space="0" w:color="auto"/>
            </w:tcBorders>
            <w:shd w:val="clear" w:color="auto" w:fill="FFFFFF"/>
            <w:vAlign w:val="center"/>
          </w:tcPr>
          <w:p w14:paraId="691D6E74" w14:textId="77777777" w:rsidR="00BA174F" w:rsidRPr="000F3327" w:rsidRDefault="00BA174F" w:rsidP="006A1BBC">
            <w:pPr>
              <w:keepNext/>
              <w:rPr>
                <w:rFonts w:ascii="Arial Narrow" w:hAnsi="Arial Narrow"/>
                <w:b/>
                <w:iCs/>
                <w:sz w:val="20"/>
                <w:szCs w:val="20"/>
              </w:rPr>
            </w:pPr>
          </w:p>
        </w:tc>
        <w:tc>
          <w:tcPr>
            <w:tcW w:w="468" w:type="pct"/>
            <w:tcBorders>
              <w:left w:val="single" w:sz="4" w:space="0" w:color="auto"/>
              <w:bottom w:val="nil"/>
            </w:tcBorders>
            <w:shd w:val="clear" w:color="auto" w:fill="FFFFFF"/>
            <w:vAlign w:val="center"/>
          </w:tcPr>
          <w:p w14:paraId="29234816"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ZANU</w:t>
            </w:r>
          </w:p>
        </w:tc>
        <w:tc>
          <w:tcPr>
            <w:tcW w:w="468" w:type="pct"/>
            <w:tcBorders>
              <w:bottom w:val="nil"/>
            </w:tcBorders>
            <w:shd w:val="clear" w:color="auto" w:fill="FFFFFF"/>
          </w:tcPr>
          <w:p w14:paraId="499135B4" w14:textId="77777777" w:rsidR="00BA174F" w:rsidRDefault="00BA174F" w:rsidP="006A1BBC">
            <w:pPr>
              <w:keepNext/>
              <w:jc w:val="center"/>
              <w:rPr>
                <w:rFonts w:ascii="Arial Narrow" w:hAnsi="Arial Narrow"/>
                <w:b/>
                <w:iCs/>
                <w:sz w:val="20"/>
                <w:szCs w:val="20"/>
              </w:rPr>
            </w:pPr>
            <w:r w:rsidRPr="000F3327">
              <w:rPr>
                <w:rFonts w:ascii="Arial Narrow" w:hAnsi="Arial Narrow"/>
                <w:b/>
                <w:iCs/>
                <w:sz w:val="20"/>
                <w:szCs w:val="20"/>
              </w:rPr>
              <w:t xml:space="preserve">ZANU </w:t>
            </w:r>
          </w:p>
          <w:p w14:paraId="62C61FB1"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(17p del)</w:t>
            </w:r>
          </w:p>
        </w:tc>
        <w:tc>
          <w:tcPr>
            <w:tcW w:w="468" w:type="pct"/>
            <w:tcBorders>
              <w:bottom w:val="nil"/>
              <w:right w:val="single" w:sz="4" w:space="0" w:color="auto"/>
            </w:tcBorders>
            <w:shd w:val="clear" w:color="auto" w:fill="FFFFFF"/>
            <w:vAlign w:val="center"/>
          </w:tcPr>
          <w:p w14:paraId="65BAB951"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BEN +</w:t>
            </w:r>
            <w:r>
              <w:rPr>
                <w:rFonts w:ascii="Arial Narrow" w:hAnsi="Arial Narrow"/>
                <w:b/>
                <w:iCs/>
                <w:sz w:val="20"/>
                <w:szCs w:val="20"/>
              </w:rPr>
              <w:t xml:space="preserve"> </w:t>
            </w:r>
            <w:r w:rsidRPr="000F3327">
              <w:rPr>
                <w:rFonts w:ascii="Arial Narrow" w:hAnsi="Arial Narrow"/>
                <w:b/>
                <w:iCs/>
                <w:sz w:val="20"/>
                <w:szCs w:val="20"/>
              </w:rPr>
              <w:t>RIT</w:t>
            </w:r>
          </w:p>
        </w:tc>
        <w:tc>
          <w:tcPr>
            <w:tcW w:w="468" w:type="pct"/>
            <w:tcBorders>
              <w:left w:val="single" w:sz="4" w:space="0" w:color="auto"/>
              <w:bottom w:val="nil"/>
            </w:tcBorders>
            <w:shd w:val="clear" w:color="auto" w:fill="FFFFFF"/>
            <w:vAlign w:val="center"/>
          </w:tcPr>
          <w:p w14:paraId="47644778"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VEN + OBI</w:t>
            </w:r>
          </w:p>
        </w:tc>
        <w:tc>
          <w:tcPr>
            <w:tcW w:w="468" w:type="pct"/>
            <w:tcBorders>
              <w:bottom w:val="nil"/>
            </w:tcBorders>
            <w:shd w:val="clear" w:color="auto" w:fill="FFFFFF"/>
            <w:vAlign w:val="center"/>
          </w:tcPr>
          <w:p w14:paraId="6D16A7C6"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CHL + OBI</w:t>
            </w:r>
          </w:p>
        </w:tc>
        <w:tc>
          <w:tcPr>
            <w:tcW w:w="468" w:type="pct"/>
            <w:tcBorders>
              <w:bottom w:val="nil"/>
            </w:tcBorders>
            <w:shd w:val="clear" w:color="auto" w:fill="FFFFFF"/>
            <w:vAlign w:val="center"/>
          </w:tcPr>
          <w:p w14:paraId="192F4753"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 xml:space="preserve">ACAL + </w:t>
            </w:r>
            <w:r>
              <w:rPr>
                <w:rFonts w:ascii="Arial Narrow" w:hAnsi="Arial Narrow"/>
                <w:b/>
                <w:iCs/>
                <w:sz w:val="20"/>
                <w:szCs w:val="20"/>
              </w:rPr>
              <w:t>O</w:t>
            </w:r>
            <w:r w:rsidRPr="000F3327">
              <w:rPr>
                <w:rFonts w:ascii="Arial Narrow" w:hAnsi="Arial Narrow"/>
                <w:b/>
                <w:iCs/>
                <w:sz w:val="20"/>
                <w:szCs w:val="20"/>
              </w:rPr>
              <w:t>BI</w:t>
            </w:r>
          </w:p>
        </w:tc>
        <w:tc>
          <w:tcPr>
            <w:tcW w:w="468" w:type="pct"/>
            <w:tcBorders>
              <w:bottom w:val="nil"/>
            </w:tcBorders>
            <w:shd w:val="clear" w:color="auto" w:fill="FFFFFF"/>
            <w:vAlign w:val="center"/>
          </w:tcPr>
          <w:p w14:paraId="45D00050"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ACAL</w:t>
            </w:r>
          </w:p>
        </w:tc>
        <w:tc>
          <w:tcPr>
            <w:tcW w:w="467" w:type="pct"/>
            <w:tcBorders>
              <w:bottom w:val="nil"/>
              <w:right w:val="single" w:sz="4" w:space="0" w:color="auto"/>
            </w:tcBorders>
            <w:shd w:val="clear" w:color="auto" w:fill="FFFFFF"/>
            <w:vAlign w:val="center"/>
          </w:tcPr>
          <w:p w14:paraId="57A8C9A3"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 xml:space="preserve">CHL + </w:t>
            </w:r>
            <w:r>
              <w:rPr>
                <w:rFonts w:ascii="Arial Narrow" w:hAnsi="Arial Narrow"/>
                <w:b/>
                <w:iCs/>
                <w:sz w:val="20"/>
                <w:szCs w:val="20"/>
              </w:rPr>
              <w:t>O</w:t>
            </w:r>
            <w:r w:rsidRPr="000F3327">
              <w:rPr>
                <w:rFonts w:ascii="Arial Narrow" w:hAnsi="Arial Narrow"/>
                <w:b/>
                <w:iCs/>
                <w:sz w:val="20"/>
                <w:szCs w:val="20"/>
              </w:rPr>
              <w:t>BI</w:t>
            </w:r>
          </w:p>
        </w:tc>
      </w:tr>
      <w:tr w:rsidR="00BA174F" w:rsidRPr="000F3327" w14:paraId="39600E4D" w14:textId="77777777" w:rsidTr="006A1BBC">
        <w:trPr>
          <w:tblHeader/>
        </w:trPr>
        <w:tc>
          <w:tcPr>
            <w:tcW w:w="1257" w:type="pct"/>
            <w:vMerge/>
            <w:tcBorders>
              <w:left w:val="single" w:sz="4" w:space="0" w:color="auto"/>
              <w:bottom w:val="single" w:sz="4" w:space="0" w:color="auto"/>
              <w:right w:val="single" w:sz="4" w:space="0" w:color="auto"/>
            </w:tcBorders>
            <w:shd w:val="clear" w:color="auto" w:fill="FFFFFF"/>
            <w:vAlign w:val="center"/>
          </w:tcPr>
          <w:p w14:paraId="6AB79C98" w14:textId="77777777" w:rsidR="00BA174F" w:rsidRPr="000F3327" w:rsidRDefault="00BA174F" w:rsidP="006A1BBC">
            <w:pPr>
              <w:keepNext/>
              <w:rPr>
                <w:rFonts w:ascii="Arial Narrow" w:hAnsi="Arial Narrow"/>
                <w:b/>
                <w:iCs/>
                <w:sz w:val="20"/>
                <w:szCs w:val="20"/>
              </w:rPr>
            </w:pPr>
          </w:p>
        </w:tc>
        <w:tc>
          <w:tcPr>
            <w:tcW w:w="468" w:type="pct"/>
            <w:tcBorders>
              <w:top w:val="nil"/>
              <w:left w:val="single" w:sz="4" w:space="0" w:color="auto"/>
              <w:bottom w:val="single" w:sz="4" w:space="0" w:color="auto"/>
              <w:right w:val="single" w:sz="4" w:space="0" w:color="auto"/>
            </w:tcBorders>
            <w:shd w:val="clear" w:color="auto" w:fill="FFFFFF"/>
          </w:tcPr>
          <w:p w14:paraId="20FF723A"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240</w:t>
            </w:r>
          </w:p>
        </w:tc>
        <w:tc>
          <w:tcPr>
            <w:tcW w:w="468" w:type="pct"/>
            <w:tcBorders>
              <w:top w:val="nil"/>
              <w:left w:val="single" w:sz="4" w:space="0" w:color="auto"/>
              <w:bottom w:val="single" w:sz="4" w:space="0" w:color="auto"/>
              <w:right w:val="single" w:sz="4" w:space="0" w:color="auto"/>
            </w:tcBorders>
            <w:shd w:val="clear" w:color="auto" w:fill="FFFFFF"/>
          </w:tcPr>
          <w:p w14:paraId="02CDD572"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111</w:t>
            </w:r>
          </w:p>
        </w:tc>
        <w:tc>
          <w:tcPr>
            <w:tcW w:w="468" w:type="pct"/>
            <w:tcBorders>
              <w:top w:val="nil"/>
              <w:left w:val="single" w:sz="4" w:space="0" w:color="auto"/>
              <w:bottom w:val="single" w:sz="4" w:space="0" w:color="auto"/>
              <w:right w:val="single" w:sz="4" w:space="0" w:color="auto"/>
            </w:tcBorders>
            <w:shd w:val="clear" w:color="auto" w:fill="FFFFFF"/>
          </w:tcPr>
          <w:p w14:paraId="2D8216A2"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w:t>
            </w:r>
            <w:r>
              <w:rPr>
                <w:rFonts w:ascii="Arial Narrow" w:hAnsi="Arial Narrow"/>
                <w:b/>
                <w:iCs/>
                <w:sz w:val="20"/>
                <w:szCs w:val="20"/>
              </w:rPr>
              <w:t>227</w:t>
            </w:r>
          </w:p>
        </w:tc>
        <w:tc>
          <w:tcPr>
            <w:tcW w:w="468" w:type="pct"/>
            <w:tcBorders>
              <w:top w:val="nil"/>
              <w:left w:val="single" w:sz="4" w:space="0" w:color="auto"/>
              <w:bottom w:val="single" w:sz="4" w:space="0" w:color="auto"/>
              <w:right w:val="single" w:sz="4" w:space="0" w:color="auto"/>
            </w:tcBorders>
            <w:shd w:val="clear" w:color="auto" w:fill="FFFFFF"/>
          </w:tcPr>
          <w:p w14:paraId="72AB22BC"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N=216</w:t>
            </w:r>
          </w:p>
        </w:tc>
        <w:tc>
          <w:tcPr>
            <w:tcW w:w="468" w:type="pct"/>
            <w:tcBorders>
              <w:top w:val="nil"/>
              <w:left w:val="single" w:sz="4" w:space="0" w:color="auto"/>
              <w:bottom w:val="single" w:sz="4" w:space="0" w:color="auto"/>
              <w:right w:val="single" w:sz="4" w:space="0" w:color="auto"/>
            </w:tcBorders>
            <w:shd w:val="clear" w:color="auto" w:fill="FFFFFF"/>
          </w:tcPr>
          <w:p w14:paraId="2A608DFE"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N=216</w:t>
            </w:r>
          </w:p>
        </w:tc>
        <w:tc>
          <w:tcPr>
            <w:tcW w:w="468" w:type="pct"/>
            <w:tcBorders>
              <w:top w:val="nil"/>
              <w:left w:val="single" w:sz="4" w:space="0" w:color="auto"/>
              <w:bottom w:val="single" w:sz="4" w:space="0" w:color="auto"/>
              <w:right w:val="single" w:sz="4" w:space="0" w:color="auto"/>
            </w:tcBorders>
            <w:shd w:val="clear" w:color="auto" w:fill="FFFFFF"/>
          </w:tcPr>
          <w:p w14:paraId="55342150"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N=179</w:t>
            </w:r>
          </w:p>
        </w:tc>
        <w:tc>
          <w:tcPr>
            <w:tcW w:w="468" w:type="pct"/>
            <w:tcBorders>
              <w:top w:val="nil"/>
              <w:left w:val="single" w:sz="4" w:space="0" w:color="auto"/>
              <w:bottom w:val="single" w:sz="4" w:space="0" w:color="auto"/>
              <w:right w:val="single" w:sz="4" w:space="0" w:color="auto"/>
            </w:tcBorders>
            <w:shd w:val="clear" w:color="auto" w:fill="FFFFFF"/>
            <w:vAlign w:val="center"/>
          </w:tcPr>
          <w:p w14:paraId="4BEEE44F"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N=179</w:t>
            </w:r>
          </w:p>
        </w:tc>
        <w:tc>
          <w:tcPr>
            <w:tcW w:w="467" w:type="pct"/>
            <w:tcBorders>
              <w:top w:val="nil"/>
              <w:left w:val="single" w:sz="4" w:space="0" w:color="auto"/>
              <w:bottom w:val="single" w:sz="4" w:space="0" w:color="auto"/>
              <w:right w:val="single" w:sz="4" w:space="0" w:color="auto"/>
            </w:tcBorders>
            <w:shd w:val="clear" w:color="auto" w:fill="FFFFFF"/>
            <w:vAlign w:val="center"/>
          </w:tcPr>
          <w:p w14:paraId="26B99A45" w14:textId="77777777" w:rsidR="00BA174F" w:rsidRPr="000F3327" w:rsidRDefault="00BA174F" w:rsidP="006A1BBC">
            <w:pPr>
              <w:keepNext/>
              <w:jc w:val="center"/>
              <w:rPr>
                <w:rFonts w:ascii="Arial Narrow" w:hAnsi="Arial Narrow"/>
                <w:b/>
                <w:iCs/>
                <w:sz w:val="20"/>
                <w:szCs w:val="20"/>
              </w:rPr>
            </w:pPr>
            <w:r w:rsidRPr="000F3327">
              <w:rPr>
                <w:rFonts w:ascii="Arial Narrow" w:hAnsi="Arial Narrow"/>
                <w:b/>
                <w:iCs/>
                <w:sz w:val="20"/>
                <w:szCs w:val="20"/>
              </w:rPr>
              <w:t>N=177</w:t>
            </w:r>
          </w:p>
        </w:tc>
      </w:tr>
      <w:tr w:rsidR="00BA174F" w:rsidRPr="000F3327" w14:paraId="3D0D25B3" w14:textId="77777777" w:rsidTr="006A1BBC">
        <w:trPr>
          <w:tblHeader/>
        </w:trPr>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35117385" w14:textId="77777777" w:rsidR="00BA174F" w:rsidRPr="00202AE1" w:rsidRDefault="00BA174F" w:rsidP="006A1BBC">
            <w:pPr>
              <w:pStyle w:val="COMTabletext"/>
              <w:rPr>
                <w:highlight w:val="yellow"/>
              </w:rPr>
            </w:pPr>
            <w:r w:rsidRPr="006C3678">
              <w:t>Median duration of follow-up, months (range)</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9897D18" w14:textId="77777777" w:rsidR="00BA174F" w:rsidRDefault="00BA174F" w:rsidP="006A1BBC">
            <w:pPr>
              <w:pStyle w:val="COMTabletext"/>
              <w:jc w:val="center"/>
            </w:pPr>
            <w:r>
              <w:t xml:space="preserve">26.4 </w:t>
            </w:r>
          </w:p>
          <w:p w14:paraId="2A91025F" w14:textId="77777777" w:rsidR="00BA174F" w:rsidRPr="00E2221A" w:rsidRDefault="00BA174F" w:rsidP="006A1BBC">
            <w:pPr>
              <w:pStyle w:val="COMTabletext"/>
              <w:jc w:val="center"/>
            </w:pPr>
            <w:r>
              <w:t>(0.3-42.2)</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1814CBB5" w14:textId="77777777" w:rsidR="00BA174F" w:rsidRDefault="00BA174F" w:rsidP="006A1BBC">
            <w:pPr>
              <w:pStyle w:val="COMTabletext"/>
              <w:jc w:val="center"/>
            </w:pPr>
            <w:r w:rsidRPr="00404E58">
              <w:t xml:space="preserve">30.5 </w:t>
            </w:r>
          </w:p>
          <w:p w14:paraId="70D7A662" w14:textId="77777777" w:rsidR="00BA174F" w:rsidRPr="00E2221A" w:rsidRDefault="00BA174F" w:rsidP="006A1BBC">
            <w:pPr>
              <w:pStyle w:val="COMTabletext"/>
              <w:jc w:val="center"/>
            </w:pPr>
            <w:r w:rsidRPr="00404E58">
              <w:t>(5.0-39.1)</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1C16F052" w14:textId="77777777" w:rsidR="00BA174F" w:rsidRDefault="00BA174F" w:rsidP="006A1BBC">
            <w:pPr>
              <w:pStyle w:val="COMTabletext"/>
              <w:jc w:val="center"/>
            </w:pPr>
            <w:r w:rsidRPr="00404E58">
              <w:t xml:space="preserve">25.9 </w:t>
            </w:r>
          </w:p>
          <w:p w14:paraId="370E30DD" w14:textId="77777777" w:rsidR="00BA174F" w:rsidRPr="00E2221A" w:rsidRDefault="00BA174F" w:rsidP="006A1BBC">
            <w:pPr>
              <w:pStyle w:val="COMTabletext"/>
              <w:jc w:val="center"/>
            </w:pPr>
            <w:r w:rsidRPr="00404E58">
              <w:t>(0.0-38.9)</w:t>
            </w:r>
          </w:p>
        </w:tc>
        <w:tc>
          <w:tcPr>
            <w:tcW w:w="936" w:type="pct"/>
            <w:gridSpan w:val="2"/>
            <w:tcBorders>
              <w:top w:val="single" w:sz="4" w:space="0" w:color="auto"/>
              <w:left w:val="single" w:sz="4" w:space="0" w:color="auto"/>
              <w:bottom w:val="single" w:sz="4" w:space="0" w:color="auto"/>
              <w:right w:val="single" w:sz="4" w:space="0" w:color="auto"/>
            </w:tcBorders>
            <w:shd w:val="clear" w:color="auto" w:fill="FFFFFF"/>
          </w:tcPr>
          <w:p w14:paraId="3675552B" w14:textId="77777777" w:rsidR="00BA174F" w:rsidRPr="00E32172" w:rsidRDefault="00BA174F" w:rsidP="006A1BBC">
            <w:pPr>
              <w:keepNext/>
              <w:jc w:val="center"/>
              <w:rPr>
                <w:rFonts w:ascii="Arial Narrow" w:hAnsi="Arial Narrow"/>
                <w:iCs/>
                <w:sz w:val="20"/>
                <w:szCs w:val="20"/>
              </w:rPr>
            </w:pPr>
            <w:r w:rsidRPr="00E32172">
              <w:rPr>
                <w:rFonts w:ascii="Arial Narrow" w:hAnsi="Arial Narrow"/>
                <w:iCs/>
                <w:sz w:val="20"/>
                <w:szCs w:val="20"/>
              </w:rPr>
              <w:t>28.1</w:t>
            </w:r>
          </w:p>
          <w:p w14:paraId="4E512604" w14:textId="77777777" w:rsidR="00BA174F" w:rsidRPr="00E2221A" w:rsidRDefault="00BA174F" w:rsidP="006A1BBC">
            <w:pPr>
              <w:pStyle w:val="COMTabletext"/>
              <w:jc w:val="center"/>
            </w:pPr>
            <w:r w:rsidRPr="00E32172">
              <w:rPr>
                <w:iCs/>
                <w:szCs w:val="20"/>
              </w:rPr>
              <w:t>(0.0-35.9)</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A2C47AA" w14:textId="77777777" w:rsidR="00BA174F" w:rsidRDefault="00BA174F" w:rsidP="006A1BBC">
            <w:pPr>
              <w:keepNext/>
              <w:jc w:val="center"/>
              <w:rPr>
                <w:rFonts w:ascii="Arial Narrow" w:hAnsi="Arial Narrow"/>
                <w:iCs/>
                <w:sz w:val="20"/>
                <w:szCs w:val="20"/>
              </w:rPr>
            </w:pPr>
            <w:r w:rsidRPr="0076533B">
              <w:rPr>
                <w:rFonts w:ascii="Arial Narrow" w:hAnsi="Arial Narrow"/>
                <w:iCs/>
                <w:sz w:val="20"/>
                <w:szCs w:val="20"/>
              </w:rPr>
              <w:t xml:space="preserve">28.5 </w:t>
            </w:r>
          </w:p>
          <w:p w14:paraId="2FC600ED" w14:textId="77777777" w:rsidR="00BA174F" w:rsidRPr="00E2221A" w:rsidRDefault="00BA174F" w:rsidP="006A1BBC">
            <w:pPr>
              <w:pStyle w:val="COMTabletext"/>
            </w:pPr>
            <w:r w:rsidRPr="0076533B">
              <w:rPr>
                <w:iCs/>
                <w:szCs w:val="20"/>
              </w:rPr>
              <w:t xml:space="preserve">(1.7-40.3)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A1E5877" w14:textId="77777777" w:rsidR="00BA174F" w:rsidRDefault="00BA174F" w:rsidP="006A1BBC">
            <w:pPr>
              <w:keepNext/>
              <w:jc w:val="center"/>
              <w:rPr>
                <w:rFonts w:ascii="Arial Narrow" w:hAnsi="Arial Narrow"/>
                <w:iCs/>
                <w:sz w:val="20"/>
                <w:szCs w:val="20"/>
              </w:rPr>
            </w:pPr>
            <w:r w:rsidRPr="0076533B">
              <w:rPr>
                <w:rFonts w:ascii="Arial Narrow" w:hAnsi="Arial Narrow"/>
                <w:iCs/>
                <w:sz w:val="20"/>
                <w:szCs w:val="20"/>
              </w:rPr>
              <w:t xml:space="preserve">28.4 </w:t>
            </w:r>
          </w:p>
          <w:p w14:paraId="5934BB4D" w14:textId="77777777" w:rsidR="00BA174F" w:rsidRPr="00E2221A" w:rsidRDefault="00BA174F" w:rsidP="006A1BBC">
            <w:pPr>
              <w:pStyle w:val="COMTabletext"/>
            </w:pPr>
            <w:r w:rsidRPr="0076533B">
              <w:rPr>
                <w:iCs/>
                <w:szCs w:val="20"/>
              </w:rPr>
              <w:t>(0.1-40.8)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57024C4B" w14:textId="77777777" w:rsidR="00BA174F" w:rsidRDefault="00BA174F" w:rsidP="006A1BBC">
            <w:pPr>
              <w:keepNext/>
              <w:jc w:val="center"/>
              <w:rPr>
                <w:rFonts w:ascii="Arial Narrow" w:hAnsi="Arial Narrow"/>
                <w:iCs/>
                <w:sz w:val="20"/>
                <w:szCs w:val="20"/>
              </w:rPr>
            </w:pPr>
            <w:r w:rsidRPr="0076533B">
              <w:rPr>
                <w:rFonts w:ascii="Arial Narrow" w:hAnsi="Arial Narrow"/>
                <w:iCs/>
                <w:sz w:val="20"/>
                <w:szCs w:val="20"/>
              </w:rPr>
              <w:t xml:space="preserve">28.0 </w:t>
            </w:r>
          </w:p>
          <w:p w14:paraId="0E35B27D" w14:textId="77777777" w:rsidR="00BA174F" w:rsidRPr="00E2221A" w:rsidRDefault="00BA174F" w:rsidP="006A1BBC">
            <w:pPr>
              <w:pStyle w:val="COMTabletext"/>
            </w:pPr>
            <w:r w:rsidRPr="0076533B">
              <w:rPr>
                <w:iCs/>
                <w:szCs w:val="20"/>
              </w:rPr>
              <w:t>(0.0-40.4)</w:t>
            </w:r>
          </w:p>
        </w:tc>
      </w:tr>
      <w:tr w:rsidR="00BA174F" w:rsidRPr="000F3327" w14:paraId="09F293ED" w14:textId="77777777" w:rsidTr="006A1BBC">
        <w:trPr>
          <w:tblHeader/>
        </w:trPr>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3C6C1806" w14:textId="77777777" w:rsidR="00BA174F" w:rsidRPr="00040114" w:rsidRDefault="00BA174F" w:rsidP="006A1BBC">
            <w:pPr>
              <w:pStyle w:val="COMTabletext"/>
            </w:pPr>
            <w:r w:rsidRPr="00040114">
              <w:t>Any AE, n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9E26969" w14:textId="77777777" w:rsidR="00BA174F" w:rsidRPr="00E2221A" w:rsidRDefault="00BA174F" w:rsidP="006A1BBC">
            <w:pPr>
              <w:pStyle w:val="COMTabletext"/>
              <w:jc w:val="center"/>
            </w:pPr>
            <w:r w:rsidRPr="005E5F91">
              <w:t>224 (93.3)</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DF2A2B6" w14:textId="77777777" w:rsidR="00BA174F" w:rsidRPr="00E2221A" w:rsidRDefault="00BA174F" w:rsidP="006A1BBC">
            <w:pPr>
              <w:pStyle w:val="COMTabletext"/>
              <w:jc w:val="center"/>
            </w:pPr>
            <w:r w:rsidRPr="005E5F91">
              <w:t>109 (98.2)</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0058D120" w14:textId="77777777" w:rsidR="00BA174F" w:rsidRPr="00E2221A" w:rsidRDefault="00BA174F" w:rsidP="006A1BBC">
            <w:pPr>
              <w:pStyle w:val="COMTabletext"/>
              <w:jc w:val="center"/>
            </w:pPr>
            <w:r w:rsidRPr="00B933BE">
              <w:t>218 (96.0)</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A5B6428" w14:textId="77777777" w:rsidR="00BA174F" w:rsidRPr="00E2221A" w:rsidRDefault="00BA174F" w:rsidP="006A1BBC">
            <w:pPr>
              <w:pStyle w:val="COMTabletext"/>
              <w:jc w:val="center"/>
            </w:pPr>
            <w:r w:rsidRPr="00BF6A88">
              <w:t>200 (94.3)</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4F1E40D4" w14:textId="77777777" w:rsidR="00BA174F" w:rsidRPr="00E2221A" w:rsidRDefault="00BA174F" w:rsidP="006A1BBC">
            <w:pPr>
              <w:pStyle w:val="COMTabletext"/>
              <w:jc w:val="center"/>
            </w:pPr>
            <w:r w:rsidRPr="00BF6A88">
              <w:t>213 (99.5)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6A9D543" w14:textId="77777777" w:rsidR="00BA174F" w:rsidRPr="00E2221A" w:rsidRDefault="00BA174F" w:rsidP="006A1BBC">
            <w:pPr>
              <w:pStyle w:val="COMTabletext"/>
              <w:jc w:val="center"/>
            </w:pPr>
            <w:r w:rsidRPr="000477E4">
              <w:t>171 (96</w:t>
            </w:r>
            <w:r>
              <w:t>.</w:t>
            </w:r>
            <w:r w:rsidRPr="000477E4">
              <w:t>1)</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C6759C9" w14:textId="77777777" w:rsidR="00BA174F" w:rsidRPr="00E2221A" w:rsidRDefault="00BA174F" w:rsidP="006A1BBC">
            <w:pPr>
              <w:pStyle w:val="COMTabletext"/>
              <w:jc w:val="center"/>
            </w:pPr>
            <w:r w:rsidRPr="000477E4">
              <w:t>170 (95</w:t>
            </w:r>
            <w:r>
              <w:t>.</w:t>
            </w:r>
            <w:r w:rsidRPr="000477E4">
              <w:t>0)</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33EC43D2" w14:textId="77777777" w:rsidR="00BA174F" w:rsidRPr="00E2221A" w:rsidRDefault="00BA174F" w:rsidP="006A1BBC">
            <w:pPr>
              <w:pStyle w:val="COMTabletext"/>
              <w:jc w:val="center"/>
            </w:pPr>
            <w:r w:rsidRPr="000477E4">
              <w:t>167 (98</w:t>
            </w:r>
            <w:r>
              <w:t>.</w:t>
            </w:r>
            <w:r w:rsidRPr="000477E4">
              <w:t>8)</w:t>
            </w:r>
          </w:p>
        </w:tc>
      </w:tr>
      <w:tr w:rsidR="00BA174F" w:rsidRPr="000F3327" w14:paraId="748997A1" w14:textId="77777777" w:rsidTr="006A1BBC">
        <w:trPr>
          <w:tblHeader/>
        </w:trPr>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3A21AD43" w14:textId="77777777" w:rsidR="00BA174F" w:rsidRPr="002C48C4" w:rsidRDefault="00BA174F" w:rsidP="006A1BBC">
            <w:pPr>
              <w:pStyle w:val="COMTabletext"/>
              <w:rPr>
                <w:b/>
                <w:vertAlign w:val="superscript"/>
              </w:rPr>
            </w:pPr>
            <w:r w:rsidRPr="00040114">
              <w:t xml:space="preserve">Grade </w:t>
            </w:r>
            <w:r>
              <w:t>≥</w:t>
            </w:r>
            <w:r w:rsidRPr="00040114">
              <w:t>3 AE, n (%)</w:t>
            </w:r>
            <w:r>
              <w:rPr>
                <w:vertAlign w:val="superscript"/>
              </w:rPr>
              <w:t>a</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3900A5BA" w14:textId="77777777" w:rsidR="00BA174F" w:rsidRPr="00E2221A" w:rsidRDefault="00BA174F" w:rsidP="006A1BBC">
            <w:pPr>
              <w:pStyle w:val="COMTabletext"/>
              <w:jc w:val="center"/>
            </w:pPr>
            <w:r w:rsidRPr="005E5F91">
              <w:t>126 (52.5)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8E2A7DC" w14:textId="77777777" w:rsidR="00BA174F" w:rsidRPr="00E2221A" w:rsidRDefault="00BA174F" w:rsidP="006A1BBC">
            <w:pPr>
              <w:pStyle w:val="COMTabletext"/>
              <w:jc w:val="center"/>
            </w:pPr>
            <w:r w:rsidRPr="005E5F91">
              <w:t>61 (55.0)</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A4E9436" w14:textId="77777777" w:rsidR="00BA174F" w:rsidRPr="00E2221A" w:rsidRDefault="00BA174F" w:rsidP="006A1BBC">
            <w:pPr>
              <w:pStyle w:val="COMTabletext"/>
              <w:jc w:val="center"/>
            </w:pPr>
            <w:r w:rsidRPr="00B933BE">
              <w:t>181 (79.7)</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1398CE09" w14:textId="77777777" w:rsidR="00BA174F" w:rsidRPr="00E2221A" w:rsidRDefault="00BA174F" w:rsidP="006A1BBC">
            <w:pPr>
              <w:pStyle w:val="COMTabletext"/>
              <w:jc w:val="center"/>
            </w:pPr>
            <w:r w:rsidRPr="00BF05FC">
              <w:t>167 (78.8)</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824F0C1" w14:textId="77777777" w:rsidR="00BA174F" w:rsidRPr="00E2221A" w:rsidRDefault="00BA174F" w:rsidP="006A1BBC">
            <w:pPr>
              <w:pStyle w:val="COMTabletext"/>
              <w:jc w:val="center"/>
            </w:pPr>
            <w:r w:rsidRPr="00BF05FC">
              <w:t>164 (76.6)</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C3512DF" w14:textId="77777777" w:rsidR="00BA174F" w:rsidRPr="00E2221A" w:rsidRDefault="00BA174F" w:rsidP="006A1BBC">
            <w:pPr>
              <w:pStyle w:val="COMTabletext"/>
              <w:jc w:val="center"/>
            </w:pPr>
            <w:r w:rsidRPr="0069639C">
              <w:t>125 (70</w:t>
            </w:r>
            <w:r>
              <w:t>.</w:t>
            </w:r>
            <w:r w:rsidRPr="0069639C">
              <w:t>2)</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B21F164" w14:textId="77777777" w:rsidR="00BA174F" w:rsidRPr="00E2221A" w:rsidRDefault="00BA174F" w:rsidP="006A1BBC">
            <w:pPr>
              <w:pStyle w:val="COMTabletext"/>
              <w:jc w:val="center"/>
            </w:pPr>
            <w:r w:rsidRPr="0069639C">
              <w:t>89 (49</w:t>
            </w:r>
            <w:r>
              <w:t>.</w:t>
            </w:r>
            <w:r w:rsidRPr="0069639C">
              <w:t>7)</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036773F" w14:textId="77777777" w:rsidR="00BA174F" w:rsidRPr="00E2221A" w:rsidRDefault="00BA174F" w:rsidP="006A1BBC">
            <w:pPr>
              <w:pStyle w:val="COMTabletext"/>
              <w:jc w:val="center"/>
            </w:pPr>
            <w:r w:rsidRPr="0069639C">
              <w:t>118 (69</w:t>
            </w:r>
            <w:r>
              <w:t>.</w:t>
            </w:r>
            <w:r w:rsidRPr="0069639C">
              <w:t>8)</w:t>
            </w:r>
          </w:p>
        </w:tc>
      </w:tr>
      <w:tr w:rsidR="00BA174F" w:rsidRPr="000F3327" w14:paraId="3F1BF624" w14:textId="77777777" w:rsidTr="006A1BBC">
        <w:trPr>
          <w:tblHeader/>
        </w:trPr>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5D8B037B" w14:textId="77777777" w:rsidR="00BA174F" w:rsidRPr="000F3327" w:rsidRDefault="00BA174F" w:rsidP="006A1BBC">
            <w:pPr>
              <w:pStyle w:val="COMTabletext"/>
              <w:rPr>
                <w:b/>
              </w:rPr>
            </w:pPr>
            <w:r w:rsidRPr="00040114">
              <w:t>S</w:t>
            </w:r>
            <w:r>
              <w:t xml:space="preserve">erious </w:t>
            </w:r>
            <w:r w:rsidRPr="00040114">
              <w:t>AE, n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39117999" w14:textId="77777777" w:rsidR="00BA174F" w:rsidRPr="00E2221A" w:rsidRDefault="00BA174F" w:rsidP="006A1BBC">
            <w:pPr>
              <w:pStyle w:val="COMTabletext"/>
              <w:jc w:val="center"/>
            </w:pPr>
            <w:r w:rsidRPr="005E5F91">
              <w:t>88 (36.7)</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E72BC58" w14:textId="77777777" w:rsidR="00BA174F" w:rsidRPr="00E2221A" w:rsidRDefault="00BA174F" w:rsidP="006A1BBC">
            <w:pPr>
              <w:pStyle w:val="COMTabletext"/>
              <w:jc w:val="center"/>
            </w:pPr>
            <w:r w:rsidRPr="005E5F91">
              <w:t>45 (40.5)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2B06D09" w14:textId="77777777" w:rsidR="00BA174F" w:rsidRPr="00E2221A" w:rsidRDefault="00BA174F" w:rsidP="006A1BBC">
            <w:pPr>
              <w:pStyle w:val="COMTabletext"/>
              <w:jc w:val="center"/>
            </w:pPr>
            <w:r w:rsidRPr="00B933BE">
              <w:t>113 (49.8)</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0553CFDC" w14:textId="77777777" w:rsidR="00BA174F" w:rsidRPr="00E2221A" w:rsidRDefault="00BA174F" w:rsidP="006A1BBC">
            <w:pPr>
              <w:pStyle w:val="COMTabletext"/>
              <w:jc w:val="center"/>
            </w:pPr>
            <w:r w:rsidRPr="00C6720D">
              <w:t>104 (49.1)</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B59D960" w14:textId="77777777" w:rsidR="00BA174F" w:rsidRPr="00E2221A" w:rsidRDefault="00BA174F" w:rsidP="006A1BBC">
            <w:pPr>
              <w:pStyle w:val="COMTabletext"/>
              <w:jc w:val="center"/>
            </w:pPr>
            <w:r w:rsidRPr="00C6720D">
              <w:t>90 (42.1)</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0F52964" w14:textId="77777777" w:rsidR="00BA174F" w:rsidRPr="00E2221A" w:rsidRDefault="00BA174F" w:rsidP="006A1BBC">
            <w:pPr>
              <w:pStyle w:val="COMTabletext"/>
              <w:jc w:val="center"/>
            </w:pPr>
            <w:r w:rsidRPr="000477E4">
              <w:t>69 (38</w:t>
            </w:r>
            <w:r>
              <w:t>.</w:t>
            </w:r>
            <w:r w:rsidRPr="000477E4">
              <w:t>8)</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841C25D" w14:textId="77777777" w:rsidR="00BA174F" w:rsidRPr="00E2221A" w:rsidRDefault="00BA174F" w:rsidP="006A1BBC">
            <w:pPr>
              <w:pStyle w:val="COMTabletext"/>
              <w:jc w:val="center"/>
            </w:pPr>
            <w:r w:rsidRPr="000477E4">
              <w:t>57 (31</w:t>
            </w:r>
            <w:r>
              <w:t>.</w:t>
            </w:r>
            <w:r w:rsidRPr="000477E4">
              <w:t>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2DCA25E1" w14:textId="77777777" w:rsidR="00BA174F" w:rsidRPr="00E2221A" w:rsidRDefault="00BA174F" w:rsidP="006A1BBC">
            <w:pPr>
              <w:pStyle w:val="COMTabletext"/>
              <w:jc w:val="center"/>
            </w:pPr>
            <w:r w:rsidRPr="000477E4">
              <w:t>37 (21</w:t>
            </w:r>
            <w:r>
              <w:t>.</w:t>
            </w:r>
            <w:r w:rsidRPr="000477E4">
              <w:t>9)</w:t>
            </w:r>
          </w:p>
        </w:tc>
      </w:tr>
      <w:tr w:rsidR="00BA174F" w:rsidRPr="000F3327" w14:paraId="3E29FE64" w14:textId="77777777" w:rsidTr="006A1BBC">
        <w:trPr>
          <w:tblHeader/>
        </w:trPr>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2EBE8EE8" w14:textId="77777777" w:rsidR="00BA174F" w:rsidRPr="000F3327" w:rsidRDefault="00BA174F" w:rsidP="006A1BBC">
            <w:pPr>
              <w:pStyle w:val="COMTabletext"/>
              <w:rPr>
                <w:b/>
              </w:rPr>
            </w:pPr>
            <w:r w:rsidRPr="00040114">
              <w:t>AE leading to death, n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F7D2D3A" w14:textId="77777777" w:rsidR="00BA174F" w:rsidRPr="00E2221A" w:rsidRDefault="00BA174F" w:rsidP="006A1BBC">
            <w:pPr>
              <w:pStyle w:val="COMTabletext"/>
              <w:jc w:val="center"/>
            </w:pPr>
            <w:r w:rsidRPr="005E5F91">
              <w:t>11 (4.6)</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03CE6D4" w14:textId="77777777" w:rsidR="00BA174F" w:rsidRPr="00E2221A" w:rsidRDefault="00BA174F" w:rsidP="006A1BBC">
            <w:pPr>
              <w:pStyle w:val="COMTabletext"/>
              <w:jc w:val="center"/>
            </w:pPr>
            <w:r w:rsidRPr="005E5F91">
              <w:t>3 (2.7)</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B704E46" w14:textId="77777777" w:rsidR="00BA174F" w:rsidRPr="00E2221A" w:rsidRDefault="00BA174F" w:rsidP="006A1BBC">
            <w:pPr>
              <w:pStyle w:val="COMTabletext"/>
              <w:jc w:val="center"/>
            </w:pPr>
            <w:r w:rsidRPr="00B933BE">
              <w:t>12 (5.3)</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3E77A58D" w14:textId="77777777" w:rsidR="00BA174F" w:rsidRPr="00E2221A" w:rsidRDefault="00BA174F" w:rsidP="006A1BBC">
            <w:pPr>
              <w:pStyle w:val="COMTabletext"/>
              <w:jc w:val="center"/>
            </w:pPr>
            <w:r w:rsidRPr="00C85B13">
              <w:t xml:space="preserve">16 (7.5) </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0F16EF10" w14:textId="77777777" w:rsidR="00BA174F" w:rsidRPr="00E2221A" w:rsidRDefault="00BA174F" w:rsidP="006A1BBC">
            <w:pPr>
              <w:pStyle w:val="COMTabletext"/>
              <w:jc w:val="center"/>
            </w:pPr>
            <w:r w:rsidRPr="00C85B13">
              <w:t>8 (3.7)</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7DDDEE4F" w14:textId="77777777" w:rsidR="00BA174F" w:rsidRPr="00E2221A" w:rsidRDefault="00BA174F" w:rsidP="006A1BBC">
            <w:pPr>
              <w:pStyle w:val="COMTabletext"/>
              <w:jc w:val="center"/>
            </w:pPr>
            <w:r w:rsidRPr="00087CC4">
              <w:t xml:space="preserve">4 (2.2)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60C4110" w14:textId="77777777" w:rsidR="00BA174F" w:rsidRPr="00E2221A" w:rsidRDefault="00BA174F" w:rsidP="006A1BBC">
            <w:pPr>
              <w:pStyle w:val="COMTabletext"/>
              <w:jc w:val="center"/>
            </w:pPr>
            <w:r w:rsidRPr="00087CC4">
              <w:t>6 (3.4)</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5F28E019" w14:textId="77777777" w:rsidR="00BA174F" w:rsidRPr="00E2221A" w:rsidRDefault="00BA174F" w:rsidP="006A1BBC">
            <w:pPr>
              <w:pStyle w:val="COMTabletext"/>
              <w:jc w:val="center"/>
            </w:pPr>
            <w:r w:rsidRPr="00087CC4">
              <w:t>10 (5.9)</w:t>
            </w:r>
          </w:p>
        </w:tc>
      </w:tr>
      <w:tr w:rsidR="00BA174F" w:rsidRPr="000F3327" w14:paraId="69E86935" w14:textId="77777777" w:rsidTr="006A1BBC">
        <w:trPr>
          <w:tblHeader/>
        </w:trPr>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6C111DF7" w14:textId="77777777" w:rsidR="00BA174F" w:rsidRPr="000F3327" w:rsidRDefault="00BA174F" w:rsidP="006A1BBC">
            <w:pPr>
              <w:pStyle w:val="COMTabletext"/>
              <w:rPr>
                <w:b/>
              </w:rPr>
            </w:pPr>
            <w:r>
              <w:t>Treatment d</w:t>
            </w:r>
            <w:r w:rsidRPr="00040114">
              <w:t>iscontinuation due to AE, n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7B76C30" w14:textId="77777777" w:rsidR="00BA174F" w:rsidRPr="00E2221A" w:rsidRDefault="00BA174F" w:rsidP="006A1BBC">
            <w:pPr>
              <w:pStyle w:val="COMTabletext"/>
              <w:jc w:val="center"/>
            </w:pPr>
            <w:r w:rsidRPr="005E5F91">
              <w:t>20 (8.3)</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02BE572A" w14:textId="77777777" w:rsidR="00BA174F" w:rsidRPr="00E2221A" w:rsidRDefault="00BA174F" w:rsidP="006A1BBC">
            <w:pPr>
              <w:pStyle w:val="COMTabletext"/>
              <w:jc w:val="center"/>
            </w:pPr>
            <w:r w:rsidRPr="005E5F91">
              <w:t>6 (5.4)</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B22A50C" w14:textId="77777777" w:rsidR="00BA174F" w:rsidRPr="00E2221A" w:rsidRDefault="00BA174F" w:rsidP="006A1BBC">
            <w:pPr>
              <w:pStyle w:val="COMTabletext"/>
              <w:jc w:val="center"/>
            </w:pPr>
            <w:r w:rsidRPr="00B933BE">
              <w:t>31 (13.7)</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B229F71" w14:textId="77777777" w:rsidR="00BA174F" w:rsidRPr="00E2221A" w:rsidRDefault="00BA174F" w:rsidP="006A1BBC">
            <w:pPr>
              <w:pStyle w:val="COMTabletext"/>
              <w:jc w:val="center"/>
            </w:pPr>
            <w:r>
              <w:t>NR</w:t>
            </w:r>
            <w:r w:rsidRPr="003F184F">
              <w:t xml:space="preserve"> (16.0)</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A4B99FA" w14:textId="77777777" w:rsidR="00BA174F" w:rsidRPr="0042748D" w:rsidRDefault="00BA174F" w:rsidP="006A1BBC">
            <w:pPr>
              <w:pStyle w:val="COMTabletext"/>
              <w:jc w:val="center"/>
            </w:pPr>
            <w:r w:rsidRPr="0042748D">
              <w:t>NR (15.4)</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215EE330" w14:textId="77777777" w:rsidR="00BA174F" w:rsidRPr="00E2221A" w:rsidRDefault="00BA174F" w:rsidP="006A1BBC">
            <w:pPr>
              <w:pStyle w:val="COMTabletext"/>
              <w:jc w:val="center"/>
            </w:pPr>
            <w:r w:rsidRPr="0069639C">
              <w:t>20 (11</w:t>
            </w:r>
            <w:r>
              <w:t>.</w:t>
            </w:r>
            <w:r w:rsidRPr="0069639C">
              <w:t>2)</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503E7A55" w14:textId="77777777" w:rsidR="00BA174F" w:rsidRPr="00E2221A" w:rsidRDefault="00BA174F" w:rsidP="006A1BBC">
            <w:pPr>
              <w:pStyle w:val="COMTabletext"/>
              <w:jc w:val="center"/>
            </w:pPr>
            <w:r w:rsidRPr="0069639C">
              <w:t>16 (8</w:t>
            </w:r>
            <w:r>
              <w:t>.</w:t>
            </w:r>
            <w:r w:rsidRPr="0069639C">
              <w:t>9)</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07E7FD2D" w14:textId="77777777" w:rsidR="00BA174F" w:rsidRPr="00E2221A" w:rsidRDefault="00BA174F" w:rsidP="006A1BBC">
            <w:pPr>
              <w:pStyle w:val="COMTabletext"/>
              <w:jc w:val="center"/>
            </w:pPr>
            <w:r w:rsidRPr="0069639C">
              <w:t>25 (14</w:t>
            </w:r>
            <w:r>
              <w:t>.</w:t>
            </w:r>
            <w:r w:rsidRPr="0069639C">
              <w:t>1)</w:t>
            </w:r>
          </w:p>
        </w:tc>
      </w:tr>
      <w:tr w:rsidR="00BA174F" w:rsidRPr="000F3327" w14:paraId="03F195B6" w14:textId="77777777" w:rsidTr="006A1BBC">
        <w:trPr>
          <w:tblHeader/>
        </w:trPr>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1419097F" w14:textId="77777777" w:rsidR="00BA174F" w:rsidRPr="000F3327" w:rsidRDefault="00BA174F" w:rsidP="006A1BBC">
            <w:pPr>
              <w:pStyle w:val="COMTabletext"/>
              <w:rPr>
                <w:b/>
              </w:rPr>
            </w:pPr>
            <w:r w:rsidRPr="00040114">
              <w:t>Treatment</w:t>
            </w:r>
            <w:r>
              <w:t>-</w:t>
            </w:r>
            <w:r w:rsidRPr="00040114">
              <w:t>related AE, n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F8E0E8D" w14:textId="77777777" w:rsidR="00BA174F" w:rsidRPr="00E2221A" w:rsidRDefault="00BA174F" w:rsidP="006A1BBC">
            <w:pPr>
              <w:pStyle w:val="COMTabletext"/>
              <w:jc w:val="center"/>
            </w:pPr>
            <w:r w:rsidRPr="009A1670">
              <w:t>168 (70.0)</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27D100A7" w14:textId="77777777" w:rsidR="00BA174F" w:rsidRPr="00E2221A" w:rsidRDefault="00BA174F" w:rsidP="006A1BBC">
            <w:pPr>
              <w:pStyle w:val="COMTabletext"/>
              <w:jc w:val="center"/>
            </w:pPr>
            <w:r w:rsidRPr="009A1670">
              <w:t>79 (71.2)</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812E0CF" w14:textId="77777777" w:rsidR="00BA174F" w:rsidRPr="00E2221A" w:rsidRDefault="00BA174F" w:rsidP="006A1BBC">
            <w:pPr>
              <w:pStyle w:val="COMTabletext"/>
              <w:jc w:val="center"/>
            </w:pPr>
            <w:r w:rsidRPr="009A1670">
              <w:t>202 (89.0)</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27472C62" w14:textId="77777777" w:rsidR="00BA174F" w:rsidRPr="00E2221A" w:rsidRDefault="00BA174F" w:rsidP="006A1BBC">
            <w:pPr>
              <w:pStyle w:val="COMTabletext"/>
              <w:jc w:val="center"/>
            </w:pPr>
            <w:r>
              <w:t>NR</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707E7481" w14:textId="77777777" w:rsidR="00BA174F" w:rsidRPr="00E2221A" w:rsidRDefault="00BA174F" w:rsidP="006A1BBC">
            <w:pPr>
              <w:pStyle w:val="COMTabletext"/>
              <w:jc w:val="center"/>
            </w:pPr>
            <w:r>
              <w:t>NR</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3E486EF3" w14:textId="77777777" w:rsidR="00BA174F" w:rsidRPr="00E2221A" w:rsidRDefault="00BA174F" w:rsidP="006A1BBC">
            <w:pPr>
              <w:pStyle w:val="COMTabletext"/>
              <w:jc w:val="center"/>
            </w:pPr>
            <w:r w:rsidRPr="003C0DD2">
              <w:t xml:space="preserve">144 (80.9) </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7BD5444E" w14:textId="77777777" w:rsidR="00BA174F" w:rsidRPr="00E2221A" w:rsidRDefault="00BA174F" w:rsidP="006A1BBC">
            <w:pPr>
              <w:pStyle w:val="COMTabletext"/>
              <w:jc w:val="center"/>
            </w:pPr>
            <w:r w:rsidRPr="003C0DD2">
              <w:t>118 (65.9)</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3FAA50FB" w14:textId="77777777" w:rsidR="00BA174F" w:rsidRPr="00E2221A" w:rsidRDefault="00BA174F" w:rsidP="006A1BBC">
            <w:pPr>
              <w:pStyle w:val="COMTabletext"/>
              <w:jc w:val="center"/>
            </w:pPr>
            <w:r w:rsidRPr="003C0DD2">
              <w:t>154 (91.1)</w:t>
            </w:r>
          </w:p>
        </w:tc>
      </w:tr>
      <w:tr w:rsidR="00BA174F" w:rsidRPr="000F3327" w14:paraId="17E273D4" w14:textId="77777777" w:rsidTr="006A1BBC">
        <w:trPr>
          <w:trHeight w:val="1832"/>
          <w:tblHeader/>
        </w:trPr>
        <w:tc>
          <w:tcPr>
            <w:tcW w:w="1257" w:type="pct"/>
            <w:tcBorders>
              <w:top w:val="single" w:sz="4" w:space="0" w:color="auto"/>
              <w:left w:val="single" w:sz="4" w:space="0" w:color="auto"/>
              <w:bottom w:val="single" w:sz="4" w:space="0" w:color="auto"/>
              <w:right w:val="single" w:sz="4" w:space="0" w:color="auto"/>
            </w:tcBorders>
            <w:shd w:val="clear" w:color="auto" w:fill="FFFFFF"/>
          </w:tcPr>
          <w:p w14:paraId="66092980" w14:textId="77777777" w:rsidR="00BA174F" w:rsidRPr="00CE2226" w:rsidRDefault="00BA174F" w:rsidP="006A1BBC">
            <w:pPr>
              <w:pStyle w:val="COMTabletext"/>
              <w:rPr>
                <w:vertAlign w:val="superscript"/>
              </w:rPr>
            </w:pPr>
            <w:r>
              <w:t>Grade ≥3 AE in &gt;5%, n (%)</w:t>
            </w:r>
            <w:r>
              <w:rPr>
                <w:vertAlign w:val="superscript"/>
              </w:rPr>
              <w:t>a</w:t>
            </w:r>
          </w:p>
          <w:p w14:paraId="088A1129" w14:textId="77777777" w:rsidR="00BA174F" w:rsidRDefault="00BA174F" w:rsidP="006A1BBC">
            <w:pPr>
              <w:pStyle w:val="COMTabletext"/>
            </w:pPr>
            <w:r>
              <w:t>- Neutropenia</w:t>
            </w:r>
          </w:p>
          <w:p w14:paraId="33C0F676" w14:textId="77777777" w:rsidR="00BA174F" w:rsidRDefault="00BA174F" w:rsidP="006A1BBC">
            <w:pPr>
              <w:pStyle w:val="COMTabletext"/>
            </w:pPr>
            <w:r>
              <w:t>- Thrombocytopenia</w:t>
            </w:r>
          </w:p>
          <w:p w14:paraId="0CBBD8EC" w14:textId="77777777" w:rsidR="00BA174F" w:rsidRDefault="00BA174F" w:rsidP="006A1BBC">
            <w:pPr>
              <w:pStyle w:val="COMTabletext"/>
            </w:pPr>
            <w:r>
              <w:t>- Anaemia</w:t>
            </w:r>
          </w:p>
          <w:p w14:paraId="1D7D9739" w14:textId="77777777" w:rsidR="00BA174F" w:rsidRDefault="00BA174F" w:rsidP="006A1BBC">
            <w:pPr>
              <w:pStyle w:val="COMTabletext"/>
            </w:pPr>
            <w:r>
              <w:t>- Febrile neutropenia</w:t>
            </w:r>
          </w:p>
          <w:p w14:paraId="761F361A" w14:textId="77777777" w:rsidR="00BA174F" w:rsidRDefault="00BA174F" w:rsidP="006A1BBC">
            <w:pPr>
              <w:pStyle w:val="COMTabletext"/>
            </w:pPr>
            <w:r>
              <w:t>- Infusion-related reaction</w:t>
            </w:r>
          </w:p>
          <w:p w14:paraId="266B7FD4" w14:textId="77777777" w:rsidR="00BA174F" w:rsidRDefault="00BA174F" w:rsidP="006A1BBC">
            <w:pPr>
              <w:pStyle w:val="COMTabletext"/>
            </w:pPr>
            <w:r>
              <w:t>- Pneumonia</w:t>
            </w:r>
          </w:p>
          <w:p w14:paraId="0513AF93" w14:textId="77777777" w:rsidR="00BA174F" w:rsidRDefault="00BA174F" w:rsidP="006A1BBC">
            <w:pPr>
              <w:pStyle w:val="COMTabletext"/>
            </w:pPr>
            <w:r>
              <w:t>- Hypertension</w:t>
            </w:r>
          </w:p>
          <w:p w14:paraId="5F435FC9" w14:textId="77777777" w:rsidR="00BA174F" w:rsidRPr="00CE2226" w:rsidRDefault="00BA174F" w:rsidP="006A1BBC">
            <w:pPr>
              <w:pStyle w:val="COMTabletext"/>
              <w:rPr>
                <w:vertAlign w:val="superscript"/>
              </w:rPr>
            </w:pPr>
            <w:r>
              <w:t>- Neutrophil count decreased</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36BE8381" w14:textId="77777777" w:rsidR="00BA174F" w:rsidRDefault="00BA174F" w:rsidP="006A1BBC">
            <w:pPr>
              <w:pStyle w:val="COMTabletext"/>
              <w:jc w:val="center"/>
            </w:pPr>
          </w:p>
          <w:p w14:paraId="45C7AB67" w14:textId="77777777" w:rsidR="00BA174F" w:rsidRPr="009A1670" w:rsidRDefault="00BA174F" w:rsidP="006A1BBC">
            <w:pPr>
              <w:pStyle w:val="COMTabletext"/>
              <w:jc w:val="center"/>
            </w:pPr>
            <w:r w:rsidRPr="001002EA">
              <w:t>22 (9.2)</w:t>
            </w:r>
          </w:p>
          <w:p w14:paraId="18076975" w14:textId="77777777" w:rsidR="00BA174F" w:rsidRPr="009A1670" w:rsidRDefault="00BA174F" w:rsidP="006A1BBC">
            <w:pPr>
              <w:pStyle w:val="COMTabletext"/>
              <w:jc w:val="center"/>
            </w:pPr>
            <w:r w:rsidRPr="00F150E7">
              <w:t>4 (1.7)</w:t>
            </w:r>
          </w:p>
          <w:p w14:paraId="6F657B94" w14:textId="77777777" w:rsidR="00BA174F" w:rsidRPr="009A1670" w:rsidRDefault="00BA174F" w:rsidP="006A1BBC">
            <w:pPr>
              <w:pStyle w:val="COMTabletext"/>
              <w:jc w:val="center"/>
            </w:pPr>
            <w:r w:rsidRPr="006837C7">
              <w:t>1 (0.4)</w:t>
            </w:r>
          </w:p>
          <w:p w14:paraId="2342C0F2" w14:textId="77777777" w:rsidR="00BA174F" w:rsidRPr="009A1670" w:rsidRDefault="00BA174F" w:rsidP="006A1BBC">
            <w:pPr>
              <w:pStyle w:val="COMTabletext"/>
              <w:jc w:val="center"/>
            </w:pPr>
            <w:r w:rsidRPr="00F150E7">
              <w:t>2 (0.8)</w:t>
            </w:r>
          </w:p>
          <w:p w14:paraId="52F0D835" w14:textId="77777777" w:rsidR="00BA174F" w:rsidRPr="009A1670" w:rsidRDefault="00BA174F" w:rsidP="006A1BBC">
            <w:pPr>
              <w:pStyle w:val="COMTabletext"/>
              <w:jc w:val="center"/>
            </w:pPr>
            <w:r w:rsidRPr="006B1BFF">
              <w:t>0 (0.0)</w:t>
            </w:r>
          </w:p>
          <w:p w14:paraId="7CA3505A" w14:textId="77777777" w:rsidR="00BA174F" w:rsidRPr="009A1670" w:rsidRDefault="00BA174F" w:rsidP="006A1BBC">
            <w:pPr>
              <w:pStyle w:val="COMTabletext"/>
              <w:jc w:val="center"/>
            </w:pPr>
            <w:r w:rsidRPr="00F150E7">
              <w:t>4 (1.7)</w:t>
            </w:r>
          </w:p>
          <w:p w14:paraId="204E8A81" w14:textId="77777777" w:rsidR="00BA174F" w:rsidRPr="009A1670" w:rsidRDefault="00BA174F" w:rsidP="006A1BBC">
            <w:pPr>
              <w:pStyle w:val="COMTabletext"/>
              <w:jc w:val="center"/>
            </w:pPr>
            <w:r w:rsidRPr="001002EA">
              <w:t>15 (6.3)</w:t>
            </w:r>
          </w:p>
          <w:p w14:paraId="00242972" w14:textId="77777777" w:rsidR="00BA174F" w:rsidRPr="009A1670" w:rsidRDefault="00BA174F" w:rsidP="006A1BBC">
            <w:pPr>
              <w:pStyle w:val="COMTabletext"/>
              <w:jc w:val="center"/>
            </w:pPr>
            <w:r w:rsidRPr="001002EA">
              <w:t>5 (2.1)</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06569ED5" w14:textId="77777777" w:rsidR="00BA174F" w:rsidRDefault="00BA174F" w:rsidP="006A1BBC">
            <w:pPr>
              <w:pStyle w:val="COMTabletext"/>
              <w:jc w:val="center"/>
            </w:pPr>
          </w:p>
          <w:p w14:paraId="44180F7F" w14:textId="77777777" w:rsidR="00BA174F" w:rsidRPr="009A1670" w:rsidRDefault="00BA174F" w:rsidP="006A1BBC">
            <w:pPr>
              <w:pStyle w:val="COMTabletext"/>
              <w:jc w:val="center"/>
            </w:pPr>
            <w:r w:rsidRPr="001002EA">
              <w:t>12 (10.8)</w:t>
            </w:r>
          </w:p>
          <w:p w14:paraId="6A17533C" w14:textId="77777777" w:rsidR="00BA174F" w:rsidRPr="009A1670" w:rsidRDefault="00BA174F" w:rsidP="006A1BBC">
            <w:pPr>
              <w:pStyle w:val="COMTabletext"/>
              <w:jc w:val="center"/>
            </w:pPr>
            <w:r w:rsidRPr="00F150E7">
              <w:t>1 (0.9)</w:t>
            </w:r>
          </w:p>
          <w:p w14:paraId="1BE12587" w14:textId="77777777" w:rsidR="00BA174F" w:rsidRPr="009A1670" w:rsidRDefault="00BA174F" w:rsidP="006A1BBC">
            <w:pPr>
              <w:pStyle w:val="COMTabletext"/>
              <w:jc w:val="center"/>
            </w:pPr>
            <w:r w:rsidRPr="006837C7">
              <w:t>0 (0.0)</w:t>
            </w:r>
          </w:p>
          <w:p w14:paraId="276961C5" w14:textId="77777777" w:rsidR="00BA174F" w:rsidRPr="009A1670" w:rsidRDefault="00BA174F" w:rsidP="006A1BBC">
            <w:pPr>
              <w:pStyle w:val="COMTabletext"/>
              <w:jc w:val="center"/>
            </w:pPr>
            <w:r w:rsidRPr="00F150E7">
              <w:t>1 (0.9)</w:t>
            </w:r>
          </w:p>
          <w:p w14:paraId="10D87F1D" w14:textId="77777777" w:rsidR="00BA174F" w:rsidRPr="009A1670" w:rsidRDefault="00BA174F" w:rsidP="006A1BBC">
            <w:pPr>
              <w:pStyle w:val="COMTabletext"/>
              <w:jc w:val="center"/>
            </w:pPr>
            <w:r w:rsidRPr="006B1BFF">
              <w:t>0 (0.0)</w:t>
            </w:r>
          </w:p>
          <w:p w14:paraId="5C912605" w14:textId="77777777" w:rsidR="00BA174F" w:rsidRPr="009A1670" w:rsidRDefault="00BA174F" w:rsidP="006A1BBC">
            <w:pPr>
              <w:pStyle w:val="COMTabletext"/>
              <w:jc w:val="center"/>
            </w:pPr>
            <w:r w:rsidRPr="00F150E7">
              <w:t>6 (5.4)</w:t>
            </w:r>
          </w:p>
          <w:p w14:paraId="476C6748" w14:textId="77777777" w:rsidR="00BA174F" w:rsidRPr="009A1670" w:rsidRDefault="00BA174F" w:rsidP="006A1BBC">
            <w:pPr>
              <w:pStyle w:val="COMTabletext"/>
              <w:jc w:val="center"/>
            </w:pPr>
            <w:r w:rsidRPr="001002EA">
              <w:t>5 (4.5)</w:t>
            </w:r>
          </w:p>
          <w:p w14:paraId="24C30A5A" w14:textId="77777777" w:rsidR="00BA174F" w:rsidRPr="009A1670" w:rsidRDefault="00BA174F" w:rsidP="006A1BBC">
            <w:pPr>
              <w:pStyle w:val="COMTabletext"/>
              <w:jc w:val="center"/>
            </w:pPr>
            <w:r w:rsidRPr="001002EA">
              <w:t>5 (4.5)</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970E653" w14:textId="77777777" w:rsidR="00BA174F" w:rsidRDefault="00BA174F" w:rsidP="006A1BBC">
            <w:pPr>
              <w:pStyle w:val="COMTabletext"/>
              <w:jc w:val="center"/>
            </w:pPr>
          </w:p>
          <w:p w14:paraId="2B40F0DF" w14:textId="77777777" w:rsidR="00BA174F" w:rsidRPr="009A1670" w:rsidRDefault="00BA174F" w:rsidP="006A1BBC">
            <w:pPr>
              <w:pStyle w:val="COMTabletext"/>
              <w:jc w:val="center"/>
            </w:pPr>
            <w:r w:rsidRPr="001002EA">
              <w:t>94 (41.4)</w:t>
            </w:r>
          </w:p>
          <w:p w14:paraId="75655202" w14:textId="77777777" w:rsidR="00BA174F" w:rsidRPr="009A1670" w:rsidRDefault="00BA174F" w:rsidP="006A1BBC">
            <w:pPr>
              <w:pStyle w:val="COMTabletext"/>
              <w:jc w:val="center"/>
            </w:pPr>
            <w:r w:rsidRPr="00F150E7">
              <w:t>16 (7.0)</w:t>
            </w:r>
          </w:p>
          <w:p w14:paraId="4B07FD01" w14:textId="77777777" w:rsidR="00BA174F" w:rsidRPr="009A1670" w:rsidRDefault="00BA174F" w:rsidP="006A1BBC">
            <w:pPr>
              <w:pStyle w:val="COMTabletext"/>
              <w:jc w:val="center"/>
            </w:pPr>
            <w:r w:rsidRPr="006837C7">
              <w:t>4 (1.8)</w:t>
            </w:r>
          </w:p>
          <w:p w14:paraId="0C81E6F5" w14:textId="77777777" w:rsidR="00BA174F" w:rsidRPr="009A1670" w:rsidRDefault="00BA174F" w:rsidP="006A1BBC">
            <w:pPr>
              <w:pStyle w:val="COMTabletext"/>
              <w:jc w:val="center"/>
            </w:pPr>
            <w:r w:rsidRPr="00F150E7">
              <w:t>17 (7.5)</w:t>
            </w:r>
          </w:p>
          <w:p w14:paraId="6E860571" w14:textId="77777777" w:rsidR="00BA174F" w:rsidRPr="009A1670" w:rsidRDefault="00BA174F" w:rsidP="006A1BBC">
            <w:pPr>
              <w:pStyle w:val="COMTabletext"/>
              <w:jc w:val="center"/>
            </w:pPr>
            <w:r w:rsidRPr="006B1BFF">
              <w:t>6 (2.6)</w:t>
            </w:r>
          </w:p>
          <w:p w14:paraId="268BA1FC" w14:textId="77777777" w:rsidR="00BA174F" w:rsidRPr="009A1670" w:rsidRDefault="00BA174F" w:rsidP="006A1BBC">
            <w:pPr>
              <w:pStyle w:val="COMTabletext"/>
              <w:jc w:val="center"/>
            </w:pPr>
            <w:r w:rsidRPr="00F150E7">
              <w:t>10 (4.4)</w:t>
            </w:r>
          </w:p>
          <w:p w14:paraId="55D2039B" w14:textId="77777777" w:rsidR="00BA174F" w:rsidRPr="009A1670" w:rsidRDefault="00BA174F" w:rsidP="006A1BBC">
            <w:pPr>
              <w:pStyle w:val="COMTabletext"/>
              <w:jc w:val="center"/>
            </w:pPr>
            <w:r w:rsidRPr="001002EA">
              <w:t>11 (4.8)</w:t>
            </w:r>
          </w:p>
          <w:p w14:paraId="74E140F3" w14:textId="77777777" w:rsidR="00BA174F" w:rsidRPr="009A1670" w:rsidRDefault="00BA174F" w:rsidP="006A1BBC">
            <w:pPr>
              <w:pStyle w:val="COMTabletext"/>
              <w:jc w:val="center"/>
            </w:pPr>
            <w:r w:rsidRPr="001002EA">
              <w:t>24 (10.6)</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00859CD9" w14:textId="77777777" w:rsidR="00BA174F" w:rsidRDefault="00BA174F" w:rsidP="006A1BBC">
            <w:pPr>
              <w:pStyle w:val="COMTabletext"/>
              <w:jc w:val="center"/>
            </w:pPr>
          </w:p>
          <w:p w14:paraId="20DED9F8" w14:textId="77777777" w:rsidR="00BA174F" w:rsidRDefault="00BA174F" w:rsidP="006A1BBC">
            <w:pPr>
              <w:pStyle w:val="COMTabletext"/>
              <w:jc w:val="center"/>
            </w:pPr>
            <w:r w:rsidRPr="002E267F">
              <w:t>112 (52.8)</w:t>
            </w:r>
          </w:p>
          <w:p w14:paraId="205CCE39" w14:textId="77777777" w:rsidR="00BA174F" w:rsidRDefault="00BA174F" w:rsidP="006A1BBC">
            <w:pPr>
              <w:pStyle w:val="COMTabletext"/>
              <w:jc w:val="center"/>
            </w:pPr>
            <w:r w:rsidRPr="002E267F">
              <w:t>29 (13.7)</w:t>
            </w:r>
          </w:p>
          <w:p w14:paraId="2360187E" w14:textId="77777777" w:rsidR="00BA174F" w:rsidRDefault="00BA174F" w:rsidP="006A1BBC">
            <w:pPr>
              <w:pStyle w:val="COMTabletext"/>
              <w:jc w:val="center"/>
            </w:pPr>
            <w:r w:rsidRPr="002E267F">
              <w:t>17 (8.0)</w:t>
            </w:r>
          </w:p>
          <w:p w14:paraId="38986950" w14:textId="77777777" w:rsidR="00BA174F" w:rsidRDefault="00BA174F" w:rsidP="006A1BBC">
            <w:pPr>
              <w:pStyle w:val="COMTabletext"/>
              <w:jc w:val="center"/>
            </w:pPr>
            <w:r w:rsidRPr="002E267F">
              <w:t>11 (5.2)</w:t>
            </w:r>
          </w:p>
          <w:p w14:paraId="4A0CE17D" w14:textId="77777777" w:rsidR="00BA174F" w:rsidRDefault="00BA174F" w:rsidP="006A1BBC">
            <w:pPr>
              <w:pStyle w:val="COMTabletext"/>
              <w:jc w:val="center"/>
            </w:pPr>
            <w:r w:rsidRPr="00735E29">
              <w:t>19 (9.0)</w:t>
            </w:r>
          </w:p>
          <w:p w14:paraId="6B335C36" w14:textId="77777777" w:rsidR="00BA174F" w:rsidRDefault="00BA174F" w:rsidP="006A1BBC">
            <w:pPr>
              <w:pStyle w:val="COMTabletext"/>
              <w:jc w:val="center"/>
            </w:pPr>
            <w:r w:rsidRPr="00D3328A">
              <w:t>9 (4.2)</w:t>
            </w:r>
          </w:p>
          <w:p w14:paraId="2C6581B9" w14:textId="77777777" w:rsidR="00BA174F" w:rsidRDefault="00BA174F" w:rsidP="006A1BBC">
            <w:pPr>
              <w:pStyle w:val="COMTabletext"/>
              <w:jc w:val="center"/>
            </w:pPr>
            <w:r>
              <w:t>NR</w:t>
            </w:r>
          </w:p>
          <w:p w14:paraId="4D2E64A8" w14:textId="77777777" w:rsidR="00BA174F" w:rsidRDefault="00BA174F" w:rsidP="006A1BBC">
            <w:pPr>
              <w:pStyle w:val="COMTabletext"/>
              <w:jc w:val="center"/>
            </w:pPr>
            <w:r>
              <w:t>NR</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07D861B1" w14:textId="77777777" w:rsidR="00BA174F" w:rsidRDefault="00BA174F" w:rsidP="006A1BBC">
            <w:pPr>
              <w:pStyle w:val="COMTabletext"/>
              <w:jc w:val="center"/>
            </w:pPr>
          </w:p>
          <w:p w14:paraId="132882EB" w14:textId="77777777" w:rsidR="00BA174F" w:rsidRDefault="00BA174F" w:rsidP="006A1BBC">
            <w:pPr>
              <w:pStyle w:val="COMTabletext"/>
              <w:jc w:val="center"/>
            </w:pPr>
            <w:r w:rsidRPr="002E267F">
              <w:t>103 (48.1)</w:t>
            </w:r>
          </w:p>
          <w:p w14:paraId="14332D04" w14:textId="77777777" w:rsidR="00BA174F" w:rsidRDefault="00BA174F" w:rsidP="006A1BBC">
            <w:pPr>
              <w:pStyle w:val="COMTabletext"/>
              <w:jc w:val="center"/>
            </w:pPr>
            <w:r w:rsidRPr="002E267F">
              <w:t>32 (15.0)</w:t>
            </w:r>
          </w:p>
          <w:p w14:paraId="0A52BC69" w14:textId="77777777" w:rsidR="00BA174F" w:rsidRDefault="00BA174F" w:rsidP="006A1BBC">
            <w:pPr>
              <w:pStyle w:val="COMTabletext"/>
              <w:jc w:val="center"/>
            </w:pPr>
            <w:r w:rsidRPr="002E267F">
              <w:t>14 (6.5)</w:t>
            </w:r>
          </w:p>
          <w:p w14:paraId="2312C656" w14:textId="77777777" w:rsidR="00BA174F" w:rsidRDefault="00BA174F" w:rsidP="006A1BBC">
            <w:pPr>
              <w:pStyle w:val="COMTabletext"/>
              <w:jc w:val="center"/>
            </w:pPr>
            <w:r w:rsidRPr="002E267F">
              <w:t>8 (3.7)</w:t>
            </w:r>
          </w:p>
          <w:p w14:paraId="224FA1F1" w14:textId="77777777" w:rsidR="00BA174F" w:rsidRDefault="00BA174F" w:rsidP="006A1BBC">
            <w:pPr>
              <w:pStyle w:val="COMTabletext"/>
              <w:jc w:val="center"/>
            </w:pPr>
            <w:r w:rsidRPr="00735E29">
              <w:t>22 (10.3)</w:t>
            </w:r>
          </w:p>
          <w:p w14:paraId="64046614" w14:textId="77777777" w:rsidR="00BA174F" w:rsidRDefault="00BA174F" w:rsidP="006A1BBC">
            <w:pPr>
              <w:pStyle w:val="COMTabletext"/>
              <w:jc w:val="center"/>
            </w:pPr>
            <w:r w:rsidRPr="00D3328A">
              <w:t>8 (3.7)</w:t>
            </w:r>
          </w:p>
          <w:p w14:paraId="17CCEAB4" w14:textId="77777777" w:rsidR="00BA174F" w:rsidRDefault="00BA174F" w:rsidP="006A1BBC">
            <w:pPr>
              <w:pStyle w:val="COMTabletext"/>
              <w:jc w:val="center"/>
            </w:pPr>
            <w:r>
              <w:t>NR</w:t>
            </w:r>
          </w:p>
          <w:p w14:paraId="2B54C246" w14:textId="77777777" w:rsidR="00BA174F" w:rsidRDefault="00BA174F" w:rsidP="006A1BBC">
            <w:pPr>
              <w:pStyle w:val="COMTabletext"/>
              <w:jc w:val="center"/>
            </w:pPr>
            <w:r>
              <w:t>NR</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DADCAD3" w14:textId="77777777" w:rsidR="00BA174F" w:rsidRDefault="00BA174F" w:rsidP="006A1BBC">
            <w:pPr>
              <w:pStyle w:val="COMTabletext"/>
              <w:jc w:val="center"/>
            </w:pPr>
          </w:p>
          <w:p w14:paraId="3F4AE0DC" w14:textId="77777777" w:rsidR="00BA174F" w:rsidRPr="00E2221A" w:rsidRDefault="00BA174F" w:rsidP="006A1BBC">
            <w:pPr>
              <w:pStyle w:val="COMTabletext"/>
              <w:jc w:val="center"/>
            </w:pPr>
            <w:r w:rsidRPr="00CE2226">
              <w:t>53</w:t>
            </w:r>
            <w:r>
              <w:t xml:space="preserve"> </w:t>
            </w:r>
            <w:r w:rsidRPr="00CE2226">
              <w:t>(29</w:t>
            </w:r>
            <w:r>
              <w:t>.</w:t>
            </w:r>
            <w:r w:rsidRPr="00CE2226">
              <w:t>8)</w:t>
            </w:r>
          </w:p>
          <w:p w14:paraId="36A13A74" w14:textId="77777777" w:rsidR="00BA174F" w:rsidRPr="00E2221A" w:rsidRDefault="00BA174F" w:rsidP="006A1BBC">
            <w:pPr>
              <w:pStyle w:val="COMTabletext"/>
              <w:jc w:val="center"/>
            </w:pPr>
            <w:r w:rsidRPr="00CE2226">
              <w:t>15 (8</w:t>
            </w:r>
            <w:r>
              <w:t>.</w:t>
            </w:r>
            <w:r w:rsidRPr="00CE2226">
              <w:t>4)</w:t>
            </w:r>
          </w:p>
          <w:p w14:paraId="624C4882" w14:textId="77777777" w:rsidR="00BA174F" w:rsidRPr="00E2221A" w:rsidRDefault="00BA174F" w:rsidP="006A1BBC">
            <w:pPr>
              <w:pStyle w:val="COMTabletext"/>
              <w:jc w:val="center"/>
            </w:pPr>
            <w:r w:rsidRPr="000F4D95">
              <w:t>10 (5</w:t>
            </w:r>
            <w:r>
              <w:t>.</w:t>
            </w:r>
            <w:r w:rsidRPr="000F4D95">
              <w:t>6)</w:t>
            </w:r>
          </w:p>
          <w:p w14:paraId="2386914C" w14:textId="332069B1" w:rsidR="00BA174F" w:rsidRPr="00E2221A" w:rsidRDefault="00180A68" w:rsidP="006A1BBC">
            <w:pPr>
              <w:pStyle w:val="COMTabletext"/>
              <w:jc w:val="center"/>
            </w:pPr>
            <w:r>
              <w:t>3 (1.7)</w:t>
            </w:r>
          </w:p>
          <w:p w14:paraId="7C80E3ED" w14:textId="77777777" w:rsidR="00BA174F" w:rsidRPr="00E2221A" w:rsidRDefault="00BA174F" w:rsidP="006A1BBC">
            <w:pPr>
              <w:pStyle w:val="COMTabletext"/>
              <w:jc w:val="center"/>
            </w:pPr>
            <w:r w:rsidRPr="00D3328A">
              <w:t>4 (2</w:t>
            </w:r>
            <w:r>
              <w:t>.</w:t>
            </w:r>
            <w:r w:rsidRPr="00D3328A">
              <w:t>2)</w:t>
            </w:r>
          </w:p>
          <w:p w14:paraId="77B4FAB3" w14:textId="77777777" w:rsidR="00BA174F" w:rsidRPr="00E2221A" w:rsidRDefault="00BA174F" w:rsidP="006A1BBC">
            <w:pPr>
              <w:pStyle w:val="COMTabletext"/>
              <w:jc w:val="center"/>
            </w:pPr>
            <w:r>
              <w:t>10 (5.6)</w:t>
            </w:r>
          </w:p>
          <w:p w14:paraId="75028BC0" w14:textId="0C78839A" w:rsidR="00BA174F" w:rsidRPr="00E2221A" w:rsidRDefault="00180A68" w:rsidP="006A1BBC">
            <w:pPr>
              <w:pStyle w:val="COMTabletext"/>
              <w:jc w:val="center"/>
            </w:pPr>
            <w:r>
              <w:t>5 (2.8)</w:t>
            </w:r>
          </w:p>
          <w:p w14:paraId="7DB84626" w14:textId="10BB3456" w:rsidR="00BA174F" w:rsidRPr="00E2221A" w:rsidRDefault="00180A68" w:rsidP="006A1BBC">
            <w:pPr>
              <w:pStyle w:val="COMTabletext"/>
              <w:jc w:val="center"/>
            </w:pPr>
            <w:r>
              <w:t>2 (1.1)</w:t>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21681452" w14:textId="77777777" w:rsidR="00BA174F" w:rsidRDefault="00BA174F" w:rsidP="006A1BBC">
            <w:pPr>
              <w:pStyle w:val="COMTabletext"/>
              <w:jc w:val="center"/>
            </w:pPr>
          </w:p>
          <w:p w14:paraId="30E052A6" w14:textId="77777777" w:rsidR="00BA174F" w:rsidRPr="00E2221A" w:rsidRDefault="00BA174F" w:rsidP="006A1BBC">
            <w:pPr>
              <w:pStyle w:val="COMTabletext"/>
              <w:jc w:val="center"/>
            </w:pPr>
            <w:r w:rsidRPr="00CE2226">
              <w:t>17 (9</w:t>
            </w:r>
            <w:r>
              <w:t>.</w:t>
            </w:r>
            <w:r w:rsidRPr="00CE2226">
              <w:t>5)</w:t>
            </w:r>
          </w:p>
          <w:p w14:paraId="28CF8160" w14:textId="77777777" w:rsidR="00BA174F" w:rsidRPr="00E2221A" w:rsidRDefault="00BA174F" w:rsidP="006A1BBC">
            <w:pPr>
              <w:pStyle w:val="COMTabletext"/>
              <w:jc w:val="center"/>
            </w:pPr>
            <w:r w:rsidRPr="00CE2226">
              <w:t>5 (2</w:t>
            </w:r>
            <w:r>
              <w:t>.</w:t>
            </w:r>
            <w:r w:rsidRPr="00CE2226">
              <w:t>8)</w:t>
            </w:r>
          </w:p>
          <w:p w14:paraId="3BA2F5E6" w14:textId="77777777" w:rsidR="00BA174F" w:rsidRPr="00E2221A" w:rsidRDefault="00BA174F" w:rsidP="006A1BBC">
            <w:pPr>
              <w:pStyle w:val="COMTabletext"/>
              <w:jc w:val="center"/>
            </w:pPr>
            <w:r w:rsidRPr="000F4D95">
              <w:t>12 (6</w:t>
            </w:r>
            <w:r>
              <w:t>.</w:t>
            </w:r>
            <w:r w:rsidRPr="000F4D95">
              <w:t>7)</w:t>
            </w:r>
          </w:p>
          <w:p w14:paraId="75C050F8" w14:textId="338F08F4" w:rsidR="00BA174F" w:rsidRPr="00E2221A" w:rsidRDefault="00180A68" w:rsidP="006A1BBC">
            <w:pPr>
              <w:pStyle w:val="COMTabletext"/>
              <w:jc w:val="center"/>
            </w:pPr>
            <w:r>
              <w:t>2 (1.1)</w:t>
            </w:r>
          </w:p>
          <w:p w14:paraId="6DEF20D1" w14:textId="77777777" w:rsidR="00BA174F" w:rsidRPr="00E2221A" w:rsidRDefault="00BA174F" w:rsidP="006A1BBC">
            <w:pPr>
              <w:pStyle w:val="COMTabletext"/>
              <w:jc w:val="center"/>
            </w:pPr>
            <w:r w:rsidRPr="006B1BFF">
              <w:t>0 (0.0)</w:t>
            </w:r>
          </w:p>
          <w:p w14:paraId="09CAF355" w14:textId="77777777" w:rsidR="00BA174F" w:rsidRPr="00E2221A" w:rsidRDefault="00BA174F" w:rsidP="006A1BBC">
            <w:pPr>
              <w:pStyle w:val="COMTabletext"/>
              <w:jc w:val="center"/>
            </w:pPr>
            <w:r w:rsidRPr="000F4D95">
              <w:t>4 (2</w:t>
            </w:r>
            <w:r>
              <w:t>.</w:t>
            </w:r>
            <w:r w:rsidRPr="000F4D95">
              <w:t>2)</w:t>
            </w:r>
          </w:p>
          <w:p w14:paraId="49E5ABAA" w14:textId="2C56F116" w:rsidR="00BA174F" w:rsidRPr="00E2221A" w:rsidRDefault="00180A68" w:rsidP="006A1BBC">
            <w:pPr>
              <w:pStyle w:val="COMTabletext"/>
              <w:jc w:val="center"/>
            </w:pPr>
            <w:r>
              <w:t>4 (2.2)</w:t>
            </w:r>
          </w:p>
          <w:p w14:paraId="0AF783E9" w14:textId="1BEF5B16" w:rsidR="00BA174F" w:rsidRPr="00E2221A" w:rsidRDefault="00180A68" w:rsidP="006A1BBC">
            <w:pPr>
              <w:pStyle w:val="COMTabletext"/>
              <w:jc w:val="center"/>
            </w:pPr>
            <w:r>
              <w:t>0 (0.0)</w:t>
            </w:r>
          </w:p>
        </w:tc>
        <w:tc>
          <w:tcPr>
            <w:tcW w:w="467" w:type="pct"/>
            <w:tcBorders>
              <w:top w:val="single" w:sz="4" w:space="0" w:color="auto"/>
              <w:left w:val="single" w:sz="4" w:space="0" w:color="auto"/>
              <w:bottom w:val="single" w:sz="4" w:space="0" w:color="auto"/>
              <w:right w:val="single" w:sz="4" w:space="0" w:color="auto"/>
            </w:tcBorders>
            <w:shd w:val="clear" w:color="auto" w:fill="FFFFFF"/>
          </w:tcPr>
          <w:p w14:paraId="548C2B61" w14:textId="77777777" w:rsidR="00BA174F" w:rsidRDefault="00BA174F" w:rsidP="006A1BBC">
            <w:pPr>
              <w:pStyle w:val="COMTabletext"/>
              <w:jc w:val="center"/>
            </w:pPr>
          </w:p>
          <w:p w14:paraId="206908C0" w14:textId="77777777" w:rsidR="00BA174F" w:rsidRPr="00E2221A" w:rsidRDefault="00BA174F" w:rsidP="006A1BBC">
            <w:pPr>
              <w:pStyle w:val="COMTabletext"/>
              <w:jc w:val="center"/>
            </w:pPr>
            <w:r w:rsidRPr="00CE2226">
              <w:t>70 (41</w:t>
            </w:r>
            <w:r>
              <w:t>.</w:t>
            </w:r>
            <w:r w:rsidRPr="00CE2226">
              <w:t>4)</w:t>
            </w:r>
          </w:p>
          <w:p w14:paraId="78815F6D" w14:textId="77777777" w:rsidR="00BA174F" w:rsidRPr="00E2221A" w:rsidRDefault="00BA174F" w:rsidP="006A1BBC">
            <w:pPr>
              <w:pStyle w:val="COMTabletext"/>
              <w:jc w:val="center"/>
            </w:pPr>
            <w:r w:rsidRPr="00CE2226">
              <w:t>20 (11</w:t>
            </w:r>
            <w:r>
              <w:t>.</w:t>
            </w:r>
            <w:r w:rsidRPr="00CE2226">
              <w:t>8)</w:t>
            </w:r>
          </w:p>
          <w:p w14:paraId="1636C2D9" w14:textId="77777777" w:rsidR="00BA174F" w:rsidRPr="00E2221A" w:rsidRDefault="00BA174F" w:rsidP="006A1BBC">
            <w:pPr>
              <w:pStyle w:val="COMTabletext"/>
              <w:jc w:val="center"/>
            </w:pPr>
            <w:r w:rsidRPr="000F4D95">
              <w:t>12 (7</w:t>
            </w:r>
            <w:r>
              <w:t>.</w:t>
            </w:r>
            <w:r w:rsidRPr="000F4D95">
              <w:t>1)</w:t>
            </w:r>
          </w:p>
          <w:p w14:paraId="4DDDC830" w14:textId="3FCF74E5" w:rsidR="00BA174F" w:rsidRPr="00E2221A" w:rsidRDefault="00180A68" w:rsidP="006A1BBC">
            <w:pPr>
              <w:pStyle w:val="COMTabletext"/>
              <w:jc w:val="center"/>
            </w:pPr>
            <w:r>
              <w:t>9 (5.3)</w:t>
            </w:r>
          </w:p>
          <w:p w14:paraId="5055AC9B" w14:textId="77777777" w:rsidR="00BA174F" w:rsidRPr="00E2221A" w:rsidRDefault="00BA174F" w:rsidP="006A1BBC">
            <w:pPr>
              <w:pStyle w:val="COMTabletext"/>
              <w:jc w:val="center"/>
            </w:pPr>
            <w:r w:rsidRPr="00D3328A">
              <w:t>9 (5</w:t>
            </w:r>
            <w:r>
              <w:t>.</w:t>
            </w:r>
            <w:r w:rsidRPr="00D3328A">
              <w:t>3)</w:t>
            </w:r>
          </w:p>
          <w:p w14:paraId="01CBA7FB" w14:textId="77777777" w:rsidR="00BA174F" w:rsidRPr="00E2221A" w:rsidRDefault="00BA174F" w:rsidP="006A1BBC">
            <w:pPr>
              <w:pStyle w:val="COMTabletext"/>
              <w:jc w:val="center"/>
            </w:pPr>
            <w:r w:rsidRPr="000F4D95">
              <w:t>3 (1</w:t>
            </w:r>
            <w:r>
              <w:t>.</w:t>
            </w:r>
            <w:r w:rsidRPr="000F4D95">
              <w:t>8)</w:t>
            </w:r>
          </w:p>
          <w:p w14:paraId="7CF7EA59" w14:textId="32BE12A4" w:rsidR="00BA174F" w:rsidRPr="00E2221A" w:rsidRDefault="00180A68" w:rsidP="006A1BBC">
            <w:pPr>
              <w:pStyle w:val="COMTabletext"/>
              <w:jc w:val="center"/>
            </w:pPr>
            <w:r>
              <w:t>5 (3.0)</w:t>
            </w:r>
          </w:p>
          <w:p w14:paraId="4DE651F1" w14:textId="24228054" w:rsidR="00BA174F" w:rsidRPr="00E2221A" w:rsidRDefault="00180A68" w:rsidP="006A1BBC">
            <w:pPr>
              <w:pStyle w:val="COMTabletext"/>
              <w:jc w:val="center"/>
            </w:pPr>
            <w:r>
              <w:t>5 (3.0)</w:t>
            </w:r>
          </w:p>
        </w:tc>
      </w:tr>
      <w:tr w:rsidR="00677080" w:rsidRPr="000F3327" w14:paraId="10F38BCB" w14:textId="77777777" w:rsidTr="006A1BBC">
        <w:trPr>
          <w:trHeight w:val="3206"/>
          <w:tblHeader/>
        </w:trPr>
        <w:tc>
          <w:tcPr>
            <w:tcW w:w="1257" w:type="pct"/>
            <w:tcBorders>
              <w:top w:val="single" w:sz="4" w:space="0" w:color="auto"/>
              <w:left w:val="single" w:sz="4" w:space="0" w:color="auto"/>
              <w:right w:val="single" w:sz="4" w:space="0" w:color="auto"/>
            </w:tcBorders>
            <w:shd w:val="clear" w:color="auto" w:fill="FFFFFF"/>
          </w:tcPr>
          <w:p w14:paraId="6582475B" w14:textId="77777777" w:rsidR="00677080" w:rsidRDefault="00677080" w:rsidP="00677080">
            <w:pPr>
              <w:pStyle w:val="COMTabletext"/>
            </w:pPr>
            <w:r>
              <w:t>Any AE in &gt;15%, n (%)</w:t>
            </w:r>
          </w:p>
          <w:p w14:paraId="51F868DE" w14:textId="77777777" w:rsidR="00677080" w:rsidRDefault="00677080" w:rsidP="00677080">
            <w:pPr>
              <w:pStyle w:val="COMTabletext"/>
            </w:pPr>
            <w:r>
              <w:t>- Neutropenia</w:t>
            </w:r>
          </w:p>
          <w:p w14:paraId="41DBDB53" w14:textId="77777777" w:rsidR="00677080" w:rsidRDefault="00677080" w:rsidP="00677080">
            <w:pPr>
              <w:pStyle w:val="COMTabletext"/>
            </w:pPr>
            <w:r>
              <w:t>- Anaemia</w:t>
            </w:r>
          </w:p>
          <w:p w14:paraId="2A79CE5A" w14:textId="77777777" w:rsidR="00677080" w:rsidRDefault="00677080" w:rsidP="00677080">
            <w:pPr>
              <w:pStyle w:val="COMTabletext"/>
            </w:pPr>
            <w:r>
              <w:t>- Diarrhoea</w:t>
            </w:r>
          </w:p>
          <w:p w14:paraId="1DEE2C50" w14:textId="77777777" w:rsidR="00677080" w:rsidRDefault="00677080" w:rsidP="00677080">
            <w:pPr>
              <w:pStyle w:val="COMTabletext"/>
            </w:pPr>
            <w:r>
              <w:t>- Nausea</w:t>
            </w:r>
          </w:p>
          <w:p w14:paraId="5526B5D4" w14:textId="77777777" w:rsidR="00677080" w:rsidRDefault="00677080" w:rsidP="00677080">
            <w:pPr>
              <w:pStyle w:val="COMTabletext"/>
            </w:pPr>
            <w:r>
              <w:t>- Constipation</w:t>
            </w:r>
          </w:p>
          <w:p w14:paraId="491A6BC5" w14:textId="77777777" w:rsidR="00677080" w:rsidRDefault="00677080" w:rsidP="00677080">
            <w:pPr>
              <w:pStyle w:val="COMTabletext"/>
            </w:pPr>
            <w:r>
              <w:t>- Fatigue</w:t>
            </w:r>
          </w:p>
          <w:p w14:paraId="15A531AC" w14:textId="77777777" w:rsidR="00677080" w:rsidRDefault="00677080" w:rsidP="00677080">
            <w:pPr>
              <w:pStyle w:val="COMTabletext"/>
            </w:pPr>
            <w:r>
              <w:t>- Pyrexia</w:t>
            </w:r>
          </w:p>
          <w:p w14:paraId="7D6F436F" w14:textId="77777777" w:rsidR="00677080" w:rsidRDefault="00677080" w:rsidP="00677080">
            <w:pPr>
              <w:pStyle w:val="COMTabletext"/>
            </w:pPr>
            <w:r>
              <w:t>- URTI</w:t>
            </w:r>
          </w:p>
          <w:p w14:paraId="307B031E" w14:textId="77777777" w:rsidR="00677080" w:rsidRDefault="00677080" w:rsidP="00677080">
            <w:pPr>
              <w:pStyle w:val="COMTabletext"/>
            </w:pPr>
            <w:r>
              <w:t>- Contusion</w:t>
            </w:r>
          </w:p>
          <w:p w14:paraId="7A33713C" w14:textId="77777777" w:rsidR="00677080" w:rsidRDefault="00677080" w:rsidP="00677080">
            <w:pPr>
              <w:pStyle w:val="COMTabletext"/>
            </w:pPr>
            <w:r>
              <w:t>- Infusion-related reaction</w:t>
            </w:r>
          </w:p>
          <w:p w14:paraId="228BF4BF" w14:textId="77777777" w:rsidR="00677080" w:rsidRDefault="00677080" w:rsidP="00677080">
            <w:pPr>
              <w:pStyle w:val="COMTabletext"/>
            </w:pPr>
            <w:r>
              <w:t>- Arthralgia</w:t>
            </w:r>
          </w:p>
          <w:p w14:paraId="6E39173B" w14:textId="77777777" w:rsidR="00677080" w:rsidRDefault="00677080" w:rsidP="00677080">
            <w:pPr>
              <w:pStyle w:val="COMTabletext"/>
            </w:pPr>
            <w:r>
              <w:t>- Rash</w:t>
            </w:r>
          </w:p>
          <w:p w14:paraId="1F3D1617" w14:textId="77777777" w:rsidR="00677080" w:rsidRDefault="00677080" w:rsidP="00677080">
            <w:pPr>
              <w:pStyle w:val="COMTabletext"/>
            </w:pPr>
            <w:r>
              <w:t>- Cough</w:t>
            </w:r>
          </w:p>
          <w:p w14:paraId="05853A50" w14:textId="77777777" w:rsidR="00677080" w:rsidRDefault="00677080" w:rsidP="00677080">
            <w:pPr>
              <w:pStyle w:val="COMTabletext"/>
            </w:pPr>
            <w:r>
              <w:t>- Headache</w:t>
            </w:r>
          </w:p>
          <w:p w14:paraId="631ACD40" w14:textId="77777777" w:rsidR="00677080" w:rsidRDefault="00677080" w:rsidP="00677080">
            <w:pPr>
              <w:pStyle w:val="COMTabletext"/>
            </w:pPr>
            <w:r>
              <w:t>- Hypertension</w:t>
            </w:r>
          </w:p>
          <w:p w14:paraId="16410750" w14:textId="77777777" w:rsidR="00677080" w:rsidRDefault="00677080" w:rsidP="00677080">
            <w:pPr>
              <w:pStyle w:val="COMTabletext"/>
            </w:pPr>
            <w:r>
              <w:t>- Thrombocytopenia</w:t>
            </w:r>
          </w:p>
        </w:tc>
        <w:tc>
          <w:tcPr>
            <w:tcW w:w="468" w:type="pct"/>
            <w:tcBorders>
              <w:top w:val="single" w:sz="4" w:space="0" w:color="auto"/>
              <w:left w:val="single" w:sz="4" w:space="0" w:color="auto"/>
              <w:right w:val="single" w:sz="4" w:space="0" w:color="auto"/>
            </w:tcBorders>
            <w:shd w:val="clear" w:color="auto" w:fill="FFFFFF"/>
          </w:tcPr>
          <w:p w14:paraId="57C25397" w14:textId="77777777" w:rsidR="00677080" w:rsidRPr="00301810" w:rsidRDefault="00677080" w:rsidP="00677080">
            <w:pPr>
              <w:pStyle w:val="COMTabletext"/>
              <w:jc w:val="center"/>
            </w:pPr>
          </w:p>
          <w:p w14:paraId="550DA54A" w14:textId="77777777" w:rsidR="00677080" w:rsidRPr="00301810" w:rsidRDefault="00677080" w:rsidP="00677080">
            <w:pPr>
              <w:pStyle w:val="COMTabletext"/>
              <w:jc w:val="center"/>
            </w:pPr>
            <w:r w:rsidRPr="00301810">
              <w:t>31 (12.9)</w:t>
            </w:r>
          </w:p>
          <w:p w14:paraId="078AF522" w14:textId="77777777" w:rsidR="00677080" w:rsidRPr="00301810" w:rsidRDefault="00677080" w:rsidP="00677080">
            <w:pPr>
              <w:pStyle w:val="COMTabletext"/>
              <w:jc w:val="center"/>
            </w:pPr>
            <w:r w:rsidRPr="00301810">
              <w:t>11 (4.6)</w:t>
            </w:r>
          </w:p>
          <w:p w14:paraId="78EAC661" w14:textId="77777777" w:rsidR="00677080" w:rsidRPr="00301810" w:rsidRDefault="00677080" w:rsidP="00677080">
            <w:pPr>
              <w:pStyle w:val="COMTabletext"/>
              <w:jc w:val="center"/>
            </w:pPr>
            <w:r w:rsidRPr="00301810">
              <w:t>33 (13.8)</w:t>
            </w:r>
          </w:p>
          <w:p w14:paraId="61C97DCF" w14:textId="77777777" w:rsidR="00677080" w:rsidRPr="00301810" w:rsidRDefault="00677080" w:rsidP="00677080">
            <w:pPr>
              <w:pStyle w:val="COMTabletext"/>
              <w:jc w:val="center"/>
            </w:pPr>
            <w:r w:rsidRPr="00301810">
              <w:t>24 (10.0)</w:t>
            </w:r>
          </w:p>
          <w:p w14:paraId="09EC50BC" w14:textId="77777777" w:rsidR="00677080" w:rsidRPr="00301810" w:rsidRDefault="00677080" w:rsidP="00677080">
            <w:pPr>
              <w:pStyle w:val="COMTabletext"/>
              <w:jc w:val="center"/>
            </w:pPr>
            <w:r w:rsidRPr="00301810">
              <w:t>24 (10.0)</w:t>
            </w:r>
          </w:p>
          <w:p w14:paraId="49E1EA4D" w14:textId="77777777" w:rsidR="00677080" w:rsidRPr="00301810" w:rsidRDefault="00677080" w:rsidP="00677080">
            <w:pPr>
              <w:pStyle w:val="COMTabletext"/>
              <w:jc w:val="center"/>
            </w:pPr>
            <w:r w:rsidRPr="00301810">
              <w:t>28 (11.7)</w:t>
            </w:r>
          </w:p>
          <w:p w14:paraId="7AE67A0A" w14:textId="77777777" w:rsidR="00677080" w:rsidRPr="00301810" w:rsidRDefault="00677080" w:rsidP="00677080">
            <w:pPr>
              <w:pStyle w:val="COMTabletext"/>
              <w:jc w:val="center"/>
            </w:pPr>
            <w:r w:rsidRPr="00301810">
              <w:t>17 (7.1)</w:t>
            </w:r>
          </w:p>
          <w:p w14:paraId="76E4CB50" w14:textId="77777777" w:rsidR="00677080" w:rsidRPr="00301810" w:rsidRDefault="00677080" w:rsidP="00677080">
            <w:pPr>
              <w:pStyle w:val="COMTabletext"/>
              <w:jc w:val="center"/>
            </w:pPr>
            <w:r w:rsidRPr="00301810">
              <w:t>41 (17.1)</w:t>
            </w:r>
          </w:p>
          <w:p w14:paraId="4258BBAA" w14:textId="77777777" w:rsidR="00677080" w:rsidRPr="00301810" w:rsidRDefault="00677080" w:rsidP="00677080">
            <w:pPr>
              <w:pStyle w:val="COMTabletext"/>
              <w:jc w:val="center"/>
            </w:pPr>
            <w:r w:rsidRPr="00301810">
              <w:t>46 (19.2)</w:t>
            </w:r>
          </w:p>
          <w:p w14:paraId="61244F7C" w14:textId="77777777" w:rsidR="00677080" w:rsidRPr="00301810" w:rsidRDefault="00677080" w:rsidP="00677080">
            <w:pPr>
              <w:pStyle w:val="COMTabletext"/>
              <w:jc w:val="center"/>
            </w:pPr>
            <w:r w:rsidRPr="00301810">
              <w:t>1 (0.4)</w:t>
            </w:r>
          </w:p>
          <w:p w14:paraId="490A2302" w14:textId="77777777" w:rsidR="00677080" w:rsidRPr="00301810" w:rsidRDefault="00677080" w:rsidP="00677080">
            <w:pPr>
              <w:pStyle w:val="COMTabletext"/>
              <w:jc w:val="center"/>
            </w:pPr>
            <w:r w:rsidRPr="00301810">
              <w:t>32 (13.3)</w:t>
            </w:r>
          </w:p>
          <w:p w14:paraId="24EDF133" w14:textId="77777777" w:rsidR="00677080" w:rsidRPr="00301810" w:rsidRDefault="00677080" w:rsidP="00677080">
            <w:pPr>
              <w:pStyle w:val="COMTabletext"/>
              <w:jc w:val="center"/>
            </w:pPr>
            <w:r w:rsidRPr="00301810">
              <w:t>26 (10.8)</w:t>
            </w:r>
          </w:p>
          <w:p w14:paraId="38191A7A" w14:textId="77777777" w:rsidR="00677080" w:rsidRPr="00301810" w:rsidRDefault="00677080" w:rsidP="00677080">
            <w:pPr>
              <w:pStyle w:val="COMTabletext"/>
              <w:jc w:val="center"/>
            </w:pPr>
            <w:r w:rsidRPr="00301810">
              <w:t>27 (11.3)</w:t>
            </w:r>
          </w:p>
          <w:p w14:paraId="361985ED" w14:textId="77777777" w:rsidR="00677080" w:rsidRPr="00301810" w:rsidRDefault="00677080" w:rsidP="00677080">
            <w:pPr>
              <w:pStyle w:val="COMTabletext"/>
              <w:jc w:val="center"/>
            </w:pPr>
            <w:r w:rsidRPr="00301810">
              <w:t>26 (10.8)</w:t>
            </w:r>
          </w:p>
          <w:p w14:paraId="0C339324" w14:textId="77777777" w:rsidR="00677080" w:rsidRPr="00301810" w:rsidRDefault="00677080" w:rsidP="00677080">
            <w:pPr>
              <w:pStyle w:val="COMTabletext"/>
              <w:jc w:val="center"/>
            </w:pPr>
            <w:r w:rsidRPr="00301810">
              <w:t>29 (12.1)</w:t>
            </w:r>
          </w:p>
          <w:p w14:paraId="55E7F3E7" w14:textId="31A08ED7" w:rsidR="00677080" w:rsidRPr="00301810" w:rsidRDefault="00677080" w:rsidP="00677080">
            <w:pPr>
              <w:pStyle w:val="COMTabletext"/>
              <w:jc w:val="center"/>
            </w:pPr>
            <w:r w:rsidRPr="00301810">
              <w:t>13 (11.7)</w:t>
            </w:r>
          </w:p>
        </w:tc>
        <w:tc>
          <w:tcPr>
            <w:tcW w:w="468" w:type="pct"/>
            <w:tcBorders>
              <w:top w:val="single" w:sz="4" w:space="0" w:color="auto"/>
              <w:left w:val="single" w:sz="4" w:space="0" w:color="auto"/>
              <w:right w:val="single" w:sz="4" w:space="0" w:color="auto"/>
            </w:tcBorders>
            <w:shd w:val="clear" w:color="auto" w:fill="FFFFFF"/>
          </w:tcPr>
          <w:p w14:paraId="3E84C979" w14:textId="77777777" w:rsidR="00677080" w:rsidRPr="00301810" w:rsidRDefault="00677080" w:rsidP="00677080">
            <w:pPr>
              <w:pStyle w:val="COMTabletext"/>
              <w:jc w:val="center"/>
            </w:pPr>
          </w:p>
          <w:p w14:paraId="0731F7A9" w14:textId="77777777" w:rsidR="00677080" w:rsidRPr="00301810" w:rsidRDefault="00677080" w:rsidP="00677080">
            <w:pPr>
              <w:pStyle w:val="COMTabletext"/>
              <w:jc w:val="center"/>
            </w:pPr>
            <w:r w:rsidRPr="00301810">
              <w:t>13 (11.7)</w:t>
            </w:r>
          </w:p>
          <w:p w14:paraId="22F6B390" w14:textId="77777777" w:rsidR="00677080" w:rsidRPr="00301810" w:rsidRDefault="00677080" w:rsidP="00677080">
            <w:pPr>
              <w:pStyle w:val="COMTabletext"/>
              <w:jc w:val="center"/>
            </w:pPr>
            <w:r w:rsidRPr="00301810">
              <w:t>6 (5.4)</w:t>
            </w:r>
          </w:p>
          <w:p w14:paraId="6D535262" w14:textId="77777777" w:rsidR="00677080" w:rsidRPr="00301810" w:rsidRDefault="00677080" w:rsidP="00677080">
            <w:pPr>
              <w:pStyle w:val="COMTabletext"/>
              <w:jc w:val="center"/>
            </w:pPr>
            <w:r w:rsidRPr="00301810">
              <w:t>20 (18.0)</w:t>
            </w:r>
          </w:p>
          <w:p w14:paraId="308C66D9" w14:textId="77777777" w:rsidR="00677080" w:rsidRPr="00301810" w:rsidRDefault="00677080" w:rsidP="00677080">
            <w:pPr>
              <w:pStyle w:val="COMTabletext"/>
              <w:jc w:val="center"/>
            </w:pPr>
            <w:r w:rsidRPr="00301810">
              <w:t>18 (16.2)</w:t>
            </w:r>
          </w:p>
          <w:p w14:paraId="15526661" w14:textId="77777777" w:rsidR="00677080" w:rsidRPr="00301810" w:rsidRDefault="00677080" w:rsidP="00677080">
            <w:pPr>
              <w:pStyle w:val="COMTabletext"/>
              <w:jc w:val="center"/>
            </w:pPr>
            <w:r w:rsidRPr="00301810">
              <w:t>17 (15.3)</w:t>
            </w:r>
          </w:p>
          <w:p w14:paraId="152E5F06" w14:textId="77777777" w:rsidR="00677080" w:rsidRPr="00301810" w:rsidRDefault="00677080" w:rsidP="00677080">
            <w:pPr>
              <w:pStyle w:val="COMTabletext"/>
              <w:jc w:val="center"/>
            </w:pPr>
            <w:r w:rsidRPr="00301810">
              <w:t>10 (9.0)</w:t>
            </w:r>
          </w:p>
          <w:p w14:paraId="2F001D1B" w14:textId="77777777" w:rsidR="00677080" w:rsidRPr="00301810" w:rsidRDefault="00677080" w:rsidP="00677080">
            <w:pPr>
              <w:pStyle w:val="COMTabletext"/>
              <w:jc w:val="center"/>
            </w:pPr>
            <w:r w:rsidRPr="00301810">
              <w:t>8 (7.2)</w:t>
            </w:r>
          </w:p>
          <w:p w14:paraId="326969EE" w14:textId="77777777" w:rsidR="00677080" w:rsidRPr="00301810" w:rsidRDefault="00677080" w:rsidP="00677080">
            <w:pPr>
              <w:pStyle w:val="COMTabletext"/>
              <w:jc w:val="center"/>
            </w:pPr>
            <w:r w:rsidRPr="00301810">
              <w:t>23 (20.7)</w:t>
            </w:r>
          </w:p>
          <w:p w14:paraId="11119021" w14:textId="77777777" w:rsidR="00677080" w:rsidRPr="00301810" w:rsidRDefault="00677080" w:rsidP="00677080">
            <w:pPr>
              <w:pStyle w:val="COMTabletext"/>
              <w:jc w:val="center"/>
            </w:pPr>
            <w:r w:rsidRPr="00301810">
              <w:t>22 (19.8)</w:t>
            </w:r>
          </w:p>
          <w:p w14:paraId="69D2EC19" w14:textId="77777777" w:rsidR="00677080" w:rsidRPr="00301810" w:rsidRDefault="00677080" w:rsidP="00677080">
            <w:pPr>
              <w:pStyle w:val="COMTabletext"/>
              <w:jc w:val="center"/>
            </w:pPr>
            <w:r w:rsidRPr="00301810">
              <w:t>0 (0.0)</w:t>
            </w:r>
          </w:p>
          <w:p w14:paraId="5BB85811" w14:textId="77777777" w:rsidR="00677080" w:rsidRPr="00301810" w:rsidRDefault="00677080" w:rsidP="00677080">
            <w:pPr>
              <w:pStyle w:val="COMTabletext"/>
              <w:jc w:val="center"/>
            </w:pPr>
            <w:r w:rsidRPr="00301810">
              <w:t>22 (19.8)</w:t>
            </w:r>
          </w:p>
          <w:p w14:paraId="4A176DF9" w14:textId="77777777" w:rsidR="00677080" w:rsidRPr="00301810" w:rsidRDefault="00677080" w:rsidP="00677080">
            <w:pPr>
              <w:pStyle w:val="COMTabletext"/>
              <w:jc w:val="center"/>
            </w:pPr>
            <w:r w:rsidRPr="00301810">
              <w:t>16 (14.4)</w:t>
            </w:r>
          </w:p>
          <w:p w14:paraId="02D08AB6" w14:textId="77777777" w:rsidR="00677080" w:rsidRPr="00301810" w:rsidRDefault="00677080" w:rsidP="00677080">
            <w:pPr>
              <w:pStyle w:val="COMTabletext"/>
              <w:jc w:val="center"/>
            </w:pPr>
            <w:r w:rsidRPr="00301810">
              <w:t>14 (12.6)</w:t>
            </w:r>
          </w:p>
          <w:p w14:paraId="156613F4" w14:textId="77777777" w:rsidR="00677080" w:rsidRPr="00301810" w:rsidRDefault="00677080" w:rsidP="00677080">
            <w:pPr>
              <w:pStyle w:val="COMTabletext"/>
              <w:jc w:val="center"/>
            </w:pPr>
            <w:r w:rsidRPr="00301810">
              <w:t>12 (10.8)</w:t>
            </w:r>
          </w:p>
          <w:p w14:paraId="08183517" w14:textId="77777777" w:rsidR="00677080" w:rsidRPr="00301810" w:rsidRDefault="00677080" w:rsidP="00677080">
            <w:pPr>
              <w:pStyle w:val="COMTabletext"/>
              <w:jc w:val="center"/>
            </w:pPr>
            <w:r w:rsidRPr="00301810">
              <w:t>10 (9.0)</w:t>
            </w:r>
          </w:p>
          <w:p w14:paraId="2A949D4D" w14:textId="23B95560" w:rsidR="00677080" w:rsidRPr="00301810" w:rsidRDefault="00677080" w:rsidP="00677080">
            <w:pPr>
              <w:pStyle w:val="COMTabletext"/>
              <w:jc w:val="center"/>
            </w:pPr>
            <w:r w:rsidRPr="00301810">
              <w:t>31 (13.7)</w:t>
            </w:r>
          </w:p>
        </w:tc>
        <w:tc>
          <w:tcPr>
            <w:tcW w:w="468" w:type="pct"/>
            <w:tcBorders>
              <w:top w:val="single" w:sz="4" w:space="0" w:color="auto"/>
              <w:left w:val="single" w:sz="4" w:space="0" w:color="auto"/>
              <w:right w:val="single" w:sz="4" w:space="0" w:color="auto"/>
            </w:tcBorders>
            <w:shd w:val="clear" w:color="auto" w:fill="FFFFFF"/>
          </w:tcPr>
          <w:p w14:paraId="22636DB7" w14:textId="77777777" w:rsidR="00677080" w:rsidRPr="00301810" w:rsidRDefault="00677080" w:rsidP="00677080">
            <w:pPr>
              <w:pStyle w:val="COMTabletext"/>
              <w:jc w:val="center"/>
            </w:pPr>
          </w:p>
          <w:p w14:paraId="5B74B7AE" w14:textId="77777777" w:rsidR="00677080" w:rsidRPr="00301810" w:rsidRDefault="00677080" w:rsidP="00677080">
            <w:pPr>
              <w:pStyle w:val="COMTabletext"/>
              <w:jc w:val="center"/>
            </w:pPr>
            <w:r w:rsidRPr="00301810">
              <w:t>104 (45.8)</w:t>
            </w:r>
          </w:p>
          <w:p w14:paraId="27B782E0" w14:textId="77777777" w:rsidR="00677080" w:rsidRPr="00301810" w:rsidRDefault="00677080" w:rsidP="00677080">
            <w:pPr>
              <w:pStyle w:val="COMTabletext"/>
              <w:jc w:val="center"/>
            </w:pPr>
            <w:r w:rsidRPr="00301810">
              <w:t>43 (18.9)</w:t>
            </w:r>
          </w:p>
          <w:p w14:paraId="46249E19" w14:textId="77777777" w:rsidR="00677080" w:rsidRPr="00301810" w:rsidRDefault="00677080" w:rsidP="00677080">
            <w:pPr>
              <w:pStyle w:val="COMTabletext"/>
              <w:jc w:val="center"/>
            </w:pPr>
            <w:r w:rsidRPr="00301810">
              <w:t>30 (13.2)</w:t>
            </w:r>
          </w:p>
          <w:p w14:paraId="05D1ECF1" w14:textId="77777777" w:rsidR="00677080" w:rsidRPr="00301810" w:rsidRDefault="00677080" w:rsidP="00677080">
            <w:pPr>
              <w:pStyle w:val="COMTabletext"/>
              <w:jc w:val="center"/>
            </w:pPr>
            <w:r w:rsidRPr="00301810">
              <w:t>74 (32.6)</w:t>
            </w:r>
          </w:p>
          <w:p w14:paraId="617B9471" w14:textId="77777777" w:rsidR="00677080" w:rsidRPr="00301810" w:rsidRDefault="00677080" w:rsidP="00677080">
            <w:pPr>
              <w:pStyle w:val="COMTabletext"/>
              <w:jc w:val="center"/>
            </w:pPr>
            <w:r w:rsidRPr="00301810">
              <w:t>43 (18.9)</w:t>
            </w:r>
          </w:p>
          <w:p w14:paraId="5CFAAA69" w14:textId="77777777" w:rsidR="00677080" w:rsidRPr="00301810" w:rsidRDefault="00677080" w:rsidP="00677080">
            <w:pPr>
              <w:pStyle w:val="COMTabletext"/>
              <w:jc w:val="center"/>
            </w:pPr>
            <w:r w:rsidRPr="00301810">
              <w:t>36 (15.9)</w:t>
            </w:r>
          </w:p>
          <w:p w14:paraId="1768658C" w14:textId="77777777" w:rsidR="00677080" w:rsidRPr="00301810" w:rsidRDefault="00677080" w:rsidP="00677080">
            <w:pPr>
              <w:pStyle w:val="COMTabletext"/>
              <w:jc w:val="center"/>
            </w:pPr>
            <w:r w:rsidRPr="00301810">
              <w:t>60 (26.4)</w:t>
            </w:r>
          </w:p>
          <w:p w14:paraId="1B0C78D0" w14:textId="77777777" w:rsidR="00677080" w:rsidRPr="00301810" w:rsidRDefault="00677080" w:rsidP="00677080">
            <w:pPr>
              <w:pStyle w:val="COMTabletext"/>
              <w:jc w:val="center"/>
            </w:pPr>
            <w:r w:rsidRPr="00301810">
              <w:t>27 (11.9)</w:t>
            </w:r>
          </w:p>
          <w:p w14:paraId="48838BF1" w14:textId="77777777" w:rsidR="00677080" w:rsidRPr="00301810" w:rsidRDefault="00677080" w:rsidP="00677080">
            <w:pPr>
              <w:pStyle w:val="COMTabletext"/>
              <w:jc w:val="center"/>
            </w:pPr>
            <w:r w:rsidRPr="00301810">
              <w:t>8 (3.5)</w:t>
            </w:r>
          </w:p>
          <w:p w14:paraId="799C8838" w14:textId="77777777" w:rsidR="00677080" w:rsidRPr="00301810" w:rsidRDefault="00677080" w:rsidP="00677080">
            <w:pPr>
              <w:pStyle w:val="COMTabletext"/>
              <w:jc w:val="center"/>
            </w:pPr>
            <w:r w:rsidRPr="00301810">
              <w:t>43 (18.9)</w:t>
            </w:r>
          </w:p>
          <w:p w14:paraId="0522CD39" w14:textId="77777777" w:rsidR="00677080" w:rsidRPr="00301810" w:rsidRDefault="00677080" w:rsidP="00677080">
            <w:pPr>
              <w:pStyle w:val="COMTabletext"/>
              <w:jc w:val="center"/>
            </w:pPr>
            <w:r w:rsidRPr="00301810">
              <w:t>20 (8.8)</w:t>
            </w:r>
          </w:p>
          <w:p w14:paraId="2327C75F" w14:textId="77777777" w:rsidR="00677080" w:rsidRPr="00301810" w:rsidRDefault="00677080" w:rsidP="00677080">
            <w:pPr>
              <w:pStyle w:val="COMTabletext"/>
              <w:jc w:val="center"/>
            </w:pPr>
            <w:r w:rsidRPr="00301810">
              <w:t>44 (19.4)</w:t>
            </w:r>
          </w:p>
          <w:p w14:paraId="180D0930" w14:textId="77777777" w:rsidR="00677080" w:rsidRPr="00301810" w:rsidRDefault="00677080" w:rsidP="00677080">
            <w:pPr>
              <w:pStyle w:val="COMTabletext"/>
              <w:jc w:val="center"/>
            </w:pPr>
            <w:r w:rsidRPr="00301810">
              <w:t>23 (10.1)</w:t>
            </w:r>
          </w:p>
          <w:p w14:paraId="47262A96" w14:textId="77777777" w:rsidR="00677080" w:rsidRPr="00301810" w:rsidRDefault="00677080" w:rsidP="00677080">
            <w:pPr>
              <w:pStyle w:val="COMTabletext"/>
              <w:jc w:val="center"/>
            </w:pPr>
            <w:r w:rsidRPr="00301810">
              <w:t>17 (7.5)</w:t>
            </w:r>
          </w:p>
          <w:p w14:paraId="1E3CA685" w14:textId="77777777" w:rsidR="00677080" w:rsidRPr="00301810" w:rsidRDefault="00677080" w:rsidP="00677080">
            <w:pPr>
              <w:pStyle w:val="COMTabletext"/>
              <w:jc w:val="center"/>
            </w:pPr>
            <w:r w:rsidRPr="00301810">
              <w:t>20 (8.8)</w:t>
            </w:r>
          </w:p>
          <w:p w14:paraId="4B8A7CC6" w14:textId="17CCF09E" w:rsidR="00677080" w:rsidRPr="00301810" w:rsidRDefault="00677080" w:rsidP="00677080">
            <w:pPr>
              <w:pStyle w:val="COMTabletext"/>
              <w:jc w:val="center"/>
            </w:pPr>
            <w:r w:rsidRPr="00301810">
              <w:t>31 (12.9)</w:t>
            </w:r>
          </w:p>
        </w:tc>
        <w:tc>
          <w:tcPr>
            <w:tcW w:w="468" w:type="pct"/>
            <w:tcBorders>
              <w:top w:val="single" w:sz="4" w:space="0" w:color="auto"/>
              <w:left w:val="single" w:sz="4" w:space="0" w:color="auto"/>
              <w:right w:val="single" w:sz="4" w:space="0" w:color="auto"/>
            </w:tcBorders>
            <w:shd w:val="clear" w:color="auto" w:fill="FFFFFF"/>
          </w:tcPr>
          <w:p w14:paraId="1AE1834F" w14:textId="77777777" w:rsidR="00677080" w:rsidRPr="001A3A69" w:rsidRDefault="00677080" w:rsidP="00677080">
            <w:pPr>
              <w:pStyle w:val="COMTabletext"/>
              <w:jc w:val="center"/>
            </w:pPr>
          </w:p>
          <w:p w14:paraId="58773D32" w14:textId="77777777" w:rsidR="00677080" w:rsidRPr="001A3A69" w:rsidRDefault="00677080" w:rsidP="00677080">
            <w:pPr>
              <w:pStyle w:val="COMTabletext"/>
              <w:jc w:val="center"/>
            </w:pPr>
            <w:r w:rsidRPr="001A3A69">
              <w:t>122 (57.5)</w:t>
            </w:r>
          </w:p>
          <w:p w14:paraId="71739CA6" w14:textId="77777777" w:rsidR="00677080" w:rsidRPr="001A3A69" w:rsidRDefault="00677080" w:rsidP="00677080">
            <w:pPr>
              <w:pStyle w:val="COMTabletext"/>
              <w:jc w:val="center"/>
            </w:pPr>
            <w:r w:rsidRPr="001A3A69">
              <w:t>35 (16.5)</w:t>
            </w:r>
          </w:p>
          <w:p w14:paraId="7B4D8550" w14:textId="77777777" w:rsidR="00677080" w:rsidRPr="001A3A69" w:rsidRDefault="00677080" w:rsidP="00677080">
            <w:pPr>
              <w:pStyle w:val="COMTabletext"/>
              <w:jc w:val="center"/>
            </w:pPr>
            <w:r w:rsidRPr="001A3A69">
              <w:t>59 (27.8)</w:t>
            </w:r>
          </w:p>
          <w:p w14:paraId="68003563" w14:textId="77777777" w:rsidR="00677080" w:rsidRPr="001A3A69" w:rsidRDefault="00677080" w:rsidP="00677080">
            <w:pPr>
              <w:pStyle w:val="COMTabletext"/>
              <w:jc w:val="center"/>
            </w:pPr>
            <w:r w:rsidRPr="001A3A69">
              <w:t>40 (18.9)</w:t>
            </w:r>
          </w:p>
          <w:p w14:paraId="6B0D0362" w14:textId="77777777" w:rsidR="00677080" w:rsidRPr="001A3A69" w:rsidRDefault="00677080" w:rsidP="00677080">
            <w:pPr>
              <w:pStyle w:val="COMTabletext"/>
              <w:jc w:val="center"/>
            </w:pPr>
            <w:r w:rsidRPr="001A3A69">
              <w:t>28 (13.2)</w:t>
            </w:r>
          </w:p>
          <w:p w14:paraId="6D47C06F" w14:textId="77777777" w:rsidR="00677080" w:rsidRPr="001A3A69" w:rsidRDefault="00677080" w:rsidP="00677080">
            <w:pPr>
              <w:pStyle w:val="COMTabletext"/>
              <w:jc w:val="center"/>
            </w:pPr>
            <w:r w:rsidRPr="001A3A69">
              <w:t>32 (15.1)</w:t>
            </w:r>
          </w:p>
          <w:p w14:paraId="74AE49A6" w14:textId="77777777" w:rsidR="00677080" w:rsidRPr="001A3A69" w:rsidRDefault="00677080" w:rsidP="00677080">
            <w:pPr>
              <w:pStyle w:val="COMTabletext"/>
              <w:jc w:val="center"/>
            </w:pPr>
            <w:r w:rsidRPr="001A3A69">
              <w:t>48 (22.6)</w:t>
            </w:r>
          </w:p>
          <w:p w14:paraId="5D4C51B9" w14:textId="77777777" w:rsidR="00677080" w:rsidRPr="001A3A69" w:rsidRDefault="00677080" w:rsidP="00677080">
            <w:pPr>
              <w:pStyle w:val="COMTabletext"/>
              <w:jc w:val="center"/>
            </w:pPr>
            <w:r w:rsidRPr="001A3A69">
              <w:t>NR</w:t>
            </w:r>
          </w:p>
          <w:p w14:paraId="53E8201D" w14:textId="77777777" w:rsidR="00677080" w:rsidRPr="001A3A69" w:rsidRDefault="00677080" w:rsidP="00677080">
            <w:pPr>
              <w:pStyle w:val="COMTabletext"/>
              <w:jc w:val="center"/>
            </w:pPr>
            <w:r w:rsidRPr="001A3A69">
              <w:t>NR</w:t>
            </w:r>
          </w:p>
          <w:p w14:paraId="0B24E6AF" w14:textId="77777777" w:rsidR="00677080" w:rsidRPr="001A3A69" w:rsidRDefault="00677080" w:rsidP="00677080">
            <w:pPr>
              <w:pStyle w:val="COMTabletext"/>
              <w:jc w:val="center"/>
            </w:pPr>
            <w:r w:rsidRPr="001A3A69">
              <w:t>95 (44.8)</w:t>
            </w:r>
          </w:p>
          <w:p w14:paraId="21B27B80" w14:textId="77777777" w:rsidR="00677080" w:rsidRPr="001A3A69" w:rsidRDefault="00677080" w:rsidP="00677080">
            <w:pPr>
              <w:pStyle w:val="COMTabletext"/>
              <w:jc w:val="center"/>
            </w:pPr>
            <w:r w:rsidRPr="001A3A69">
              <w:t>NR</w:t>
            </w:r>
          </w:p>
          <w:p w14:paraId="5738B29E" w14:textId="77777777" w:rsidR="00677080" w:rsidRPr="001A3A69" w:rsidRDefault="00677080" w:rsidP="00677080">
            <w:pPr>
              <w:pStyle w:val="COMTabletext"/>
              <w:jc w:val="center"/>
            </w:pPr>
            <w:r w:rsidRPr="001A3A69">
              <w:t>NR</w:t>
            </w:r>
          </w:p>
          <w:p w14:paraId="35293E6D" w14:textId="77777777" w:rsidR="00677080" w:rsidRPr="001A3A69" w:rsidRDefault="00677080" w:rsidP="00677080">
            <w:pPr>
              <w:pStyle w:val="COMTabletext"/>
              <w:jc w:val="center"/>
            </w:pPr>
            <w:r w:rsidRPr="001A3A69">
              <w:t>34 (16.0)</w:t>
            </w:r>
          </w:p>
          <w:p w14:paraId="0A4CAC13" w14:textId="77777777" w:rsidR="00677080" w:rsidRPr="001A3A69" w:rsidRDefault="00677080" w:rsidP="00677080">
            <w:pPr>
              <w:pStyle w:val="COMTabletext"/>
              <w:jc w:val="center"/>
            </w:pPr>
            <w:r w:rsidRPr="001A3A69">
              <w:t>24 (11.3)</w:t>
            </w:r>
          </w:p>
          <w:p w14:paraId="3A720B87" w14:textId="77777777" w:rsidR="00677080" w:rsidRPr="001A3A69" w:rsidRDefault="00677080" w:rsidP="00677080">
            <w:pPr>
              <w:pStyle w:val="COMTabletext"/>
              <w:jc w:val="center"/>
            </w:pPr>
            <w:r w:rsidRPr="001A3A69">
              <w:t>NR</w:t>
            </w:r>
          </w:p>
          <w:p w14:paraId="4430FD7A" w14:textId="77777777" w:rsidR="00677080" w:rsidRPr="001A3A69" w:rsidRDefault="00677080" w:rsidP="00677080">
            <w:pPr>
              <w:pStyle w:val="COMTabletext"/>
              <w:jc w:val="center"/>
            </w:pPr>
            <w:r w:rsidRPr="001A3A69">
              <w:t>51 (24.1)</w:t>
            </w:r>
          </w:p>
        </w:tc>
        <w:tc>
          <w:tcPr>
            <w:tcW w:w="468" w:type="pct"/>
            <w:tcBorders>
              <w:top w:val="single" w:sz="4" w:space="0" w:color="auto"/>
              <w:left w:val="single" w:sz="4" w:space="0" w:color="auto"/>
              <w:right w:val="single" w:sz="4" w:space="0" w:color="auto"/>
            </w:tcBorders>
            <w:shd w:val="clear" w:color="auto" w:fill="FFFFFF"/>
          </w:tcPr>
          <w:p w14:paraId="26791D72" w14:textId="77777777" w:rsidR="00677080" w:rsidRPr="001A3A69" w:rsidRDefault="00677080" w:rsidP="00677080">
            <w:pPr>
              <w:pStyle w:val="COMTabletext"/>
              <w:jc w:val="center"/>
            </w:pPr>
          </w:p>
          <w:p w14:paraId="0F6B5604" w14:textId="77777777" w:rsidR="00677080" w:rsidRPr="001A3A69" w:rsidRDefault="00677080" w:rsidP="00677080">
            <w:pPr>
              <w:pStyle w:val="COMTabletext"/>
              <w:jc w:val="center"/>
            </w:pPr>
            <w:r w:rsidRPr="001A3A69">
              <w:t>122 (57.0)</w:t>
            </w:r>
          </w:p>
          <w:p w14:paraId="23CF8264" w14:textId="77777777" w:rsidR="00677080" w:rsidRPr="001A3A69" w:rsidRDefault="00677080" w:rsidP="00677080">
            <w:pPr>
              <w:pStyle w:val="COMTabletext"/>
              <w:jc w:val="center"/>
            </w:pPr>
            <w:r w:rsidRPr="001A3A69">
              <w:t>40 (18.7)</w:t>
            </w:r>
          </w:p>
          <w:p w14:paraId="6AC9ECE0" w14:textId="77777777" w:rsidR="00677080" w:rsidRPr="001A3A69" w:rsidRDefault="00677080" w:rsidP="00677080">
            <w:pPr>
              <w:pStyle w:val="COMTabletext"/>
              <w:jc w:val="center"/>
            </w:pPr>
            <w:r w:rsidRPr="001A3A69">
              <w:t>32 (15.0)</w:t>
            </w:r>
          </w:p>
          <w:p w14:paraId="5F913034" w14:textId="77777777" w:rsidR="00677080" w:rsidRPr="001A3A69" w:rsidRDefault="00677080" w:rsidP="00677080">
            <w:pPr>
              <w:pStyle w:val="COMTabletext"/>
              <w:jc w:val="center"/>
            </w:pPr>
            <w:r w:rsidRPr="001A3A69">
              <w:t>46 (21.5)</w:t>
            </w:r>
          </w:p>
          <w:p w14:paraId="5FF32B35" w14:textId="77777777" w:rsidR="00677080" w:rsidRPr="001A3A69" w:rsidRDefault="00677080" w:rsidP="00677080">
            <w:pPr>
              <w:pStyle w:val="COMTabletext"/>
              <w:jc w:val="center"/>
            </w:pPr>
            <w:r w:rsidRPr="001A3A69">
              <w:t>19 (8.9)</w:t>
            </w:r>
          </w:p>
          <w:p w14:paraId="0ECD74D0" w14:textId="77777777" w:rsidR="00677080" w:rsidRPr="001A3A69" w:rsidRDefault="00677080" w:rsidP="00677080">
            <w:pPr>
              <w:pStyle w:val="COMTabletext"/>
              <w:jc w:val="center"/>
            </w:pPr>
            <w:r w:rsidRPr="001A3A69">
              <w:t>30 (14.0)</w:t>
            </w:r>
          </w:p>
          <w:p w14:paraId="7B06F9E5" w14:textId="77777777" w:rsidR="00677080" w:rsidRPr="001A3A69" w:rsidRDefault="00677080" w:rsidP="00677080">
            <w:pPr>
              <w:pStyle w:val="COMTabletext"/>
              <w:jc w:val="center"/>
            </w:pPr>
            <w:r w:rsidRPr="001A3A69">
              <w:t>33 (15.4)</w:t>
            </w:r>
          </w:p>
          <w:p w14:paraId="55ADB815" w14:textId="77777777" w:rsidR="00677080" w:rsidRPr="001A3A69" w:rsidRDefault="00677080" w:rsidP="00677080">
            <w:pPr>
              <w:pStyle w:val="COMTabletext"/>
              <w:jc w:val="center"/>
            </w:pPr>
            <w:r w:rsidRPr="001A3A69">
              <w:t>NR</w:t>
            </w:r>
          </w:p>
          <w:p w14:paraId="047BDB12" w14:textId="77777777" w:rsidR="00677080" w:rsidRPr="001A3A69" w:rsidRDefault="00677080" w:rsidP="00677080">
            <w:pPr>
              <w:pStyle w:val="COMTabletext"/>
              <w:jc w:val="center"/>
            </w:pPr>
            <w:r w:rsidRPr="001A3A69">
              <w:t>NR</w:t>
            </w:r>
          </w:p>
          <w:p w14:paraId="1E8FE20F" w14:textId="77777777" w:rsidR="00677080" w:rsidRPr="001A3A69" w:rsidRDefault="00677080" w:rsidP="00677080">
            <w:pPr>
              <w:pStyle w:val="COMTabletext"/>
              <w:jc w:val="center"/>
            </w:pPr>
            <w:r w:rsidRPr="001A3A69">
              <w:t>110 (51.4)</w:t>
            </w:r>
          </w:p>
          <w:p w14:paraId="10E02CD9" w14:textId="77777777" w:rsidR="00677080" w:rsidRPr="001A3A69" w:rsidRDefault="00677080" w:rsidP="00677080">
            <w:pPr>
              <w:pStyle w:val="COMTabletext"/>
              <w:jc w:val="center"/>
            </w:pPr>
            <w:r w:rsidRPr="001A3A69">
              <w:t>NR</w:t>
            </w:r>
          </w:p>
          <w:p w14:paraId="03253AAE" w14:textId="77777777" w:rsidR="00677080" w:rsidRPr="001A3A69" w:rsidRDefault="00677080" w:rsidP="00677080">
            <w:pPr>
              <w:pStyle w:val="COMTabletext"/>
              <w:jc w:val="center"/>
            </w:pPr>
            <w:r w:rsidRPr="001A3A69">
              <w:t>NR</w:t>
            </w:r>
          </w:p>
          <w:p w14:paraId="4648E161" w14:textId="77777777" w:rsidR="00677080" w:rsidRPr="001A3A69" w:rsidRDefault="00677080" w:rsidP="00677080">
            <w:pPr>
              <w:pStyle w:val="COMTabletext"/>
              <w:jc w:val="center"/>
            </w:pPr>
            <w:r w:rsidRPr="001A3A69">
              <w:t>25 (11.7)</w:t>
            </w:r>
          </w:p>
          <w:p w14:paraId="74FB1A9B" w14:textId="77777777" w:rsidR="00677080" w:rsidRPr="001A3A69" w:rsidRDefault="00677080" w:rsidP="00677080">
            <w:pPr>
              <w:pStyle w:val="COMTabletext"/>
              <w:jc w:val="center"/>
            </w:pPr>
            <w:r w:rsidRPr="001A3A69">
              <w:t>21 (9.8)</w:t>
            </w:r>
          </w:p>
          <w:p w14:paraId="6038B161" w14:textId="77777777" w:rsidR="00677080" w:rsidRPr="001A3A69" w:rsidRDefault="00677080" w:rsidP="00677080">
            <w:pPr>
              <w:pStyle w:val="COMTabletext"/>
              <w:jc w:val="center"/>
            </w:pPr>
            <w:r w:rsidRPr="001A3A69">
              <w:t>NR</w:t>
            </w:r>
          </w:p>
          <w:p w14:paraId="79F9C6DA" w14:textId="77777777" w:rsidR="00677080" w:rsidRPr="001A3A69" w:rsidRDefault="00677080" w:rsidP="00677080">
            <w:pPr>
              <w:pStyle w:val="COMTabletext"/>
              <w:jc w:val="center"/>
            </w:pPr>
            <w:r w:rsidRPr="001A3A69">
              <w:t>50 (23.4)</w:t>
            </w:r>
          </w:p>
        </w:tc>
        <w:tc>
          <w:tcPr>
            <w:tcW w:w="468" w:type="pct"/>
            <w:tcBorders>
              <w:top w:val="single" w:sz="4" w:space="0" w:color="auto"/>
              <w:left w:val="single" w:sz="4" w:space="0" w:color="auto"/>
              <w:right w:val="single" w:sz="4" w:space="0" w:color="auto"/>
            </w:tcBorders>
            <w:shd w:val="clear" w:color="auto" w:fill="FFFFFF"/>
          </w:tcPr>
          <w:p w14:paraId="34182231" w14:textId="77777777" w:rsidR="00677080" w:rsidRDefault="00677080" w:rsidP="00677080">
            <w:pPr>
              <w:pStyle w:val="COMTabletext"/>
              <w:jc w:val="center"/>
            </w:pPr>
          </w:p>
          <w:p w14:paraId="1CE48B7E" w14:textId="77777777" w:rsidR="00677080" w:rsidRDefault="00677080" w:rsidP="00677080">
            <w:pPr>
              <w:pStyle w:val="COMTabletext"/>
              <w:jc w:val="center"/>
            </w:pPr>
            <w:r w:rsidRPr="00B04197">
              <w:t>56 (31.5)</w:t>
            </w:r>
          </w:p>
          <w:p w14:paraId="06C82483" w14:textId="77777777" w:rsidR="00677080" w:rsidRDefault="00677080" w:rsidP="00677080">
            <w:pPr>
              <w:pStyle w:val="COMTabletext"/>
              <w:jc w:val="center"/>
            </w:pPr>
            <w:r>
              <w:t>21 (11.8)</w:t>
            </w:r>
          </w:p>
          <w:p w14:paraId="472D70DC" w14:textId="77777777" w:rsidR="00677080" w:rsidRDefault="00677080" w:rsidP="00677080">
            <w:pPr>
              <w:pStyle w:val="COMTabletext"/>
              <w:jc w:val="center"/>
            </w:pPr>
            <w:r w:rsidRPr="001A67B6">
              <w:t>69 (38.8)</w:t>
            </w:r>
          </w:p>
          <w:p w14:paraId="354F7566" w14:textId="77777777" w:rsidR="00677080" w:rsidRDefault="00677080" w:rsidP="00677080">
            <w:pPr>
              <w:pStyle w:val="COMTabletext"/>
              <w:jc w:val="center"/>
            </w:pPr>
            <w:r>
              <w:t>36 (20.2)</w:t>
            </w:r>
          </w:p>
          <w:p w14:paraId="44579CDA" w14:textId="77777777" w:rsidR="00677080" w:rsidRDefault="00677080" w:rsidP="00677080">
            <w:pPr>
              <w:pStyle w:val="COMTabletext"/>
              <w:jc w:val="center"/>
            </w:pPr>
            <w:r>
              <w:t>25 (14.0)</w:t>
            </w:r>
          </w:p>
          <w:p w14:paraId="70292604" w14:textId="77777777" w:rsidR="00677080" w:rsidRDefault="00677080" w:rsidP="00677080">
            <w:pPr>
              <w:pStyle w:val="COMTabletext"/>
              <w:jc w:val="center"/>
            </w:pPr>
            <w:r>
              <w:t>50 (28.4)</w:t>
            </w:r>
          </w:p>
          <w:p w14:paraId="75A46AF3" w14:textId="77777777" w:rsidR="00677080" w:rsidRDefault="00677080" w:rsidP="00677080">
            <w:pPr>
              <w:pStyle w:val="COMTabletext"/>
              <w:jc w:val="center"/>
            </w:pPr>
            <w:r>
              <w:t>23</w:t>
            </w:r>
            <w:r w:rsidRPr="00F03781">
              <w:t xml:space="preserve"> (</w:t>
            </w:r>
            <w:r>
              <w:t>12.9</w:t>
            </w:r>
            <w:r w:rsidRPr="00F03781">
              <w:t>)</w:t>
            </w:r>
          </w:p>
          <w:p w14:paraId="3FA7E417" w14:textId="77777777" w:rsidR="00677080" w:rsidRDefault="00677080" w:rsidP="00677080">
            <w:pPr>
              <w:pStyle w:val="COMTabletext"/>
              <w:jc w:val="center"/>
            </w:pPr>
            <w:r w:rsidRPr="00387BC9">
              <w:t>38 (21.3)</w:t>
            </w:r>
          </w:p>
          <w:p w14:paraId="26E60AEB" w14:textId="77777777" w:rsidR="00677080" w:rsidRDefault="00677080" w:rsidP="00677080">
            <w:pPr>
              <w:pStyle w:val="COMTabletext"/>
              <w:jc w:val="center"/>
            </w:pPr>
            <w:r w:rsidRPr="00223D48">
              <w:t>42 (23.6)</w:t>
            </w:r>
          </w:p>
          <w:p w14:paraId="623D9490" w14:textId="77777777" w:rsidR="00677080" w:rsidRDefault="00677080" w:rsidP="00677080">
            <w:pPr>
              <w:pStyle w:val="COMTabletext"/>
              <w:jc w:val="center"/>
            </w:pPr>
            <w:r w:rsidRPr="0062076B">
              <w:t>24 (13</w:t>
            </w:r>
            <w:r>
              <w:t>.</w:t>
            </w:r>
            <w:r w:rsidRPr="0062076B">
              <w:t>5)</w:t>
            </w:r>
          </w:p>
          <w:p w14:paraId="6F79452E" w14:textId="77777777" w:rsidR="00677080" w:rsidRDefault="00677080" w:rsidP="00677080">
            <w:pPr>
              <w:pStyle w:val="COMTabletext"/>
              <w:jc w:val="center"/>
            </w:pPr>
            <w:r>
              <w:t>39</w:t>
            </w:r>
            <w:r w:rsidRPr="00DB1558">
              <w:t xml:space="preserve"> (</w:t>
            </w:r>
            <w:r>
              <w:t>21.9</w:t>
            </w:r>
            <w:r w:rsidRPr="00DB1558">
              <w:t>)</w:t>
            </w:r>
          </w:p>
          <w:p w14:paraId="1A5FF2FE" w14:textId="77777777" w:rsidR="00677080" w:rsidRDefault="00677080" w:rsidP="00677080">
            <w:pPr>
              <w:pStyle w:val="COMTabletext"/>
              <w:jc w:val="center"/>
            </w:pPr>
            <w:r>
              <w:t>21</w:t>
            </w:r>
            <w:r w:rsidRPr="00F83323">
              <w:t xml:space="preserve"> (</w:t>
            </w:r>
            <w:r>
              <w:t>11.8</w:t>
            </w:r>
            <w:r w:rsidRPr="00F83323">
              <w:t>)</w:t>
            </w:r>
          </w:p>
          <w:p w14:paraId="6DF9C8B9" w14:textId="77777777" w:rsidR="00677080" w:rsidRDefault="00677080" w:rsidP="00677080">
            <w:pPr>
              <w:pStyle w:val="COMTabletext"/>
              <w:jc w:val="center"/>
            </w:pPr>
            <w:r w:rsidRPr="00DC0E7B">
              <w:t>39 (21.9)</w:t>
            </w:r>
          </w:p>
          <w:p w14:paraId="229641DE" w14:textId="77777777" w:rsidR="00677080" w:rsidRPr="00DC0E7B" w:rsidRDefault="00677080" w:rsidP="00677080">
            <w:pPr>
              <w:pStyle w:val="COMTabletext"/>
              <w:jc w:val="center"/>
            </w:pPr>
            <w:r w:rsidRPr="00E83BE7">
              <w:t>71 (39.9)</w:t>
            </w:r>
          </w:p>
          <w:p w14:paraId="7969A169" w14:textId="77777777" w:rsidR="00677080" w:rsidRPr="00E83BE7" w:rsidRDefault="00677080" w:rsidP="00677080">
            <w:pPr>
              <w:pStyle w:val="COMTabletext"/>
              <w:jc w:val="center"/>
            </w:pPr>
            <w:r w:rsidRPr="009276E3">
              <w:t>13 (7.3)</w:t>
            </w:r>
          </w:p>
          <w:p w14:paraId="42097D70" w14:textId="64622916" w:rsidR="00677080" w:rsidRDefault="00677080" w:rsidP="00677080">
            <w:pPr>
              <w:pStyle w:val="COMTabletext"/>
              <w:jc w:val="center"/>
            </w:pPr>
            <w:r>
              <w:t>23 (12.9)</w:t>
            </w:r>
          </w:p>
        </w:tc>
        <w:tc>
          <w:tcPr>
            <w:tcW w:w="468" w:type="pct"/>
            <w:tcBorders>
              <w:top w:val="single" w:sz="4" w:space="0" w:color="auto"/>
              <w:left w:val="single" w:sz="4" w:space="0" w:color="auto"/>
              <w:right w:val="single" w:sz="4" w:space="0" w:color="auto"/>
            </w:tcBorders>
            <w:shd w:val="clear" w:color="auto" w:fill="FFFFFF"/>
          </w:tcPr>
          <w:p w14:paraId="38074639" w14:textId="77777777" w:rsidR="00677080" w:rsidRDefault="00677080" w:rsidP="00677080">
            <w:pPr>
              <w:pStyle w:val="COMTabletext"/>
              <w:jc w:val="center"/>
            </w:pPr>
          </w:p>
          <w:p w14:paraId="0A1DBA20" w14:textId="77777777" w:rsidR="00677080" w:rsidRDefault="00677080" w:rsidP="00677080">
            <w:pPr>
              <w:pStyle w:val="COMTabletext"/>
              <w:jc w:val="center"/>
            </w:pPr>
            <w:r w:rsidRPr="00B04197">
              <w:t>19 (10.6)</w:t>
            </w:r>
          </w:p>
          <w:p w14:paraId="317A00B1" w14:textId="77777777" w:rsidR="00677080" w:rsidRDefault="00677080" w:rsidP="00677080">
            <w:pPr>
              <w:pStyle w:val="COMTabletext"/>
              <w:jc w:val="center"/>
            </w:pPr>
            <w:r w:rsidRPr="00460AC3">
              <w:t>2</w:t>
            </w:r>
            <w:r>
              <w:t>5</w:t>
            </w:r>
            <w:r w:rsidRPr="00460AC3">
              <w:t xml:space="preserve"> (</w:t>
            </w:r>
            <w:r>
              <w:t>14.0</w:t>
            </w:r>
            <w:r w:rsidRPr="00460AC3">
              <w:t>)</w:t>
            </w:r>
          </w:p>
          <w:p w14:paraId="30796071" w14:textId="77777777" w:rsidR="00677080" w:rsidRDefault="00677080" w:rsidP="00677080">
            <w:pPr>
              <w:pStyle w:val="COMTabletext"/>
              <w:jc w:val="center"/>
            </w:pPr>
            <w:r w:rsidRPr="001A67B6">
              <w:t>62 (34.6)</w:t>
            </w:r>
          </w:p>
          <w:p w14:paraId="3B75963C" w14:textId="77777777" w:rsidR="00677080" w:rsidRDefault="00677080" w:rsidP="00677080">
            <w:pPr>
              <w:pStyle w:val="COMTabletext"/>
              <w:jc w:val="center"/>
            </w:pPr>
            <w:r>
              <w:t>40 (22.3)</w:t>
            </w:r>
          </w:p>
          <w:p w14:paraId="291144B4" w14:textId="77777777" w:rsidR="00677080" w:rsidRDefault="00677080" w:rsidP="00677080">
            <w:pPr>
              <w:pStyle w:val="COMTabletext"/>
              <w:jc w:val="center"/>
            </w:pPr>
            <w:r>
              <w:t>20 (11.2)</w:t>
            </w:r>
          </w:p>
          <w:p w14:paraId="16857D1E" w14:textId="77777777" w:rsidR="00677080" w:rsidRDefault="00677080" w:rsidP="00677080">
            <w:pPr>
              <w:pStyle w:val="COMTabletext"/>
              <w:jc w:val="center"/>
            </w:pPr>
            <w:r>
              <w:t>33 (18.4)</w:t>
            </w:r>
          </w:p>
          <w:p w14:paraId="1A1DA591" w14:textId="77777777" w:rsidR="00677080" w:rsidRDefault="00677080" w:rsidP="00677080">
            <w:pPr>
              <w:pStyle w:val="COMTabletext"/>
              <w:jc w:val="center"/>
            </w:pPr>
            <w:r>
              <w:t>12</w:t>
            </w:r>
            <w:r w:rsidRPr="00F03781">
              <w:t xml:space="preserve"> (</w:t>
            </w:r>
            <w:r>
              <w:t>6.7</w:t>
            </w:r>
            <w:r w:rsidRPr="00F03781">
              <w:t>)</w:t>
            </w:r>
          </w:p>
          <w:p w14:paraId="7E6571F4" w14:textId="77777777" w:rsidR="00677080" w:rsidRDefault="00677080" w:rsidP="00677080">
            <w:pPr>
              <w:pStyle w:val="COMTabletext"/>
              <w:jc w:val="center"/>
            </w:pPr>
            <w:r w:rsidRPr="00387BC9">
              <w:t>33 (18.4)</w:t>
            </w:r>
          </w:p>
          <w:p w14:paraId="14D1AC62" w14:textId="77777777" w:rsidR="00677080" w:rsidRDefault="00677080" w:rsidP="00677080">
            <w:pPr>
              <w:pStyle w:val="COMTabletext"/>
              <w:jc w:val="center"/>
            </w:pPr>
            <w:r w:rsidRPr="00223D48">
              <w:t>27 (15.1)</w:t>
            </w:r>
          </w:p>
          <w:p w14:paraId="4ACEE020" w14:textId="77777777" w:rsidR="00677080" w:rsidRDefault="00677080" w:rsidP="00677080">
            <w:pPr>
              <w:pStyle w:val="COMTabletext"/>
              <w:jc w:val="center"/>
            </w:pPr>
            <w:r w:rsidRPr="0062076B">
              <w:t>0 (0.0)</w:t>
            </w:r>
          </w:p>
          <w:p w14:paraId="7D791220" w14:textId="77777777" w:rsidR="00677080" w:rsidRDefault="00677080" w:rsidP="00677080">
            <w:pPr>
              <w:pStyle w:val="COMTabletext"/>
              <w:jc w:val="center"/>
            </w:pPr>
            <w:r>
              <w:t>28</w:t>
            </w:r>
            <w:r w:rsidRPr="00DB1558">
              <w:t xml:space="preserve"> </w:t>
            </w:r>
            <w:r>
              <w:t>(15.6</w:t>
            </w:r>
            <w:r w:rsidRPr="00DB1558">
              <w:t>)</w:t>
            </w:r>
          </w:p>
          <w:p w14:paraId="28B9420C" w14:textId="77777777" w:rsidR="00677080" w:rsidRDefault="00677080" w:rsidP="00677080">
            <w:pPr>
              <w:pStyle w:val="COMTabletext"/>
              <w:jc w:val="center"/>
            </w:pPr>
            <w:r>
              <w:t>25 (14.0)</w:t>
            </w:r>
            <w:r w:rsidRPr="00F83323">
              <w:t xml:space="preserve"> </w:t>
            </w:r>
            <w:r>
              <w:t>33 (18.4)</w:t>
            </w:r>
          </w:p>
          <w:p w14:paraId="662799E7" w14:textId="77777777" w:rsidR="00677080" w:rsidRPr="00DC0E7B" w:rsidRDefault="00677080" w:rsidP="00677080">
            <w:pPr>
              <w:pStyle w:val="COMTabletext"/>
              <w:jc w:val="center"/>
            </w:pPr>
            <w:r w:rsidRPr="00E83BE7">
              <w:t>66 (36.9)</w:t>
            </w:r>
          </w:p>
          <w:p w14:paraId="18482111" w14:textId="77777777" w:rsidR="00677080" w:rsidRPr="00E83BE7" w:rsidRDefault="00677080" w:rsidP="00677080">
            <w:pPr>
              <w:pStyle w:val="COMTabletext"/>
              <w:jc w:val="center"/>
            </w:pPr>
            <w:r w:rsidRPr="009276E3">
              <w:t>8 (4.5)</w:t>
            </w:r>
          </w:p>
          <w:p w14:paraId="56B38ADE" w14:textId="22293D1A" w:rsidR="00677080" w:rsidRDefault="00677080" w:rsidP="00677080">
            <w:pPr>
              <w:pStyle w:val="COMTabletext"/>
              <w:jc w:val="center"/>
            </w:pPr>
            <w:r>
              <w:t>13 (7.3)</w:t>
            </w:r>
          </w:p>
        </w:tc>
        <w:tc>
          <w:tcPr>
            <w:tcW w:w="467" w:type="pct"/>
            <w:tcBorders>
              <w:top w:val="single" w:sz="4" w:space="0" w:color="auto"/>
              <w:left w:val="single" w:sz="4" w:space="0" w:color="auto"/>
              <w:right w:val="single" w:sz="4" w:space="0" w:color="auto"/>
            </w:tcBorders>
            <w:shd w:val="clear" w:color="auto" w:fill="FFFFFF"/>
          </w:tcPr>
          <w:p w14:paraId="333BF257" w14:textId="77777777" w:rsidR="00677080" w:rsidRDefault="00677080" w:rsidP="00677080">
            <w:pPr>
              <w:pStyle w:val="COMTabletext"/>
              <w:jc w:val="center"/>
            </w:pPr>
          </w:p>
          <w:p w14:paraId="1DCCC415" w14:textId="77777777" w:rsidR="00677080" w:rsidRDefault="00677080" w:rsidP="00677080">
            <w:pPr>
              <w:pStyle w:val="COMTabletext"/>
              <w:jc w:val="center"/>
            </w:pPr>
            <w:r w:rsidRPr="00B04197">
              <w:t>76 (45.0)</w:t>
            </w:r>
          </w:p>
          <w:p w14:paraId="538B1040" w14:textId="77777777" w:rsidR="00677080" w:rsidRDefault="00677080" w:rsidP="00677080">
            <w:pPr>
              <w:pStyle w:val="COMTabletext"/>
              <w:jc w:val="center"/>
            </w:pPr>
            <w:r w:rsidRPr="00460AC3">
              <w:t>20 (11</w:t>
            </w:r>
            <w:r>
              <w:t>.</w:t>
            </w:r>
            <w:r w:rsidRPr="00460AC3">
              <w:t>8)</w:t>
            </w:r>
          </w:p>
          <w:p w14:paraId="18FB510D" w14:textId="77777777" w:rsidR="00677080" w:rsidRDefault="00677080" w:rsidP="00677080">
            <w:pPr>
              <w:pStyle w:val="COMTabletext"/>
              <w:jc w:val="center"/>
            </w:pPr>
            <w:r w:rsidRPr="001A67B6">
              <w:t>36 (21.3)</w:t>
            </w:r>
          </w:p>
          <w:p w14:paraId="7C61257A" w14:textId="77777777" w:rsidR="00677080" w:rsidRDefault="00677080" w:rsidP="00677080">
            <w:pPr>
              <w:pStyle w:val="COMTabletext"/>
              <w:jc w:val="center"/>
            </w:pPr>
            <w:r w:rsidRPr="00BA45DB">
              <w:t>53 (31</w:t>
            </w:r>
            <w:r>
              <w:t>.</w:t>
            </w:r>
            <w:r w:rsidRPr="00BA45DB">
              <w:t>4)</w:t>
            </w:r>
          </w:p>
          <w:p w14:paraId="35E7BDA5" w14:textId="77777777" w:rsidR="00677080" w:rsidRDefault="00677080" w:rsidP="00677080">
            <w:pPr>
              <w:pStyle w:val="COMTabletext"/>
              <w:jc w:val="center"/>
            </w:pPr>
            <w:r w:rsidRPr="005468A2">
              <w:t>17 (10</w:t>
            </w:r>
            <w:r>
              <w:t>.</w:t>
            </w:r>
            <w:r w:rsidRPr="005468A2">
              <w:t>1)</w:t>
            </w:r>
          </w:p>
          <w:p w14:paraId="16633464" w14:textId="77777777" w:rsidR="00677080" w:rsidRDefault="00677080" w:rsidP="00677080">
            <w:pPr>
              <w:pStyle w:val="COMTabletext"/>
              <w:jc w:val="center"/>
            </w:pPr>
            <w:r w:rsidRPr="00A0015F">
              <w:t>29 (17</w:t>
            </w:r>
            <w:r>
              <w:t>.</w:t>
            </w:r>
            <w:r w:rsidRPr="00A0015F">
              <w:t>2)</w:t>
            </w:r>
          </w:p>
          <w:p w14:paraId="76DDA4CF" w14:textId="77777777" w:rsidR="00677080" w:rsidRDefault="00677080" w:rsidP="00677080">
            <w:pPr>
              <w:pStyle w:val="COMTabletext"/>
              <w:jc w:val="center"/>
            </w:pPr>
            <w:r w:rsidRPr="00F03781">
              <w:t>3</w:t>
            </w:r>
            <w:r>
              <w:t>5</w:t>
            </w:r>
            <w:r w:rsidRPr="00F03781">
              <w:t xml:space="preserve"> (20</w:t>
            </w:r>
            <w:r>
              <w:t>.7</w:t>
            </w:r>
            <w:r w:rsidRPr="00F03781">
              <w:t>)</w:t>
            </w:r>
          </w:p>
          <w:p w14:paraId="30089A27" w14:textId="77777777" w:rsidR="00677080" w:rsidRDefault="00677080" w:rsidP="00677080">
            <w:pPr>
              <w:pStyle w:val="COMTabletext"/>
              <w:jc w:val="center"/>
            </w:pPr>
            <w:r w:rsidRPr="00387BC9">
              <w:t>14 (8.3)</w:t>
            </w:r>
          </w:p>
          <w:p w14:paraId="550E94DF" w14:textId="77777777" w:rsidR="00677080" w:rsidRDefault="00677080" w:rsidP="00677080">
            <w:pPr>
              <w:pStyle w:val="COMTabletext"/>
              <w:jc w:val="center"/>
            </w:pPr>
            <w:r w:rsidRPr="00223D48">
              <w:t>7 (4.1)</w:t>
            </w:r>
          </w:p>
          <w:p w14:paraId="2B720C86" w14:textId="77777777" w:rsidR="00677080" w:rsidRDefault="00677080" w:rsidP="00677080">
            <w:pPr>
              <w:pStyle w:val="COMTabletext"/>
              <w:jc w:val="center"/>
            </w:pPr>
            <w:r w:rsidRPr="0062076B">
              <w:t>67 (39.6)</w:t>
            </w:r>
          </w:p>
          <w:p w14:paraId="51573E88" w14:textId="77777777" w:rsidR="00677080" w:rsidRDefault="00677080" w:rsidP="00677080">
            <w:pPr>
              <w:pStyle w:val="COMTabletext"/>
              <w:jc w:val="center"/>
            </w:pPr>
            <w:r w:rsidRPr="00DB1558">
              <w:t>8 (4</w:t>
            </w:r>
            <w:r>
              <w:t>.</w:t>
            </w:r>
            <w:r w:rsidRPr="00DB1558">
              <w:t>7)</w:t>
            </w:r>
          </w:p>
          <w:p w14:paraId="1B06B6AF" w14:textId="77777777" w:rsidR="00677080" w:rsidRDefault="00677080" w:rsidP="00677080">
            <w:pPr>
              <w:pStyle w:val="COMTabletext"/>
              <w:jc w:val="center"/>
            </w:pPr>
            <w:r>
              <w:t>8</w:t>
            </w:r>
            <w:r w:rsidRPr="00F83323">
              <w:t xml:space="preserve"> (4</w:t>
            </w:r>
            <w:r>
              <w:t>.7</w:t>
            </w:r>
            <w:r w:rsidRPr="00F83323">
              <w:t>)</w:t>
            </w:r>
          </w:p>
          <w:p w14:paraId="6B9B11CB" w14:textId="77777777" w:rsidR="00677080" w:rsidRDefault="00677080" w:rsidP="00677080">
            <w:pPr>
              <w:pStyle w:val="COMTabletext"/>
              <w:jc w:val="center"/>
            </w:pPr>
            <w:r w:rsidRPr="00DC0E7B">
              <w:t>15 (8.9)</w:t>
            </w:r>
          </w:p>
          <w:p w14:paraId="370677C2" w14:textId="77777777" w:rsidR="00677080" w:rsidRPr="00DC0E7B" w:rsidRDefault="00677080" w:rsidP="00677080">
            <w:pPr>
              <w:pStyle w:val="COMTabletext"/>
              <w:jc w:val="center"/>
            </w:pPr>
            <w:r w:rsidRPr="00E83BE7">
              <w:t>20 (11.8)</w:t>
            </w:r>
          </w:p>
          <w:p w14:paraId="0E2D0D3E" w14:textId="77777777" w:rsidR="00677080" w:rsidRPr="00E83BE7" w:rsidRDefault="00677080" w:rsidP="00677080">
            <w:pPr>
              <w:pStyle w:val="COMTabletext"/>
              <w:jc w:val="center"/>
            </w:pPr>
            <w:r w:rsidRPr="009276E3">
              <w:t>6 (3.6)</w:t>
            </w:r>
          </w:p>
          <w:p w14:paraId="2F6A02A0" w14:textId="7161CD1A" w:rsidR="00677080" w:rsidRDefault="00677080" w:rsidP="00677080">
            <w:pPr>
              <w:pStyle w:val="COMTabletext"/>
              <w:jc w:val="center"/>
            </w:pPr>
            <w:r>
              <w:t>24 (14.2)</w:t>
            </w:r>
          </w:p>
        </w:tc>
      </w:tr>
    </w:tbl>
    <w:p w14:paraId="6A46B227" w14:textId="5DC9AA86" w:rsidR="00BA174F" w:rsidRDefault="00BA174F" w:rsidP="00BA174F">
      <w:pPr>
        <w:pStyle w:val="COMTablefooter"/>
      </w:pPr>
      <w:r w:rsidRPr="00191822">
        <w:t>Source:</w:t>
      </w:r>
      <w:r>
        <w:t xml:space="preserve"> </w:t>
      </w:r>
      <w:r w:rsidR="006E4D76">
        <w:t>Table 2-25, p71; Table 2-26, pp72-73 of the submission;</w:t>
      </w:r>
      <w:r w:rsidR="006965EA">
        <w:t xml:space="preserve"> Table 14.3.1.2.3.3.2, pp3754-3757 of the SEQUOIA clinical study report;</w:t>
      </w:r>
      <w:r w:rsidR="006E4D76">
        <w:t xml:space="preserve"> </w:t>
      </w:r>
      <w:r>
        <w:t xml:space="preserve">Table 7, p17 of the March 2020 venetoclax Public Summary Document; Table 2, p2232 of Fischer et al. (2019); </w:t>
      </w:r>
      <w:r w:rsidR="00631B89">
        <w:t xml:space="preserve">Table S6 of Fischer et al. (2019) supplementary appendix; </w:t>
      </w:r>
      <w:r>
        <w:t>Table 2, p27 of Sharman et al. (2020)</w:t>
      </w:r>
      <w:r w:rsidR="00760AAE">
        <w:t xml:space="preserve">; </w:t>
      </w:r>
      <w:r w:rsidR="00581198">
        <w:t xml:space="preserve">Table S8, p30 of Sharman et al. (2020) supplementary appendix; </w:t>
      </w:r>
      <w:r w:rsidR="00760AAE">
        <w:t>Table 9, p19 of the acalabrutinib July 2020 Public Summary Document.</w:t>
      </w:r>
    </w:p>
    <w:p w14:paraId="352D5FFB" w14:textId="77777777" w:rsidR="00BA174F" w:rsidRDefault="00BA174F" w:rsidP="00BA174F">
      <w:pPr>
        <w:pStyle w:val="COMTablefooter"/>
      </w:pPr>
      <w:r>
        <w:t>Abbreviations: ACAL = acalabrutinib, AE = adverse event, BEN = bendamustine, CHL = chlorambucil, NR = not reported, OBI = obinutuzumab, RIT = rituximab, ZANU = zanubrutinib</w:t>
      </w:r>
    </w:p>
    <w:p w14:paraId="28C7E38C" w14:textId="77777777" w:rsidR="00BA174F" w:rsidRDefault="00BA174F" w:rsidP="00BA174F">
      <w:pPr>
        <w:pStyle w:val="COMTablefooter"/>
      </w:pPr>
      <w:r>
        <w:rPr>
          <w:vertAlign w:val="superscript"/>
        </w:rPr>
        <w:t>a</w:t>
      </w:r>
      <w:r>
        <w:t xml:space="preserve"> Grade 3 or 4 for the CLL-14 trial.</w:t>
      </w:r>
    </w:p>
    <w:p w14:paraId="1DED3E84" w14:textId="19E79776" w:rsidR="00550A35" w:rsidRDefault="00BA174F" w:rsidP="00BA174F">
      <w:pPr>
        <w:pStyle w:val="COMexecsumnumberedpara"/>
      </w:pPr>
      <w:r>
        <w:t>The most commonly reported treatment emergent adverse events in the zanubrutinib non-17p deletion and 17p deletion arms of the SEQUOIA trial were contusion, upper respiratory tract infection, diarrhoea, arthralgia, neutropenia, hypertension, cough, rash, headache</w:t>
      </w:r>
      <w:r w:rsidR="009B2937">
        <w:t>,</w:t>
      </w:r>
      <w:r>
        <w:t xml:space="preserve"> constipation and nausea. </w:t>
      </w:r>
    </w:p>
    <w:p w14:paraId="2F78E1D4" w14:textId="01DA334C" w:rsidR="00550A35" w:rsidRDefault="00BA174F" w:rsidP="00BA174F">
      <w:pPr>
        <w:pStyle w:val="COMexecsumnumberedpara"/>
      </w:pPr>
      <w:r>
        <w:lastRenderedPageBreak/>
        <w:t xml:space="preserve">The most commonly reported Grade </w:t>
      </w:r>
      <w:r w:rsidRPr="12893FCA">
        <w:rPr>
          <w:rFonts w:cs="Calibri"/>
        </w:rPr>
        <w:t>≥</w:t>
      </w:r>
      <w:r>
        <w:t>3 adverse events in the zanubrutinib non-17p deletion and 17p deletion arms of the SEQUOIA trial were neutropeni</w:t>
      </w:r>
      <w:r w:rsidR="005D5D1E">
        <w:t>a</w:t>
      </w:r>
      <w:r>
        <w:t>, hypertension, COVID-19, neutrophil count decreased, pneumonia</w:t>
      </w:r>
      <w:r w:rsidR="005D5D1E">
        <w:t xml:space="preserve"> </w:t>
      </w:r>
      <w:r>
        <w:t xml:space="preserve">and atrial fibrillation. </w:t>
      </w:r>
    </w:p>
    <w:p w14:paraId="36672A26" w14:textId="77777777" w:rsidR="00550A35" w:rsidRDefault="00BA174F" w:rsidP="00BA174F">
      <w:pPr>
        <w:pStyle w:val="COMexecsumnumberedpara"/>
      </w:pPr>
      <w:r>
        <w:t xml:space="preserve">Based on a naïve comparison of the SEQUOIA, CLL-14 and ELEVATE-TN trials, almost all patients experienced at least one treatment emergent adverse event. The proportion of patients who experienced at least one Grade </w:t>
      </w:r>
      <w:r w:rsidRPr="12893FCA">
        <w:rPr>
          <w:rFonts w:cs="Calibri"/>
        </w:rPr>
        <w:t>≥</w:t>
      </w:r>
      <w:r>
        <w:t>3 adverse event (Grade 3 or 4 for the CLL-14 trial) was 52.5% and 55.0% for the zanubrutinib non-17p deletion and 17p deletion arms of the SEQUOIA trial, 78.8% for the venetoclax + obinutuzumab arm of the CLL-14 trial, and 70.2% and 49.7% for the acalabrutinib + obinutuzumab and acalabrutinib arms of the ELEVATE-TN trial.</w:t>
      </w:r>
    </w:p>
    <w:p w14:paraId="774BC15D" w14:textId="65D8D661" w:rsidR="00550A35" w:rsidRPr="00550A35" w:rsidRDefault="00BA174F" w:rsidP="006A1BBC">
      <w:pPr>
        <w:pStyle w:val="COMexecsumnumberedpara"/>
      </w:pPr>
      <w:bookmarkStart w:id="40" w:name="_Hlk124150287"/>
      <w:r>
        <w:t xml:space="preserve">The submission noted that zanubrutinib was associated with a lower incidence of Grade </w:t>
      </w:r>
      <w:r w:rsidRPr="12893FCA">
        <w:rPr>
          <w:rFonts w:cs="Calibri"/>
        </w:rPr>
        <w:t>≥</w:t>
      </w:r>
      <w:r>
        <w:t xml:space="preserve">3 neutropenia, thrombocytopenia, anaemia, leukopenia, febrile neutropenia, and a higher incidence of Grade </w:t>
      </w:r>
      <w:r w:rsidRPr="12893FCA">
        <w:rPr>
          <w:rFonts w:cs="Calibri"/>
        </w:rPr>
        <w:t>≥</w:t>
      </w:r>
      <w:r>
        <w:t xml:space="preserve">3 hypertension, atrial fibrillation and fall compared to venetoclax + obinutuzumab. The submission also noted the absence of Grade </w:t>
      </w:r>
      <w:r w:rsidRPr="12893FCA">
        <w:rPr>
          <w:rFonts w:cs="Calibri"/>
        </w:rPr>
        <w:t>≥</w:t>
      </w:r>
      <w:r>
        <w:t xml:space="preserve">3 infusion-related reactions among patients treated with zanubrutinib, which were reported in 9.0% of patients who received venetoclax + obinutuzumab. </w:t>
      </w:r>
      <w:bookmarkEnd w:id="40"/>
      <w:r>
        <w:t xml:space="preserve">The submission argued that the naïve comparison of Grade </w:t>
      </w:r>
      <w:r w:rsidRPr="12893FCA">
        <w:rPr>
          <w:rFonts w:cs="Calibri"/>
        </w:rPr>
        <w:t>≥</w:t>
      </w:r>
      <w:r>
        <w:t xml:space="preserve">3 adverse events supports the conclusion of non-inferior but different adverse event profile for zanubrutinib versus venetoclax + obinutuzumab. </w:t>
      </w:r>
      <w:r w:rsidR="00280983">
        <w:t xml:space="preserve">The results of the naïve comparison should be interpreted </w:t>
      </w:r>
      <w:r w:rsidR="00723770">
        <w:t xml:space="preserve">with caution </w:t>
      </w:r>
      <w:r w:rsidR="00280983">
        <w:t>due to potential differences in patient populations that may have impacted the occurrence of adverse events, and differences in treatment durations for zanubrutinib compared to fixed duration venetoclax + obinutuzumab.</w:t>
      </w:r>
    </w:p>
    <w:p w14:paraId="2B4C171E" w14:textId="01E3D7B6" w:rsidR="0067041E" w:rsidRDefault="00BA174F" w:rsidP="00BA174F">
      <w:pPr>
        <w:pStyle w:val="COMexecsumnumberedpara"/>
      </w:pPr>
      <w:r>
        <w:t xml:space="preserve">The submission claimed that the acalabrutinib monotherapy adverse events reported in the ELEVATE-TN trial were consistent with the adverse events for zanubrutinib reported in the SEQUOIA trial. The submission noted that while the incidences of headache and diarrhoea were higher in the acalabrutinib arm, zanubrutinib-treated patients had a higher incidence of hypertension. </w:t>
      </w:r>
      <w:r w:rsidR="008F0B87" w:rsidRPr="00CA2520">
        <w:rPr>
          <w:iCs/>
        </w:rPr>
        <w:t>The ESC noted that adverse events were broadly similar between zanubrutinib and acalabrutinib.</w:t>
      </w:r>
    </w:p>
    <w:p w14:paraId="23E8ACBE" w14:textId="5F0B273C" w:rsidR="00BA174F" w:rsidRDefault="00BA174F" w:rsidP="00BA174F">
      <w:pPr>
        <w:pStyle w:val="COMexecsumnumberedpara"/>
      </w:pPr>
      <w:r>
        <w:t xml:space="preserve">The submission noted that acalabrutinib + obinutuzumab </w:t>
      </w:r>
      <w:r w:rsidR="006F23F4">
        <w:t xml:space="preserve">was associated with a </w:t>
      </w:r>
      <w:r>
        <w:t xml:space="preserve">higher </w:t>
      </w:r>
      <w:r w:rsidR="006F23F4">
        <w:t xml:space="preserve">incidence </w:t>
      </w:r>
      <w:r>
        <w:t xml:space="preserve">of Grade </w:t>
      </w:r>
      <w:r w:rsidRPr="12893FCA">
        <w:rPr>
          <w:rFonts w:cs="Calibri"/>
        </w:rPr>
        <w:t>≥</w:t>
      </w:r>
      <w:r>
        <w:t xml:space="preserve">3 adverse events </w:t>
      </w:r>
      <w:r w:rsidR="00CA434C">
        <w:t>compared to the zanubrutinib non-17p deletion/17p deletion arms of the SEQUOIA</w:t>
      </w:r>
      <w:r w:rsidR="00E60DB3">
        <w:t xml:space="preserve"> trial</w:t>
      </w:r>
      <w:r w:rsidR="00CA434C">
        <w:t xml:space="preserve">, including </w:t>
      </w:r>
      <w:r w:rsidR="006F23F4">
        <w:t xml:space="preserve">a higher incidence of Grade </w:t>
      </w:r>
      <w:r w:rsidR="006F23F4" w:rsidRPr="12893FCA">
        <w:rPr>
          <w:rFonts w:cstheme="minorBidi"/>
        </w:rPr>
        <w:t>≥</w:t>
      </w:r>
      <w:r w:rsidR="006F23F4">
        <w:t xml:space="preserve">3 </w:t>
      </w:r>
      <w:r>
        <w:t>neutropenia, thrombocytopenia, anaemia and infusion-related reactions</w:t>
      </w:r>
      <w:r w:rsidR="0010485D">
        <w:t>.</w:t>
      </w:r>
    </w:p>
    <w:p w14:paraId="49ED0884" w14:textId="15537B57" w:rsidR="008F0B87" w:rsidRPr="00CA2520" w:rsidRDefault="008F0B87" w:rsidP="00BA174F">
      <w:pPr>
        <w:pStyle w:val="COMexecsumnumberedpara"/>
        <w:rPr>
          <w:iCs/>
        </w:rPr>
      </w:pPr>
      <w:r w:rsidRPr="00CA2520">
        <w:rPr>
          <w:iCs/>
        </w:rPr>
        <w:t>The ESC noted that treatment discontinuations occurred less frequently in patients treated with zanubrutinib or acalabrutinib compared to venetoclax plus obinutuzumab, and that venetoclax plus obinutuzumab was associated with a higher incidence of neutropenia, anaemia, thrombocytopenia and diarrhoea compared to zanubrutinib.</w:t>
      </w:r>
    </w:p>
    <w:p w14:paraId="04908C7F" w14:textId="415B9B7D" w:rsidR="007F1017" w:rsidRPr="00C31E62" w:rsidRDefault="007F1017" w:rsidP="00D86231">
      <w:pPr>
        <w:pStyle w:val="COMH2-non-numbered"/>
      </w:pPr>
      <w:bookmarkStart w:id="41" w:name="_Toc22897643"/>
      <w:bookmarkStart w:id="42" w:name="_Toc124179166"/>
      <w:bookmarkStart w:id="43" w:name="_Toc124853851"/>
      <w:r w:rsidRPr="00C31E62">
        <w:t>Benefits/harms</w:t>
      </w:r>
      <w:bookmarkEnd w:id="41"/>
      <w:bookmarkEnd w:id="42"/>
      <w:bookmarkEnd w:id="43"/>
    </w:p>
    <w:p w14:paraId="02B9BDE3" w14:textId="50FC590D" w:rsidR="007A1345" w:rsidRPr="00C31E62" w:rsidRDefault="00311D9B" w:rsidP="00B77046">
      <w:pPr>
        <w:pStyle w:val="COMexecsumnumberedpara"/>
      </w:pPr>
      <w:r w:rsidRPr="00C31E62">
        <w:rPr>
          <w:snapToGrid/>
          <w:lang w:val="en-US"/>
        </w:rPr>
        <w:t xml:space="preserve">A benefits and harms table </w:t>
      </w:r>
      <w:r w:rsidR="007F29A6">
        <w:rPr>
          <w:snapToGrid/>
          <w:lang w:val="en-US"/>
        </w:rPr>
        <w:t>wa</w:t>
      </w:r>
      <w:r w:rsidRPr="00C31E62">
        <w:rPr>
          <w:snapToGrid/>
          <w:lang w:val="en-US"/>
        </w:rPr>
        <w:t>s not presented as the submission made a claim of non-inferiority.</w:t>
      </w:r>
      <w:r w:rsidR="00E926A5" w:rsidRPr="00C31E62">
        <w:rPr>
          <w:snapToGrid/>
          <w:lang w:val="en-US"/>
        </w:rPr>
        <w:t xml:space="preserve"> </w:t>
      </w:r>
    </w:p>
    <w:p w14:paraId="7A1772B6" w14:textId="23BB3145" w:rsidR="00B60939" w:rsidRPr="00C31E62" w:rsidRDefault="00B60939" w:rsidP="00E9094A">
      <w:pPr>
        <w:pStyle w:val="COMH2-non-numbered"/>
      </w:pPr>
      <w:bookmarkStart w:id="44" w:name="_Toc22897644"/>
      <w:bookmarkStart w:id="45" w:name="_Toc124179167"/>
      <w:bookmarkStart w:id="46" w:name="_Toc124853852"/>
      <w:r w:rsidRPr="00C31E62">
        <w:lastRenderedPageBreak/>
        <w:t>Clinical claim</w:t>
      </w:r>
      <w:bookmarkEnd w:id="44"/>
      <w:bookmarkEnd w:id="45"/>
      <w:bookmarkEnd w:id="46"/>
    </w:p>
    <w:p w14:paraId="7DFB4C86" w14:textId="5C08F49B" w:rsidR="0067041E" w:rsidRPr="00021B9D" w:rsidRDefault="0067041E" w:rsidP="00E72C1F">
      <w:pPr>
        <w:pStyle w:val="COMexecsumnumberedpara"/>
        <w:rPr>
          <w:iCs/>
        </w:rPr>
      </w:pPr>
      <w:r>
        <w:t>The submission described zanubrutinib as non-inferior in terms of effectiveness compared with venetoclax + obinutuzumab, with a non-inferior but different safety profile.</w:t>
      </w:r>
      <w:r w:rsidR="00EC5839">
        <w:t xml:space="preserve"> </w:t>
      </w:r>
      <w:r>
        <w:t>Th</w:t>
      </w:r>
      <w:r w:rsidR="00E96FF0">
        <w:t>e evaluation considered th</w:t>
      </w:r>
      <w:r>
        <w:t>is claim was not adequately supported:</w:t>
      </w:r>
    </w:p>
    <w:p w14:paraId="10A12719" w14:textId="77777777" w:rsidR="000F3152" w:rsidRPr="00021B9D" w:rsidRDefault="000F3152" w:rsidP="0022778F">
      <w:pPr>
        <w:pStyle w:val="COMexecsummbulletlist"/>
      </w:pPr>
      <w:r w:rsidRPr="00021B9D">
        <w:t>The clinical comparison was limited due to the absence of head-to-head clinical trials comparing zanubrutinib and venetoclax + obinutuzumab, and the lack of a common reference arm in the SEQUOIA and CLL-14 trials to facilitate an indirect comparison.</w:t>
      </w:r>
    </w:p>
    <w:p w14:paraId="32867DE5" w14:textId="7F49D0FD" w:rsidR="000F3152" w:rsidRPr="00021B9D" w:rsidRDefault="000F3152" w:rsidP="0022778F">
      <w:pPr>
        <w:pStyle w:val="COMexecsummbulletlist"/>
      </w:pPr>
      <w:r w:rsidRPr="00021B9D">
        <w:t>The results of the</w:t>
      </w:r>
      <w:r w:rsidR="00202AE8" w:rsidRPr="00021B9D">
        <w:t xml:space="preserve"> unanchored unadjusted (</w:t>
      </w:r>
      <w:r w:rsidR="00A9138E" w:rsidRPr="00021B9D">
        <w:t>naïve</w:t>
      </w:r>
      <w:r w:rsidR="00202AE8" w:rsidRPr="00021B9D">
        <w:t>)</w:t>
      </w:r>
      <w:r w:rsidR="00A9138E" w:rsidRPr="00021B9D">
        <w:t xml:space="preserve"> indirect comparisons of progression-free survival and overall survival may not be reliable due to differences in patient populations between the trials and the immaturity of the clinical evidence for zanubrutinib</w:t>
      </w:r>
      <w:r w:rsidRPr="00021B9D">
        <w:t>.</w:t>
      </w:r>
    </w:p>
    <w:p w14:paraId="526D0D11" w14:textId="77777777" w:rsidR="000F3152" w:rsidRPr="00021B9D" w:rsidRDefault="000F3152" w:rsidP="0022778F">
      <w:pPr>
        <w:pStyle w:val="COMexecsummbulletlist"/>
      </w:pPr>
      <w:r w:rsidRPr="00021B9D">
        <w:t xml:space="preserve">The results of the MAICs for progression-free survival and overall survival should be interpreted with caution due to the immaturity of clinical data for the SEQUOIA trial, wide confidence intervals around the point estimates, and the risk of bias associated with selective exclusion of variables for matching. </w:t>
      </w:r>
    </w:p>
    <w:p w14:paraId="41AADF83" w14:textId="77777777" w:rsidR="00A9138E" w:rsidRPr="00021B9D" w:rsidRDefault="000F3152" w:rsidP="0022778F">
      <w:pPr>
        <w:pStyle w:val="COMexecsummbulletlist"/>
      </w:pPr>
      <w:r w:rsidRPr="00021B9D">
        <w:t>No non-inferiority margins for progression-free survival or overall survival were proposed in the submission. The lack of a statistically significant difference may not be sufficient to establish non-inferiority, as the 95% confidence intervals were wide and may include clinically important differences.</w:t>
      </w:r>
    </w:p>
    <w:p w14:paraId="6D53C410" w14:textId="3CF6BD73" w:rsidR="00A9138E" w:rsidRPr="00021B9D" w:rsidRDefault="00A9138E" w:rsidP="0022778F">
      <w:pPr>
        <w:pStyle w:val="COMexecsummbulletlist"/>
      </w:pPr>
      <w:r>
        <w:t>The results of the naïve safety comparison should be interpreted with caution due to potential differences in patient populations that may have impacted the occurrence of adverse events, and differences in treatment durations for zanubrutinib compared to fixed duration venetoclax + obinutuzumab.</w:t>
      </w:r>
    </w:p>
    <w:p w14:paraId="3700FE7B" w14:textId="31619635" w:rsidR="007C77A1" w:rsidRDefault="008C777A" w:rsidP="003115A7">
      <w:pPr>
        <w:pStyle w:val="COMexecsumnumberedpara"/>
      </w:pPr>
      <w:r w:rsidRPr="00CA2520">
        <w:t xml:space="preserve">The ESC acknowledged that the above concerns add uncertainty to the clinical comparison, however on balance, considered that the clinical claim of non-inferiority of zanubrutinib compared </w:t>
      </w:r>
      <w:r w:rsidR="006877C7" w:rsidRPr="00CA2520">
        <w:t xml:space="preserve">to </w:t>
      </w:r>
      <w:r w:rsidR="00B81552" w:rsidRPr="00CA2520">
        <w:t xml:space="preserve">venetoclax </w:t>
      </w:r>
      <w:r w:rsidR="007C77A1">
        <w:t>plus</w:t>
      </w:r>
      <w:r w:rsidR="007C77A1" w:rsidRPr="00CA2520">
        <w:t xml:space="preserve"> </w:t>
      </w:r>
      <w:r w:rsidR="00B81552" w:rsidRPr="00CA2520">
        <w:t>obinutuzumab</w:t>
      </w:r>
      <w:r w:rsidRPr="00CA2520">
        <w:t xml:space="preserve"> was met</w:t>
      </w:r>
      <w:r w:rsidR="00B81552" w:rsidRPr="00CA2520">
        <w:t>.</w:t>
      </w:r>
      <w:r w:rsidR="007C77A1">
        <w:t xml:space="preserve"> </w:t>
      </w:r>
    </w:p>
    <w:p w14:paraId="09BB4227" w14:textId="07CC49B2" w:rsidR="007C77A1" w:rsidRPr="007C77A1" w:rsidRDefault="007C77A1" w:rsidP="007C77A1">
      <w:pPr>
        <w:pStyle w:val="COMexecsumnumberedpara"/>
      </w:pPr>
      <w:r w:rsidRPr="007C77A1">
        <w:t xml:space="preserve">The PBAC considered that the clinical claims of non-inferior </w:t>
      </w:r>
      <w:r w:rsidR="00193990">
        <w:t>effectiveness</w:t>
      </w:r>
      <w:r w:rsidRPr="007C77A1">
        <w:t xml:space="preserve"> and safety for zanubrutinib versus venetoclax plus obinutuzumab were reasonably supported by the data, but with some uncertainty given the indirect treatment comparisons presented and the immaturity of the clinical evidence particularly for overall survival.</w:t>
      </w:r>
    </w:p>
    <w:p w14:paraId="4733C86B" w14:textId="3400A5D0" w:rsidR="0067041E" w:rsidRPr="00021B9D" w:rsidRDefault="0067041E" w:rsidP="003115A7">
      <w:pPr>
        <w:pStyle w:val="COMexecsumnumberedpara"/>
        <w:rPr>
          <w:iCs/>
        </w:rPr>
      </w:pPr>
      <w:r>
        <w:t>The submission described zanubrutinib as non-inferior in terms of effectiveness and safety compared to acalabrutinib.</w:t>
      </w:r>
      <w:r w:rsidR="00EC5839">
        <w:t xml:space="preserve"> </w:t>
      </w:r>
      <w:r>
        <w:t>Th</w:t>
      </w:r>
      <w:r w:rsidR="00E96FF0">
        <w:t>e evaluation considered th</w:t>
      </w:r>
      <w:r>
        <w:t>is claim was not adequately supported:</w:t>
      </w:r>
    </w:p>
    <w:p w14:paraId="410C96D0" w14:textId="77777777" w:rsidR="000F3152" w:rsidRPr="00021B9D" w:rsidRDefault="000F3152" w:rsidP="0022778F">
      <w:pPr>
        <w:pStyle w:val="COMexecsummbulletlist"/>
      </w:pPr>
      <w:r w:rsidRPr="00021B9D">
        <w:t xml:space="preserve">While zanubrutinib and acalabrutinib share the same mechanism of action, the clinical comparison was limited due to the absence of head-to-head clinical trials comparing zanubrutinib and acalabrutinib, and the lack of a common reference arm in the SEQUOIA and ELEVATE-TN trials to facilitate an indirect comparison. </w:t>
      </w:r>
    </w:p>
    <w:p w14:paraId="59D1969F" w14:textId="0820C389" w:rsidR="000F3152" w:rsidRPr="00021B9D" w:rsidRDefault="00A9138E" w:rsidP="0022778F">
      <w:pPr>
        <w:pStyle w:val="COMexecsummbulletlist"/>
      </w:pPr>
      <w:r w:rsidRPr="00021B9D">
        <w:lastRenderedPageBreak/>
        <w:t>The results of the</w:t>
      </w:r>
      <w:r w:rsidR="00202AE8" w:rsidRPr="00021B9D">
        <w:t xml:space="preserve"> unanchored unadjusted (</w:t>
      </w:r>
      <w:r w:rsidRPr="00021B9D">
        <w:t>naïve</w:t>
      </w:r>
      <w:r w:rsidR="00202AE8" w:rsidRPr="00021B9D">
        <w:t>)</w:t>
      </w:r>
      <w:r w:rsidRPr="00021B9D">
        <w:t xml:space="preserve"> indirect comparisons of progression-free survival and overall survival may not be reliable due to differences in patient populations between the trials, and the immaturity of the clinical evidence for zanubrutinib</w:t>
      </w:r>
      <w:r w:rsidR="000F3152" w:rsidRPr="00021B9D">
        <w:t>.</w:t>
      </w:r>
    </w:p>
    <w:p w14:paraId="7C0B92BC" w14:textId="77777777" w:rsidR="000F3152" w:rsidRPr="00021B9D" w:rsidRDefault="000F3152" w:rsidP="0022778F">
      <w:pPr>
        <w:pStyle w:val="COMexecsummbulletlist"/>
      </w:pPr>
      <w:r w:rsidRPr="00021B9D">
        <w:t xml:space="preserve">The results of the MAICs for progression-free survival and overall survival should be interpreted with caution due to the immaturity of clinical data for the SEQUOIA trial, wide confidence intervals around the point estimates, and the risk of bias associated with selective exclusion of variables for matching. </w:t>
      </w:r>
    </w:p>
    <w:p w14:paraId="2C762881" w14:textId="77777777" w:rsidR="00A9138E" w:rsidRPr="00021B9D" w:rsidRDefault="000F3152" w:rsidP="0022778F">
      <w:pPr>
        <w:pStyle w:val="COMexecsummbulletlist"/>
      </w:pPr>
      <w:r w:rsidRPr="00021B9D">
        <w:t>No non-inferiority margins for progression-free survival or overall survival were proposed in the submission. The lack of a statistically significant difference may not be sufficient to establish non-inferiority, as the 95% confidence intervals were wide and may include clinically important differences.</w:t>
      </w:r>
    </w:p>
    <w:p w14:paraId="62F5C4DD" w14:textId="28713226" w:rsidR="00A9138E" w:rsidRPr="00021B9D" w:rsidRDefault="00A9138E" w:rsidP="0022778F">
      <w:pPr>
        <w:pStyle w:val="COMexecsummbulletlist"/>
      </w:pPr>
      <w:r w:rsidRPr="12893FCA">
        <w:rPr>
          <w:snapToGrid/>
        </w:rPr>
        <w:t xml:space="preserve">While the incidence of Grade </w:t>
      </w:r>
      <w:r w:rsidRPr="12893FCA">
        <w:rPr>
          <w:rFonts w:cs="Calibri"/>
          <w:snapToGrid/>
        </w:rPr>
        <w:t>≥</w:t>
      </w:r>
      <w:r w:rsidRPr="12893FCA">
        <w:rPr>
          <w:snapToGrid/>
        </w:rPr>
        <w:t>3 adverse events appeared broadly similar between zanubrutinib and acalabrutinib, the naïve safety comparison should be interpreted with caution due to potential differences in patient populations that may have impacted the occurrence of adverse events.</w:t>
      </w:r>
    </w:p>
    <w:p w14:paraId="5AA77965" w14:textId="77777777" w:rsidR="00DA214B" w:rsidRPr="00021B9D" w:rsidRDefault="0067041E" w:rsidP="00DA214B">
      <w:pPr>
        <w:pStyle w:val="COMexecsumnumberedpara"/>
        <w:rPr>
          <w:iCs/>
        </w:rPr>
      </w:pPr>
      <w:r>
        <w:t xml:space="preserve">The </w:t>
      </w:r>
      <w:bookmarkStart w:id="47" w:name="_Hlk76376200"/>
      <w:r w:rsidR="00DA214B">
        <w:t xml:space="preserve">submission described zanubrutinib as non-inferior in terms of effectiveness and safety compared to acalabrutinib + obinutuzumab. The evaluation considered this claim was not adequately supported: </w:t>
      </w:r>
    </w:p>
    <w:p w14:paraId="65E8FBA5" w14:textId="77777777" w:rsidR="00DA214B" w:rsidRPr="00021B9D" w:rsidRDefault="00DA214B" w:rsidP="0022778F">
      <w:pPr>
        <w:pStyle w:val="COMexecsummbulletlist"/>
      </w:pPr>
      <w:r w:rsidRPr="00021B9D">
        <w:t>The clinical comparison was limited due to the absence of head-to-head clinical trials comparing zanubrutinib and acalabrutinib + obinutuzumab, and the lack of a common reference arm in the SEQUOIA and ELEVATE-TN trials to facilitate an indirect comparison. The submission did not present statistical testing for the difference between zanubrutinib versus acalabrutinib in the unanchored unadjusted (naïve) comparison, or a MAIC for zanubrutinib versus acalabrutinib + obinutuzumab.</w:t>
      </w:r>
    </w:p>
    <w:p w14:paraId="360ACE9F" w14:textId="77777777" w:rsidR="00DA214B" w:rsidRPr="00021B9D" w:rsidRDefault="00DA214B" w:rsidP="0022778F">
      <w:pPr>
        <w:pStyle w:val="COMexecsummbulletlist"/>
      </w:pPr>
      <w:r w:rsidRPr="00021B9D">
        <w:t xml:space="preserve">Based on a naïve comparison, a higher proportion of patients in the acalabrutinib + obinutuzumab arm of the ELEVATE-TN trial (92.7%) remained free from disease progression at 24 months compared to the zanubrutinib non-17p deletion arm of the SEQUOIA trial (85.5%). Treatment with acalabrutinib + obinutuzumab was associated with a numerically higher incidence of Grade </w:t>
      </w:r>
      <w:r w:rsidRPr="00021B9D">
        <w:rPr>
          <w:rFonts w:cstheme="minorHAnsi"/>
        </w:rPr>
        <w:t>≥</w:t>
      </w:r>
      <w:r w:rsidRPr="00021B9D">
        <w:t>3 adverse events. However, the results of the naïve comparison should be interpreted with caution due to differences in patient populations between the trials, and the immaturity of the clinical evidence for zanubrutinib.</w:t>
      </w:r>
    </w:p>
    <w:p w14:paraId="57A56FE5" w14:textId="77777777" w:rsidR="00DA214B" w:rsidRDefault="00DA214B" w:rsidP="0022778F">
      <w:pPr>
        <w:pStyle w:val="COMexecsummbulletlist"/>
      </w:pPr>
      <w:r w:rsidRPr="00021B9D">
        <w:t xml:space="preserve">It remains unclear whether combination therapy with a BTK inhibitor + a CD20 antibody will lead to improved survival outcomes compared to BTK inhibitor monotherapy. A post hoc analysis of results for the ELEVATE-TN trial conducted at a median follow-up of 58.2 months (Sharman et al., 2022) was suggestive of a statistically significant difference in investigator-assessed progression-free survival for acalabrutinib + obinutuzumab versus acalabrutinib monotherapy. A </w:t>
      </w:r>
      <w:r w:rsidRPr="00021B9D">
        <w:lastRenderedPageBreak/>
        <w:t xml:space="preserve">higher proportion of patients in the acalabrutinib + obinutuzumab arm were alive at 60 months compared to the acalabrutinib monotherapy arm, although the difference in overall survival was not statistically significant. </w:t>
      </w:r>
    </w:p>
    <w:p w14:paraId="74A1172E" w14:textId="128C170E" w:rsidR="00B60939" w:rsidRPr="00C31E62" w:rsidRDefault="00B60939" w:rsidP="00E9094A">
      <w:pPr>
        <w:pStyle w:val="COMH2-non-numbered"/>
      </w:pPr>
      <w:bookmarkStart w:id="48" w:name="_Toc22897645"/>
      <w:bookmarkStart w:id="49" w:name="_Toc124179168"/>
      <w:bookmarkStart w:id="50" w:name="_Toc124853853"/>
      <w:bookmarkEnd w:id="47"/>
      <w:r w:rsidRPr="00C31E62">
        <w:t>Economic analysis</w:t>
      </w:r>
      <w:bookmarkEnd w:id="48"/>
      <w:bookmarkEnd w:id="49"/>
      <w:bookmarkEnd w:id="50"/>
      <w:r w:rsidR="00491B3A" w:rsidRPr="00C31E62">
        <w:t xml:space="preserve"> </w:t>
      </w:r>
    </w:p>
    <w:p w14:paraId="407BFFFC" w14:textId="4F34438B" w:rsidR="005A2B1B" w:rsidRDefault="00E76633" w:rsidP="00432842">
      <w:pPr>
        <w:pStyle w:val="COMexecsumnumberedpara"/>
      </w:pPr>
      <w:r>
        <w:t>The submission presented a cost-minimisation of zanubrutinib versus venetoclax + obinutuzumab for patients with previously untreated CLL/SLL who are inappropriate for treatment with fludarabine-based chemoimmunotherapy.</w:t>
      </w:r>
      <w:r w:rsidR="00432842">
        <w:t xml:space="preserve"> </w:t>
      </w:r>
      <w:r w:rsidR="005A2B1B">
        <w:t xml:space="preserve">Key components of the cost-minimisation approach are summarised in </w:t>
      </w:r>
      <w:r>
        <w:fldChar w:fldCharType="begin" w:fldLock="1"/>
      </w:r>
      <w:r>
        <w:instrText xml:space="preserve"> REF _Ref123999919 \h </w:instrText>
      </w:r>
      <w:r>
        <w:fldChar w:fldCharType="separate"/>
      </w:r>
      <w:r w:rsidR="00540D87" w:rsidRPr="00C31E62">
        <w:t xml:space="preserve">Table </w:t>
      </w:r>
      <w:r w:rsidR="00540D87">
        <w:rPr>
          <w:noProof/>
        </w:rPr>
        <w:t>9</w:t>
      </w:r>
      <w:r>
        <w:fldChar w:fldCharType="end"/>
      </w:r>
      <w:r w:rsidR="002952E1">
        <w:t>.</w:t>
      </w:r>
    </w:p>
    <w:p w14:paraId="2D6CE878" w14:textId="07986721" w:rsidR="005A2B1B" w:rsidRPr="00C31E62" w:rsidRDefault="005A2B1B" w:rsidP="005A2B1B">
      <w:pPr>
        <w:pStyle w:val="COMtablefigcaption"/>
        <w:rPr>
          <w:b w:val="0"/>
        </w:rPr>
      </w:pPr>
      <w:bookmarkStart w:id="51" w:name="_Ref123999919"/>
      <w:r w:rsidRPr="00C31E62">
        <w:t xml:space="preserve">Table </w:t>
      </w:r>
      <w:fldSimple w:instr=" SEQ Table \* ARABIC " w:fldLock="1">
        <w:r w:rsidR="00540D87">
          <w:rPr>
            <w:noProof/>
          </w:rPr>
          <w:t>9</w:t>
        </w:r>
      </w:fldSimple>
      <w:bookmarkEnd w:id="51"/>
      <w:r w:rsidRPr="00C31E62">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5A2B1B" w:rsidRPr="00C31E62" w14:paraId="7A00D3E5" w14:textId="77777777" w:rsidTr="006A1BBC">
        <w:tc>
          <w:tcPr>
            <w:tcW w:w="2660" w:type="dxa"/>
            <w:vAlign w:val="center"/>
          </w:tcPr>
          <w:p w14:paraId="461F180A" w14:textId="77777777" w:rsidR="005A2B1B" w:rsidRPr="00C31E62" w:rsidRDefault="005A2B1B" w:rsidP="006A1BBC">
            <w:pPr>
              <w:pStyle w:val="COMTableheadingrow"/>
            </w:pPr>
            <w:r w:rsidRPr="00C31E62">
              <w:t>Component</w:t>
            </w:r>
          </w:p>
        </w:tc>
        <w:tc>
          <w:tcPr>
            <w:tcW w:w="6520" w:type="dxa"/>
            <w:vAlign w:val="center"/>
          </w:tcPr>
          <w:p w14:paraId="31EA064F" w14:textId="77777777" w:rsidR="005A2B1B" w:rsidRPr="00C31E62" w:rsidRDefault="005A2B1B" w:rsidP="006A1BBC">
            <w:pPr>
              <w:pStyle w:val="COMTableheadingrow"/>
            </w:pPr>
            <w:r w:rsidRPr="00C31E62">
              <w:t>Claim or assumption</w:t>
            </w:r>
          </w:p>
        </w:tc>
      </w:tr>
      <w:tr w:rsidR="005A2B1B" w:rsidRPr="00C31E62" w14:paraId="7576E780" w14:textId="77777777" w:rsidTr="006A1BBC">
        <w:tc>
          <w:tcPr>
            <w:tcW w:w="2660" w:type="dxa"/>
            <w:vAlign w:val="center"/>
          </w:tcPr>
          <w:p w14:paraId="0CCDF82C" w14:textId="77777777" w:rsidR="005A2B1B" w:rsidRPr="00C31E62" w:rsidRDefault="005A2B1B" w:rsidP="006A1BBC">
            <w:pPr>
              <w:pStyle w:val="COMTabletext"/>
            </w:pPr>
            <w:r w:rsidRPr="00C31E62">
              <w:t>Therapeutic claim: effectiveness</w:t>
            </w:r>
          </w:p>
        </w:tc>
        <w:tc>
          <w:tcPr>
            <w:tcW w:w="6520" w:type="dxa"/>
            <w:vAlign w:val="center"/>
          </w:tcPr>
          <w:p w14:paraId="54B66CC0" w14:textId="4333EE5B" w:rsidR="005A2B1B" w:rsidRPr="00C31E62" w:rsidRDefault="005A2B1B" w:rsidP="006A1BBC">
            <w:pPr>
              <w:pStyle w:val="COMTabletext"/>
            </w:pPr>
            <w:r w:rsidRPr="00453FFA">
              <w:t xml:space="preserve">The submission claimed non-inferior effectiveness, based on evidence presented in </w:t>
            </w:r>
            <w:r w:rsidR="00C916A7">
              <w:t>the clinical evaluation</w:t>
            </w:r>
            <w:r>
              <w:t>.</w:t>
            </w:r>
          </w:p>
        </w:tc>
      </w:tr>
      <w:tr w:rsidR="005A2B1B" w:rsidRPr="00C31E62" w14:paraId="1AEB2DBD" w14:textId="77777777" w:rsidTr="006A1BBC">
        <w:tc>
          <w:tcPr>
            <w:tcW w:w="2660" w:type="dxa"/>
            <w:vAlign w:val="center"/>
          </w:tcPr>
          <w:p w14:paraId="6D9C0CF6" w14:textId="77777777" w:rsidR="005A2B1B" w:rsidRPr="00C31E62" w:rsidRDefault="005A2B1B" w:rsidP="006A1BBC">
            <w:pPr>
              <w:pStyle w:val="COMTabletext"/>
            </w:pPr>
            <w:r w:rsidRPr="00C31E62">
              <w:t>Therapeutic claim: safety</w:t>
            </w:r>
          </w:p>
        </w:tc>
        <w:tc>
          <w:tcPr>
            <w:tcW w:w="6520" w:type="dxa"/>
            <w:vAlign w:val="center"/>
          </w:tcPr>
          <w:p w14:paraId="16AA3620" w14:textId="3A4BF7D8" w:rsidR="005A2B1B" w:rsidRPr="00C31E62" w:rsidRDefault="005A2B1B" w:rsidP="006A1BBC">
            <w:pPr>
              <w:pStyle w:val="COMTabletext"/>
            </w:pPr>
            <w:r w:rsidRPr="00453FFA">
              <w:t xml:space="preserve">The submission claimed non-inferior </w:t>
            </w:r>
            <w:r>
              <w:t>(but different) safety</w:t>
            </w:r>
            <w:r w:rsidRPr="00453FFA">
              <w:t xml:space="preserve">, based on evidence presented in </w:t>
            </w:r>
            <w:r w:rsidR="00C916A7">
              <w:t>the clinical evaluation</w:t>
            </w:r>
            <w:r>
              <w:t>.</w:t>
            </w:r>
          </w:p>
        </w:tc>
      </w:tr>
      <w:tr w:rsidR="005A2B1B" w:rsidRPr="00C31E62" w14:paraId="1C1CAA20" w14:textId="77777777" w:rsidTr="006A1BBC">
        <w:tc>
          <w:tcPr>
            <w:tcW w:w="2660" w:type="dxa"/>
            <w:vAlign w:val="center"/>
          </w:tcPr>
          <w:p w14:paraId="4B466368" w14:textId="77777777" w:rsidR="005A2B1B" w:rsidRPr="00C31E62" w:rsidRDefault="005A2B1B" w:rsidP="006A1BBC">
            <w:pPr>
              <w:pStyle w:val="COMTabletext"/>
            </w:pPr>
            <w:r w:rsidRPr="00C31E62">
              <w:t>Evidence base</w:t>
            </w:r>
          </w:p>
        </w:tc>
        <w:tc>
          <w:tcPr>
            <w:tcW w:w="6520" w:type="dxa"/>
            <w:vAlign w:val="center"/>
          </w:tcPr>
          <w:p w14:paraId="66606C03" w14:textId="69AC51A7" w:rsidR="005A2B1B" w:rsidRPr="00C31E62" w:rsidRDefault="00334B8D" w:rsidP="006A1BBC">
            <w:pPr>
              <w:pStyle w:val="COMTabletext"/>
            </w:pPr>
            <w:r>
              <w:t>Unanchored unadjusted (naïve) indirect</w:t>
            </w:r>
            <w:r w:rsidR="005A2B1B">
              <w:t xml:space="preserve"> comparison and unanchored MAIC of zanubrutinib (SEQUOIA trial) versus venetoclax + obinutuzumab (CLL-14).</w:t>
            </w:r>
          </w:p>
        </w:tc>
      </w:tr>
      <w:tr w:rsidR="005A2B1B" w:rsidRPr="00C31E62" w14:paraId="66EEA212" w14:textId="77777777" w:rsidTr="006A1BBC">
        <w:tc>
          <w:tcPr>
            <w:tcW w:w="2660" w:type="dxa"/>
            <w:vAlign w:val="center"/>
          </w:tcPr>
          <w:p w14:paraId="12B74AD8" w14:textId="77777777" w:rsidR="005A2B1B" w:rsidRPr="00C31E62" w:rsidRDefault="005A2B1B" w:rsidP="006A1BBC">
            <w:pPr>
              <w:pStyle w:val="COMTabletext"/>
            </w:pPr>
            <w:r w:rsidRPr="00C31E62">
              <w:t>Equi-effective doses</w:t>
            </w:r>
          </w:p>
        </w:tc>
        <w:tc>
          <w:tcPr>
            <w:tcW w:w="6520" w:type="dxa"/>
            <w:vAlign w:val="center"/>
          </w:tcPr>
          <w:p w14:paraId="155E4182" w14:textId="77777777" w:rsidR="00C916A7" w:rsidRDefault="005A2B1B" w:rsidP="006A1BBC">
            <w:pPr>
              <w:pStyle w:val="COMTabletext"/>
            </w:pPr>
            <w:r>
              <w:t xml:space="preserve">One initial and 8.67 continuing venetoclax scripts plus </w:t>
            </w:r>
            <w:r w:rsidRPr="007C3BCF">
              <w:t>7.3</w:t>
            </w:r>
            <w:r w:rsidR="00B749B5" w:rsidRPr="007C3BCF">
              <w:t>5</w:t>
            </w:r>
            <w:r w:rsidRPr="007C3BCF">
              <w:t>5</w:t>
            </w:r>
            <w:r>
              <w:t xml:space="preserve"> obinutuzumab scripts are equivalent to 67.02 </w:t>
            </w:r>
            <w:r w:rsidRPr="00CD6CD8">
              <w:t>zanubrutinib</w:t>
            </w:r>
            <w:r>
              <w:t xml:space="preserve"> scripts</w:t>
            </w:r>
            <w:r w:rsidRPr="00CD6CD8">
              <w:t xml:space="preserve"> (69.6 months of treatment at a dose of 320 mg per day, assuming a </w:t>
            </w:r>
            <w:r w:rsidR="00551C63">
              <w:t xml:space="preserve">mean </w:t>
            </w:r>
            <w:r w:rsidRPr="00CD6CD8">
              <w:t>dose intensity of 94.95%</w:t>
            </w:r>
            <w:r w:rsidR="000F6C35">
              <w:t>;</w:t>
            </w:r>
            <w:r w:rsidR="00752B5C">
              <w:t xml:space="preserve"> i.e.</w:t>
            </w:r>
            <w:r w:rsidR="000F6C35">
              <w:t>,</w:t>
            </w:r>
            <w:r w:rsidR="00752B5C">
              <w:t xml:space="preserve"> 304 mg per day</w:t>
            </w:r>
            <w:r w:rsidRPr="00CD6CD8">
              <w:t>).</w:t>
            </w:r>
            <w:r w:rsidR="00EE114C">
              <w:t>*</w:t>
            </w:r>
            <w:r>
              <w:t xml:space="preserve"> </w:t>
            </w:r>
          </w:p>
          <w:p w14:paraId="1CBF034F" w14:textId="5CA7330C" w:rsidR="005A2B1B" w:rsidRPr="00C31E62" w:rsidRDefault="005A2B1B" w:rsidP="006A1BBC">
            <w:pPr>
              <w:pStyle w:val="COMTabletext"/>
            </w:pPr>
            <w:r w:rsidRPr="00F81D96">
              <w:t>The cost</w:t>
            </w:r>
            <w:r w:rsidR="007F29A6">
              <w:t>-</w:t>
            </w:r>
            <w:r w:rsidRPr="00F81D96">
              <w:t xml:space="preserve">minimisation was conducted over </w:t>
            </w:r>
            <w:r>
              <w:t>10 years.</w:t>
            </w:r>
          </w:p>
        </w:tc>
      </w:tr>
      <w:tr w:rsidR="005A2B1B" w:rsidRPr="00C31E62" w14:paraId="334BC46F" w14:textId="77777777" w:rsidTr="006A1BBC">
        <w:tc>
          <w:tcPr>
            <w:tcW w:w="2660" w:type="dxa"/>
            <w:vAlign w:val="center"/>
          </w:tcPr>
          <w:p w14:paraId="6BCC8B77" w14:textId="77777777" w:rsidR="005A2B1B" w:rsidRPr="00C31E62" w:rsidRDefault="005A2B1B" w:rsidP="006A1BBC">
            <w:pPr>
              <w:pStyle w:val="COMTabletext"/>
            </w:pPr>
            <w:r w:rsidRPr="00C31E62">
              <w:t>Direct medicine costs</w:t>
            </w:r>
          </w:p>
        </w:tc>
        <w:tc>
          <w:tcPr>
            <w:tcW w:w="6520" w:type="dxa"/>
            <w:vAlign w:val="center"/>
          </w:tcPr>
          <w:p w14:paraId="626C4BFC" w14:textId="209B79E2" w:rsidR="005A2B1B" w:rsidRPr="004236B2" w:rsidRDefault="005A2B1B" w:rsidP="006A1BBC">
            <w:pPr>
              <w:pStyle w:val="COMTabletext"/>
            </w:pPr>
            <w:r w:rsidRPr="004236B2">
              <w:t>Venetoclax: $1,645.30 (initial script) and $7,623.02 (continuing script)</w:t>
            </w:r>
            <w:r w:rsidR="0073102B">
              <w:t xml:space="preserve"> </w:t>
            </w:r>
            <w:r w:rsidR="0073102B">
              <w:rPr>
                <w:vertAlign w:val="superscript"/>
              </w:rPr>
              <w:t>a</w:t>
            </w:r>
            <w:r w:rsidRPr="004236B2">
              <w:t xml:space="preserve"> </w:t>
            </w:r>
          </w:p>
          <w:p w14:paraId="6FABF7BB" w14:textId="1DB7E86E" w:rsidR="005A2B1B" w:rsidRPr="004236B2" w:rsidRDefault="005A2B1B" w:rsidP="006A1BBC">
            <w:pPr>
              <w:pStyle w:val="COMTabletext"/>
              <w:rPr>
                <w:vertAlign w:val="superscript"/>
              </w:rPr>
            </w:pPr>
            <w:r w:rsidRPr="004236B2">
              <w:t>Obinutuzumab: $5,028.35 per script</w:t>
            </w:r>
            <w:r w:rsidR="0073102B">
              <w:t xml:space="preserve"> </w:t>
            </w:r>
            <w:r w:rsidR="0073102B">
              <w:rPr>
                <w:vertAlign w:val="superscript"/>
              </w:rPr>
              <w:t>a</w:t>
            </w:r>
          </w:p>
        </w:tc>
      </w:tr>
      <w:tr w:rsidR="005A2B1B" w:rsidRPr="00C31E62" w14:paraId="6CE43EC5" w14:textId="77777777" w:rsidTr="006A1BBC">
        <w:tc>
          <w:tcPr>
            <w:tcW w:w="2660" w:type="dxa"/>
            <w:vAlign w:val="center"/>
          </w:tcPr>
          <w:p w14:paraId="7CBBA7C5" w14:textId="77777777" w:rsidR="005A2B1B" w:rsidRPr="00C31E62" w:rsidRDefault="005A2B1B" w:rsidP="006A1BBC">
            <w:pPr>
              <w:pStyle w:val="COMTabletext"/>
            </w:pPr>
            <w:r w:rsidRPr="00C31E62">
              <w:t>Other costs or cost offsets</w:t>
            </w:r>
          </w:p>
        </w:tc>
        <w:tc>
          <w:tcPr>
            <w:tcW w:w="6520" w:type="dxa"/>
            <w:vAlign w:val="center"/>
          </w:tcPr>
          <w:p w14:paraId="46201B6A" w14:textId="409C466D" w:rsidR="005A2B1B" w:rsidRPr="004236B2" w:rsidRDefault="005A2B1B" w:rsidP="006A1BBC">
            <w:pPr>
              <w:pStyle w:val="COMTabletext"/>
            </w:pPr>
            <w:r w:rsidRPr="004236B2">
              <w:t>Obinutuzumab administration costs: $1,256.20</w:t>
            </w:r>
            <w:r w:rsidR="006415DB">
              <w:t xml:space="preserve"> *</w:t>
            </w:r>
          </w:p>
          <w:p w14:paraId="58C88C3F" w14:textId="3AE35FC6" w:rsidR="005A2B1B" w:rsidRPr="004236B2" w:rsidRDefault="005A2B1B" w:rsidP="006A1BBC">
            <w:pPr>
              <w:pStyle w:val="COMTabletext"/>
            </w:pPr>
            <w:r w:rsidRPr="004236B2">
              <w:t>Obinutuzumab specialist visit costs: $896.50</w:t>
            </w:r>
            <w:r w:rsidR="006415DB">
              <w:t xml:space="preserve"> *</w:t>
            </w:r>
          </w:p>
          <w:p w14:paraId="20B92574" w14:textId="0A3BEE5C" w:rsidR="005A2B1B" w:rsidRPr="004236B2" w:rsidRDefault="005A2B1B" w:rsidP="006A1BBC">
            <w:pPr>
              <w:pStyle w:val="COMTabletext"/>
            </w:pPr>
            <w:r w:rsidRPr="004236B2">
              <w:t>Obinutuzumab premedication costs: $15.82</w:t>
            </w:r>
            <w:r w:rsidR="006415DB">
              <w:t xml:space="preserve"> *</w:t>
            </w:r>
          </w:p>
          <w:p w14:paraId="79DEA170" w14:textId="77777777" w:rsidR="005A2B1B" w:rsidRPr="004236B2" w:rsidRDefault="005A2B1B" w:rsidP="006A1BBC">
            <w:pPr>
              <w:pStyle w:val="COMTabletext"/>
            </w:pPr>
            <w:r w:rsidRPr="004236B2">
              <w:t>Venetoclax tumour lysis syndrome prophylaxis/monitoring costs: $1,329.00</w:t>
            </w:r>
          </w:p>
        </w:tc>
      </w:tr>
    </w:tbl>
    <w:p w14:paraId="0B48F9CA" w14:textId="77777777" w:rsidR="005A2B1B" w:rsidRDefault="005A2B1B" w:rsidP="005A2B1B">
      <w:pPr>
        <w:pStyle w:val="COMTablefooter"/>
      </w:pPr>
      <w:r w:rsidRPr="00C31E62">
        <w:t xml:space="preserve">Source: </w:t>
      </w:r>
      <w:r>
        <w:t>Table 3-1, pp94-95 of the submission.</w:t>
      </w:r>
    </w:p>
    <w:p w14:paraId="09A3755B" w14:textId="77777777" w:rsidR="005A2B1B" w:rsidRDefault="005A2B1B" w:rsidP="005A2B1B">
      <w:pPr>
        <w:pStyle w:val="COMTablefooter"/>
      </w:pPr>
      <w:r>
        <w:t>Abbreviations: MAIC, matching-adjusted indirect comparison.</w:t>
      </w:r>
    </w:p>
    <w:p w14:paraId="1B696203" w14:textId="0F6FEAB2" w:rsidR="006415DB" w:rsidRDefault="0073102B" w:rsidP="00EE114C">
      <w:pPr>
        <w:pStyle w:val="COMTablefooter"/>
      </w:pPr>
      <w:r>
        <w:rPr>
          <w:vertAlign w:val="superscript"/>
        </w:rPr>
        <w:t>a</w:t>
      </w:r>
      <w:r w:rsidR="005A2B1B">
        <w:t xml:space="preserve"> Published prices. Venetoclax and obinutuzumab </w:t>
      </w:r>
      <w:r w:rsidR="00C916A7">
        <w:t xml:space="preserve">were both </w:t>
      </w:r>
      <w:r w:rsidR="005A2B1B">
        <w:t>subject to special pricing arrangements</w:t>
      </w:r>
      <w:r w:rsidR="00C916A7">
        <w:t xml:space="preserve"> (SPA) at the time of submission</w:t>
      </w:r>
      <w:r w:rsidR="005A2B1B">
        <w:t>.</w:t>
      </w:r>
    </w:p>
    <w:p w14:paraId="6313D753" w14:textId="01D1A95E" w:rsidR="00EE114C" w:rsidRPr="00EE114C" w:rsidRDefault="00EE114C" w:rsidP="00EE114C">
      <w:pPr>
        <w:pStyle w:val="COMTablefooter"/>
      </w:pPr>
      <w:r w:rsidRPr="006C64C0">
        <w:rPr>
          <w:szCs w:val="18"/>
        </w:rPr>
        <w:t>*Note:</w:t>
      </w:r>
      <w:r w:rsidR="006B33CD">
        <w:rPr>
          <w:szCs w:val="18"/>
        </w:rPr>
        <w:t xml:space="preserve"> R</w:t>
      </w:r>
      <w:r w:rsidRPr="006C64C0">
        <w:rPr>
          <w:szCs w:val="18"/>
        </w:rPr>
        <w:t>evision</w:t>
      </w:r>
      <w:r w:rsidR="006B33CD">
        <w:rPr>
          <w:szCs w:val="18"/>
        </w:rPr>
        <w:t>s</w:t>
      </w:r>
      <w:r w:rsidRPr="006C64C0">
        <w:rPr>
          <w:szCs w:val="18"/>
        </w:rPr>
        <w:t xml:space="preserve"> to th</w:t>
      </w:r>
      <w:r w:rsidR="006415DB">
        <w:rPr>
          <w:szCs w:val="18"/>
        </w:rPr>
        <w:t>ese</w:t>
      </w:r>
      <w:r>
        <w:rPr>
          <w:szCs w:val="18"/>
        </w:rPr>
        <w:t xml:space="preserve"> </w:t>
      </w:r>
      <w:r w:rsidRPr="006C64C0">
        <w:rPr>
          <w:szCs w:val="18"/>
        </w:rPr>
        <w:t>parameter</w:t>
      </w:r>
      <w:r w:rsidR="006415DB">
        <w:rPr>
          <w:szCs w:val="18"/>
        </w:rPr>
        <w:t>s</w:t>
      </w:r>
      <w:r>
        <w:rPr>
          <w:szCs w:val="18"/>
        </w:rPr>
        <w:t xml:space="preserve"> w</w:t>
      </w:r>
      <w:r w:rsidR="006415DB">
        <w:rPr>
          <w:szCs w:val="18"/>
        </w:rPr>
        <w:t>ere</w:t>
      </w:r>
      <w:r w:rsidRPr="006C64C0">
        <w:rPr>
          <w:szCs w:val="18"/>
        </w:rPr>
        <w:t xml:space="preserve"> made in the pre-PBAC response</w:t>
      </w:r>
      <w:r w:rsidR="007C77A1">
        <w:rPr>
          <w:szCs w:val="18"/>
        </w:rPr>
        <w:t>. These revisions are not reflected in the table</w:t>
      </w:r>
      <w:r w:rsidRPr="006C64C0">
        <w:rPr>
          <w:szCs w:val="18"/>
        </w:rPr>
        <w:t>.</w:t>
      </w:r>
    </w:p>
    <w:p w14:paraId="25A0C448" w14:textId="1E23B0A3" w:rsidR="0043499A" w:rsidRPr="009F497A" w:rsidRDefault="0043499A" w:rsidP="00C916A7">
      <w:pPr>
        <w:pStyle w:val="4-SubsectSubhead"/>
        <w:rPr>
          <w:sz w:val="24"/>
          <w:szCs w:val="24"/>
        </w:rPr>
      </w:pPr>
      <w:bookmarkStart w:id="52" w:name="_Hlk124025354"/>
      <w:r w:rsidRPr="009F497A">
        <w:rPr>
          <w:sz w:val="24"/>
          <w:szCs w:val="24"/>
        </w:rPr>
        <w:t xml:space="preserve">Estimation of number of doses of zanubrutinib </w:t>
      </w:r>
    </w:p>
    <w:p w14:paraId="72442503" w14:textId="6AAA62E4" w:rsidR="00313A77" w:rsidRDefault="007434A6" w:rsidP="006A0EEE">
      <w:pPr>
        <w:pStyle w:val="COMexecsumnumberedpara"/>
      </w:pPr>
      <w:r>
        <w:t xml:space="preserve">The treatment duration </w:t>
      </w:r>
      <w:r w:rsidR="00736211">
        <w:t>for</w:t>
      </w:r>
      <w:r>
        <w:t xml:space="preserve"> zanubrutinib was estimated </w:t>
      </w:r>
      <w:r w:rsidR="008D60D2">
        <w:t>using</w:t>
      </w:r>
      <w:r>
        <w:t xml:space="preserve"> extrapolated time to treatment discontinuation </w:t>
      </w:r>
      <w:r w:rsidR="008D60D2">
        <w:t>data</w:t>
      </w:r>
      <w:r>
        <w:t xml:space="preserve"> </w:t>
      </w:r>
      <w:r w:rsidR="008D60D2">
        <w:t xml:space="preserve">based on </w:t>
      </w:r>
      <w:r>
        <w:t xml:space="preserve">pooled data for the zanubrutinib </w:t>
      </w:r>
      <w:r w:rsidR="008D60D2">
        <w:t xml:space="preserve">non-17p deletion and 17p deletion </w:t>
      </w:r>
      <w:r>
        <w:t xml:space="preserve">arms of the SEQUOIA trial. </w:t>
      </w:r>
      <w:bookmarkEnd w:id="52"/>
      <w:r w:rsidR="00313A77">
        <w:t xml:space="preserve">Based on an assumed time horizon of 10 years, a maximum treatment duration of 10 years was </w:t>
      </w:r>
      <w:r w:rsidR="002F373A">
        <w:t>applied for zanubrutinib</w:t>
      </w:r>
      <w:r w:rsidR="00313A77">
        <w:t xml:space="preserve">. </w:t>
      </w:r>
    </w:p>
    <w:p w14:paraId="164F72E2" w14:textId="04CD5D70" w:rsidR="006A0EEE" w:rsidRDefault="007434A6" w:rsidP="006A1BBC">
      <w:pPr>
        <w:pStyle w:val="COMexecsumnumberedpara"/>
      </w:pPr>
      <w:r>
        <w:t>Individual patient level data for pooled time to treatment discontinuation were fitted with six parametric models (exponential, Weibull, Gompertz, log-normal, log-logistic and generalised gamma distributions). Models were assessed using Akaike information criteria (AIC) and Bayesian information criteria (BIC) statistics, as well as visual inspection of fitted parametric models and Kaplan-Meier curves.</w:t>
      </w:r>
      <w:r w:rsidR="002F373A">
        <w:t xml:space="preserve"> </w:t>
      </w:r>
      <w:r w:rsidR="006A0EEE">
        <w:t>The submission stated that an exponential parametric model was selected on the basis that it had the lowest AIC and BIC, the best visual fit, and to reflect the clinical association between time to treatment discontinuation and progression-free survival.</w:t>
      </w:r>
    </w:p>
    <w:p w14:paraId="58790D02" w14:textId="25684DC2" w:rsidR="006A0EEE" w:rsidRPr="006A0EEE" w:rsidRDefault="006A0EEE" w:rsidP="006A0EEE">
      <w:pPr>
        <w:pStyle w:val="COMexecsumnumberedpara"/>
      </w:pPr>
      <w:bookmarkStart w:id="53" w:name="_Ref130548271"/>
      <w:r>
        <w:lastRenderedPageBreak/>
        <w:t>The submission stated that progression-free survival data for the venetoclax + obinutuzumab arm of the CLL-14 trial was used to cap time to treatment discontinuation for zanubrutinib to ensure that the predicted time to treatment duration survival rates were aligned with the progression-free survival of venetoclax + obinutuzumab, and to prevent implausible time to treatment discontinuation extrapolation. This assumption was considered uncertain. Progression-free survival associated with fixed treatment duration venetoclax + obinutuzumab in the CLL-14 trial may not be a suitable proxy for progression-free survival</w:t>
      </w:r>
      <w:r w:rsidR="00B41BD6">
        <w:t xml:space="preserve"> for ongoing treatment with a BTK inhibitor</w:t>
      </w:r>
      <w:r>
        <w:t>.</w:t>
      </w:r>
      <w:r w:rsidR="00E55014" w:rsidRPr="00E55014">
        <w:t xml:space="preserve"> </w:t>
      </w:r>
      <w:bookmarkStart w:id="54" w:name="_Hlk129006267"/>
      <w:r w:rsidR="00E55014">
        <w:t>The pre-PBAC response agreed</w:t>
      </w:r>
      <w:r w:rsidR="00E55014" w:rsidRPr="00E55014">
        <w:t xml:space="preserve"> to remove the survival capping from the model.</w:t>
      </w:r>
      <w:bookmarkEnd w:id="53"/>
      <w:bookmarkEnd w:id="54"/>
    </w:p>
    <w:p w14:paraId="3257FE2D" w14:textId="6C2F1599" w:rsidR="006A0EEE" w:rsidRDefault="006A0EEE" w:rsidP="006A0EEE">
      <w:pPr>
        <w:pStyle w:val="COMexecsumnumberedpara"/>
      </w:pPr>
      <w:r>
        <w:t xml:space="preserve">Extrapolation of progression-free survival for the venetoclax + obinutuzumab arm was conducted using progression-free survival data for the CLL-14 trial reported at a median follow-up of 52.4 months (Al-Sawaf et al., 2021). The submission stated that an exponential parametric model was selected on the basis that it had the lowest BIC, the best visual fit, and was specified as the preferred parametric model in the March 2020 venetoclax + obinutuzumab submission (Paragraph 6.44, venetoclax, </w:t>
      </w:r>
      <w:r w:rsidR="00925404">
        <w:t>PSD</w:t>
      </w:r>
      <w:r>
        <w:t>, March 2020 PBAC meeting).</w:t>
      </w:r>
    </w:p>
    <w:p w14:paraId="76E61966" w14:textId="1AF38FA4" w:rsidR="006A0EEE" w:rsidRPr="006A0EEE" w:rsidRDefault="006A0EEE" w:rsidP="006A0EEE">
      <w:pPr>
        <w:pStyle w:val="COMexecsumnumberedpara"/>
      </w:pPr>
      <w:r>
        <w:t>A discount rate of 5% was applied to the adjusted zanubrutinib time to treatment discontinuation survival data. The PBAC previously considered that it would be appropriate to apply discounting at 5% per annum to costs in the cost-minimisation of onasemnogene abeparvovec versus nusinersen</w:t>
      </w:r>
      <w:r w:rsidR="00DC7975">
        <w:t xml:space="preserve"> (</w:t>
      </w:r>
      <w:r w:rsidR="008613EA">
        <w:t xml:space="preserve">Paragraph 8.11, onasemnogene abeparvovec, </w:t>
      </w:r>
      <w:r w:rsidR="00925404">
        <w:t>PSD</w:t>
      </w:r>
      <w:r w:rsidR="008613EA">
        <w:t>, September 2021 PBAC meeting)</w:t>
      </w:r>
      <w:r>
        <w:t>.</w:t>
      </w:r>
    </w:p>
    <w:p w14:paraId="7FB33D74" w14:textId="0B382085" w:rsidR="006A0EEE" w:rsidRDefault="006A0EEE" w:rsidP="006A1BBC">
      <w:pPr>
        <w:pStyle w:val="COMexecsumnumberedpara"/>
      </w:pPr>
      <w:bookmarkStart w:id="55" w:name="_Ref130548296"/>
      <w:r>
        <w:t>Based on the extrapolated time to treatment discontinuation data, with capping based on the extrapolated venetoclax + obinutuzumab progression-free survival curve and a discount of 5% applied, the submission estimated a mean treatment duration for zanubrutinib of 69.62 months, equating to 70.</w:t>
      </w:r>
      <w:r w:rsidR="00766C76">
        <w:t>6</w:t>
      </w:r>
      <w:r>
        <w:t xml:space="preserve"> </w:t>
      </w:r>
      <w:r w:rsidR="00CF3D6A">
        <w:t>scripts</w:t>
      </w:r>
      <w:r>
        <w:t xml:space="preserve"> (based on </w:t>
      </w:r>
      <w:r w:rsidR="00494C7E">
        <w:t xml:space="preserve">69.62 </w:t>
      </w:r>
      <w:r w:rsidR="00494C7E" w:rsidRPr="12893FCA">
        <w:rPr>
          <w:rFonts w:cstheme="minorBidi"/>
        </w:rPr>
        <w:t>÷</w:t>
      </w:r>
      <w:r w:rsidR="00E36006">
        <w:rPr>
          <w:rFonts w:cstheme="minorBidi"/>
        </w:rPr>
        <w:t xml:space="preserve"> 12 x</w:t>
      </w:r>
      <w:r w:rsidR="00494C7E" w:rsidRPr="12893FCA">
        <w:rPr>
          <w:rFonts w:cstheme="minorBidi"/>
        </w:rPr>
        <w:t xml:space="preserve"> [</w:t>
      </w:r>
      <w:r>
        <w:t>365/30</w:t>
      </w:r>
      <w:r w:rsidR="00494C7E">
        <w:t>]</w:t>
      </w:r>
      <w:r>
        <w:t xml:space="preserve"> = </w:t>
      </w:r>
      <w:r w:rsidR="00494C7E">
        <w:t>70.</w:t>
      </w:r>
      <w:r w:rsidR="00766C76">
        <w:t>6</w:t>
      </w:r>
      <w:r w:rsidR="00494C7E">
        <w:t xml:space="preserve"> </w:t>
      </w:r>
      <w:r w:rsidR="00CF3D6A">
        <w:t>scripts</w:t>
      </w:r>
      <w:r>
        <w:t>).</w:t>
      </w:r>
      <w:r w:rsidR="00CF3D6A">
        <w:t xml:space="preserve"> A</w:t>
      </w:r>
      <w:r>
        <w:t xml:space="preserve"> dose intensity of 94.95% was then applied, based on the weighted average dose intensity for the zanubrutinib non-17p deletion (94.85%) and 17p deletion (95.16%) arms of the SEQUOIA trial, resulting in an estimate of 67.02 zanubrutinib </w:t>
      </w:r>
      <w:r w:rsidR="00CF3D6A">
        <w:t>scripts</w:t>
      </w:r>
      <w:r>
        <w:t xml:space="preserve"> per course.</w:t>
      </w:r>
      <w:r w:rsidR="006C7B3B">
        <w:t xml:space="preserve"> </w:t>
      </w:r>
      <w:r w:rsidR="00730820">
        <w:t>It is unclear whether the derived treatment duration and applied dose intensity will reflect the treatment duration and dose intensity for zanubrutinib in Australian clinical practice.</w:t>
      </w:r>
      <w:r w:rsidR="00E55014">
        <w:t xml:space="preserve"> </w:t>
      </w:r>
      <w:r w:rsidR="00EE114C">
        <w:t>The pre-PBAC response agreed</w:t>
      </w:r>
      <w:r w:rsidR="00EE114C" w:rsidRPr="00E55014">
        <w:t xml:space="preserve"> to remove the survival capping from the model. </w:t>
      </w:r>
      <w:r w:rsidR="00062394">
        <w:t>The PBAC noted this increased the mean treatment duration for zanubrutinib from 69.62 months to 70.73 months</w:t>
      </w:r>
      <w:r w:rsidR="000D2D41">
        <w:t xml:space="preserve"> (71.7 scripts</w:t>
      </w:r>
      <w:r w:rsidR="007804E1">
        <w:t xml:space="preserve"> or </w:t>
      </w:r>
      <w:r w:rsidR="0082017E">
        <w:t>68.0</w:t>
      </w:r>
      <w:r w:rsidR="00D83D43">
        <w:t>9</w:t>
      </w:r>
      <w:r w:rsidR="0082017E">
        <w:t xml:space="preserve"> scripts accounting for dose intensity</w:t>
      </w:r>
      <w:r w:rsidR="000D2D41">
        <w:t>)</w:t>
      </w:r>
      <w:r w:rsidR="00062394">
        <w:t>.</w:t>
      </w:r>
      <w:bookmarkEnd w:id="55"/>
    </w:p>
    <w:p w14:paraId="0509B5DD" w14:textId="6E1ED627" w:rsidR="0043499A" w:rsidRPr="009F497A" w:rsidRDefault="0043499A" w:rsidP="00ED05B5">
      <w:pPr>
        <w:pStyle w:val="4-SubsectSubhead"/>
        <w:rPr>
          <w:sz w:val="24"/>
          <w:szCs w:val="24"/>
        </w:rPr>
      </w:pPr>
      <w:r w:rsidRPr="009F497A">
        <w:rPr>
          <w:sz w:val="24"/>
          <w:szCs w:val="24"/>
        </w:rPr>
        <w:t xml:space="preserve">Estimation of number of doses of venetoclax + obinutuzumab </w:t>
      </w:r>
    </w:p>
    <w:p w14:paraId="1B211C2F" w14:textId="32A70BE1" w:rsidR="006A0EEE" w:rsidRDefault="006A0EEE" w:rsidP="006A0EEE">
      <w:pPr>
        <w:pStyle w:val="COMexecsumnumberedpara"/>
      </w:pPr>
      <w:r>
        <w:t xml:space="preserve">The number of venetoclax (1 initial and 8.67 continuing scripts) and obinutuzumab scripts (7.355) per course was based on the mean number of venetoclax and obinutuzumab scripts reported for the venetoclax + obinutuzumab arm of the CLL-14 trial (Paragraph 5.31, venetoclax, </w:t>
      </w:r>
      <w:r w:rsidR="00925404">
        <w:t>PSD</w:t>
      </w:r>
      <w:r>
        <w:t>, July 2020 PBAC meeting).</w:t>
      </w:r>
      <w:r w:rsidR="00A44A62">
        <w:t xml:space="preserve"> </w:t>
      </w:r>
      <w:r w:rsidR="00730820">
        <w:t xml:space="preserve">No dose intensity adjustment was applied to venetoclax or obinutuzumab, which may not be reasonable </w:t>
      </w:r>
      <w:r w:rsidR="00730820">
        <w:lastRenderedPageBreak/>
        <w:t>given that a dose intensity adjustment was included for zanubrutinib.</w:t>
      </w:r>
      <w:r w:rsidR="006C5386">
        <w:t xml:space="preserve"> </w:t>
      </w:r>
      <w:r w:rsidR="006C5386" w:rsidRPr="00CA2520">
        <w:rPr>
          <w:iCs/>
        </w:rPr>
        <w:t xml:space="preserve">The PSCR stated that the dose intensity for venetoclax + obinutuzumab used in the submission was based on what was accepted by the PBAC in its previous consideration of this therapy (Paragraph 5.31, venetoclax, </w:t>
      </w:r>
      <w:r w:rsidR="00925404">
        <w:rPr>
          <w:iCs/>
        </w:rPr>
        <w:t>PSD</w:t>
      </w:r>
      <w:r w:rsidR="006C5386" w:rsidRPr="00CA2520">
        <w:rPr>
          <w:iCs/>
        </w:rPr>
        <w:t xml:space="preserve">, July 2020 PBAC meeting). Given the one-year fixed duration and mode of administration for venetoclax + obinutuzumab treatment, the PSCR stated that dose intensity is expected to be higher than with a long-term oral therapy, such as zanubrutinib, that is administered over a 10-year time horizon. </w:t>
      </w:r>
    </w:p>
    <w:p w14:paraId="2A576885" w14:textId="4A92824F" w:rsidR="0043499A" w:rsidRPr="009F497A" w:rsidRDefault="0043499A" w:rsidP="00ED05B5">
      <w:pPr>
        <w:pStyle w:val="4-SubsectSubhead"/>
        <w:rPr>
          <w:sz w:val="24"/>
          <w:szCs w:val="24"/>
        </w:rPr>
      </w:pPr>
      <w:r w:rsidRPr="009F497A">
        <w:rPr>
          <w:sz w:val="24"/>
          <w:szCs w:val="24"/>
        </w:rPr>
        <w:t>Equi-effective doses</w:t>
      </w:r>
    </w:p>
    <w:p w14:paraId="58881AC6" w14:textId="1F8E1F67" w:rsidR="006A0EEE" w:rsidRDefault="006A0EEE" w:rsidP="006A0EEE">
      <w:pPr>
        <w:pStyle w:val="COMexecsumnumberedpara"/>
      </w:pPr>
      <w:bookmarkStart w:id="56" w:name="_Hlk130457175"/>
      <w:r>
        <w:t>The submission proposed the following equi-effective doses:</w:t>
      </w:r>
    </w:p>
    <w:p w14:paraId="581C74BE" w14:textId="2D7C4D24" w:rsidR="00E36006" w:rsidRPr="00E36006" w:rsidRDefault="006A0EEE" w:rsidP="00E36006">
      <w:pPr>
        <w:pStyle w:val="ListParagraph"/>
        <w:numPr>
          <w:ilvl w:val="0"/>
          <w:numId w:val="7"/>
        </w:numPr>
        <w:spacing w:after="120"/>
        <w:ind w:left="1134" w:hanging="357"/>
      </w:pPr>
      <w:bookmarkStart w:id="57" w:name="_Hlk129606379"/>
      <w:bookmarkEnd w:id="56"/>
      <w:r w:rsidRPr="00651677">
        <w:t>One initial and 8.67 continuing venetoclax scripts plus 7.3</w:t>
      </w:r>
      <w:r w:rsidR="007B3E7B">
        <w:t>5</w:t>
      </w:r>
      <w:r w:rsidRPr="00651677">
        <w:t xml:space="preserve">5 obinutuzumab scripts are equivalent to </w:t>
      </w:r>
      <w:r w:rsidR="00730820" w:rsidRPr="00730820">
        <w:t>69.62</w:t>
      </w:r>
      <w:r w:rsidRPr="00651677">
        <w:t xml:space="preserve"> months of </w:t>
      </w:r>
      <w:r>
        <w:t xml:space="preserve">zanubrutinib </w:t>
      </w:r>
      <w:r w:rsidRPr="00651677">
        <w:t>treatment at a dose of 304</w:t>
      </w:r>
      <w:r w:rsidR="0010485D">
        <w:t> </w:t>
      </w:r>
      <w:r w:rsidRPr="00651677">
        <w:t>mg daily</w:t>
      </w:r>
      <w:r>
        <w:t xml:space="preserve"> </w:t>
      </w:r>
      <w:r w:rsidRPr="00DB4A8C">
        <w:t>(</w:t>
      </w:r>
      <w:r w:rsidRPr="00021B9D">
        <w:rPr>
          <w:iCs/>
        </w:rPr>
        <w:t>67.02 zanubrutinib scripts</w:t>
      </w:r>
      <w:r w:rsidRPr="00DB4A8C">
        <w:t>)</w:t>
      </w:r>
      <w:r>
        <w:t>.</w:t>
      </w:r>
    </w:p>
    <w:bookmarkEnd w:id="57"/>
    <w:p w14:paraId="2B386CF4" w14:textId="429BF097" w:rsidR="00EE65B2" w:rsidRDefault="00EE65B2" w:rsidP="00FD7F1C">
      <w:pPr>
        <w:pStyle w:val="COMexecsumnumberedpara"/>
      </w:pPr>
      <w:r>
        <w:t>The pre-PBAC response proposed the following equi-effective doses:</w:t>
      </w:r>
    </w:p>
    <w:p w14:paraId="7369B58E" w14:textId="4A91AD03" w:rsidR="00EE65B2" w:rsidRDefault="00EE65B2" w:rsidP="005C2D58">
      <w:pPr>
        <w:pStyle w:val="ListParagraph"/>
        <w:numPr>
          <w:ilvl w:val="0"/>
          <w:numId w:val="7"/>
        </w:numPr>
        <w:spacing w:after="120"/>
        <w:ind w:left="1134" w:hanging="357"/>
      </w:pPr>
      <w:r w:rsidRPr="00651677">
        <w:t>One initial and 8.67 continuing venetoclax scripts plus 7.3</w:t>
      </w:r>
      <w:r>
        <w:t>5</w:t>
      </w:r>
      <w:r w:rsidRPr="00651677">
        <w:t xml:space="preserve">5 obinutuzumab scripts are equivalent to </w:t>
      </w:r>
      <w:r>
        <w:t>70.73</w:t>
      </w:r>
      <w:r w:rsidRPr="00651677">
        <w:t xml:space="preserve"> months of </w:t>
      </w:r>
      <w:r>
        <w:t xml:space="preserve">zanubrutinib </w:t>
      </w:r>
      <w:r w:rsidRPr="00651677">
        <w:t>treatment at a dose of 304</w:t>
      </w:r>
      <w:r>
        <w:t> </w:t>
      </w:r>
      <w:r w:rsidRPr="00651677">
        <w:t>mg daily</w:t>
      </w:r>
      <w:r>
        <w:t xml:space="preserve"> </w:t>
      </w:r>
      <w:r w:rsidRPr="00DB4A8C">
        <w:t>(</w:t>
      </w:r>
      <w:r>
        <w:rPr>
          <w:iCs/>
        </w:rPr>
        <w:t>68.09</w:t>
      </w:r>
      <w:r w:rsidRPr="00021B9D">
        <w:rPr>
          <w:iCs/>
        </w:rPr>
        <w:t xml:space="preserve"> </w:t>
      </w:r>
      <w:r w:rsidRPr="005C2D58">
        <w:t>zanubrutinib</w:t>
      </w:r>
      <w:r w:rsidRPr="00021B9D">
        <w:rPr>
          <w:iCs/>
        </w:rPr>
        <w:t xml:space="preserve"> scripts</w:t>
      </w:r>
      <w:r w:rsidRPr="00DB4A8C">
        <w:t>)</w:t>
      </w:r>
      <w:r>
        <w:t>.</w:t>
      </w:r>
    </w:p>
    <w:p w14:paraId="7EF990FE" w14:textId="33573A30" w:rsidR="00FD7F1C" w:rsidRDefault="00FD7F1C" w:rsidP="00FD7F1C">
      <w:pPr>
        <w:pStyle w:val="COMexecsumnumberedpara"/>
      </w:pPr>
      <w:r>
        <w:fldChar w:fldCharType="begin" w:fldLock="1"/>
      </w:r>
      <w:r>
        <w:instrText xml:space="preserve"> REF _Ref124001938 \h </w:instrText>
      </w:r>
      <w:r>
        <w:fldChar w:fldCharType="separate"/>
      </w:r>
      <w:r w:rsidR="00540D87" w:rsidRPr="00C31E62">
        <w:t xml:space="preserve">Table </w:t>
      </w:r>
      <w:r w:rsidR="00540D87">
        <w:rPr>
          <w:noProof/>
        </w:rPr>
        <w:t>10</w:t>
      </w:r>
      <w:r>
        <w:fldChar w:fldCharType="end"/>
      </w:r>
      <w:r>
        <w:t xml:space="preserve"> summarises the cost offsets included in the cost-minimisation.</w:t>
      </w:r>
    </w:p>
    <w:p w14:paraId="1B5698C1" w14:textId="4E6F91BA" w:rsidR="00FD7F1C" w:rsidRPr="00A9014B" w:rsidRDefault="00FD7F1C" w:rsidP="005C2D58">
      <w:pPr>
        <w:pStyle w:val="TableHeading"/>
        <w:spacing w:before="0" w:after="0" w:line="240" w:lineRule="auto"/>
        <w:rPr>
          <w:rStyle w:val="CommentReference"/>
          <w:sz w:val="20"/>
          <w:szCs w:val="20"/>
        </w:rPr>
      </w:pPr>
      <w:bookmarkStart w:id="58" w:name="_Ref124001938"/>
      <w:r w:rsidRPr="00C31E62">
        <w:t xml:space="preserve">Table </w:t>
      </w:r>
      <w:fldSimple w:instr=" SEQ Table \* ARABIC " w:fldLock="1">
        <w:r w:rsidR="00540D87">
          <w:rPr>
            <w:noProof/>
          </w:rPr>
          <w:t>10</w:t>
        </w:r>
      </w:fldSimple>
      <w:bookmarkEnd w:id="58"/>
      <w:r w:rsidRPr="00A9014B">
        <w:rPr>
          <w:rStyle w:val="CommentReference"/>
          <w:sz w:val="20"/>
          <w:szCs w:val="20"/>
        </w:rPr>
        <w:t xml:space="preserve">: </w:t>
      </w:r>
      <w:r>
        <w:rPr>
          <w:rStyle w:val="CommentReference"/>
          <w:sz w:val="20"/>
          <w:szCs w:val="20"/>
        </w:rPr>
        <w:t>Cost offsets included in the cost-minimisation</w:t>
      </w:r>
    </w:p>
    <w:tbl>
      <w:tblPr>
        <w:tblW w:w="5000" w:type="pct"/>
        <w:tblLook w:val="04A0" w:firstRow="1" w:lastRow="0" w:firstColumn="1" w:lastColumn="0" w:noHBand="0" w:noVBand="1"/>
      </w:tblPr>
      <w:tblGrid>
        <w:gridCol w:w="1857"/>
        <w:gridCol w:w="1966"/>
        <w:gridCol w:w="5194"/>
      </w:tblGrid>
      <w:tr w:rsidR="00FD7F1C" w:rsidRPr="007D0519" w14:paraId="60560583" w14:textId="77777777" w:rsidTr="006A1BBC">
        <w:trPr>
          <w:trHeight w:val="162"/>
          <w:tblHeader/>
        </w:trPr>
        <w:tc>
          <w:tcPr>
            <w:tcW w:w="1030" w:type="pct"/>
            <w:tcBorders>
              <w:top w:val="single" w:sz="4" w:space="0" w:color="auto"/>
              <w:left w:val="single" w:sz="4" w:space="0" w:color="auto"/>
              <w:bottom w:val="single" w:sz="4" w:space="0" w:color="auto"/>
              <w:right w:val="single" w:sz="4" w:space="0" w:color="auto"/>
            </w:tcBorders>
            <w:hideMark/>
          </w:tcPr>
          <w:p w14:paraId="642ED26B" w14:textId="77777777" w:rsidR="00FD7F1C" w:rsidRPr="000A2F29" w:rsidRDefault="00FD7F1C" w:rsidP="005C2D58">
            <w:pPr>
              <w:pStyle w:val="Tabletext0"/>
              <w:keepNext/>
              <w:rPr>
                <w:b/>
                <w:szCs w:val="22"/>
              </w:rPr>
            </w:pPr>
            <w:r w:rsidRPr="000A2F29">
              <w:rPr>
                <w:b/>
              </w:rPr>
              <w:t xml:space="preserve">Characteristic </w:t>
            </w:r>
          </w:p>
        </w:tc>
        <w:tc>
          <w:tcPr>
            <w:tcW w:w="1090" w:type="pct"/>
            <w:tcBorders>
              <w:top w:val="single" w:sz="4" w:space="0" w:color="auto"/>
              <w:left w:val="single" w:sz="4" w:space="0" w:color="auto"/>
              <w:bottom w:val="single" w:sz="4" w:space="0" w:color="auto"/>
              <w:right w:val="single" w:sz="4" w:space="0" w:color="auto"/>
            </w:tcBorders>
            <w:hideMark/>
          </w:tcPr>
          <w:p w14:paraId="734B3673" w14:textId="77777777" w:rsidR="00FD7F1C" w:rsidRDefault="00FD7F1C" w:rsidP="005C2D58">
            <w:pPr>
              <w:pStyle w:val="Tabletext0"/>
              <w:keepNext/>
              <w:jc w:val="center"/>
              <w:rPr>
                <w:b/>
              </w:rPr>
            </w:pPr>
            <w:r w:rsidRPr="000A2F29">
              <w:rPr>
                <w:b/>
              </w:rPr>
              <w:t xml:space="preserve">Cost </w:t>
            </w:r>
            <w:r>
              <w:rPr>
                <w:b/>
              </w:rPr>
              <w:t xml:space="preserve">per patient </w:t>
            </w:r>
          </w:p>
          <w:p w14:paraId="2774C2FA" w14:textId="77777777" w:rsidR="00FD7F1C" w:rsidRPr="000A2F29" w:rsidRDefault="00FD7F1C" w:rsidP="005C2D58">
            <w:pPr>
              <w:pStyle w:val="Tabletext0"/>
              <w:keepNext/>
              <w:jc w:val="center"/>
              <w:rPr>
                <w:b/>
              </w:rPr>
            </w:pPr>
            <w:r>
              <w:rPr>
                <w:b/>
              </w:rPr>
              <w:t>(10-year time horizon)</w:t>
            </w:r>
          </w:p>
        </w:tc>
        <w:tc>
          <w:tcPr>
            <w:tcW w:w="2880" w:type="pct"/>
            <w:tcBorders>
              <w:top w:val="single" w:sz="4" w:space="0" w:color="auto"/>
              <w:left w:val="single" w:sz="4" w:space="0" w:color="auto"/>
              <w:bottom w:val="single" w:sz="4" w:space="0" w:color="auto"/>
              <w:right w:val="single" w:sz="4" w:space="0" w:color="auto"/>
            </w:tcBorders>
            <w:vAlign w:val="center"/>
            <w:hideMark/>
          </w:tcPr>
          <w:p w14:paraId="4568CB8F" w14:textId="77777777" w:rsidR="00FD7F1C" w:rsidRPr="000A2F29" w:rsidRDefault="00FD7F1C" w:rsidP="005C2D58">
            <w:pPr>
              <w:pStyle w:val="Tabletext0"/>
              <w:keepNext/>
              <w:jc w:val="center"/>
              <w:rPr>
                <w:b/>
              </w:rPr>
            </w:pPr>
            <w:r w:rsidRPr="000A2F29">
              <w:rPr>
                <w:b/>
              </w:rPr>
              <w:t>Source</w:t>
            </w:r>
          </w:p>
        </w:tc>
      </w:tr>
      <w:tr w:rsidR="00FD7F1C" w:rsidRPr="007D0519" w14:paraId="20DCD257" w14:textId="77777777" w:rsidTr="006A1BBC">
        <w:trPr>
          <w:trHeight w:val="245"/>
        </w:trPr>
        <w:tc>
          <w:tcPr>
            <w:tcW w:w="1030" w:type="pct"/>
            <w:tcBorders>
              <w:top w:val="single" w:sz="4" w:space="0" w:color="auto"/>
              <w:left w:val="single" w:sz="4" w:space="0" w:color="auto"/>
              <w:bottom w:val="single" w:sz="4" w:space="0" w:color="auto"/>
              <w:right w:val="single" w:sz="4" w:space="0" w:color="auto"/>
            </w:tcBorders>
            <w:vAlign w:val="center"/>
            <w:hideMark/>
          </w:tcPr>
          <w:p w14:paraId="5F1E6740" w14:textId="6BE5B5A3" w:rsidR="00FD7F1C" w:rsidRPr="000A2F29" w:rsidRDefault="00FD7F1C" w:rsidP="005C2D58">
            <w:pPr>
              <w:pStyle w:val="Tabletext0"/>
              <w:keepNext/>
            </w:pPr>
            <w:r>
              <w:t>Obinutuzumab IV infusion costs</w:t>
            </w:r>
            <w:r w:rsidR="006B33CD">
              <w:t xml:space="preserve"> *</w:t>
            </w:r>
          </w:p>
        </w:tc>
        <w:tc>
          <w:tcPr>
            <w:tcW w:w="1090" w:type="pct"/>
            <w:tcBorders>
              <w:top w:val="single" w:sz="4" w:space="0" w:color="auto"/>
              <w:left w:val="single" w:sz="4" w:space="0" w:color="auto"/>
              <w:bottom w:val="single" w:sz="4" w:space="0" w:color="auto"/>
              <w:right w:val="single" w:sz="4" w:space="0" w:color="auto"/>
            </w:tcBorders>
            <w:vAlign w:val="center"/>
          </w:tcPr>
          <w:p w14:paraId="2C6BFB56" w14:textId="77777777" w:rsidR="00FD7F1C" w:rsidRPr="006C1823" w:rsidRDefault="00FD7F1C" w:rsidP="005C2D58">
            <w:pPr>
              <w:pStyle w:val="Tabletext0"/>
              <w:keepNext/>
              <w:jc w:val="center"/>
              <w:rPr>
                <w:iCs/>
              </w:rPr>
            </w:pPr>
            <w:r w:rsidRPr="006C1823">
              <w:rPr>
                <w:iCs/>
              </w:rPr>
              <w:t>$1,256.20</w:t>
            </w:r>
          </w:p>
        </w:tc>
        <w:tc>
          <w:tcPr>
            <w:tcW w:w="2880" w:type="pct"/>
            <w:tcBorders>
              <w:top w:val="single" w:sz="4" w:space="0" w:color="auto"/>
              <w:left w:val="single" w:sz="4" w:space="0" w:color="auto"/>
              <w:bottom w:val="single" w:sz="4" w:space="0" w:color="auto"/>
              <w:right w:val="single" w:sz="4" w:space="0" w:color="auto"/>
            </w:tcBorders>
            <w:vAlign w:val="center"/>
          </w:tcPr>
          <w:p w14:paraId="4595DA19" w14:textId="77777777" w:rsidR="00FD7F1C" w:rsidRPr="00B21802" w:rsidRDefault="00FD7F1C" w:rsidP="005C2D58">
            <w:pPr>
              <w:pStyle w:val="Tabletext0"/>
              <w:keepNext/>
              <w:rPr>
                <w:i/>
                <w:iCs/>
              </w:rPr>
            </w:pPr>
            <w:r>
              <w:t xml:space="preserve">Infusion cost based on </w:t>
            </w:r>
            <w:r w:rsidRPr="00B21802">
              <w:t>MBS 13950</w:t>
            </w:r>
            <w:r>
              <w:t xml:space="preserve"> ($114.20), assuming 11 infusions per course of obinutuzumab. </w:t>
            </w:r>
          </w:p>
        </w:tc>
      </w:tr>
      <w:tr w:rsidR="00FD7F1C" w:rsidRPr="007D0519" w14:paraId="4DEE36E6" w14:textId="77777777" w:rsidTr="006A1BBC">
        <w:trPr>
          <w:trHeight w:val="245"/>
        </w:trPr>
        <w:tc>
          <w:tcPr>
            <w:tcW w:w="1030" w:type="pct"/>
            <w:tcBorders>
              <w:top w:val="single" w:sz="4" w:space="0" w:color="auto"/>
              <w:left w:val="single" w:sz="4" w:space="0" w:color="auto"/>
              <w:bottom w:val="single" w:sz="4" w:space="0" w:color="auto"/>
              <w:right w:val="single" w:sz="4" w:space="0" w:color="auto"/>
            </w:tcBorders>
            <w:vAlign w:val="center"/>
          </w:tcPr>
          <w:p w14:paraId="527E249A" w14:textId="59E629D5" w:rsidR="00FD7F1C" w:rsidRDefault="00FD7F1C" w:rsidP="005C2D58">
            <w:pPr>
              <w:pStyle w:val="Tabletext0"/>
              <w:keepNext/>
            </w:pPr>
            <w:r>
              <w:t>Obinutuzumab specialist visit costs</w:t>
            </w:r>
            <w:r w:rsidR="006B33CD">
              <w:t xml:space="preserve"> *</w:t>
            </w:r>
          </w:p>
        </w:tc>
        <w:tc>
          <w:tcPr>
            <w:tcW w:w="1090" w:type="pct"/>
            <w:tcBorders>
              <w:top w:val="single" w:sz="4" w:space="0" w:color="auto"/>
              <w:left w:val="single" w:sz="4" w:space="0" w:color="auto"/>
              <w:bottom w:val="single" w:sz="4" w:space="0" w:color="auto"/>
              <w:right w:val="single" w:sz="4" w:space="0" w:color="auto"/>
            </w:tcBorders>
            <w:vAlign w:val="center"/>
          </w:tcPr>
          <w:p w14:paraId="4C4F0F59" w14:textId="77777777" w:rsidR="00FD7F1C" w:rsidRPr="006C1823" w:rsidRDefault="00FD7F1C" w:rsidP="005C2D58">
            <w:pPr>
              <w:pStyle w:val="Tabletext0"/>
              <w:keepNext/>
              <w:jc w:val="center"/>
              <w:rPr>
                <w:iCs/>
              </w:rPr>
            </w:pPr>
            <w:r w:rsidRPr="006C1823">
              <w:rPr>
                <w:iCs/>
              </w:rPr>
              <w:t>$896.50</w:t>
            </w:r>
          </w:p>
        </w:tc>
        <w:tc>
          <w:tcPr>
            <w:tcW w:w="2880" w:type="pct"/>
            <w:tcBorders>
              <w:top w:val="single" w:sz="4" w:space="0" w:color="auto"/>
              <w:left w:val="single" w:sz="4" w:space="0" w:color="auto"/>
              <w:bottom w:val="single" w:sz="4" w:space="0" w:color="auto"/>
              <w:right w:val="single" w:sz="4" w:space="0" w:color="auto"/>
            </w:tcBorders>
            <w:vAlign w:val="center"/>
          </w:tcPr>
          <w:p w14:paraId="100C9649" w14:textId="2EFCA868" w:rsidR="00FD7F1C" w:rsidRPr="00590546" w:rsidRDefault="00FD7F1C" w:rsidP="005C2D58">
            <w:pPr>
              <w:pStyle w:val="Tabletext0"/>
              <w:keepNext/>
              <w:rPr>
                <w:vertAlign w:val="superscript"/>
              </w:rPr>
            </w:pPr>
            <w:r>
              <w:t>Specialist visit cost based on MBS 116 ($81.05). One specialist visit per infusion with obinutuzumab, assuming 11 infusions per course of obinutuzumab</w:t>
            </w:r>
            <w:r>
              <w:rPr>
                <w:vertAlign w:val="superscript"/>
              </w:rPr>
              <w:t>a</w:t>
            </w:r>
          </w:p>
        </w:tc>
      </w:tr>
      <w:tr w:rsidR="00FD7F1C" w:rsidRPr="007D0519" w14:paraId="701660D4" w14:textId="77777777" w:rsidTr="006A1BBC">
        <w:trPr>
          <w:trHeight w:val="245"/>
        </w:trPr>
        <w:tc>
          <w:tcPr>
            <w:tcW w:w="1030" w:type="pct"/>
            <w:tcBorders>
              <w:top w:val="single" w:sz="4" w:space="0" w:color="auto"/>
              <w:left w:val="single" w:sz="4" w:space="0" w:color="auto"/>
              <w:bottom w:val="single" w:sz="4" w:space="0" w:color="auto"/>
              <w:right w:val="single" w:sz="4" w:space="0" w:color="auto"/>
            </w:tcBorders>
            <w:vAlign w:val="center"/>
          </w:tcPr>
          <w:p w14:paraId="46BD013A" w14:textId="3BE1F1DD" w:rsidR="00FD7F1C" w:rsidRDefault="00FD7F1C" w:rsidP="005C2D58">
            <w:pPr>
              <w:pStyle w:val="Tabletext0"/>
              <w:keepNext/>
            </w:pPr>
            <w:r>
              <w:t>Obinutuzumab premedication costs</w:t>
            </w:r>
            <w:r w:rsidR="006B33CD">
              <w:t xml:space="preserve"> *</w:t>
            </w:r>
          </w:p>
        </w:tc>
        <w:tc>
          <w:tcPr>
            <w:tcW w:w="1090" w:type="pct"/>
            <w:tcBorders>
              <w:top w:val="single" w:sz="4" w:space="0" w:color="auto"/>
              <w:left w:val="single" w:sz="4" w:space="0" w:color="auto"/>
              <w:bottom w:val="single" w:sz="4" w:space="0" w:color="auto"/>
              <w:right w:val="single" w:sz="4" w:space="0" w:color="auto"/>
            </w:tcBorders>
            <w:vAlign w:val="center"/>
          </w:tcPr>
          <w:p w14:paraId="5BE4E895" w14:textId="77777777" w:rsidR="00FD7F1C" w:rsidRPr="006C1823" w:rsidRDefault="00FD7F1C" w:rsidP="005C2D58">
            <w:pPr>
              <w:pStyle w:val="Tabletext0"/>
              <w:keepNext/>
              <w:jc w:val="center"/>
              <w:rPr>
                <w:iCs/>
              </w:rPr>
            </w:pPr>
            <w:r w:rsidRPr="006C1823">
              <w:rPr>
                <w:iCs/>
              </w:rPr>
              <w:t>$15.82</w:t>
            </w:r>
          </w:p>
        </w:tc>
        <w:tc>
          <w:tcPr>
            <w:tcW w:w="2880" w:type="pct"/>
            <w:tcBorders>
              <w:top w:val="single" w:sz="4" w:space="0" w:color="auto"/>
              <w:left w:val="single" w:sz="4" w:space="0" w:color="auto"/>
              <w:bottom w:val="single" w:sz="4" w:space="0" w:color="auto"/>
              <w:right w:val="single" w:sz="4" w:space="0" w:color="auto"/>
            </w:tcBorders>
            <w:vAlign w:val="center"/>
          </w:tcPr>
          <w:p w14:paraId="77BB8626" w14:textId="77777777" w:rsidR="00FD7F1C" w:rsidRPr="000A2F29" w:rsidRDefault="00FD7F1C" w:rsidP="005C2D58">
            <w:pPr>
              <w:pStyle w:val="Tabletext0"/>
              <w:keepNext/>
            </w:pPr>
            <w:r>
              <w:t>Based on the published AEMPs for paracetamol 500 mg tablets (1746X; $1.53), dexamethasone 4 mg tablets (2507Y; $4.84), and loratadine 10 mg tablets (4313B; $18.04). Assuming two paracetamol tablets, five dexamethasone tablets and one loratadine tablet per infusion (total $1.44), and 11 infusions per course.</w:t>
            </w:r>
          </w:p>
        </w:tc>
      </w:tr>
      <w:tr w:rsidR="00FD7F1C" w:rsidRPr="007D0519" w14:paraId="1241C9B0" w14:textId="77777777" w:rsidTr="006A1BBC">
        <w:trPr>
          <w:trHeight w:val="245"/>
        </w:trPr>
        <w:tc>
          <w:tcPr>
            <w:tcW w:w="1030" w:type="pct"/>
            <w:tcBorders>
              <w:top w:val="single" w:sz="4" w:space="0" w:color="auto"/>
              <w:left w:val="single" w:sz="4" w:space="0" w:color="auto"/>
              <w:bottom w:val="single" w:sz="4" w:space="0" w:color="auto"/>
              <w:right w:val="single" w:sz="4" w:space="0" w:color="auto"/>
            </w:tcBorders>
            <w:vAlign w:val="center"/>
          </w:tcPr>
          <w:p w14:paraId="258D9D21" w14:textId="77777777" w:rsidR="00FD7F1C" w:rsidRDefault="00FD7F1C" w:rsidP="005C2D58">
            <w:pPr>
              <w:pStyle w:val="Tabletext0"/>
              <w:keepNext/>
            </w:pPr>
            <w:r>
              <w:t>Venetoclax TLS prophylaxis/monitoring costs</w:t>
            </w:r>
          </w:p>
        </w:tc>
        <w:tc>
          <w:tcPr>
            <w:tcW w:w="1090" w:type="pct"/>
            <w:tcBorders>
              <w:top w:val="single" w:sz="4" w:space="0" w:color="auto"/>
              <w:left w:val="single" w:sz="4" w:space="0" w:color="auto"/>
              <w:bottom w:val="single" w:sz="4" w:space="0" w:color="auto"/>
              <w:right w:val="single" w:sz="4" w:space="0" w:color="auto"/>
            </w:tcBorders>
            <w:vAlign w:val="center"/>
          </w:tcPr>
          <w:p w14:paraId="44D1B50F" w14:textId="77777777" w:rsidR="00FD7F1C" w:rsidRPr="006C1823" w:rsidRDefault="00FD7F1C" w:rsidP="005C2D58">
            <w:pPr>
              <w:pStyle w:val="Tabletext0"/>
              <w:keepNext/>
              <w:jc w:val="center"/>
              <w:rPr>
                <w:iCs/>
              </w:rPr>
            </w:pPr>
            <w:r w:rsidRPr="006C1823">
              <w:rPr>
                <w:iCs/>
              </w:rPr>
              <w:t>$1,329.00</w:t>
            </w:r>
          </w:p>
        </w:tc>
        <w:tc>
          <w:tcPr>
            <w:tcW w:w="2880" w:type="pct"/>
            <w:tcBorders>
              <w:top w:val="single" w:sz="4" w:space="0" w:color="auto"/>
              <w:left w:val="single" w:sz="4" w:space="0" w:color="auto"/>
              <w:bottom w:val="single" w:sz="4" w:space="0" w:color="auto"/>
              <w:right w:val="single" w:sz="4" w:space="0" w:color="auto"/>
            </w:tcBorders>
            <w:vAlign w:val="center"/>
          </w:tcPr>
          <w:p w14:paraId="3C1BD186" w14:textId="77777777" w:rsidR="00FD7F1C" w:rsidRPr="000A2F29" w:rsidRDefault="00FD7F1C" w:rsidP="005C2D58">
            <w:pPr>
              <w:pStyle w:val="Tabletext0"/>
              <w:keepNext/>
            </w:pPr>
            <w:r>
              <w:t>C</w:t>
            </w:r>
            <w:r w:rsidRPr="007E7E3E">
              <w:t xml:space="preserve">ost of TLS prophylaxis per patient ($1,222) </w:t>
            </w:r>
            <w:r>
              <w:t xml:space="preserve">based on July 2020 venetoclax submission </w:t>
            </w:r>
            <w:r w:rsidRPr="007E7E3E">
              <w:t>(Paragraph 5.32</w:t>
            </w:r>
            <w:r>
              <w:t>, v</w:t>
            </w:r>
            <w:r w:rsidRPr="007E7E3E">
              <w:t>enetoclax</w:t>
            </w:r>
            <w:r>
              <w:t>, PSD</w:t>
            </w:r>
            <w:r w:rsidRPr="007E7E3E">
              <w:t>, July 2020</w:t>
            </w:r>
            <w:r>
              <w:t xml:space="preserve"> PBAC meeting</w:t>
            </w:r>
            <w:r w:rsidRPr="007E7E3E">
              <w:t>)</w:t>
            </w:r>
            <w:r>
              <w:t xml:space="preserve">, </w:t>
            </w:r>
            <w:r w:rsidRPr="007E7E3E">
              <w:t xml:space="preserve">inflated from </w:t>
            </w:r>
            <w:r>
              <w:t>Y</w:t>
            </w:r>
            <w:r w:rsidRPr="007E7E3E">
              <w:t xml:space="preserve">ear 2019 to 2023 </w:t>
            </w:r>
            <w:r w:rsidRPr="000234F5">
              <w:t>using an online cost converter tool.</w:t>
            </w:r>
          </w:p>
        </w:tc>
      </w:tr>
    </w:tbl>
    <w:p w14:paraId="00E32DC6" w14:textId="77777777" w:rsidR="00FD7F1C" w:rsidRDefault="00FD7F1C" w:rsidP="005C2D58">
      <w:pPr>
        <w:pStyle w:val="COMTablefooter"/>
        <w:keepNext/>
      </w:pPr>
      <w:r>
        <w:t>Source: Section 3.4, pp101-103 of the submission; ‘Section 3_TN CLL’ Excel workbook.</w:t>
      </w:r>
    </w:p>
    <w:p w14:paraId="265FA753" w14:textId="26E3CD57" w:rsidR="00FD7F1C" w:rsidRDefault="00FD7F1C" w:rsidP="005C2D58">
      <w:pPr>
        <w:pStyle w:val="COMTablefooter"/>
        <w:keepNext/>
      </w:pPr>
      <w:r>
        <w:t xml:space="preserve">Abbreviations: AEMP = approved ex-manufacturer price; IV = intravenous, MBS = Medicare Benefits Schedule, </w:t>
      </w:r>
      <w:r w:rsidR="00AF4B22">
        <w:t xml:space="preserve">PSD = Public Summary Document, </w:t>
      </w:r>
      <w:r>
        <w:t>TLS = tumour lysis syndrome</w:t>
      </w:r>
    </w:p>
    <w:p w14:paraId="73ABD307" w14:textId="77777777" w:rsidR="006B33CD" w:rsidRDefault="00FD7F1C" w:rsidP="005C2D58">
      <w:pPr>
        <w:pStyle w:val="COMTablefooter"/>
        <w:keepNext/>
      </w:pPr>
      <w:r>
        <w:rPr>
          <w:vertAlign w:val="superscript"/>
        </w:rPr>
        <w:t>a</w:t>
      </w:r>
      <w:r>
        <w:t xml:space="preserve"> The MBS Item cost ($81.05) was erroneously specified as $81.50 in the cost-minimisation spreadsheet</w:t>
      </w:r>
      <w:r w:rsidR="006B33CD">
        <w:t xml:space="preserve">. </w:t>
      </w:r>
    </w:p>
    <w:p w14:paraId="71A29A61" w14:textId="5B4EDC41" w:rsidR="006B33CD" w:rsidRPr="006B33CD" w:rsidRDefault="006B33CD" w:rsidP="005C2D58">
      <w:pPr>
        <w:pStyle w:val="COMTablefooter"/>
        <w:keepNext/>
      </w:pPr>
      <w:r>
        <w:t>* Revisions to these parameters were made in the pre-PBAC response</w:t>
      </w:r>
      <w:r w:rsidR="00342EDE">
        <w:rPr>
          <w:szCs w:val="18"/>
        </w:rPr>
        <w:t>. These revisions are not reflected in the table</w:t>
      </w:r>
      <w:r w:rsidR="00342EDE" w:rsidRPr="006C64C0">
        <w:rPr>
          <w:szCs w:val="18"/>
        </w:rPr>
        <w:t>.</w:t>
      </w:r>
    </w:p>
    <w:p w14:paraId="20A3FB75" w14:textId="146A3F92" w:rsidR="00FD7F1C" w:rsidRPr="00021B9D" w:rsidRDefault="00FD7F1C" w:rsidP="00FD7F1C">
      <w:pPr>
        <w:pStyle w:val="COMexecsumnumberedpara"/>
        <w:rPr>
          <w:iCs/>
        </w:rPr>
      </w:pPr>
      <w:r>
        <w:t>The assumed cost offsets appeared to be overestimated due to the following reasons:</w:t>
      </w:r>
    </w:p>
    <w:p w14:paraId="2B95E6EE" w14:textId="130C2F36" w:rsidR="005C2D58" w:rsidRPr="005C2D58" w:rsidRDefault="00FD7F1C" w:rsidP="00C32E77">
      <w:pPr>
        <w:pStyle w:val="ListParagraph"/>
        <w:numPr>
          <w:ilvl w:val="0"/>
          <w:numId w:val="7"/>
        </w:numPr>
        <w:spacing w:after="120"/>
        <w:ind w:left="1134" w:hanging="357"/>
        <w:contextualSpacing w:val="0"/>
        <w:rPr>
          <w:iCs/>
        </w:rPr>
      </w:pPr>
      <w:r w:rsidRPr="00021B9D">
        <w:rPr>
          <w:iCs/>
        </w:rPr>
        <w:t xml:space="preserve">The number of infusions used to derive the obinutuzumab infusion, specialist visit and premedication costs (11) was an overestimate. A maximum of 9 obinutuzumab infusions would be required (assuming 100 mg on Day 1, 900 mg </w:t>
      </w:r>
      <w:r w:rsidRPr="00021B9D">
        <w:rPr>
          <w:iCs/>
        </w:rPr>
        <w:lastRenderedPageBreak/>
        <w:t>on Day 2, and 1,000 mg on Days 8 and 15 of Cycle 1; and 1,000 mg on Day 1 of Cycles 2-6). However, the actual number of infusions in clinical practice would be lower given that not all patients would receive all infusions.</w:t>
      </w:r>
      <w:r w:rsidR="00E6527F">
        <w:rPr>
          <w:iCs/>
        </w:rPr>
        <w:t xml:space="preserve"> </w:t>
      </w:r>
      <w:r w:rsidR="00477073" w:rsidRPr="00CA2520">
        <w:t xml:space="preserve">The ESC agreed with the evaluation. </w:t>
      </w:r>
      <w:r w:rsidR="00E6527F" w:rsidRPr="00CA2520">
        <w:t>The PSCR stated that the number of infusions used to derive these costs reflects what the PBAC accepted for venetoclax plus obinutuzumab (</w:t>
      </w:r>
      <w:r w:rsidR="006C5386" w:rsidRPr="00CA2520">
        <w:rPr>
          <w:iCs/>
        </w:rPr>
        <w:t xml:space="preserve">Paragraph 5.31, venetoclax, </w:t>
      </w:r>
      <w:r w:rsidR="00925404">
        <w:rPr>
          <w:iCs/>
        </w:rPr>
        <w:t>PSD</w:t>
      </w:r>
      <w:r w:rsidR="006C5386" w:rsidRPr="00CA2520">
        <w:rPr>
          <w:iCs/>
        </w:rPr>
        <w:t>, July 2020 PBAC meeting</w:t>
      </w:r>
      <w:r w:rsidR="00E6527F" w:rsidRPr="00CA2520">
        <w:t>). The PSCR stated that the results of the cost-minimisation were not highly sensitive to changes in these inputs.</w:t>
      </w:r>
    </w:p>
    <w:p w14:paraId="29431C9B" w14:textId="77777777" w:rsidR="005C2D58" w:rsidRDefault="00FD7F1C" w:rsidP="00C32E77">
      <w:pPr>
        <w:pStyle w:val="ListParagraph"/>
        <w:numPr>
          <w:ilvl w:val="0"/>
          <w:numId w:val="7"/>
        </w:numPr>
        <w:spacing w:after="120"/>
        <w:ind w:left="1134" w:hanging="357"/>
        <w:contextualSpacing w:val="0"/>
        <w:rPr>
          <w:iCs/>
        </w:rPr>
      </w:pPr>
      <w:r w:rsidRPr="005C2D58">
        <w:rPr>
          <w:iCs/>
        </w:rPr>
        <w:t>The assumption that all patients would require a specialist visit prior to administration of obinutuzumab may not be reasonable.</w:t>
      </w:r>
    </w:p>
    <w:p w14:paraId="6CF2839B" w14:textId="77777777" w:rsidR="005C2D58" w:rsidRDefault="00FD7F1C" w:rsidP="00C32E77">
      <w:pPr>
        <w:pStyle w:val="ListParagraph"/>
        <w:numPr>
          <w:ilvl w:val="0"/>
          <w:numId w:val="7"/>
        </w:numPr>
        <w:spacing w:after="120"/>
        <w:ind w:left="1134" w:hanging="357"/>
        <w:contextualSpacing w:val="0"/>
        <w:rPr>
          <w:iCs/>
        </w:rPr>
      </w:pPr>
      <w:r w:rsidRPr="005C2D58">
        <w:rPr>
          <w:iCs/>
        </w:rPr>
        <w:t>The eviQ guidelines state that the antihistamine premedication and intravenous corticosteroid premedication may be omitted for subsequent obinutuzumab infusions if no infusion-related reactions occurred with the previous infusion</w:t>
      </w:r>
      <w:r w:rsidR="003E7B25" w:rsidRPr="005C2D58">
        <w:rPr>
          <w:iCs/>
        </w:rPr>
        <w:t xml:space="preserve"> (n</w:t>
      </w:r>
      <w:r w:rsidRPr="005C2D58">
        <w:rPr>
          <w:iCs/>
        </w:rPr>
        <w:t>ote that the submission included costs of dexamethasone tablets, whereas the eviQ treatment protocol specifies parenteral dexamethasone</w:t>
      </w:r>
      <w:r w:rsidR="003E7B25" w:rsidRPr="005C2D58">
        <w:rPr>
          <w:iCs/>
        </w:rPr>
        <w:t>)</w:t>
      </w:r>
      <w:r w:rsidRPr="005C2D58">
        <w:rPr>
          <w:iCs/>
        </w:rPr>
        <w:t>.</w:t>
      </w:r>
    </w:p>
    <w:p w14:paraId="7615FE14" w14:textId="6939E426" w:rsidR="00FD7F1C" w:rsidRPr="005C2D58" w:rsidRDefault="00FD7F1C" w:rsidP="00C32E77">
      <w:pPr>
        <w:pStyle w:val="ListParagraph"/>
        <w:numPr>
          <w:ilvl w:val="0"/>
          <w:numId w:val="7"/>
        </w:numPr>
        <w:spacing w:after="120"/>
        <w:ind w:left="1134" w:hanging="357"/>
        <w:contextualSpacing w:val="0"/>
        <w:rPr>
          <w:iCs/>
        </w:rPr>
      </w:pPr>
      <w:r w:rsidRPr="005C2D58">
        <w:rPr>
          <w:iCs/>
        </w:rPr>
        <w:t>While the risk of tumour lysis syndrome with zanubrutinib is low, tumour lysis syndrome costs associated with prophylaxis/monitoring may be applicable to some patients</w:t>
      </w:r>
      <w:r w:rsidR="003E7B25" w:rsidRPr="005C2D58">
        <w:rPr>
          <w:iCs/>
        </w:rPr>
        <w:t xml:space="preserve"> treated with zanubrutinib</w:t>
      </w:r>
      <w:r w:rsidRPr="005C2D58">
        <w:rPr>
          <w:iCs/>
        </w:rPr>
        <w:t xml:space="preserve"> (i.e., patients with high tumour burden).</w:t>
      </w:r>
      <w:r w:rsidR="00A24724" w:rsidRPr="005C2D58">
        <w:rPr>
          <w:iCs/>
        </w:rPr>
        <w:t xml:space="preserve"> </w:t>
      </w:r>
      <w:r w:rsidR="00A24724" w:rsidRPr="00CA2520">
        <w:t xml:space="preserve">The PSCR stated that in an analysis of patients treated with zanubrutinib, only two of 1,550 patients (0.1%) experienced tumour lysis syndrome during zanubrutinib monotherapy treatment. Based on these data coupled with advice received from key opinion leaders, the PSCR argued that it is unlikely that routine tumour lysis syndrome monitoring will be undertaken for </w:t>
      </w:r>
      <w:r w:rsidR="001665AA" w:rsidRPr="00CA2520">
        <w:t>most</w:t>
      </w:r>
      <w:r w:rsidR="00A24724" w:rsidRPr="00CA2520">
        <w:t xml:space="preserve"> patients receiving zanubrutinib in practice. </w:t>
      </w:r>
    </w:p>
    <w:p w14:paraId="35F69526" w14:textId="66EA5328" w:rsidR="00D65E60" w:rsidRDefault="00D65E60" w:rsidP="006A1BBC">
      <w:pPr>
        <w:pStyle w:val="COMexecsumnumberedpara"/>
      </w:pPr>
      <w:bookmarkStart w:id="59" w:name="_Ref130548327"/>
      <w:r>
        <w:t>The pre-PBAC response agreed to halve the number of infusions, specialist visits and premedication costs.</w:t>
      </w:r>
      <w:r w:rsidR="00314C95">
        <w:t xml:space="preserve"> The PBAC considered that this was appropriate</w:t>
      </w:r>
      <w:r w:rsidR="00574312">
        <w:t>, noting that the cost-minimised price presented in the pre-PBAC response had been derived by applying a reduction of 75% in some cases, and therefore required adjusting</w:t>
      </w:r>
      <w:r w:rsidR="00314C95">
        <w:t>.</w:t>
      </w:r>
      <w:bookmarkEnd w:id="59"/>
    </w:p>
    <w:p w14:paraId="5A0DC271" w14:textId="29E00218" w:rsidR="00FD7F1C" w:rsidRDefault="00C63912" w:rsidP="006A1BBC">
      <w:pPr>
        <w:pStyle w:val="COMexecsumnumberedpara"/>
      </w:pPr>
      <w:r>
        <w:fldChar w:fldCharType="begin" w:fldLock="1"/>
      </w:r>
      <w:r>
        <w:instrText xml:space="preserve"> REF _Ref124002126 \h </w:instrText>
      </w:r>
      <w:r>
        <w:fldChar w:fldCharType="separate"/>
      </w:r>
      <w:r w:rsidR="00540D87" w:rsidRPr="00C31E62">
        <w:t xml:space="preserve">Table </w:t>
      </w:r>
      <w:r w:rsidR="00540D87">
        <w:rPr>
          <w:noProof/>
        </w:rPr>
        <w:t>11</w:t>
      </w:r>
      <w:r>
        <w:fldChar w:fldCharType="end"/>
      </w:r>
      <w:r w:rsidR="00FD7F1C">
        <w:t xml:space="preserve"> presents the derivation of the cost-minimised price for zanubrutinib based on the </w:t>
      </w:r>
      <w:r w:rsidR="00DA59AA">
        <w:t xml:space="preserve">published prices of </w:t>
      </w:r>
      <w:r w:rsidR="00FD7F1C">
        <w:t xml:space="preserve">venetoclax and obinutuzumab. </w:t>
      </w:r>
      <w:bookmarkStart w:id="60" w:name="_Hlk129007333"/>
      <w:r w:rsidR="00D65E60">
        <w:t xml:space="preserve">The cost-minimised price </w:t>
      </w:r>
      <w:r w:rsidR="003C0426">
        <w:t xml:space="preserve">in Table 11 </w:t>
      </w:r>
      <w:r w:rsidR="00D65E60">
        <w:t xml:space="preserve">does not include the changes </w:t>
      </w:r>
      <w:r w:rsidR="0082017E">
        <w:t xml:space="preserve">proposed in the pre-PBAC response as </w:t>
      </w:r>
      <w:r w:rsidR="00D65E60">
        <w:t xml:space="preserve">specified in </w:t>
      </w:r>
      <w:r w:rsidR="00D65E60" w:rsidRPr="005C2D58">
        <w:t xml:space="preserve">paragraphs </w:t>
      </w:r>
      <w:r w:rsidR="003001BF" w:rsidRPr="005C2D58">
        <w:fldChar w:fldCharType="begin" w:fldLock="1"/>
      </w:r>
      <w:r w:rsidR="003001BF" w:rsidRPr="005C2D58">
        <w:instrText xml:space="preserve"> REF _Ref130548271 \r \h </w:instrText>
      </w:r>
      <w:r w:rsidR="003D155F" w:rsidRPr="005C2D58">
        <w:instrText xml:space="preserve"> \* MERGEFORMAT </w:instrText>
      </w:r>
      <w:r w:rsidR="003001BF" w:rsidRPr="005C2D58">
        <w:fldChar w:fldCharType="separate"/>
      </w:r>
      <w:r w:rsidR="003001BF" w:rsidRPr="005C2D58">
        <w:t>6.64</w:t>
      </w:r>
      <w:r w:rsidR="003001BF" w:rsidRPr="005C2D58">
        <w:fldChar w:fldCharType="end"/>
      </w:r>
      <w:r w:rsidR="00D65E60" w:rsidRPr="005C2D58">
        <w:t xml:space="preserve">, </w:t>
      </w:r>
      <w:r w:rsidR="003001BF" w:rsidRPr="005C2D58">
        <w:fldChar w:fldCharType="begin" w:fldLock="1"/>
      </w:r>
      <w:r w:rsidR="003001BF" w:rsidRPr="005C2D58">
        <w:instrText xml:space="preserve"> REF _Ref130548296 \r \h </w:instrText>
      </w:r>
      <w:r w:rsidR="005C2D58">
        <w:instrText xml:space="preserve"> \* MERGEFORMAT </w:instrText>
      </w:r>
      <w:r w:rsidR="003001BF" w:rsidRPr="005C2D58">
        <w:fldChar w:fldCharType="separate"/>
      </w:r>
      <w:r w:rsidR="003001BF" w:rsidRPr="005C2D58">
        <w:t>6.67</w:t>
      </w:r>
      <w:r w:rsidR="003001BF" w:rsidRPr="005C2D58">
        <w:fldChar w:fldCharType="end"/>
      </w:r>
      <w:r w:rsidR="00D65E60" w:rsidRPr="005C2D58">
        <w:t xml:space="preserve">and </w:t>
      </w:r>
      <w:r w:rsidR="003001BF" w:rsidRPr="005C2D58">
        <w:fldChar w:fldCharType="begin" w:fldLock="1"/>
      </w:r>
      <w:r w:rsidR="003001BF" w:rsidRPr="005C2D58">
        <w:instrText xml:space="preserve"> REF _Ref130548327 \r \h </w:instrText>
      </w:r>
      <w:r w:rsidR="005C2D58">
        <w:instrText xml:space="preserve"> \* MERGEFORMAT </w:instrText>
      </w:r>
      <w:r w:rsidR="003001BF" w:rsidRPr="005C2D58">
        <w:fldChar w:fldCharType="separate"/>
      </w:r>
      <w:r w:rsidR="003001BF" w:rsidRPr="005C2D58">
        <w:t>6.73</w:t>
      </w:r>
      <w:r w:rsidR="003001BF" w:rsidRPr="005C2D58">
        <w:fldChar w:fldCharType="end"/>
      </w:r>
      <w:r w:rsidR="00D65E60" w:rsidRPr="005C2D58">
        <w:t>.</w:t>
      </w:r>
      <w:bookmarkEnd w:id="60"/>
    </w:p>
    <w:p w14:paraId="76BCF791" w14:textId="51980C89" w:rsidR="00FD7F1C" w:rsidRDefault="00C63912" w:rsidP="00C63912">
      <w:pPr>
        <w:pStyle w:val="TableHeading"/>
        <w:spacing w:before="0" w:after="0" w:line="240" w:lineRule="auto"/>
        <w:jc w:val="both"/>
      </w:pPr>
      <w:bookmarkStart w:id="61" w:name="_Ref124002126"/>
      <w:r w:rsidRPr="00C31E62">
        <w:lastRenderedPageBreak/>
        <w:t xml:space="preserve">Table </w:t>
      </w:r>
      <w:fldSimple w:instr=" SEQ Table \* ARABIC " w:fldLock="1">
        <w:r w:rsidR="00540D87">
          <w:rPr>
            <w:noProof/>
          </w:rPr>
          <w:t>11</w:t>
        </w:r>
      </w:fldSimple>
      <w:bookmarkEnd w:id="61"/>
      <w:r w:rsidR="00FD7F1C">
        <w:t xml:space="preserve">: Derivation of the cost-minimised price for zanubrutinib based on the </w:t>
      </w:r>
      <w:r w:rsidR="003E7B25">
        <w:t xml:space="preserve">published prices of </w:t>
      </w:r>
      <w:r w:rsidR="00FD7F1C">
        <w:t xml:space="preserve">venetoclax and obinutuzumab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73"/>
        <w:gridCol w:w="2149"/>
        <w:gridCol w:w="2150"/>
      </w:tblGrid>
      <w:tr w:rsidR="00FD7F1C" w14:paraId="176FAF7F"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4A7265D8" w14:textId="77777777" w:rsidR="00FD7F1C" w:rsidRDefault="00FD7F1C" w:rsidP="006A1BBC">
            <w:pPr>
              <w:pStyle w:val="PBACTableText"/>
              <w:keepNext/>
              <w:tabs>
                <w:tab w:val="left" w:pos="142"/>
              </w:tabs>
              <w:spacing w:before="0" w:after="0"/>
            </w:pPr>
          </w:p>
        </w:tc>
        <w:tc>
          <w:tcPr>
            <w:tcW w:w="2149" w:type="dxa"/>
            <w:tcBorders>
              <w:top w:val="single" w:sz="4" w:space="0" w:color="auto"/>
              <w:left w:val="single" w:sz="4" w:space="0" w:color="auto"/>
              <w:bottom w:val="single" w:sz="4" w:space="0" w:color="auto"/>
              <w:right w:val="single" w:sz="4" w:space="0" w:color="auto"/>
            </w:tcBorders>
            <w:vAlign w:val="center"/>
            <w:hideMark/>
          </w:tcPr>
          <w:p w14:paraId="21B9E62A" w14:textId="77777777" w:rsidR="00FD7F1C" w:rsidRDefault="00FD7F1C" w:rsidP="006A1BBC">
            <w:pPr>
              <w:pStyle w:val="PBACTableText"/>
              <w:keepNext/>
              <w:spacing w:before="0" w:after="0"/>
              <w:jc w:val="center"/>
              <w:rPr>
                <w:b/>
              </w:rPr>
            </w:pPr>
            <w:r>
              <w:rPr>
                <w:b/>
              </w:rPr>
              <w:t>VEN + OBI</w:t>
            </w:r>
          </w:p>
        </w:tc>
        <w:tc>
          <w:tcPr>
            <w:tcW w:w="2150" w:type="dxa"/>
            <w:tcBorders>
              <w:top w:val="single" w:sz="4" w:space="0" w:color="auto"/>
              <w:left w:val="single" w:sz="4" w:space="0" w:color="auto"/>
              <w:bottom w:val="single" w:sz="4" w:space="0" w:color="auto"/>
              <w:right w:val="single" w:sz="4" w:space="0" w:color="auto"/>
            </w:tcBorders>
            <w:vAlign w:val="center"/>
            <w:hideMark/>
          </w:tcPr>
          <w:p w14:paraId="73BF92CD" w14:textId="77777777" w:rsidR="00FD7F1C" w:rsidRDefault="00FD7F1C" w:rsidP="006A1BBC">
            <w:pPr>
              <w:pStyle w:val="PBACTableText"/>
              <w:keepNext/>
              <w:spacing w:before="0" w:after="0"/>
              <w:jc w:val="center"/>
              <w:rPr>
                <w:b/>
              </w:rPr>
            </w:pPr>
            <w:r>
              <w:rPr>
                <w:b/>
              </w:rPr>
              <w:t>ZANU</w:t>
            </w:r>
          </w:p>
        </w:tc>
      </w:tr>
      <w:tr w:rsidR="00FD7F1C" w:rsidRPr="005F1564" w14:paraId="01BE2A7D" w14:textId="77777777" w:rsidTr="006A1BBC">
        <w:tc>
          <w:tcPr>
            <w:tcW w:w="4673" w:type="dxa"/>
            <w:tcBorders>
              <w:top w:val="single" w:sz="4" w:space="0" w:color="auto"/>
              <w:left w:val="single" w:sz="4" w:space="0" w:color="auto"/>
              <w:bottom w:val="single" w:sz="4" w:space="0" w:color="auto"/>
              <w:right w:val="single" w:sz="4" w:space="0" w:color="auto"/>
            </w:tcBorders>
            <w:vAlign w:val="center"/>
            <w:hideMark/>
          </w:tcPr>
          <w:p w14:paraId="32AC59B4" w14:textId="77777777" w:rsidR="00FD7F1C" w:rsidRPr="005F1564" w:rsidRDefault="00FD7F1C" w:rsidP="006A1BBC">
            <w:pPr>
              <w:pStyle w:val="PBACTableText"/>
              <w:keepNext/>
              <w:tabs>
                <w:tab w:val="left" w:pos="142"/>
              </w:tabs>
              <w:spacing w:before="0" w:after="0"/>
            </w:pPr>
            <w:r w:rsidRPr="005F1564">
              <w:t xml:space="preserve">Proposed equi-effective dose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8FA1B92" w14:textId="77777777" w:rsidR="00FD7F1C" w:rsidRPr="005F1564" w:rsidRDefault="00FD7F1C" w:rsidP="006A1BBC">
            <w:pPr>
              <w:pStyle w:val="PBACTableText"/>
              <w:keepNext/>
              <w:spacing w:before="0" w:after="0"/>
              <w:jc w:val="center"/>
            </w:pPr>
            <w:r w:rsidRPr="005F1564">
              <w:t>Venetoclax: 1 initial script; 8.67 continuing scripts.</w:t>
            </w:r>
          </w:p>
          <w:p w14:paraId="4E0066F6" w14:textId="4A0CE5F6" w:rsidR="00FD7F1C" w:rsidRPr="005F1564" w:rsidRDefault="00FD7F1C" w:rsidP="006A1BBC">
            <w:pPr>
              <w:pStyle w:val="PBACTableText"/>
              <w:keepNext/>
              <w:spacing w:before="0" w:after="0"/>
              <w:jc w:val="center"/>
            </w:pPr>
            <w:r w:rsidRPr="005F1564">
              <w:t>Obinutuzumab: 7.3</w:t>
            </w:r>
            <w:r w:rsidR="006A0830" w:rsidRPr="005F1564">
              <w:t>5</w:t>
            </w:r>
            <w:r w:rsidRPr="005F1564">
              <w:t>5 scripts</w:t>
            </w:r>
          </w:p>
        </w:tc>
        <w:tc>
          <w:tcPr>
            <w:tcW w:w="2150" w:type="dxa"/>
            <w:tcBorders>
              <w:top w:val="single" w:sz="4" w:space="0" w:color="auto"/>
              <w:left w:val="single" w:sz="4" w:space="0" w:color="auto"/>
              <w:bottom w:val="single" w:sz="4" w:space="0" w:color="auto"/>
              <w:right w:val="single" w:sz="4" w:space="0" w:color="auto"/>
            </w:tcBorders>
            <w:vAlign w:val="center"/>
            <w:hideMark/>
          </w:tcPr>
          <w:p w14:paraId="007ACAAE" w14:textId="77777777" w:rsidR="00FD7F1C" w:rsidRPr="005F1564" w:rsidRDefault="00FD7F1C" w:rsidP="006A1BBC">
            <w:pPr>
              <w:pStyle w:val="PBACTableText"/>
              <w:keepNext/>
              <w:spacing w:before="0" w:after="0"/>
              <w:jc w:val="center"/>
            </w:pPr>
            <w:r w:rsidRPr="005F1564">
              <w:t>67.02 scripts</w:t>
            </w:r>
          </w:p>
        </w:tc>
      </w:tr>
      <w:tr w:rsidR="00FD7F1C" w:rsidRPr="005F1564" w14:paraId="3A1667F0" w14:textId="77777777" w:rsidTr="006A1BBC">
        <w:tc>
          <w:tcPr>
            <w:tcW w:w="8972" w:type="dxa"/>
            <w:gridSpan w:val="3"/>
            <w:tcBorders>
              <w:top w:val="single" w:sz="4" w:space="0" w:color="auto"/>
              <w:left w:val="single" w:sz="4" w:space="0" w:color="auto"/>
              <w:bottom w:val="single" w:sz="4" w:space="0" w:color="auto"/>
              <w:right w:val="single" w:sz="4" w:space="0" w:color="auto"/>
            </w:tcBorders>
            <w:vAlign w:val="center"/>
            <w:hideMark/>
          </w:tcPr>
          <w:p w14:paraId="7770B681" w14:textId="77777777" w:rsidR="00FD7F1C" w:rsidRPr="005F1564" w:rsidRDefault="00FD7F1C" w:rsidP="006A1BBC">
            <w:pPr>
              <w:pStyle w:val="PBACTableText"/>
              <w:keepNext/>
              <w:tabs>
                <w:tab w:val="left" w:pos="142"/>
              </w:tabs>
              <w:spacing w:before="0" w:after="0"/>
              <w:rPr>
                <w:b/>
              </w:rPr>
            </w:pPr>
            <w:r w:rsidRPr="005F1564">
              <w:rPr>
                <w:b/>
              </w:rPr>
              <w:t>Treatment cost (venetoclax + obinutuzumab)</w:t>
            </w:r>
          </w:p>
        </w:tc>
      </w:tr>
      <w:tr w:rsidR="00FD7F1C" w:rsidRPr="005F1564" w14:paraId="0C692223" w14:textId="77777777" w:rsidTr="006A1BBC">
        <w:tc>
          <w:tcPr>
            <w:tcW w:w="4673" w:type="dxa"/>
            <w:tcBorders>
              <w:top w:val="single" w:sz="4" w:space="0" w:color="auto"/>
              <w:left w:val="single" w:sz="4" w:space="0" w:color="auto"/>
              <w:bottom w:val="single" w:sz="4" w:space="0" w:color="auto"/>
              <w:right w:val="single" w:sz="4" w:space="0" w:color="auto"/>
            </w:tcBorders>
            <w:vAlign w:val="center"/>
            <w:hideMark/>
          </w:tcPr>
          <w:p w14:paraId="089E3117" w14:textId="77777777" w:rsidR="00FD7F1C" w:rsidRPr="005F1564" w:rsidRDefault="00FD7F1C" w:rsidP="006A1BBC">
            <w:pPr>
              <w:pStyle w:val="PBACTableText"/>
              <w:keepNext/>
              <w:tabs>
                <w:tab w:val="left" w:pos="142"/>
              </w:tabs>
              <w:spacing w:before="0" w:after="0"/>
            </w:pPr>
            <w:r w:rsidRPr="005F1564">
              <w:t>VEN drug cost over 10 years - AEMP ([1 x $1,645.30] + [8.67 x $7,623.02])</w:t>
            </w:r>
          </w:p>
        </w:tc>
        <w:tc>
          <w:tcPr>
            <w:tcW w:w="2149" w:type="dxa"/>
            <w:tcBorders>
              <w:top w:val="single" w:sz="4" w:space="0" w:color="auto"/>
              <w:left w:val="single" w:sz="4" w:space="0" w:color="auto"/>
              <w:bottom w:val="single" w:sz="4" w:space="0" w:color="auto"/>
              <w:right w:val="single" w:sz="4" w:space="0" w:color="auto"/>
            </w:tcBorders>
            <w:vAlign w:val="center"/>
          </w:tcPr>
          <w:p w14:paraId="37CDFD19" w14:textId="77777777" w:rsidR="00FD7F1C" w:rsidRPr="005F1564" w:rsidRDefault="00FD7F1C" w:rsidP="006A1BBC">
            <w:pPr>
              <w:pStyle w:val="PBACTableText"/>
              <w:keepNext/>
              <w:spacing w:before="0" w:after="0"/>
              <w:jc w:val="center"/>
            </w:pPr>
            <w:r w:rsidRPr="005F1564">
              <w:t>$67,736.88</w:t>
            </w:r>
          </w:p>
        </w:tc>
        <w:tc>
          <w:tcPr>
            <w:tcW w:w="2150" w:type="dxa"/>
            <w:tcBorders>
              <w:top w:val="single" w:sz="4" w:space="0" w:color="auto"/>
              <w:left w:val="single" w:sz="4" w:space="0" w:color="auto"/>
              <w:bottom w:val="single" w:sz="4" w:space="0" w:color="auto"/>
              <w:right w:val="single" w:sz="4" w:space="0" w:color="auto"/>
            </w:tcBorders>
            <w:vAlign w:val="center"/>
            <w:hideMark/>
          </w:tcPr>
          <w:p w14:paraId="74737555" w14:textId="77777777" w:rsidR="00FD7F1C" w:rsidRPr="005F1564" w:rsidRDefault="00FD7F1C" w:rsidP="006A1BBC">
            <w:pPr>
              <w:pStyle w:val="PBACTableText"/>
              <w:keepNext/>
              <w:spacing w:before="0" w:after="0"/>
              <w:jc w:val="center"/>
            </w:pPr>
            <w:r w:rsidRPr="005F1564">
              <w:t>-</w:t>
            </w:r>
          </w:p>
        </w:tc>
      </w:tr>
      <w:tr w:rsidR="00FD7F1C" w:rsidRPr="005F1564" w14:paraId="3D99449D"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384F4DB1" w14:textId="77777777" w:rsidR="00FD7F1C" w:rsidRPr="005F1564" w:rsidRDefault="00FD7F1C" w:rsidP="006A1BBC">
            <w:pPr>
              <w:pStyle w:val="PBACTableText"/>
              <w:keepNext/>
              <w:tabs>
                <w:tab w:val="left" w:pos="142"/>
              </w:tabs>
              <w:spacing w:before="0" w:after="0"/>
            </w:pPr>
            <w:r w:rsidRPr="005F1564">
              <w:t>VEN tumour lysis syndrome prophylaxis costs</w:t>
            </w:r>
          </w:p>
        </w:tc>
        <w:tc>
          <w:tcPr>
            <w:tcW w:w="2149" w:type="dxa"/>
            <w:tcBorders>
              <w:top w:val="single" w:sz="4" w:space="0" w:color="auto"/>
              <w:left w:val="single" w:sz="4" w:space="0" w:color="auto"/>
              <w:bottom w:val="single" w:sz="4" w:space="0" w:color="auto"/>
              <w:right w:val="single" w:sz="4" w:space="0" w:color="auto"/>
            </w:tcBorders>
            <w:vAlign w:val="center"/>
          </w:tcPr>
          <w:p w14:paraId="556442E3" w14:textId="77777777" w:rsidR="00FD7F1C" w:rsidRPr="005F1564" w:rsidRDefault="00FD7F1C" w:rsidP="006A1BBC">
            <w:pPr>
              <w:pStyle w:val="PBACTableText"/>
              <w:keepNext/>
              <w:spacing w:before="0" w:after="0"/>
              <w:jc w:val="center"/>
            </w:pPr>
            <w:r w:rsidRPr="005F1564">
              <w:t>$1,329.00</w:t>
            </w:r>
          </w:p>
        </w:tc>
        <w:tc>
          <w:tcPr>
            <w:tcW w:w="2150" w:type="dxa"/>
            <w:tcBorders>
              <w:top w:val="single" w:sz="4" w:space="0" w:color="auto"/>
              <w:left w:val="single" w:sz="4" w:space="0" w:color="auto"/>
              <w:bottom w:val="single" w:sz="4" w:space="0" w:color="auto"/>
              <w:right w:val="single" w:sz="4" w:space="0" w:color="auto"/>
            </w:tcBorders>
            <w:vAlign w:val="center"/>
            <w:hideMark/>
          </w:tcPr>
          <w:p w14:paraId="0266D22A" w14:textId="77777777" w:rsidR="00FD7F1C" w:rsidRPr="005F1564" w:rsidRDefault="00FD7F1C" w:rsidP="006A1BBC">
            <w:pPr>
              <w:pStyle w:val="PBACTableText"/>
              <w:keepNext/>
              <w:spacing w:before="0" w:after="0"/>
              <w:jc w:val="center"/>
            </w:pPr>
            <w:r w:rsidRPr="005F1564">
              <w:t>-</w:t>
            </w:r>
          </w:p>
        </w:tc>
      </w:tr>
      <w:tr w:rsidR="00FD7F1C" w:rsidRPr="005F1564" w14:paraId="7E1F0B51"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3BEA0D16" w14:textId="77777777" w:rsidR="00FD7F1C" w:rsidRPr="005F1564" w:rsidRDefault="00FD7F1C" w:rsidP="006A1BBC">
            <w:pPr>
              <w:pStyle w:val="PBACTableText"/>
              <w:keepNext/>
              <w:tabs>
                <w:tab w:val="left" w:pos="142"/>
              </w:tabs>
              <w:spacing w:before="0" w:after="0"/>
            </w:pPr>
            <w:r w:rsidRPr="005F1564">
              <w:t>OBI drug cost over 10 years - AEMP (7.355 x $5,028.35)</w:t>
            </w:r>
          </w:p>
        </w:tc>
        <w:tc>
          <w:tcPr>
            <w:tcW w:w="2149" w:type="dxa"/>
            <w:tcBorders>
              <w:top w:val="single" w:sz="4" w:space="0" w:color="auto"/>
              <w:left w:val="single" w:sz="4" w:space="0" w:color="auto"/>
              <w:bottom w:val="single" w:sz="4" w:space="0" w:color="auto"/>
              <w:right w:val="single" w:sz="4" w:space="0" w:color="auto"/>
            </w:tcBorders>
            <w:vAlign w:val="center"/>
          </w:tcPr>
          <w:p w14:paraId="1D04CB81" w14:textId="77777777" w:rsidR="00FD7F1C" w:rsidRPr="005F1564" w:rsidRDefault="00FD7F1C" w:rsidP="006A1BBC">
            <w:pPr>
              <w:pStyle w:val="PBACTableText"/>
              <w:keepNext/>
              <w:spacing w:before="0" w:after="0"/>
              <w:jc w:val="center"/>
            </w:pPr>
            <w:r w:rsidRPr="005F1564">
              <w:t>$36,983.51</w:t>
            </w:r>
          </w:p>
        </w:tc>
        <w:tc>
          <w:tcPr>
            <w:tcW w:w="2150" w:type="dxa"/>
            <w:tcBorders>
              <w:top w:val="single" w:sz="4" w:space="0" w:color="auto"/>
              <w:left w:val="single" w:sz="4" w:space="0" w:color="auto"/>
              <w:bottom w:val="single" w:sz="4" w:space="0" w:color="auto"/>
              <w:right w:val="single" w:sz="4" w:space="0" w:color="auto"/>
            </w:tcBorders>
            <w:vAlign w:val="center"/>
            <w:hideMark/>
          </w:tcPr>
          <w:p w14:paraId="5BFFC46A" w14:textId="77777777" w:rsidR="00FD7F1C" w:rsidRPr="005F1564" w:rsidRDefault="00FD7F1C" w:rsidP="006A1BBC">
            <w:pPr>
              <w:pStyle w:val="PBACTableText"/>
              <w:keepNext/>
              <w:spacing w:before="0" w:after="0"/>
              <w:jc w:val="center"/>
            </w:pPr>
            <w:r w:rsidRPr="005F1564">
              <w:t>-</w:t>
            </w:r>
          </w:p>
        </w:tc>
      </w:tr>
      <w:tr w:rsidR="00FD7F1C" w:rsidRPr="005F1564" w14:paraId="48A606FA"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08022973" w14:textId="77777777" w:rsidR="00FD7F1C" w:rsidRPr="005F1564" w:rsidRDefault="00FD7F1C" w:rsidP="006A1BBC">
            <w:pPr>
              <w:pStyle w:val="PBACTableText"/>
              <w:keepNext/>
              <w:tabs>
                <w:tab w:val="left" w:pos="142"/>
              </w:tabs>
              <w:spacing w:before="0" w:after="0"/>
            </w:pPr>
            <w:r w:rsidRPr="005F1564">
              <w:t>OBI administration cost – MBS 13950 (11.0 x $114.20)</w:t>
            </w:r>
          </w:p>
        </w:tc>
        <w:tc>
          <w:tcPr>
            <w:tcW w:w="2149" w:type="dxa"/>
            <w:tcBorders>
              <w:top w:val="single" w:sz="4" w:space="0" w:color="auto"/>
              <w:left w:val="single" w:sz="4" w:space="0" w:color="auto"/>
              <w:bottom w:val="single" w:sz="4" w:space="0" w:color="auto"/>
              <w:right w:val="single" w:sz="4" w:space="0" w:color="auto"/>
            </w:tcBorders>
            <w:vAlign w:val="center"/>
          </w:tcPr>
          <w:p w14:paraId="55FCE08A" w14:textId="77777777" w:rsidR="00FD7F1C" w:rsidRPr="005F1564" w:rsidRDefault="00FD7F1C" w:rsidP="006A1BBC">
            <w:pPr>
              <w:pStyle w:val="PBACTableText"/>
              <w:keepNext/>
              <w:spacing w:before="0" w:after="0"/>
              <w:jc w:val="center"/>
            </w:pPr>
            <w:r w:rsidRPr="005F1564">
              <w:t>$1,256.20</w:t>
            </w:r>
          </w:p>
        </w:tc>
        <w:tc>
          <w:tcPr>
            <w:tcW w:w="2150" w:type="dxa"/>
            <w:tcBorders>
              <w:top w:val="single" w:sz="4" w:space="0" w:color="auto"/>
              <w:left w:val="single" w:sz="4" w:space="0" w:color="auto"/>
              <w:bottom w:val="single" w:sz="4" w:space="0" w:color="auto"/>
              <w:right w:val="single" w:sz="4" w:space="0" w:color="auto"/>
            </w:tcBorders>
            <w:vAlign w:val="center"/>
          </w:tcPr>
          <w:p w14:paraId="613EFE13" w14:textId="77777777" w:rsidR="00FD7F1C" w:rsidRPr="005F1564" w:rsidRDefault="00FD7F1C" w:rsidP="006A1BBC">
            <w:pPr>
              <w:pStyle w:val="PBACTableText"/>
              <w:keepNext/>
              <w:spacing w:before="0" w:after="0"/>
              <w:jc w:val="center"/>
            </w:pPr>
            <w:r w:rsidRPr="005F1564">
              <w:t>-</w:t>
            </w:r>
          </w:p>
        </w:tc>
      </w:tr>
      <w:tr w:rsidR="00FD7F1C" w:rsidRPr="005F1564" w14:paraId="6908ABEC"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24668A20" w14:textId="0D3DCCA8" w:rsidR="00FD7F1C" w:rsidRPr="005F1564" w:rsidRDefault="00FD7F1C" w:rsidP="006A1BBC">
            <w:pPr>
              <w:pStyle w:val="PBACTableText"/>
              <w:keepNext/>
              <w:tabs>
                <w:tab w:val="left" w:pos="142"/>
              </w:tabs>
              <w:spacing w:before="0" w:after="0"/>
              <w:rPr>
                <w:vertAlign w:val="superscript"/>
              </w:rPr>
            </w:pPr>
            <w:r w:rsidRPr="005F1564">
              <w:t>OBI specialist visits (11.0 x $81.50)</w:t>
            </w:r>
            <w:r w:rsidR="00C148FE" w:rsidRPr="005F1564">
              <w:t xml:space="preserve"> </w:t>
            </w:r>
            <w:r w:rsidRPr="005F1564">
              <w:rPr>
                <w:vertAlign w:val="superscript"/>
              </w:rPr>
              <w:t>a</w:t>
            </w:r>
          </w:p>
        </w:tc>
        <w:tc>
          <w:tcPr>
            <w:tcW w:w="2149" w:type="dxa"/>
            <w:tcBorders>
              <w:top w:val="single" w:sz="4" w:space="0" w:color="auto"/>
              <w:left w:val="single" w:sz="4" w:space="0" w:color="auto"/>
              <w:bottom w:val="single" w:sz="4" w:space="0" w:color="auto"/>
              <w:right w:val="single" w:sz="4" w:space="0" w:color="auto"/>
            </w:tcBorders>
            <w:vAlign w:val="center"/>
          </w:tcPr>
          <w:p w14:paraId="0CCDB748" w14:textId="77777777" w:rsidR="00FD7F1C" w:rsidRPr="005F1564" w:rsidRDefault="00FD7F1C" w:rsidP="006A1BBC">
            <w:pPr>
              <w:pStyle w:val="PBACTableText"/>
              <w:keepNext/>
              <w:spacing w:before="0" w:after="0"/>
              <w:jc w:val="center"/>
            </w:pPr>
            <w:r w:rsidRPr="005F1564">
              <w:t>$896.50</w:t>
            </w:r>
          </w:p>
        </w:tc>
        <w:tc>
          <w:tcPr>
            <w:tcW w:w="2150" w:type="dxa"/>
            <w:tcBorders>
              <w:top w:val="single" w:sz="4" w:space="0" w:color="auto"/>
              <w:left w:val="single" w:sz="4" w:space="0" w:color="auto"/>
              <w:bottom w:val="single" w:sz="4" w:space="0" w:color="auto"/>
              <w:right w:val="single" w:sz="4" w:space="0" w:color="auto"/>
            </w:tcBorders>
            <w:vAlign w:val="center"/>
          </w:tcPr>
          <w:p w14:paraId="4AFD0DD6" w14:textId="77777777" w:rsidR="00FD7F1C" w:rsidRPr="005F1564" w:rsidRDefault="00FD7F1C" w:rsidP="006A1BBC">
            <w:pPr>
              <w:pStyle w:val="PBACTableText"/>
              <w:keepNext/>
              <w:spacing w:before="0" w:after="0"/>
              <w:jc w:val="center"/>
            </w:pPr>
            <w:r w:rsidRPr="005F1564">
              <w:t>-</w:t>
            </w:r>
          </w:p>
        </w:tc>
      </w:tr>
      <w:tr w:rsidR="00FD7F1C" w:rsidRPr="005F1564" w14:paraId="394D1181"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0CB86D21" w14:textId="77777777" w:rsidR="00FD7F1C" w:rsidRPr="005F1564" w:rsidRDefault="00FD7F1C" w:rsidP="006A1BBC">
            <w:pPr>
              <w:pStyle w:val="PBACTableText"/>
              <w:keepNext/>
              <w:tabs>
                <w:tab w:val="left" w:pos="142"/>
              </w:tabs>
              <w:spacing w:before="0" w:after="0"/>
            </w:pPr>
            <w:r w:rsidRPr="005F1564">
              <w:t>OBI premedication costs (11.0 x $1.44)</w:t>
            </w:r>
          </w:p>
        </w:tc>
        <w:tc>
          <w:tcPr>
            <w:tcW w:w="2149" w:type="dxa"/>
            <w:tcBorders>
              <w:top w:val="single" w:sz="4" w:space="0" w:color="auto"/>
              <w:left w:val="single" w:sz="4" w:space="0" w:color="auto"/>
              <w:bottom w:val="single" w:sz="4" w:space="0" w:color="auto"/>
              <w:right w:val="single" w:sz="4" w:space="0" w:color="auto"/>
            </w:tcBorders>
            <w:vAlign w:val="center"/>
          </w:tcPr>
          <w:p w14:paraId="1A3F5026" w14:textId="77777777" w:rsidR="00FD7F1C" w:rsidRPr="005F1564" w:rsidRDefault="00FD7F1C" w:rsidP="006A1BBC">
            <w:pPr>
              <w:pStyle w:val="PBACTableText"/>
              <w:keepNext/>
              <w:spacing w:before="0" w:after="0"/>
              <w:jc w:val="center"/>
            </w:pPr>
            <w:r w:rsidRPr="005F1564">
              <w:t>$15.82</w:t>
            </w:r>
          </w:p>
        </w:tc>
        <w:tc>
          <w:tcPr>
            <w:tcW w:w="2150" w:type="dxa"/>
            <w:tcBorders>
              <w:top w:val="single" w:sz="4" w:space="0" w:color="auto"/>
              <w:left w:val="single" w:sz="4" w:space="0" w:color="auto"/>
              <w:bottom w:val="single" w:sz="4" w:space="0" w:color="auto"/>
              <w:right w:val="single" w:sz="4" w:space="0" w:color="auto"/>
            </w:tcBorders>
            <w:vAlign w:val="center"/>
          </w:tcPr>
          <w:p w14:paraId="09F28E63" w14:textId="77777777" w:rsidR="00FD7F1C" w:rsidRPr="005F1564" w:rsidRDefault="00FD7F1C" w:rsidP="006A1BBC">
            <w:pPr>
              <w:pStyle w:val="PBACTableText"/>
              <w:keepNext/>
              <w:spacing w:before="0" w:after="0"/>
              <w:jc w:val="center"/>
            </w:pPr>
            <w:r w:rsidRPr="005F1564">
              <w:t>-</w:t>
            </w:r>
          </w:p>
        </w:tc>
      </w:tr>
      <w:tr w:rsidR="00FD7F1C" w:rsidRPr="005F1564" w14:paraId="5DB4F651" w14:textId="77777777" w:rsidTr="006A1BBC">
        <w:tc>
          <w:tcPr>
            <w:tcW w:w="4673" w:type="dxa"/>
            <w:tcBorders>
              <w:top w:val="single" w:sz="4" w:space="0" w:color="auto"/>
              <w:left w:val="single" w:sz="4" w:space="0" w:color="auto"/>
              <w:bottom w:val="single" w:sz="4" w:space="0" w:color="auto"/>
              <w:right w:val="single" w:sz="4" w:space="0" w:color="auto"/>
            </w:tcBorders>
            <w:vAlign w:val="center"/>
            <w:hideMark/>
          </w:tcPr>
          <w:p w14:paraId="5CA55BC7" w14:textId="77777777" w:rsidR="00FD7F1C" w:rsidRPr="005F1564" w:rsidRDefault="00FD7F1C" w:rsidP="006A1BBC">
            <w:pPr>
              <w:pStyle w:val="PBACTableText"/>
              <w:keepNext/>
              <w:tabs>
                <w:tab w:val="left" w:pos="142"/>
              </w:tabs>
              <w:spacing w:before="0" w:after="0"/>
            </w:pPr>
            <w:r w:rsidRPr="005F1564">
              <w:t>VEN + OBI total treatment costs over 10 years</w:t>
            </w:r>
          </w:p>
        </w:tc>
        <w:tc>
          <w:tcPr>
            <w:tcW w:w="2149" w:type="dxa"/>
            <w:tcBorders>
              <w:top w:val="single" w:sz="4" w:space="0" w:color="auto"/>
              <w:left w:val="single" w:sz="4" w:space="0" w:color="auto"/>
              <w:bottom w:val="single" w:sz="4" w:space="0" w:color="auto"/>
              <w:right w:val="single" w:sz="4" w:space="0" w:color="auto"/>
            </w:tcBorders>
            <w:vAlign w:val="center"/>
          </w:tcPr>
          <w:p w14:paraId="4EBEB9EF" w14:textId="77777777" w:rsidR="00FD7F1C" w:rsidRPr="005F1564" w:rsidRDefault="00FD7F1C" w:rsidP="006A1BBC">
            <w:pPr>
              <w:pStyle w:val="PBACTableText"/>
              <w:keepNext/>
              <w:spacing w:before="0" w:after="0"/>
              <w:jc w:val="center"/>
            </w:pPr>
            <w:r w:rsidRPr="005F1564">
              <w:t>$108,217.92</w:t>
            </w:r>
          </w:p>
        </w:tc>
        <w:tc>
          <w:tcPr>
            <w:tcW w:w="2150" w:type="dxa"/>
            <w:tcBorders>
              <w:top w:val="single" w:sz="4" w:space="0" w:color="auto"/>
              <w:left w:val="single" w:sz="4" w:space="0" w:color="auto"/>
              <w:bottom w:val="single" w:sz="4" w:space="0" w:color="auto"/>
              <w:right w:val="single" w:sz="4" w:space="0" w:color="auto"/>
            </w:tcBorders>
            <w:vAlign w:val="center"/>
            <w:hideMark/>
          </w:tcPr>
          <w:p w14:paraId="05EFDB19" w14:textId="77777777" w:rsidR="00FD7F1C" w:rsidRPr="005F1564" w:rsidRDefault="00FD7F1C" w:rsidP="006A1BBC">
            <w:pPr>
              <w:pStyle w:val="PBACTableText"/>
              <w:keepNext/>
              <w:spacing w:before="0" w:after="0"/>
              <w:jc w:val="center"/>
            </w:pPr>
            <w:r w:rsidRPr="005F1564">
              <w:t>-</w:t>
            </w:r>
          </w:p>
        </w:tc>
      </w:tr>
      <w:tr w:rsidR="00FD7F1C" w:rsidRPr="005F1564" w14:paraId="62884D8D" w14:textId="77777777" w:rsidTr="006A1BBC">
        <w:tc>
          <w:tcPr>
            <w:tcW w:w="8972" w:type="dxa"/>
            <w:gridSpan w:val="3"/>
            <w:tcBorders>
              <w:top w:val="single" w:sz="4" w:space="0" w:color="auto"/>
              <w:left w:val="single" w:sz="4" w:space="0" w:color="auto"/>
              <w:bottom w:val="single" w:sz="4" w:space="0" w:color="auto"/>
              <w:right w:val="single" w:sz="4" w:space="0" w:color="auto"/>
            </w:tcBorders>
            <w:vAlign w:val="center"/>
            <w:hideMark/>
          </w:tcPr>
          <w:p w14:paraId="025A7006" w14:textId="001D765B" w:rsidR="00FD7F1C" w:rsidRPr="005F1564" w:rsidRDefault="00FD7F1C" w:rsidP="006A1BBC">
            <w:pPr>
              <w:pStyle w:val="PBACTableText"/>
              <w:keepNext/>
              <w:tabs>
                <w:tab w:val="left" w:pos="142"/>
              </w:tabs>
              <w:spacing w:before="0" w:after="0"/>
              <w:rPr>
                <w:b/>
              </w:rPr>
            </w:pPr>
            <w:r w:rsidRPr="005F1564">
              <w:rPr>
                <w:b/>
              </w:rPr>
              <w:t>Cost-minimisation (</w:t>
            </w:r>
            <w:r w:rsidR="0010485D" w:rsidRPr="005F1564">
              <w:rPr>
                <w:b/>
              </w:rPr>
              <w:t>zanubrutinib</w:t>
            </w:r>
            <w:r w:rsidRPr="005F1564">
              <w:rPr>
                <w:b/>
              </w:rPr>
              <w:t>)</w:t>
            </w:r>
          </w:p>
        </w:tc>
      </w:tr>
      <w:tr w:rsidR="00FD7F1C" w:rsidRPr="005F1564" w14:paraId="4757C48D"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2213FCFC" w14:textId="77777777" w:rsidR="00FD7F1C" w:rsidRPr="005F1564" w:rsidRDefault="00FD7F1C" w:rsidP="006A1BBC">
            <w:pPr>
              <w:pStyle w:val="PBACTableText"/>
              <w:keepNext/>
              <w:tabs>
                <w:tab w:val="left" w:pos="142"/>
              </w:tabs>
              <w:spacing w:before="0" w:after="0"/>
            </w:pPr>
            <w:r w:rsidRPr="005F1564">
              <w:t>ZANU total treatment costs over 10 years</w:t>
            </w:r>
          </w:p>
        </w:tc>
        <w:tc>
          <w:tcPr>
            <w:tcW w:w="2149" w:type="dxa"/>
            <w:tcBorders>
              <w:top w:val="single" w:sz="4" w:space="0" w:color="auto"/>
              <w:left w:val="single" w:sz="4" w:space="0" w:color="auto"/>
              <w:bottom w:val="single" w:sz="4" w:space="0" w:color="auto"/>
              <w:right w:val="single" w:sz="4" w:space="0" w:color="auto"/>
            </w:tcBorders>
            <w:vAlign w:val="center"/>
            <w:hideMark/>
          </w:tcPr>
          <w:p w14:paraId="73DD0318" w14:textId="77777777" w:rsidR="00FD7F1C" w:rsidRPr="005F1564" w:rsidRDefault="00FD7F1C" w:rsidP="006A1BBC">
            <w:pPr>
              <w:pStyle w:val="PBACTableText"/>
              <w:keepNext/>
              <w:spacing w:before="0" w:after="0"/>
              <w:jc w:val="center"/>
            </w:pPr>
            <w:r w:rsidRPr="005F1564">
              <w:t>-</w:t>
            </w:r>
          </w:p>
        </w:tc>
        <w:tc>
          <w:tcPr>
            <w:tcW w:w="2150" w:type="dxa"/>
            <w:tcBorders>
              <w:top w:val="single" w:sz="4" w:space="0" w:color="auto"/>
              <w:left w:val="single" w:sz="4" w:space="0" w:color="auto"/>
              <w:bottom w:val="single" w:sz="4" w:space="0" w:color="auto"/>
              <w:right w:val="single" w:sz="4" w:space="0" w:color="auto"/>
            </w:tcBorders>
            <w:vAlign w:val="center"/>
          </w:tcPr>
          <w:p w14:paraId="00CCAEBA" w14:textId="2834062B" w:rsidR="00FD7F1C" w:rsidRPr="005F1564" w:rsidRDefault="00FD7F1C" w:rsidP="006A1BBC">
            <w:pPr>
              <w:pStyle w:val="PBACTableText"/>
              <w:keepNext/>
              <w:spacing w:before="0" w:after="0"/>
              <w:jc w:val="center"/>
            </w:pPr>
            <w:r w:rsidRPr="005F1564">
              <w:t>$</w:t>
            </w:r>
            <w:r w:rsidR="009D248A" w:rsidRPr="009D248A">
              <w:rPr>
                <w:rFonts w:hint="eastAsia"/>
                <w:color w:val="000000"/>
                <w:w w:val="31"/>
                <w:shd w:val="solid" w:color="000000" w:fill="000000"/>
                <w:fitText w:val="140" w:id="-1229258495"/>
                <w14:textFill>
                  <w14:solidFill>
                    <w14:srgbClr w14:val="000000">
                      <w14:alpha w14:val="100000"/>
                    </w14:srgbClr>
                  </w14:solidFill>
                </w14:textFill>
              </w:rPr>
              <w:t xml:space="preserve">　</w:t>
            </w:r>
            <w:r w:rsidR="009D248A" w:rsidRPr="009D248A">
              <w:rPr>
                <w:color w:val="000000"/>
                <w:w w:val="31"/>
                <w:shd w:val="solid" w:color="000000" w:fill="000000"/>
                <w:fitText w:val="140" w:id="-1229258495"/>
                <w14:textFill>
                  <w14:solidFill>
                    <w14:srgbClr w14:val="000000">
                      <w14:alpha w14:val="100000"/>
                    </w14:srgbClr>
                  </w14:solidFill>
                </w14:textFill>
              </w:rPr>
              <w:t>|</w:t>
            </w:r>
            <w:r w:rsidR="009D248A" w:rsidRPr="009D248A">
              <w:rPr>
                <w:rFonts w:hint="eastAsia"/>
                <w:color w:val="000000"/>
                <w:w w:val="31"/>
                <w:shd w:val="solid" w:color="000000" w:fill="000000"/>
                <w:fitText w:val="140" w:id="-1229258495"/>
                <w14:textFill>
                  <w14:solidFill>
                    <w14:srgbClr w14:val="000000">
                      <w14:alpha w14:val="100000"/>
                    </w14:srgbClr>
                  </w14:solidFill>
                </w14:textFill>
              </w:rPr>
              <w:t xml:space="preserve">　</w:t>
            </w:r>
          </w:p>
        </w:tc>
      </w:tr>
      <w:tr w:rsidR="00FD7F1C" w:rsidRPr="005F1564" w14:paraId="52C614A0"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0D1C2ACC" w14:textId="33555975" w:rsidR="00FD7F1C" w:rsidRPr="005F1564" w:rsidRDefault="00FD7F1C" w:rsidP="006A1BBC">
            <w:pPr>
              <w:pStyle w:val="PBACTableText"/>
              <w:keepNext/>
              <w:tabs>
                <w:tab w:val="left" w:pos="142"/>
              </w:tabs>
              <w:spacing w:before="0" w:after="0"/>
            </w:pPr>
            <w:r w:rsidRPr="005F1564">
              <w:t>ZANU cost per script - AEMP ($</w:t>
            </w:r>
            <w:r w:rsidR="009D248A" w:rsidRPr="009D248A">
              <w:rPr>
                <w:color w:val="000000"/>
                <w:spacing w:val="17"/>
                <w:shd w:val="solid" w:color="000000" w:fill="000000"/>
                <w:fitText w:val="710" w:id="-1229258496"/>
                <w14:textFill>
                  <w14:solidFill>
                    <w14:srgbClr w14:val="000000">
                      <w14:alpha w14:val="100000"/>
                    </w14:srgbClr>
                  </w14:solidFill>
                </w14:textFill>
              </w:rPr>
              <w:t>|||||  ||||</w:t>
            </w:r>
            <w:r w:rsidR="009D248A" w:rsidRPr="009D248A">
              <w:rPr>
                <w:color w:val="000000"/>
                <w:spacing w:val="6"/>
                <w:shd w:val="solid" w:color="000000" w:fill="000000"/>
                <w:fitText w:val="710" w:id="-1229258496"/>
                <w14:textFill>
                  <w14:solidFill>
                    <w14:srgbClr w14:val="000000">
                      <w14:alpha w14:val="100000"/>
                    </w14:srgbClr>
                  </w14:solidFill>
                </w14:textFill>
              </w:rPr>
              <w:t>|</w:t>
            </w:r>
            <w:r w:rsidR="009D248A">
              <w:t xml:space="preserve"> </w:t>
            </w:r>
            <w:r w:rsidRPr="005F1564">
              <w:t>÷ 67.02 scripts)</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CA27D53" w14:textId="77777777" w:rsidR="00FD7F1C" w:rsidRPr="005F1564" w:rsidRDefault="00FD7F1C" w:rsidP="006A1BBC">
            <w:pPr>
              <w:pStyle w:val="PBACTableText"/>
              <w:keepNext/>
              <w:spacing w:before="0" w:after="0"/>
              <w:jc w:val="center"/>
            </w:pPr>
            <w:r w:rsidRPr="005F1564">
              <w:t>-</w:t>
            </w:r>
          </w:p>
        </w:tc>
        <w:tc>
          <w:tcPr>
            <w:tcW w:w="2150" w:type="dxa"/>
            <w:tcBorders>
              <w:top w:val="single" w:sz="4" w:space="0" w:color="auto"/>
              <w:left w:val="single" w:sz="4" w:space="0" w:color="auto"/>
              <w:bottom w:val="single" w:sz="4" w:space="0" w:color="auto"/>
              <w:right w:val="single" w:sz="4" w:space="0" w:color="auto"/>
            </w:tcBorders>
            <w:vAlign w:val="center"/>
          </w:tcPr>
          <w:p w14:paraId="50AE88E2" w14:textId="74990ECB" w:rsidR="00FD7F1C" w:rsidRPr="005F1564" w:rsidRDefault="00FD7F1C"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tc>
      </w:tr>
      <w:tr w:rsidR="00FD7F1C" w:rsidRPr="005F1564" w14:paraId="10AF50BD" w14:textId="77777777" w:rsidTr="006A1BBC">
        <w:tc>
          <w:tcPr>
            <w:tcW w:w="4673" w:type="dxa"/>
            <w:tcBorders>
              <w:top w:val="single" w:sz="4" w:space="0" w:color="auto"/>
              <w:left w:val="single" w:sz="4" w:space="0" w:color="auto"/>
              <w:bottom w:val="single" w:sz="4" w:space="0" w:color="auto"/>
              <w:right w:val="single" w:sz="4" w:space="0" w:color="auto"/>
            </w:tcBorders>
            <w:vAlign w:val="center"/>
          </w:tcPr>
          <w:p w14:paraId="141225C1" w14:textId="77777777" w:rsidR="00FD7F1C" w:rsidRPr="005F1564" w:rsidRDefault="00FD7F1C" w:rsidP="006A1BBC">
            <w:pPr>
              <w:pStyle w:val="PBACTableText"/>
              <w:keepNext/>
              <w:tabs>
                <w:tab w:val="left" w:pos="142"/>
              </w:tabs>
              <w:spacing w:before="0" w:after="0"/>
            </w:pPr>
            <w:r w:rsidRPr="005F1564">
              <w:t>ZANU cost per script - DPMQ</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73F189C" w14:textId="77777777" w:rsidR="00FD7F1C" w:rsidRPr="005F1564" w:rsidRDefault="00FD7F1C" w:rsidP="006A1BBC">
            <w:pPr>
              <w:pStyle w:val="PBACTableText"/>
              <w:keepNext/>
              <w:spacing w:before="0" w:after="0"/>
              <w:jc w:val="center"/>
            </w:pPr>
            <w:r w:rsidRPr="005F1564">
              <w:t>-</w:t>
            </w:r>
          </w:p>
        </w:tc>
        <w:tc>
          <w:tcPr>
            <w:tcW w:w="2150" w:type="dxa"/>
            <w:tcBorders>
              <w:top w:val="single" w:sz="4" w:space="0" w:color="auto"/>
              <w:left w:val="single" w:sz="4" w:space="0" w:color="auto"/>
              <w:bottom w:val="single" w:sz="4" w:space="0" w:color="auto"/>
              <w:right w:val="single" w:sz="4" w:space="0" w:color="auto"/>
            </w:tcBorders>
            <w:vAlign w:val="center"/>
          </w:tcPr>
          <w:p w14:paraId="6A9FD4B0" w14:textId="331A5EA9" w:rsidR="00FD7F1C" w:rsidRPr="005F1564" w:rsidRDefault="00FD7F1C" w:rsidP="006A1BBC">
            <w:pPr>
              <w:pStyle w:val="PBACTableText"/>
              <w:keepNext/>
              <w:spacing w:before="0" w:after="0"/>
              <w:jc w:val="center"/>
              <w:rPr>
                <w:iCs/>
                <w:vertAlign w:val="superscript"/>
              </w:rPr>
            </w:pPr>
            <w:r w:rsidRPr="005F1564">
              <w:rPr>
                <w:iCs/>
              </w:rPr>
              <w:t>$</w:t>
            </w:r>
            <w:r w:rsidR="009D248A" w:rsidRPr="009D248A">
              <w:rPr>
                <w:iCs/>
                <w:color w:val="000000"/>
                <w:shd w:val="solid" w:color="000000" w:fill="000000"/>
                <w14:textFill>
                  <w14:solidFill>
                    <w14:srgbClr w14:val="000000">
                      <w14:alpha w14:val="100000"/>
                    </w14:srgbClr>
                  </w14:solidFill>
                </w14:textFill>
              </w:rPr>
              <w:t>|</w:t>
            </w:r>
            <w:r w:rsidR="009D248A">
              <w:rPr>
                <w:iCs/>
              </w:rPr>
              <w:t xml:space="preserve"> </w:t>
            </w:r>
            <w:r w:rsidR="00C148FE" w:rsidRPr="005F1564">
              <w:rPr>
                <w:iCs/>
                <w:vertAlign w:val="superscript"/>
              </w:rPr>
              <w:t>b</w:t>
            </w:r>
          </w:p>
        </w:tc>
      </w:tr>
    </w:tbl>
    <w:p w14:paraId="30B90C3F" w14:textId="77777777" w:rsidR="00FD7F1C" w:rsidRPr="005F1564" w:rsidRDefault="00FD7F1C" w:rsidP="00FD7F1C">
      <w:pPr>
        <w:pStyle w:val="TableFooter"/>
        <w:keepNext/>
        <w:widowControl/>
      </w:pPr>
      <w:r w:rsidRPr="005F1564">
        <w:t>Source: ‘Results’ tab of the Section 3_TN CLL Excel workbook.</w:t>
      </w:r>
    </w:p>
    <w:p w14:paraId="46179F75" w14:textId="77777777" w:rsidR="00FD7F1C" w:rsidRPr="005F1564" w:rsidRDefault="00FD7F1C" w:rsidP="00FD7F1C">
      <w:pPr>
        <w:pStyle w:val="TableFooter"/>
      </w:pPr>
      <w:r w:rsidRPr="005F1564">
        <w:t>Abbreviations: AEMP = approved ex-manufacturer price; DPMQ = dispensed price for maximum quantity, OBI = obinutuzumab, VEN = venetoclax</w:t>
      </w:r>
    </w:p>
    <w:p w14:paraId="134D2BCA" w14:textId="3989FFFE" w:rsidR="00FD7F1C" w:rsidRPr="005F1564" w:rsidRDefault="00FD7F1C" w:rsidP="00FD7F1C">
      <w:pPr>
        <w:pStyle w:val="TableFooter"/>
      </w:pPr>
      <w:r w:rsidRPr="005F1564">
        <w:rPr>
          <w:vertAlign w:val="superscript"/>
        </w:rPr>
        <w:t>a</w:t>
      </w:r>
      <w:r w:rsidRPr="005F1564">
        <w:t xml:space="preserve"> An MBS cost of $81.50 was included per specialist visit, whereas the specified MBS cost is $81.05.</w:t>
      </w:r>
    </w:p>
    <w:p w14:paraId="7E2E7548" w14:textId="5DCE2C76" w:rsidR="00C148FE" w:rsidRPr="005F1564" w:rsidRDefault="00C148FE" w:rsidP="00FD7F1C">
      <w:pPr>
        <w:pStyle w:val="TableFooter"/>
      </w:pPr>
      <w:r w:rsidRPr="005F1564">
        <w:rPr>
          <w:vertAlign w:val="superscript"/>
        </w:rPr>
        <w:t>b</w:t>
      </w:r>
      <w:r w:rsidRPr="005F1564">
        <w:t xml:space="preserve"> Error in application of AHI markup corrected during the evaluation, resulting in a DPMQ of $</w:t>
      </w:r>
      <w:r w:rsidR="009D248A" w:rsidRPr="009D248A">
        <w:rPr>
          <w:color w:val="000000"/>
          <w:spacing w:val="22"/>
          <w:shd w:val="solid" w:color="000000" w:fill="000000"/>
          <w:fitText w:val="470" w:id="-1229258494"/>
          <w14:textFill>
            <w14:solidFill>
              <w14:srgbClr w14:val="000000">
                <w14:alpha w14:val="100000"/>
              </w14:srgbClr>
            </w14:solidFill>
          </w14:textFill>
        </w:rPr>
        <w:t>|||  ||</w:t>
      </w:r>
      <w:r w:rsidR="009D248A" w:rsidRPr="009D248A">
        <w:rPr>
          <w:color w:val="000000"/>
          <w:spacing w:val="4"/>
          <w:shd w:val="solid" w:color="000000" w:fill="000000"/>
          <w:fitText w:val="470" w:id="-1229258494"/>
          <w14:textFill>
            <w14:solidFill>
              <w14:srgbClr w14:val="000000">
                <w14:alpha w14:val="100000"/>
              </w14:srgbClr>
            </w14:solidFill>
          </w14:textFill>
        </w:rPr>
        <w:t>|</w:t>
      </w:r>
      <w:r w:rsidRPr="005F1564">
        <w:t>, compared to $</w:t>
      </w:r>
      <w:r w:rsidR="009D248A" w:rsidRPr="009D248A">
        <w:rPr>
          <w:color w:val="000000"/>
          <w:spacing w:val="22"/>
          <w:shd w:val="solid" w:color="000000" w:fill="000000"/>
          <w:fitText w:val="470" w:id="-1229258240"/>
          <w14:textFill>
            <w14:solidFill>
              <w14:srgbClr w14:val="000000">
                <w14:alpha w14:val="100000"/>
              </w14:srgbClr>
            </w14:solidFill>
          </w14:textFill>
        </w:rPr>
        <w:t>|||  ||</w:t>
      </w:r>
      <w:r w:rsidR="009D248A" w:rsidRPr="009D248A">
        <w:rPr>
          <w:color w:val="000000"/>
          <w:spacing w:val="4"/>
          <w:shd w:val="solid" w:color="000000" w:fill="000000"/>
          <w:fitText w:val="470" w:id="-1229258240"/>
          <w14:textFill>
            <w14:solidFill>
              <w14:srgbClr w14:val="000000">
                <w14:alpha w14:val="100000"/>
              </w14:srgbClr>
            </w14:solidFill>
          </w14:textFill>
        </w:rPr>
        <w:t>|</w:t>
      </w:r>
      <w:r w:rsidR="009D248A">
        <w:t xml:space="preserve"> </w:t>
      </w:r>
      <w:r w:rsidRPr="005F1564">
        <w:t>presented in the submission.</w:t>
      </w:r>
    </w:p>
    <w:p w14:paraId="1F0AEE74" w14:textId="1041ED49" w:rsidR="00C148FE" w:rsidRPr="005F1564" w:rsidRDefault="00C148FE" w:rsidP="00B64E25">
      <w:pPr>
        <w:pStyle w:val="COMexecsumnumberedpara"/>
        <w:rPr>
          <w:iCs/>
        </w:rPr>
      </w:pPr>
      <w:bookmarkStart w:id="62" w:name="_Toc22897646"/>
      <w:r w:rsidRPr="005F1564">
        <w:t xml:space="preserve">Based on the published prices of venetoclax and obinutuzumab, the estimated cost-minimised DPMQ for zanubrutinib </w:t>
      </w:r>
      <w:r w:rsidR="003C0426" w:rsidRPr="005F1564">
        <w:t xml:space="preserve">as detailed in Table 11 </w:t>
      </w:r>
      <w:r w:rsidRPr="005F1564">
        <w:t>was $</w:t>
      </w:r>
      <w:r w:rsidR="009D248A" w:rsidRPr="00866102">
        <w:rPr>
          <w:color w:val="000000"/>
          <w:w w:val="15"/>
          <w:shd w:val="solid" w:color="000000" w:fill="000000"/>
          <w:fitText w:val="-20" w:id="-1229258239"/>
          <w14:textFill>
            <w14:solidFill>
              <w14:srgbClr w14:val="000000">
                <w14:alpha w14:val="100000"/>
              </w14:srgbClr>
            </w14:solidFill>
          </w14:textFill>
        </w:rPr>
        <w:t xml:space="preserve">|  </w:t>
      </w:r>
      <w:r w:rsidR="009D248A" w:rsidRPr="00866102">
        <w:rPr>
          <w:color w:val="000000"/>
          <w:spacing w:val="-69"/>
          <w:w w:val="15"/>
          <w:shd w:val="solid" w:color="000000" w:fill="000000"/>
          <w:fitText w:val="-20" w:id="-1229258239"/>
          <w14:textFill>
            <w14:solidFill>
              <w14:srgbClr w14:val="000000">
                <w14:alpha w14:val="100000"/>
              </w14:srgbClr>
            </w14:solidFill>
          </w14:textFill>
        </w:rPr>
        <w:t>|</w:t>
      </w:r>
      <w:r w:rsidRPr="005F1564">
        <w:t>.</w:t>
      </w:r>
    </w:p>
    <w:p w14:paraId="4BAE5C7B" w14:textId="609862EC" w:rsidR="009E3BB9" w:rsidRPr="005C2D58" w:rsidRDefault="00741C50" w:rsidP="00B64E25">
      <w:pPr>
        <w:pStyle w:val="COMexecsumnumberedpara"/>
        <w:rPr>
          <w:iCs/>
        </w:rPr>
      </w:pPr>
      <w:r>
        <w:fldChar w:fldCharType="begin" w:fldLock="1"/>
      </w:r>
      <w:r>
        <w:instrText xml:space="preserve"> REF _Ref124837812 \h </w:instrText>
      </w:r>
      <w:r>
        <w:fldChar w:fldCharType="separate"/>
      </w:r>
      <w:r w:rsidR="00540D87" w:rsidRPr="00C31E62">
        <w:t xml:space="preserve">Table </w:t>
      </w:r>
      <w:r w:rsidR="00540D87">
        <w:rPr>
          <w:noProof/>
        </w:rPr>
        <w:t>12</w:t>
      </w:r>
      <w:r>
        <w:fldChar w:fldCharType="end"/>
      </w:r>
      <w:r w:rsidR="009E3BB9">
        <w:t xml:space="preserve"> presents the results of sensitivity analyses for the cost-minimisation of venetoclax + obinutuzumab and zanubrutinib.</w:t>
      </w:r>
      <w:r w:rsidR="003C0426" w:rsidRPr="003C0426">
        <w:t xml:space="preserve"> </w:t>
      </w:r>
      <w:r w:rsidR="003C0426">
        <w:t xml:space="preserve">The cost-minimised price in Table 12 does </w:t>
      </w:r>
      <w:r w:rsidR="003C0426" w:rsidRPr="005C2D58">
        <w:t xml:space="preserve">not include the changes </w:t>
      </w:r>
      <w:r w:rsidR="0082017E" w:rsidRPr="005C2D58">
        <w:t xml:space="preserve">proposed in the pre-PBAC response as </w:t>
      </w:r>
      <w:r w:rsidR="003C0426" w:rsidRPr="005C2D58">
        <w:t xml:space="preserve">specified in paragraphs </w:t>
      </w:r>
      <w:r w:rsidR="00560BCA" w:rsidRPr="005C2D58">
        <w:fldChar w:fldCharType="begin" w:fldLock="1"/>
      </w:r>
      <w:r w:rsidR="00560BCA" w:rsidRPr="005C2D58">
        <w:instrText xml:space="preserve"> REF _Ref130548271 \r \h </w:instrText>
      </w:r>
      <w:r w:rsidR="003D155F" w:rsidRPr="005C2D58">
        <w:instrText xml:space="preserve"> \* MERGEFORMAT </w:instrText>
      </w:r>
      <w:r w:rsidR="00560BCA" w:rsidRPr="005C2D58">
        <w:fldChar w:fldCharType="separate"/>
      </w:r>
      <w:r w:rsidR="00560BCA" w:rsidRPr="005C2D58">
        <w:t>6.64</w:t>
      </w:r>
      <w:r w:rsidR="00560BCA" w:rsidRPr="005C2D58">
        <w:fldChar w:fldCharType="end"/>
      </w:r>
      <w:r w:rsidR="00560BCA" w:rsidRPr="005C2D58">
        <w:t xml:space="preserve">, </w:t>
      </w:r>
      <w:r w:rsidR="00560BCA" w:rsidRPr="005C2D58">
        <w:fldChar w:fldCharType="begin" w:fldLock="1"/>
      </w:r>
      <w:r w:rsidR="00560BCA" w:rsidRPr="005C2D58">
        <w:instrText xml:space="preserve"> REF _Ref130548296 \r \h </w:instrText>
      </w:r>
      <w:r w:rsidR="003D155F" w:rsidRPr="005C2D58">
        <w:instrText xml:space="preserve"> \* MERGEFORMAT </w:instrText>
      </w:r>
      <w:r w:rsidR="00560BCA" w:rsidRPr="005C2D58">
        <w:fldChar w:fldCharType="separate"/>
      </w:r>
      <w:r w:rsidR="00560BCA" w:rsidRPr="005C2D58">
        <w:t>6.67</w:t>
      </w:r>
      <w:r w:rsidR="00560BCA" w:rsidRPr="005C2D58">
        <w:fldChar w:fldCharType="end"/>
      </w:r>
      <w:r w:rsidR="00560BCA" w:rsidRPr="005C2D58">
        <w:t xml:space="preserve"> and </w:t>
      </w:r>
      <w:r w:rsidR="00560BCA" w:rsidRPr="005C2D58">
        <w:fldChar w:fldCharType="begin" w:fldLock="1"/>
      </w:r>
      <w:r w:rsidR="00560BCA" w:rsidRPr="005C2D58">
        <w:instrText xml:space="preserve"> REF _Ref130548327 \r \h </w:instrText>
      </w:r>
      <w:r w:rsidR="003D155F" w:rsidRPr="005C2D58">
        <w:instrText xml:space="preserve"> \* MERGEFORMAT </w:instrText>
      </w:r>
      <w:r w:rsidR="00560BCA" w:rsidRPr="005C2D58">
        <w:fldChar w:fldCharType="separate"/>
      </w:r>
      <w:r w:rsidR="00560BCA" w:rsidRPr="005C2D58">
        <w:t>6.73</w:t>
      </w:r>
      <w:r w:rsidR="00560BCA" w:rsidRPr="005C2D58">
        <w:fldChar w:fldCharType="end"/>
      </w:r>
      <w:r w:rsidR="003C0426" w:rsidRPr="005C2D58">
        <w:t>.</w:t>
      </w:r>
    </w:p>
    <w:p w14:paraId="33261216" w14:textId="1E2B3771" w:rsidR="009E3BB9" w:rsidRPr="002F4B8C" w:rsidRDefault="009E3BB9" w:rsidP="009E3BB9">
      <w:pPr>
        <w:pStyle w:val="TableHeading"/>
        <w:spacing w:before="0" w:after="0" w:line="240" w:lineRule="auto"/>
        <w:jc w:val="both"/>
      </w:pPr>
      <w:bookmarkStart w:id="63" w:name="_Ref124837812"/>
      <w:r w:rsidRPr="00C31E62">
        <w:lastRenderedPageBreak/>
        <w:t xml:space="preserve">Table </w:t>
      </w:r>
      <w:fldSimple w:instr=" SEQ Table \* ARABIC " w:fldLock="1">
        <w:r w:rsidR="00540D87">
          <w:rPr>
            <w:noProof/>
          </w:rPr>
          <w:t>12</w:t>
        </w:r>
      </w:fldSimple>
      <w:bookmarkEnd w:id="63"/>
      <w:r w:rsidRPr="002F4B8C">
        <w:t xml:space="preserve">: Sensitivity analyses for </w:t>
      </w:r>
      <w:r>
        <w:t xml:space="preserve">the </w:t>
      </w:r>
      <w:r w:rsidRPr="002F4B8C">
        <w:t>cost-minimisation of zanubrutinib versus venetoclax + obinutuzumab</w:t>
      </w:r>
      <w:r w:rsidR="003D155F">
        <w:t xml:space="preserve"> (based on published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8"/>
        <w:gridCol w:w="1937"/>
        <w:gridCol w:w="1937"/>
      </w:tblGrid>
      <w:tr w:rsidR="009E3BB9" w:rsidRPr="002F4B8C" w14:paraId="3682CF76" w14:textId="77777777" w:rsidTr="006A1BBC">
        <w:tc>
          <w:tcPr>
            <w:tcW w:w="5098" w:type="dxa"/>
            <w:tcBorders>
              <w:top w:val="single" w:sz="4" w:space="0" w:color="auto"/>
              <w:left w:val="single" w:sz="4" w:space="0" w:color="auto"/>
              <w:bottom w:val="single" w:sz="4" w:space="0" w:color="auto"/>
              <w:right w:val="single" w:sz="4" w:space="0" w:color="auto"/>
            </w:tcBorders>
            <w:vAlign w:val="center"/>
          </w:tcPr>
          <w:p w14:paraId="56909CE0" w14:textId="77777777" w:rsidR="009E3BB9" w:rsidRPr="002F4B8C" w:rsidRDefault="009E3BB9" w:rsidP="006A1BBC">
            <w:pPr>
              <w:pStyle w:val="PBACTableText"/>
              <w:keepNext/>
              <w:tabs>
                <w:tab w:val="left" w:pos="142"/>
              </w:tabs>
              <w:spacing w:before="0" w:after="0"/>
            </w:pPr>
          </w:p>
        </w:tc>
        <w:tc>
          <w:tcPr>
            <w:tcW w:w="1937" w:type="dxa"/>
            <w:tcBorders>
              <w:top w:val="single" w:sz="4" w:space="0" w:color="auto"/>
              <w:left w:val="single" w:sz="4" w:space="0" w:color="auto"/>
              <w:bottom w:val="single" w:sz="4" w:space="0" w:color="auto"/>
              <w:right w:val="single" w:sz="4" w:space="0" w:color="auto"/>
            </w:tcBorders>
            <w:vAlign w:val="center"/>
            <w:hideMark/>
          </w:tcPr>
          <w:p w14:paraId="04DF10C6" w14:textId="77777777" w:rsidR="009E3BB9" w:rsidRPr="00F84E1E" w:rsidRDefault="009E3BB9" w:rsidP="006A1BBC">
            <w:pPr>
              <w:pStyle w:val="PBACTableText"/>
              <w:keepNext/>
              <w:spacing w:before="0" w:after="0"/>
              <w:jc w:val="center"/>
              <w:rPr>
                <w:b/>
                <w:highlight w:val="yellow"/>
              </w:rPr>
            </w:pPr>
            <w:r w:rsidRPr="00D136CE">
              <w:rPr>
                <w:b/>
              </w:rPr>
              <w:t>Cost-minimised ZANU AEMP</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C9335C5" w14:textId="77777777" w:rsidR="009E3BB9" w:rsidRPr="002F4B8C" w:rsidRDefault="009E3BB9" w:rsidP="006A1BBC">
            <w:pPr>
              <w:pStyle w:val="PBACTableText"/>
              <w:keepNext/>
              <w:spacing w:before="0" w:after="0"/>
              <w:jc w:val="center"/>
              <w:rPr>
                <w:b/>
              </w:rPr>
            </w:pPr>
            <w:r w:rsidRPr="002F4B8C">
              <w:rPr>
                <w:b/>
              </w:rPr>
              <w:t>% change from base case</w:t>
            </w:r>
          </w:p>
        </w:tc>
      </w:tr>
      <w:tr w:rsidR="009E3BB9" w:rsidRPr="002F4B8C" w14:paraId="765FBF88" w14:textId="77777777" w:rsidTr="006A1BBC">
        <w:tc>
          <w:tcPr>
            <w:tcW w:w="5098" w:type="dxa"/>
            <w:tcBorders>
              <w:top w:val="single" w:sz="4" w:space="0" w:color="auto"/>
              <w:left w:val="single" w:sz="4" w:space="0" w:color="auto"/>
              <w:bottom w:val="single" w:sz="4" w:space="0" w:color="auto"/>
              <w:right w:val="single" w:sz="4" w:space="0" w:color="auto"/>
            </w:tcBorders>
            <w:vAlign w:val="center"/>
          </w:tcPr>
          <w:p w14:paraId="535DB64F" w14:textId="77777777" w:rsidR="009E3BB9" w:rsidRPr="002F4B8C" w:rsidRDefault="009E3BB9" w:rsidP="006A1BBC">
            <w:pPr>
              <w:pStyle w:val="PBACTableText"/>
              <w:keepNext/>
              <w:tabs>
                <w:tab w:val="left" w:pos="142"/>
              </w:tabs>
              <w:spacing w:before="0" w:after="0"/>
              <w:rPr>
                <w:b/>
                <w:bCs/>
              </w:rPr>
            </w:pPr>
            <w:r w:rsidRPr="002F4B8C">
              <w:rPr>
                <w:b/>
                <w:bCs/>
              </w:rPr>
              <w:t>Base case</w:t>
            </w:r>
          </w:p>
        </w:tc>
        <w:tc>
          <w:tcPr>
            <w:tcW w:w="1937" w:type="dxa"/>
            <w:tcBorders>
              <w:top w:val="single" w:sz="4" w:space="0" w:color="auto"/>
              <w:left w:val="single" w:sz="4" w:space="0" w:color="auto"/>
              <w:bottom w:val="single" w:sz="4" w:space="0" w:color="auto"/>
              <w:right w:val="single" w:sz="4" w:space="0" w:color="auto"/>
            </w:tcBorders>
            <w:vAlign w:val="center"/>
          </w:tcPr>
          <w:p w14:paraId="4D27E9BD" w14:textId="0B1E807A"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tc>
        <w:tc>
          <w:tcPr>
            <w:tcW w:w="1937" w:type="dxa"/>
            <w:tcBorders>
              <w:top w:val="single" w:sz="4" w:space="0" w:color="auto"/>
              <w:left w:val="single" w:sz="4" w:space="0" w:color="auto"/>
              <w:bottom w:val="single" w:sz="4" w:space="0" w:color="auto"/>
              <w:right w:val="single" w:sz="4" w:space="0" w:color="auto"/>
            </w:tcBorders>
          </w:tcPr>
          <w:p w14:paraId="0F3EC6DD" w14:textId="77777777" w:rsidR="009E3BB9" w:rsidRPr="002F4B8C" w:rsidRDefault="009E3BB9" w:rsidP="006A1BBC">
            <w:pPr>
              <w:pStyle w:val="PBACTableText"/>
              <w:keepNext/>
              <w:spacing w:before="0" w:after="0"/>
              <w:jc w:val="center"/>
            </w:pPr>
            <w:r w:rsidRPr="002F4B8C">
              <w:t>-</w:t>
            </w:r>
          </w:p>
        </w:tc>
      </w:tr>
      <w:tr w:rsidR="009E3BB9" w:rsidRPr="002F4B8C" w14:paraId="5065216D" w14:textId="77777777" w:rsidTr="006A1BBC">
        <w:trPr>
          <w:trHeight w:val="313"/>
        </w:trPr>
        <w:tc>
          <w:tcPr>
            <w:tcW w:w="5098" w:type="dxa"/>
            <w:tcBorders>
              <w:top w:val="single" w:sz="4" w:space="0" w:color="auto"/>
              <w:left w:val="single" w:sz="4" w:space="0" w:color="auto"/>
              <w:bottom w:val="single" w:sz="4" w:space="0" w:color="auto"/>
              <w:right w:val="single" w:sz="4" w:space="0" w:color="auto"/>
            </w:tcBorders>
          </w:tcPr>
          <w:p w14:paraId="5243CDE6" w14:textId="77777777" w:rsidR="009E3BB9" w:rsidRPr="002F4B8C" w:rsidRDefault="009E3BB9" w:rsidP="006A1BBC">
            <w:pPr>
              <w:pStyle w:val="PBACTableText"/>
              <w:keepNext/>
              <w:tabs>
                <w:tab w:val="left" w:pos="142"/>
              </w:tabs>
              <w:spacing w:before="0" w:after="0"/>
              <w:jc w:val="left"/>
            </w:pPr>
            <w:r w:rsidRPr="002F4B8C">
              <w:t>Time horizon (base case: 10 years)</w:t>
            </w:r>
          </w:p>
          <w:p w14:paraId="0E3ED663" w14:textId="77777777" w:rsidR="009E3BB9" w:rsidRPr="00021B9D" w:rsidRDefault="009E3BB9" w:rsidP="004509A1">
            <w:pPr>
              <w:pStyle w:val="PBACTableText"/>
              <w:keepNext/>
              <w:numPr>
                <w:ilvl w:val="0"/>
                <w:numId w:val="6"/>
              </w:numPr>
              <w:tabs>
                <w:tab w:val="left" w:pos="142"/>
              </w:tabs>
              <w:spacing w:before="0" w:after="0"/>
              <w:jc w:val="left"/>
              <w:rPr>
                <w:iCs/>
              </w:rPr>
            </w:pPr>
            <w:r w:rsidRPr="00021B9D">
              <w:rPr>
                <w:iCs/>
              </w:rPr>
              <w:t>15 years</w:t>
            </w:r>
          </w:p>
          <w:p w14:paraId="1BB341AC" w14:textId="77777777" w:rsidR="009E3BB9" w:rsidRPr="00021B9D" w:rsidRDefault="009E3BB9" w:rsidP="004509A1">
            <w:pPr>
              <w:pStyle w:val="PBACTableText"/>
              <w:keepNext/>
              <w:numPr>
                <w:ilvl w:val="0"/>
                <w:numId w:val="6"/>
              </w:numPr>
              <w:tabs>
                <w:tab w:val="left" w:pos="142"/>
              </w:tabs>
              <w:spacing w:before="0" w:after="0"/>
              <w:jc w:val="left"/>
              <w:rPr>
                <w:iCs/>
              </w:rPr>
            </w:pPr>
            <w:r w:rsidRPr="00021B9D">
              <w:rPr>
                <w:iCs/>
              </w:rPr>
              <w:t>12.5 years</w:t>
            </w:r>
          </w:p>
          <w:p w14:paraId="46EB35AE" w14:textId="77777777" w:rsidR="009E3BB9" w:rsidRPr="002F4B8C" w:rsidRDefault="009E3BB9" w:rsidP="004509A1">
            <w:pPr>
              <w:pStyle w:val="PBACTableText"/>
              <w:keepNext/>
              <w:numPr>
                <w:ilvl w:val="0"/>
                <w:numId w:val="6"/>
              </w:numPr>
              <w:tabs>
                <w:tab w:val="left" w:pos="142"/>
              </w:tabs>
              <w:spacing w:before="0" w:after="0"/>
              <w:jc w:val="left"/>
            </w:pPr>
            <w:r w:rsidRPr="002F4B8C">
              <w:t>7.5 years</w:t>
            </w:r>
          </w:p>
          <w:p w14:paraId="48773804" w14:textId="77777777" w:rsidR="009E3BB9" w:rsidRPr="002F4B8C" w:rsidRDefault="009E3BB9" w:rsidP="004509A1">
            <w:pPr>
              <w:pStyle w:val="PBACTableText"/>
              <w:keepNext/>
              <w:numPr>
                <w:ilvl w:val="0"/>
                <w:numId w:val="6"/>
              </w:numPr>
              <w:tabs>
                <w:tab w:val="left" w:pos="142"/>
              </w:tabs>
              <w:spacing w:before="0" w:after="0"/>
              <w:jc w:val="left"/>
            </w:pPr>
            <w:r w:rsidRPr="002F4B8C">
              <w:t>5 years</w:t>
            </w:r>
          </w:p>
        </w:tc>
        <w:tc>
          <w:tcPr>
            <w:tcW w:w="1937" w:type="dxa"/>
            <w:tcBorders>
              <w:top w:val="single" w:sz="4" w:space="0" w:color="auto"/>
              <w:left w:val="single" w:sz="4" w:space="0" w:color="auto"/>
              <w:bottom w:val="single" w:sz="4" w:space="0" w:color="auto"/>
              <w:right w:val="single" w:sz="4" w:space="0" w:color="auto"/>
            </w:tcBorders>
          </w:tcPr>
          <w:p w14:paraId="20ACC932" w14:textId="77777777" w:rsidR="009E3BB9" w:rsidRPr="005F1564" w:rsidRDefault="009E3BB9" w:rsidP="006A1BBC">
            <w:pPr>
              <w:pStyle w:val="PBACTableText"/>
              <w:keepNext/>
              <w:spacing w:before="0" w:after="0"/>
              <w:jc w:val="center"/>
            </w:pPr>
          </w:p>
          <w:p w14:paraId="1FAF518B" w14:textId="0D452C44" w:rsidR="009E3BB9" w:rsidRPr="005F1564" w:rsidRDefault="009E3BB9" w:rsidP="006A1BBC">
            <w:pPr>
              <w:pStyle w:val="PBACTableText"/>
              <w:keepNext/>
              <w:spacing w:before="0" w:after="0"/>
              <w:jc w:val="center"/>
              <w:rPr>
                <w:iCs/>
              </w:rPr>
            </w:pPr>
            <w:r w:rsidRPr="005F1564">
              <w:rPr>
                <w:iCs/>
              </w:rPr>
              <w:t>$</w:t>
            </w:r>
            <w:r w:rsidR="009D248A" w:rsidRPr="009D248A">
              <w:rPr>
                <w:iCs/>
                <w:color w:val="000000"/>
                <w:shd w:val="solid" w:color="000000" w:fill="000000"/>
                <w14:textFill>
                  <w14:solidFill>
                    <w14:srgbClr w14:val="000000">
                      <w14:alpha w14:val="100000"/>
                    </w14:srgbClr>
                  </w14:solidFill>
                </w14:textFill>
              </w:rPr>
              <w:t>|</w:t>
            </w:r>
          </w:p>
          <w:p w14:paraId="23D7F4D3" w14:textId="661C394E" w:rsidR="009E3BB9" w:rsidRPr="005F1564" w:rsidRDefault="009E3BB9" w:rsidP="006A1BBC">
            <w:pPr>
              <w:pStyle w:val="PBACTableText"/>
              <w:keepNext/>
              <w:spacing w:before="0" w:after="0"/>
              <w:jc w:val="center"/>
              <w:rPr>
                <w:iCs/>
              </w:rPr>
            </w:pPr>
            <w:r w:rsidRPr="005F1564">
              <w:rPr>
                <w:iCs/>
              </w:rPr>
              <w:t>$</w:t>
            </w:r>
            <w:r w:rsidR="009D248A" w:rsidRPr="009D248A">
              <w:rPr>
                <w:iCs/>
                <w:color w:val="000000"/>
                <w:shd w:val="solid" w:color="000000" w:fill="000000"/>
                <w14:textFill>
                  <w14:solidFill>
                    <w14:srgbClr w14:val="000000">
                      <w14:alpha w14:val="100000"/>
                    </w14:srgbClr>
                  </w14:solidFill>
                </w14:textFill>
              </w:rPr>
              <w:t>|</w:t>
            </w:r>
          </w:p>
          <w:p w14:paraId="2ED80664" w14:textId="1119052C"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p w14:paraId="3079E599" w14:textId="32CA29A0"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tc>
        <w:tc>
          <w:tcPr>
            <w:tcW w:w="1937" w:type="dxa"/>
            <w:tcBorders>
              <w:top w:val="single" w:sz="4" w:space="0" w:color="auto"/>
              <w:left w:val="single" w:sz="4" w:space="0" w:color="auto"/>
              <w:bottom w:val="single" w:sz="4" w:space="0" w:color="auto"/>
              <w:right w:val="single" w:sz="4" w:space="0" w:color="auto"/>
            </w:tcBorders>
          </w:tcPr>
          <w:p w14:paraId="4F69EC0F" w14:textId="77777777" w:rsidR="009E3BB9" w:rsidRPr="002F4B8C" w:rsidRDefault="009E3BB9" w:rsidP="006A1BBC">
            <w:pPr>
              <w:pStyle w:val="PBACTableText"/>
              <w:keepNext/>
              <w:spacing w:before="0" w:after="0"/>
              <w:jc w:val="center"/>
            </w:pPr>
          </w:p>
          <w:p w14:paraId="2D91CE3F" w14:textId="77777777" w:rsidR="009E3BB9" w:rsidRPr="00021B9D" w:rsidRDefault="009E3BB9" w:rsidP="006A1BBC">
            <w:pPr>
              <w:pStyle w:val="PBACTableText"/>
              <w:keepNext/>
              <w:spacing w:before="0" w:after="0"/>
              <w:jc w:val="center"/>
              <w:rPr>
                <w:iCs/>
              </w:rPr>
            </w:pPr>
            <w:r w:rsidRPr="00021B9D">
              <w:rPr>
                <w:iCs/>
              </w:rPr>
              <w:t>-16%</w:t>
            </w:r>
          </w:p>
          <w:p w14:paraId="4DA215B6" w14:textId="77777777" w:rsidR="009E3BB9" w:rsidRPr="00021B9D" w:rsidRDefault="009E3BB9" w:rsidP="006A1BBC">
            <w:pPr>
              <w:pStyle w:val="PBACTableText"/>
              <w:keepNext/>
              <w:spacing w:before="0" w:after="0"/>
              <w:jc w:val="center"/>
              <w:rPr>
                <w:iCs/>
              </w:rPr>
            </w:pPr>
            <w:r w:rsidRPr="00021B9D">
              <w:rPr>
                <w:iCs/>
              </w:rPr>
              <w:t>-10%</w:t>
            </w:r>
          </w:p>
          <w:p w14:paraId="5E27C440" w14:textId="77777777" w:rsidR="009E3BB9" w:rsidRPr="002F4B8C" w:rsidRDefault="009E3BB9" w:rsidP="006A1BBC">
            <w:pPr>
              <w:pStyle w:val="PBACTableText"/>
              <w:keepNext/>
              <w:spacing w:before="0" w:after="0"/>
              <w:jc w:val="center"/>
            </w:pPr>
            <w:r w:rsidRPr="002F4B8C">
              <w:t>18%</w:t>
            </w:r>
          </w:p>
          <w:p w14:paraId="36A0C2FC" w14:textId="77777777" w:rsidR="009E3BB9" w:rsidRPr="002F4B8C" w:rsidRDefault="009E3BB9" w:rsidP="006A1BBC">
            <w:pPr>
              <w:pStyle w:val="PBACTableText"/>
              <w:keepNext/>
              <w:spacing w:before="0" w:after="0"/>
              <w:jc w:val="center"/>
            </w:pPr>
            <w:r w:rsidRPr="002F4B8C">
              <w:t>54%</w:t>
            </w:r>
          </w:p>
        </w:tc>
      </w:tr>
      <w:tr w:rsidR="009E3BB9" w:rsidRPr="002F4B8C" w14:paraId="7B478235" w14:textId="77777777" w:rsidTr="006A1BBC">
        <w:tc>
          <w:tcPr>
            <w:tcW w:w="5098" w:type="dxa"/>
            <w:tcBorders>
              <w:top w:val="single" w:sz="4" w:space="0" w:color="auto"/>
              <w:left w:val="single" w:sz="4" w:space="0" w:color="auto"/>
              <w:bottom w:val="single" w:sz="4" w:space="0" w:color="auto"/>
              <w:right w:val="single" w:sz="4" w:space="0" w:color="auto"/>
            </w:tcBorders>
            <w:vAlign w:val="center"/>
          </w:tcPr>
          <w:p w14:paraId="52C0314E" w14:textId="77777777" w:rsidR="009E3BB9" w:rsidRPr="002F4B8C" w:rsidRDefault="009E3BB9" w:rsidP="006A1BBC">
            <w:pPr>
              <w:pStyle w:val="PBACTableText"/>
              <w:keepNext/>
              <w:tabs>
                <w:tab w:val="left" w:pos="142"/>
              </w:tabs>
              <w:spacing w:before="0" w:after="0"/>
            </w:pPr>
            <w:r w:rsidRPr="002F4B8C">
              <w:t>Discount rate (base case: 5% applied to zanubrutinib TTD)</w:t>
            </w:r>
          </w:p>
          <w:p w14:paraId="32306DF4" w14:textId="77777777" w:rsidR="009E3BB9" w:rsidRPr="002F4B8C" w:rsidRDefault="009E3BB9" w:rsidP="004509A1">
            <w:pPr>
              <w:pStyle w:val="PBACTableText"/>
              <w:keepNext/>
              <w:numPr>
                <w:ilvl w:val="0"/>
                <w:numId w:val="6"/>
              </w:numPr>
              <w:tabs>
                <w:tab w:val="left" w:pos="142"/>
              </w:tabs>
              <w:spacing w:before="0" w:after="0"/>
            </w:pPr>
            <w:r w:rsidRPr="002F4B8C">
              <w:t>0%</w:t>
            </w:r>
          </w:p>
          <w:p w14:paraId="06F703B5" w14:textId="77777777" w:rsidR="009E3BB9" w:rsidRPr="002F4B8C" w:rsidRDefault="009E3BB9" w:rsidP="004509A1">
            <w:pPr>
              <w:pStyle w:val="PBACTableText"/>
              <w:keepNext/>
              <w:numPr>
                <w:ilvl w:val="0"/>
                <w:numId w:val="6"/>
              </w:numPr>
              <w:tabs>
                <w:tab w:val="left" w:pos="142"/>
              </w:tabs>
              <w:spacing w:before="0" w:after="0"/>
            </w:pPr>
            <w:r w:rsidRPr="002F4B8C">
              <w:t>3.5%</w:t>
            </w:r>
          </w:p>
        </w:tc>
        <w:tc>
          <w:tcPr>
            <w:tcW w:w="1937" w:type="dxa"/>
            <w:tcBorders>
              <w:top w:val="single" w:sz="4" w:space="0" w:color="auto"/>
              <w:left w:val="single" w:sz="4" w:space="0" w:color="auto"/>
              <w:bottom w:val="single" w:sz="4" w:space="0" w:color="auto"/>
              <w:right w:val="single" w:sz="4" w:space="0" w:color="auto"/>
            </w:tcBorders>
          </w:tcPr>
          <w:p w14:paraId="4D55F6F8" w14:textId="77777777" w:rsidR="009E3BB9" w:rsidRPr="005F1564" w:rsidRDefault="009E3BB9" w:rsidP="006A1BBC">
            <w:pPr>
              <w:pStyle w:val="PBACTableText"/>
              <w:keepNext/>
              <w:spacing w:before="0" w:after="0"/>
              <w:jc w:val="center"/>
            </w:pPr>
          </w:p>
          <w:p w14:paraId="75F0551E" w14:textId="2AEFC552"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p w14:paraId="1FFE559D" w14:textId="10B64B1E"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tc>
        <w:tc>
          <w:tcPr>
            <w:tcW w:w="1937" w:type="dxa"/>
            <w:tcBorders>
              <w:top w:val="single" w:sz="4" w:space="0" w:color="auto"/>
              <w:left w:val="single" w:sz="4" w:space="0" w:color="auto"/>
              <w:bottom w:val="single" w:sz="4" w:space="0" w:color="auto"/>
              <w:right w:val="single" w:sz="4" w:space="0" w:color="auto"/>
            </w:tcBorders>
          </w:tcPr>
          <w:p w14:paraId="7B27294B" w14:textId="77777777" w:rsidR="009E3BB9" w:rsidRPr="002F4B8C" w:rsidRDefault="009E3BB9" w:rsidP="006A1BBC">
            <w:pPr>
              <w:pStyle w:val="PBACTableText"/>
              <w:keepNext/>
              <w:spacing w:before="0" w:after="0"/>
              <w:jc w:val="center"/>
            </w:pPr>
          </w:p>
          <w:p w14:paraId="28682A78" w14:textId="77777777" w:rsidR="009E3BB9" w:rsidRPr="002F4B8C" w:rsidRDefault="009E3BB9" w:rsidP="006A1BBC">
            <w:pPr>
              <w:pStyle w:val="PBACTableText"/>
              <w:keepNext/>
              <w:spacing w:before="0" w:after="0"/>
              <w:jc w:val="center"/>
            </w:pPr>
            <w:r w:rsidRPr="002F4B8C">
              <w:t>-19%</w:t>
            </w:r>
          </w:p>
          <w:p w14:paraId="3F31F9C3" w14:textId="77777777" w:rsidR="009E3BB9" w:rsidRPr="002F4B8C" w:rsidRDefault="009E3BB9" w:rsidP="006A1BBC">
            <w:pPr>
              <w:pStyle w:val="PBACTableText"/>
              <w:keepNext/>
              <w:spacing w:before="0" w:after="0"/>
              <w:jc w:val="center"/>
            </w:pPr>
            <w:r w:rsidRPr="002F4B8C">
              <w:t>-6%</w:t>
            </w:r>
          </w:p>
        </w:tc>
      </w:tr>
      <w:tr w:rsidR="009E3BB9" w:rsidRPr="002F4B8C" w14:paraId="377CAED5" w14:textId="77777777" w:rsidTr="006A1BBC">
        <w:tc>
          <w:tcPr>
            <w:tcW w:w="5098" w:type="dxa"/>
            <w:tcBorders>
              <w:top w:val="single" w:sz="4" w:space="0" w:color="auto"/>
              <w:left w:val="single" w:sz="4" w:space="0" w:color="auto"/>
              <w:bottom w:val="single" w:sz="4" w:space="0" w:color="auto"/>
              <w:right w:val="single" w:sz="4" w:space="0" w:color="auto"/>
            </w:tcBorders>
            <w:vAlign w:val="center"/>
          </w:tcPr>
          <w:p w14:paraId="015B1954" w14:textId="77777777" w:rsidR="009E3BB9" w:rsidRPr="002F4B8C" w:rsidRDefault="009E3BB9" w:rsidP="006A1BBC">
            <w:pPr>
              <w:pStyle w:val="PBACTableText"/>
              <w:keepNext/>
              <w:tabs>
                <w:tab w:val="left" w:pos="142"/>
              </w:tabs>
              <w:spacing w:before="0" w:after="0"/>
            </w:pPr>
            <w:r w:rsidRPr="002F4B8C">
              <w:t>Zanubrutinib TTD (base case: exponential function, capped based on VEN + OBI PFS exponential function)</w:t>
            </w:r>
          </w:p>
          <w:p w14:paraId="1EE7588D" w14:textId="77777777" w:rsidR="009E3BB9" w:rsidRPr="002F4B8C" w:rsidRDefault="009E3BB9" w:rsidP="004509A1">
            <w:pPr>
              <w:pStyle w:val="PBACTableText"/>
              <w:keepNext/>
              <w:numPr>
                <w:ilvl w:val="0"/>
                <w:numId w:val="6"/>
              </w:numPr>
              <w:tabs>
                <w:tab w:val="left" w:pos="142"/>
              </w:tabs>
              <w:spacing w:before="0" w:after="0"/>
            </w:pPr>
            <w:r w:rsidRPr="002F4B8C">
              <w:t>Exponential function, PFS cap removed</w:t>
            </w:r>
          </w:p>
          <w:p w14:paraId="2C3CD312" w14:textId="77777777" w:rsidR="009E3BB9" w:rsidRPr="002F4B8C" w:rsidRDefault="009E3BB9" w:rsidP="004509A1">
            <w:pPr>
              <w:pStyle w:val="PBACTableText"/>
              <w:keepNext/>
              <w:numPr>
                <w:ilvl w:val="0"/>
                <w:numId w:val="6"/>
              </w:numPr>
              <w:tabs>
                <w:tab w:val="left" w:pos="142"/>
              </w:tabs>
              <w:spacing w:before="0" w:after="0"/>
            </w:pPr>
            <w:r w:rsidRPr="002F4B8C">
              <w:t>Log-logistic function, PFS cap removed</w:t>
            </w:r>
          </w:p>
          <w:p w14:paraId="347A2136" w14:textId="77777777" w:rsidR="009E3BB9" w:rsidRPr="002F4B8C" w:rsidRDefault="009E3BB9" w:rsidP="004509A1">
            <w:pPr>
              <w:pStyle w:val="PBACTableText"/>
              <w:keepNext/>
              <w:numPr>
                <w:ilvl w:val="0"/>
                <w:numId w:val="6"/>
              </w:numPr>
              <w:tabs>
                <w:tab w:val="left" w:pos="142"/>
              </w:tabs>
              <w:spacing w:before="0" w:after="0"/>
            </w:pPr>
            <w:r w:rsidRPr="002F4B8C">
              <w:t>Gompertz function, PFS cap removed</w:t>
            </w:r>
          </w:p>
        </w:tc>
        <w:tc>
          <w:tcPr>
            <w:tcW w:w="1937" w:type="dxa"/>
            <w:tcBorders>
              <w:top w:val="single" w:sz="4" w:space="0" w:color="auto"/>
              <w:left w:val="single" w:sz="4" w:space="0" w:color="auto"/>
              <w:bottom w:val="single" w:sz="4" w:space="0" w:color="auto"/>
              <w:right w:val="single" w:sz="4" w:space="0" w:color="auto"/>
            </w:tcBorders>
          </w:tcPr>
          <w:p w14:paraId="4C58D145" w14:textId="77777777" w:rsidR="009E3BB9" w:rsidRPr="005F1564" w:rsidRDefault="009E3BB9" w:rsidP="006A1BBC">
            <w:pPr>
              <w:pStyle w:val="PBACTableText"/>
              <w:keepNext/>
              <w:spacing w:before="0" w:after="0"/>
              <w:jc w:val="center"/>
            </w:pPr>
          </w:p>
          <w:p w14:paraId="0661328D" w14:textId="77777777" w:rsidR="009E3BB9" w:rsidRPr="005F1564" w:rsidRDefault="009E3BB9" w:rsidP="006A1BBC">
            <w:pPr>
              <w:pStyle w:val="PBACTableText"/>
              <w:keepNext/>
              <w:spacing w:before="0" w:after="0"/>
              <w:jc w:val="center"/>
            </w:pPr>
          </w:p>
          <w:p w14:paraId="59DD0B5C" w14:textId="6E2E1B15"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p w14:paraId="1009B4D9" w14:textId="53CC7202"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p w14:paraId="5F6B95F0" w14:textId="40D79F81"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tc>
        <w:tc>
          <w:tcPr>
            <w:tcW w:w="1937" w:type="dxa"/>
            <w:tcBorders>
              <w:top w:val="single" w:sz="4" w:space="0" w:color="auto"/>
              <w:left w:val="single" w:sz="4" w:space="0" w:color="auto"/>
              <w:bottom w:val="single" w:sz="4" w:space="0" w:color="auto"/>
              <w:right w:val="single" w:sz="4" w:space="0" w:color="auto"/>
            </w:tcBorders>
          </w:tcPr>
          <w:p w14:paraId="3D63FF5D" w14:textId="77777777" w:rsidR="009E3BB9" w:rsidRPr="002F4B8C" w:rsidRDefault="009E3BB9" w:rsidP="006A1BBC">
            <w:pPr>
              <w:pStyle w:val="PBACTableText"/>
              <w:keepNext/>
              <w:spacing w:before="0" w:after="0"/>
              <w:jc w:val="center"/>
            </w:pPr>
          </w:p>
          <w:p w14:paraId="40487132" w14:textId="77777777" w:rsidR="009E3BB9" w:rsidRPr="002F4B8C" w:rsidRDefault="009E3BB9" w:rsidP="006A1BBC">
            <w:pPr>
              <w:pStyle w:val="PBACTableText"/>
              <w:keepNext/>
              <w:spacing w:before="0" w:after="0"/>
              <w:jc w:val="center"/>
            </w:pPr>
          </w:p>
          <w:p w14:paraId="362B5FE9" w14:textId="77777777" w:rsidR="009E3BB9" w:rsidRPr="002F4B8C" w:rsidRDefault="009E3BB9" w:rsidP="006A1BBC">
            <w:pPr>
              <w:pStyle w:val="PBACTableText"/>
              <w:keepNext/>
              <w:spacing w:before="0" w:after="0"/>
              <w:jc w:val="center"/>
            </w:pPr>
            <w:r w:rsidRPr="002F4B8C">
              <w:t>-2%</w:t>
            </w:r>
          </w:p>
          <w:p w14:paraId="390B31D4" w14:textId="77777777" w:rsidR="009E3BB9" w:rsidRPr="002F4B8C" w:rsidRDefault="009E3BB9" w:rsidP="006A1BBC">
            <w:pPr>
              <w:pStyle w:val="PBACTableText"/>
              <w:keepNext/>
              <w:spacing w:before="0" w:after="0"/>
              <w:jc w:val="center"/>
            </w:pPr>
            <w:r w:rsidRPr="002F4B8C">
              <w:t>-1%</w:t>
            </w:r>
          </w:p>
          <w:p w14:paraId="7D837717" w14:textId="77777777" w:rsidR="009E3BB9" w:rsidRPr="002F4B8C" w:rsidRDefault="009E3BB9" w:rsidP="006A1BBC">
            <w:pPr>
              <w:pStyle w:val="PBACTableText"/>
              <w:keepNext/>
              <w:spacing w:before="0" w:after="0"/>
              <w:jc w:val="center"/>
            </w:pPr>
            <w:r w:rsidRPr="002F4B8C">
              <w:t>-9%</w:t>
            </w:r>
          </w:p>
        </w:tc>
      </w:tr>
      <w:tr w:rsidR="009E3BB9" w:rsidRPr="002F4B8C" w14:paraId="0B4406D5" w14:textId="77777777" w:rsidTr="006A1BBC">
        <w:trPr>
          <w:trHeight w:val="279"/>
        </w:trPr>
        <w:tc>
          <w:tcPr>
            <w:tcW w:w="5098" w:type="dxa"/>
            <w:tcBorders>
              <w:top w:val="single" w:sz="4" w:space="0" w:color="auto"/>
              <w:left w:val="single" w:sz="4" w:space="0" w:color="auto"/>
              <w:bottom w:val="single" w:sz="4" w:space="0" w:color="auto"/>
              <w:right w:val="single" w:sz="4" w:space="0" w:color="auto"/>
            </w:tcBorders>
            <w:vAlign w:val="center"/>
          </w:tcPr>
          <w:p w14:paraId="454BF66C" w14:textId="77777777" w:rsidR="009E3BB9" w:rsidRPr="002F4B8C" w:rsidRDefault="009E3BB9" w:rsidP="006A1BBC">
            <w:pPr>
              <w:pStyle w:val="PBACTableText"/>
              <w:keepNext/>
              <w:tabs>
                <w:tab w:val="left" w:pos="142"/>
              </w:tabs>
              <w:spacing w:before="0" w:after="0"/>
            </w:pPr>
            <w:r w:rsidRPr="002F4B8C">
              <w:t>Cost offsets (base case: included)</w:t>
            </w:r>
          </w:p>
          <w:p w14:paraId="0E396D4C" w14:textId="77777777" w:rsidR="009E3BB9" w:rsidRPr="002F4B8C" w:rsidRDefault="009E3BB9" w:rsidP="004509A1">
            <w:pPr>
              <w:pStyle w:val="PBACTableText"/>
              <w:keepNext/>
              <w:numPr>
                <w:ilvl w:val="0"/>
                <w:numId w:val="6"/>
              </w:numPr>
              <w:tabs>
                <w:tab w:val="left" w:pos="142"/>
              </w:tabs>
              <w:spacing w:before="0" w:after="0"/>
            </w:pPr>
            <w:r w:rsidRPr="002F4B8C">
              <w:t>Excluded</w:t>
            </w:r>
          </w:p>
        </w:tc>
        <w:tc>
          <w:tcPr>
            <w:tcW w:w="1937" w:type="dxa"/>
            <w:tcBorders>
              <w:top w:val="single" w:sz="4" w:space="0" w:color="auto"/>
              <w:left w:val="single" w:sz="4" w:space="0" w:color="auto"/>
              <w:bottom w:val="single" w:sz="4" w:space="0" w:color="auto"/>
              <w:right w:val="single" w:sz="4" w:space="0" w:color="auto"/>
            </w:tcBorders>
          </w:tcPr>
          <w:p w14:paraId="4C22AAD7" w14:textId="77777777" w:rsidR="009E3BB9" w:rsidRPr="005F1564" w:rsidRDefault="009E3BB9" w:rsidP="006A1BBC">
            <w:pPr>
              <w:pStyle w:val="PBACTableText"/>
              <w:keepNext/>
              <w:spacing w:before="0" w:after="0"/>
              <w:jc w:val="center"/>
            </w:pPr>
          </w:p>
          <w:p w14:paraId="6900D6B7" w14:textId="14669302" w:rsidR="009E3BB9" w:rsidRPr="005F1564" w:rsidRDefault="009E3BB9" w:rsidP="006A1BBC">
            <w:pPr>
              <w:pStyle w:val="PBACTableText"/>
              <w:keepNext/>
              <w:spacing w:before="0" w:after="0"/>
              <w:jc w:val="center"/>
            </w:pPr>
            <w:r w:rsidRPr="005F1564">
              <w:t>$</w:t>
            </w:r>
            <w:r w:rsidR="009D248A" w:rsidRPr="009D248A">
              <w:rPr>
                <w:color w:val="000000"/>
                <w:shd w:val="solid" w:color="000000" w:fill="000000"/>
                <w14:textFill>
                  <w14:solidFill>
                    <w14:srgbClr w14:val="000000">
                      <w14:alpha w14:val="100000"/>
                    </w14:srgbClr>
                  </w14:solidFill>
                </w14:textFill>
              </w:rPr>
              <w:t>|</w:t>
            </w:r>
          </w:p>
        </w:tc>
        <w:tc>
          <w:tcPr>
            <w:tcW w:w="1937" w:type="dxa"/>
            <w:tcBorders>
              <w:top w:val="single" w:sz="4" w:space="0" w:color="auto"/>
              <w:left w:val="single" w:sz="4" w:space="0" w:color="auto"/>
              <w:bottom w:val="single" w:sz="4" w:space="0" w:color="auto"/>
              <w:right w:val="single" w:sz="4" w:space="0" w:color="auto"/>
            </w:tcBorders>
          </w:tcPr>
          <w:p w14:paraId="603A17CD" w14:textId="77777777" w:rsidR="009E3BB9" w:rsidRPr="002F4B8C" w:rsidRDefault="009E3BB9" w:rsidP="006A1BBC">
            <w:pPr>
              <w:pStyle w:val="PBACTableText"/>
              <w:keepNext/>
              <w:spacing w:before="0" w:after="0"/>
              <w:jc w:val="center"/>
            </w:pPr>
          </w:p>
          <w:p w14:paraId="2FAFEDD6" w14:textId="77777777" w:rsidR="009E3BB9" w:rsidRPr="002F4B8C" w:rsidRDefault="009E3BB9" w:rsidP="006A1BBC">
            <w:pPr>
              <w:pStyle w:val="PBACTableText"/>
              <w:keepNext/>
              <w:spacing w:before="0" w:after="0"/>
              <w:jc w:val="center"/>
            </w:pPr>
            <w:r w:rsidRPr="002F4B8C">
              <w:t>-3%</w:t>
            </w:r>
          </w:p>
        </w:tc>
      </w:tr>
    </w:tbl>
    <w:p w14:paraId="4BC6D5EC" w14:textId="77777777" w:rsidR="009E3BB9" w:rsidRPr="002F4B8C" w:rsidRDefault="009E3BB9" w:rsidP="009E3BB9">
      <w:pPr>
        <w:pStyle w:val="COMTablefooter"/>
      </w:pPr>
      <w:r w:rsidRPr="002F4B8C">
        <w:t>Source: Table 3-9 of the submission; additional sensitivity analyses conducted using the ‘Section 3_TN CLL’ Excel workbook.</w:t>
      </w:r>
    </w:p>
    <w:p w14:paraId="26098F95" w14:textId="2235109A" w:rsidR="009E3BB9" w:rsidRDefault="009E3BB9" w:rsidP="009E3BB9">
      <w:pPr>
        <w:pStyle w:val="COMTablefooter"/>
      </w:pPr>
      <w:r w:rsidRPr="002F4B8C">
        <w:t>Abbreviations: AEMP = approved ex-manufacture price, OBI = obinutuzumab, PFS = progression-free survival, TTD = time to treatment discontinuation, VEN = venetoclax, ZANU = zanubrutinib</w:t>
      </w:r>
    </w:p>
    <w:p w14:paraId="68CAB5FD" w14:textId="7193A006" w:rsidR="003C4A8D" w:rsidRPr="00021B9D" w:rsidRDefault="003C4A8D" w:rsidP="003C4A8D">
      <w:pPr>
        <w:pStyle w:val="COMexecsumnumberedpara"/>
        <w:rPr>
          <w:iCs/>
        </w:rPr>
      </w:pPr>
      <w:r>
        <w:t>The results of the cost minimisation were most sensitive to changes in the time horizon and removal of the discount rate applied to the zanubrutinib time to treatment discontinuation.</w:t>
      </w:r>
    </w:p>
    <w:p w14:paraId="472842D7" w14:textId="206C7AD1" w:rsidR="00C25D9C" w:rsidRPr="00C31E62" w:rsidRDefault="00C25D9C" w:rsidP="00BB732D">
      <w:pPr>
        <w:pStyle w:val="COMH2-non-numbered"/>
      </w:pPr>
      <w:bookmarkStart w:id="64" w:name="_Toc124179169"/>
      <w:bookmarkStart w:id="65" w:name="_Toc124853854"/>
      <w:r w:rsidRPr="00C31E62">
        <w:t>Drug cost/patient/course</w:t>
      </w:r>
      <w:bookmarkEnd w:id="62"/>
      <w:bookmarkEnd w:id="64"/>
      <w:bookmarkEnd w:id="65"/>
    </w:p>
    <w:bookmarkStart w:id="66" w:name="_Ref104805102"/>
    <w:p w14:paraId="27704604" w14:textId="5117D35F" w:rsidR="0026743D" w:rsidRPr="005C2D58" w:rsidRDefault="0026743D" w:rsidP="006A1BBC">
      <w:pPr>
        <w:pStyle w:val="COMexecsumnumberedpara"/>
        <w:rPr>
          <w:iCs/>
        </w:rPr>
      </w:pPr>
      <w:r>
        <w:fldChar w:fldCharType="begin" w:fldLock="1"/>
      </w:r>
      <w:r>
        <w:instrText xml:space="preserve"> REF _Ref123904221 \h </w:instrText>
      </w:r>
      <w:r>
        <w:fldChar w:fldCharType="separate"/>
      </w:r>
      <w:r w:rsidR="00540D87" w:rsidRPr="00C31E62">
        <w:t xml:space="preserve">Table </w:t>
      </w:r>
      <w:r w:rsidR="00540D87">
        <w:rPr>
          <w:noProof/>
        </w:rPr>
        <w:t>13</w:t>
      </w:r>
      <w:r>
        <w:fldChar w:fldCharType="end"/>
      </w:r>
      <w:r>
        <w:t xml:space="preserve"> presents a comparison of drug costs for zanubrutinib and venetoclax + obinutuzumab included in the economic model and financial estimates.</w:t>
      </w:r>
      <w:r w:rsidR="003C0426" w:rsidRPr="003C0426">
        <w:t xml:space="preserve"> </w:t>
      </w:r>
      <w:r w:rsidR="003C0426">
        <w:t xml:space="preserve">The cost per script </w:t>
      </w:r>
      <w:r w:rsidR="002E7800">
        <w:t xml:space="preserve">and the treatment duration </w:t>
      </w:r>
      <w:r w:rsidR="003C0426" w:rsidRPr="005C2D58">
        <w:t xml:space="preserve">for the cost-minimisation and the financial estimates in Table 13 does not include the changes specified in paragraphs </w:t>
      </w:r>
      <w:r w:rsidR="00F66E6A" w:rsidRPr="005C2D58">
        <w:fldChar w:fldCharType="begin" w:fldLock="1"/>
      </w:r>
      <w:r w:rsidR="00F66E6A" w:rsidRPr="005C2D58">
        <w:instrText xml:space="preserve"> REF _Ref130548271 \r \h  \* MERGEFORMAT </w:instrText>
      </w:r>
      <w:r w:rsidR="00F66E6A" w:rsidRPr="005C2D58">
        <w:fldChar w:fldCharType="separate"/>
      </w:r>
      <w:r w:rsidR="00F66E6A" w:rsidRPr="005C2D58">
        <w:t>6.64</w:t>
      </w:r>
      <w:r w:rsidR="00F66E6A" w:rsidRPr="005C2D58">
        <w:fldChar w:fldCharType="end"/>
      </w:r>
      <w:r w:rsidR="00F66E6A" w:rsidRPr="005C2D58">
        <w:t xml:space="preserve">, </w:t>
      </w:r>
      <w:r w:rsidR="00F66E6A" w:rsidRPr="005C2D58">
        <w:fldChar w:fldCharType="begin" w:fldLock="1"/>
      </w:r>
      <w:r w:rsidR="00F66E6A" w:rsidRPr="005C2D58">
        <w:instrText xml:space="preserve"> REF _Ref130548296 \r \h  \* MERGEFORMAT </w:instrText>
      </w:r>
      <w:r w:rsidR="00F66E6A" w:rsidRPr="005C2D58">
        <w:fldChar w:fldCharType="separate"/>
      </w:r>
      <w:r w:rsidR="00F66E6A" w:rsidRPr="005C2D58">
        <w:t>6.67</w:t>
      </w:r>
      <w:r w:rsidR="00F66E6A" w:rsidRPr="005C2D58">
        <w:fldChar w:fldCharType="end"/>
      </w:r>
      <w:r w:rsidR="00F66E6A" w:rsidRPr="005C2D58">
        <w:t xml:space="preserve"> and </w:t>
      </w:r>
      <w:r w:rsidR="00F66E6A" w:rsidRPr="005C2D58">
        <w:fldChar w:fldCharType="begin" w:fldLock="1"/>
      </w:r>
      <w:r w:rsidR="00F66E6A" w:rsidRPr="005C2D58">
        <w:instrText xml:space="preserve"> REF _Ref130548327 \r \h  \* MERGEFORMAT </w:instrText>
      </w:r>
      <w:r w:rsidR="00F66E6A" w:rsidRPr="005C2D58">
        <w:fldChar w:fldCharType="separate"/>
      </w:r>
      <w:r w:rsidR="00F66E6A" w:rsidRPr="005C2D58">
        <w:t>6.73</w:t>
      </w:r>
      <w:r w:rsidR="00F66E6A" w:rsidRPr="005C2D58">
        <w:fldChar w:fldCharType="end"/>
      </w:r>
      <w:r w:rsidR="003C0426" w:rsidRPr="005C2D58">
        <w:t>.</w:t>
      </w:r>
    </w:p>
    <w:p w14:paraId="3E213625" w14:textId="42062EF4" w:rsidR="00AF7DE0" w:rsidRDefault="00AF7DE0" w:rsidP="00AF7DE0">
      <w:pPr>
        <w:pStyle w:val="COMtablefigcaption"/>
      </w:pPr>
      <w:bookmarkStart w:id="67" w:name="_Ref123904221"/>
      <w:r w:rsidRPr="00C31E62">
        <w:lastRenderedPageBreak/>
        <w:t xml:space="preserve">Table </w:t>
      </w:r>
      <w:fldSimple w:instr=" SEQ Table \* ARABIC " w:fldLock="1">
        <w:r w:rsidR="00540D87">
          <w:rPr>
            <w:noProof/>
          </w:rPr>
          <w:t>13</w:t>
        </w:r>
      </w:fldSimple>
      <w:bookmarkEnd w:id="67"/>
      <w:r>
        <w:t xml:space="preserve">: </w:t>
      </w:r>
      <w:r w:rsidRPr="00C5212A">
        <w:t xml:space="preserve">Drug cost per patient for </w:t>
      </w:r>
      <w:r w:rsidR="00D466A1">
        <w:t>zanubrutinib</w:t>
      </w:r>
      <w:r w:rsidRPr="00C5212A">
        <w:t xml:space="preserve"> and </w:t>
      </w:r>
      <w:r w:rsidR="00D466A1">
        <w:t>venetoclax + obinutuzumab</w:t>
      </w:r>
    </w:p>
    <w:tbl>
      <w:tblPr>
        <w:tblStyle w:val="TableGrid"/>
        <w:tblW w:w="5000" w:type="pct"/>
        <w:tblCellMar>
          <w:left w:w="28" w:type="dxa"/>
          <w:right w:w="28" w:type="dxa"/>
        </w:tblCellMar>
        <w:tblLook w:val="04A0" w:firstRow="1" w:lastRow="0" w:firstColumn="1" w:lastColumn="0" w:noHBand="0" w:noVBand="1"/>
      </w:tblPr>
      <w:tblGrid>
        <w:gridCol w:w="2120"/>
        <w:gridCol w:w="2269"/>
        <w:gridCol w:w="2269"/>
        <w:gridCol w:w="2359"/>
      </w:tblGrid>
      <w:tr w:rsidR="00AF7DE0" w:rsidRPr="002621DD" w14:paraId="0125E806" w14:textId="77777777" w:rsidTr="001B1700">
        <w:tc>
          <w:tcPr>
            <w:tcW w:w="2137" w:type="dxa"/>
          </w:tcPr>
          <w:p w14:paraId="1B26FE1D" w14:textId="77777777" w:rsidR="00AF7DE0" w:rsidRPr="002621DD" w:rsidRDefault="00AF7DE0" w:rsidP="0026743D">
            <w:pPr>
              <w:keepNext/>
              <w:rPr>
                <w:rFonts w:ascii="Arial Narrow" w:hAnsi="Arial Narrow"/>
                <w:sz w:val="20"/>
                <w:szCs w:val="20"/>
              </w:rPr>
            </w:pPr>
            <w:bookmarkStart w:id="68" w:name="_Hlk123903161"/>
          </w:p>
        </w:tc>
        <w:tc>
          <w:tcPr>
            <w:tcW w:w="2285" w:type="dxa"/>
            <w:vAlign w:val="center"/>
          </w:tcPr>
          <w:p w14:paraId="41EF5BC0" w14:textId="77777777" w:rsidR="00AF7DE0" w:rsidRPr="00DC27C1" w:rsidRDefault="00AF7DE0" w:rsidP="0026743D">
            <w:pPr>
              <w:keepNext/>
              <w:jc w:val="center"/>
              <w:rPr>
                <w:rFonts w:ascii="Arial Narrow" w:hAnsi="Arial Narrow"/>
                <w:b/>
                <w:bCs/>
                <w:sz w:val="20"/>
                <w:szCs w:val="20"/>
              </w:rPr>
            </w:pPr>
            <w:r w:rsidRPr="00DC27C1">
              <w:rPr>
                <w:rFonts w:ascii="Arial Narrow" w:hAnsi="Arial Narrow"/>
                <w:b/>
                <w:bCs/>
                <w:sz w:val="20"/>
                <w:szCs w:val="20"/>
              </w:rPr>
              <w:t>Clinical study</w:t>
            </w:r>
          </w:p>
        </w:tc>
        <w:tc>
          <w:tcPr>
            <w:tcW w:w="2285" w:type="dxa"/>
            <w:vAlign w:val="center"/>
          </w:tcPr>
          <w:p w14:paraId="169FBDF4" w14:textId="56FC0B2C" w:rsidR="00AF7DE0" w:rsidRPr="00DC27C1" w:rsidRDefault="001B1700" w:rsidP="0026743D">
            <w:pPr>
              <w:keepNext/>
              <w:jc w:val="center"/>
              <w:rPr>
                <w:rFonts w:ascii="Arial Narrow" w:hAnsi="Arial Narrow"/>
                <w:b/>
                <w:bCs/>
                <w:sz w:val="20"/>
                <w:szCs w:val="20"/>
              </w:rPr>
            </w:pPr>
            <w:r>
              <w:rPr>
                <w:rFonts w:ascii="Arial Narrow" w:hAnsi="Arial Narrow"/>
                <w:b/>
                <w:bCs/>
                <w:sz w:val="20"/>
                <w:szCs w:val="20"/>
              </w:rPr>
              <w:t>Cost-minimisation</w:t>
            </w:r>
          </w:p>
        </w:tc>
        <w:tc>
          <w:tcPr>
            <w:tcW w:w="2376" w:type="dxa"/>
            <w:vAlign w:val="center"/>
          </w:tcPr>
          <w:p w14:paraId="0946EE05" w14:textId="77777777" w:rsidR="00AF7DE0" w:rsidRPr="00DC27C1" w:rsidRDefault="00AF7DE0" w:rsidP="0026743D">
            <w:pPr>
              <w:keepNext/>
              <w:jc w:val="center"/>
              <w:rPr>
                <w:rFonts w:ascii="Arial Narrow" w:hAnsi="Arial Narrow"/>
                <w:b/>
                <w:bCs/>
                <w:sz w:val="20"/>
                <w:szCs w:val="20"/>
              </w:rPr>
            </w:pPr>
            <w:r w:rsidRPr="00DC27C1">
              <w:rPr>
                <w:rFonts w:ascii="Arial Narrow" w:hAnsi="Arial Narrow"/>
                <w:b/>
                <w:bCs/>
                <w:sz w:val="20"/>
                <w:szCs w:val="20"/>
              </w:rPr>
              <w:t>Financial estimates</w:t>
            </w:r>
          </w:p>
        </w:tc>
      </w:tr>
      <w:tr w:rsidR="00AF7DE0" w:rsidRPr="002621DD" w14:paraId="6D1D0F9E" w14:textId="77777777" w:rsidTr="001B1700">
        <w:tc>
          <w:tcPr>
            <w:tcW w:w="9083" w:type="dxa"/>
            <w:gridSpan w:val="4"/>
            <w:vAlign w:val="center"/>
          </w:tcPr>
          <w:p w14:paraId="2642D61E" w14:textId="17EA4D3B" w:rsidR="00AF7DE0" w:rsidRPr="00DC27C1" w:rsidRDefault="001B1700" w:rsidP="0026743D">
            <w:pPr>
              <w:keepNext/>
              <w:jc w:val="left"/>
              <w:rPr>
                <w:rFonts w:ascii="Arial Narrow" w:hAnsi="Arial Narrow"/>
                <w:b/>
                <w:bCs/>
                <w:sz w:val="20"/>
                <w:szCs w:val="20"/>
              </w:rPr>
            </w:pPr>
            <w:r>
              <w:rPr>
                <w:rFonts w:ascii="Arial Narrow" w:hAnsi="Arial Narrow"/>
                <w:b/>
                <w:bCs/>
                <w:sz w:val="20"/>
                <w:szCs w:val="20"/>
              </w:rPr>
              <w:t>Zanubrutinib</w:t>
            </w:r>
          </w:p>
        </w:tc>
      </w:tr>
      <w:tr w:rsidR="00AF7DE0" w:rsidRPr="002621DD" w14:paraId="4990CE49" w14:textId="77777777" w:rsidTr="001B1700">
        <w:tc>
          <w:tcPr>
            <w:tcW w:w="2137" w:type="dxa"/>
            <w:vAlign w:val="center"/>
          </w:tcPr>
          <w:p w14:paraId="3134600E" w14:textId="05204C65" w:rsidR="00AF7DE0" w:rsidRPr="002621DD" w:rsidRDefault="00AF7DE0" w:rsidP="0026743D">
            <w:pPr>
              <w:keepNext/>
              <w:jc w:val="left"/>
              <w:rPr>
                <w:rFonts w:ascii="Arial Narrow" w:hAnsi="Arial Narrow"/>
                <w:sz w:val="20"/>
                <w:szCs w:val="20"/>
              </w:rPr>
            </w:pPr>
            <w:r w:rsidRPr="00C277DB">
              <w:rPr>
                <w:rFonts w:ascii="Arial Narrow" w:hAnsi="Arial Narrow"/>
                <w:sz w:val="20"/>
                <w:szCs w:val="20"/>
              </w:rPr>
              <w:t xml:space="preserve">Cost per </w:t>
            </w:r>
            <w:r>
              <w:rPr>
                <w:rFonts w:ascii="Arial Narrow" w:hAnsi="Arial Narrow"/>
                <w:sz w:val="20"/>
                <w:szCs w:val="20"/>
              </w:rPr>
              <w:t>script</w:t>
            </w:r>
            <w:r w:rsidRPr="00C277DB">
              <w:rPr>
                <w:rFonts w:ascii="Arial Narrow" w:hAnsi="Arial Narrow"/>
                <w:sz w:val="20"/>
                <w:szCs w:val="20"/>
              </w:rPr>
              <w:t xml:space="preserve"> (DPMQ)</w:t>
            </w:r>
          </w:p>
        </w:tc>
        <w:tc>
          <w:tcPr>
            <w:tcW w:w="2285" w:type="dxa"/>
            <w:vAlign w:val="center"/>
          </w:tcPr>
          <w:p w14:paraId="4155B3E8" w14:textId="77777777" w:rsidR="00AF7DE0" w:rsidRPr="002621DD" w:rsidRDefault="00AF7DE0" w:rsidP="0026743D">
            <w:pPr>
              <w:keepNext/>
              <w:jc w:val="center"/>
              <w:rPr>
                <w:rFonts w:ascii="Arial Narrow" w:hAnsi="Arial Narrow"/>
                <w:sz w:val="20"/>
                <w:szCs w:val="20"/>
              </w:rPr>
            </w:pPr>
            <w:r>
              <w:rPr>
                <w:rFonts w:ascii="Arial Narrow" w:hAnsi="Arial Narrow"/>
                <w:sz w:val="20"/>
                <w:szCs w:val="20"/>
              </w:rPr>
              <w:t>-</w:t>
            </w:r>
          </w:p>
        </w:tc>
        <w:tc>
          <w:tcPr>
            <w:tcW w:w="2285" w:type="dxa"/>
            <w:vAlign w:val="center"/>
          </w:tcPr>
          <w:p w14:paraId="0FE39550" w14:textId="1A255D93" w:rsidR="00AF7DE0" w:rsidRPr="005F1564" w:rsidRDefault="007B3E72" w:rsidP="0026743D">
            <w:pPr>
              <w:keepNext/>
              <w:jc w:val="center"/>
              <w:rPr>
                <w:rFonts w:ascii="Arial Narrow" w:hAnsi="Arial Narrow"/>
                <w:sz w:val="20"/>
                <w:szCs w:val="20"/>
              </w:rPr>
            </w:pPr>
            <w:r w:rsidRPr="005F1564">
              <w:rPr>
                <w:rFonts w:ascii="Arial Narrow" w:hAnsi="Arial Narrow"/>
                <w:iCs/>
                <w:sz w:val="20"/>
                <w:szCs w:val="20"/>
              </w:rPr>
              <w:t>$</w:t>
            </w:r>
            <w:r w:rsidR="009D248A" w:rsidRPr="009D248A">
              <w:rPr>
                <w:rFonts w:ascii="Arial Narrow" w:hAnsi="Arial Narrow"/>
                <w:iCs/>
                <w:color w:val="000000"/>
                <w:sz w:val="20"/>
                <w:szCs w:val="20"/>
                <w:shd w:val="solid" w:color="000000" w:fill="000000"/>
                <w14:textFill>
                  <w14:solidFill>
                    <w14:srgbClr w14:val="000000">
                      <w14:alpha w14:val="100000"/>
                    </w14:srgbClr>
                  </w14:solidFill>
                </w14:textFill>
              </w:rPr>
              <w:t>|</w:t>
            </w:r>
            <w:r w:rsidR="009D248A">
              <w:rPr>
                <w:rFonts w:ascii="Arial Narrow" w:hAnsi="Arial Narrow"/>
                <w:iCs/>
                <w:sz w:val="20"/>
                <w:szCs w:val="20"/>
              </w:rPr>
              <w:t xml:space="preserve"> </w:t>
            </w:r>
            <w:r w:rsidRPr="005F1564">
              <w:rPr>
                <w:rFonts w:ascii="Arial Narrow" w:hAnsi="Arial Narrow"/>
                <w:sz w:val="20"/>
                <w:szCs w:val="20"/>
                <w:vertAlign w:val="superscript"/>
              </w:rPr>
              <w:t>a</w:t>
            </w:r>
          </w:p>
        </w:tc>
        <w:tc>
          <w:tcPr>
            <w:tcW w:w="2376" w:type="dxa"/>
            <w:vAlign w:val="center"/>
          </w:tcPr>
          <w:p w14:paraId="28E3E339" w14:textId="45906966" w:rsidR="00AF7DE0" w:rsidRPr="00CE2971" w:rsidRDefault="00E46CAA" w:rsidP="0026743D">
            <w:pPr>
              <w:keepNext/>
              <w:jc w:val="center"/>
              <w:rPr>
                <w:rFonts w:ascii="Arial Narrow" w:hAnsi="Arial Narrow"/>
                <w:sz w:val="20"/>
                <w:szCs w:val="20"/>
              </w:rPr>
            </w:pPr>
            <w:r w:rsidRPr="00CE2971">
              <w:rPr>
                <w:rFonts w:ascii="Arial Narrow" w:hAnsi="Arial Narrow"/>
                <w:sz w:val="20"/>
                <w:szCs w:val="20"/>
              </w:rPr>
              <w:t>$8,794.57</w:t>
            </w:r>
            <w:r w:rsidR="0026743D" w:rsidRPr="00CE2971">
              <w:rPr>
                <w:rFonts w:ascii="Arial Narrow" w:hAnsi="Arial Narrow"/>
                <w:sz w:val="20"/>
                <w:szCs w:val="20"/>
              </w:rPr>
              <w:t xml:space="preserve"> </w:t>
            </w:r>
            <w:r w:rsidR="0026743D" w:rsidRPr="00CE2971">
              <w:rPr>
                <w:rFonts w:ascii="Arial Narrow" w:hAnsi="Arial Narrow"/>
                <w:sz w:val="20"/>
                <w:szCs w:val="20"/>
                <w:vertAlign w:val="superscript"/>
              </w:rPr>
              <w:t>b</w:t>
            </w:r>
            <w:r w:rsidR="00D466A1" w:rsidRPr="00CE2971">
              <w:rPr>
                <w:rFonts w:ascii="Arial Narrow" w:hAnsi="Arial Narrow"/>
                <w:sz w:val="20"/>
                <w:szCs w:val="20"/>
              </w:rPr>
              <w:t xml:space="preserve"> </w:t>
            </w:r>
          </w:p>
        </w:tc>
      </w:tr>
      <w:tr w:rsidR="001B1700" w:rsidRPr="002621DD" w14:paraId="6B76B6BB" w14:textId="77777777" w:rsidTr="001B1700">
        <w:tc>
          <w:tcPr>
            <w:tcW w:w="2137" w:type="dxa"/>
            <w:vAlign w:val="center"/>
          </w:tcPr>
          <w:p w14:paraId="3B8EBB38" w14:textId="0A23E766" w:rsidR="001B1700" w:rsidRPr="00C277DB" w:rsidRDefault="001B1700" w:rsidP="0026743D">
            <w:pPr>
              <w:keepNext/>
              <w:jc w:val="left"/>
              <w:rPr>
                <w:rFonts w:ascii="Arial Narrow" w:hAnsi="Arial Narrow"/>
                <w:sz w:val="20"/>
                <w:szCs w:val="20"/>
              </w:rPr>
            </w:pPr>
            <w:r>
              <w:rPr>
                <w:rFonts w:ascii="Arial Narrow" w:hAnsi="Arial Narrow"/>
                <w:sz w:val="20"/>
                <w:szCs w:val="20"/>
              </w:rPr>
              <w:t>Treatment duration</w:t>
            </w:r>
          </w:p>
        </w:tc>
        <w:tc>
          <w:tcPr>
            <w:tcW w:w="2285" w:type="dxa"/>
            <w:vAlign w:val="center"/>
          </w:tcPr>
          <w:p w14:paraId="0D79B370" w14:textId="4BE9A5CB" w:rsidR="001E2B58" w:rsidRDefault="00107433" w:rsidP="0026743D">
            <w:pPr>
              <w:keepNext/>
              <w:jc w:val="center"/>
              <w:rPr>
                <w:rFonts w:ascii="Arial Narrow" w:hAnsi="Arial Narrow"/>
                <w:sz w:val="20"/>
                <w:szCs w:val="20"/>
              </w:rPr>
            </w:pPr>
            <w:r>
              <w:rPr>
                <w:rFonts w:ascii="Arial Narrow" w:hAnsi="Arial Narrow"/>
                <w:sz w:val="20"/>
                <w:szCs w:val="20"/>
              </w:rPr>
              <w:t>Zanubrutinib non-17p</w:t>
            </w:r>
            <w:r w:rsidR="001E2B58">
              <w:rPr>
                <w:rFonts w:ascii="Arial Narrow" w:hAnsi="Arial Narrow"/>
                <w:sz w:val="20"/>
                <w:szCs w:val="20"/>
              </w:rPr>
              <w:t xml:space="preserve"> arm</w:t>
            </w:r>
            <w:r>
              <w:rPr>
                <w:rFonts w:ascii="Arial Narrow" w:hAnsi="Arial Narrow"/>
                <w:sz w:val="20"/>
                <w:szCs w:val="20"/>
              </w:rPr>
              <w:t>:</w:t>
            </w:r>
            <w:r w:rsidR="001E2B58">
              <w:rPr>
                <w:rFonts w:ascii="Arial Narrow" w:hAnsi="Arial Narrow"/>
                <w:sz w:val="20"/>
                <w:szCs w:val="20"/>
              </w:rPr>
              <w:t xml:space="preserve"> </w:t>
            </w:r>
          </w:p>
          <w:p w14:paraId="379D3DD9" w14:textId="14A434BB" w:rsidR="001E2B58" w:rsidRPr="00537233" w:rsidRDefault="00107433" w:rsidP="0026743D">
            <w:pPr>
              <w:keepNext/>
              <w:jc w:val="center"/>
              <w:rPr>
                <w:rFonts w:ascii="Arial Narrow" w:hAnsi="Arial Narrow"/>
                <w:sz w:val="20"/>
                <w:szCs w:val="20"/>
                <w:vertAlign w:val="superscript"/>
              </w:rPr>
            </w:pPr>
            <w:r>
              <w:rPr>
                <w:rFonts w:ascii="Arial Narrow" w:hAnsi="Arial Narrow"/>
                <w:sz w:val="20"/>
                <w:szCs w:val="20"/>
              </w:rPr>
              <w:t>26.4 months</w:t>
            </w:r>
            <w:r w:rsidR="0017583C">
              <w:rPr>
                <w:rFonts w:ascii="Arial Narrow" w:hAnsi="Arial Narrow"/>
                <w:sz w:val="20"/>
                <w:szCs w:val="20"/>
              </w:rPr>
              <w:t xml:space="preserve"> </w:t>
            </w:r>
            <w:r w:rsidR="00537233">
              <w:rPr>
                <w:rFonts w:ascii="Arial Narrow" w:hAnsi="Arial Narrow"/>
                <w:sz w:val="20"/>
                <w:szCs w:val="20"/>
                <w:vertAlign w:val="superscript"/>
              </w:rPr>
              <w:t>c</w:t>
            </w:r>
          </w:p>
          <w:p w14:paraId="57B4D0AA" w14:textId="732B603C" w:rsidR="001E2B58" w:rsidRDefault="001E2B58" w:rsidP="0026743D">
            <w:pPr>
              <w:keepNext/>
              <w:jc w:val="center"/>
              <w:rPr>
                <w:rFonts w:ascii="Arial Narrow" w:hAnsi="Arial Narrow"/>
                <w:sz w:val="20"/>
                <w:szCs w:val="20"/>
              </w:rPr>
            </w:pPr>
            <w:r>
              <w:rPr>
                <w:rFonts w:ascii="Arial Narrow" w:hAnsi="Arial Narrow"/>
                <w:sz w:val="20"/>
                <w:szCs w:val="20"/>
              </w:rPr>
              <w:t>Z</w:t>
            </w:r>
            <w:r w:rsidR="00107433">
              <w:rPr>
                <w:rFonts w:ascii="Arial Narrow" w:hAnsi="Arial Narrow"/>
                <w:sz w:val="20"/>
                <w:szCs w:val="20"/>
              </w:rPr>
              <w:t>anubrutinib 17p</w:t>
            </w:r>
            <w:r>
              <w:rPr>
                <w:rFonts w:ascii="Arial Narrow" w:hAnsi="Arial Narrow"/>
                <w:sz w:val="20"/>
                <w:szCs w:val="20"/>
              </w:rPr>
              <w:t xml:space="preserve"> arm</w:t>
            </w:r>
            <w:r w:rsidR="00107433">
              <w:rPr>
                <w:rFonts w:ascii="Arial Narrow" w:hAnsi="Arial Narrow"/>
                <w:sz w:val="20"/>
                <w:szCs w:val="20"/>
              </w:rPr>
              <w:t xml:space="preserve">: </w:t>
            </w:r>
          </w:p>
          <w:p w14:paraId="6DB12DA1" w14:textId="43AB08E8" w:rsidR="00107433" w:rsidRPr="00537233" w:rsidRDefault="00107433" w:rsidP="0026743D">
            <w:pPr>
              <w:keepNext/>
              <w:jc w:val="center"/>
              <w:rPr>
                <w:rFonts w:ascii="Arial Narrow" w:hAnsi="Arial Narrow"/>
                <w:sz w:val="20"/>
                <w:szCs w:val="20"/>
                <w:vertAlign w:val="superscript"/>
              </w:rPr>
            </w:pPr>
            <w:r>
              <w:rPr>
                <w:rFonts w:ascii="Arial Narrow" w:hAnsi="Arial Narrow"/>
                <w:sz w:val="20"/>
                <w:szCs w:val="20"/>
              </w:rPr>
              <w:t>25.9 months</w:t>
            </w:r>
            <w:r w:rsidR="0017583C">
              <w:rPr>
                <w:rFonts w:ascii="Arial Narrow" w:hAnsi="Arial Narrow"/>
                <w:sz w:val="20"/>
                <w:szCs w:val="20"/>
              </w:rPr>
              <w:t xml:space="preserve"> </w:t>
            </w:r>
            <w:r w:rsidR="00537233">
              <w:rPr>
                <w:rFonts w:ascii="Arial Narrow" w:hAnsi="Arial Narrow"/>
                <w:sz w:val="20"/>
                <w:szCs w:val="20"/>
                <w:vertAlign w:val="superscript"/>
              </w:rPr>
              <w:t>c</w:t>
            </w:r>
          </w:p>
        </w:tc>
        <w:tc>
          <w:tcPr>
            <w:tcW w:w="2285" w:type="dxa"/>
            <w:vAlign w:val="center"/>
          </w:tcPr>
          <w:p w14:paraId="413074F8" w14:textId="6A2E6E80" w:rsidR="001B1700" w:rsidRPr="005F1564" w:rsidRDefault="004C5F27" w:rsidP="0026743D">
            <w:pPr>
              <w:keepNext/>
              <w:jc w:val="center"/>
              <w:rPr>
                <w:rFonts w:ascii="Arial Narrow" w:hAnsi="Arial Narrow"/>
                <w:sz w:val="20"/>
                <w:szCs w:val="20"/>
                <w:vertAlign w:val="superscript"/>
              </w:rPr>
            </w:pPr>
            <w:r w:rsidRPr="005F1564">
              <w:rPr>
                <w:rFonts w:ascii="Arial Narrow" w:hAnsi="Arial Narrow"/>
                <w:sz w:val="20"/>
                <w:szCs w:val="20"/>
              </w:rPr>
              <w:t>69.6 months</w:t>
            </w:r>
            <w:r w:rsidR="00F41F78" w:rsidRPr="005F1564">
              <w:rPr>
                <w:rFonts w:ascii="Arial Narrow" w:hAnsi="Arial Narrow"/>
                <w:sz w:val="20"/>
                <w:szCs w:val="20"/>
              </w:rPr>
              <w:t xml:space="preserve"> </w:t>
            </w:r>
            <w:r w:rsidR="00537233" w:rsidRPr="005F1564">
              <w:rPr>
                <w:rFonts w:ascii="Arial Narrow" w:hAnsi="Arial Narrow"/>
                <w:sz w:val="20"/>
                <w:szCs w:val="20"/>
                <w:vertAlign w:val="superscript"/>
              </w:rPr>
              <w:t>d</w:t>
            </w:r>
          </w:p>
        </w:tc>
        <w:tc>
          <w:tcPr>
            <w:tcW w:w="2376" w:type="dxa"/>
            <w:vAlign w:val="center"/>
          </w:tcPr>
          <w:p w14:paraId="7B04351E" w14:textId="1D9B67F7" w:rsidR="001B1700" w:rsidRPr="00CE2971" w:rsidRDefault="000A6329" w:rsidP="0026743D">
            <w:pPr>
              <w:keepNext/>
              <w:jc w:val="center"/>
              <w:rPr>
                <w:rFonts w:ascii="Arial Narrow" w:hAnsi="Arial Narrow"/>
                <w:sz w:val="20"/>
                <w:szCs w:val="20"/>
                <w:vertAlign w:val="superscript"/>
              </w:rPr>
            </w:pPr>
            <w:r w:rsidRPr="00CE2971">
              <w:rPr>
                <w:rFonts w:ascii="Arial Narrow" w:hAnsi="Arial Narrow"/>
                <w:sz w:val="20"/>
                <w:szCs w:val="20"/>
              </w:rPr>
              <w:t>70 months</w:t>
            </w:r>
            <w:r w:rsidR="0017583C" w:rsidRPr="00CE2971">
              <w:rPr>
                <w:rFonts w:ascii="Arial Narrow" w:hAnsi="Arial Narrow"/>
                <w:sz w:val="20"/>
                <w:szCs w:val="20"/>
              </w:rPr>
              <w:t xml:space="preserve"> </w:t>
            </w:r>
            <w:r w:rsidR="00537233" w:rsidRPr="00CE2971">
              <w:rPr>
                <w:rFonts w:ascii="Arial Narrow" w:hAnsi="Arial Narrow"/>
                <w:sz w:val="20"/>
                <w:szCs w:val="20"/>
                <w:vertAlign w:val="superscript"/>
              </w:rPr>
              <w:t>e</w:t>
            </w:r>
            <w:r w:rsidR="00686955" w:rsidRPr="00CE2971">
              <w:rPr>
                <w:rFonts w:ascii="Arial Narrow" w:hAnsi="Arial Narrow"/>
                <w:sz w:val="20"/>
                <w:szCs w:val="20"/>
                <w:vertAlign w:val="superscript"/>
              </w:rPr>
              <w:t>,f</w:t>
            </w:r>
          </w:p>
        </w:tc>
      </w:tr>
      <w:tr w:rsidR="00AF7DE0" w:rsidRPr="002621DD" w14:paraId="1025C32D" w14:textId="77777777" w:rsidTr="001B1700">
        <w:tc>
          <w:tcPr>
            <w:tcW w:w="2137" w:type="dxa"/>
            <w:shd w:val="clear" w:color="auto" w:fill="auto"/>
            <w:vAlign w:val="center"/>
          </w:tcPr>
          <w:p w14:paraId="5346926C" w14:textId="7A8CF87D" w:rsidR="00AF7DE0" w:rsidRPr="00DA447B" w:rsidRDefault="001B1700" w:rsidP="0026743D">
            <w:pPr>
              <w:keepNext/>
              <w:jc w:val="left"/>
              <w:rPr>
                <w:rFonts w:ascii="Arial Narrow" w:hAnsi="Arial Narrow"/>
                <w:sz w:val="20"/>
                <w:szCs w:val="20"/>
                <w:highlight w:val="yellow"/>
              </w:rPr>
            </w:pPr>
            <w:r>
              <w:rPr>
                <w:rFonts w:ascii="Arial Narrow" w:hAnsi="Arial Narrow"/>
                <w:sz w:val="20"/>
                <w:szCs w:val="20"/>
              </w:rPr>
              <w:t>Dose intensity</w:t>
            </w:r>
          </w:p>
        </w:tc>
        <w:tc>
          <w:tcPr>
            <w:tcW w:w="2285" w:type="dxa"/>
            <w:vAlign w:val="center"/>
          </w:tcPr>
          <w:p w14:paraId="60AF524E" w14:textId="77777777" w:rsidR="009D5135" w:rsidRDefault="009D5135" w:rsidP="0026743D">
            <w:pPr>
              <w:keepNext/>
              <w:jc w:val="center"/>
              <w:rPr>
                <w:rFonts w:ascii="Arial Narrow" w:hAnsi="Arial Narrow"/>
                <w:sz w:val="20"/>
                <w:szCs w:val="20"/>
              </w:rPr>
            </w:pPr>
            <w:r>
              <w:rPr>
                <w:rFonts w:ascii="Arial Narrow" w:hAnsi="Arial Narrow"/>
                <w:sz w:val="20"/>
                <w:szCs w:val="20"/>
              </w:rPr>
              <w:t xml:space="preserve">Zanubrutinib non-17p arm: </w:t>
            </w:r>
          </w:p>
          <w:p w14:paraId="19E7B4EA" w14:textId="1A9FA9F8" w:rsidR="009D5135" w:rsidRDefault="009D5135" w:rsidP="0026743D">
            <w:pPr>
              <w:keepNext/>
              <w:jc w:val="center"/>
              <w:rPr>
                <w:rFonts w:ascii="Arial Narrow" w:hAnsi="Arial Narrow"/>
                <w:sz w:val="20"/>
                <w:szCs w:val="20"/>
              </w:rPr>
            </w:pPr>
            <w:r w:rsidRPr="009D5135">
              <w:rPr>
                <w:rFonts w:ascii="Arial Narrow" w:hAnsi="Arial Narrow"/>
                <w:sz w:val="20"/>
                <w:szCs w:val="20"/>
              </w:rPr>
              <w:t>9</w:t>
            </w:r>
            <w:r w:rsidR="00CD3A11">
              <w:rPr>
                <w:rFonts w:ascii="Arial Narrow" w:hAnsi="Arial Narrow"/>
                <w:sz w:val="20"/>
                <w:szCs w:val="20"/>
              </w:rPr>
              <w:t>4</w:t>
            </w:r>
            <w:r w:rsidRPr="009D5135">
              <w:rPr>
                <w:rFonts w:ascii="Arial Narrow" w:hAnsi="Arial Narrow"/>
                <w:sz w:val="20"/>
                <w:szCs w:val="20"/>
              </w:rPr>
              <w:t>.</w:t>
            </w:r>
            <w:r w:rsidR="00CD3A11">
              <w:rPr>
                <w:rFonts w:ascii="Arial Narrow" w:hAnsi="Arial Narrow"/>
                <w:sz w:val="20"/>
                <w:szCs w:val="20"/>
              </w:rPr>
              <w:t>85</w:t>
            </w:r>
            <w:r w:rsidRPr="009D5135">
              <w:rPr>
                <w:rFonts w:ascii="Arial Narrow" w:hAnsi="Arial Narrow"/>
                <w:sz w:val="20"/>
                <w:szCs w:val="20"/>
              </w:rPr>
              <w:t>%</w:t>
            </w:r>
          </w:p>
          <w:p w14:paraId="218DD2C9" w14:textId="7A48481C" w:rsidR="009D5135" w:rsidRDefault="009D5135" w:rsidP="0026743D">
            <w:pPr>
              <w:keepNext/>
              <w:jc w:val="center"/>
              <w:rPr>
                <w:rFonts w:ascii="Arial Narrow" w:hAnsi="Arial Narrow"/>
                <w:sz w:val="20"/>
                <w:szCs w:val="20"/>
              </w:rPr>
            </w:pPr>
            <w:r>
              <w:rPr>
                <w:rFonts w:ascii="Arial Narrow" w:hAnsi="Arial Narrow"/>
                <w:sz w:val="20"/>
                <w:szCs w:val="20"/>
              </w:rPr>
              <w:t xml:space="preserve">Zanubrutinib 17p arm: </w:t>
            </w:r>
          </w:p>
          <w:p w14:paraId="556C1326" w14:textId="2B443F49" w:rsidR="00AF7DE0" w:rsidRPr="00DA447B" w:rsidRDefault="00CD3A11" w:rsidP="0026743D">
            <w:pPr>
              <w:keepNext/>
              <w:jc w:val="center"/>
              <w:rPr>
                <w:rFonts w:ascii="Arial Narrow" w:hAnsi="Arial Narrow"/>
                <w:sz w:val="20"/>
                <w:szCs w:val="20"/>
                <w:highlight w:val="yellow"/>
              </w:rPr>
            </w:pPr>
            <w:r>
              <w:rPr>
                <w:rFonts w:ascii="Arial Narrow" w:hAnsi="Arial Narrow"/>
                <w:sz w:val="20"/>
                <w:szCs w:val="20"/>
              </w:rPr>
              <w:t>95.16%</w:t>
            </w:r>
          </w:p>
        </w:tc>
        <w:tc>
          <w:tcPr>
            <w:tcW w:w="2285" w:type="dxa"/>
            <w:vAlign w:val="center"/>
          </w:tcPr>
          <w:p w14:paraId="2E277172" w14:textId="4CA6C681" w:rsidR="00AF7DE0" w:rsidRPr="005F1564" w:rsidRDefault="004C5F27" w:rsidP="0026743D">
            <w:pPr>
              <w:keepNext/>
              <w:jc w:val="center"/>
              <w:rPr>
                <w:rFonts w:ascii="Arial Narrow" w:hAnsi="Arial Narrow"/>
                <w:sz w:val="20"/>
                <w:szCs w:val="20"/>
                <w:vertAlign w:val="superscript"/>
              </w:rPr>
            </w:pPr>
            <w:r w:rsidRPr="005F1564">
              <w:rPr>
                <w:rFonts w:ascii="Arial Narrow" w:hAnsi="Arial Narrow"/>
                <w:sz w:val="20"/>
                <w:szCs w:val="20"/>
              </w:rPr>
              <w:t>94.95%</w:t>
            </w:r>
            <w:r w:rsidR="00537233" w:rsidRPr="005F1564">
              <w:rPr>
                <w:rFonts w:ascii="Arial Narrow" w:hAnsi="Arial Narrow"/>
                <w:sz w:val="20"/>
                <w:szCs w:val="20"/>
              </w:rPr>
              <w:t xml:space="preserve"> </w:t>
            </w:r>
            <w:r w:rsidR="007451EC" w:rsidRPr="005F1564">
              <w:rPr>
                <w:rFonts w:ascii="Arial Narrow" w:hAnsi="Arial Narrow"/>
                <w:sz w:val="20"/>
                <w:szCs w:val="20"/>
                <w:vertAlign w:val="superscript"/>
              </w:rPr>
              <w:t>g</w:t>
            </w:r>
          </w:p>
        </w:tc>
        <w:tc>
          <w:tcPr>
            <w:tcW w:w="2376" w:type="dxa"/>
            <w:vAlign w:val="center"/>
          </w:tcPr>
          <w:p w14:paraId="3A37F7AF" w14:textId="41609D96" w:rsidR="00AF7DE0" w:rsidRPr="00CE2971" w:rsidRDefault="001B1700" w:rsidP="0026743D">
            <w:pPr>
              <w:keepNext/>
              <w:jc w:val="center"/>
              <w:rPr>
                <w:rFonts w:ascii="Arial Narrow" w:hAnsi="Arial Narrow"/>
                <w:sz w:val="20"/>
                <w:szCs w:val="20"/>
              </w:rPr>
            </w:pPr>
            <w:r w:rsidRPr="00CE2971">
              <w:rPr>
                <w:rFonts w:ascii="Arial Narrow" w:hAnsi="Arial Narrow"/>
                <w:sz w:val="20"/>
                <w:szCs w:val="20"/>
              </w:rPr>
              <w:t>100%</w:t>
            </w:r>
          </w:p>
        </w:tc>
      </w:tr>
      <w:tr w:rsidR="00AF7DE0" w:rsidRPr="002621DD" w14:paraId="0E23B96F" w14:textId="77777777" w:rsidTr="001B1700">
        <w:trPr>
          <w:trHeight w:val="148"/>
        </w:trPr>
        <w:tc>
          <w:tcPr>
            <w:tcW w:w="2137" w:type="dxa"/>
            <w:vAlign w:val="center"/>
          </w:tcPr>
          <w:p w14:paraId="13BD5D95" w14:textId="3FDD8F4C" w:rsidR="00AF7DE0" w:rsidRDefault="00AF7DE0" w:rsidP="0026743D">
            <w:pPr>
              <w:keepNext/>
              <w:jc w:val="left"/>
              <w:rPr>
                <w:rFonts w:ascii="Arial Narrow" w:hAnsi="Arial Narrow"/>
                <w:sz w:val="20"/>
                <w:szCs w:val="20"/>
              </w:rPr>
            </w:pPr>
            <w:r w:rsidRPr="00530862">
              <w:rPr>
                <w:rFonts w:ascii="Arial Narrow" w:hAnsi="Arial Narrow"/>
                <w:sz w:val="20"/>
                <w:szCs w:val="20"/>
              </w:rPr>
              <w:t xml:space="preserve">Cost per </w:t>
            </w:r>
            <w:r w:rsidR="001B1700">
              <w:rPr>
                <w:rFonts w:ascii="Arial Narrow" w:hAnsi="Arial Narrow"/>
                <w:sz w:val="20"/>
                <w:szCs w:val="20"/>
              </w:rPr>
              <w:t>course</w:t>
            </w:r>
          </w:p>
        </w:tc>
        <w:tc>
          <w:tcPr>
            <w:tcW w:w="2285" w:type="dxa"/>
            <w:vAlign w:val="center"/>
          </w:tcPr>
          <w:p w14:paraId="62BBD480" w14:textId="77777777" w:rsidR="00AF7DE0" w:rsidRPr="00DA447B" w:rsidRDefault="00AF7DE0" w:rsidP="0026743D">
            <w:pPr>
              <w:keepNext/>
              <w:jc w:val="center"/>
              <w:rPr>
                <w:rFonts w:ascii="Arial Narrow" w:hAnsi="Arial Narrow"/>
                <w:sz w:val="20"/>
                <w:szCs w:val="20"/>
                <w:highlight w:val="yellow"/>
              </w:rPr>
            </w:pPr>
            <w:r w:rsidRPr="00530862">
              <w:rPr>
                <w:rFonts w:ascii="Arial Narrow" w:hAnsi="Arial Narrow"/>
                <w:sz w:val="20"/>
                <w:szCs w:val="20"/>
              </w:rPr>
              <w:t>-</w:t>
            </w:r>
          </w:p>
        </w:tc>
        <w:tc>
          <w:tcPr>
            <w:tcW w:w="2285" w:type="dxa"/>
            <w:vAlign w:val="center"/>
          </w:tcPr>
          <w:p w14:paraId="154047E4" w14:textId="061CA251" w:rsidR="00AF7DE0" w:rsidRPr="005F1564" w:rsidRDefault="00AF24EF" w:rsidP="0026743D">
            <w:pPr>
              <w:keepNext/>
              <w:jc w:val="center"/>
              <w:rPr>
                <w:rFonts w:ascii="Arial Narrow" w:hAnsi="Arial Narrow"/>
                <w:sz w:val="20"/>
                <w:szCs w:val="20"/>
              </w:rPr>
            </w:pPr>
            <w:r w:rsidRPr="005F1564">
              <w:rPr>
                <w:rFonts w:ascii="Arial Narrow" w:hAnsi="Arial Narrow"/>
                <w:sz w:val="20"/>
                <w:szCs w:val="20"/>
              </w:rPr>
              <w:t>$</w:t>
            </w:r>
            <w:r w:rsidR="009D248A" w:rsidRPr="000C2812">
              <w:rPr>
                <w:rFonts w:ascii="Arial Narrow" w:hAnsi="Arial Narrow" w:hint="eastAsia"/>
                <w:color w:val="000000"/>
                <w:w w:val="18"/>
                <w:sz w:val="20"/>
                <w:szCs w:val="20"/>
                <w:shd w:val="solid" w:color="000000" w:fill="000000"/>
                <w:fitText w:val="80" w:id="-1229257984"/>
                <w14:textFill>
                  <w14:solidFill>
                    <w14:srgbClr w14:val="000000">
                      <w14:alpha w14:val="100000"/>
                    </w14:srgbClr>
                  </w14:solidFill>
                </w14:textFill>
              </w:rPr>
              <w:t xml:space="preserve">　</w:t>
            </w:r>
            <w:r w:rsidR="009D248A" w:rsidRPr="000C2812">
              <w:rPr>
                <w:rFonts w:ascii="Arial Narrow" w:hAnsi="Arial Narrow"/>
                <w:color w:val="000000"/>
                <w:w w:val="18"/>
                <w:sz w:val="20"/>
                <w:szCs w:val="20"/>
                <w:shd w:val="solid" w:color="000000" w:fill="000000"/>
                <w:fitText w:val="80" w:id="-1229257984"/>
                <w14:textFill>
                  <w14:solidFill>
                    <w14:srgbClr w14:val="000000">
                      <w14:alpha w14:val="100000"/>
                    </w14:srgbClr>
                  </w14:solidFill>
                </w14:textFill>
              </w:rPr>
              <w:t>|</w:t>
            </w:r>
            <w:r w:rsidR="009D248A" w:rsidRPr="000C2812">
              <w:rPr>
                <w:rFonts w:ascii="Arial Narrow" w:hAnsi="Arial Narrow" w:hint="eastAsia"/>
                <w:color w:val="000000"/>
                <w:w w:val="18"/>
                <w:sz w:val="20"/>
                <w:szCs w:val="20"/>
                <w:shd w:val="solid" w:color="000000" w:fill="000000"/>
                <w:fitText w:val="80" w:id="-1229257984"/>
                <w14:textFill>
                  <w14:solidFill>
                    <w14:srgbClr w14:val="000000">
                      <w14:alpha w14:val="100000"/>
                    </w14:srgbClr>
                  </w14:solidFill>
                </w14:textFill>
              </w:rPr>
              <w:t xml:space="preserve">　</w:t>
            </w:r>
          </w:p>
        </w:tc>
        <w:tc>
          <w:tcPr>
            <w:tcW w:w="2376" w:type="dxa"/>
            <w:vAlign w:val="center"/>
          </w:tcPr>
          <w:p w14:paraId="5E12B12B" w14:textId="35FB454C" w:rsidR="00AF7DE0" w:rsidRPr="00CE2971" w:rsidRDefault="00A66FBF" w:rsidP="0026743D">
            <w:pPr>
              <w:keepNext/>
              <w:jc w:val="center"/>
              <w:rPr>
                <w:rFonts w:ascii="Arial Narrow" w:hAnsi="Arial Narrow"/>
                <w:sz w:val="20"/>
                <w:szCs w:val="20"/>
              </w:rPr>
            </w:pPr>
            <w:r w:rsidRPr="00CE2971">
              <w:rPr>
                <w:rFonts w:ascii="Arial Narrow" w:hAnsi="Arial Narrow"/>
                <w:sz w:val="20"/>
                <w:szCs w:val="20"/>
              </w:rPr>
              <w:t>$615,619.90</w:t>
            </w:r>
          </w:p>
        </w:tc>
      </w:tr>
      <w:bookmarkEnd w:id="68"/>
      <w:tr w:rsidR="00AF7DE0" w:rsidRPr="002621DD" w14:paraId="5DFBA013" w14:textId="77777777" w:rsidTr="001B1700">
        <w:tc>
          <w:tcPr>
            <w:tcW w:w="9083" w:type="dxa"/>
            <w:gridSpan w:val="4"/>
            <w:vAlign w:val="center"/>
          </w:tcPr>
          <w:p w14:paraId="09DC281D" w14:textId="77777777" w:rsidR="00AF7DE0" w:rsidRPr="00CE2971" w:rsidRDefault="00AF7DE0" w:rsidP="0026743D">
            <w:pPr>
              <w:keepNext/>
              <w:jc w:val="left"/>
              <w:rPr>
                <w:rFonts w:ascii="Arial Narrow" w:hAnsi="Arial Narrow"/>
                <w:b/>
                <w:bCs/>
                <w:sz w:val="20"/>
                <w:szCs w:val="20"/>
              </w:rPr>
            </w:pPr>
            <w:r w:rsidRPr="00CE2971">
              <w:rPr>
                <w:rFonts w:ascii="Arial Narrow" w:hAnsi="Arial Narrow"/>
                <w:b/>
                <w:bCs/>
                <w:sz w:val="20"/>
                <w:szCs w:val="20"/>
              </w:rPr>
              <w:t>Venetoclax + obinutuzumab</w:t>
            </w:r>
          </w:p>
        </w:tc>
      </w:tr>
      <w:tr w:rsidR="00AF7DE0" w:rsidRPr="002621DD" w14:paraId="342792A1" w14:textId="77777777" w:rsidTr="001B1700">
        <w:tc>
          <w:tcPr>
            <w:tcW w:w="9083" w:type="dxa"/>
            <w:gridSpan w:val="4"/>
            <w:vAlign w:val="center"/>
          </w:tcPr>
          <w:p w14:paraId="1938D3F1" w14:textId="77777777" w:rsidR="00AF7DE0" w:rsidRPr="00CE2971" w:rsidRDefault="00AF7DE0" w:rsidP="0026743D">
            <w:pPr>
              <w:keepNext/>
              <w:jc w:val="left"/>
              <w:rPr>
                <w:rFonts w:ascii="Arial Narrow" w:hAnsi="Arial Narrow"/>
                <w:b/>
                <w:bCs/>
                <w:smallCaps/>
                <w:sz w:val="20"/>
                <w:szCs w:val="20"/>
              </w:rPr>
            </w:pPr>
            <w:r w:rsidRPr="00CE2971">
              <w:rPr>
                <w:rFonts w:ascii="Arial Narrow" w:hAnsi="Arial Narrow"/>
                <w:b/>
                <w:bCs/>
                <w:smallCaps/>
                <w:sz w:val="20"/>
                <w:szCs w:val="20"/>
              </w:rPr>
              <w:t>venetoclax</w:t>
            </w:r>
          </w:p>
        </w:tc>
      </w:tr>
      <w:tr w:rsidR="00AF7DE0" w:rsidRPr="002621DD" w14:paraId="729CE7D5" w14:textId="77777777" w:rsidTr="001B1700">
        <w:tc>
          <w:tcPr>
            <w:tcW w:w="2137" w:type="dxa"/>
            <w:vAlign w:val="center"/>
          </w:tcPr>
          <w:p w14:paraId="6D30E84D" w14:textId="17668471" w:rsidR="00AF7DE0" w:rsidRPr="00DA447B" w:rsidRDefault="00AF7DE0" w:rsidP="0026743D">
            <w:pPr>
              <w:keepNext/>
              <w:jc w:val="left"/>
              <w:rPr>
                <w:rFonts w:ascii="Arial Narrow" w:hAnsi="Arial Narrow"/>
                <w:sz w:val="20"/>
                <w:szCs w:val="20"/>
                <w:highlight w:val="yellow"/>
              </w:rPr>
            </w:pPr>
            <w:r w:rsidRPr="00C277DB">
              <w:rPr>
                <w:rFonts w:ascii="Arial Narrow" w:hAnsi="Arial Narrow"/>
                <w:sz w:val="20"/>
                <w:szCs w:val="20"/>
              </w:rPr>
              <w:t xml:space="preserve">Cost per </w:t>
            </w:r>
            <w:r>
              <w:rPr>
                <w:rFonts w:ascii="Arial Narrow" w:hAnsi="Arial Narrow"/>
                <w:sz w:val="20"/>
                <w:szCs w:val="20"/>
              </w:rPr>
              <w:t>script</w:t>
            </w:r>
          </w:p>
        </w:tc>
        <w:tc>
          <w:tcPr>
            <w:tcW w:w="2285" w:type="dxa"/>
            <w:vAlign w:val="center"/>
          </w:tcPr>
          <w:p w14:paraId="084CCC8F" w14:textId="77777777" w:rsidR="00AF7DE0" w:rsidRPr="00DA447B" w:rsidRDefault="00AF7DE0" w:rsidP="0026743D">
            <w:pPr>
              <w:keepNext/>
              <w:jc w:val="center"/>
              <w:rPr>
                <w:rFonts w:ascii="Arial Narrow" w:hAnsi="Arial Narrow"/>
                <w:sz w:val="20"/>
                <w:szCs w:val="20"/>
                <w:highlight w:val="yellow"/>
              </w:rPr>
            </w:pPr>
            <w:r w:rsidRPr="00DE12D1">
              <w:rPr>
                <w:rFonts w:ascii="Arial Narrow" w:hAnsi="Arial Narrow"/>
                <w:sz w:val="20"/>
                <w:szCs w:val="20"/>
              </w:rPr>
              <w:t>-</w:t>
            </w:r>
          </w:p>
        </w:tc>
        <w:tc>
          <w:tcPr>
            <w:tcW w:w="2285" w:type="dxa"/>
            <w:vAlign w:val="center"/>
          </w:tcPr>
          <w:p w14:paraId="44934D47" w14:textId="0D96A471" w:rsidR="00096454" w:rsidRPr="00F123C5" w:rsidRDefault="00096454" w:rsidP="0026743D">
            <w:pPr>
              <w:keepNext/>
              <w:jc w:val="center"/>
              <w:rPr>
                <w:rFonts w:ascii="Arial Narrow" w:hAnsi="Arial Narrow"/>
                <w:sz w:val="20"/>
                <w:szCs w:val="20"/>
                <w:vertAlign w:val="superscript"/>
              </w:rPr>
            </w:pPr>
            <w:r w:rsidRPr="001E08BA">
              <w:rPr>
                <w:rFonts w:ascii="Arial Narrow" w:hAnsi="Arial Narrow"/>
                <w:sz w:val="20"/>
                <w:szCs w:val="20"/>
              </w:rPr>
              <w:t>Starter pack</w:t>
            </w:r>
            <w:r w:rsidR="00071C39">
              <w:rPr>
                <w:rFonts w:ascii="Arial Narrow" w:hAnsi="Arial Narrow"/>
                <w:sz w:val="20"/>
                <w:szCs w:val="20"/>
              </w:rPr>
              <w:t xml:space="preserve"> (AEMP)</w:t>
            </w:r>
            <w:r w:rsidRPr="001E08BA">
              <w:rPr>
                <w:rFonts w:ascii="Arial Narrow" w:hAnsi="Arial Narrow"/>
                <w:sz w:val="20"/>
                <w:szCs w:val="20"/>
              </w:rPr>
              <w:t xml:space="preserve">: </w:t>
            </w:r>
            <w:r w:rsidR="00AF24EF" w:rsidRPr="00AF24EF">
              <w:rPr>
                <w:rFonts w:ascii="Arial Narrow" w:hAnsi="Arial Narrow"/>
                <w:sz w:val="20"/>
                <w:szCs w:val="20"/>
              </w:rPr>
              <w:t>$1,645.30</w:t>
            </w:r>
            <w:r w:rsidR="00F123C5">
              <w:rPr>
                <w:rFonts w:ascii="Arial Narrow" w:hAnsi="Arial Narrow"/>
                <w:sz w:val="20"/>
                <w:szCs w:val="20"/>
              </w:rPr>
              <w:t xml:space="preserve"> </w:t>
            </w:r>
          </w:p>
          <w:p w14:paraId="055043B9" w14:textId="336D59F1" w:rsidR="00AF7DE0" w:rsidRPr="00DA447B" w:rsidRDefault="00096454" w:rsidP="0026743D">
            <w:pPr>
              <w:keepNext/>
              <w:jc w:val="center"/>
              <w:rPr>
                <w:rFonts w:ascii="Arial Narrow" w:hAnsi="Arial Narrow"/>
                <w:sz w:val="20"/>
                <w:szCs w:val="20"/>
                <w:highlight w:val="yellow"/>
              </w:rPr>
            </w:pPr>
            <w:r w:rsidRPr="001E08BA">
              <w:rPr>
                <w:rFonts w:ascii="Arial Narrow" w:hAnsi="Arial Narrow"/>
                <w:sz w:val="20"/>
                <w:szCs w:val="20"/>
              </w:rPr>
              <w:t>Continuing pack</w:t>
            </w:r>
            <w:r w:rsidR="00071C39">
              <w:rPr>
                <w:rFonts w:ascii="Arial Narrow" w:hAnsi="Arial Narrow"/>
                <w:sz w:val="20"/>
                <w:szCs w:val="20"/>
              </w:rPr>
              <w:t xml:space="preserve"> (AEMP)</w:t>
            </w:r>
            <w:r w:rsidRPr="001E08BA">
              <w:rPr>
                <w:rFonts w:ascii="Arial Narrow" w:hAnsi="Arial Narrow"/>
                <w:sz w:val="20"/>
                <w:szCs w:val="20"/>
              </w:rPr>
              <w:t>:</w:t>
            </w:r>
            <w:r w:rsidR="009D0EF8">
              <w:rPr>
                <w:rFonts w:ascii="Arial Narrow" w:hAnsi="Arial Narrow"/>
                <w:sz w:val="20"/>
                <w:szCs w:val="20"/>
              </w:rPr>
              <w:t xml:space="preserve"> </w:t>
            </w:r>
            <w:r w:rsidR="009D0EF8" w:rsidRPr="009D0EF8">
              <w:rPr>
                <w:rFonts w:ascii="Arial Narrow" w:hAnsi="Arial Narrow"/>
                <w:sz w:val="20"/>
                <w:szCs w:val="20"/>
              </w:rPr>
              <w:t>$7,623.02</w:t>
            </w:r>
            <w:r w:rsidR="00F123C5">
              <w:rPr>
                <w:rFonts w:ascii="Arial Narrow" w:hAnsi="Arial Narrow"/>
                <w:sz w:val="20"/>
                <w:szCs w:val="20"/>
              </w:rPr>
              <w:t xml:space="preserve"> </w:t>
            </w:r>
          </w:p>
        </w:tc>
        <w:tc>
          <w:tcPr>
            <w:tcW w:w="2376" w:type="dxa"/>
            <w:vAlign w:val="center"/>
          </w:tcPr>
          <w:p w14:paraId="7342C567" w14:textId="2F9CEA39" w:rsidR="00AF7DE0" w:rsidRPr="00CE2971" w:rsidRDefault="00AF7DE0" w:rsidP="0026743D">
            <w:pPr>
              <w:keepNext/>
              <w:jc w:val="center"/>
              <w:rPr>
                <w:rFonts w:ascii="Arial Narrow" w:hAnsi="Arial Narrow"/>
                <w:sz w:val="20"/>
                <w:szCs w:val="20"/>
              </w:rPr>
            </w:pPr>
            <w:r w:rsidRPr="00CE2971">
              <w:rPr>
                <w:rFonts w:ascii="Arial Narrow" w:hAnsi="Arial Narrow"/>
                <w:sz w:val="20"/>
                <w:szCs w:val="20"/>
              </w:rPr>
              <w:t>Starter pack</w:t>
            </w:r>
            <w:r w:rsidR="00071C39" w:rsidRPr="00CE2971">
              <w:rPr>
                <w:rFonts w:ascii="Arial Narrow" w:hAnsi="Arial Narrow"/>
                <w:sz w:val="20"/>
                <w:szCs w:val="20"/>
              </w:rPr>
              <w:t xml:space="preserve"> (DPMQ)</w:t>
            </w:r>
            <w:r w:rsidRPr="00CE2971">
              <w:rPr>
                <w:rFonts w:ascii="Arial Narrow" w:hAnsi="Arial Narrow"/>
                <w:sz w:val="20"/>
                <w:szCs w:val="20"/>
              </w:rPr>
              <w:t xml:space="preserve">: </w:t>
            </w:r>
            <w:r w:rsidR="008E1FA3" w:rsidRPr="00CE2971">
              <w:rPr>
                <w:rFonts w:ascii="Arial Narrow" w:hAnsi="Arial Narrow"/>
                <w:sz w:val="20"/>
                <w:szCs w:val="20"/>
              </w:rPr>
              <w:t>$1,791.55</w:t>
            </w:r>
            <w:r w:rsidR="00F123C5" w:rsidRPr="00CE2971">
              <w:rPr>
                <w:rFonts w:ascii="Arial Narrow" w:hAnsi="Arial Narrow"/>
                <w:sz w:val="20"/>
                <w:szCs w:val="20"/>
              </w:rPr>
              <w:t xml:space="preserve"> </w:t>
            </w:r>
          </w:p>
          <w:p w14:paraId="639BFF45" w14:textId="04B7E958" w:rsidR="00AF7DE0" w:rsidRPr="00CE2971" w:rsidRDefault="00AF7DE0" w:rsidP="0026743D">
            <w:pPr>
              <w:keepNext/>
              <w:jc w:val="center"/>
              <w:rPr>
                <w:rFonts w:ascii="Arial Narrow" w:hAnsi="Arial Narrow"/>
                <w:sz w:val="20"/>
                <w:szCs w:val="20"/>
              </w:rPr>
            </w:pPr>
            <w:r w:rsidRPr="00CE2971">
              <w:rPr>
                <w:rFonts w:ascii="Arial Narrow" w:hAnsi="Arial Narrow"/>
                <w:sz w:val="20"/>
                <w:szCs w:val="20"/>
              </w:rPr>
              <w:t>Continuing pack</w:t>
            </w:r>
            <w:r w:rsidR="00071C39" w:rsidRPr="00CE2971">
              <w:rPr>
                <w:rFonts w:ascii="Arial Narrow" w:hAnsi="Arial Narrow"/>
                <w:sz w:val="20"/>
                <w:szCs w:val="20"/>
              </w:rPr>
              <w:t xml:space="preserve"> (DPMQ)</w:t>
            </w:r>
            <w:r w:rsidRPr="00CE2971">
              <w:rPr>
                <w:rFonts w:ascii="Arial Narrow" w:hAnsi="Arial Narrow"/>
                <w:sz w:val="20"/>
                <w:szCs w:val="20"/>
              </w:rPr>
              <w:t xml:space="preserve">: </w:t>
            </w:r>
            <w:r w:rsidR="008E1FA3" w:rsidRPr="00CE2971">
              <w:rPr>
                <w:rFonts w:ascii="Arial Narrow" w:hAnsi="Arial Narrow"/>
                <w:sz w:val="20"/>
                <w:szCs w:val="20"/>
              </w:rPr>
              <w:t>$7,784.30</w:t>
            </w:r>
            <w:r w:rsidR="00F123C5" w:rsidRPr="00CE2971">
              <w:rPr>
                <w:rFonts w:ascii="Arial Narrow" w:hAnsi="Arial Narrow"/>
                <w:sz w:val="20"/>
                <w:szCs w:val="20"/>
              </w:rPr>
              <w:t xml:space="preserve"> </w:t>
            </w:r>
          </w:p>
        </w:tc>
      </w:tr>
      <w:tr w:rsidR="00AF7DE0" w:rsidRPr="002621DD" w14:paraId="407BD4FC" w14:textId="77777777" w:rsidTr="001B1700">
        <w:tc>
          <w:tcPr>
            <w:tcW w:w="2137" w:type="dxa"/>
            <w:vAlign w:val="center"/>
          </w:tcPr>
          <w:p w14:paraId="0876DA8E" w14:textId="674BD3B0" w:rsidR="00AF7DE0" w:rsidRPr="00E50E7A" w:rsidRDefault="00AF7DE0" w:rsidP="0026743D">
            <w:pPr>
              <w:keepNext/>
              <w:jc w:val="left"/>
              <w:rPr>
                <w:rFonts w:ascii="Arial Narrow" w:hAnsi="Arial Narrow"/>
                <w:sz w:val="20"/>
                <w:szCs w:val="20"/>
                <w:vertAlign w:val="superscript"/>
              </w:rPr>
            </w:pPr>
            <w:r>
              <w:rPr>
                <w:rFonts w:ascii="Arial Narrow" w:hAnsi="Arial Narrow"/>
                <w:sz w:val="20"/>
                <w:szCs w:val="20"/>
              </w:rPr>
              <w:t>Compliance</w:t>
            </w:r>
            <w:r w:rsidR="00E50E7A">
              <w:rPr>
                <w:rFonts w:ascii="Arial Narrow" w:hAnsi="Arial Narrow"/>
                <w:sz w:val="20"/>
                <w:szCs w:val="20"/>
              </w:rPr>
              <w:t xml:space="preserve"> </w:t>
            </w:r>
            <w:r w:rsidR="007451EC">
              <w:rPr>
                <w:rFonts w:ascii="Arial Narrow" w:hAnsi="Arial Narrow"/>
                <w:sz w:val="20"/>
                <w:szCs w:val="20"/>
                <w:vertAlign w:val="superscript"/>
              </w:rPr>
              <w:t>h</w:t>
            </w:r>
          </w:p>
        </w:tc>
        <w:tc>
          <w:tcPr>
            <w:tcW w:w="2285" w:type="dxa"/>
            <w:vAlign w:val="center"/>
          </w:tcPr>
          <w:p w14:paraId="6CEEE856" w14:textId="77777777" w:rsidR="00071C39" w:rsidRPr="003B4C37" w:rsidRDefault="00071C39" w:rsidP="0026743D">
            <w:pPr>
              <w:keepNext/>
              <w:jc w:val="center"/>
              <w:rPr>
                <w:rFonts w:ascii="Arial Narrow" w:hAnsi="Arial Narrow"/>
                <w:sz w:val="20"/>
                <w:szCs w:val="20"/>
                <w:vertAlign w:val="superscript"/>
              </w:rPr>
            </w:pPr>
            <w:r>
              <w:rPr>
                <w:rFonts w:ascii="Arial Narrow" w:hAnsi="Arial Narrow"/>
                <w:sz w:val="20"/>
                <w:szCs w:val="20"/>
              </w:rPr>
              <w:t>Starter pack: 1</w:t>
            </w:r>
          </w:p>
          <w:p w14:paraId="52AB3CF2" w14:textId="24541D96" w:rsidR="00AF7DE0" w:rsidRPr="00DA447B" w:rsidRDefault="00071C39" w:rsidP="0026743D">
            <w:pPr>
              <w:keepNext/>
              <w:jc w:val="center"/>
              <w:rPr>
                <w:rFonts w:ascii="Arial Narrow" w:hAnsi="Arial Narrow"/>
                <w:sz w:val="20"/>
                <w:szCs w:val="20"/>
                <w:highlight w:val="yellow"/>
              </w:rPr>
            </w:pPr>
            <w:r>
              <w:rPr>
                <w:rFonts w:ascii="Arial Narrow" w:hAnsi="Arial Narrow"/>
                <w:sz w:val="20"/>
                <w:szCs w:val="20"/>
              </w:rPr>
              <w:t>Continuing pack: 8.67</w:t>
            </w:r>
          </w:p>
        </w:tc>
        <w:tc>
          <w:tcPr>
            <w:tcW w:w="2285" w:type="dxa"/>
            <w:vAlign w:val="center"/>
          </w:tcPr>
          <w:p w14:paraId="0E4DF512" w14:textId="2779DAF6" w:rsidR="00AF7DE0" w:rsidRPr="003B4C37" w:rsidRDefault="00AF7DE0" w:rsidP="0026743D">
            <w:pPr>
              <w:keepNext/>
              <w:jc w:val="center"/>
              <w:rPr>
                <w:rFonts w:ascii="Arial Narrow" w:hAnsi="Arial Narrow"/>
                <w:sz w:val="20"/>
                <w:szCs w:val="20"/>
                <w:vertAlign w:val="superscript"/>
              </w:rPr>
            </w:pPr>
            <w:r>
              <w:rPr>
                <w:rFonts w:ascii="Arial Narrow" w:hAnsi="Arial Narrow"/>
                <w:sz w:val="20"/>
                <w:szCs w:val="20"/>
              </w:rPr>
              <w:t xml:space="preserve">Starter pack: </w:t>
            </w:r>
            <w:r w:rsidR="009D0EF8">
              <w:rPr>
                <w:rFonts w:ascii="Arial Narrow" w:hAnsi="Arial Narrow"/>
                <w:sz w:val="20"/>
                <w:szCs w:val="20"/>
              </w:rPr>
              <w:t>1</w:t>
            </w:r>
          </w:p>
          <w:p w14:paraId="5FBF6F41" w14:textId="6D11808A" w:rsidR="00AF7DE0" w:rsidRPr="00D24400" w:rsidRDefault="00AF7DE0" w:rsidP="0026743D">
            <w:pPr>
              <w:keepNext/>
              <w:jc w:val="center"/>
              <w:rPr>
                <w:rFonts w:ascii="Arial Narrow" w:hAnsi="Arial Narrow"/>
                <w:sz w:val="20"/>
                <w:szCs w:val="20"/>
                <w:vertAlign w:val="superscript"/>
              </w:rPr>
            </w:pPr>
            <w:r>
              <w:rPr>
                <w:rFonts w:ascii="Arial Narrow" w:hAnsi="Arial Narrow"/>
                <w:sz w:val="20"/>
                <w:szCs w:val="20"/>
              </w:rPr>
              <w:t xml:space="preserve">Continuing pack: </w:t>
            </w:r>
            <w:r w:rsidR="009D0EF8">
              <w:rPr>
                <w:rFonts w:ascii="Arial Narrow" w:hAnsi="Arial Narrow"/>
                <w:sz w:val="20"/>
                <w:szCs w:val="20"/>
              </w:rPr>
              <w:t>8.67</w:t>
            </w:r>
          </w:p>
        </w:tc>
        <w:tc>
          <w:tcPr>
            <w:tcW w:w="2376" w:type="dxa"/>
            <w:vAlign w:val="center"/>
          </w:tcPr>
          <w:p w14:paraId="4881E853" w14:textId="77777777" w:rsidR="00202D1D" w:rsidRPr="00CE2971" w:rsidRDefault="00202D1D" w:rsidP="0026743D">
            <w:pPr>
              <w:keepNext/>
              <w:jc w:val="center"/>
              <w:rPr>
                <w:rFonts w:ascii="Arial Narrow" w:hAnsi="Arial Narrow"/>
                <w:sz w:val="20"/>
                <w:szCs w:val="20"/>
                <w:vertAlign w:val="superscript"/>
              </w:rPr>
            </w:pPr>
            <w:r w:rsidRPr="00CE2971">
              <w:rPr>
                <w:rFonts w:ascii="Arial Narrow" w:hAnsi="Arial Narrow"/>
                <w:sz w:val="20"/>
                <w:szCs w:val="20"/>
              </w:rPr>
              <w:t>Starter pack: 1</w:t>
            </w:r>
          </w:p>
          <w:p w14:paraId="2467E2FD" w14:textId="3ABAA34D" w:rsidR="00AF7DE0" w:rsidRPr="00CE2971" w:rsidRDefault="00202D1D" w:rsidP="0026743D">
            <w:pPr>
              <w:keepNext/>
              <w:jc w:val="center"/>
              <w:rPr>
                <w:rFonts w:ascii="Arial Narrow" w:hAnsi="Arial Narrow"/>
                <w:sz w:val="20"/>
                <w:szCs w:val="20"/>
              </w:rPr>
            </w:pPr>
            <w:r w:rsidRPr="00CE2971">
              <w:rPr>
                <w:rFonts w:ascii="Arial Narrow" w:hAnsi="Arial Narrow"/>
                <w:sz w:val="20"/>
                <w:szCs w:val="20"/>
              </w:rPr>
              <w:t>Continuing pack: 8.67</w:t>
            </w:r>
          </w:p>
        </w:tc>
      </w:tr>
      <w:tr w:rsidR="00AF7DE0" w:rsidRPr="002621DD" w14:paraId="68A4ABB3" w14:textId="77777777" w:rsidTr="00601274">
        <w:trPr>
          <w:trHeight w:val="53"/>
        </w:trPr>
        <w:tc>
          <w:tcPr>
            <w:tcW w:w="2137" w:type="dxa"/>
            <w:vAlign w:val="center"/>
          </w:tcPr>
          <w:p w14:paraId="69A68F8D" w14:textId="77777777" w:rsidR="00AF7DE0" w:rsidRPr="003047D4" w:rsidRDefault="00AF7DE0" w:rsidP="0026743D">
            <w:pPr>
              <w:keepNext/>
              <w:jc w:val="left"/>
              <w:rPr>
                <w:rFonts w:ascii="Arial Narrow" w:hAnsi="Arial Narrow"/>
                <w:sz w:val="20"/>
                <w:szCs w:val="20"/>
              </w:rPr>
            </w:pPr>
            <w:r w:rsidRPr="003047D4">
              <w:rPr>
                <w:rFonts w:ascii="Arial Narrow" w:hAnsi="Arial Narrow"/>
                <w:sz w:val="20"/>
                <w:szCs w:val="20"/>
              </w:rPr>
              <w:t>Cost per course</w:t>
            </w:r>
          </w:p>
        </w:tc>
        <w:tc>
          <w:tcPr>
            <w:tcW w:w="2285" w:type="dxa"/>
            <w:vAlign w:val="center"/>
          </w:tcPr>
          <w:p w14:paraId="35DE036B" w14:textId="77777777" w:rsidR="00AF7DE0" w:rsidRPr="003047D4" w:rsidRDefault="00AF7DE0" w:rsidP="0026743D">
            <w:pPr>
              <w:keepNext/>
              <w:jc w:val="center"/>
              <w:rPr>
                <w:rFonts w:ascii="Arial Narrow" w:hAnsi="Arial Narrow"/>
                <w:sz w:val="20"/>
                <w:szCs w:val="20"/>
              </w:rPr>
            </w:pPr>
            <w:r w:rsidRPr="003047D4">
              <w:rPr>
                <w:rFonts w:ascii="Arial Narrow" w:hAnsi="Arial Narrow"/>
                <w:sz w:val="20"/>
                <w:szCs w:val="20"/>
              </w:rPr>
              <w:t>-</w:t>
            </w:r>
          </w:p>
        </w:tc>
        <w:tc>
          <w:tcPr>
            <w:tcW w:w="2285" w:type="dxa"/>
            <w:vAlign w:val="center"/>
          </w:tcPr>
          <w:p w14:paraId="2135E8A1" w14:textId="51C134B1" w:rsidR="00AF7DE0" w:rsidRPr="00DA447B" w:rsidRDefault="00AF24EF" w:rsidP="0026743D">
            <w:pPr>
              <w:keepNext/>
              <w:jc w:val="center"/>
              <w:rPr>
                <w:rFonts w:ascii="Arial Narrow" w:hAnsi="Arial Narrow"/>
                <w:sz w:val="20"/>
                <w:szCs w:val="20"/>
                <w:highlight w:val="yellow"/>
              </w:rPr>
            </w:pPr>
            <w:r w:rsidRPr="00AF24EF">
              <w:rPr>
                <w:rFonts w:ascii="Arial Narrow" w:hAnsi="Arial Narrow"/>
                <w:sz w:val="20"/>
                <w:szCs w:val="20"/>
              </w:rPr>
              <w:t>$67,736.88</w:t>
            </w:r>
            <w:r w:rsidR="00C511CB">
              <w:rPr>
                <w:rFonts w:ascii="Arial Narrow" w:hAnsi="Arial Narrow"/>
                <w:sz w:val="20"/>
                <w:szCs w:val="20"/>
              </w:rPr>
              <w:t xml:space="preserve"> (AEMP)</w:t>
            </w:r>
          </w:p>
        </w:tc>
        <w:tc>
          <w:tcPr>
            <w:tcW w:w="2376" w:type="dxa"/>
            <w:vAlign w:val="center"/>
          </w:tcPr>
          <w:p w14:paraId="2C2A2A47" w14:textId="3599ECE2" w:rsidR="00AF7DE0" w:rsidRPr="00CE2971" w:rsidRDefault="00C511CB" w:rsidP="0026743D">
            <w:pPr>
              <w:keepNext/>
              <w:jc w:val="center"/>
              <w:rPr>
                <w:rFonts w:ascii="Arial Narrow" w:hAnsi="Arial Narrow"/>
                <w:sz w:val="20"/>
                <w:szCs w:val="20"/>
              </w:rPr>
            </w:pPr>
            <w:r w:rsidRPr="00CE2971">
              <w:rPr>
                <w:rFonts w:ascii="Arial Narrow" w:hAnsi="Arial Narrow"/>
                <w:sz w:val="20"/>
                <w:szCs w:val="20"/>
              </w:rPr>
              <w:t>$69,281.43 (DPMQ)</w:t>
            </w:r>
          </w:p>
        </w:tc>
      </w:tr>
      <w:tr w:rsidR="00AF7DE0" w:rsidRPr="002621DD" w14:paraId="2F5D9627" w14:textId="77777777" w:rsidTr="001B1700">
        <w:tc>
          <w:tcPr>
            <w:tcW w:w="9083" w:type="dxa"/>
            <w:gridSpan w:val="4"/>
            <w:vAlign w:val="center"/>
          </w:tcPr>
          <w:p w14:paraId="105BDDED" w14:textId="77777777" w:rsidR="00AF7DE0" w:rsidRPr="00CE2971" w:rsidRDefault="00AF7DE0" w:rsidP="0026743D">
            <w:pPr>
              <w:keepNext/>
              <w:jc w:val="left"/>
              <w:rPr>
                <w:rFonts w:ascii="Arial Narrow" w:hAnsi="Arial Narrow"/>
                <w:b/>
                <w:bCs/>
                <w:smallCaps/>
                <w:sz w:val="20"/>
                <w:szCs w:val="20"/>
              </w:rPr>
            </w:pPr>
            <w:r w:rsidRPr="00CE2971">
              <w:rPr>
                <w:rFonts w:ascii="Arial Narrow" w:hAnsi="Arial Narrow"/>
                <w:b/>
                <w:bCs/>
                <w:smallCaps/>
                <w:sz w:val="20"/>
                <w:szCs w:val="20"/>
              </w:rPr>
              <w:t>obinutuzumab</w:t>
            </w:r>
          </w:p>
        </w:tc>
      </w:tr>
      <w:tr w:rsidR="00AF7DE0" w:rsidRPr="002621DD" w14:paraId="0B4D3627" w14:textId="77777777" w:rsidTr="001B1700">
        <w:tc>
          <w:tcPr>
            <w:tcW w:w="2137" w:type="dxa"/>
            <w:vAlign w:val="center"/>
          </w:tcPr>
          <w:p w14:paraId="345633D4" w14:textId="16DA958B" w:rsidR="00AF7DE0" w:rsidRPr="00DA447B" w:rsidRDefault="00AF7DE0" w:rsidP="0026743D">
            <w:pPr>
              <w:keepNext/>
              <w:jc w:val="left"/>
              <w:rPr>
                <w:rFonts w:ascii="Arial Narrow" w:hAnsi="Arial Narrow"/>
                <w:sz w:val="20"/>
                <w:szCs w:val="20"/>
                <w:highlight w:val="yellow"/>
              </w:rPr>
            </w:pPr>
            <w:r>
              <w:rPr>
                <w:rFonts w:ascii="Arial Narrow" w:hAnsi="Arial Narrow"/>
                <w:sz w:val="20"/>
                <w:szCs w:val="20"/>
              </w:rPr>
              <w:t>Cost per script</w:t>
            </w:r>
          </w:p>
        </w:tc>
        <w:tc>
          <w:tcPr>
            <w:tcW w:w="2285" w:type="dxa"/>
            <w:vAlign w:val="center"/>
          </w:tcPr>
          <w:p w14:paraId="6A0F27CD" w14:textId="77777777" w:rsidR="00AF7DE0" w:rsidRPr="00A24501" w:rsidRDefault="00AF7DE0" w:rsidP="0026743D">
            <w:pPr>
              <w:keepNext/>
              <w:jc w:val="center"/>
              <w:rPr>
                <w:rFonts w:ascii="Arial Narrow" w:hAnsi="Arial Narrow"/>
                <w:sz w:val="20"/>
                <w:szCs w:val="20"/>
              </w:rPr>
            </w:pPr>
            <w:r w:rsidRPr="00A24501">
              <w:rPr>
                <w:rFonts w:ascii="Arial Narrow" w:hAnsi="Arial Narrow"/>
                <w:sz w:val="20"/>
                <w:szCs w:val="20"/>
              </w:rPr>
              <w:t>-</w:t>
            </w:r>
          </w:p>
        </w:tc>
        <w:tc>
          <w:tcPr>
            <w:tcW w:w="2285" w:type="dxa"/>
            <w:vAlign w:val="center"/>
          </w:tcPr>
          <w:p w14:paraId="6276D0DE" w14:textId="476887D3" w:rsidR="00AF7DE0" w:rsidRPr="00D24400" w:rsidRDefault="009D0EF8" w:rsidP="0026743D">
            <w:pPr>
              <w:keepNext/>
              <w:jc w:val="center"/>
              <w:rPr>
                <w:rFonts w:ascii="Arial Narrow" w:hAnsi="Arial Narrow"/>
                <w:sz w:val="20"/>
                <w:szCs w:val="20"/>
                <w:vertAlign w:val="superscript"/>
              </w:rPr>
            </w:pPr>
            <w:r w:rsidRPr="009D0EF8">
              <w:rPr>
                <w:rFonts w:ascii="Arial Narrow" w:hAnsi="Arial Narrow"/>
                <w:sz w:val="20"/>
                <w:szCs w:val="20"/>
              </w:rPr>
              <w:t>$5,028</w:t>
            </w:r>
            <w:r w:rsidR="00F123C5">
              <w:rPr>
                <w:rFonts w:ascii="Arial Narrow" w:hAnsi="Arial Narrow"/>
                <w:sz w:val="20"/>
                <w:szCs w:val="20"/>
              </w:rPr>
              <w:t>.35</w:t>
            </w:r>
            <w:r w:rsidR="00A872A7">
              <w:rPr>
                <w:rFonts w:ascii="Arial Narrow" w:hAnsi="Arial Narrow"/>
                <w:sz w:val="20"/>
                <w:szCs w:val="20"/>
              </w:rPr>
              <w:t xml:space="preserve"> (AEMP)</w:t>
            </w:r>
          </w:p>
        </w:tc>
        <w:tc>
          <w:tcPr>
            <w:tcW w:w="2376" w:type="dxa"/>
            <w:vAlign w:val="center"/>
          </w:tcPr>
          <w:p w14:paraId="0337B5FC" w14:textId="3AA5EBE3" w:rsidR="00AF7DE0" w:rsidRPr="00CE2971" w:rsidRDefault="000D6386" w:rsidP="0026743D">
            <w:pPr>
              <w:keepNext/>
              <w:jc w:val="center"/>
              <w:rPr>
                <w:rFonts w:ascii="Arial Narrow" w:hAnsi="Arial Narrow"/>
                <w:sz w:val="20"/>
                <w:szCs w:val="20"/>
                <w:vertAlign w:val="superscript"/>
              </w:rPr>
            </w:pPr>
            <w:r w:rsidRPr="00CE2971">
              <w:rPr>
                <w:rFonts w:ascii="Arial Narrow" w:hAnsi="Arial Narrow"/>
                <w:sz w:val="20"/>
                <w:szCs w:val="20"/>
              </w:rPr>
              <w:t xml:space="preserve">$5,193.79 (weighted DPMA) </w:t>
            </w:r>
            <w:r w:rsidR="007451EC" w:rsidRPr="00CE2971">
              <w:rPr>
                <w:rFonts w:ascii="Arial Narrow" w:hAnsi="Arial Narrow"/>
                <w:sz w:val="20"/>
                <w:szCs w:val="20"/>
                <w:vertAlign w:val="superscript"/>
              </w:rPr>
              <w:t>i</w:t>
            </w:r>
          </w:p>
        </w:tc>
      </w:tr>
      <w:tr w:rsidR="005E02FD" w:rsidRPr="002621DD" w14:paraId="42F9934B" w14:textId="77777777" w:rsidTr="001B1700">
        <w:tc>
          <w:tcPr>
            <w:tcW w:w="2137" w:type="dxa"/>
            <w:vAlign w:val="center"/>
          </w:tcPr>
          <w:p w14:paraId="2C233317" w14:textId="77777777" w:rsidR="005E02FD" w:rsidRPr="00DA447B" w:rsidRDefault="005E02FD" w:rsidP="0026743D">
            <w:pPr>
              <w:keepNext/>
              <w:jc w:val="left"/>
              <w:rPr>
                <w:rFonts w:ascii="Arial Narrow" w:hAnsi="Arial Narrow"/>
                <w:sz w:val="20"/>
                <w:szCs w:val="20"/>
                <w:highlight w:val="yellow"/>
              </w:rPr>
            </w:pPr>
            <w:r>
              <w:rPr>
                <w:rFonts w:ascii="Arial Narrow" w:hAnsi="Arial Narrow"/>
                <w:sz w:val="20"/>
                <w:szCs w:val="20"/>
              </w:rPr>
              <w:t>Compliance</w:t>
            </w:r>
          </w:p>
        </w:tc>
        <w:tc>
          <w:tcPr>
            <w:tcW w:w="2285" w:type="dxa"/>
            <w:vAlign w:val="center"/>
          </w:tcPr>
          <w:p w14:paraId="5D6BB74F" w14:textId="77777777" w:rsidR="005E02FD" w:rsidRPr="00A24501" w:rsidRDefault="005E02FD" w:rsidP="0026743D">
            <w:pPr>
              <w:keepNext/>
              <w:jc w:val="center"/>
              <w:rPr>
                <w:rFonts w:ascii="Arial Narrow" w:hAnsi="Arial Narrow"/>
                <w:sz w:val="20"/>
                <w:szCs w:val="20"/>
              </w:rPr>
            </w:pPr>
            <w:r w:rsidRPr="00A67C09">
              <w:rPr>
                <w:rFonts w:ascii="Arial Narrow" w:hAnsi="Arial Narrow"/>
                <w:sz w:val="20"/>
                <w:szCs w:val="20"/>
              </w:rPr>
              <w:t>7.355</w:t>
            </w:r>
            <w:r>
              <w:rPr>
                <w:rFonts w:ascii="Arial Narrow" w:hAnsi="Arial Narrow"/>
                <w:sz w:val="20"/>
                <w:szCs w:val="20"/>
              </w:rPr>
              <w:t xml:space="preserve"> scripts/course</w:t>
            </w:r>
          </w:p>
        </w:tc>
        <w:tc>
          <w:tcPr>
            <w:tcW w:w="2285" w:type="dxa"/>
            <w:vAlign w:val="center"/>
          </w:tcPr>
          <w:p w14:paraId="08644AF9" w14:textId="3F506E0F" w:rsidR="005E02FD" w:rsidRPr="00DA447B" w:rsidRDefault="005E02FD" w:rsidP="0026743D">
            <w:pPr>
              <w:keepNext/>
              <w:jc w:val="center"/>
              <w:rPr>
                <w:rFonts w:ascii="Arial Narrow" w:hAnsi="Arial Narrow"/>
                <w:sz w:val="20"/>
                <w:szCs w:val="20"/>
                <w:highlight w:val="yellow"/>
              </w:rPr>
            </w:pPr>
            <w:r w:rsidRPr="009D0EF8">
              <w:rPr>
                <w:rFonts w:ascii="Arial Narrow" w:hAnsi="Arial Narrow"/>
                <w:sz w:val="20"/>
                <w:szCs w:val="20"/>
              </w:rPr>
              <w:t>7.355</w:t>
            </w:r>
            <w:r>
              <w:rPr>
                <w:rFonts w:ascii="Arial Narrow" w:hAnsi="Arial Narrow"/>
                <w:sz w:val="20"/>
                <w:szCs w:val="20"/>
              </w:rPr>
              <w:t xml:space="preserve"> scripts/course</w:t>
            </w:r>
          </w:p>
        </w:tc>
        <w:tc>
          <w:tcPr>
            <w:tcW w:w="2376" w:type="dxa"/>
            <w:vAlign w:val="center"/>
          </w:tcPr>
          <w:p w14:paraId="0A9CF898" w14:textId="04FCB68E" w:rsidR="005E02FD" w:rsidRPr="00CE2971" w:rsidRDefault="005E02FD" w:rsidP="0026743D">
            <w:pPr>
              <w:keepNext/>
              <w:jc w:val="center"/>
              <w:rPr>
                <w:rFonts w:ascii="Arial Narrow" w:hAnsi="Arial Narrow"/>
                <w:sz w:val="20"/>
                <w:szCs w:val="20"/>
              </w:rPr>
            </w:pPr>
            <w:r w:rsidRPr="00CE2971">
              <w:rPr>
                <w:rFonts w:ascii="Arial Narrow" w:hAnsi="Arial Narrow"/>
                <w:sz w:val="20"/>
                <w:szCs w:val="20"/>
              </w:rPr>
              <w:t>7.355 scripts/course</w:t>
            </w:r>
          </w:p>
        </w:tc>
      </w:tr>
      <w:tr w:rsidR="00C511CB" w:rsidRPr="002621DD" w14:paraId="3E97FCF0" w14:textId="77777777" w:rsidTr="001B1700">
        <w:tc>
          <w:tcPr>
            <w:tcW w:w="2137" w:type="dxa"/>
            <w:vAlign w:val="center"/>
          </w:tcPr>
          <w:p w14:paraId="7B94874C" w14:textId="77777777" w:rsidR="00C511CB" w:rsidRPr="00DA447B" w:rsidRDefault="00C511CB" w:rsidP="0026743D">
            <w:pPr>
              <w:keepNext/>
              <w:jc w:val="left"/>
              <w:rPr>
                <w:rFonts w:ascii="Arial Narrow" w:hAnsi="Arial Narrow"/>
                <w:sz w:val="20"/>
                <w:szCs w:val="20"/>
                <w:highlight w:val="yellow"/>
              </w:rPr>
            </w:pPr>
            <w:r w:rsidRPr="00A4712E">
              <w:rPr>
                <w:rFonts w:ascii="Arial Narrow" w:hAnsi="Arial Narrow"/>
                <w:sz w:val="20"/>
                <w:szCs w:val="20"/>
              </w:rPr>
              <w:t>Cost per course</w:t>
            </w:r>
          </w:p>
        </w:tc>
        <w:tc>
          <w:tcPr>
            <w:tcW w:w="2285" w:type="dxa"/>
            <w:vAlign w:val="center"/>
          </w:tcPr>
          <w:p w14:paraId="0C1773C3" w14:textId="77777777" w:rsidR="00C511CB" w:rsidRPr="00A24501" w:rsidRDefault="00C511CB" w:rsidP="0026743D">
            <w:pPr>
              <w:keepNext/>
              <w:jc w:val="center"/>
              <w:rPr>
                <w:rFonts w:ascii="Arial Narrow" w:hAnsi="Arial Narrow"/>
                <w:sz w:val="20"/>
                <w:szCs w:val="20"/>
              </w:rPr>
            </w:pPr>
            <w:r w:rsidRPr="00A24501">
              <w:rPr>
                <w:rFonts w:ascii="Arial Narrow" w:hAnsi="Arial Narrow"/>
                <w:sz w:val="20"/>
                <w:szCs w:val="20"/>
              </w:rPr>
              <w:t>-</w:t>
            </w:r>
          </w:p>
        </w:tc>
        <w:tc>
          <w:tcPr>
            <w:tcW w:w="2285" w:type="dxa"/>
            <w:vAlign w:val="center"/>
          </w:tcPr>
          <w:p w14:paraId="7AC0AAC5" w14:textId="7EF263AF" w:rsidR="00C511CB" w:rsidRPr="00DA447B" w:rsidRDefault="00C511CB" w:rsidP="0026743D">
            <w:pPr>
              <w:keepNext/>
              <w:jc w:val="center"/>
              <w:rPr>
                <w:rFonts w:ascii="Arial Narrow" w:hAnsi="Arial Narrow"/>
                <w:sz w:val="20"/>
                <w:szCs w:val="20"/>
                <w:highlight w:val="yellow"/>
              </w:rPr>
            </w:pPr>
            <w:r w:rsidRPr="009D0EF8">
              <w:rPr>
                <w:rFonts w:ascii="Arial Narrow" w:hAnsi="Arial Narrow"/>
                <w:sz w:val="20"/>
                <w:szCs w:val="20"/>
              </w:rPr>
              <w:t>$36,983.51</w:t>
            </w:r>
            <w:r>
              <w:rPr>
                <w:rFonts w:ascii="Arial Narrow" w:hAnsi="Arial Narrow"/>
                <w:sz w:val="20"/>
                <w:szCs w:val="20"/>
              </w:rPr>
              <w:t xml:space="preserve"> (AEMP)</w:t>
            </w:r>
          </w:p>
        </w:tc>
        <w:tc>
          <w:tcPr>
            <w:tcW w:w="2376" w:type="dxa"/>
            <w:vAlign w:val="center"/>
          </w:tcPr>
          <w:p w14:paraId="4C644AD7" w14:textId="0A57307F" w:rsidR="00C511CB" w:rsidRPr="00CE2971" w:rsidRDefault="00C511CB" w:rsidP="0026743D">
            <w:pPr>
              <w:keepNext/>
              <w:jc w:val="center"/>
              <w:rPr>
                <w:rFonts w:ascii="Arial Narrow" w:hAnsi="Arial Narrow"/>
                <w:sz w:val="20"/>
                <w:szCs w:val="20"/>
                <w:vertAlign w:val="superscript"/>
              </w:rPr>
            </w:pPr>
            <w:r w:rsidRPr="00CE2971">
              <w:rPr>
                <w:rFonts w:ascii="Arial Narrow" w:hAnsi="Arial Narrow"/>
                <w:sz w:val="20"/>
                <w:szCs w:val="20"/>
              </w:rPr>
              <w:t xml:space="preserve">$38,200.32 (weighted </w:t>
            </w:r>
            <w:r w:rsidR="000D6386" w:rsidRPr="00CE2971">
              <w:rPr>
                <w:rFonts w:ascii="Arial Narrow" w:hAnsi="Arial Narrow"/>
                <w:sz w:val="20"/>
                <w:szCs w:val="20"/>
              </w:rPr>
              <w:t>DPMA</w:t>
            </w:r>
            <w:r w:rsidRPr="00CE2971">
              <w:rPr>
                <w:rFonts w:ascii="Arial Narrow" w:hAnsi="Arial Narrow"/>
                <w:sz w:val="20"/>
                <w:szCs w:val="20"/>
              </w:rPr>
              <w:t>)</w:t>
            </w:r>
            <w:r w:rsidR="00500891" w:rsidRPr="00CE2971">
              <w:rPr>
                <w:rFonts w:ascii="Arial Narrow" w:hAnsi="Arial Narrow"/>
                <w:sz w:val="20"/>
                <w:szCs w:val="20"/>
              </w:rPr>
              <w:t xml:space="preserve"> </w:t>
            </w:r>
            <w:r w:rsidR="007451EC" w:rsidRPr="00CE2971">
              <w:rPr>
                <w:rFonts w:ascii="Arial Narrow" w:hAnsi="Arial Narrow"/>
                <w:sz w:val="20"/>
                <w:szCs w:val="20"/>
                <w:vertAlign w:val="superscript"/>
              </w:rPr>
              <w:t>i</w:t>
            </w:r>
          </w:p>
        </w:tc>
      </w:tr>
    </w:tbl>
    <w:bookmarkEnd w:id="66"/>
    <w:p w14:paraId="3FEEA2E6" w14:textId="77777777" w:rsidR="00A0615E" w:rsidRDefault="00D60688" w:rsidP="00A0615E">
      <w:pPr>
        <w:pStyle w:val="TableFooter"/>
        <w:keepNext/>
        <w:widowControl/>
      </w:pPr>
      <w:r>
        <w:t>Source:</w:t>
      </w:r>
      <w:r w:rsidR="00A0615E">
        <w:t xml:space="preserve"> ‘Section4_TN CLL’ Excel workbook; Section 3_TN CLL Excel workbook.</w:t>
      </w:r>
    </w:p>
    <w:p w14:paraId="4024303B" w14:textId="1A14C2F9" w:rsidR="00A0615E" w:rsidRDefault="00D60688" w:rsidP="00A0615E">
      <w:pPr>
        <w:pStyle w:val="TableFooter"/>
        <w:keepNext/>
        <w:widowControl/>
      </w:pPr>
      <w:r>
        <w:t>Abbreviations:</w:t>
      </w:r>
      <w:r w:rsidR="00DA59AA">
        <w:t xml:space="preserve"> </w:t>
      </w:r>
      <w:r w:rsidR="00A9443B">
        <w:t xml:space="preserve">AEMP = approved ex-manufacturer </w:t>
      </w:r>
      <w:r w:rsidR="004F5347">
        <w:t>price</w:t>
      </w:r>
      <w:r w:rsidR="00A9443B">
        <w:t xml:space="preserve">, DPMA = dispensed price for maximum amount, </w:t>
      </w:r>
      <w:r w:rsidR="00DA59AA">
        <w:t>DPMQ = dispensed price for maximum quantity</w:t>
      </w:r>
    </w:p>
    <w:p w14:paraId="29120AF3" w14:textId="3CD12FD1" w:rsidR="0026743D" w:rsidRDefault="007B3E72" w:rsidP="00A0615E">
      <w:pPr>
        <w:pStyle w:val="TableFooter"/>
        <w:keepNext/>
        <w:widowControl/>
        <w:spacing w:after="0"/>
      </w:pPr>
      <w:r w:rsidRPr="007B3E72">
        <w:rPr>
          <w:vertAlign w:val="superscript"/>
        </w:rPr>
        <w:t>a</w:t>
      </w:r>
      <w:r>
        <w:t xml:space="preserve"> </w:t>
      </w:r>
      <w:r w:rsidR="00537233">
        <w:t xml:space="preserve">Cost-minimised DPMQ for zanubrutinib based on the published prices of venetoclax and obinutuzumab, </w:t>
      </w:r>
      <w:r w:rsidR="00686955">
        <w:t>with i</w:t>
      </w:r>
      <w:r w:rsidRPr="007B3E72">
        <w:t>ncorrect application of AHI markup corrected during the evaluation</w:t>
      </w:r>
      <w:r w:rsidR="00686955">
        <w:t>.</w:t>
      </w:r>
    </w:p>
    <w:p w14:paraId="6C392979" w14:textId="275D7C34" w:rsidR="007B3E72" w:rsidRDefault="0026743D" w:rsidP="00D60688">
      <w:pPr>
        <w:pStyle w:val="COMTablefooter"/>
        <w:rPr>
          <w:vertAlign w:val="superscript"/>
        </w:rPr>
      </w:pPr>
      <w:r>
        <w:rPr>
          <w:vertAlign w:val="superscript"/>
        </w:rPr>
        <w:t>b</w:t>
      </w:r>
      <w:r>
        <w:t xml:space="preserve"> </w:t>
      </w:r>
      <w:r w:rsidR="00537233">
        <w:t>Proposed published price of zanubrutinib</w:t>
      </w:r>
      <w:r w:rsidR="007B3E72" w:rsidRPr="007B3E72">
        <w:t>.</w:t>
      </w:r>
    </w:p>
    <w:p w14:paraId="389AC12A" w14:textId="3A649B5E" w:rsidR="00F41F78" w:rsidRDefault="00537233" w:rsidP="00F41F78">
      <w:pPr>
        <w:pStyle w:val="COMTablefooter"/>
      </w:pPr>
      <w:r>
        <w:rPr>
          <w:vertAlign w:val="superscript"/>
        </w:rPr>
        <w:t>c</w:t>
      </w:r>
      <w:r w:rsidR="001E2B58">
        <w:t xml:space="preserve"> Median treatment duration at the interim analysis</w:t>
      </w:r>
      <w:r w:rsidR="005A1EF8">
        <w:t>.</w:t>
      </w:r>
    </w:p>
    <w:p w14:paraId="00E323E3" w14:textId="4DACA601" w:rsidR="00F41F78" w:rsidRPr="00F41F78" w:rsidRDefault="00537233" w:rsidP="00F41F78">
      <w:pPr>
        <w:pStyle w:val="COMTablefooter"/>
      </w:pPr>
      <w:r>
        <w:rPr>
          <w:vertAlign w:val="superscript"/>
        </w:rPr>
        <w:t>d</w:t>
      </w:r>
      <w:r w:rsidR="00F41F78">
        <w:t xml:space="preserve"> Derived from extrapolated time to treatment discontinuation for zanubrutinib in the SEQUOIA trial, capped based on venetoclax + obinutuzumab progression-free survival in the CLL-14, </w:t>
      </w:r>
      <w:r w:rsidR="00500891">
        <w:t>applying a 5% discount to time to treatment discontinuation, and assuming a maximum 10-year treatment period.</w:t>
      </w:r>
    </w:p>
    <w:p w14:paraId="0B8DCCAC" w14:textId="77777777" w:rsidR="00E50E7A" w:rsidRDefault="00537233" w:rsidP="00D60688">
      <w:pPr>
        <w:pStyle w:val="COMTablefooter"/>
      </w:pPr>
      <w:r>
        <w:rPr>
          <w:vertAlign w:val="superscript"/>
        </w:rPr>
        <w:t>e</w:t>
      </w:r>
      <w:r w:rsidR="000A6329">
        <w:t xml:space="preserve"> While a treatment duration of 70 months was assumed, the submission assumed that </w:t>
      </w:r>
      <w:r w:rsidR="0017583C">
        <w:t xml:space="preserve">treatment was </w:t>
      </w:r>
      <w:r w:rsidR="00686955">
        <w:t>distributed over</w:t>
      </w:r>
      <w:r w:rsidR="0017583C">
        <w:t xml:space="preserve"> 7.39 years (i.e., 1 ÷ 13.5% = 7.39).</w:t>
      </w:r>
    </w:p>
    <w:p w14:paraId="0DC1B833" w14:textId="1E6D1CE6" w:rsidR="007451EC" w:rsidRPr="00686955" w:rsidRDefault="007451EC" w:rsidP="007451EC">
      <w:pPr>
        <w:pStyle w:val="COMTablefooter"/>
      </w:pPr>
      <w:r>
        <w:rPr>
          <w:vertAlign w:val="superscript"/>
        </w:rPr>
        <w:t>f</w:t>
      </w:r>
      <w:r>
        <w:t xml:space="preserve"> </w:t>
      </w:r>
      <w:r w:rsidRPr="007451EC">
        <w:t>The</w:t>
      </w:r>
      <w:r>
        <w:t xml:space="preserve"> submission assumed 70 calendar months of treatment would equate to 70 zanubrutinib scripts. However, based on a pack size of 30 days’ supply, 70 months of treatment would equate to 71.02 packs ([365.25 ÷12 x 70] ÷ 30] = 71.02).</w:t>
      </w:r>
    </w:p>
    <w:p w14:paraId="1C1ECF7F" w14:textId="052FCA10" w:rsidR="007451EC" w:rsidRDefault="007451EC" w:rsidP="007451EC">
      <w:pPr>
        <w:pStyle w:val="COMTablefooter"/>
      </w:pPr>
      <w:r>
        <w:rPr>
          <w:vertAlign w:val="superscript"/>
        </w:rPr>
        <w:t>g</w:t>
      </w:r>
      <w:r>
        <w:t xml:space="preserve"> Weighted average dose intensity for the zanubrutinib non-17p deletion and 17p deletion arms</w:t>
      </w:r>
      <w:r w:rsidR="004F5347">
        <w:t>.</w:t>
      </w:r>
    </w:p>
    <w:p w14:paraId="3F644D07" w14:textId="135A6E1D" w:rsidR="00686955" w:rsidRDefault="007451EC" w:rsidP="00D60688">
      <w:pPr>
        <w:pStyle w:val="COMTablefooter"/>
      </w:pPr>
      <w:r>
        <w:rPr>
          <w:vertAlign w:val="superscript"/>
        </w:rPr>
        <w:t>h</w:t>
      </w:r>
      <w:r w:rsidR="00E50E7A">
        <w:t xml:space="preserve"> Based on a treatment duration of 288.1 days reported for the venetoclax + obinutuzumab arm of the CLL-14 trial</w:t>
      </w:r>
      <w:r w:rsidR="00AA600E">
        <w:t xml:space="preserve"> in the venetoclax July 2020 Public Summary Document, a</w:t>
      </w:r>
      <w:r w:rsidR="00E50E7A">
        <w:t>ssuming 28 days of initial treatment and 260.1 days of continuing treatment</w:t>
      </w:r>
      <w:r w:rsidR="00931213">
        <w:t>, and 100% treatment compliance.</w:t>
      </w:r>
    </w:p>
    <w:p w14:paraId="1CAA78AA" w14:textId="3090CDD8" w:rsidR="00D60688" w:rsidRDefault="007451EC" w:rsidP="00D60688">
      <w:pPr>
        <w:pStyle w:val="COMTablefooter"/>
      </w:pPr>
      <w:r>
        <w:rPr>
          <w:vertAlign w:val="superscript"/>
        </w:rPr>
        <w:t>i</w:t>
      </w:r>
      <w:r w:rsidR="00A872A7">
        <w:t xml:space="preserve"> Based on a </w:t>
      </w:r>
      <w:r w:rsidR="00A872A7" w:rsidRPr="00A872A7">
        <w:t>30.05%</w:t>
      </w:r>
      <w:r w:rsidR="00A872A7">
        <w:t>:</w:t>
      </w:r>
      <w:r w:rsidR="00A872A7" w:rsidRPr="00A872A7">
        <w:t>69.95%</w:t>
      </w:r>
      <w:r w:rsidR="00A872A7">
        <w:t xml:space="preserve"> public/private hospital split.</w:t>
      </w:r>
    </w:p>
    <w:p w14:paraId="268768EF" w14:textId="3626F292" w:rsidR="00B60939" w:rsidRPr="00C31E62" w:rsidRDefault="00B60939" w:rsidP="002B05A1">
      <w:pPr>
        <w:pStyle w:val="COMH2-non-numbered"/>
      </w:pPr>
      <w:bookmarkStart w:id="69" w:name="_Toc22897647"/>
      <w:bookmarkStart w:id="70" w:name="_Toc124179170"/>
      <w:bookmarkStart w:id="71" w:name="_Toc124853855"/>
      <w:r w:rsidRPr="00C31E62">
        <w:t>Estimated PBS usage &amp; financial implications</w:t>
      </w:r>
      <w:bookmarkEnd w:id="69"/>
      <w:bookmarkEnd w:id="70"/>
      <w:bookmarkEnd w:id="71"/>
    </w:p>
    <w:p w14:paraId="16EF4367" w14:textId="5E8B03DF" w:rsidR="002B05A1" w:rsidRDefault="00C25D9C" w:rsidP="00B77046">
      <w:pPr>
        <w:pStyle w:val="COMexecsumnumberedpara"/>
      </w:pPr>
      <w:r>
        <w:t xml:space="preserve">This submission </w:t>
      </w:r>
      <w:r w:rsidR="00C034AE">
        <w:t>was not</w:t>
      </w:r>
      <w:r w:rsidR="00D23D11">
        <w:t xml:space="preserve"> </w:t>
      </w:r>
      <w:r>
        <w:t>considered by DUSC.</w:t>
      </w:r>
      <w:r w:rsidR="00BC591F">
        <w:t xml:space="preserve"> </w:t>
      </w:r>
      <w:r w:rsidR="00FE4F66">
        <w:t>The submission used a market share approach to estimate the utilisation and financial impacts of listing zanubrutinib for the treatment of patients with previously untreated CLL/SLL who are inappropriate for fludarabine-based chemoimmunotherapy.</w:t>
      </w:r>
    </w:p>
    <w:p w14:paraId="47C05C6F" w14:textId="478CA288" w:rsidR="00FE4F66" w:rsidRPr="00FD4D37" w:rsidRDefault="00FE4F66" w:rsidP="00FE4F66">
      <w:pPr>
        <w:pStyle w:val="COMexecsumnumberedpara"/>
      </w:pPr>
      <w:r>
        <w:t xml:space="preserve">The sources of data used in the financial estimates are presented in </w:t>
      </w:r>
      <w:r>
        <w:fldChar w:fldCharType="begin" w:fldLock="1"/>
      </w:r>
      <w:r>
        <w:instrText xml:space="preserve"> REF _Ref104805262 \h </w:instrText>
      </w:r>
      <w:r>
        <w:fldChar w:fldCharType="separate"/>
      </w:r>
      <w:r w:rsidR="00540D87" w:rsidRPr="00C31E62">
        <w:t xml:space="preserve">Table </w:t>
      </w:r>
      <w:r w:rsidR="00540D87">
        <w:rPr>
          <w:noProof/>
        </w:rPr>
        <w:t>14</w:t>
      </w:r>
      <w:r>
        <w:fldChar w:fldCharType="end"/>
      </w:r>
      <w:r>
        <w:t>.</w:t>
      </w:r>
    </w:p>
    <w:p w14:paraId="3393BCE7" w14:textId="146ED590" w:rsidR="00E42F73" w:rsidRPr="00C31E62" w:rsidRDefault="00E16AD8" w:rsidP="00FD4ED6">
      <w:pPr>
        <w:pStyle w:val="COMtablefigcaption"/>
      </w:pPr>
      <w:bookmarkStart w:id="72" w:name="_Ref104805262"/>
      <w:r w:rsidRPr="00C31E62">
        <w:lastRenderedPageBreak/>
        <w:t xml:space="preserve">Table </w:t>
      </w:r>
      <w:fldSimple w:instr=" SEQ Table \* ARABIC " w:fldLock="1">
        <w:r w:rsidR="00540D87">
          <w:rPr>
            <w:noProof/>
          </w:rPr>
          <w:t>14</w:t>
        </w:r>
      </w:fldSimple>
      <w:bookmarkEnd w:id="72"/>
      <w:r w:rsidRPr="00C31E62">
        <w:t>:</w:t>
      </w:r>
      <w:r w:rsidR="00E42F73" w:rsidRPr="00C31E62">
        <w:t xml:space="preserve"> Key inputs for </w:t>
      </w:r>
      <w:r w:rsidR="00FE4F66">
        <w:t xml:space="preserve">the </w:t>
      </w:r>
      <w:r w:rsidR="00E42F73" w:rsidRPr="00C31E62">
        <w:t>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7"/>
        <w:gridCol w:w="3378"/>
        <w:gridCol w:w="4202"/>
      </w:tblGrid>
      <w:tr w:rsidR="00C31E62" w:rsidRPr="00C31E62" w14:paraId="7AFD013A" w14:textId="77777777" w:rsidTr="00595367">
        <w:trPr>
          <w:cantSplit/>
          <w:tblHeader/>
        </w:trPr>
        <w:tc>
          <w:tcPr>
            <w:tcW w:w="797" w:type="pct"/>
            <w:shd w:val="clear" w:color="auto" w:fill="auto"/>
            <w:vAlign w:val="center"/>
          </w:tcPr>
          <w:p w14:paraId="45C2C4CE" w14:textId="370E9AAB" w:rsidR="00E42F73" w:rsidRPr="00C31E62" w:rsidRDefault="004658B5" w:rsidP="001C3FB9">
            <w:pPr>
              <w:pStyle w:val="COMTableheadingrow"/>
              <w:keepNext w:val="0"/>
            </w:pPr>
            <w:r w:rsidRPr="00C31E62">
              <w:t>Parameter</w:t>
            </w:r>
          </w:p>
        </w:tc>
        <w:tc>
          <w:tcPr>
            <w:tcW w:w="1873" w:type="pct"/>
            <w:shd w:val="clear" w:color="auto" w:fill="auto"/>
            <w:vAlign w:val="center"/>
          </w:tcPr>
          <w:p w14:paraId="5C04F956" w14:textId="559E8DB1" w:rsidR="00E42F73" w:rsidRPr="00C31E62" w:rsidRDefault="004658B5" w:rsidP="001C3FB9">
            <w:pPr>
              <w:pStyle w:val="COMTableheadingrow"/>
              <w:keepNext w:val="0"/>
              <w:jc w:val="center"/>
            </w:pPr>
            <w:r w:rsidRPr="00C31E62">
              <w:t>Value applied and source</w:t>
            </w:r>
          </w:p>
        </w:tc>
        <w:tc>
          <w:tcPr>
            <w:tcW w:w="2331" w:type="pct"/>
            <w:shd w:val="clear" w:color="auto" w:fill="auto"/>
            <w:vAlign w:val="center"/>
          </w:tcPr>
          <w:p w14:paraId="45DE44AA" w14:textId="4713F72E" w:rsidR="00E42F73" w:rsidRPr="00C31E62" w:rsidRDefault="004658B5" w:rsidP="001C3FB9">
            <w:pPr>
              <w:pStyle w:val="COMTableheadingrow"/>
              <w:keepNext w:val="0"/>
              <w:jc w:val="center"/>
            </w:pPr>
            <w:r w:rsidRPr="00C31E62">
              <w:t>Comment</w:t>
            </w:r>
          </w:p>
        </w:tc>
      </w:tr>
      <w:tr w:rsidR="00012F49" w:rsidRPr="00021B9D" w14:paraId="4BEF206D" w14:textId="77777777" w:rsidTr="00595367">
        <w:trPr>
          <w:cantSplit/>
        </w:trPr>
        <w:tc>
          <w:tcPr>
            <w:tcW w:w="797" w:type="pct"/>
            <w:shd w:val="clear" w:color="auto" w:fill="auto"/>
            <w:vAlign w:val="center"/>
          </w:tcPr>
          <w:p w14:paraId="5724F53F" w14:textId="50C6034A" w:rsidR="00012F49" w:rsidRPr="00021B9D" w:rsidRDefault="00012F49" w:rsidP="001C3FB9">
            <w:pPr>
              <w:pStyle w:val="COMTabletext"/>
              <w:keepNext w:val="0"/>
              <w:rPr>
                <w:lang w:val="en-US"/>
              </w:rPr>
            </w:pPr>
            <w:r w:rsidRPr="00021B9D">
              <w:t>Annual venetoclax initial treatment scripts</w:t>
            </w:r>
          </w:p>
        </w:tc>
        <w:tc>
          <w:tcPr>
            <w:tcW w:w="1873" w:type="pct"/>
            <w:shd w:val="clear" w:color="auto" w:fill="auto"/>
            <w:vAlign w:val="center"/>
          </w:tcPr>
          <w:p w14:paraId="2974F923" w14:textId="78506D22" w:rsidR="00012F49" w:rsidRPr="00021B9D" w:rsidRDefault="00012F49" w:rsidP="001C3FB9">
            <w:pPr>
              <w:pStyle w:val="COMTabletext"/>
              <w:keepNext w:val="0"/>
              <w:rPr>
                <w:lang w:val="en-US"/>
              </w:rPr>
            </w:pPr>
            <w:r w:rsidRPr="00021B9D">
              <w:rPr>
                <w:lang w:val="en-US"/>
              </w:rPr>
              <w:t>389; PBS dispensing data for Item 12188L (January to December 2021).</w:t>
            </w:r>
          </w:p>
        </w:tc>
        <w:tc>
          <w:tcPr>
            <w:tcW w:w="2331" w:type="pct"/>
            <w:vMerge w:val="restart"/>
            <w:shd w:val="clear" w:color="auto" w:fill="auto"/>
          </w:tcPr>
          <w:p w14:paraId="078672CF" w14:textId="2A08C198" w:rsidR="00012F49" w:rsidRPr="00021B9D" w:rsidRDefault="00012F49" w:rsidP="001C3FB9">
            <w:pPr>
              <w:pStyle w:val="COMTabletext"/>
              <w:keepNext w:val="0"/>
              <w:rPr>
                <w:iCs/>
                <w:lang w:val="en-US"/>
              </w:rPr>
            </w:pPr>
            <w:r w:rsidRPr="00021B9D">
              <w:rPr>
                <w:iCs/>
              </w:rPr>
              <w:t>Venetoclax for use in combination with obinutuzumab was listed on the PBS in December 2020. The available PBS data for venetoclax and obinutuzumab in 2021 does not represent the full treatment course for some patients (i.e., patients who would have initiated treatment from January 2020 to November 2020 and continued into 2021 had venetoclax + obinutuzumab been listed).</w:t>
            </w:r>
            <w:r w:rsidR="007C02A3" w:rsidRPr="00021B9D">
              <w:rPr>
                <w:iCs/>
              </w:rPr>
              <w:t xml:space="preserve"> The relative proportion of venetoclax and obinutuzumab scripts (2,649 and 2,757, respectively) did not reflect the relative proportion</w:t>
            </w:r>
            <w:r w:rsidR="00F94547" w:rsidRPr="00021B9D">
              <w:rPr>
                <w:iCs/>
              </w:rPr>
              <w:t xml:space="preserve"> of venetoclax and obinutuzumab scripts</w:t>
            </w:r>
            <w:r w:rsidR="007C02A3" w:rsidRPr="00021B9D">
              <w:rPr>
                <w:iCs/>
              </w:rPr>
              <w:t xml:space="preserve"> assumed in the cost-minimisation (9.67 and 7.355). Additionally, t</w:t>
            </w:r>
            <w:r w:rsidRPr="00021B9D">
              <w:rPr>
                <w:iCs/>
              </w:rPr>
              <w:t>he implied number of venetoclax + obinutuzumab patients per year (31</w:t>
            </w:r>
            <w:r w:rsidR="0075686F" w:rsidRPr="00021B9D">
              <w:rPr>
                <w:iCs/>
              </w:rPr>
              <w:t>8</w:t>
            </w:r>
            <w:r w:rsidRPr="00021B9D">
              <w:rPr>
                <w:iCs/>
              </w:rPr>
              <w:t>) was lower than the number of venetoclax initial treatment scripts (389).</w:t>
            </w:r>
          </w:p>
        </w:tc>
      </w:tr>
      <w:tr w:rsidR="00012F49" w:rsidRPr="00021B9D" w14:paraId="273D05F4" w14:textId="77777777" w:rsidTr="00595367">
        <w:trPr>
          <w:cantSplit/>
        </w:trPr>
        <w:tc>
          <w:tcPr>
            <w:tcW w:w="797" w:type="pct"/>
            <w:shd w:val="clear" w:color="auto" w:fill="auto"/>
            <w:vAlign w:val="center"/>
          </w:tcPr>
          <w:p w14:paraId="0152C8AA" w14:textId="4DB92C35" w:rsidR="00012F49" w:rsidRPr="00021B9D" w:rsidRDefault="00012F49" w:rsidP="001C3FB9">
            <w:pPr>
              <w:pStyle w:val="COMTabletext"/>
              <w:keepNext w:val="0"/>
              <w:rPr>
                <w:lang w:val="en-US"/>
              </w:rPr>
            </w:pPr>
            <w:r w:rsidRPr="00021B9D">
              <w:rPr>
                <w:lang w:val="en-US"/>
              </w:rPr>
              <w:t>Annual venetoclax continuing scripts</w:t>
            </w:r>
          </w:p>
        </w:tc>
        <w:tc>
          <w:tcPr>
            <w:tcW w:w="1873" w:type="pct"/>
            <w:shd w:val="clear" w:color="auto" w:fill="auto"/>
            <w:vAlign w:val="center"/>
          </w:tcPr>
          <w:p w14:paraId="5FE8DC6D" w14:textId="2BAACE13" w:rsidR="00012F49" w:rsidRPr="00021B9D" w:rsidRDefault="00012F49" w:rsidP="001C3FB9">
            <w:pPr>
              <w:pStyle w:val="COMTabletext"/>
              <w:keepNext w:val="0"/>
              <w:rPr>
                <w:lang w:val="en-US"/>
              </w:rPr>
            </w:pPr>
            <w:r w:rsidRPr="00021B9D">
              <w:rPr>
                <w:lang w:val="en-US"/>
              </w:rPr>
              <w:t>2,260; PBS dispensing data for Item 12199C and 12205J (January to December 2021).</w:t>
            </w:r>
          </w:p>
        </w:tc>
        <w:tc>
          <w:tcPr>
            <w:tcW w:w="2331" w:type="pct"/>
            <w:vMerge/>
            <w:shd w:val="clear" w:color="auto" w:fill="auto"/>
          </w:tcPr>
          <w:p w14:paraId="035D240F" w14:textId="07817679" w:rsidR="00012F49" w:rsidRPr="00021B9D" w:rsidRDefault="00012F49" w:rsidP="001C3FB9">
            <w:pPr>
              <w:pStyle w:val="COMTabletext"/>
              <w:keepNext w:val="0"/>
              <w:rPr>
                <w:lang w:val="en-US"/>
              </w:rPr>
            </w:pPr>
          </w:p>
        </w:tc>
      </w:tr>
      <w:tr w:rsidR="00012F49" w:rsidRPr="00021B9D" w14:paraId="72C9FBDD" w14:textId="77777777" w:rsidTr="00595367">
        <w:trPr>
          <w:cantSplit/>
        </w:trPr>
        <w:tc>
          <w:tcPr>
            <w:tcW w:w="797" w:type="pct"/>
            <w:shd w:val="clear" w:color="auto" w:fill="auto"/>
            <w:vAlign w:val="center"/>
          </w:tcPr>
          <w:p w14:paraId="2FBBDC67" w14:textId="0FCB2CC4" w:rsidR="00012F49" w:rsidRPr="00021B9D" w:rsidRDefault="00012F49" w:rsidP="001C3FB9">
            <w:pPr>
              <w:pStyle w:val="COMTabletext"/>
              <w:keepNext w:val="0"/>
              <w:rPr>
                <w:lang w:val="en-US"/>
              </w:rPr>
            </w:pPr>
            <w:r w:rsidRPr="00021B9D">
              <w:rPr>
                <w:lang w:val="en-US"/>
              </w:rPr>
              <w:t>Annual obinutuzumab scripts</w:t>
            </w:r>
          </w:p>
        </w:tc>
        <w:tc>
          <w:tcPr>
            <w:tcW w:w="1873" w:type="pct"/>
            <w:shd w:val="clear" w:color="auto" w:fill="auto"/>
            <w:vAlign w:val="center"/>
          </w:tcPr>
          <w:p w14:paraId="550316FC" w14:textId="41EC126C" w:rsidR="00012F49" w:rsidRPr="00021B9D" w:rsidRDefault="00012F49" w:rsidP="001C3FB9">
            <w:pPr>
              <w:pStyle w:val="COMTabletext"/>
              <w:keepNext w:val="0"/>
              <w:rPr>
                <w:lang w:val="en-US"/>
              </w:rPr>
            </w:pPr>
            <w:r w:rsidRPr="00021B9D">
              <w:rPr>
                <w:lang w:val="en-US"/>
              </w:rPr>
              <w:t>2,757; PBS dispensing data for Item 12193R and 12204H (January to December 2021).</w:t>
            </w:r>
          </w:p>
        </w:tc>
        <w:tc>
          <w:tcPr>
            <w:tcW w:w="2331" w:type="pct"/>
            <w:vMerge/>
            <w:shd w:val="clear" w:color="auto" w:fill="auto"/>
          </w:tcPr>
          <w:p w14:paraId="7295AAE5" w14:textId="0CAABFE0" w:rsidR="00012F49" w:rsidRPr="00021B9D" w:rsidRDefault="00012F49" w:rsidP="001C3FB9">
            <w:pPr>
              <w:pStyle w:val="COMTabletext"/>
              <w:keepNext w:val="0"/>
              <w:rPr>
                <w:lang w:val="en-US"/>
              </w:rPr>
            </w:pPr>
          </w:p>
        </w:tc>
      </w:tr>
      <w:tr w:rsidR="00012F49" w:rsidRPr="00021B9D" w14:paraId="512A8938" w14:textId="77777777" w:rsidTr="00595367">
        <w:trPr>
          <w:cantSplit/>
        </w:trPr>
        <w:tc>
          <w:tcPr>
            <w:tcW w:w="797" w:type="pct"/>
            <w:shd w:val="clear" w:color="auto" w:fill="auto"/>
            <w:vAlign w:val="center"/>
          </w:tcPr>
          <w:p w14:paraId="1F4C70A3" w14:textId="374E2352" w:rsidR="00012F49" w:rsidRPr="00021B9D" w:rsidRDefault="00012F49" w:rsidP="001C3FB9">
            <w:pPr>
              <w:pStyle w:val="COMTabletext"/>
              <w:keepNext w:val="0"/>
              <w:rPr>
                <w:lang w:val="en-US"/>
              </w:rPr>
            </w:pPr>
            <w:r w:rsidRPr="00021B9D">
              <w:t>Zanubrutinib uptake rate</w:t>
            </w:r>
          </w:p>
        </w:tc>
        <w:tc>
          <w:tcPr>
            <w:tcW w:w="1873" w:type="pct"/>
            <w:shd w:val="clear" w:color="auto" w:fill="auto"/>
            <w:vAlign w:val="center"/>
          </w:tcPr>
          <w:p w14:paraId="5289CDB1" w14:textId="0499A485" w:rsidR="00012F49" w:rsidRPr="00A63AF1" w:rsidRDefault="00012F49" w:rsidP="001C3FB9">
            <w:pPr>
              <w:pStyle w:val="COMTabletext"/>
              <w:keepNext w:val="0"/>
              <w:rPr>
                <w:lang w:val="en-US"/>
              </w:rPr>
            </w:pPr>
            <w:r w:rsidRPr="00A63AF1">
              <w:t>Year 1-6: 40%. Sponsor assumption that 40% of venetoclax and obinutuzumab scripts would be replaced by zanubrutinib.</w:t>
            </w:r>
          </w:p>
        </w:tc>
        <w:tc>
          <w:tcPr>
            <w:tcW w:w="2331" w:type="pct"/>
            <w:shd w:val="clear" w:color="auto" w:fill="auto"/>
            <w:vAlign w:val="center"/>
          </w:tcPr>
          <w:p w14:paraId="0BA4ED26" w14:textId="29888DAB" w:rsidR="00012F49" w:rsidRPr="00A63AF1" w:rsidRDefault="00012F49" w:rsidP="001C3FB9">
            <w:pPr>
              <w:pStyle w:val="COMTabletext"/>
              <w:keepNext w:val="0"/>
              <w:rPr>
                <w:lang w:val="en-US"/>
              </w:rPr>
            </w:pPr>
            <w:r w:rsidRPr="00A63AF1">
              <w:rPr>
                <w:lang w:val="en-US"/>
              </w:rPr>
              <w:t xml:space="preserve">Uptake of zanubrutinib may be higher than estimated, given that zanubrutinib is an oral treatment, current clinical evidence </w:t>
            </w:r>
            <w:r w:rsidR="004F5347" w:rsidRPr="00A63AF1">
              <w:rPr>
                <w:lang w:val="en-US"/>
              </w:rPr>
              <w:t xml:space="preserve">may be </w:t>
            </w:r>
            <w:r w:rsidRPr="00A63AF1">
              <w:rPr>
                <w:lang w:val="en-US"/>
              </w:rPr>
              <w:t>suggestive of improved progression-free survival for continuous treatment with BTK inhibitor versus fixed duration treatments, and current PBS limitations on retreatment with venetoclax in the event of disease progression.</w:t>
            </w:r>
            <w:r w:rsidR="00F90C88" w:rsidRPr="00A63AF1">
              <w:rPr>
                <w:iCs/>
              </w:rPr>
              <w:t xml:space="preserve"> The PSCR </w:t>
            </w:r>
            <w:r w:rsidR="002E7800" w:rsidRPr="00A63AF1">
              <w:rPr>
                <w:iCs/>
              </w:rPr>
              <w:t xml:space="preserve">and the pre-PBAC response </w:t>
            </w:r>
            <w:r w:rsidR="00F90C88" w:rsidRPr="00A63AF1">
              <w:rPr>
                <w:iCs/>
              </w:rPr>
              <w:t>stated that the assumed uptake rate in Years 1 to 6 of listing (40%) was likely to be optimistic.</w:t>
            </w:r>
          </w:p>
        </w:tc>
      </w:tr>
      <w:tr w:rsidR="00012F49" w:rsidRPr="00021B9D" w14:paraId="18F4FF1F" w14:textId="77777777" w:rsidTr="00595367">
        <w:trPr>
          <w:cantSplit/>
        </w:trPr>
        <w:tc>
          <w:tcPr>
            <w:tcW w:w="797" w:type="pct"/>
            <w:shd w:val="clear" w:color="auto" w:fill="auto"/>
            <w:vAlign w:val="center"/>
          </w:tcPr>
          <w:p w14:paraId="09A388E2" w14:textId="09AC01F4" w:rsidR="00012F49" w:rsidRPr="00021B9D" w:rsidRDefault="00012F49" w:rsidP="001C3FB9">
            <w:pPr>
              <w:pStyle w:val="COMTabletext"/>
              <w:keepNext w:val="0"/>
              <w:rPr>
                <w:lang w:val="en-US"/>
              </w:rPr>
            </w:pPr>
            <w:r w:rsidRPr="00021B9D">
              <w:rPr>
                <w:lang w:val="en-US"/>
              </w:rPr>
              <w:t>Grandfathered patients</w:t>
            </w:r>
          </w:p>
        </w:tc>
        <w:tc>
          <w:tcPr>
            <w:tcW w:w="1873" w:type="pct"/>
            <w:shd w:val="clear" w:color="auto" w:fill="auto"/>
            <w:vAlign w:val="center"/>
          </w:tcPr>
          <w:p w14:paraId="61C6F202" w14:textId="724035C9" w:rsidR="00012F49" w:rsidRPr="00A63AF1" w:rsidRDefault="006F2AD0" w:rsidP="001C3FB9">
            <w:pPr>
              <w:pStyle w:val="COMTabletext"/>
              <w:keepNext w:val="0"/>
              <w:rPr>
                <w:lang w:val="en-US"/>
              </w:rPr>
            </w:pPr>
            <w:r w:rsidRPr="006F2AD0">
              <w:rPr>
                <w:color w:val="000000"/>
                <w:spacing w:val="37"/>
                <w:shd w:val="solid" w:color="000000" w:fill="000000"/>
                <w:fitText w:val="441" w:id="-1232941056"/>
                <w:lang w:val="en-US"/>
                <w14:textFill>
                  <w14:solidFill>
                    <w14:srgbClr w14:val="000000">
                      <w14:alpha w14:val="100000"/>
                    </w14:srgbClr>
                  </w14:solidFill>
                </w14:textFill>
              </w:rPr>
              <w:t>|||||</w:t>
            </w:r>
            <w:r w:rsidRPr="006F2AD0">
              <w:rPr>
                <w:color w:val="000000"/>
                <w:spacing w:val="1"/>
                <w:shd w:val="solid" w:color="000000" w:fill="000000"/>
                <w:fitText w:val="441" w:id="-1232941056"/>
                <w:lang w:val="en-US"/>
                <w14:textFill>
                  <w14:solidFill>
                    <w14:srgbClr w14:val="000000">
                      <w14:alpha w14:val="100000"/>
                    </w14:srgbClr>
                  </w14:solidFill>
                </w14:textFill>
              </w:rPr>
              <w:t>|</w:t>
            </w:r>
            <w:r w:rsidR="00D0687F" w:rsidRPr="00A63AF1">
              <w:rPr>
                <w:vertAlign w:val="superscript"/>
                <w:lang w:val="en-US"/>
              </w:rPr>
              <w:t>1</w:t>
            </w:r>
            <w:r w:rsidR="00012F49" w:rsidRPr="00A63AF1">
              <w:rPr>
                <w:lang w:val="en-US"/>
              </w:rPr>
              <w:t xml:space="preserve">; </w:t>
            </w:r>
            <w:r w:rsidR="00012F49" w:rsidRPr="00A63AF1">
              <w:t xml:space="preserve">Sponsor estimate. The submission stated that the sponsor intends to commence a compassionate access program in January 2023, which would result in an estimated </w:t>
            </w:r>
            <w:r w:rsidRPr="006F2AD0">
              <w:rPr>
                <w:color w:val="000000"/>
                <w:spacing w:val="37"/>
                <w:shd w:val="solid" w:color="000000" w:fill="000000"/>
                <w:fitText w:val="441" w:id="-1232941055"/>
                <w:lang w:val="en-US"/>
                <w14:textFill>
                  <w14:solidFill>
                    <w14:srgbClr w14:val="000000">
                      <w14:alpha w14:val="100000"/>
                    </w14:srgbClr>
                  </w14:solidFill>
                </w14:textFill>
              </w:rPr>
              <w:t>|||||</w:t>
            </w:r>
            <w:r w:rsidRPr="006F2AD0">
              <w:rPr>
                <w:color w:val="000000"/>
                <w:spacing w:val="1"/>
                <w:shd w:val="solid" w:color="000000" w:fill="000000"/>
                <w:fitText w:val="441" w:id="-1232941055"/>
                <w:lang w:val="en-US"/>
                <w14:textFill>
                  <w14:solidFill>
                    <w14:srgbClr w14:val="000000">
                      <w14:alpha w14:val="100000"/>
                    </w14:srgbClr>
                  </w14:solidFill>
                </w14:textFill>
              </w:rPr>
              <w:t>|</w:t>
            </w:r>
            <w:r w:rsidR="00D0687F" w:rsidRPr="00A63AF1">
              <w:rPr>
                <w:vertAlign w:val="superscript"/>
                <w:lang w:val="en-US"/>
              </w:rPr>
              <w:t xml:space="preserve">1 </w:t>
            </w:r>
            <w:r w:rsidR="00012F49" w:rsidRPr="00A63AF1">
              <w:t>patients requiring grandfathered treatment with zanubrutinib.</w:t>
            </w:r>
          </w:p>
        </w:tc>
        <w:tc>
          <w:tcPr>
            <w:tcW w:w="2331" w:type="pct"/>
            <w:shd w:val="clear" w:color="auto" w:fill="auto"/>
          </w:tcPr>
          <w:p w14:paraId="283F2180" w14:textId="7187EE71" w:rsidR="00012F49" w:rsidRPr="00A63AF1" w:rsidRDefault="00012F49" w:rsidP="001C3FB9">
            <w:pPr>
              <w:pStyle w:val="COMTabletext"/>
              <w:keepNext w:val="0"/>
              <w:rPr>
                <w:lang w:val="en-US"/>
              </w:rPr>
            </w:pPr>
            <w:r w:rsidRPr="00A63AF1">
              <w:t>Grandfathered patients are likely to be included in the market share estimates of prevalent patients and may have been double counted in the submission.</w:t>
            </w:r>
            <w:r w:rsidR="00D83D43" w:rsidRPr="00A63AF1">
              <w:t xml:space="preserve"> The PBAC considered the grandfather</w:t>
            </w:r>
            <w:r w:rsidR="00BD7CA1" w:rsidRPr="00A63AF1">
              <w:t>ed</w:t>
            </w:r>
            <w:r w:rsidR="00D83D43" w:rsidRPr="00A63AF1">
              <w:t xml:space="preserve"> patients </w:t>
            </w:r>
            <w:r w:rsidR="00BD7CA1" w:rsidRPr="00A63AF1">
              <w:t>would already be accounted for given the prevalence approach used.</w:t>
            </w:r>
          </w:p>
        </w:tc>
      </w:tr>
      <w:tr w:rsidR="00012F49" w:rsidRPr="00021B9D" w14:paraId="0C865763" w14:textId="77777777" w:rsidTr="00595367">
        <w:trPr>
          <w:cantSplit/>
        </w:trPr>
        <w:tc>
          <w:tcPr>
            <w:tcW w:w="797" w:type="pct"/>
            <w:shd w:val="clear" w:color="auto" w:fill="auto"/>
            <w:vAlign w:val="center"/>
          </w:tcPr>
          <w:p w14:paraId="49D0440C" w14:textId="101FDF52" w:rsidR="00012F49" w:rsidRPr="00021B9D" w:rsidRDefault="00012F49" w:rsidP="001C3FB9">
            <w:pPr>
              <w:pStyle w:val="COMTabletext"/>
              <w:keepNext w:val="0"/>
              <w:rPr>
                <w:lang w:val="en-US"/>
              </w:rPr>
            </w:pPr>
            <w:r w:rsidRPr="00021B9D">
              <w:t>Zanubrutinib treatment duration</w:t>
            </w:r>
          </w:p>
        </w:tc>
        <w:tc>
          <w:tcPr>
            <w:tcW w:w="1873" w:type="pct"/>
            <w:shd w:val="clear" w:color="auto" w:fill="auto"/>
            <w:vAlign w:val="center"/>
          </w:tcPr>
          <w:p w14:paraId="55CF5673" w14:textId="7A0C79C7" w:rsidR="00012F49" w:rsidRPr="00A63AF1" w:rsidRDefault="00012F49" w:rsidP="001C3FB9">
            <w:pPr>
              <w:pStyle w:val="COMTabletext"/>
              <w:keepNext w:val="0"/>
              <w:rPr>
                <w:lang w:val="en-US"/>
              </w:rPr>
            </w:pPr>
            <w:r w:rsidRPr="00A63AF1">
              <w:rPr>
                <w:lang w:val="en-US"/>
              </w:rPr>
              <w:t>70 months.</w:t>
            </w:r>
            <w:r w:rsidRPr="00A63AF1">
              <w:t xml:space="preserve"> </w:t>
            </w:r>
            <w:r w:rsidRPr="00A63AF1">
              <w:rPr>
                <w:lang w:val="en-US"/>
              </w:rPr>
              <w:t>Estimated from zanubrutinib time to treatment discontinuation data for the SEQUOIA trial, extrapolated using an exponential function, with capping based on extrapolated venetoclax + obinutuzumab progression-free survival from the CLL-14 trial.</w:t>
            </w:r>
          </w:p>
        </w:tc>
        <w:tc>
          <w:tcPr>
            <w:tcW w:w="2331" w:type="pct"/>
            <w:shd w:val="clear" w:color="auto" w:fill="auto"/>
            <w:vAlign w:val="center"/>
          </w:tcPr>
          <w:p w14:paraId="0E346EAB" w14:textId="76AFB056" w:rsidR="00012F49" w:rsidRPr="00A63AF1" w:rsidRDefault="00012F49" w:rsidP="001C3FB9">
            <w:pPr>
              <w:pStyle w:val="COMTabletext"/>
              <w:keepNext w:val="0"/>
              <w:rPr>
                <w:lang w:val="en-US"/>
              </w:rPr>
            </w:pPr>
            <w:r w:rsidRPr="00A63AF1">
              <w:rPr>
                <w:lang w:val="en-US"/>
              </w:rPr>
              <w:t xml:space="preserve">The estimated mean treatment duration for zanubrutinib was considered uncertain. The application of a 5% discount to time to treatment discontinuation may not be reasonable </w:t>
            </w:r>
            <w:r w:rsidR="00421EE4" w:rsidRPr="00A63AF1">
              <w:rPr>
                <w:lang w:val="en-US"/>
              </w:rPr>
              <w:t>for deriving the estimated financial implications to the PBS</w:t>
            </w:r>
            <w:r w:rsidRPr="00A63AF1">
              <w:rPr>
                <w:lang w:val="en-US"/>
              </w:rPr>
              <w:t>. The submission assumed 70 calendar months of treatment would equate to 70 zanubrutinib scripts. However, based on a pack size of 30 days’ supply, 70 months of treatment would equate to 71.02 packs ([365.25 ÷12 x 70] ÷ 30] = 71.02).</w:t>
            </w:r>
            <w:r w:rsidR="009B3CC4" w:rsidRPr="00A63AF1">
              <w:rPr>
                <w:lang w:val="en-US"/>
              </w:rPr>
              <w:t xml:space="preserve"> The pre-PBAC response provided a revised estimate of the treatment duration based on changes as detailed in paragraphs </w:t>
            </w:r>
            <w:r w:rsidR="00595367" w:rsidRPr="00A63AF1">
              <w:fldChar w:fldCharType="begin" w:fldLock="1"/>
            </w:r>
            <w:r w:rsidR="00595367" w:rsidRPr="00A63AF1">
              <w:instrText xml:space="preserve"> REF _Ref130548271 \r \h  \* MERGEFORMAT </w:instrText>
            </w:r>
            <w:r w:rsidR="00595367" w:rsidRPr="00A63AF1">
              <w:fldChar w:fldCharType="separate"/>
            </w:r>
            <w:r w:rsidR="00595367" w:rsidRPr="00A63AF1">
              <w:t>6.64</w:t>
            </w:r>
            <w:r w:rsidR="00595367" w:rsidRPr="00A63AF1">
              <w:fldChar w:fldCharType="end"/>
            </w:r>
            <w:r w:rsidR="00595367" w:rsidRPr="00A63AF1">
              <w:t xml:space="preserve">, </w:t>
            </w:r>
            <w:r w:rsidR="00595367" w:rsidRPr="00A63AF1">
              <w:fldChar w:fldCharType="begin" w:fldLock="1"/>
            </w:r>
            <w:r w:rsidR="00595367" w:rsidRPr="00A63AF1">
              <w:instrText xml:space="preserve"> REF _Ref130548296 \r \h  \* MERGEFORMAT </w:instrText>
            </w:r>
            <w:r w:rsidR="00595367" w:rsidRPr="00A63AF1">
              <w:fldChar w:fldCharType="separate"/>
            </w:r>
            <w:r w:rsidR="00595367" w:rsidRPr="00A63AF1">
              <w:t>6.67</w:t>
            </w:r>
            <w:r w:rsidR="00595367" w:rsidRPr="00A63AF1">
              <w:fldChar w:fldCharType="end"/>
            </w:r>
            <w:r w:rsidR="00595367" w:rsidRPr="00A63AF1">
              <w:t xml:space="preserve"> and </w:t>
            </w:r>
            <w:r w:rsidR="00595367" w:rsidRPr="00A63AF1">
              <w:fldChar w:fldCharType="begin" w:fldLock="1"/>
            </w:r>
            <w:r w:rsidR="00595367" w:rsidRPr="00A63AF1">
              <w:instrText xml:space="preserve"> REF _Ref130548327 \r \h  \* MERGEFORMAT </w:instrText>
            </w:r>
            <w:r w:rsidR="00595367" w:rsidRPr="00A63AF1">
              <w:fldChar w:fldCharType="separate"/>
            </w:r>
            <w:r w:rsidR="00595367" w:rsidRPr="00A63AF1">
              <w:t>6.73</w:t>
            </w:r>
            <w:r w:rsidR="00595367" w:rsidRPr="00A63AF1">
              <w:fldChar w:fldCharType="end"/>
            </w:r>
            <w:r w:rsidR="009B3CC4" w:rsidRPr="00A63AF1">
              <w:rPr>
                <w:lang w:val="en-US"/>
              </w:rPr>
              <w:t>.</w:t>
            </w:r>
            <w:r w:rsidR="00D83D43" w:rsidRPr="00A63AF1">
              <w:rPr>
                <w:lang w:val="en-US"/>
              </w:rPr>
              <w:t xml:space="preserve"> The PBAC considered discounting should not be applied for the financial estimates.</w:t>
            </w:r>
          </w:p>
        </w:tc>
      </w:tr>
      <w:tr w:rsidR="00012F49" w:rsidRPr="00C31E62" w14:paraId="7DA05E57" w14:textId="77777777" w:rsidTr="00595367">
        <w:trPr>
          <w:cantSplit/>
        </w:trPr>
        <w:tc>
          <w:tcPr>
            <w:tcW w:w="797" w:type="pct"/>
            <w:shd w:val="clear" w:color="auto" w:fill="auto"/>
            <w:vAlign w:val="center"/>
          </w:tcPr>
          <w:p w14:paraId="38021BE8" w14:textId="107EF402" w:rsidR="00012F49" w:rsidRPr="00C31E62" w:rsidRDefault="00012F49" w:rsidP="001C3FB9">
            <w:pPr>
              <w:pStyle w:val="COMTabletext"/>
              <w:keepNext w:val="0"/>
              <w:rPr>
                <w:lang w:val="en-US"/>
              </w:rPr>
            </w:pPr>
            <w:r w:rsidRPr="00012F49">
              <w:rPr>
                <w:lang w:val="en-US"/>
              </w:rPr>
              <w:t>Venetoclax scripts per patient</w:t>
            </w:r>
          </w:p>
        </w:tc>
        <w:tc>
          <w:tcPr>
            <w:tcW w:w="1873" w:type="pct"/>
            <w:shd w:val="clear" w:color="auto" w:fill="auto"/>
            <w:vAlign w:val="center"/>
          </w:tcPr>
          <w:p w14:paraId="43F57750" w14:textId="6BC945BA" w:rsidR="00012F49" w:rsidRPr="00C31E62" w:rsidRDefault="00012F49" w:rsidP="001C3FB9">
            <w:pPr>
              <w:pStyle w:val="COMTabletext"/>
              <w:keepNext w:val="0"/>
              <w:rPr>
                <w:lang w:val="en-US"/>
              </w:rPr>
            </w:pPr>
            <w:r w:rsidRPr="00012F49">
              <w:rPr>
                <w:lang w:val="en-US"/>
              </w:rPr>
              <w:t>1 initial script + 8.67 continuing scripts</w:t>
            </w:r>
            <w:r>
              <w:rPr>
                <w:lang w:val="en-US"/>
              </w:rPr>
              <w:t xml:space="preserve">; </w:t>
            </w:r>
            <w:r w:rsidRPr="00012F49">
              <w:rPr>
                <w:lang w:val="en-US"/>
              </w:rPr>
              <w:t>Based on the number of initial and continuing venetoclax scripts among patients in the venetoclax + obinutuzumab arm of the CLL-14 trial (reported in Table 7, p16 of the July 2020 venetoclax PSD).</w:t>
            </w:r>
          </w:p>
        </w:tc>
        <w:tc>
          <w:tcPr>
            <w:tcW w:w="2331" w:type="pct"/>
            <w:shd w:val="clear" w:color="auto" w:fill="auto"/>
          </w:tcPr>
          <w:p w14:paraId="3AEEFE59" w14:textId="57542C54" w:rsidR="00012F49" w:rsidRPr="00C31E62" w:rsidRDefault="00012F49" w:rsidP="001C3FB9">
            <w:pPr>
              <w:pStyle w:val="COMTabletext"/>
              <w:keepNext w:val="0"/>
              <w:rPr>
                <w:lang w:val="en-US"/>
              </w:rPr>
            </w:pPr>
            <w:r w:rsidRPr="00021B9D">
              <w:rPr>
                <w:szCs w:val="20"/>
              </w:rPr>
              <w:t xml:space="preserve">The number of </w:t>
            </w:r>
            <w:r w:rsidR="00C52DF7" w:rsidRPr="00021B9D">
              <w:rPr>
                <w:szCs w:val="20"/>
              </w:rPr>
              <w:t xml:space="preserve">venetoclax </w:t>
            </w:r>
            <w:r w:rsidRPr="00021B9D">
              <w:rPr>
                <w:szCs w:val="20"/>
              </w:rPr>
              <w:t>scripts in clinical practice may differ from the clinical trial setting.</w:t>
            </w:r>
          </w:p>
        </w:tc>
      </w:tr>
      <w:tr w:rsidR="00012F49" w:rsidRPr="00021B9D" w14:paraId="7B7FA999" w14:textId="77777777" w:rsidTr="00595367">
        <w:trPr>
          <w:cantSplit/>
        </w:trPr>
        <w:tc>
          <w:tcPr>
            <w:tcW w:w="797" w:type="pct"/>
            <w:shd w:val="clear" w:color="auto" w:fill="auto"/>
            <w:vAlign w:val="center"/>
          </w:tcPr>
          <w:p w14:paraId="2C67FF14" w14:textId="50A8536D" w:rsidR="00012F49" w:rsidRPr="00021B9D" w:rsidRDefault="00012F49" w:rsidP="001C3FB9">
            <w:pPr>
              <w:pStyle w:val="COMTabletext"/>
              <w:keepNext w:val="0"/>
              <w:rPr>
                <w:lang w:val="en-US"/>
              </w:rPr>
            </w:pPr>
            <w:r w:rsidRPr="00021B9D">
              <w:rPr>
                <w:lang w:val="en-US"/>
              </w:rPr>
              <w:lastRenderedPageBreak/>
              <w:t>Obinutuzumab scripts per course</w:t>
            </w:r>
          </w:p>
        </w:tc>
        <w:tc>
          <w:tcPr>
            <w:tcW w:w="1873" w:type="pct"/>
            <w:shd w:val="clear" w:color="auto" w:fill="auto"/>
            <w:vAlign w:val="center"/>
          </w:tcPr>
          <w:p w14:paraId="2CB17643" w14:textId="247D5559" w:rsidR="00012F49" w:rsidRPr="00021B9D" w:rsidRDefault="00012F49" w:rsidP="001C3FB9">
            <w:pPr>
              <w:pStyle w:val="COMTabletext"/>
              <w:keepNext w:val="0"/>
              <w:rPr>
                <w:lang w:val="en-US"/>
              </w:rPr>
            </w:pPr>
            <w:r w:rsidRPr="00021B9D">
              <w:rPr>
                <w:szCs w:val="20"/>
              </w:rPr>
              <w:t>7.355; Based on the number of obinutuzumab scripts among patients in the venetoclax + obinutuzumab arm of the CLL-14 trial (reported in Table 7, p16 of the July 2020 venetoclax PSD).</w:t>
            </w:r>
          </w:p>
        </w:tc>
        <w:tc>
          <w:tcPr>
            <w:tcW w:w="2331" w:type="pct"/>
            <w:shd w:val="clear" w:color="auto" w:fill="auto"/>
          </w:tcPr>
          <w:p w14:paraId="2F12B392" w14:textId="7B1E042A" w:rsidR="00012F49" w:rsidRPr="00021B9D" w:rsidRDefault="00012F49" w:rsidP="001C3FB9">
            <w:pPr>
              <w:pStyle w:val="COMTabletext"/>
              <w:keepNext w:val="0"/>
              <w:rPr>
                <w:lang w:val="en-US"/>
              </w:rPr>
            </w:pPr>
            <w:r w:rsidRPr="00021B9D">
              <w:rPr>
                <w:szCs w:val="20"/>
              </w:rPr>
              <w:t>The number of obinutuzumab scripts in clinical practice may differ from the clinical trial setting.</w:t>
            </w:r>
          </w:p>
        </w:tc>
      </w:tr>
      <w:tr w:rsidR="00012F49" w:rsidRPr="00021B9D" w14:paraId="36740816" w14:textId="77777777" w:rsidTr="00595367">
        <w:trPr>
          <w:cantSplit/>
        </w:trPr>
        <w:tc>
          <w:tcPr>
            <w:tcW w:w="797" w:type="pct"/>
            <w:shd w:val="clear" w:color="auto" w:fill="auto"/>
            <w:vAlign w:val="center"/>
          </w:tcPr>
          <w:p w14:paraId="60430002" w14:textId="56574832" w:rsidR="00012F49" w:rsidRPr="00021B9D" w:rsidRDefault="00012F49" w:rsidP="001C3FB9">
            <w:pPr>
              <w:pStyle w:val="COMTabletext"/>
              <w:keepNext w:val="0"/>
              <w:rPr>
                <w:lang w:val="en-US"/>
              </w:rPr>
            </w:pPr>
            <w:r w:rsidRPr="00021B9D">
              <w:rPr>
                <w:lang w:val="en-US"/>
              </w:rPr>
              <w:t>Venetoclax and obinutuzumab script substitution factor</w:t>
            </w:r>
          </w:p>
        </w:tc>
        <w:tc>
          <w:tcPr>
            <w:tcW w:w="1873" w:type="pct"/>
            <w:shd w:val="clear" w:color="auto" w:fill="auto"/>
            <w:vAlign w:val="center"/>
          </w:tcPr>
          <w:p w14:paraId="05643149" w14:textId="3BC100FF" w:rsidR="00012F49" w:rsidRPr="00021B9D" w:rsidRDefault="00012F49" w:rsidP="001C3FB9">
            <w:pPr>
              <w:pStyle w:val="COMTabletext"/>
              <w:keepNext w:val="0"/>
              <w:rPr>
                <w:lang w:val="en-US"/>
              </w:rPr>
            </w:pPr>
            <w:r w:rsidRPr="00021B9D">
              <w:rPr>
                <w:lang w:val="en-US"/>
              </w:rPr>
              <w:t>4.110; Derived by dividing the assumed mean treatment duration for zanubrutinib (70 months) by the total number of venetoclax and obinutuzumab scripts per course (17.025).</w:t>
            </w:r>
          </w:p>
        </w:tc>
        <w:tc>
          <w:tcPr>
            <w:tcW w:w="2331" w:type="pct"/>
            <w:shd w:val="clear" w:color="auto" w:fill="auto"/>
            <w:vAlign w:val="center"/>
          </w:tcPr>
          <w:p w14:paraId="6FC367DA" w14:textId="7A072844" w:rsidR="00012F49" w:rsidRPr="00021B9D" w:rsidRDefault="00012F49" w:rsidP="001C3FB9">
            <w:pPr>
              <w:pStyle w:val="COMTabletext"/>
              <w:keepNext w:val="0"/>
              <w:rPr>
                <w:lang w:val="en-US"/>
              </w:rPr>
            </w:pPr>
            <w:r w:rsidRPr="00021B9D">
              <w:rPr>
                <w:lang w:val="en-US"/>
              </w:rPr>
              <w:t xml:space="preserve">The mean treatment duration for zanubrutinib is uncertain and may be longer than estimated. The application of a 5% discount to time to treatment discontinuation </w:t>
            </w:r>
            <w:r w:rsidR="00C52DF7" w:rsidRPr="00021B9D">
              <w:rPr>
                <w:lang w:val="en-US"/>
              </w:rPr>
              <w:t>may not be reasonable for deriving the estimated financial implications to the PBS.</w:t>
            </w:r>
            <w:r w:rsidR="00D83D43">
              <w:rPr>
                <w:lang w:val="en-US"/>
              </w:rPr>
              <w:t xml:space="preserve"> The PBAC considered discounting should not be applied for the financial estimates.</w:t>
            </w:r>
          </w:p>
        </w:tc>
      </w:tr>
      <w:tr w:rsidR="00012F49" w:rsidRPr="00021B9D" w14:paraId="2CAD7976" w14:textId="77777777" w:rsidTr="00595367">
        <w:trPr>
          <w:cantSplit/>
        </w:trPr>
        <w:tc>
          <w:tcPr>
            <w:tcW w:w="797" w:type="pct"/>
            <w:shd w:val="clear" w:color="auto" w:fill="auto"/>
            <w:vAlign w:val="center"/>
          </w:tcPr>
          <w:p w14:paraId="67DCF27E" w14:textId="3F7ED559" w:rsidR="00012F49" w:rsidRPr="00021B9D" w:rsidRDefault="005C5FB4" w:rsidP="001C3FB9">
            <w:pPr>
              <w:pStyle w:val="COMTabletext"/>
              <w:keepNext w:val="0"/>
              <w:rPr>
                <w:lang w:val="en-US"/>
              </w:rPr>
            </w:pPr>
            <w:r w:rsidRPr="00021B9D">
              <w:rPr>
                <w:lang w:val="en-US"/>
              </w:rPr>
              <w:t>Proportion of zanubrutinib scripts each year</w:t>
            </w:r>
          </w:p>
        </w:tc>
        <w:tc>
          <w:tcPr>
            <w:tcW w:w="1873" w:type="pct"/>
            <w:shd w:val="clear" w:color="auto" w:fill="auto"/>
            <w:vAlign w:val="center"/>
          </w:tcPr>
          <w:p w14:paraId="224FAE4E" w14:textId="2E94C51E" w:rsidR="00012F49" w:rsidRPr="00021B9D" w:rsidRDefault="005C5FB4" w:rsidP="001C3FB9">
            <w:pPr>
              <w:pStyle w:val="COMTabletext"/>
              <w:keepNext w:val="0"/>
              <w:rPr>
                <w:lang w:val="en-US"/>
              </w:rPr>
            </w:pPr>
            <w:r w:rsidRPr="00021B9D">
              <w:rPr>
                <w:lang w:val="en-US"/>
              </w:rPr>
              <w:t>13.53%; Derived by dividing the assumed mean treatment duration for venetoclax by the assumed mean treatment duration for zanubrutinib (9.47 months ÷ 70 months = 13.5%), equating to 7.39 years (1 ÷ 13.5% = 7.39).</w:t>
            </w:r>
          </w:p>
        </w:tc>
        <w:tc>
          <w:tcPr>
            <w:tcW w:w="2331" w:type="pct"/>
            <w:shd w:val="clear" w:color="auto" w:fill="auto"/>
            <w:vAlign w:val="center"/>
          </w:tcPr>
          <w:p w14:paraId="65DEBAB4" w14:textId="04FC86D4" w:rsidR="00012F49" w:rsidRPr="00021B9D" w:rsidRDefault="005C5FB4" w:rsidP="001C3FB9">
            <w:pPr>
              <w:pStyle w:val="COMTabletext"/>
              <w:keepNext w:val="0"/>
              <w:rPr>
                <w:lang w:val="en-US"/>
              </w:rPr>
            </w:pPr>
            <w:r w:rsidRPr="00021B9D">
              <w:rPr>
                <w:lang w:val="en-US"/>
              </w:rPr>
              <w:t>The submission</w:t>
            </w:r>
            <w:r w:rsidR="00A535E0">
              <w:rPr>
                <w:lang w:val="en-US"/>
              </w:rPr>
              <w:t>’s</w:t>
            </w:r>
            <w:r w:rsidRPr="00021B9D">
              <w:rPr>
                <w:lang w:val="en-US"/>
              </w:rPr>
              <w:t xml:space="preserve"> assumption of a zanubrutinib treatment duration of 7.39 years was not adequately justified.</w:t>
            </w:r>
          </w:p>
        </w:tc>
      </w:tr>
    </w:tbl>
    <w:p w14:paraId="21F3C2F3" w14:textId="77777777" w:rsidR="00386E31" w:rsidRDefault="00E42F73" w:rsidP="00386E31">
      <w:pPr>
        <w:pStyle w:val="COMTablefooter"/>
      </w:pPr>
      <w:r w:rsidRPr="00C31E62">
        <w:t xml:space="preserve">Source: </w:t>
      </w:r>
      <w:r w:rsidR="00A9443B" w:rsidRPr="00A9443B">
        <w:t>‘Section4_TN CLL’ Excel workbook</w:t>
      </w:r>
      <w:r w:rsidR="00386E31">
        <w:t>.</w:t>
      </w:r>
    </w:p>
    <w:p w14:paraId="5DBA703E" w14:textId="10590D00" w:rsidR="00386E31" w:rsidRDefault="00386E31" w:rsidP="006952BF">
      <w:pPr>
        <w:pStyle w:val="COMTablefooter"/>
        <w:spacing w:after="0"/>
      </w:pPr>
      <w:r>
        <w:t xml:space="preserve">Abbreviations: BTK = Bruton’s tyrosine kinase, </w:t>
      </w:r>
      <w:r w:rsidR="00AF4B22">
        <w:t xml:space="preserve">PSCR = pre-sub-committee response, </w:t>
      </w:r>
      <w:r>
        <w:t>PSD = pub</w:t>
      </w:r>
      <w:r w:rsidR="006511B5">
        <w:t>l</w:t>
      </w:r>
      <w:r>
        <w:t>ic summary document</w:t>
      </w:r>
    </w:p>
    <w:p w14:paraId="19734EC1" w14:textId="77777777" w:rsidR="006952BF" w:rsidRDefault="006952BF" w:rsidP="006952BF">
      <w:pPr>
        <w:rPr>
          <w:rFonts w:ascii="Arial Narrow" w:hAnsi="Arial Narrow"/>
          <w:i/>
          <w:sz w:val="18"/>
          <w:szCs w:val="18"/>
        </w:rPr>
      </w:pPr>
      <w:r>
        <w:rPr>
          <w:rFonts w:ascii="Arial Narrow" w:hAnsi="Arial Narrow"/>
          <w:i/>
          <w:sz w:val="18"/>
          <w:szCs w:val="18"/>
        </w:rPr>
        <w:t xml:space="preserve">The redacted values correspond to the following ranges: </w:t>
      </w:r>
    </w:p>
    <w:p w14:paraId="435470AC" w14:textId="05064199" w:rsidR="006952BF" w:rsidRPr="006952BF" w:rsidRDefault="006952BF" w:rsidP="006952BF">
      <w:pPr>
        <w:spacing w:after="120"/>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6952BF">
        <w:rPr>
          <w:rFonts w:ascii="Arial Narrow" w:hAnsi="Arial Narrow"/>
          <w:i/>
          <w:sz w:val="18"/>
          <w:szCs w:val="18"/>
        </w:rPr>
        <w:t>&lt; 500</w:t>
      </w:r>
    </w:p>
    <w:p w14:paraId="04761EDB" w14:textId="6D89E7E8" w:rsidR="00A10AE1" w:rsidRPr="00C25CFB" w:rsidRDefault="00A10AE1" w:rsidP="00A10AE1">
      <w:pPr>
        <w:pStyle w:val="COMexecsumnumberedpara"/>
      </w:pPr>
      <w:bookmarkStart w:id="73" w:name="_Ref104805295"/>
      <w:r>
        <w:t xml:space="preserve">The estimated net cost to the PBS/RPBS of listing </w:t>
      </w:r>
      <w:r w:rsidR="0097337D">
        <w:t>zanubrutinib, based on published prices,</w:t>
      </w:r>
      <w:r>
        <w:t xml:space="preserve"> is presented in </w:t>
      </w:r>
      <w:r>
        <w:fldChar w:fldCharType="begin" w:fldLock="1"/>
      </w:r>
      <w:r>
        <w:instrText xml:space="preserve"> REF _Ref123905864 \h </w:instrText>
      </w:r>
      <w:r>
        <w:fldChar w:fldCharType="separate"/>
      </w:r>
      <w:r w:rsidR="00540D87" w:rsidRPr="00C31E62">
        <w:t xml:space="preserve">Table </w:t>
      </w:r>
      <w:r w:rsidR="00540D87">
        <w:rPr>
          <w:noProof/>
        </w:rPr>
        <w:t>15</w:t>
      </w:r>
      <w:r>
        <w:fldChar w:fldCharType="end"/>
      </w:r>
      <w:r>
        <w:t xml:space="preserve">. </w:t>
      </w:r>
    </w:p>
    <w:p w14:paraId="38EC053C" w14:textId="02CFD412" w:rsidR="00C25D9C" w:rsidRPr="00C31E62" w:rsidRDefault="00E16AD8" w:rsidP="00FD4ED6">
      <w:pPr>
        <w:pStyle w:val="COMtablefigcaption"/>
      </w:pPr>
      <w:bookmarkStart w:id="74" w:name="_Ref123905864"/>
      <w:r w:rsidRPr="00C31E62">
        <w:lastRenderedPageBreak/>
        <w:t xml:space="preserve">Table </w:t>
      </w:r>
      <w:fldSimple w:instr=" SEQ Table \* ARABIC " w:fldLock="1">
        <w:r w:rsidR="00540D87">
          <w:rPr>
            <w:noProof/>
          </w:rPr>
          <w:t>15</w:t>
        </w:r>
      </w:fldSimple>
      <w:bookmarkEnd w:id="73"/>
      <w:bookmarkEnd w:id="74"/>
      <w:r w:rsidRPr="00C31E62">
        <w:t>:</w:t>
      </w:r>
      <w:r w:rsidR="002A2F50" w:rsidRPr="00C31E62">
        <w:t xml:space="preserve"> Estimated use and financial implications</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134"/>
        <w:gridCol w:w="1134"/>
        <w:gridCol w:w="1095"/>
        <w:gridCol w:w="1122"/>
        <w:gridCol w:w="1044"/>
        <w:gridCol w:w="1222"/>
      </w:tblGrid>
      <w:tr w:rsidR="00A10AE1" w:rsidRPr="0091634E" w14:paraId="7DBFBD79" w14:textId="77777777" w:rsidTr="009874D2">
        <w:trPr>
          <w:tblHeader/>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4636EF36"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3BF83" w14:textId="77777777" w:rsidR="00A10AE1" w:rsidRPr="0091634E" w:rsidRDefault="00A10AE1" w:rsidP="006A1BBC">
            <w:pPr>
              <w:keepNext/>
              <w:jc w:val="center"/>
              <w:textAlignment w:val="baseline"/>
              <w:rPr>
                <w:rFonts w:ascii="Arial Narrow" w:hAnsi="Arial Narrow" w:cs="Times New Roman"/>
                <w:sz w:val="20"/>
                <w:szCs w:val="20"/>
              </w:rPr>
            </w:pPr>
            <w:r w:rsidRPr="0091634E">
              <w:rPr>
                <w:rFonts w:ascii="Arial Narrow" w:hAnsi="Arial Narrow" w:cs="Times New Roman"/>
                <w:b/>
                <w:bCs/>
                <w:sz w:val="20"/>
                <w:szCs w:val="20"/>
              </w:rPr>
              <w:t>Year 1</w:t>
            </w:r>
            <w:r w:rsidRPr="0091634E">
              <w:rPr>
                <w:rFonts w:ascii="Arial Narrow" w:hAnsi="Arial Narrow" w:cs="Times New Roman"/>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6D6B7" w14:textId="77777777" w:rsidR="00A10AE1" w:rsidRPr="0091634E" w:rsidRDefault="00A10AE1" w:rsidP="006A1BBC">
            <w:pPr>
              <w:keepNext/>
              <w:jc w:val="center"/>
              <w:textAlignment w:val="baseline"/>
              <w:rPr>
                <w:rFonts w:ascii="Arial Narrow" w:hAnsi="Arial Narrow" w:cs="Times New Roman"/>
                <w:sz w:val="20"/>
                <w:szCs w:val="20"/>
              </w:rPr>
            </w:pPr>
            <w:r w:rsidRPr="0091634E">
              <w:rPr>
                <w:rFonts w:ascii="Arial Narrow" w:hAnsi="Arial Narrow" w:cs="Times New Roman"/>
                <w:b/>
                <w:bCs/>
                <w:sz w:val="20"/>
                <w:szCs w:val="20"/>
              </w:rPr>
              <w:t>Year 2</w:t>
            </w:r>
            <w:r w:rsidRPr="0091634E">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7E0F4" w14:textId="77777777" w:rsidR="00A10AE1" w:rsidRPr="0091634E" w:rsidRDefault="00A10AE1" w:rsidP="006A1BBC">
            <w:pPr>
              <w:keepNext/>
              <w:jc w:val="center"/>
              <w:textAlignment w:val="baseline"/>
              <w:rPr>
                <w:rFonts w:ascii="Arial Narrow" w:hAnsi="Arial Narrow" w:cs="Times New Roman"/>
                <w:sz w:val="20"/>
                <w:szCs w:val="20"/>
              </w:rPr>
            </w:pPr>
            <w:r w:rsidRPr="0091634E">
              <w:rPr>
                <w:rFonts w:ascii="Arial Narrow" w:hAnsi="Arial Narrow" w:cs="Times New Roman"/>
                <w:b/>
                <w:bCs/>
                <w:sz w:val="20"/>
                <w:szCs w:val="20"/>
              </w:rPr>
              <w:t>Year 3</w:t>
            </w:r>
            <w:r w:rsidRPr="0091634E">
              <w:rPr>
                <w:rFonts w:ascii="Arial Narrow" w:hAnsi="Arial Narrow" w:cs="Times New Roman"/>
                <w:sz w:val="20"/>
                <w:szCs w:val="20"/>
              </w:rPr>
              <w:t> </w:t>
            </w:r>
          </w:p>
        </w:tc>
        <w:tc>
          <w:tcPr>
            <w:tcW w:w="11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DCC81" w14:textId="77777777" w:rsidR="00A10AE1" w:rsidRPr="0091634E" w:rsidRDefault="00A10AE1" w:rsidP="006A1BBC">
            <w:pPr>
              <w:keepNext/>
              <w:jc w:val="center"/>
              <w:textAlignment w:val="baseline"/>
              <w:rPr>
                <w:rFonts w:ascii="Arial Narrow" w:hAnsi="Arial Narrow" w:cs="Times New Roman"/>
                <w:sz w:val="20"/>
                <w:szCs w:val="20"/>
              </w:rPr>
            </w:pPr>
            <w:r w:rsidRPr="0091634E">
              <w:rPr>
                <w:rFonts w:ascii="Arial Narrow" w:hAnsi="Arial Narrow" w:cs="Times New Roman"/>
                <w:b/>
                <w:bCs/>
                <w:sz w:val="20"/>
                <w:szCs w:val="20"/>
              </w:rPr>
              <w:t>Year 4</w:t>
            </w:r>
            <w:r w:rsidRPr="0091634E">
              <w:rPr>
                <w:rFonts w:ascii="Arial Narrow" w:hAnsi="Arial Narrow" w:cs="Times New Roman"/>
                <w:sz w:val="20"/>
                <w:szCs w:val="20"/>
              </w:rPr>
              <w:t>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B3EDE" w14:textId="77777777" w:rsidR="00A10AE1" w:rsidRPr="0091634E" w:rsidRDefault="00A10AE1" w:rsidP="006A1BBC">
            <w:pPr>
              <w:keepNext/>
              <w:jc w:val="center"/>
              <w:textAlignment w:val="baseline"/>
              <w:rPr>
                <w:rFonts w:ascii="Arial Narrow" w:hAnsi="Arial Narrow" w:cs="Times New Roman"/>
                <w:sz w:val="20"/>
                <w:szCs w:val="20"/>
              </w:rPr>
            </w:pPr>
            <w:r w:rsidRPr="0091634E">
              <w:rPr>
                <w:rFonts w:ascii="Arial Narrow" w:hAnsi="Arial Narrow" w:cs="Times New Roman"/>
                <w:b/>
                <w:bCs/>
                <w:sz w:val="20"/>
                <w:szCs w:val="20"/>
              </w:rPr>
              <w:t>Year 5</w:t>
            </w:r>
            <w:r w:rsidRPr="0091634E">
              <w:rPr>
                <w:rFonts w:ascii="Arial Narrow" w:hAnsi="Arial Narrow" w:cs="Times New Roman"/>
                <w:sz w:val="20"/>
                <w:szCs w:val="20"/>
              </w:rPr>
              <w:t> </w:t>
            </w:r>
          </w:p>
        </w:tc>
        <w:tc>
          <w:tcPr>
            <w:tcW w:w="1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78180" w14:textId="77777777" w:rsidR="00A10AE1" w:rsidRPr="0091634E" w:rsidRDefault="00A10AE1" w:rsidP="006A1BBC">
            <w:pPr>
              <w:keepNext/>
              <w:jc w:val="center"/>
              <w:textAlignment w:val="baseline"/>
              <w:rPr>
                <w:rFonts w:ascii="Arial Narrow" w:hAnsi="Arial Narrow" w:cs="Times New Roman"/>
                <w:sz w:val="20"/>
                <w:szCs w:val="20"/>
              </w:rPr>
            </w:pPr>
            <w:r w:rsidRPr="0091634E">
              <w:rPr>
                <w:rFonts w:ascii="Arial Narrow" w:hAnsi="Arial Narrow" w:cs="Times New Roman"/>
                <w:b/>
                <w:bCs/>
                <w:sz w:val="20"/>
                <w:szCs w:val="20"/>
              </w:rPr>
              <w:t>Year 6</w:t>
            </w:r>
            <w:r w:rsidRPr="0091634E">
              <w:rPr>
                <w:rFonts w:ascii="Arial Narrow" w:hAnsi="Arial Narrow" w:cs="Times New Roman"/>
                <w:sz w:val="20"/>
                <w:szCs w:val="20"/>
              </w:rPr>
              <w:t> </w:t>
            </w:r>
          </w:p>
        </w:tc>
      </w:tr>
      <w:tr w:rsidR="00A10AE1" w:rsidRPr="0091634E" w14:paraId="6265CB7F" w14:textId="77777777" w:rsidTr="006A1BBC">
        <w:tc>
          <w:tcPr>
            <w:tcW w:w="9011" w:type="dxa"/>
            <w:gridSpan w:val="7"/>
            <w:tcBorders>
              <w:top w:val="single" w:sz="6" w:space="0" w:color="auto"/>
              <w:left w:val="single" w:sz="6" w:space="0" w:color="auto"/>
              <w:bottom w:val="single" w:sz="6" w:space="0" w:color="auto"/>
              <w:right w:val="single" w:sz="6" w:space="0" w:color="auto"/>
            </w:tcBorders>
            <w:shd w:val="clear" w:color="auto" w:fill="auto"/>
            <w:hideMark/>
          </w:tcPr>
          <w:p w14:paraId="3FD4D114" w14:textId="6FFD9CAE" w:rsidR="00A10AE1" w:rsidRPr="0091634E" w:rsidRDefault="0031031D" w:rsidP="006A1BBC">
            <w:pPr>
              <w:keepNext/>
              <w:jc w:val="left"/>
              <w:textAlignment w:val="baseline"/>
              <w:rPr>
                <w:rFonts w:ascii="Arial Narrow" w:hAnsi="Arial Narrow" w:cs="Times New Roman"/>
                <w:sz w:val="20"/>
                <w:szCs w:val="20"/>
              </w:rPr>
            </w:pPr>
            <w:r>
              <w:rPr>
                <w:rFonts w:ascii="Arial Narrow" w:hAnsi="Arial Narrow" w:cs="Times New Roman"/>
                <w:b/>
                <w:bCs/>
                <w:sz w:val="20"/>
                <w:szCs w:val="20"/>
              </w:rPr>
              <w:t>Estimated zanubrutinib</w:t>
            </w:r>
            <w:r w:rsidR="00A10AE1" w:rsidRPr="0091634E">
              <w:rPr>
                <w:rFonts w:ascii="Arial Narrow" w:hAnsi="Arial Narrow" w:cs="Times New Roman"/>
                <w:b/>
                <w:bCs/>
                <w:sz w:val="20"/>
                <w:szCs w:val="20"/>
              </w:rPr>
              <w:t xml:space="preserve"> utilisation</w:t>
            </w:r>
          </w:p>
        </w:tc>
      </w:tr>
      <w:tr w:rsidR="00A10AE1" w:rsidRPr="0091634E" w14:paraId="7622C77E"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763CC22A"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Venetoclax initial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1CF34" w14:textId="16F7E019"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7"/>
                <w:sz w:val="20"/>
                <w:szCs w:val="20"/>
                <w:shd w:val="solid" w:color="000000" w:fill="000000"/>
                <w:fitText w:val="183" w:id="-1232941054"/>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54"/>
                <w14:textFill>
                  <w14:solidFill>
                    <w14:srgbClr w14:val="000000">
                      <w14:alpha w14:val="100000"/>
                    </w14:srgbClr>
                  </w14:solidFill>
                </w14:textFill>
              </w:rPr>
              <w:t>|</w:t>
            </w:r>
            <w:r w:rsidR="009874D2" w:rsidRPr="00736711">
              <w:rPr>
                <w:rFonts w:cs="Times New Roman"/>
                <w:iCs/>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A6C0CD" w14:textId="07F44F54"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7"/>
                <w:sz w:val="20"/>
                <w:szCs w:val="20"/>
                <w:shd w:val="solid" w:color="000000" w:fill="000000"/>
                <w:fitText w:val="183" w:id="-1232941053"/>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53"/>
                <w14:textFill>
                  <w14:solidFill>
                    <w14:srgbClr w14:val="000000">
                      <w14:alpha w14:val="100000"/>
                    </w14:srgbClr>
                  </w14:solidFill>
                </w14:textFill>
              </w:rPr>
              <w:t>|</w:t>
            </w:r>
            <w:r w:rsidR="009874D2" w:rsidRPr="00736711">
              <w:rPr>
                <w:rFonts w:cs="Times New Roman"/>
                <w:iCs/>
                <w:sz w:val="20"/>
                <w:szCs w:val="20"/>
                <w:vertAlign w:val="superscript"/>
              </w:rPr>
              <w:t>1</w:t>
            </w:r>
          </w:p>
        </w:tc>
        <w:tc>
          <w:tcPr>
            <w:tcW w:w="1095" w:type="dxa"/>
            <w:tcBorders>
              <w:top w:val="single" w:sz="4" w:space="0" w:color="auto"/>
              <w:left w:val="nil"/>
              <w:bottom w:val="single" w:sz="4" w:space="0" w:color="auto"/>
              <w:right w:val="single" w:sz="4" w:space="0" w:color="auto"/>
            </w:tcBorders>
            <w:shd w:val="clear" w:color="auto" w:fill="auto"/>
            <w:vAlign w:val="center"/>
          </w:tcPr>
          <w:p w14:paraId="1E3F5A2E" w14:textId="4E713A33"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106"/>
                <w:sz w:val="20"/>
                <w:szCs w:val="20"/>
                <w:shd w:val="solid" w:color="000000" w:fill="000000"/>
                <w:fitText w:val="192" w:id="-1232941052"/>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92" w:id="-1232941052"/>
                <w14:textFill>
                  <w14:solidFill>
                    <w14:srgbClr w14:val="000000">
                      <w14:alpha w14:val="100000"/>
                    </w14:srgbClr>
                  </w14:solidFill>
                </w14:textFill>
              </w:rPr>
              <w:t>|</w:t>
            </w:r>
            <w:r w:rsidR="009874D2" w:rsidRPr="00736711">
              <w:rPr>
                <w:rFonts w:cs="Times New Roman"/>
                <w:iCs/>
                <w:sz w:val="20"/>
                <w:szCs w:val="20"/>
                <w:vertAlign w:val="superscript"/>
              </w:rPr>
              <w:t>1</w:t>
            </w:r>
          </w:p>
        </w:tc>
        <w:tc>
          <w:tcPr>
            <w:tcW w:w="1122" w:type="dxa"/>
            <w:tcBorders>
              <w:top w:val="single" w:sz="4" w:space="0" w:color="auto"/>
              <w:left w:val="nil"/>
              <w:bottom w:val="single" w:sz="4" w:space="0" w:color="auto"/>
              <w:right w:val="single" w:sz="4" w:space="0" w:color="auto"/>
            </w:tcBorders>
            <w:shd w:val="clear" w:color="auto" w:fill="auto"/>
            <w:vAlign w:val="center"/>
          </w:tcPr>
          <w:p w14:paraId="7F736B27" w14:textId="3348F6AB"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8"/>
                <w:sz w:val="20"/>
                <w:szCs w:val="20"/>
                <w:shd w:val="solid" w:color="000000" w:fill="000000"/>
                <w:fitText w:val="184" w:id="-1232941051"/>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4" w:id="-1232941051"/>
                <w14:textFill>
                  <w14:solidFill>
                    <w14:srgbClr w14:val="000000">
                      <w14:alpha w14:val="100000"/>
                    </w14:srgbClr>
                  </w14:solidFill>
                </w14:textFill>
              </w:rPr>
              <w:t>|</w:t>
            </w:r>
            <w:r w:rsidR="009874D2" w:rsidRPr="00736711">
              <w:rPr>
                <w:rFonts w:cs="Times New Roman"/>
                <w:iCs/>
                <w:sz w:val="20"/>
                <w:szCs w:val="20"/>
                <w:vertAlign w:val="superscript"/>
              </w:rPr>
              <w:t>1</w:t>
            </w:r>
          </w:p>
        </w:tc>
        <w:tc>
          <w:tcPr>
            <w:tcW w:w="1044" w:type="dxa"/>
            <w:tcBorders>
              <w:top w:val="single" w:sz="4" w:space="0" w:color="auto"/>
              <w:left w:val="nil"/>
              <w:bottom w:val="single" w:sz="4" w:space="0" w:color="auto"/>
              <w:right w:val="single" w:sz="4" w:space="0" w:color="auto"/>
            </w:tcBorders>
            <w:shd w:val="clear" w:color="auto" w:fill="auto"/>
            <w:vAlign w:val="center"/>
          </w:tcPr>
          <w:p w14:paraId="09E2AC36" w14:textId="24672633"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44"/>
                <w:sz w:val="20"/>
                <w:szCs w:val="20"/>
                <w:shd w:val="solid" w:color="000000" w:fill="000000"/>
                <w:fitText w:val="217" w:id="-1232941050"/>
                <w14:textFill>
                  <w14:solidFill>
                    <w14:srgbClr w14:val="000000">
                      <w14:alpha w14:val="100000"/>
                    </w14:srgbClr>
                  </w14:solidFill>
                </w14:textFill>
              </w:rPr>
              <w:t>||</w:t>
            </w:r>
            <w:r w:rsidRPr="006F2AD0">
              <w:rPr>
                <w:rFonts w:cs="Times New Roman"/>
                <w:color w:val="000000"/>
                <w:spacing w:val="2"/>
                <w:sz w:val="20"/>
                <w:szCs w:val="20"/>
                <w:shd w:val="solid" w:color="000000" w:fill="000000"/>
                <w:fitText w:val="217" w:id="-1232941050"/>
                <w14:textFill>
                  <w14:solidFill>
                    <w14:srgbClr w14:val="000000">
                      <w14:alpha w14:val="100000"/>
                    </w14:srgbClr>
                  </w14:solidFill>
                </w14:textFill>
              </w:rPr>
              <w:t>|</w:t>
            </w:r>
            <w:r w:rsidR="009874D2" w:rsidRPr="00736711">
              <w:rPr>
                <w:rFonts w:cs="Times New Roman"/>
                <w:iCs/>
                <w:sz w:val="20"/>
                <w:szCs w:val="20"/>
                <w:vertAlign w:val="superscript"/>
              </w:rPr>
              <w:t>1</w:t>
            </w:r>
          </w:p>
        </w:tc>
        <w:tc>
          <w:tcPr>
            <w:tcW w:w="1222" w:type="dxa"/>
            <w:tcBorders>
              <w:top w:val="single" w:sz="4" w:space="0" w:color="auto"/>
              <w:left w:val="nil"/>
              <w:bottom w:val="single" w:sz="4" w:space="0" w:color="auto"/>
              <w:right w:val="single" w:sz="4" w:space="0" w:color="auto"/>
            </w:tcBorders>
            <w:shd w:val="clear" w:color="auto" w:fill="auto"/>
            <w:vAlign w:val="center"/>
          </w:tcPr>
          <w:p w14:paraId="57F53C9A" w14:textId="6AAB77A9"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hint="eastAsia"/>
                <w:color w:val="000000"/>
                <w:w w:val="30"/>
                <w:sz w:val="20"/>
                <w:szCs w:val="20"/>
                <w:shd w:val="solid" w:color="000000" w:fill="000000"/>
                <w:fitText w:val="134" w:id="-1232941049"/>
                <w14:textFill>
                  <w14:solidFill>
                    <w14:srgbClr w14:val="000000">
                      <w14:alpha w14:val="100000"/>
                    </w14:srgbClr>
                  </w14:solidFill>
                </w14:textFill>
              </w:rPr>
              <w:t xml:space="preserve">　</w:t>
            </w:r>
            <w:r w:rsidRPr="006F2AD0">
              <w:rPr>
                <w:rFonts w:cs="Times New Roman"/>
                <w:color w:val="000000"/>
                <w:w w:val="30"/>
                <w:sz w:val="20"/>
                <w:szCs w:val="20"/>
                <w:shd w:val="solid" w:color="000000" w:fill="000000"/>
                <w:fitText w:val="134" w:id="-1232941049"/>
                <w14:textFill>
                  <w14:solidFill>
                    <w14:srgbClr w14:val="000000">
                      <w14:alpha w14:val="100000"/>
                    </w14:srgbClr>
                  </w14:solidFill>
                </w14:textFill>
              </w:rPr>
              <w:t>|</w:t>
            </w:r>
            <w:r w:rsidRPr="006F2AD0">
              <w:rPr>
                <w:rFonts w:cs="Times New Roman" w:hint="eastAsia"/>
                <w:color w:val="000000"/>
                <w:spacing w:val="2"/>
                <w:w w:val="30"/>
                <w:sz w:val="20"/>
                <w:szCs w:val="20"/>
                <w:shd w:val="solid" w:color="000000" w:fill="000000"/>
                <w:fitText w:val="134" w:id="-1232941049"/>
                <w14:textFill>
                  <w14:solidFill>
                    <w14:srgbClr w14:val="000000">
                      <w14:alpha w14:val="100000"/>
                    </w14:srgbClr>
                  </w14:solidFill>
                </w14:textFill>
              </w:rPr>
              <w:t xml:space="preserve">　</w:t>
            </w:r>
            <w:r w:rsidR="009874D2" w:rsidRPr="00736711">
              <w:rPr>
                <w:rFonts w:cs="Times New Roman"/>
                <w:iCs/>
                <w:sz w:val="20"/>
                <w:szCs w:val="20"/>
                <w:vertAlign w:val="superscript"/>
              </w:rPr>
              <w:t>1</w:t>
            </w:r>
          </w:p>
        </w:tc>
      </w:tr>
      <w:tr w:rsidR="00A10AE1" w:rsidRPr="0091634E" w14:paraId="5A0138FE"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2F4C2E07"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Venetoclax continuing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8E82C2" w14:textId="166E6FAF"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7"/>
                <w:sz w:val="20"/>
                <w:szCs w:val="20"/>
                <w:shd w:val="solid" w:color="000000" w:fill="000000"/>
                <w:fitText w:val="183" w:id="-1232941048"/>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48"/>
                <w14:textFill>
                  <w14:solidFill>
                    <w14:srgbClr w14:val="000000">
                      <w14:alpha w14:val="100000"/>
                    </w14:srgbClr>
                  </w14:solidFill>
                </w14:textFill>
              </w:rPr>
              <w:t>|</w:t>
            </w:r>
            <w:r w:rsidR="009874D2">
              <w:rPr>
                <w:rFonts w:cs="Times New Roman"/>
                <w:iCs/>
                <w:sz w:val="20"/>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3B1981" w14:textId="688C039E"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7"/>
                <w:sz w:val="20"/>
                <w:szCs w:val="20"/>
                <w:shd w:val="solid" w:color="000000" w:fill="000000"/>
                <w:fitText w:val="183" w:id="-1232941047"/>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47"/>
                <w14:textFill>
                  <w14:solidFill>
                    <w14:srgbClr w14:val="000000">
                      <w14:alpha w14:val="100000"/>
                    </w14:srgbClr>
                  </w14:solidFill>
                </w14:textFill>
              </w:rPr>
              <w:t>|</w:t>
            </w:r>
            <w:r w:rsidR="009874D2">
              <w:rPr>
                <w:rFonts w:cs="Times New Roman"/>
                <w:iCs/>
                <w:sz w:val="20"/>
                <w:szCs w:val="20"/>
                <w:vertAlign w:val="superscript"/>
              </w:rPr>
              <w:t>2</w:t>
            </w:r>
          </w:p>
        </w:tc>
        <w:tc>
          <w:tcPr>
            <w:tcW w:w="1095" w:type="dxa"/>
            <w:tcBorders>
              <w:top w:val="single" w:sz="4" w:space="0" w:color="auto"/>
              <w:left w:val="nil"/>
              <w:bottom w:val="single" w:sz="4" w:space="0" w:color="auto"/>
              <w:right w:val="single" w:sz="4" w:space="0" w:color="auto"/>
            </w:tcBorders>
            <w:shd w:val="clear" w:color="auto" w:fill="auto"/>
            <w:vAlign w:val="center"/>
          </w:tcPr>
          <w:p w14:paraId="2C4E3937" w14:textId="16CE640A"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106"/>
                <w:sz w:val="20"/>
                <w:szCs w:val="20"/>
                <w:shd w:val="solid" w:color="000000" w:fill="000000"/>
                <w:fitText w:val="192" w:id="-1232941046"/>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92" w:id="-1232941046"/>
                <w14:textFill>
                  <w14:solidFill>
                    <w14:srgbClr w14:val="000000">
                      <w14:alpha w14:val="100000"/>
                    </w14:srgbClr>
                  </w14:solidFill>
                </w14:textFill>
              </w:rPr>
              <w:t>|</w:t>
            </w:r>
            <w:r w:rsidR="009874D2">
              <w:rPr>
                <w:rFonts w:cs="Times New Roman"/>
                <w:iCs/>
                <w:sz w:val="20"/>
                <w:szCs w:val="20"/>
                <w:vertAlign w:val="superscript"/>
              </w:rPr>
              <w:t>2</w:t>
            </w:r>
          </w:p>
        </w:tc>
        <w:tc>
          <w:tcPr>
            <w:tcW w:w="1122" w:type="dxa"/>
            <w:tcBorders>
              <w:top w:val="single" w:sz="4" w:space="0" w:color="auto"/>
              <w:left w:val="nil"/>
              <w:bottom w:val="single" w:sz="4" w:space="0" w:color="auto"/>
              <w:right w:val="single" w:sz="4" w:space="0" w:color="auto"/>
            </w:tcBorders>
            <w:shd w:val="clear" w:color="auto" w:fill="auto"/>
            <w:vAlign w:val="center"/>
          </w:tcPr>
          <w:p w14:paraId="4FF5B42B" w14:textId="0121BE87"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8"/>
                <w:sz w:val="20"/>
                <w:szCs w:val="20"/>
                <w:shd w:val="solid" w:color="000000" w:fill="000000"/>
                <w:fitText w:val="184" w:id="-1232941045"/>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4" w:id="-1232941045"/>
                <w14:textFill>
                  <w14:solidFill>
                    <w14:srgbClr w14:val="000000">
                      <w14:alpha w14:val="100000"/>
                    </w14:srgbClr>
                  </w14:solidFill>
                </w14:textFill>
              </w:rPr>
              <w:t>|</w:t>
            </w:r>
            <w:r w:rsidR="009874D2">
              <w:rPr>
                <w:rFonts w:cs="Times New Roman"/>
                <w:iCs/>
                <w:sz w:val="20"/>
                <w:szCs w:val="20"/>
                <w:vertAlign w:val="superscript"/>
              </w:rPr>
              <w:t>2</w:t>
            </w:r>
          </w:p>
        </w:tc>
        <w:tc>
          <w:tcPr>
            <w:tcW w:w="1044" w:type="dxa"/>
            <w:tcBorders>
              <w:top w:val="single" w:sz="4" w:space="0" w:color="auto"/>
              <w:left w:val="nil"/>
              <w:bottom w:val="single" w:sz="4" w:space="0" w:color="auto"/>
              <w:right w:val="single" w:sz="4" w:space="0" w:color="auto"/>
            </w:tcBorders>
            <w:shd w:val="clear" w:color="auto" w:fill="auto"/>
            <w:vAlign w:val="center"/>
          </w:tcPr>
          <w:p w14:paraId="200DB083" w14:textId="2C53085B"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44"/>
                <w:sz w:val="20"/>
                <w:szCs w:val="20"/>
                <w:shd w:val="solid" w:color="000000" w:fill="000000"/>
                <w:fitText w:val="217" w:id="-1232941044"/>
                <w14:textFill>
                  <w14:solidFill>
                    <w14:srgbClr w14:val="000000">
                      <w14:alpha w14:val="100000"/>
                    </w14:srgbClr>
                  </w14:solidFill>
                </w14:textFill>
              </w:rPr>
              <w:t>||</w:t>
            </w:r>
            <w:r w:rsidRPr="006F2AD0">
              <w:rPr>
                <w:rFonts w:cs="Times New Roman"/>
                <w:color w:val="000000"/>
                <w:spacing w:val="2"/>
                <w:sz w:val="20"/>
                <w:szCs w:val="20"/>
                <w:shd w:val="solid" w:color="000000" w:fill="000000"/>
                <w:fitText w:val="217" w:id="-1232941044"/>
                <w14:textFill>
                  <w14:solidFill>
                    <w14:srgbClr w14:val="000000">
                      <w14:alpha w14:val="100000"/>
                    </w14:srgbClr>
                  </w14:solidFill>
                </w14:textFill>
              </w:rPr>
              <w:t>|</w:t>
            </w:r>
            <w:r w:rsidR="009874D2">
              <w:rPr>
                <w:rFonts w:cs="Times New Roman"/>
                <w:iCs/>
                <w:sz w:val="20"/>
                <w:szCs w:val="20"/>
                <w:vertAlign w:val="superscript"/>
              </w:rPr>
              <w:t>2</w:t>
            </w:r>
          </w:p>
        </w:tc>
        <w:tc>
          <w:tcPr>
            <w:tcW w:w="1222" w:type="dxa"/>
            <w:tcBorders>
              <w:top w:val="single" w:sz="4" w:space="0" w:color="auto"/>
              <w:left w:val="nil"/>
              <w:bottom w:val="single" w:sz="4" w:space="0" w:color="auto"/>
              <w:right w:val="single" w:sz="4" w:space="0" w:color="auto"/>
            </w:tcBorders>
            <w:shd w:val="clear" w:color="auto" w:fill="auto"/>
            <w:vAlign w:val="center"/>
          </w:tcPr>
          <w:p w14:paraId="483951BA" w14:textId="2E24B63D"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hint="eastAsia"/>
                <w:color w:val="000000"/>
                <w:w w:val="30"/>
                <w:sz w:val="20"/>
                <w:szCs w:val="20"/>
                <w:shd w:val="solid" w:color="000000" w:fill="000000"/>
                <w:fitText w:val="134" w:id="-1232941043"/>
                <w14:textFill>
                  <w14:solidFill>
                    <w14:srgbClr w14:val="000000">
                      <w14:alpha w14:val="100000"/>
                    </w14:srgbClr>
                  </w14:solidFill>
                </w14:textFill>
              </w:rPr>
              <w:t xml:space="preserve">　</w:t>
            </w:r>
            <w:r w:rsidRPr="006F2AD0">
              <w:rPr>
                <w:rFonts w:cs="Times New Roman"/>
                <w:color w:val="000000"/>
                <w:w w:val="30"/>
                <w:sz w:val="20"/>
                <w:szCs w:val="20"/>
                <w:shd w:val="solid" w:color="000000" w:fill="000000"/>
                <w:fitText w:val="134" w:id="-1232941043"/>
                <w14:textFill>
                  <w14:solidFill>
                    <w14:srgbClr w14:val="000000">
                      <w14:alpha w14:val="100000"/>
                    </w14:srgbClr>
                  </w14:solidFill>
                </w14:textFill>
              </w:rPr>
              <w:t>|</w:t>
            </w:r>
            <w:r w:rsidRPr="006F2AD0">
              <w:rPr>
                <w:rFonts w:cs="Times New Roman" w:hint="eastAsia"/>
                <w:color w:val="000000"/>
                <w:spacing w:val="2"/>
                <w:w w:val="30"/>
                <w:sz w:val="20"/>
                <w:szCs w:val="20"/>
                <w:shd w:val="solid" w:color="000000" w:fill="000000"/>
                <w:fitText w:val="134" w:id="-1232941043"/>
                <w14:textFill>
                  <w14:solidFill>
                    <w14:srgbClr w14:val="000000">
                      <w14:alpha w14:val="100000"/>
                    </w14:srgbClr>
                  </w14:solidFill>
                </w14:textFill>
              </w:rPr>
              <w:t xml:space="preserve">　</w:t>
            </w:r>
            <w:r w:rsidR="009874D2">
              <w:rPr>
                <w:rFonts w:cs="Times New Roman"/>
                <w:iCs/>
                <w:sz w:val="20"/>
                <w:szCs w:val="20"/>
                <w:vertAlign w:val="superscript"/>
              </w:rPr>
              <w:t>2</w:t>
            </w:r>
          </w:p>
        </w:tc>
      </w:tr>
      <w:tr w:rsidR="00A10AE1" w:rsidRPr="0091634E" w14:paraId="75126539"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7BF43BBD"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Obinutuzumab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4CF33" w14:textId="518F92B4" w:rsidR="00A10AE1" w:rsidRPr="009874D2" w:rsidRDefault="006F2AD0" w:rsidP="006A1BBC">
            <w:pPr>
              <w:pStyle w:val="COMTablefooter"/>
              <w:keepNext/>
              <w:spacing w:after="0"/>
              <w:jc w:val="center"/>
              <w:rPr>
                <w:rFonts w:cs="Times New Roman"/>
                <w:sz w:val="20"/>
                <w:szCs w:val="20"/>
                <w:highlight w:val="darkGray"/>
              </w:rPr>
            </w:pPr>
            <w:r w:rsidRPr="006F2AD0">
              <w:rPr>
                <w:color w:val="000000"/>
                <w:spacing w:val="97"/>
                <w:sz w:val="20"/>
                <w:szCs w:val="20"/>
                <w:shd w:val="solid" w:color="000000" w:fill="000000"/>
                <w:fitText w:val="183" w:id="-1232941042"/>
                <w14:textFill>
                  <w14:solidFill>
                    <w14:srgbClr w14:val="000000">
                      <w14:alpha w14:val="100000"/>
                    </w14:srgbClr>
                  </w14:solidFill>
                </w14:textFill>
              </w:rPr>
              <w:t>|</w:t>
            </w:r>
            <w:r w:rsidRPr="006F2AD0">
              <w:rPr>
                <w:color w:val="000000"/>
                <w:spacing w:val="1"/>
                <w:sz w:val="20"/>
                <w:szCs w:val="20"/>
                <w:shd w:val="solid" w:color="000000" w:fill="000000"/>
                <w:fitText w:val="183" w:id="-1232941042"/>
                <w14:textFill>
                  <w14:solidFill>
                    <w14:srgbClr w14:val="000000">
                      <w14:alpha w14:val="100000"/>
                    </w14:srgbClr>
                  </w14:solidFill>
                </w14:textFill>
              </w:rPr>
              <w:t>|</w:t>
            </w:r>
            <w:r w:rsidR="009874D2">
              <w:rPr>
                <w:rFonts w:cs="Times New Roman"/>
                <w:iCs/>
                <w:sz w:val="20"/>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ADB603" w14:textId="508514D8" w:rsidR="00A10AE1" w:rsidRPr="009874D2" w:rsidRDefault="006F2AD0" w:rsidP="006A1BBC">
            <w:pPr>
              <w:pStyle w:val="COMTablefooter"/>
              <w:keepNext/>
              <w:spacing w:after="0"/>
              <w:jc w:val="center"/>
              <w:rPr>
                <w:rFonts w:cs="Times New Roman"/>
                <w:sz w:val="20"/>
                <w:szCs w:val="20"/>
                <w:highlight w:val="darkGray"/>
              </w:rPr>
            </w:pPr>
            <w:r w:rsidRPr="006F2AD0">
              <w:rPr>
                <w:color w:val="000000"/>
                <w:spacing w:val="97"/>
                <w:sz w:val="20"/>
                <w:szCs w:val="20"/>
                <w:shd w:val="solid" w:color="000000" w:fill="000000"/>
                <w:fitText w:val="183" w:id="-1232941041"/>
                <w14:textFill>
                  <w14:solidFill>
                    <w14:srgbClr w14:val="000000">
                      <w14:alpha w14:val="100000"/>
                    </w14:srgbClr>
                  </w14:solidFill>
                </w14:textFill>
              </w:rPr>
              <w:t>|</w:t>
            </w:r>
            <w:r w:rsidRPr="006F2AD0">
              <w:rPr>
                <w:color w:val="000000"/>
                <w:spacing w:val="1"/>
                <w:sz w:val="20"/>
                <w:szCs w:val="20"/>
                <w:shd w:val="solid" w:color="000000" w:fill="000000"/>
                <w:fitText w:val="183" w:id="-1232941041"/>
                <w14:textFill>
                  <w14:solidFill>
                    <w14:srgbClr w14:val="000000">
                      <w14:alpha w14:val="100000"/>
                    </w14:srgbClr>
                  </w14:solidFill>
                </w14:textFill>
              </w:rPr>
              <w:t>|</w:t>
            </w:r>
            <w:r w:rsidR="009874D2">
              <w:rPr>
                <w:rFonts w:cs="Times New Roman"/>
                <w:iCs/>
                <w:sz w:val="20"/>
                <w:szCs w:val="20"/>
                <w:vertAlign w:val="superscript"/>
              </w:rPr>
              <w:t>2</w:t>
            </w:r>
          </w:p>
        </w:tc>
        <w:tc>
          <w:tcPr>
            <w:tcW w:w="1095" w:type="dxa"/>
            <w:tcBorders>
              <w:top w:val="single" w:sz="4" w:space="0" w:color="auto"/>
              <w:left w:val="nil"/>
              <w:bottom w:val="single" w:sz="4" w:space="0" w:color="auto"/>
              <w:right w:val="single" w:sz="4" w:space="0" w:color="auto"/>
            </w:tcBorders>
            <w:shd w:val="clear" w:color="auto" w:fill="auto"/>
            <w:vAlign w:val="center"/>
          </w:tcPr>
          <w:p w14:paraId="572C6CCD" w14:textId="74DE8A1E" w:rsidR="00A10AE1" w:rsidRPr="009874D2" w:rsidRDefault="006F2AD0" w:rsidP="006A1BBC">
            <w:pPr>
              <w:pStyle w:val="COMTablefooter"/>
              <w:keepNext/>
              <w:spacing w:after="0"/>
              <w:jc w:val="center"/>
              <w:rPr>
                <w:rFonts w:cs="Times New Roman"/>
                <w:sz w:val="20"/>
                <w:szCs w:val="20"/>
                <w:highlight w:val="darkGray"/>
              </w:rPr>
            </w:pPr>
            <w:r w:rsidRPr="006F2AD0">
              <w:rPr>
                <w:color w:val="000000"/>
                <w:spacing w:val="106"/>
                <w:sz w:val="20"/>
                <w:szCs w:val="20"/>
                <w:shd w:val="solid" w:color="000000" w:fill="000000"/>
                <w:fitText w:val="192" w:id="-1232941040"/>
                <w14:textFill>
                  <w14:solidFill>
                    <w14:srgbClr w14:val="000000">
                      <w14:alpha w14:val="100000"/>
                    </w14:srgbClr>
                  </w14:solidFill>
                </w14:textFill>
              </w:rPr>
              <w:t>|</w:t>
            </w:r>
            <w:r w:rsidRPr="006F2AD0">
              <w:rPr>
                <w:color w:val="000000"/>
                <w:spacing w:val="1"/>
                <w:sz w:val="20"/>
                <w:szCs w:val="20"/>
                <w:shd w:val="solid" w:color="000000" w:fill="000000"/>
                <w:fitText w:val="192" w:id="-1232941040"/>
                <w14:textFill>
                  <w14:solidFill>
                    <w14:srgbClr w14:val="000000">
                      <w14:alpha w14:val="100000"/>
                    </w14:srgbClr>
                  </w14:solidFill>
                </w14:textFill>
              </w:rPr>
              <w:t>|</w:t>
            </w:r>
            <w:r w:rsidR="009874D2">
              <w:rPr>
                <w:rFonts w:cs="Times New Roman"/>
                <w:iCs/>
                <w:sz w:val="20"/>
                <w:szCs w:val="20"/>
                <w:vertAlign w:val="superscript"/>
              </w:rPr>
              <w:t>2</w:t>
            </w:r>
          </w:p>
        </w:tc>
        <w:tc>
          <w:tcPr>
            <w:tcW w:w="1122" w:type="dxa"/>
            <w:tcBorders>
              <w:top w:val="single" w:sz="4" w:space="0" w:color="auto"/>
              <w:left w:val="nil"/>
              <w:bottom w:val="single" w:sz="4" w:space="0" w:color="auto"/>
              <w:right w:val="single" w:sz="4" w:space="0" w:color="auto"/>
            </w:tcBorders>
            <w:shd w:val="clear" w:color="auto" w:fill="auto"/>
            <w:vAlign w:val="center"/>
          </w:tcPr>
          <w:p w14:paraId="5E56DAE6" w14:textId="00A17E3B" w:rsidR="00A10AE1" w:rsidRPr="009874D2" w:rsidRDefault="006F2AD0" w:rsidP="006A1BBC">
            <w:pPr>
              <w:pStyle w:val="COMTablefooter"/>
              <w:keepNext/>
              <w:spacing w:after="0"/>
              <w:jc w:val="center"/>
              <w:rPr>
                <w:rFonts w:cs="Times New Roman"/>
                <w:sz w:val="20"/>
                <w:szCs w:val="20"/>
                <w:highlight w:val="darkGray"/>
              </w:rPr>
            </w:pPr>
            <w:r w:rsidRPr="006F2AD0">
              <w:rPr>
                <w:color w:val="000000"/>
                <w:spacing w:val="98"/>
                <w:sz w:val="20"/>
                <w:szCs w:val="20"/>
                <w:shd w:val="solid" w:color="000000" w:fill="000000"/>
                <w:fitText w:val="184" w:id="-1232941056"/>
                <w14:textFill>
                  <w14:solidFill>
                    <w14:srgbClr w14:val="000000">
                      <w14:alpha w14:val="100000"/>
                    </w14:srgbClr>
                  </w14:solidFill>
                </w14:textFill>
              </w:rPr>
              <w:t>|</w:t>
            </w:r>
            <w:r w:rsidRPr="006F2AD0">
              <w:rPr>
                <w:color w:val="000000"/>
                <w:spacing w:val="1"/>
                <w:sz w:val="20"/>
                <w:szCs w:val="20"/>
                <w:shd w:val="solid" w:color="000000" w:fill="000000"/>
                <w:fitText w:val="184" w:id="-1232941056"/>
                <w14:textFill>
                  <w14:solidFill>
                    <w14:srgbClr w14:val="000000">
                      <w14:alpha w14:val="100000"/>
                    </w14:srgbClr>
                  </w14:solidFill>
                </w14:textFill>
              </w:rPr>
              <w:t>|</w:t>
            </w:r>
            <w:r w:rsidR="009874D2">
              <w:rPr>
                <w:rFonts w:cs="Times New Roman"/>
                <w:iCs/>
                <w:sz w:val="20"/>
                <w:szCs w:val="20"/>
                <w:vertAlign w:val="superscript"/>
              </w:rPr>
              <w:t>2</w:t>
            </w:r>
          </w:p>
        </w:tc>
        <w:tc>
          <w:tcPr>
            <w:tcW w:w="1044" w:type="dxa"/>
            <w:tcBorders>
              <w:top w:val="single" w:sz="4" w:space="0" w:color="auto"/>
              <w:left w:val="nil"/>
              <w:bottom w:val="single" w:sz="4" w:space="0" w:color="auto"/>
              <w:right w:val="single" w:sz="4" w:space="0" w:color="auto"/>
            </w:tcBorders>
            <w:shd w:val="clear" w:color="auto" w:fill="auto"/>
            <w:vAlign w:val="center"/>
          </w:tcPr>
          <w:p w14:paraId="45188F02" w14:textId="5B9A5ED7" w:rsidR="00A10AE1" w:rsidRPr="009874D2" w:rsidRDefault="006F2AD0" w:rsidP="006A1BBC">
            <w:pPr>
              <w:pStyle w:val="COMTablefooter"/>
              <w:keepNext/>
              <w:spacing w:after="0"/>
              <w:jc w:val="center"/>
              <w:rPr>
                <w:rFonts w:cs="Times New Roman"/>
                <w:sz w:val="20"/>
                <w:szCs w:val="20"/>
                <w:highlight w:val="darkGray"/>
              </w:rPr>
            </w:pPr>
            <w:r w:rsidRPr="006F2AD0">
              <w:rPr>
                <w:color w:val="000000"/>
                <w:spacing w:val="44"/>
                <w:sz w:val="20"/>
                <w:szCs w:val="20"/>
                <w:shd w:val="solid" w:color="000000" w:fill="000000"/>
                <w:fitText w:val="217" w:id="-1232941055"/>
                <w14:textFill>
                  <w14:solidFill>
                    <w14:srgbClr w14:val="000000">
                      <w14:alpha w14:val="100000"/>
                    </w14:srgbClr>
                  </w14:solidFill>
                </w14:textFill>
              </w:rPr>
              <w:t>||</w:t>
            </w:r>
            <w:r w:rsidRPr="006F2AD0">
              <w:rPr>
                <w:color w:val="000000"/>
                <w:spacing w:val="2"/>
                <w:sz w:val="20"/>
                <w:szCs w:val="20"/>
                <w:shd w:val="solid" w:color="000000" w:fill="000000"/>
                <w:fitText w:val="217" w:id="-1232941055"/>
                <w14:textFill>
                  <w14:solidFill>
                    <w14:srgbClr w14:val="000000">
                      <w14:alpha w14:val="100000"/>
                    </w14:srgbClr>
                  </w14:solidFill>
                </w14:textFill>
              </w:rPr>
              <w:t>|</w:t>
            </w:r>
            <w:r w:rsidR="009874D2">
              <w:rPr>
                <w:rFonts w:cs="Times New Roman"/>
                <w:iCs/>
                <w:sz w:val="20"/>
                <w:szCs w:val="20"/>
                <w:vertAlign w:val="superscript"/>
              </w:rPr>
              <w:t>2</w:t>
            </w:r>
          </w:p>
        </w:tc>
        <w:tc>
          <w:tcPr>
            <w:tcW w:w="1222" w:type="dxa"/>
            <w:tcBorders>
              <w:top w:val="single" w:sz="4" w:space="0" w:color="auto"/>
              <w:left w:val="nil"/>
              <w:bottom w:val="single" w:sz="4" w:space="0" w:color="auto"/>
              <w:right w:val="single" w:sz="4" w:space="0" w:color="auto"/>
            </w:tcBorders>
            <w:shd w:val="clear" w:color="auto" w:fill="auto"/>
            <w:vAlign w:val="center"/>
          </w:tcPr>
          <w:p w14:paraId="5A331751" w14:textId="186D19A6" w:rsidR="00A10AE1" w:rsidRPr="009874D2" w:rsidRDefault="006F2AD0" w:rsidP="006A1BBC">
            <w:pPr>
              <w:pStyle w:val="COMTablefooter"/>
              <w:keepNext/>
              <w:spacing w:after="0"/>
              <w:jc w:val="center"/>
              <w:rPr>
                <w:rFonts w:cs="Times New Roman"/>
                <w:sz w:val="20"/>
                <w:szCs w:val="20"/>
                <w:highlight w:val="darkGray"/>
              </w:rPr>
            </w:pPr>
            <w:r w:rsidRPr="006F2AD0">
              <w:rPr>
                <w:rFonts w:hint="eastAsia"/>
                <w:color w:val="000000"/>
                <w:w w:val="30"/>
                <w:sz w:val="20"/>
                <w:szCs w:val="20"/>
                <w:shd w:val="solid" w:color="000000" w:fill="000000"/>
                <w:fitText w:val="134" w:id="-1232941054"/>
                <w14:textFill>
                  <w14:solidFill>
                    <w14:srgbClr w14:val="000000">
                      <w14:alpha w14:val="100000"/>
                    </w14:srgbClr>
                  </w14:solidFill>
                </w14:textFill>
              </w:rPr>
              <w:t xml:space="preserve">　</w:t>
            </w:r>
            <w:r w:rsidRPr="006F2AD0">
              <w:rPr>
                <w:color w:val="000000"/>
                <w:w w:val="30"/>
                <w:sz w:val="20"/>
                <w:szCs w:val="20"/>
                <w:shd w:val="solid" w:color="000000" w:fill="000000"/>
                <w:fitText w:val="134" w:id="-1232941054"/>
                <w14:textFill>
                  <w14:solidFill>
                    <w14:srgbClr w14:val="000000">
                      <w14:alpha w14:val="100000"/>
                    </w14:srgbClr>
                  </w14:solidFill>
                </w14:textFill>
              </w:rPr>
              <w:t>|</w:t>
            </w:r>
            <w:r w:rsidRPr="006F2AD0">
              <w:rPr>
                <w:rFonts w:hint="eastAsia"/>
                <w:color w:val="000000"/>
                <w:spacing w:val="2"/>
                <w:w w:val="30"/>
                <w:sz w:val="20"/>
                <w:szCs w:val="20"/>
                <w:shd w:val="solid" w:color="000000" w:fill="000000"/>
                <w:fitText w:val="134" w:id="-1232941054"/>
                <w14:textFill>
                  <w14:solidFill>
                    <w14:srgbClr w14:val="000000">
                      <w14:alpha w14:val="100000"/>
                    </w14:srgbClr>
                  </w14:solidFill>
                </w14:textFill>
              </w:rPr>
              <w:t xml:space="preserve">　</w:t>
            </w:r>
            <w:r w:rsidR="009874D2">
              <w:rPr>
                <w:rFonts w:cs="Times New Roman"/>
                <w:iCs/>
                <w:sz w:val="20"/>
                <w:szCs w:val="20"/>
                <w:vertAlign w:val="superscript"/>
              </w:rPr>
              <w:t>2</w:t>
            </w:r>
          </w:p>
        </w:tc>
      </w:tr>
      <w:tr w:rsidR="00A10AE1" w:rsidRPr="0091634E" w14:paraId="20D4194D" w14:textId="77777777" w:rsidTr="009874D2">
        <w:trPr>
          <w:trHeight w:val="316"/>
        </w:trPr>
        <w:tc>
          <w:tcPr>
            <w:tcW w:w="2260" w:type="dxa"/>
            <w:tcBorders>
              <w:top w:val="single" w:sz="6" w:space="0" w:color="auto"/>
              <w:left w:val="single" w:sz="6" w:space="0" w:color="auto"/>
              <w:bottom w:val="single" w:sz="6" w:space="0" w:color="auto"/>
              <w:right w:val="single" w:sz="4" w:space="0" w:color="auto"/>
            </w:tcBorders>
            <w:shd w:val="clear" w:color="auto" w:fill="auto"/>
          </w:tcPr>
          <w:p w14:paraId="5DC24400"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Total venetoclax/obinutuzumab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79D6E" w14:textId="1A3C02AF"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89"/>
                <w:sz w:val="20"/>
                <w:szCs w:val="20"/>
                <w:shd w:val="solid" w:color="000000" w:fill="000000"/>
                <w:fitText w:val="175" w:id="-1232941053"/>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75" w:id="-1232941053"/>
                <w14:textFill>
                  <w14:solidFill>
                    <w14:srgbClr w14:val="000000">
                      <w14:alpha w14:val="100000"/>
                    </w14:srgbClr>
                  </w14:solidFill>
                </w14:textFill>
              </w:rPr>
              <w:t>|</w:t>
            </w:r>
            <w:r w:rsidR="009874D2">
              <w:rPr>
                <w:rFonts w:cs="Times New Roman"/>
                <w:iCs/>
                <w:szCs w:val="20"/>
                <w:vertAlign w:val="superscript"/>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1F27E1" w14:textId="2592ECD2"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89"/>
                <w:sz w:val="20"/>
                <w:szCs w:val="20"/>
                <w:shd w:val="solid" w:color="000000" w:fill="000000"/>
                <w:fitText w:val="175" w:id="-1232941052"/>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75" w:id="-1232941052"/>
                <w14:textFill>
                  <w14:solidFill>
                    <w14:srgbClr w14:val="000000">
                      <w14:alpha w14:val="100000"/>
                    </w14:srgbClr>
                  </w14:solidFill>
                </w14:textFill>
              </w:rPr>
              <w:t>|</w:t>
            </w:r>
            <w:r w:rsidR="009874D2">
              <w:rPr>
                <w:rFonts w:cs="Times New Roman"/>
                <w:iCs/>
                <w:szCs w:val="20"/>
                <w:vertAlign w:val="superscript"/>
              </w:rPr>
              <w:t>9</w:t>
            </w:r>
          </w:p>
        </w:tc>
        <w:tc>
          <w:tcPr>
            <w:tcW w:w="1095" w:type="dxa"/>
            <w:tcBorders>
              <w:top w:val="single" w:sz="4" w:space="0" w:color="auto"/>
              <w:left w:val="nil"/>
              <w:bottom w:val="single" w:sz="4" w:space="0" w:color="auto"/>
              <w:right w:val="single" w:sz="4" w:space="0" w:color="auto"/>
            </w:tcBorders>
            <w:shd w:val="clear" w:color="auto" w:fill="auto"/>
            <w:vAlign w:val="center"/>
          </w:tcPr>
          <w:p w14:paraId="0949AEF2" w14:textId="52AA8B8B"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114"/>
                <w:sz w:val="20"/>
                <w:szCs w:val="20"/>
                <w:shd w:val="solid" w:color="000000" w:fill="000000"/>
                <w:fitText w:val="200" w:id="-1232941051"/>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200" w:id="-1232941051"/>
                <w14:textFill>
                  <w14:solidFill>
                    <w14:srgbClr w14:val="000000">
                      <w14:alpha w14:val="100000"/>
                    </w14:srgbClr>
                  </w14:solidFill>
                </w14:textFill>
              </w:rPr>
              <w:t>|</w:t>
            </w:r>
            <w:r w:rsidR="009874D2">
              <w:rPr>
                <w:rFonts w:cs="Times New Roman"/>
                <w:iCs/>
                <w:szCs w:val="20"/>
                <w:vertAlign w:val="superscript"/>
              </w:rPr>
              <w:t>9</w:t>
            </w:r>
          </w:p>
        </w:tc>
        <w:tc>
          <w:tcPr>
            <w:tcW w:w="1122" w:type="dxa"/>
            <w:tcBorders>
              <w:top w:val="single" w:sz="4" w:space="0" w:color="auto"/>
              <w:left w:val="nil"/>
              <w:bottom w:val="single" w:sz="4" w:space="0" w:color="auto"/>
              <w:right w:val="single" w:sz="4" w:space="0" w:color="auto"/>
            </w:tcBorders>
            <w:shd w:val="clear" w:color="auto" w:fill="auto"/>
            <w:vAlign w:val="center"/>
          </w:tcPr>
          <w:p w14:paraId="6AC92E79" w14:textId="68475CCB"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89"/>
                <w:sz w:val="20"/>
                <w:szCs w:val="20"/>
                <w:shd w:val="solid" w:color="000000" w:fill="000000"/>
                <w:fitText w:val="175" w:id="-1232941050"/>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75" w:id="-1232941050"/>
                <w14:textFill>
                  <w14:solidFill>
                    <w14:srgbClr w14:val="000000">
                      <w14:alpha w14:val="100000"/>
                    </w14:srgbClr>
                  </w14:solidFill>
                </w14:textFill>
              </w:rPr>
              <w:t>|</w:t>
            </w:r>
            <w:r w:rsidR="009874D2">
              <w:rPr>
                <w:rFonts w:cs="Times New Roman"/>
                <w:iCs/>
                <w:szCs w:val="20"/>
                <w:vertAlign w:val="superscript"/>
              </w:rPr>
              <w:t>9</w:t>
            </w:r>
          </w:p>
        </w:tc>
        <w:tc>
          <w:tcPr>
            <w:tcW w:w="1044" w:type="dxa"/>
            <w:tcBorders>
              <w:top w:val="single" w:sz="4" w:space="0" w:color="auto"/>
              <w:left w:val="nil"/>
              <w:bottom w:val="single" w:sz="4" w:space="0" w:color="auto"/>
              <w:right w:val="single" w:sz="4" w:space="0" w:color="auto"/>
            </w:tcBorders>
            <w:shd w:val="clear" w:color="auto" w:fill="auto"/>
            <w:vAlign w:val="center"/>
          </w:tcPr>
          <w:p w14:paraId="4308D520" w14:textId="7243B8AD"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48"/>
                <w:sz w:val="20"/>
                <w:szCs w:val="20"/>
                <w:shd w:val="solid" w:color="000000" w:fill="000000"/>
                <w:fitText w:val="225" w:id="-1232941049"/>
                <w14:textFill>
                  <w14:solidFill>
                    <w14:srgbClr w14:val="000000">
                      <w14:alpha w14:val="100000"/>
                    </w14:srgbClr>
                  </w14:solidFill>
                </w14:textFill>
              </w:rPr>
              <w:t>||</w:t>
            </w:r>
            <w:r w:rsidRPr="006F2AD0">
              <w:rPr>
                <w:rFonts w:cs="Times New Roman"/>
                <w:color w:val="000000"/>
                <w:spacing w:val="2"/>
                <w:sz w:val="20"/>
                <w:szCs w:val="20"/>
                <w:shd w:val="solid" w:color="000000" w:fill="000000"/>
                <w:fitText w:val="225" w:id="-1232941049"/>
                <w14:textFill>
                  <w14:solidFill>
                    <w14:srgbClr w14:val="000000">
                      <w14:alpha w14:val="100000"/>
                    </w14:srgbClr>
                  </w14:solidFill>
                </w14:textFill>
              </w:rPr>
              <w:t>|</w:t>
            </w:r>
            <w:r w:rsidR="009874D2">
              <w:rPr>
                <w:rFonts w:cs="Times New Roman"/>
                <w:iCs/>
                <w:szCs w:val="20"/>
                <w:vertAlign w:val="superscript"/>
              </w:rPr>
              <w:t>9</w:t>
            </w:r>
          </w:p>
        </w:tc>
        <w:tc>
          <w:tcPr>
            <w:tcW w:w="1222" w:type="dxa"/>
            <w:tcBorders>
              <w:top w:val="single" w:sz="4" w:space="0" w:color="auto"/>
              <w:left w:val="nil"/>
              <w:bottom w:val="single" w:sz="4" w:space="0" w:color="auto"/>
              <w:right w:val="single" w:sz="4" w:space="0" w:color="auto"/>
            </w:tcBorders>
            <w:shd w:val="clear" w:color="auto" w:fill="auto"/>
            <w:vAlign w:val="center"/>
          </w:tcPr>
          <w:p w14:paraId="44E503EB" w14:textId="1D31A003" w:rsidR="00A10AE1" w:rsidRPr="009874D2" w:rsidRDefault="006F2AD0" w:rsidP="006A1BBC">
            <w:pPr>
              <w:pStyle w:val="COMTablefooter"/>
              <w:keepNext/>
              <w:spacing w:after="0"/>
              <w:jc w:val="center"/>
              <w:rPr>
                <w:rFonts w:cs="Times New Roman"/>
                <w:sz w:val="20"/>
                <w:szCs w:val="20"/>
                <w:highlight w:val="darkGray"/>
              </w:rPr>
            </w:pPr>
            <w:r w:rsidRPr="006F2AD0">
              <w:rPr>
                <w:rFonts w:cs="Times New Roman" w:hint="eastAsia"/>
                <w:color w:val="000000"/>
                <w:w w:val="28"/>
                <w:sz w:val="20"/>
                <w:szCs w:val="20"/>
                <w:shd w:val="solid" w:color="000000" w:fill="000000"/>
                <w:fitText w:val="125" w:id="-1232941048"/>
                <w14:textFill>
                  <w14:solidFill>
                    <w14:srgbClr w14:val="000000">
                      <w14:alpha w14:val="100000"/>
                    </w14:srgbClr>
                  </w14:solidFill>
                </w14:textFill>
              </w:rPr>
              <w:t xml:space="preserve">　</w:t>
            </w:r>
            <w:r w:rsidRPr="006F2AD0">
              <w:rPr>
                <w:rFonts w:cs="Times New Roman"/>
                <w:color w:val="000000"/>
                <w:w w:val="28"/>
                <w:sz w:val="20"/>
                <w:szCs w:val="20"/>
                <w:shd w:val="solid" w:color="000000" w:fill="000000"/>
                <w:fitText w:val="125" w:id="-1232941048"/>
                <w14:textFill>
                  <w14:solidFill>
                    <w14:srgbClr w14:val="000000">
                      <w14:alpha w14:val="100000"/>
                    </w14:srgbClr>
                  </w14:solidFill>
                </w14:textFill>
              </w:rPr>
              <w:t>|</w:t>
            </w:r>
            <w:r w:rsidRPr="006F2AD0">
              <w:rPr>
                <w:rFonts w:cs="Times New Roman" w:hint="eastAsia"/>
                <w:color w:val="000000"/>
                <w:spacing w:val="3"/>
                <w:w w:val="28"/>
                <w:sz w:val="20"/>
                <w:szCs w:val="20"/>
                <w:shd w:val="solid" w:color="000000" w:fill="000000"/>
                <w:fitText w:val="125" w:id="-1232941048"/>
                <w14:textFill>
                  <w14:solidFill>
                    <w14:srgbClr w14:val="000000">
                      <w14:alpha w14:val="100000"/>
                    </w14:srgbClr>
                  </w14:solidFill>
                </w14:textFill>
              </w:rPr>
              <w:t xml:space="preserve">　</w:t>
            </w:r>
            <w:r w:rsidR="009874D2">
              <w:rPr>
                <w:rFonts w:cs="Times New Roman"/>
                <w:iCs/>
                <w:szCs w:val="20"/>
                <w:vertAlign w:val="superscript"/>
              </w:rPr>
              <w:t>9</w:t>
            </w:r>
          </w:p>
        </w:tc>
      </w:tr>
      <w:tr w:rsidR="00A10AE1" w:rsidRPr="00021B9D" w14:paraId="29F4FC9F" w14:textId="77777777" w:rsidTr="009874D2">
        <w:trPr>
          <w:trHeight w:val="65"/>
        </w:trPr>
        <w:tc>
          <w:tcPr>
            <w:tcW w:w="2260" w:type="dxa"/>
            <w:tcBorders>
              <w:top w:val="single" w:sz="6" w:space="0" w:color="auto"/>
              <w:left w:val="single" w:sz="6" w:space="0" w:color="auto"/>
              <w:bottom w:val="single" w:sz="6" w:space="0" w:color="auto"/>
              <w:right w:val="single" w:sz="4" w:space="0" w:color="auto"/>
            </w:tcBorders>
            <w:shd w:val="clear" w:color="auto" w:fill="auto"/>
          </w:tcPr>
          <w:p w14:paraId="03DB6B07" w14:textId="77777777" w:rsidR="00A10AE1" w:rsidRPr="00021B9D" w:rsidRDefault="00A10AE1" w:rsidP="006A1BBC">
            <w:pPr>
              <w:keepNext/>
              <w:jc w:val="left"/>
              <w:textAlignment w:val="baseline"/>
              <w:rPr>
                <w:rFonts w:ascii="Arial Narrow" w:hAnsi="Arial Narrow" w:cs="Times New Roman"/>
                <w:iCs/>
                <w:sz w:val="20"/>
                <w:szCs w:val="20"/>
                <w:vertAlign w:val="superscript"/>
              </w:rPr>
            </w:pPr>
            <w:r w:rsidRPr="00021B9D">
              <w:rPr>
                <w:rFonts w:ascii="Arial Narrow" w:hAnsi="Arial Narrow" w:cs="Times New Roman"/>
                <w:iCs/>
                <w:sz w:val="20"/>
                <w:szCs w:val="20"/>
              </w:rPr>
              <w:t>Implied incident venetoclax + obinutuzumab patients</w:t>
            </w:r>
            <w:r w:rsidRPr="00021B9D">
              <w:rPr>
                <w:rFonts w:ascii="Arial Narrow" w:hAnsi="Arial Narrow" w:cs="Times New Roman"/>
                <w:iCs/>
                <w:sz w:val="20"/>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5AD09" w14:textId="39440738" w:rsidR="00A10AE1" w:rsidRPr="00736711" w:rsidRDefault="006F2AD0" w:rsidP="006A1BBC">
            <w:pPr>
              <w:pStyle w:val="COMTablefooter"/>
              <w:keepNext/>
              <w:spacing w:after="0"/>
              <w:jc w:val="center"/>
              <w:rPr>
                <w:rFonts w:cs="Times New Roman"/>
                <w:iCs/>
                <w:sz w:val="20"/>
                <w:szCs w:val="20"/>
                <w:highlight w:val="darkGray"/>
              </w:rPr>
            </w:pPr>
            <w:r w:rsidRPr="006F2AD0">
              <w:rPr>
                <w:rFonts w:cs="Times New Roman"/>
                <w:iCs/>
                <w:color w:val="000000"/>
                <w:spacing w:val="97"/>
                <w:sz w:val="20"/>
                <w:szCs w:val="20"/>
                <w:shd w:val="solid" w:color="000000" w:fill="000000"/>
                <w:fitText w:val="183" w:id="-1232941047"/>
                <w14:textFill>
                  <w14:solidFill>
                    <w14:srgbClr w14:val="000000">
                      <w14:alpha w14:val="100000"/>
                    </w14:srgbClr>
                  </w14:solidFill>
                </w14:textFill>
              </w:rPr>
              <w:t>|</w:t>
            </w:r>
            <w:r w:rsidRPr="006F2AD0">
              <w:rPr>
                <w:rFonts w:cs="Times New Roman"/>
                <w:iCs/>
                <w:color w:val="000000"/>
                <w:spacing w:val="1"/>
                <w:sz w:val="20"/>
                <w:szCs w:val="20"/>
                <w:shd w:val="solid" w:color="000000" w:fill="000000"/>
                <w:fitText w:val="183" w:id="-1232941047"/>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EBDC4E" w14:textId="6B0B80A0" w:rsidR="00A10AE1" w:rsidRPr="00736711" w:rsidRDefault="006F2AD0" w:rsidP="006A1BBC">
            <w:pPr>
              <w:pStyle w:val="COMTablefooter"/>
              <w:keepNext/>
              <w:spacing w:after="0"/>
              <w:jc w:val="center"/>
              <w:rPr>
                <w:rFonts w:cs="Times New Roman"/>
                <w:iCs/>
                <w:sz w:val="20"/>
                <w:szCs w:val="20"/>
                <w:highlight w:val="darkGray"/>
              </w:rPr>
            </w:pPr>
            <w:r w:rsidRPr="006F2AD0">
              <w:rPr>
                <w:rFonts w:cs="Times New Roman"/>
                <w:iCs/>
                <w:color w:val="000000"/>
                <w:spacing w:val="97"/>
                <w:sz w:val="20"/>
                <w:szCs w:val="20"/>
                <w:shd w:val="solid" w:color="000000" w:fill="000000"/>
                <w:fitText w:val="183" w:id="-1232941046"/>
                <w14:textFill>
                  <w14:solidFill>
                    <w14:srgbClr w14:val="000000">
                      <w14:alpha w14:val="100000"/>
                    </w14:srgbClr>
                  </w14:solidFill>
                </w14:textFill>
              </w:rPr>
              <w:t>|</w:t>
            </w:r>
            <w:r w:rsidRPr="006F2AD0">
              <w:rPr>
                <w:rFonts w:cs="Times New Roman"/>
                <w:iCs/>
                <w:color w:val="000000"/>
                <w:spacing w:val="1"/>
                <w:sz w:val="20"/>
                <w:szCs w:val="20"/>
                <w:shd w:val="solid" w:color="000000" w:fill="000000"/>
                <w:fitText w:val="183" w:id="-1232941046"/>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095" w:type="dxa"/>
            <w:tcBorders>
              <w:top w:val="single" w:sz="4" w:space="0" w:color="auto"/>
              <w:left w:val="nil"/>
              <w:bottom w:val="single" w:sz="4" w:space="0" w:color="auto"/>
              <w:right w:val="single" w:sz="4" w:space="0" w:color="auto"/>
            </w:tcBorders>
            <w:shd w:val="clear" w:color="auto" w:fill="auto"/>
            <w:vAlign w:val="center"/>
          </w:tcPr>
          <w:p w14:paraId="546F725A" w14:textId="50B10A5F" w:rsidR="00A10AE1" w:rsidRPr="00736711" w:rsidRDefault="006F2AD0" w:rsidP="006A1BBC">
            <w:pPr>
              <w:pStyle w:val="COMTablefooter"/>
              <w:keepNext/>
              <w:spacing w:after="0"/>
              <w:jc w:val="center"/>
              <w:rPr>
                <w:rFonts w:cs="Times New Roman"/>
                <w:iCs/>
                <w:sz w:val="20"/>
                <w:szCs w:val="20"/>
                <w:highlight w:val="darkGray"/>
              </w:rPr>
            </w:pPr>
            <w:r w:rsidRPr="006F2AD0">
              <w:rPr>
                <w:rFonts w:cs="Times New Roman"/>
                <w:iCs/>
                <w:color w:val="000000"/>
                <w:spacing w:val="106"/>
                <w:sz w:val="20"/>
                <w:szCs w:val="20"/>
                <w:shd w:val="solid" w:color="000000" w:fill="000000"/>
                <w:fitText w:val="192" w:id="-1232941045"/>
                <w14:textFill>
                  <w14:solidFill>
                    <w14:srgbClr w14:val="000000">
                      <w14:alpha w14:val="100000"/>
                    </w14:srgbClr>
                  </w14:solidFill>
                </w14:textFill>
              </w:rPr>
              <w:t>|</w:t>
            </w:r>
            <w:r w:rsidRPr="006F2AD0">
              <w:rPr>
                <w:rFonts w:cs="Times New Roman"/>
                <w:iCs/>
                <w:color w:val="000000"/>
                <w:spacing w:val="1"/>
                <w:sz w:val="20"/>
                <w:szCs w:val="20"/>
                <w:shd w:val="solid" w:color="000000" w:fill="000000"/>
                <w:fitText w:val="192" w:id="-1232941045"/>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122" w:type="dxa"/>
            <w:tcBorders>
              <w:top w:val="single" w:sz="4" w:space="0" w:color="auto"/>
              <w:left w:val="nil"/>
              <w:bottom w:val="single" w:sz="4" w:space="0" w:color="auto"/>
              <w:right w:val="single" w:sz="4" w:space="0" w:color="auto"/>
            </w:tcBorders>
            <w:shd w:val="clear" w:color="auto" w:fill="auto"/>
            <w:vAlign w:val="center"/>
          </w:tcPr>
          <w:p w14:paraId="5282D49D" w14:textId="7B9C83D6" w:rsidR="00A10AE1" w:rsidRPr="00736711" w:rsidRDefault="006F2AD0" w:rsidP="006A1BBC">
            <w:pPr>
              <w:pStyle w:val="COMTablefooter"/>
              <w:keepNext/>
              <w:spacing w:after="0"/>
              <w:jc w:val="center"/>
              <w:rPr>
                <w:rFonts w:cs="Times New Roman"/>
                <w:iCs/>
                <w:sz w:val="20"/>
                <w:szCs w:val="20"/>
                <w:highlight w:val="darkGray"/>
              </w:rPr>
            </w:pPr>
            <w:r w:rsidRPr="006F2AD0">
              <w:rPr>
                <w:rFonts w:cs="Times New Roman"/>
                <w:iCs/>
                <w:color w:val="000000"/>
                <w:spacing w:val="98"/>
                <w:sz w:val="20"/>
                <w:szCs w:val="20"/>
                <w:shd w:val="solid" w:color="000000" w:fill="000000"/>
                <w:fitText w:val="184" w:id="-1232941044"/>
                <w14:textFill>
                  <w14:solidFill>
                    <w14:srgbClr w14:val="000000">
                      <w14:alpha w14:val="100000"/>
                    </w14:srgbClr>
                  </w14:solidFill>
                </w14:textFill>
              </w:rPr>
              <w:t>|</w:t>
            </w:r>
            <w:r w:rsidRPr="006F2AD0">
              <w:rPr>
                <w:rFonts w:cs="Times New Roman"/>
                <w:iCs/>
                <w:color w:val="000000"/>
                <w:spacing w:val="1"/>
                <w:sz w:val="20"/>
                <w:szCs w:val="20"/>
                <w:shd w:val="solid" w:color="000000" w:fill="000000"/>
                <w:fitText w:val="184" w:id="-1232941044"/>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044" w:type="dxa"/>
            <w:tcBorders>
              <w:top w:val="single" w:sz="4" w:space="0" w:color="auto"/>
              <w:left w:val="nil"/>
              <w:bottom w:val="single" w:sz="4" w:space="0" w:color="auto"/>
              <w:right w:val="single" w:sz="4" w:space="0" w:color="auto"/>
            </w:tcBorders>
            <w:shd w:val="clear" w:color="auto" w:fill="auto"/>
            <w:vAlign w:val="center"/>
          </w:tcPr>
          <w:p w14:paraId="002376C9" w14:textId="4C8CA647" w:rsidR="00A10AE1" w:rsidRPr="00736711" w:rsidRDefault="006F2AD0" w:rsidP="006A1BBC">
            <w:pPr>
              <w:pStyle w:val="COMTablefooter"/>
              <w:keepNext/>
              <w:spacing w:after="0"/>
              <w:jc w:val="center"/>
              <w:rPr>
                <w:rFonts w:cs="Times New Roman"/>
                <w:iCs/>
                <w:sz w:val="20"/>
                <w:szCs w:val="20"/>
                <w:highlight w:val="darkGray"/>
              </w:rPr>
            </w:pPr>
            <w:r w:rsidRPr="006F2AD0">
              <w:rPr>
                <w:rFonts w:cs="Times New Roman"/>
                <w:iCs/>
                <w:color w:val="000000"/>
                <w:spacing w:val="44"/>
                <w:sz w:val="20"/>
                <w:szCs w:val="20"/>
                <w:shd w:val="solid" w:color="000000" w:fill="000000"/>
                <w:fitText w:val="217" w:id="-1232941043"/>
                <w14:textFill>
                  <w14:solidFill>
                    <w14:srgbClr w14:val="000000">
                      <w14:alpha w14:val="100000"/>
                    </w14:srgbClr>
                  </w14:solidFill>
                </w14:textFill>
              </w:rPr>
              <w:t>||</w:t>
            </w:r>
            <w:r w:rsidRPr="006F2AD0">
              <w:rPr>
                <w:rFonts w:cs="Times New Roman"/>
                <w:iCs/>
                <w:color w:val="000000"/>
                <w:spacing w:val="2"/>
                <w:sz w:val="20"/>
                <w:szCs w:val="20"/>
                <w:shd w:val="solid" w:color="000000" w:fill="000000"/>
                <w:fitText w:val="217" w:id="-1232941043"/>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222" w:type="dxa"/>
            <w:tcBorders>
              <w:top w:val="single" w:sz="4" w:space="0" w:color="auto"/>
              <w:left w:val="nil"/>
              <w:bottom w:val="single" w:sz="4" w:space="0" w:color="auto"/>
              <w:right w:val="single" w:sz="4" w:space="0" w:color="auto"/>
            </w:tcBorders>
            <w:shd w:val="clear" w:color="auto" w:fill="auto"/>
            <w:vAlign w:val="center"/>
          </w:tcPr>
          <w:p w14:paraId="6B90B823" w14:textId="2D62A176" w:rsidR="00A10AE1" w:rsidRPr="00736711" w:rsidRDefault="006F2AD0" w:rsidP="006A1BBC">
            <w:pPr>
              <w:pStyle w:val="COMTablefooter"/>
              <w:keepNext/>
              <w:spacing w:after="0"/>
              <w:jc w:val="center"/>
              <w:rPr>
                <w:rFonts w:cs="Times New Roman"/>
                <w:iCs/>
                <w:sz w:val="20"/>
                <w:szCs w:val="20"/>
                <w:highlight w:val="darkGray"/>
              </w:rPr>
            </w:pPr>
            <w:r w:rsidRPr="006F2AD0">
              <w:rPr>
                <w:rFonts w:cs="Times New Roman" w:hint="eastAsia"/>
                <w:iCs/>
                <w:color w:val="000000"/>
                <w:w w:val="30"/>
                <w:sz w:val="20"/>
                <w:szCs w:val="20"/>
                <w:shd w:val="solid" w:color="000000" w:fill="000000"/>
                <w:fitText w:val="134" w:id="-1232941042"/>
                <w14:textFill>
                  <w14:solidFill>
                    <w14:srgbClr w14:val="000000">
                      <w14:alpha w14:val="100000"/>
                    </w14:srgbClr>
                  </w14:solidFill>
                </w14:textFill>
              </w:rPr>
              <w:t xml:space="preserve">　</w:t>
            </w:r>
            <w:r w:rsidRPr="006F2AD0">
              <w:rPr>
                <w:rFonts w:cs="Times New Roman"/>
                <w:iCs/>
                <w:color w:val="000000"/>
                <w:w w:val="30"/>
                <w:sz w:val="20"/>
                <w:szCs w:val="20"/>
                <w:shd w:val="solid" w:color="000000" w:fill="000000"/>
                <w:fitText w:val="134" w:id="-1232941042"/>
                <w14:textFill>
                  <w14:solidFill>
                    <w14:srgbClr w14:val="000000">
                      <w14:alpha w14:val="100000"/>
                    </w14:srgbClr>
                  </w14:solidFill>
                </w14:textFill>
              </w:rPr>
              <w:t>|</w:t>
            </w:r>
            <w:r w:rsidRPr="006F2AD0">
              <w:rPr>
                <w:rFonts w:cs="Times New Roman" w:hint="eastAsia"/>
                <w:iCs/>
                <w:color w:val="000000"/>
                <w:spacing w:val="2"/>
                <w:w w:val="30"/>
                <w:sz w:val="20"/>
                <w:szCs w:val="20"/>
                <w:shd w:val="solid" w:color="000000" w:fill="000000"/>
                <w:fitText w:val="134" w:id="-1232941042"/>
                <w14:textFill>
                  <w14:solidFill>
                    <w14:srgbClr w14:val="000000">
                      <w14:alpha w14:val="100000"/>
                    </w14:srgbClr>
                  </w14:solidFill>
                </w14:textFill>
              </w:rPr>
              <w:t xml:space="preserve">　</w:t>
            </w:r>
            <w:r w:rsidR="00736711" w:rsidRPr="00736711">
              <w:rPr>
                <w:rFonts w:cs="Times New Roman"/>
                <w:iCs/>
                <w:sz w:val="20"/>
                <w:szCs w:val="20"/>
                <w:vertAlign w:val="superscript"/>
              </w:rPr>
              <w:t>1</w:t>
            </w:r>
          </w:p>
        </w:tc>
      </w:tr>
      <w:tr w:rsidR="00A10AE1" w:rsidRPr="0091634E" w14:paraId="5B56C6E9" w14:textId="77777777" w:rsidTr="009874D2">
        <w:trPr>
          <w:trHeight w:val="65"/>
        </w:trPr>
        <w:tc>
          <w:tcPr>
            <w:tcW w:w="2260" w:type="dxa"/>
            <w:tcBorders>
              <w:top w:val="single" w:sz="6" w:space="0" w:color="auto"/>
              <w:left w:val="single" w:sz="6" w:space="0" w:color="auto"/>
              <w:bottom w:val="single" w:sz="6" w:space="0" w:color="auto"/>
              <w:right w:val="single" w:sz="4" w:space="0" w:color="auto"/>
            </w:tcBorders>
            <w:shd w:val="clear" w:color="auto" w:fill="auto"/>
          </w:tcPr>
          <w:p w14:paraId="4B0E0BBC" w14:textId="04289619" w:rsidR="00A10AE1" w:rsidRPr="009B2C88" w:rsidRDefault="00A10AE1" w:rsidP="006A1BBC">
            <w:pPr>
              <w:keepNext/>
              <w:jc w:val="left"/>
              <w:textAlignment w:val="baseline"/>
              <w:rPr>
                <w:rFonts w:ascii="Arial Narrow" w:hAnsi="Arial Narrow" w:cs="Times New Roman"/>
                <w:sz w:val="20"/>
                <w:szCs w:val="20"/>
                <w:vertAlign w:val="superscript"/>
              </w:rPr>
            </w:pPr>
            <w:r w:rsidRPr="0091634E">
              <w:rPr>
                <w:rFonts w:ascii="Arial Narrow" w:hAnsi="Arial Narrow" w:cs="Times New Roman"/>
                <w:sz w:val="20"/>
                <w:szCs w:val="20"/>
              </w:rPr>
              <w:t>Displaced venetoclax</w:t>
            </w:r>
            <w:r w:rsidR="009B2C88">
              <w:rPr>
                <w:rFonts w:ascii="Arial Narrow" w:hAnsi="Arial Narrow" w:cs="Times New Roman"/>
                <w:sz w:val="20"/>
                <w:szCs w:val="20"/>
              </w:rPr>
              <w:t xml:space="preserve"> and </w:t>
            </w:r>
            <w:r w:rsidRPr="0091634E">
              <w:rPr>
                <w:rFonts w:ascii="Arial Narrow" w:hAnsi="Arial Narrow" w:cs="Times New Roman"/>
                <w:sz w:val="20"/>
                <w:szCs w:val="20"/>
              </w:rPr>
              <w:t>obinutuzumab scripts</w:t>
            </w:r>
            <w:r w:rsidR="009B2C88">
              <w:rPr>
                <w:rFonts w:ascii="Arial Narrow" w:hAnsi="Arial Narrow" w:cs="Times New Roman"/>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E5146B" w14:textId="687CFC00" w:rsidR="00A10AE1" w:rsidRPr="006952BF"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7"/>
                <w:sz w:val="20"/>
                <w:szCs w:val="20"/>
                <w:shd w:val="solid" w:color="000000" w:fill="000000"/>
                <w:fitText w:val="183" w:id="-1232941041"/>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41"/>
                <w14:textFill>
                  <w14:solidFill>
                    <w14:srgbClr w14:val="000000">
                      <w14:alpha w14:val="100000"/>
                    </w14:srgbClr>
                  </w14:solidFill>
                </w14:textFill>
              </w:rPr>
              <w:t>|</w:t>
            </w:r>
            <w:r w:rsidR="00736711">
              <w:rPr>
                <w:rFonts w:cs="Times New Roman"/>
                <w:iCs/>
                <w:sz w:val="20"/>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4D4702" w14:textId="14F50ECC" w:rsidR="00A10AE1" w:rsidRPr="006952BF"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7"/>
                <w:sz w:val="20"/>
                <w:szCs w:val="20"/>
                <w:shd w:val="solid" w:color="000000" w:fill="000000"/>
                <w:fitText w:val="183" w:id="-1232941040"/>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40"/>
                <w14:textFill>
                  <w14:solidFill>
                    <w14:srgbClr w14:val="000000">
                      <w14:alpha w14:val="100000"/>
                    </w14:srgbClr>
                  </w14:solidFill>
                </w14:textFill>
              </w:rPr>
              <w:t>|</w:t>
            </w:r>
            <w:r w:rsidR="00736711">
              <w:rPr>
                <w:rFonts w:cs="Times New Roman"/>
                <w:iCs/>
                <w:sz w:val="20"/>
                <w:szCs w:val="20"/>
                <w:vertAlign w:val="superscript"/>
              </w:rPr>
              <w:t>2</w:t>
            </w:r>
          </w:p>
        </w:tc>
        <w:tc>
          <w:tcPr>
            <w:tcW w:w="1095" w:type="dxa"/>
            <w:tcBorders>
              <w:top w:val="single" w:sz="4" w:space="0" w:color="auto"/>
              <w:left w:val="nil"/>
              <w:bottom w:val="single" w:sz="4" w:space="0" w:color="auto"/>
              <w:right w:val="single" w:sz="4" w:space="0" w:color="auto"/>
            </w:tcBorders>
            <w:shd w:val="clear" w:color="auto" w:fill="auto"/>
            <w:vAlign w:val="center"/>
          </w:tcPr>
          <w:p w14:paraId="16A9CE34" w14:textId="3F08BA85" w:rsidR="00A10AE1" w:rsidRPr="006952BF"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106"/>
                <w:sz w:val="20"/>
                <w:szCs w:val="20"/>
                <w:shd w:val="solid" w:color="000000" w:fill="000000"/>
                <w:fitText w:val="192" w:id="-1232941056"/>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92" w:id="-1232941056"/>
                <w14:textFill>
                  <w14:solidFill>
                    <w14:srgbClr w14:val="000000">
                      <w14:alpha w14:val="100000"/>
                    </w14:srgbClr>
                  </w14:solidFill>
                </w14:textFill>
              </w:rPr>
              <w:t>|</w:t>
            </w:r>
            <w:r w:rsidR="00736711">
              <w:rPr>
                <w:rFonts w:cs="Times New Roman"/>
                <w:iCs/>
                <w:sz w:val="20"/>
                <w:szCs w:val="20"/>
                <w:vertAlign w:val="superscript"/>
              </w:rPr>
              <w:t>2</w:t>
            </w:r>
          </w:p>
        </w:tc>
        <w:tc>
          <w:tcPr>
            <w:tcW w:w="1122" w:type="dxa"/>
            <w:tcBorders>
              <w:top w:val="single" w:sz="4" w:space="0" w:color="auto"/>
              <w:left w:val="nil"/>
              <w:bottom w:val="single" w:sz="4" w:space="0" w:color="auto"/>
              <w:right w:val="single" w:sz="4" w:space="0" w:color="auto"/>
            </w:tcBorders>
            <w:shd w:val="clear" w:color="auto" w:fill="auto"/>
            <w:vAlign w:val="center"/>
          </w:tcPr>
          <w:p w14:paraId="0B585665" w14:textId="786D5976" w:rsidR="00A10AE1" w:rsidRPr="006952BF"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98"/>
                <w:sz w:val="20"/>
                <w:szCs w:val="20"/>
                <w:shd w:val="solid" w:color="000000" w:fill="000000"/>
                <w:fitText w:val="184" w:id="-1232941055"/>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4" w:id="-1232941055"/>
                <w14:textFill>
                  <w14:solidFill>
                    <w14:srgbClr w14:val="000000">
                      <w14:alpha w14:val="100000"/>
                    </w14:srgbClr>
                  </w14:solidFill>
                </w14:textFill>
              </w:rPr>
              <w:t>|</w:t>
            </w:r>
            <w:r w:rsidR="00736711">
              <w:rPr>
                <w:rFonts w:cs="Times New Roman"/>
                <w:iCs/>
                <w:sz w:val="20"/>
                <w:szCs w:val="20"/>
                <w:vertAlign w:val="superscript"/>
              </w:rPr>
              <w:t>2</w:t>
            </w:r>
          </w:p>
        </w:tc>
        <w:tc>
          <w:tcPr>
            <w:tcW w:w="1044" w:type="dxa"/>
            <w:tcBorders>
              <w:top w:val="single" w:sz="4" w:space="0" w:color="auto"/>
              <w:left w:val="nil"/>
              <w:bottom w:val="single" w:sz="4" w:space="0" w:color="auto"/>
              <w:right w:val="single" w:sz="4" w:space="0" w:color="auto"/>
            </w:tcBorders>
            <w:shd w:val="clear" w:color="auto" w:fill="auto"/>
            <w:vAlign w:val="center"/>
          </w:tcPr>
          <w:p w14:paraId="56F70854" w14:textId="71D3EC25" w:rsidR="00A10AE1" w:rsidRPr="006952BF" w:rsidRDefault="006F2AD0" w:rsidP="006A1BBC">
            <w:pPr>
              <w:pStyle w:val="COMTablefooter"/>
              <w:keepNext/>
              <w:spacing w:after="0"/>
              <w:jc w:val="center"/>
              <w:rPr>
                <w:rFonts w:cs="Times New Roman"/>
                <w:sz w:val="20"/>
                <w:szCs w:val="20"/>
                <w:highlight w:val="darkGray"/>
              </w:rPr>
            </w:pPr>
            <w:r w:rsidRPr="006F2AD0">
              <w:rPr>
                <w:rFonts w:cs="Times New Roman"/>
                <w:color w:val="000000"/>
                <w:spacing w:val="44"/>
                <w:sz w:val="20"/>
                <w:szCs w:val="20"/>
                <w:shd w:val="solid" w:color="000000" w:fill="000000"/>
                <w:fitText w:val="217" w:id="-1232941054"/>
                <w14:textFill>
                  <w14:solidFill>
                    <w14:srgbClr w14:val="000000">
                      <w14:alpha w14:val="100000"/>
                    </w14:srgbClr>
                  </w14:solidFill>
                </w14:textFill>
              </w:rPr>
              <w:t>||</w:t>
            </w:r>
            <w:r w:rsidRPr="006F2AD0">
              <w:rPr>
                <w:rFonts w:cs="Times New Roman"/>
                <w:color w:val="000000"/>
                <w:spacing w:val="2"/>
                <w:sz w:val="20"/>
                <w:szCs w:val="20"/>
                <w:shd w:val="solid" w:color="000000" w:fill="000000"/>
                <w:fitText w:val="217" w:id="-1232941054"/>
                <w14:textFill>
                  <w14:solidFill>
                    <w14:srgbClr w14:val="000000">
                      <w14:alpha w14:val="100000"/>
                    </w14:srgbClr>
                  </w14:solidFill>
                </w14:textFill>
              </w:rPr>
              <w:t>|</w:t>
            </w:r>
            <w:r w:rsidR="00736711">
              <w:rPr>
                <w:rFonts w:cs="Times New Roman"/>
                <w:iCs/>
                <w:sz w:val="20"/>
                <w:szCs w:val="20"/>
                <w:vertAlign w:val="superscript"/>
              </w:rPr>
              <w:t>2</w:t>
            </w:r>
          </w:p>
        </w:tc>
        <w:tc>
          <w:tcPr>
            <w:tcW w:w="1222" w:type="dxa"/>
            <w:tcBorders>
              <w:top w:val="single" w:sz="4" w:space="0" w:color="auto"/>
              <w:left w:val="nil"/>
              <w:bottom w:val="single" w:sz="4" w:space="0" w:color="auto"/>
              <w:right w:val="single" w:sz="4" w:space="0" w:color="auto"/>
            </w:tcBorders>
            <w:shd w:val="clear" w:color="auto" w:fill="auto"/>
            <w:vAlign w:val="center"/>
          </w:tcPr>
          <w:p w14:paraId="5E075BBA" w14:textId="45992EF0" w:rsidR="00A10AE1" w:rsidRPr="006952BF" w:rsidRDefault="006F2AD0" w:rsidP="006A1BBC">
            <w:pPr>
              <w:pStyle w:val="COMTablefooter"/>
              <w:keepNext/>
              <w:spacing w:after="0"/>
              <w:jc w:val="center"/>
              <w:rPr>
                <w:rFonts w:cs="Times New Roman"/>
                <w:sz w:val="20"/>
                <w:szCs w:val="20"/>
                <w:highlight w:val="darkGray"/>
              </w:rPr>
            </w:pPr>
            <w:r w:rsidRPr="006F2AD0">
              <w:rPr>
                <w:rFonts w:cs="Times New Roman" w:hint="eastAsia"/>
                <w:color w:val="000000"/>
                <w:w w:val="30"/>
                <w:sz w:val="20"/>
                <w:szCs w:val="20"/>
                <w:shd w:val="solid" w:color="000000" w:fill="000000"/>
                <w:fitText w:val="134" w:id="-1232941053"/>
                <w14:textFill>
                  <w14:solidFill>
                    <w14:srgbClr w14:val="000000">
                      <w14:alpha w14:val="100000"/>
                    </w14:srgbClr>
                  </w14:solidFill>
                </w14:textFill>
              </w:rPr>
              <w:t xml:space="preserve">　</w:t>
            </w:r>
            <w:r w:rsidRPr="006F2AD0">
              <w:rPr>
                <w:rFonts w:cs="Times New Roman"/>
                <w:color w:val="000000"/>
                <w:w w:val="30"/>
                <w:sz w:val="20"/>
                <w:szCs w:val="20"/>
                <w:shd w:val="solid" w:color="000000" w:fill="000000"/>
                <w:fitText w:val="134" w:id="-1232941053"/>
                <w14:textFill>
                  <w14:solidFill>
                    <w14:srgbClr w14:val="000000">
                      <w14:alpha w14:val="100000"/>
                    </w14:srgbClr>
                  </w14:solidFill>
                </w14:textFill>
              </w:rPr>
              <w:t>|</w:t>
            </w:r>
            <w:r w:rsidRPr="006F2AD0">
              <w:rPr>
                <w:rFonts w:cs="Times New Roman" w:hint="eastAsia"/>
                <w:color w:val="000000"/>
                <w:spacing w:val="2"/>
                <w:w w:val="30"/>
                <w:sz w:val="20"/>
                <w:szCs w:val="20"/>
                <w:shd w:val="solid" w:color="000000" w:fill="000000"/>
                <w:fitText w:val="134" w:id="-1232941053"/>
                <w14:textFill>
                  <w14:solidFill>
                    <w14:srgbClr w14:val="000000">
                      <w14:alpha w14:val="100000"/>
                    </w14:srgbClr>
                  </w14:solidFill>
                </w14:textFill>
              </w:rPr>
              <w:t xml:space="preserve">　</w:t>
            </w:r>
            <w:r w:rsidR="00736711">
              <w:rPr>
                <w:rFonts w:cs="Times New Roman"/>
                <w:iCs/>
                <w:sz w:val="20"/>
                <w:szCs w:val="20"/>
                <w:vertAlign w:val="superscript"/>
              </w:rPr>
              <w:t>2</w:t>
            </w:r>
          </w:p>
        </w:tc>
      </w:tr>
      <w:tr w:rsidR="00A10AE1" w:rsidRPr="0091634E" w14:paraId="45C7B5B5"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4D938E70" w14:textId="6DBC22EA"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Zanubrutinib scripts</w:t>
            </w:r>
            <w:r w:rsidR="00094627">
              <w:rPr>
                <w:rFonts w:ascii="Arial Narrow" w:hAnsi="Arial Narrow" w:cs="Times New Roman"/>
                <w:sz w:val="20"/>
                <w:szCs w:val="20"/>
                <w:vertAlign w:val="superscript"/>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C34C8" w14:textId="73C29D72" w:rsidR="00A10AE1" w:rsidRPr="006952BF" w:rsidRDefault="006F2AD0" w:rsidP="006A1BBC">
            <w:pPr>
              <w:pStyle w:val="COMTablefooter"/>
              <w:keepNext/>
              <w:spacing w:after="0"/>
              <w:jc w:val="center"/>
              <w:rPr>
                <w:sz w:val="20"/>
                <w:szCs w:val="20"/>
                <w:highlight w:val="darkGray"/>
              </w:rPr>
            </w:pPr>
            <w:r w:rsidRPr="006F2AD0">
              <w:rPr>
                <w:color w:val="000000"/>
                <w:spacing w:val="97"/>
                <w:sz w:val="20"/>
                <w:szCs w:val="20"/>
                <w:shd w:val="solid" w:color="000000" w:fill="000000"/>
                <w:fitText w:val="183" w:id="-1232941052"/>
                <w14:textFill>
                  <w14:solidFill>
                    <w14:srgbClr w14:val="000000">
                      <w14:alpha w14:val="100000"/>
                    </w14:srgbClr>
                  </w14:solidFill>
                </w14:textFill>
              </w:rPr>
              <w:t>|</w:t>
            </w:r>
            <w:r w:rsidRPr="006F2AD0">
              <w:rPr>
                <w:color w:val="000000"/>
                <w:spacing w:val="1"/>
                <w:sz w:val="20"/>
                <w:szCs w:val="20"/>
                <w:shd w:val="solid" w:color="000000" w:fill="000000"/>
                <w:fitText w:val="183" w:id="-1232941052"/>
                <w14:textFill>
                  <w14:solidFill>
                    <w14:srgbClr w14:val="000000">
                      <w14:alpha w14:val="100000"/>
                    </w14:srgbClr>
                  </w14:solidFill>
                </w14:textFill>
              </w:rPr>
              <w:t>|</w:t>
            </w:r>
            <w:r w:rsidR="00736711">
              <w:rPr>
                <w:rFonts w:cs="Times New Roman"/>
                <w:iCs/>
                <w:sz w:val="20"/>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11AB2F" w14:textId="466680B3"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97"/>
                <w:sz w:val="20"/>
                <w:szCs w:val="20"/>
                <w:shd w:val="solid" w:color="000000" w:fill="000000"/>
                <w:fitText w:val="183" w:id="-1232941051"/>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51"/>
                <w14:textFill>
                  <w14:solidFill>
                    <w14:srgbClr w14:val="000000">
                      <w14:alpha w14:val="100000"/>
                    </w14:srgbClr>
                  </w14:solidFill>
                </w14:textFill>
              </w:rPr>
              <w:t>|</w:t>
            </w:r>
            <w:r w:rsidR="00736711">
              <w:rPr>
                <w:rFonts w:cs="Times New Roman"/>
                <w:iCs/>
                <w:sz w:val="20"/>
                <w:szCs w:val="20"/>
                <w:vertAlign w:val="superscript"/>
              </w:rPr>
              <w:t>2</w:t>
            </w:r>
          </w:p>
        </w:tc>
        <w:tc>
          <w:tcPr>
            <w:tcW w:w="1095" w:type="dxa"/>
            <w:tcBorders>
              <w:top w:val="single" w:sz="4" w:space="0" w:color="auto"/>
              <w:left w:val="nil"/>
              <w:bottom w:val="single" w:sz="4" w:space="0" w:color="auto"/>
              <w:right w:val="single" w:sz="4" w:space="0" w:color="auto"/>
            </w:tcBorders>
            <w:shd w:val="clear" w:color="auto" w:fill="auto"/>
            <w:vAlign w:val="center"/>
          </w:tcPr>
          <w:p w14:paraId="31E0EB57" w14:textId="3D4D14E3"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106"/>
                <w:sz w:val="20"/>
                <w:szCs w:val="20"/>
                <w:shd w:val="solid" w:color="000000" w:fill="000000"/>
                <w:fitText w:val="192" w:id="-1232941050"/>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92" w:id="-1232941050"/>
                <w14:textFill>
                  <w14:solidFill>
                    <w14:srgbClr w14:val="000000">
                      <w14:alpha w14:val="100000"/>
                    </w14:srgbClr>
                  </w14:solidFill>
                </w14:textFill>
              </w:rPr>
              <w:t>|</w:t>
            </w:r>
            <w:r w:rsidR="00736711">
              <w:rPr>
                <w:rFonts w:cs="Times New Roman"/>
                <w:iCs/>
                <w:sz w:val="20"/>
                <w:szCs w:val="20"/>
                <w:vertAlign w:val="superscript"/>
              </w:rPr>
              <w:t>2</w:t>
            </w:r>
          </w:p>
        </w:tc>
        <w:tc>
          <w:tcPr>
            <w:tcW w:w="1122" w:type="dxa"/>
            <w:tcBorders>
              <w:top w:val="single" w:sz="4" w:space="0" w:color="auto"/>
              <w:left w:val="nil"/>
              <w:bottom w:val="single" w:sz="4" w:space="0" w:color="auto"/>
              <w:right w:val="single" w:sz="4" w:space="0" w:color="auto"/>
            </w:tcBorders>
            <w:shd w:val="clear" w:color="auto" w:fill="auto"/>
            <w:vAlign w:val="center"/>
          </w:tcPr>
          <w:p w14:paraId="1CB1241A" w14:textId="3B4E16D5"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98"/>
                <w:sz w:val="20"/>
                <w:szCs w:val="20"/>
                <w:shd w:val="solid" w:color="000000" w:fill="000000"/>
                <w:fitText w:val="184" w:id="-1232941049"/>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4" w:id="-1232941049"/>
                <w14:textFill>
                  <w14:solidFill>
                    <w14:srgbClr w14:val="000000">
                      <w14:alpha w14:val="100000"/>
                    </w14:srgbClr>
                  </w14:solidFill>
                </w14:textFill>
              </w:rPr>
              <w:t>|</w:t>
            </w:r>
            <w:r w:rsidR="00736711">
              <w:rPr>
                <w:rFonts w:cs="Times New Roman"/>
                <w:iCs/>
                <w:sz w:val="20"/>
                <w:szCs w:val="20"/>
                <w:vertAlign w:val="superscript"/>
              </w:rPr>
              <w:t>2</w:t>
            </w:r>
          </w:p>
        </w:tc>
        <w:tc>
          <w:tcPr>
            <w:tcW w:w="1044" w:type="dxa"/>
            <w:tcBorders>
              <w:top w:val="single" w:sz="4" w:space="0" w:color="auto"/>
              <w:left w:val="nil"/>
              <w:bottom w:val="single" w:sz="4" w:space="0" w:color="auto"/>
              <w:right w:val="single" w:sz="4" w:space="0" w:color="auto"/>
            </w:tcBorders>
            <w:shd w:val="clear" w:color="auto" w:fill="auto"/>
            <w:vAlign w:val="center"/>
          </w:tcPr>
          <w:p w14:paraId="52C2B576" w14:textId="79E8C3C1"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48"/>
                <w:sz w:val="20"/>
                <w:szCs w:val="20"/>
                <w:shd w:val="solid" w:color="000000" w:fill="000000"/>
                <w:fitText w:val="225" w:id="-1232941048"/>
                <w14:textFill>
                  <w14:solidFill>
                    <w14:srgbClr w14:val="000000">
                      <w14:alpha w14:val="100000"/>
                    </w14:srgbClr>
                  </w14:solidFill>
                </w14:textFill>
              </w:rPr>
              <w:t>||</w:t>
            </w:r>
            <w:r w:rsidRPr="006F2AD0">
              <w:rPr>
                <w:rFonts w:cs="Times New Roman"/>
                <w:color w:val="000000"/>
                <w:spacing w:val="2"/>
                <w:sz w:val="20"/>
                <w:szCs w:val="20"/>
                <w:shd w:val="solid" w:color="000000" w:fill="000000"/>
                <w:fitText w:val="225" w:id="-1232941048"/>
                <w14:textFill>
                  <w14:solidFill>
                    <w14:srgbClr w14:val="000000">
                      <w14:alpha w14:val="100000"/>
                    </w14:srgbClr>
                  </w14:solidFill>
                </w14:textFill>
              </w:rPr>
              <w:t>|</w:t>
            </w:r>
            <w:r w:rsidR="00736711">
              <w:rPr>
                <w:rFonts w:cs="Times New Roman"/>
                <w:iCs/>
                <w:szCs w:val="20"/>
                <w:vertAlign w:val="superscript"/>
              </w:rPr>
              <w:t>9</w:t>
            </w:r>
          </w:p>
        </w:tc>
        <w:tc>
          <w:tcPr>
            <w:tcW w:w="1222" w:type="dxa"/>
            <w:tcBorders>
              <w:top w:val="single" w:sz="4" w:space="0" w:color="auto"/>
              <w:left w:val="nil"/>
              <w:bottom w:val="single" w:sz="4" w:space="0" w:color="auto"/>
              <w:right w:val="single" w:sz="4" w:space="0" w:color="auto"/>
            </w:tcBorders>
            <w:shd w:val="clear" w:color="auto" w:fill="auto"/>
            <w:vAlign w:val="center"/>
          </w:tcPr>
          <w:p w14:paraId="12B85CAB" w14:textId="097E6B4F" w:rsidR="00A10AE1" w:rsidRPr="006952BF" w:rsidRDefault="006F2AD0" w:rsidP="006A1BBC">
            <w:pPr>
              <w:pStyle w:val="COMTablefooter"/>
              <w:keepNext/>
              <w:spacing w:after="0"/>
              <w:jc w:val="center"/>
              <w:rPr>
                <w:sz w:val="20"/>
                <w:szCs w:val="20"/>
                <w:highlight w:val="darkGray"/>
              </w:rPr>
            </w:pPr>
            <w:r w:rsidRPr="006F2AD0">
              <w:rPr>
                <w:rFonts w:cs="Times New Roman" w:hint="eastAsia"/>
                <w:color w:val="000000"/>
                <w:w w:val="28"/>
                <w:sz w:val="20"/>
                <w:szCs w:val="20"/>
                <w:shd w:val="solid" w:color="000000" w:fill="000000"/>
                <w:fitText w:val="125" w:id="-1232941047"/>
                <w14:textFill>
                  <w14:solidFill>
                    <w14:srgbClr w14:val="000000">
                      <w14:alpha w14:val="100000"/>
                    </w14:srgbClr>
                  </w14:solidFill>
                </w14:textFill>
              </w:rPr>
              <w:t xml:space="preserve">　</w:t>
            </w:r>
            <w:r w:rsidRPr="006F2AD0">
              <w:rPr>
                <w:rFonts w:cs="Times New Roman"/>
                <w:color w:val="000000"/>
                <w:w w:val="28"/>
                <w:sz w:val="20"/>
                <w:szCs w:val="20"/>
                <w:shd w:val="solid" w:color="000000" w:fill="000000"/>
                <w:fitText w:val="125" w:id="-1232941047"/>
                <w14:textFill>
                  <w14:solidFill>
                    <w14:srgbClr w14:val="000000">
                      <w14:alpha w14:val="100000"/>
                    </w14:srgbClr>
                  </w14:solidFill>
                </w14:textFill>
              </w:rPr>
              <w:t>|</w:t>
            </w:r>
            <w:r w:rsidRPr="006F2AD0">
              <w:rPr>
                <w:rFonts w:cs="Times New Roman" w:hint="eastAsia"/>
                <w:color w:val="000000"/>
                <w:spacing w:val="3"/>
                <w:w w:val="28"/>
                <w:sz w:val="20"/>
                <w:szCs w:val="20"/>
                <w:shd w:val="solid" w:color="000000" w:fill="000000"/>
                <w:fitText w:val="125" w:id="-1232941047"/>
                <w14:textFill>
                  <w14:solidFill>
                    <w14:srgbClr w14:val="000000">
                      <w14:alpha w14:val="100000"/>
                    </w14:srgbClr>
                  </w14:solidFill>
                </w14:textFill>
              </w:rPr>
              <w:t xml:space="preserve">　</w:t>
            </w:r>
            <w:r w:rsidR="00736711">
              <w:rPr>
                <w:rFonts w:cs="Times New Roman"/>
                <w:iCs/>
                <w:szCs w:val="20"/>
                <w:vertAlign w:val="superscript"/>
              </w:rPr>
              <w:t>9</w:t>
            </w:r>
          </w:p>
        </w:tc>
      </w:tr>
      <w:tr w:rsidR="00A10AE1" w:rsidRPr="0091634E" w14:paraId="6D9DDE55"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1992B354" w14:textId="07862387" w:rsidR="00A10AE1" w:rsidRPr="00DE5B9D" w:rsidRDefault="00A10AE1" w:rsidP="006A1BBC">
            <w:pPr>
              <w:keepNext/>
              <w:jc w:val="left"/>
              <w:textAlignment w:val="baseline"/>
              <w:rPr>
                <w:rFonts w:ascii="Arial Narrow" w:hAnsi="Arial Narrow" w:cs="Times New Roman"/>
                <w:sz w:val="20"/>
                <w:szCs w:val="20"/>
                <w:vertAlign w:val="superscript"/>
              </w:rPr>
            </w:pPr>
            <w:r w:rsidRPr="0091634E">
              <w:rPr>
                <w:rFonts w:ascii="Arial Narrow" w:hAnsi="Arial Narrow" w:cs="Times New Roman"/>
                <w:sz w:val="20"/>
                <w:szCs w:val="20"/>
              </w:rPr>
              <w:t>Grandfathered patients</w:t>
            </w:r>
            <w:r w:rsidR="00094627">
              <w:rPr>
                <w:rFonts w:ascii="Arial Narrow" w:hAnsi="Arial Narrow" w:cs="Times New Roman"/>
                <w:sz w:val="20"/>
                <w:szCs w:val="20"/>
                <w:vertAlign w:val="superscript"/>
              </w:rPr>
              <w: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F65770" w14:textId="28445FE6" w:rsidR="00A10AE1" w:rsidRPr="006952BF" w:rsidRDefault="006F2AD0" w:rsidP="006A1BBC">
            <w:pPr>
              <w:pStyle w:val="COMTablefooter"/>
              <w:keepNext/>
              <w:spacing w:after="0"/>
              <w:jc w:val="center"/>
              <w:rPr>
                <w:sz w:val="20"/>
                <w:szCs w:val="20"/>
                <w:highlight w:val="darkGray"/>
              </w:rPr>
            </w:pPr>
            <w:r w:rsidRPr="006F2AD0">
              <w:rPr>
                <w:color w:val="000000"/>
                <w:spacing w:val="97"/>
                <w:sz w:val="20"/>
                <w:szCs w:val="20"/>
                <w:shd w:val="solid" w:color="000000" w:fill="000000"/>
                <w:fitText w:val="183" w:id="-1232941046"/>
                <w14:textFill>
                  <w14:solidFill>
                    <w14:srgbClr w14:val="000000">
                      <w14:alpha w14:val="100000"/>
                    </w14:srgbClr>
                  </w14:solidFill>
                </w14:textFill>
              </w:rPr>
              <w:t>|</w:t>
            </w:r>
            <w:r w:rsidRPr="006F2AD0">
              <w:rPr>
                <w:color w:val="000000"/>
                <w:spacing w:val="1"/>
                <w:sz w:val="20"/>
                <w:szCs w:val="20"/>
                <w:shd w:val="solid" w:color="000000" w:fill="000000"/>
                <w:fitText w:val="183" w:id="-1232941046"/>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8526D3" w14:textId="1D8F03D4" w:rsidR="00A10AE1" w:rsidRPr="006952BF" w:rsidRDefault="006F2AD0" w:rsidP="006A1BBC">
            <w:pPr>
              <w:pStyle w:val="COMTablefooter"/>
              <w:keepNext/>
              <w:spacing w:after="0"/>
              <w:jc w:val="center"/>
              <w:rPr>
                <w:sz w:val="20"/>
                <w:szCs w:val="20"/>
                <w:highlight w:val="darkGray"/>
              </w:rPr>
            </w:pPr>
            <w:r w:rsidRPr="006F2AD0">
              <w:rPr>
                <w:color w:val="000000"/>
                <w:spacing w:val="97"/>
                <w:sz w:val="20"/>
                <w:szCs w:val="20"/>
                <w:shd w:val="solid" w:color="000000" w:fill="000000"/>
                <w:fitText w:val="183" w:id="-1232941045"/>
                <w14:textFill>
                  <w14:solidFill>
                    <w14:srgbClr w14:val="000000">
                      <w14:alpha w14:val="100000"/>
                    </w14:srgbClr>
                  </w14:solidFill>
                </w14:textFill>
              </w:rPr>
              <w:t>|</w:t>
            </w:r>
            <w:r w:rsidRPr="006F2AD0">
              <w:rPr>
                <w:color w:val="000000"/>
                <w:spacing w:val="1"/>
                <w:sz w:val="20"/>
                <w:szCs w:val="20"/>
                <w:shd w:val="solid" w:color="000000" w:fill="000000"/>
                <w:fitText w:val="183" w:id="-1232941045"/>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095" w:type="dxa"/>
            <w:tcBorders>
              <w:top w:val="single" w:sz="4" w:space="0" w:color="auto"/>
              <w:left w:val="nil"/>
              <w:bottom w:val="single" w:sz="4" w:space="0" w:color="auto"/>
              <w:right w:val="single" w:sz="4" w:space="0" w:color="auto"/>
            </w:tcBorders>
            <w:shd w:val="clear" w:color="auto" w:fill="auto"/>
            <w:vAlign w:val="center"/>
          </w:tcPr>
          <w:p w14:paraId="232F3CE7" w14:textId="07F5AE59" w:rsidR="00A10AE1" w:rsidRPr="006952BF" w:rsidRDefault="006F2AD0" w:rsidP="006A1BBC">
            <w:pPr>
              <w:pStyle w:val="COMTablefooter"/>
              <w:keepNext/>
              <w:spacing w:after="0"/>
              <w:jc w:val="center"/>
              <w:rPr>
                <w:sz w:val="20"/>
                <w:szCs w:val="20"/>
                <w:highlight w:val="darkGray"/>
              </w:rPr>
            </w:pPr>
            <w:r w:rsidRPr="006F2AD0">
              <w:rPr>
                <w:color w:val="000000"/>
                <w:spacing w:val="106"/>
                <w:sz w:val="20"/>
                <w:szCs w:val="20"/>
                <w:shd w:val="solid" w:color="000000" w:fill="000000"/>
                <w:fitText w:val="192" w:id="-1232941044"/>
                <w14:textFill>
                  <w14:solidFill>
                    <w14:srgbClr w14:val="000000">
                      <w14:alpha w14:val="100000"/>
                    </w14:srgbClr>
                  </w14:solidFill>
                </w14:textFill>
              </w:rPr>
              <w:t>|</w:t>
            </w:r>
            <w:r w:rsidRPr="006F2AD0">
              <w:rPr>
                <w:color w:val="000000"/>
                <w:spacing w:val="1"/>
                <w:sz w:val="20"/>
                <w:szCs w:val="20"/>
                <w:shd w:val="solid" w:color="000000" w:fill="000000"/>
                <w:fitText w:val="192" w:id="-1232941044"/>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122" w:type="dxa"/>
            <w:tcBorders>
              <w:top w:val="single" w:sz="4" w:space="0" w:color="auto"/>
              <w:left w:val="nil"/>
              <w:bottom w:val="single" w:sz="4" w:space="0" w:color="auto"/>
              <w:right w:val="single" w:sz="4" w:space="0" w:color="auto"/>
            </w:tcBorders>
            <w:shd w:val="clear" w:color="auto" w:fill="auto"/>
            <w:vAlign w:val="center"/>
          </w:tcPr>
          <w:p w14:paraId="664031FF" w14:textId="7F5E5E75" w:rsidR="00A10AE1" w:rsidRPr="006952BF" w:rsidRDefault="006F2AD0" w:rsidP="006A1BBC">
            <w:pPr>
              <w:pStyle w:val="COMTablefooter"/>
              <w:keepNext/>
              <w:spacing w:after="0"/>
              <w:jc w:val="center"/>
              <w:rPr>
                <w:sz w:val="20"/>
                <w:szCs w:val="20"/>
                <w:highlight w:val="darkGray"/>
              </w:rPr>
            </w:pPr>
            <w:r w:rsidRPr="006F2AD0">
              <w:rPr>
                <w:color w:val="000000"/>
                <w:spacing w:val="98"/>
                <w:sz w:val="20"/>
                <w:szCs w:val="20"/>
                <w:shd w:val="solid" w:color="000000" w:fill="000000"/>
                <w:fitText w:val="184" w:id="-1232941043"/>
                <w14:textFill>
                  <w14:solidFill>
                    <w14:srgbClr w14:val="000000">
                      <w14:alpha w14:val="100000"/>
                    </w14:srgbClr>
                  </w14:solidFill>
                </w14:textFill>
              </w:rPr>
              <w:t>|</w:t>
            </w:r>
            <w:r w:rsidRPr="006F2AD0">
              <w:rPr>
                <w:color w:val="000000"/>
                <w:spacing w:val="1"/>
                <w:sz w:val="20"/>
                <w:szCs w:val="20"/>
                <w:shd w:val="solid" w:color="000000" w:fill="000000"/>
                <w:fitText w:val="184" w:id="-1232941043"/>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044" w:type="dxa"/>
            <w:tcBorders>
              <w:top w:val="single" w:sz="4" w:space="0" w:color="auto"/>
              <w:left w:val="nil"/>
              <w:bottom w:val="single" w:sz="4" w:space="0" w:color="auto"/>
              <w:right w:val="single" w:sz="4" w:space="0" w:color="auto"/>
            </w:tcBorders>
            <w:shd w:val="clear" w:color="auto" w:fill="auto"/>
            <w:vAlign w:val="center"/>
          </w:tcPr>
          <w:p w14:paraId="47CAF9CC" w14:textId="0A661F55" w:rsidR="00A10AE1" w:rsidRPr="006952BF" w:rsidRDefault="006F2AD0" w:rsidP="006A1BBC">
            <w:pPr>
              <w:pStyle w:val="COMTablefooter"/>
              <w:keepNext/>
              <w:spacing w:after="0"/>
              <w:jc w:val="center"/>
              <w:rPr>
                <w:sz w:val="20"/>
                <w:szCs w:val="20"/>
                <w:highlight w:val="darkGray"/>
              </w:rPr>
            </w:pPr>
            <w:r w:rsidRPr="006F2AD0">
              <w:rPr>
                <w:color w:val="000000"/>
                <w:spacing w:val="44"/>
                <w:sz w:val="20"/>
                <w:szCs w:val="20"/>
                <w:shd w:val="solid" w:color="000000" w:fill="000000"/>
                <w:fitText w:val="217" w:id="-1232941042"/>
                <w14:textFill>
                  <w14:solidFill>
                    <w14:srgbClr w14:val="000000">
                      <w14:alpha w14:val="100000"/>
                    </w14:srgbClr>
                  </w14:solidFill>
                </w14:textFill>
              </w:rPr>
              <w:t>||</w:t>
            </w:r>
            <w:r w:rsidRPr="006F2AD0">
              <w:rPr>
                <w:color w:val="000000"/>
                <w:spacing w:val="2"/>
                <w:sz w:val="20"/>
                <w:szCs w:val="20"/>
                <w:shd w:val="solid" w:color="000000" w:fill="000000"/>
                <w:fitText w:val="217" w:id="-1232941042"/>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222" w:type="dxa"/>
            <w:tcBorders>
              <w:top w:val="single" w:sz="4" w:space="0" w:color="auto"/>
              <w:left w:val="nil"/>
              <w:bottom w:val="single" w:sz="4" w:space="0" w:color="auto"/>
              <w:right w:val="single" w:sz="4" w:space="0" w:color="auto"/>
            </w:tcBorders>
            <w:shd w:val="clear" w:color="auto" w:fill="auto"/>
            <w:vAlign w:val="center"/>
          </w:tcPr>
          <w:p w14:paraId="50DDF21B" w14:textId="202F5D67" w:rsidR="00A10AE1" w:rsidRPr="006952BF" w:rsidRDefault="006F2AD0" w:rsidP="006A1BBC">
            <w:pPr>
              <w:pStyle w:val="COMTablefooter"/>
              <w:keepNext/>
              <w:spacing w:after="0"/>
              <w:jc w:val="center"/>
              <w:rPr>
                <w:sz w:val="20"/>
                <w:szCs w:val="20"/>
                <w:highlight w:val="darkGray"/>
              </w:rPr>
            </w:pPr>
            <w:r w:rsidRPr="006F2AD0">
              <w:rPr>
                <w:rFonts w:hint="eastAsia"/>
                <w:color w:val="000000"/>
                <w:w w:val="30"/>
                <w:sz w:val="20"/>
                <w:szCs w:val="20"/>
                <w:shd w:val="solid" w:color="000000" w:fill="000000"/>
                <w:fitText w:val="134" w:id="-1232941041"/>
                <w14:textFill>
                  <w14:solidFill>
                    <w14:srgbClr w14:val="000000">
                      <w14:alpha w14:val="100000"/>
                    </w14:srgbClr>
                  </w14:solidFill>
                </w14:textFill>
              </w:rPr>
              <w:t xml:space="preserve">　</w:t>
            </w:r>
            <w:r w:rsidRPr="006F2AD0">
              <w:rPr>
                <w:color w:val="000000"/>
                <w:w w:val="30"/>
                <w:sz w:val="20"/>
                <w:szCs w:val="20"/>
                <w:shd w:val="solid" w:color="000000" w:fill="000000"/>
                <w:fitText w:val="134" w:id="-1232941041"/>
                <w14:textFill>
                  <w14:solidFill>
                    <w14:srgbClr w14:val="000000">
                      <w14:alpha w14:val="100000"/>
                    </w14:srgbClr>
                  </w14:solidFill>
                </w14:textFill>
              </w:rPr>
              <w:t>|</w:t>
            </w:r>
            <w:r w:rsidRPr="006F2AD0">
              <w:rPr>
                <w:rFonts w:hint="eastAsia"/>
                <w:color w:val="000000"/>
                <w:spacing w:val="2"/>
                <w:w w:val="30"/>
                <w:sz w:val="20"/>
                <w:szCs w:val="20"/>
                <w:shd w:val="solid" w:color="000000" w:fill="000000"/>
                <w:fitText w:val="134" w:id="-1232941041"/>
                <w14:textFill>
                  <w14:solidFill>
                    <w14:srgbClr w14:val="000000">
                      <w14:alpha w14:val="100000"/>
                    </w14:srgbClr>
                  </w14:solidFill>
                </w14:textFill>
              </w:rPr>
              <w:t xml:space="preserve">　</w:t>
            </w:r>
            <w:r w:rsidR="00736711" w:rsidRPr="00736711">
              <w:rPr>
                <w:rFonts w:cs="Times New Roman"/>
                <w:iCs/>
                <w:sz w:val="20"/>
                <w:szCs w:val="20"/>
                <w:vertAlign w:val="superscript"/>
              </w:rPr>
              <w:t>1</w:t>
            </w:r>
          </w:p>
        </w:tc>
      </w:tr>
      <w:tr w:rsidR="00A10AE1" w:rsidRPr="0091634E" w14:paraId="6207CA7F"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5C674BA1" w14:textId="77777777" w:rsidR="00A10AE1" w:rsidRPr="0091634E" w:rsidRDefault="00A10AE1" w:rsidP="006A1BBC">
            <w:pPr>
              <w:keepNext/>
              <w:jc w:val="left"/>
              <w:textAlignment w:val="baseline"/>
              <w:rPr>
                <w:rFonts w:ascii="Arial Narrow" w:hAnsi="Arial Narrow" w:cs="Times New Roman"/>
                <w:i/>
                <w:iCs/>
                <w:sz w:val="20"/>
                <w:szCs w:val="20"/>
              </w:rPr>
            </w:pPr>
            <w:r w:rsidRPr="0091634E">
              <w:rPr>
                <w:rFonts w:ascii="Arial Narrow" w:hAnsi="Arial Narrow" w:cs="Times New Roman"/>
                <w:sz w:val="20"/>
                <w:szCs w:val="20"/>
              </w:rPr>
              <w:t>Grandfathered patient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D36EF" w14:textId="59587796" w:rsidR="00A10AE1" w:rsidRPr="006952BF" w:rsidRDefault="006F2AD0" w:rsidP="006A1BBC">
            <w:pPr>
              <w:pStyle w:val="COMTablefooter"/>
              <w:keepNext/>
              <w:spacing w:after="0"/>
              <w:jc w:val="center"/>
              <w:rPr>
                <w:rFonts w:cs="Times New Roman"/>
                <w:i/>
                <w:iCs/>
                <w:sz w:val="20"/>
                <w:szCs w:val="20"/>
                <w:highlight w:val="darkGray"/>
              </w:rPr>
            </w:pPr>
            <w:r w:rsidRPr="006F2AD0">
              <w:rPr>
                <w:color w:val="000000"/>
                <w:spacing w:val="97"/>
                <w:sz w:val="20"/>
                <w:szCs w:val="20"/>
                <w:shd w:val="solid" w:color="000000" w:fill="000000"/>
                <w:fitText w:val="183" w:id="-1232941040"/>
                <w14:textFill>
                  <w14:solidFill>
                    <w14:srgbClr w14:val="000000">
                      <w14:alpha w14:val="100000"/>
                    </w14:srgbClr>
                  </w14:solidFill>
                </w14:textFill>
              </w:rPr>
              <w:t>|</w:t>
            </w:r>
            <w:r w:rsidRPr="006F2AD0">
              <w:rPr>
                <w:color w:val="000000"/>
                <w:spacing w:val="1"/>
                <w:sz w:val="20"/>
                <w:szCs w:val="20"/>
                <w:shd w:val="solid" w:color="000000" w:fill="000000"/>
                <w:fitText w:val="183" w:id="-1232941040"/>
                <w14:textFill>
                  <w14:solidFill>
                    <w14:srgbClr w14:val="000000">
                      <w14:alpha w14:val="100000"/>
                    </w14:srgbClr>
                  </w14:solidFill>
                </w14:textFill>
              </w:rPr>
              <w:t>|</w:t>
            </w:r>
            <w:r w:rsidR="00736711">
              <w:rPr>
                <w:rFonts w:cs="Times New Roman"/>
                <w:iCs/>
                <w:sz w:val="20"/>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C12154" w14:textId="3924DBA6" w:rsidR="00A10AE1" w:rsidRPr="006952BF" w:rsidRDefault="006F2AD0" w:rsidP="006A1BBC">
            <w:pPr>
              <w:pStyle w:val="COMTablefooter"/>
              <w:keepNext/>
              <w:spacing w:after="0"/>
              <w:jc w:val="center"/>
              <w:rPr>
                <w:rFonts w:cs="Times New Roman"/>
                <w:i/>
                <w:iCs/>
                <w:sz w:val="20"/>
                <w:szCs w:val="20"/>
                <w:highlight w:val="darkGray"/>
              </w:rPr>
            </w:pPr>
            <w:r w:rsidRPr="006F2AD0">
              <w:rPr>
                <w:color w:val="000000"/>
                <w:spacing w:val="97"/>
                <w:sz w:val="20"/>
                <w:szCs w:val="20"/>
                <w:shd w:val="solid" w:color="000000" w:fill="000000"/>
                <w:fitText w:val="183" w:id="-1232941056"/>
                <w14:textFill>
                  <w14:solidFill>
                    <w14:srgbClr w14:val="000000">
                      <w14:alpha w14:val="100000"/>
                    </w14:srgbClr>
                  </w14:solidFill>
                </w14:textFill>
              </w:rPr>
              <w:t>|</w:t>
            </w:r>
            <w:r w:rsidRPr="006F2AD0">
              <w:rPr>
                <w:color w:val="000000"/>
                <w:spacing w:val="1"/>
                <w:sz w:val="20"/>
                <w:szCs w:val="20"/>
                <w:shd w:val="solid" w:color="000000" w:fill="000000"/>
                <w:fitText w:val="183" w:id="-1232941056"/>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095" w:type="dxa"/>
            <w:tcBorders>
              <w:top w:val="single" w:sz="4" w:space="0" w:color="auto"/>
              <w:left w:val="nil"/>
              <w:bottom w:val="single" w:sz="4" w:space="0" w:color="auto"/>
              <w:right w:val="single" w:sz="4" w:space="0" w:color="auto"/>
            </w:tcBorders>
            <w:shd w:val="clear" w:color="auto" w:fill="auto"/>
            <w:vAlign w:val="center"/>
          </w:tcPr>
          <w:p w14:paraId="64285754" w14:textId="3A7649AB" w:rsidR="00A10AE1" w:rsidRPr="006952BF" w:rsidRDefault="006F2AD0" w:rsidP="006A1BBC">
            <w:pPr>
              <w:pStyle w:val="COMTablefooter"/>
              <w:keepNext/>
              <w:spacing w:after="0"/>
              <w:jc w:val="center"/>
              <w:rPr>
                <w:rFonts w:cs="Times New Roman"/>
                <w:i/>
                <w:iCs/>
                <w:sz w:val="20"/>
                <w:szCs w:val="20"/>
                <w:highlight w:val="darkGray"/>
              </w:rPr>
            </w:pPr>
            <w:r w:rsidRPr="006F2AD0">
              <w:rPr>
                <w:color w:val="000000"/>
                <w:spacing w:val="106"/>
                <w:sz w:val="20"/>
                <w:szCs w:val="20"/>
                <w:shd w:val="solid" w:color="000000" w:fill="000000"/>
                <w:fitText w:val="192" w:id="-1232941055"/>
                <w14:textFill>
                  <w14:solidFill>
                    <w14:srgbClr w14:val="000000">
                      <w14:alpha w14:val="100000"/>
                    </w14:srgbClr>
                  </w14:solidFill>
                </w14:textFill>
              </w:rPr>
              <w:t>|</w:t>
            </w:r>
            <w:r w:rsidRPr="006F2AD0">
              <w:rPr>
                <w:color w:val="000000"/>
                <w:spacing w:val="1"/>
                <w:sz w:val="20"/>
                <w:szCs w:val="20"/>
                <w:shd w:val="solid" w:color="000000" w:fill="000000"/>
                <w:fitText w:val="192" w:id="-1232941055"/>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122" w:type="dxa"/>
            <w:tcBorders>
              <w:top w:val="single" w:sz="4" w:space="0" w:color="auto"/>
              <w:left w:val="nil"/>
              <w:bottom w:val="single" w:sz="4" w:space="0" w:color="auto"/>
              <w:right w:val="single" w:sz="4" w:space="0" w:color="auto"/>
            </w:tcBorders>
            <w:shd w:val="clear" w:color="auto" w:fill="auto"/>
            <w:vAlign w:val="center"/>
          </w:tcPr>
          <w:p w14:paraId="7AAB0AC1" w14:textId="55687B17" w:rsidR="00A10AE1" w:rsidRPr="006952BF" w:rsidRDefault="006F2AD0" w:rsidP="006A1BBC">
            <w:pPr>
              <w:pStyle w:val="COMTablefooter"/>
              <w:keepNext/>
              <w:spacing w:after="0"/>
              <w:jc w:val="center"/>
              <w:rPr>
                <w:rFonts w:cs="Times New Roman"/>
                <w:i/>
                <w:iCs/>
                <w:sz w:val="20"/>
                <w:szCs w:val="20"/>
                <w:highlight w:val="darkGray"/>
              </w:rPr>
            </w:pPr>
            <w:r w:rsidRPr="006F2AD0">
              <w:rPr>
                <w:color w:val="000000"/>
                <w:spacing w:val="98"/>
                <w:sz w:val="20"/>
                <w:szCs w:val="20"/>
                <w:shd w:val="solid" w:color="000000" w:fill="000000"/>
                <w:fitText w:val="184" w:id="-1232941054"/>
                <w14:textFill>
                  <w14:solidFill>
                    <w14:srgbClr w14:val="000000">
                      <w14:alpha w14:val="100000"/>
                    </w14:srgbClr>
                  </w14:solidFill>
                </w14:textFill>
              </w:rPr>
              <w:t>|</w:t>
            </w:r>
            <w:r w:rsidRPr="006F2AD0">
              <w:rPr>
                <w:color w:val="000000"/>
                <w:spacing w:val="1"/>
                <w:sz w:val="20"/>
                <w:szCs w:val="20"/>
                <w:shd w:val="solid" w:color="000000" w:fill="000000"/>
                <w:fitText w:val="184" w:id="-1232941054"/>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044" w:type="dxa"/>
            <w:tcBorders>
              <w:top w:val="single" w:sz="4" w:space="0" w:color="auto"/>
              <w:left w:val="nil"/>
              <w:bottom w:val="single" w:sz="4" w:space="0" w:color="auto"/>
              <w:right w:val="single" w:sz="4" w:space="0" w:color="auto"/>
            </w:tcBorders>
            <w:shd w:val="clear" w:color="auto" w:fill="auto"/>
            <w:vAlign w:val="center"/>
          </w:tcPr>
          <w:p w14:paraId="0EC874C5" w14:textId="14FE6800" w:rsidR="00A10AE1" w:rsidRPr="006952BF" w:rsidRDefault="006F2AD0" w:rsidP="006A1BBC">
            <w:pPr>
              <w:pStyle w:val="COMTablefooter"/>
              <w:keepNext/>
              <w:spacing w:after="0"/>
              <w:jc w:val="center"/>
              <w:rPr>
                <w:rFonts w:cs="Times New Roman"/>
                <w:i/>
                <w:iCs/>
                <w:sz w:val="20"/>
                <w:szCs w:val="20"/>
                <w:highlight w:val="darkGray"/>
              </w:rPr>
            </w:pPr>
            <w:r w:rsidRPr="006F2AD0">
              <w:rPr>
                <w:color w:val="000000"/>
                <w:spacing w:val="44"/>
                <w:sz w:val="20"/>
                <w:szCs w:val="20"/>
                <w:shd w:val="solid" w:color="000000" w:fill="000000"/>
                <w:fitText w:val="217" w:id="-1232941053"/>
                <w14:textFill>
                  <w14:solidFill>
                    <w14:srgbClr w14:val="000000">
                      <w14:alpha w14:val="100000"/>
                    </w14:srgbClr>
                  </w14:solidFill>
                </w14:textFill>
              </w:rPr>
              <w:t>||</w:t>
            </w:r>
            <w:r w:rsidRPr="006F2AD0">
              <w:rPr>
                <w:color w:val="000000"/>
                <w:spacing w:val="2"/>
                <w:sz w:val="20"/>
                <w:szCs w:val="20"/>
                <w:shd w:val="solid" w:color="000000" w:fill="000000"/>
                <w:fitText w:val="217" w:id="-1232941053"/>
                <w14:textFill>
                  <w14:solidFill>
                    <w14:srgbClr w14:val="000000">
                      <w14:alpha w14:val="100000"/>
                    </w14:srgbClr>
                  </w14:solidFill>
                </w14:textFill>
              </w:rPr>
              <w:t>|</w:t>
            </w:r>
            <w:r w:rsidR="00736711" w:rsidRPr="00736711">
              <w:rPr>
                <w:rFonts w:cs="Times New Roman"/>
                <w:iCs/>
                <w:sz w:val="20"/>
                <w:szCs w:val="20"/>
                <w:vertAlign w:val="superscript"/>
              </w:rPr>
              <w:t>1</w:t>
            </w:r>
          </w:p>
        </w:tc>
        <w:tc>
          <w:tcPr>
            <w:tcW w:w="1222" w:type="dxa"/>
            <w:tcBorders>
              <w:top w:val="single" w:sz="4" w:space="0" w:color="auto"/>
              <w:left w:val="nil"/>
              <w:bottom w:val="single" w:sz="4" w:space="0" w:color="auto"/>
              <w:right w:val="single" w:sz="4" w:space="0" w:color="auto"/>
            </w:tcBorders>
            <w:shd w:val="clear" w:color="auto" w:fill="auto"/>
            <w:vAlign w:val="center"/>
          </w:tcPr>
          <w:p w14:paraId="3B345759" w14:textId="03866DED" w:rsidR="00A10AE1" w:rsidRPr="006952BF" w:rsidRDefault="006F2AD0" w:rsidP="006A1BBC">
            <w:pPr>
              <w:pStyle w:val="COMTablefooter"/>
              <w:keepNext/>
              <w:spacing w:after="0"/>
              <w:jc w:val="center"/>
              <w:rPr>
                <w:rFonts w:cs="Times New Roman"/>
                <w:i/>
                <w:iCs/>
                <w:sz w:val="20"/>
                <w:szCs w:val="20"/>
                <w:highlight w:val="darkGray"/>
              </w:rPr>
            </w:pPr>
            <w:r w:rsidRPr="006F2AD0">
              <w:rPr>
                <w:rFonts w:hint="eastAsia"/>
                <w:color w:val="000000"/>
                <w:w w:val="30"/>
                <w:sz w:val="20"/>
                <w:szCs w:val="20"/>
                <w:shd w:val="solid" w:color="000000" w:fill="000000"/>
                <w:fitText w:val="134" w:id="-1232941052"/>
                <w14:textFill>
                  <w14:solidFill>
                    <w14:srgbClr w14:val="000000">
                      <w14:alpha w14:val="100000"/>
                    </w14:srgbClr>
                  </w14:solidFill>
                </w14:textFill>
              </w:rPr>
              <w:t xml:space="preserve">　</w:t>
            </w:r>
            <w:r w:rsidRPr="006F2AD0">
              <w:rPr>
                <w:color w:val="000000"/>
                <w:w w:val="30"/>
                <w:sz w:val="20"/>
                <w:szCs w:val="20"/>
                <w:shd w:val="solid" w:color="000000" w:fill="000000"/>
                <w:fitText w:val="134" w:id="-1232941052"/>
                <w14:textFill>
                  <w14:solidFill>
                    <w14:srgbClr w14:val="000000">
                      <w14:alpha w14:val="100000"/>
                    </w14:srgbClr>
                  </w14:solidFill>
                </w14:textFill>
              </w:rPr>
              <w:t>|</w:t>
            </w:r>
            <w:r w:rsidRPr="006F2AD0">
              <w:rPr>
                <w:rFonts w:hint="eastAsia"/>
                <w:color w:val="000000"/>
                <w:spacing w:val="2"/>
                <w:w w:val="30"/>
                <w:sz w:val="20"/>
                <w:szCs w:val="20"/>
                <w:shd w:val="solid" w:color="000000" w:fill="000000"/>
                <w:fitText w:val="134" w:id="-1232941052"/>
                <w14:textFill>
                  <w14:solidFill>
                    <w14:srgbClr w14:val="000000">
                      <w14:alpha w14:val="100000"/>
                    </w14:srgbClr>
                  </w14:solidFill>
                </w14:textFill>
              </w:rPr>
              <w:t xml:space="preserve">　</w:t>
            </w:r>
            <w:r w:rsidR="00736711" w:rsidRPr="00736711">
              <w:rPr>
                <w:rFonts w:cs="Times New Roman"/>
                <w:iCs/>
                <w:sz w:val="20"/>
                <w:szCs w:val="20"/>
                <w:vertAlign w:val="superscript"/>
              </w:rPr>
              <w:t>1</w:t>
            </w:r>
          </w:p>
        </w:tc>
      </w:tr>
      <w:tr w:rsidR="00A10AE1" w:rsidRPr="0091634E" w14:paraId="436696EA"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5FF049D2"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Total zanubrutinib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CD568" w14:textId="504D9F91"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97"/>
                <w:sz w:val="20"/>
                <w:szCs w:val="20"/>
                <w:shd w:val="solid" w:color="000000" w:fill="000000"/>
                <w:fitText w:val="183" w:id="-1232941051"/>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51"/>
                <w14:textFill>
                  <w14:solidFill>
                    <w14:srgbClr w14:val="000000">
                      <w14:alpha w14:val="100000"/>
                    </w14:srgbClr>
                  </w14:solidFill>
                </w14:textFill>
              </w:rPr>
              <w:t>|</w:t>
            </w:r>
            <w:r w:rsidR="00736711">
              <w:rPr>
                <w:rFonts w:cs="Times New Roman"/>
                <w:iCs/>
                <w:sz w:val="20"/>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A3C1A3" w14:textId="6DA55574"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97"/>
                <w:sz w:val="20"/>
                <w:szCs w:val="20"/>
                <w:shd w:val="solid" w:color="000000" w:fill="000000"/>
                <w:fitText w:val="183" w:id="-1232941050"/>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3" w:id="-1232941050"/>
                <w14:textFill>
                  <w14:solidFill>
                    <w14:srgbClr w14:val="000000">
                      <w14:alpha w14:val="100000"/>
                    </w14:srgbClr>
                  </w14:solidFill>
                </w14:textFill>
              </w:rPr>
              <w:t>|</w:t>
            </w:r>
            <w:r w:rsidR="00736711">
              <w:rPr>
                <w:rFonts w:cs="Times New Roman"/>
                <w:iCs/>
                <w:sz w:val="20"/>
                <w:szCs w:val="20"/>
                <w:vertAlign w:val="superscript"/>
              </w:rPr>
              <w:t>2</w:t>
            </w:r>
          </w:p>
        </w:tc>
        <w:tc>
          <w:tcPr>
            <w:tcW w:w="1095" w:type="dxa"/>
            <w:tcBorders>
              <w:top w:val="single" w:sz="4" w:space="0" w:color="auto"/>
              <w:left w:val="nil"/>
              <w:bottom w:val="single" w:sz="4" w:space="0" w:color="auto"/>
              <w:right w:val="single" w:sz="4" w:space="0" w:color="auto"/>
            </w:tcBorders>
            <w:shd w:val="clear" w:color="auto" w:fill="auto"/>
            <w:vAlign w:val="center"/>
          </w:tcPr>
          <w:p w14:paraId="2B484F4D" w14:textId="3467C745"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106"/>
                <w:sz w:val="20"/>
                <w:szCs w:val="20"/>
                <w:shd w:val="solid" w:color="000000" w:fill="000000"/>
                <w:fitText w:val="192" w:id="-1232941049"/>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92" w:id="-1232941049"/>
                <w14:textFill>
                  <w14:solidFill>
                    <w14:srgbClr w14:val="000000">
                      <w14:alpha w14:val="100000"/>
                    </w14:srgbClr>
                  </w14:solidFill>
                </w14:textFill>
              </w:rPr>
              <w:t>|</w:t>
            </w:r>
            <w:r w:rsidR="00736711">
              <w:rPr>
                <w:rFonts w:cs="Times New Roman"/>
                <w:iCs/>
                <w:sz w:val="20"/>
                <w:szCs w:val="20"/>
                <w:vertAlign w:val="superscript"/>
              </w:rPr>
              <w:t>2</w:t>
            </w:r>
          </w:p>
        </w:tc>
        <w:tc>
          <w:tcPr>
            <w:tcW w:w="1122" w:type="dxa"/>
            <w:tcBorders>
              <w:top w:val="single" w:sz="4" w:space="0" w:color="auto"/>
              <w:left w:val="nil"/>
              <w:bottom w:val="single" w:sz="4" w:space="0" w:color="auto"/>
              <w:right w:val="single" w:sz="4" w:space="0" w:color="auto"/>
            </w:tcBorders>
            <w:shd w:val="clear" w:color="auto" w:fill="auto"/>
            <w:vAlign w:val="center"/>
          </w:tcPr>
          <w:p w14:paraId="10170296" w14:textId="0BD1C4CD"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98"/>
                <w:sz w:val="20"/>
                <w:szCs w:val="20"/>
                <w:shd w:val="solid" w:color="000000" w:fill="000000"/>
                <w:fitText w:val="184" w:id="-1232941048"/>
                <w14:textFill>
                  <w14:solidFill>
                    <w14:srgbClr w14:val="000000">
                      <w14:alpha w14:val="100000"/>
                    </w14:srgbClr>
                  </w14:solidFill>
                </w14:textFill>
              </w:rPr>
              <w:t>|</w:t>
            </w:r>
            <w:r w:rsidRPr="006F2AD0">
              <w:rPr>
                <w:rFonts w:cs="Times New Roman"/>
                <w:color w:val="000000"/>
                <w:spacing w:val="1"/>
                <w:sz w:val="20"/>
                <w:szCs w:val="20"/>
                <w:shd w:val="solid" w:color="000000" w:fill="000000"/>
                <w:fitText w:val="184" w:id="-1232941048"/>
                <w14:textFill>
                  <w14:solidFill>
                    <w14:srgbClr w14:val="000000">
                      <w14:alpha w14:val="100000"/>
                    </w14:srgbClr>
                  </w14:solidFill>
                </w14:textFill>
              </w:rPr>
              <w:t>|</w:t>
            </w:r>
            <w:r w:rsidR="00736711">
              <w:rPr>
                <w:rFonts w:cs="Times New Roman"/>
                <w:iCs/>
                <w:sz w:val="20"/>
                <w:szCs w:val="20"/>
                <w:vertAlign w:val="superscript"/>
              </w:rPr>
              <w:t>2</w:t>
            </w:r>
          </w:p>
        </w:tc>
        <w:tc>
          <w:tcPr>
            <w:tcW w:w="1044" w:type="dxa"/>
            <w:tcBorders>
              <w:top w:val="single" w:sz="4" w:space="0" w:color="auto"/>
              <w:left w:val="nil"/>
              <w:bottom w:val="single" w:sz="4" w:space="0" w:color="auto"/>
              <w:right w:val="single" w:sz="4" w:space="0" w:color="auto"/>
            </w:tcBorders>
            <w:shd w:val="clear" w:color="auto" w:fill="auto"/>
            <w:vAlign w:val="center"/>
          </w:tcPr>
          <w:p w14:paraId="5DCADE27" w14:textId="13D8C831" w:rsidR="00A10AE1" w:rsidRPr="006952BF" w:rsidRDefault="006F2AD0" w:rsidP="006A1BBC">
            <w:pPr>
              <w:pStyle w:val="COMTablefooter"/>
              <w:keepNext/>
              <w:spacing w:after="0"/>
              <w:jc w:val="center"/>
              <w:rPr>
                <w:sz w:val="20"/>
                <w:szCs w:val="20"/>
                <w:highlight w:val="darkGray"/>
              </w:rPr>
            </w:pPr>
            <w:r w:rsidRPr="006F2AD0">
              <w:rPr>
                <w:rFonts w:cs="Times New Roman"/>
                <w:color w:val="000000"/>
                <w:spacing w:val="48"/>
                <w:sz w:val="20"/>
                <w:szCs w:val="20"/>
                <w:shd w:val="solid" w:color="000000" w:fill="000000"/>
                <w:fitText w:val="225" w:id="-1232941047"/>
                <w14:textFill>
                  <w14:solidFill>
                    <w14:srgbClr w14:val="000000">
                      <w14:alpha w14:val="100000"/>
                    </w14:srgbClr>
                  </w14:solidFill>
                </w14:textFill>
              </w:rPr>
              <w:t>||</w:t>
            </w:r>
            <w:r w:rsidRPr="006F2AD0">
              <w:rPr>
                <w:rFonts w:cs="Times New Roman"/>
                <w:color w:val="000000"/>
                <w:spacing w:val="2"/>
                <w:sz w:val="20"/>
                <w:szCs w:val="20"/>
                <w:shd w:val="solid" w:color="000000" w:fill="000000"/>
                <w:fitText w:val="225" w:id="-1232941047"/>
                <w14:textFill>
                  <w14:solidFill>
                    <w14:srgbClr w14:val="000000">
                      <w14:alpha w14:val="100000"/>
                    </w14:srgbClr>
                  </w14:solidFill>
                </w14:textFill>
              </w:rPr>
              <w:t>|</w:t>
            </w:r>
            <w:r w:rsidR="00736711">
              <w:rPr>
                <w:rFonts w:cs="Times New Roman"/>
                <w:iCs/>
                <w:szCs w:val="20"/>
                <w:vertAlign w:val="superscript"/>
              </w:rPr>
              <w:t>9</w:t>
            </w:r>
          </w:p>
        </w:tc>
        <w:tc>
          <w:tcPr>
            <w:tcW w:w="1222" w:type="dxa"/>
            <w:tcBorders>
              <w:top w:val="single" w:sz="4" w:space="0" w:color="auto"/>
              <w:left w:val="nil"/>
              <w:bottom w:val="single" w:sz="4" w:space="0" w:color="auto"/>
              <w:right w:val="single" w:sz="4" w:space="0" w:color="auto"/>
            </w:tcBorders>
            <w:shd w:val="clear" w:color="auto" w:fill="auto"/>
            <w:vAlign w:val="center"/>
          </w:tcPr>
          <w:p w14:paraId="4AB957B5" w14:textId="0243310C" w:rsidR="00A10AE1" w:rsidRPr="006952BF" w:rsidRDefault="006F2AD0" w:rsidP="006A1BBC">
            <w:pPr>
              <w:pStyle w:val="COMTablefooter"/>
              <w:keepNext/>
              <w:spacing w:after="0"/>
              <w:jc w:val="center"/>
              <w:rPr>
                <w:sz w:val="20"/>
                <w:szCs w:val="20"/>
                <w:highlight w:val="darkGray"/>
              </w:rPr>
            </w:pPr>
            <w:r w:rsidRPr="006F2AD0">
              <w:rPr>
                <w:rFonts w:cs="Times New Roman" w:hint="eastAsia"/>
                <w:color w:val="000000"/>
                <w:w w:val="28"/>
                <w:sz w:val="20"/>
                <w:szCs w:val="20"/>
                <w:shd w:val="solid" w:color="000000" w:fill="000000"/>
                <w:fitText w:val="125" w:id="-1232941046"/>
                <w14:textFill>
                  <w14:solidFill>
                    <w14:srgbClr w14:val="000000">
                      <w14:alpha w14:val="100000"/>
                    </w14:srgbClr>
                  </w14:solidFill>
                </w14:textFill>
              </w:rPr>
              <w:t xml:space="preserve">　</w:t>
            </w:r>
            <w:r w:rsidRPr="006F2AD0">
              <w:rPr>
                <w:rFonts w:cs="Times New Roman"/>
                <w:color w:val="000000"/>
                <w:w w:val="28"/>
                <w:sz w:val="20"/>
                <w:szCs w:val="20"/>
                <w:shd w:val="solid" w:color="000000" w:fill="000000"/>
                <w:fitText w:val="125" w:id="-1232941046"/>
                <w14:textFill>
                  <w14:solidFill>
                    <w14:srgbClr w14:val="000000">
                      <w14:alpha w14:val="100000"/>
                    </w14:srgbClr>
                  </w14:solidFill>
                </w14:textFill>
              </w:rPr>
              <w:t>|</w:t>
            </w:r>
            <w:r w:rsidRPr="006F2AD0">
              <w:rPr>
                <w:rFonts w:cs="Times New Roman" w:hint="eastAsia"/>
                <w:color w:val="000000"/>
                <w:spacing w:val="3"/>
                <w:w w:val="28"/>
                <w:sz w:val="20"/>
                <w:szCs w:val="20"/>
                <w:shd w:val="solid" w:color="000000" w:fill="000000"/>
                <w:fitText w:val="125" w:id="-1232941046"/>
                <w14:textFill>
                  <w14:solidFill>
                    <w14:srgbClr w14:val="000000">
                      <w14:alpha w14:val="100000"/>
                    </w14:srgbClr>
                  </w14:solidFill>
                </w14:textFill>
              </w:rPr>
              <w:t xml:space="preserve">　</w:t>
            </w:r>
            <w:r w:rsidR="00736711">
              <w:rPr>
                <w:rFonts w:cs="Times New Roman"/>
                <w:iCs/>
                <w:szCs w:val="20"/>
                <w:vertAlign w:val="superscript"/>
              </w:rPr>
              <w:t>9</w:t>
            </w:r>
          </w:p>
        </w:tc>
      </w:tr>
      <w:tr w:rsidR="00A10AE1" w:rsidRPr="0091634E" w14:paraId="2D0242D4" w14:textId="77777777" w:rsidTr="006A1BBC">
        <w:tc>
          <w:tcPr>
            <w:tcW w:w="9011" w:type="dxa"/>
            <w:gridSpan w:val="7"/>
            <w:tcBorders>
              <w:top w:val="single" w:sz="4" w:space="0" w:color="auto"/>
              <w:left w:val="single" w:sz="6" w:space="0" w:color="auto"/>
              <w:bottom w:val="single" w:sz="6" w:space="0" w:color="auto"/>
              <w:right w:val="single" w:sz="6" w:space="0" w:color="auto"/>
            </w:tcBorders>
            <w:shd w:val="clear" w:color="auto" w:fill="auto"/>
            <w:hideMark/>
          </w:tcPr>
          <w:p w14:paraId="51B878E1" w14:textId="77777777" w:rsidR="00A10AE1" w:rsidRPr="00A63AF1" w:rsidRDefault="00A10AE1" w:rsidP="006A1BBC">
            <w:pPr>
              <w:keepNext/>
              <w:jc w:val="left"/>
              <w:textAlignment w:val="baseline"/>
              <w:rPr>
                <w:rFonts w:ascii="Arial Narrow" w:hAnsi="Arial Narrow" w:cs="Times New Roman"/>
                <w:sz w:val="20"/>
                <w:szCs w:val="20"/>
              </w:rPr>
            </w:pPr>
            <w:r w:rsidRPr="00A63AF1">
              <w:rPr>
                <w:rFonts w:ascii="Arial Narrow" w:hAnsi="Arial Narrow" w:cs="Times New Roman"/>
                <w:b/>
                <w:bCs/>
                <w:sz w:val="20"/>
                <w:szCs w:val="20"/>
              </w:rPr>
              <w:t>Cost of zanubrutinib to the PBS/RPBS</w:t>
            </w:r>
          </w:p>
        </w:tc>
      </w:tr>
      <w:tr w:rsidR="00A10AE1" w:rsidRPr="0091634E" w14:paraId="023A4C60"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vAlign w:val="bottom"/>
            <w:hideMark/>
          </w:tcPr>
          <w:p w14:paraId="4ACA98DB"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PBS/RPBS zanubrutinib cost ($8,794.57 per script)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6DB3B" w14:textId="68B4D0C5" w:rsidR="00A10AE1" w:rsidRPr="006952BF" w:rsidRDefault="006F2AD0" w:rsidP="006A1BBC">
            <w:pPr>
              <w:pStyle w:val="COMTabletext"/>
              <w:jc w:val="center"/>
              <w:rPr>
                <w:szCs w:val="20"/>
                <w:highlight w:val="darkGray"/>
              </w:rPr>
            </w:pPr>
            <w:r w:rsidRPr="006F2AD0">
              <w:rPr>
                <w:color w:val="000000"/>
                <w:spacing w:val="97"/>
                <w:szCs w:val="20"/>
                <w:shd w:val="solid" w:color="000000" w:fill="000000"/>
                <w:fitText w:val="183" w:id="-1232941045"/>
                <w14:textFill>
                  <w14:solidFill>
                    <w14:srgbClr w14:val="000000">
                      <w14:alpha w14:val="100000"/>
                    </w14:srgbClr>
                  </w14:solidFill>
                </w14:textFill>
              </w:rPr>
              <w:t>|</w:t>
            </w:r>
            <w:r w:rsidRPr="006F2AD0">
              <w:rPr>
                <w:color w:val="000000"/>
                <w:spacing w:val="1"/>
                <w:szCs w:val="20"/>
                <w:shd w:val="solid" w:color="000000" w:fill="000000"/>
                <w:fitText w:val="183" w:id="-1232941045"/>
                <w14:textFill>
                  <w14:solidFill>
                    <w14:srgbClr w14:val="000000">
                      <w14:alpha w14:val="100000"/>
                    </w14:srgbClr>
                  </w14:solidFill>
                </w14:textFill>
              </w:rPr>
              <w:t>|</w:t>
            </w:r>
            <w:r w:rsidR="00736711">
              <w:rPr>
                <w:rFonts w:cs="Times New Roman"/>
                <w:iCs/>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253FD2" w14:textId="4C70616C" w:rsidR="00A10AE1" w:rsidRPr="006952BF" w:rsidRDefault="006F2AD0" w:rsidP="006A1BBC">
            <w:pPr>
              <w:pStyle w:val="COMTabletext"/>
              <w:jc w:val="center"/>
              <w:rPr>
                <w:szCs w:val="20"/>
                <w:highlight w:val="darkGray"/>
              </w:rPr>
            </w:pPr>
            <w:r w:rsidRPr="006F2AD0">
              <w:rPr>
                <w:color w:val="000000"/>
                <w:spacing w:val="97"/>
                <w:szCs w:val="20"/>
                <w:shd w:val="solid" w:color="000000" w:fill="000000"/>
                <w:fitText w:val="183" w:id="-1232941044"/>
                <w14:textFill>
                  <w14:solidFill>
                    <w14:srgbClr w14:val="000000">
                      <w14:alpha w14:val="100000"/>
                    </w14:srgbClr>
                  </w14:solidFill>
                </w14:textFill>
              </w:rPr>
              <w:t>|</w:t>
            </w:r>
            <w:r w:rsidRPr="006F2AD0">
              <w:rPr>
                <w:color w:val="000000"/>
                <w:spacing w:val="1"/>
                <w:szCs w:val="20"/>
                <w:shd w:val="solid" w:color="000000" w:fill="000000"/>
                <w:fitText w:val="183" w:id="-1232941044"/>
                <w14:textFill>
                  <w14:solidFill>
                    <w14:srgbClr w14:val="000000">
                      <w14:alpha w14:val="100000"/>
                    </w14:srgbClr>
                  </w14:solidFill>
                </w14:textFill>
              </w:rPr>
              <w:t>|</w:t>
            </w:r>
            <w:r w:rsidR="00736711">
              <w:rPr>
                <w:rFonts w:cs="Times New Roman"/>
                <w:iCs/>
                <w:szCs w:val="20"/>
                <w:vertAlign w:val="superscript"/>
              </w:rPr>
              <w:t>6</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40E4FE0" w14:textId="05C7541C" w:rsidR="00A10AE1" w:rsidRPr="006952BF" w:rsidRDefault="006F2AD0" w:rsidP="006A1BBC">
            <w:pPr>
              <w:pStyle w:val="COMTabletext"/>
              <w:jc w:val="center"/>
              <w:rPr>
                <w:szCs w:val="20"/>
                <w:highlight w:val="darkGray"/>
              </w:rPr>
            </w:pPr>
            <w:r w:rsidRPr="006F2AD0">
              <w:rPr>
                <w:color w:val="000000"/>
                <w:spacing w:val="106"/>
                <w:szCs w:val="20"/>
                <w:shd w:val="solid" w:color="000000" w:fill="000000"/>
                <w:fitText w:val="192" w:id="-1232941043"/>
                <w14:textFill>
                  <w14:solidFill>
                    <w14:srgbClr w14:val="000000">
                      <w14:alpha w14:val="100000"/>
                    </w14:srgbClr>
                  </w14:solidFill>
                </w14:textFill>
              </w:rPr>
              <w:t>|</w:t>
            </w:r>
            <w:r w:rsidRPr="006F2AD0">
              <w:rPr>
                <w:color w:val="000000"/>
                <w:spacing w:val="1"/>
                <w:szCs w:val="20"/>
                <w:shd w:val="solid" w:color="000000" w:fill="000000"/>
                <w:fitText w:val="192" w:id="-1232941043"/>
                <w14:textFill>
                  <w14:solidFill>
                    <w14:srgbClr w14:val="000000">
                      <w14:alpha w14:val="100000"/>
                    </w14:srgbClr>
                  </w14:solidFill>
                </w14:textFill>
              </w:rPr>
              <w:t>|</w:t>
            </w:r>
            <w:r w:rsidR="00736711">
              <w:rPr>
                <w:rFonts w:cs="Times New Roman"/>
                <w:iCs/>
                <w:szCs w:val="20"/>
                <w:vertAlign w:val="superscript"/>
              </w:rPr>
              <w:t>7</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41B367E" w14:textId="498C2C24" w:rsidR="00A10AE1" w:rsidRPr="006952BF" w:rsidRDefault="006F2AD0" w:rsidP="006A1BBC">
            <w:pPr>
              <w:pStyle w:val="COMTabletext"/>
              <w:jc w:val="center"/>
              <w:rPr>
                <w:szCs w:val="20"/>
                <w:highlight w:val="darkGray"/>
              </w:rPr>
            </w:pPr>
            <w:r w:rsidRPr="006F2AD0">
              <w:rPr>
                <w:color w:val="000000"/>
                <w:spacing w:val="98"/>
                <w:szCs w:val="20"/>
                <w:shd w:val="solid" w:color="000000" w:fill="000000"/>
                <w:fitText w:val="184" w:id="-1232941042"/>
                <w14:textFill>
                  <w14:solidFill>
                    <w14:srgbClr w14:val="000000">
                      <w14:alpha w14:val="100000"/>
                    </w14:srgbClr>
                  </w14:solidFill>
                </w14:textFill>
              </w:rPr>
              <w:t>|</w:t>
            </w:r>
            <w:r w:rsidRPr="006F2AD0">
              <w:rPr>
                <w:color w:val="000000"/>
                <w:spacing w:val="1"/>
                <w:szCs w:val="20"/>
                <w:shd w:val="solid" w:color="000000" w:fill="000000"/>
                <w:fitText w:val="184" w:id="-1232941042"/>
                <w14:textFill>
                  <w14:solidFill>
                    <w14:srgbClr w14:val="000000">
                      <w14:alpha w14:val="100000"/>
                    </w14:srgbClr>
                  </w14:solidFill>
                </w14:textFill>
              </w:rPr>
              <w:t>|</w:t>
            </w:r>
            <w:r w:rsidR="00736711">
              <w:rPr>
                <w:rFonts w:cs="Times New Roman"/>
                <w:iCs/>
                <w:szCs w:val="20"/>
                <w:vertAlign w:val="superscript"/>
              </w:rPr>
              <w:t>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3064BC0" w14:textId="0CF0A570" w:rsidR="00A10AE1" w:rsidRPr="006952BF" w:rsidRDefault="006F2AD0" w:rsidP="006A1BBC">
            <w:pPr>
              <w:pStyle w:val="COMTabletext"/>
              <w:jc w:val="center"/>
              <w:rPr>
                <w:szCs w:val="20"/>
                <w:highlight w:val="darkGray"/>
              </w:rPr>
            </w:pPr>
            <w:r w:rsidRPr="006F2AD0">
              <w:rPr>
                <w:color w:val="000000"/>
                <w:spacing w:val="172"/>
                <w:szCs w:val="20"/>
                <w:shd w:val="solid" w:color="000000" w:fill="000000"/>
                <w:fitText w:val="258" w:id="-1232941041"/>
                <w14:textFill>
                  <w14:solidFill>
                    <w14:srgbClr w14:val="000000">
                      <w14:alpha w14:val="100000"/>
                    </w14:srgbClr>
                  </w14:solidFill>
                </w14:textFill>
              </w:rPr>
              <w:t>|</w:t>
            </w:r>
            <w:r w:rsidRPr="006F2AD0">
              <w:rPr>
                <w:color w:val="000000"/>
                <w:spacing w:val="1"/>
                <w:szCs w:val="20"/>
                <w:shd w:val="solid" w:color="000000" w:fill="000000"/>
                <w:fitText w:val="258" w:id="-1232941041"/>
                <w14:textFill>
                  <w14:solidFill>
                    <w14:srgbClr w14:val="000000">
                      <w14:alpha w14:val="100000"/>
                    </w14:srgbClr>
                  </w14:solidFill>
                </w14:textFill>
              </w:rPr>
              <w:t>|</w:t>
            </w:r>
            <w:r w:rsidR="00736711">
              <w:rPr>
                <w:rFonts w:cs="Times New Roman"/>
                <w:iCs/>
                <w:szCs w:val="20"/>
                <w:vertAlign w:val="superscript"/>
              </w:rPr>
              <w:t>10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394E5A3" w14:textId="5707ED7C" w:rsidR="00A10AE1" w:rsidRPr="006952BF" w:rsidRDefault="006F2AD0" w:rsidP="006A1BBC">
            <w:pPr>
              <w:pStyle w:val="COMTabletext"/>
              <w:jc w:val="center"/>
              <w:rPr>
                <w:szCs w:val="20"/>
                <w:highlight w:val="darkGray"/>
              </w:rPr>
            </w:pPr>
            <w:r w:rsidRPr="006F2AD0">
              <w:rPr>
                <w:color w:val="000000"/>
                <w:spacing w:val="81"/>
                <w:szCs w:val="20"/>
                <w:shd w:val="solid" w:color="000000" w:fill="000000"/>
                <w:fitText w:val="167" w:id="-1232941040"/>
                <w14:textFill>
                  <w14:solidFill>
                    <w14:srgbClr w14:val="000000">
                      <w14:alpha w14:val="100000"/>
                    </w14:srgbClr>
                  </w14:solidFill>
                </w14:textFill>
              </w:rPr>
              <w:t>|</w:t>
            </w:r>
            <w:r w:rsidRPr="006F2AD0">
              <w:rPr>
                <w:color w:val="000000"/>
                <w:spacing w:val="1"/>
                <w:szCs w:val="20"/>
                <w:shd w:val="solid" w:color="000000" w:fill="000000"/>
                <w:fitText w:val="167" w:id="-1232941040"/>
                <w14:textFill>
                  <w14:solidFill>
                    <w14:srgbClr w14:val="000000">
                      <w14:alpha w14:val="100000"/>
                    </w14:srgbClr>
                  </w14:solidFill>
                </w14:textFill>
              </w:rPr>
              <w:t>|</w:t>
            </w:r>
            <w:r w:rsidR="00736711">
              <w:rPr>
                <w:rFonts w:cs="Times New Roman"/>
                <w:iCs/>
                <w:szCs w:val="20"/>
                <w:vertAlign w:val="superscript"/>
              </w:rPr>
              <w:t>11</w:t>
            </w:r>
          </w:p>
        </w:tc>
      </w:tr>
      <w:tr w:rsidR="00A10AE1" w:rsidRPr="0091634E" w14:paraId="700CFD5F"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hideMark/>
          </w:tcPr>
          <w:p w14:paraId="1190AE28" w14:textId="77777777" w:rsidR="00A10AE1" w:rsidRPr="0091634E" w:rsidRDefault="00A10AE1" w:rsidP="006A1BBC">
            <w:pPr>
              <w:keepNext/>
              <w:jc w:val="left"/>
              <w:textAlignment w:val="baseline"/>
              <w:rPr>
                <w:rFonts w:ascii="Arial Narrow" w:hAnsi="Arial Narrow" w:cs="Times New Roman"/>
                <w:sz w:val="20"/>
                <w:szCs w:val="20"/>
              </w:rPr>
            </w:pPr>
            <w:r w:rsidRPr="0091634E">
              <w:rPr>
                <w:rFonts w:ascii="Arial Narrow" w:hAnsi="Arial Narrow" w:cs="Times New Roman"/>
                <w:sz w:val="20"/>
                <w:szCs w:val="20"/>
              </w:rPr>
              <w:t>Patient copayments ($17.51/script)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75FF9C" w14:textId="4893E308" w:rsidR="00A10AE1" w:rsidRPr="006952BF" w:rsidRDefault="006F2AD0" w:rsidP="00E60DB3">
            <w:pPr>
              <w:pStyle w:val="COMTabletext"/>
              <w:jc w:val="center"/>
              <w:rPr>
                <w:szCs w:val="20"/>
                <w:highlight w:val="darkGray"/>
              </w:rPr>
            </w:pPr>
            <w:r w:rsidRPr="006F2AD0">
              <w:rPr>
                <w:color w:val="000000"/>
                <w:spacing w:val="97"/>
                <w:szCs w:val="20"/>
                <w:shd w:val="solid" w:color="000000" w:fill="000000"/>
                <w:fitText w:val="183" w:id="-1232941056"/>
                <w14:textFill>
                  <w14:solidFill>
                    <w14:srgbClr w14:val="000000">
                      <w14:alpha w14:val="100000"/>
                    </w14:srgbClr>
                  </w14:solidFill>
                </w14:textFill>
              </w:rPr>
              <w:t>|</w:t>
            </w:r>
            <w:r w:rsidRPr="006F2AD0">
              <w:rPr>
                <w:color w:val="000000"/>
                <w:spacing w:val="1"/>
                <w:szCs w:val="20"/>
                <w:shd w:val="solid" w:color="000000" w:fill="000000"/>
                <w:fitText w:val="183" w:id="-1232941056"/>
                <w14:textFill>
                  <w14:solidFill>
                    <w14:srgbClr w14:val="000000">
                      <w14:alpha w14:val="100000"/>
                    </w14:srgbClr>
                  </w14:solidFill>
                </w14:textFill>
              </w:rPr>
              <w:t>|</w:t>
            </w:r>
            <w:r w:rsidR="00736711">
              <w:rPr>
                <w:rFonts w:cs="Times New Roman"/>
                <w:iCs/>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DBF4AA" w14:textId="2FF26823" w:rsidR="00A10AE1" w:rsidRPr="006952BF" w:rsidRDefault="006F2AD0" w:rsidP="00E60DB3">
            <w:pPr>
              <w:pStyle w:val="COMTabletext"/>
              <w:jc w:val="center"/>
              <w:rPr>
                <w:szCs w:val="20"/>
                <w:highlight w:val="darkGray"/>
              </w:rPr>
            </w:pPr>
            <w:r w:rsidRPr="006F2AD0">
              <w:rPr>
                <w:color w:val="000000"/>
                <w:spacing w:val="97"/>
                <w:szCs w:val="20"/>
                <w:shd w:val="solid" w:color="000000" w:fill="000000"/>
                <w:fitText w:val="183" w:id="-1232941055"/>
                <w14:textFill>
                  <w14:solidFill>
                    <w14:srgbClr w14:val="000000">
                      <w14:alpha w14:val="100000"/>
                    </w14:srgbClr>
                  </w14:solidFill>
                </w14:textFill>
              </w:rPr>
              <w:t>|</w:t>
            </w:r>
            <w:r w:rsidRPr="006F2AD0">
              <w:rPr>
                <w:color w:val="000000"/>
                <w:spacing w:val="1"/>
                <w:szCs w:val="20"/>
                <w:shd w:val="solid" w:color="000000" w:fill="000000"/>
                <w:fitText w:val="183" w:id="-1232941055"/>
                <w14:textFill>
                  <w14:solidFill>
                    <w14:srgbClr w14:val="000000">
                      <w14:alpha w14:val="100000"/>
                    </w14:srgbClr>
                  </w14:solidFill>
                </w14:textFill>
              </w:rPr>
              <w:t>|</w:t>
            </w:r>
            <w:r w:rsidR="00736711">
              <w:rPr>
                <w:rFonts w:cs="Times New Roman"/>
                <w:iCs/>
                <w:szCs w:val="20"/>
                <w:vertAlign w:val="superscript"/>
              </w:rPr>
              <w:t>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C45F44D" w14:textId="475C7599" w:rsidR="00A10AE1" w:rsidRPr="006952BF" w:rsidRDefault="006F2AD0" w:rsidP="00E60DB3">
            <w:pPr>
              <w:pStyle w:val="COMTabletext"/>
              <w:jc w:val="center"/>
              <w:rPr>
                <w:szCs w:val="20"/>
                <w:highlight w:val="darkGray"/>
              </w:rPr>
            </w:pPr>
            <w:r w:rsidRPr="006F2AD0">
              <w:rPr>
                <w:color w:val="000000"/>
                <w:spacing w:val="106"/>
                <w:szCs w:val="20"/>
                <w:shd w:val="solid" w:color="000000" w:fill="000000"/>
                <w:fitText w:val="192" w:id="-1232941054"/>
                <w14:textFill>
                  <w14:solidFill>
                    <w14:srgbClr w14:val="000000">
                      <w14:alpha w14:val="100000"/>
                    </w14:srgbClr>
                  </w14:solidFill>
                </w14:textFill>
              </w:rPr>
              <w:t>|</w:t>
            </w:r>
            <w:r w:rsidRPr="006F2AD0">
              <w:rPr>
                <w:color w:val="000000"/>
                <w:spacing w:val="1"/>
                <w:szCs w:val="20"/>
                <w:shd w:val="solid" w:color="000000" w:fill="000000"/>
                <w:fitText w:val="192" w:id="-1232941054"/>
                <w14:textFill>
                  <w14:solidFill>
                    <w14:srgbClr w14:val="000000">
                      <w14:alpha w14:val="100000"/>
                    </w14:srgbClr>
                  </w14:solidFill>
                </w14:textFill>
              </w:rPr>
              <w:t>|</w:t>
            </w:r>
            <w:r w:rsidR="00736711">
              <w:rPr>
                <w:rFonts w:cs="Times New Roman"/>
                <w:iCs/>
                <w:szCs w:val="20"/>
                <w:vertAlign w:val="superscript"/>
              </w:rPr>
              <w:t>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2B9FFF1" w14:textId="3CBF9A4B" w:rsidR="00A10AE1" w:rsidRPr="006952BF" w:rsidRDefault="006F2AD0" w:rsidP="00E60DB3">
            <w:pPr>
              <w:pStyle w:val="COMTabletext"/>
              <w:jc w:val="center"/>
              <w:rPr>
                <w:szCs w:val="20"/>
                <w:highlight w:val="darkGray"/>
              </w:rPr>
            </w:pPr>
            <w:r w:rsidRPr="006F2AD0">
              <w:rPr>
                <w:color w:val="000000"/>
                <w:spacing w:val="98"/>
                <w:szCs w:val="20"/>
                <w:shd w:val="solid" w:color="000000" w:fill="000000"/>
                <w:fitText w:val="184" w:id="-1232941053"/>
                <w14:textFill>
                  <w14:solidFill>
                    <w14:srgbClr w14:val="000000">
                      <w14:alpha w14:val="100000"/>
                    </w14:srgbClr>
                  </w14:solidFill>
                </w14:textFill>
              </w:rPr>
              <w:t>|</w:t>
            </w:r>
            <w:r w:rsidRPr="006F2AD0">
              <w:rPr>
                <w:color w:val="000000"/>
                <w:spacing w:val="1"/>
                <w:szCs w:val="20"/>
                <w:shd w:val="solid" w:color="000000" w:fill="000000"/>
                <w:fitText w:val="184" w:id="-1232941053"/>
                <w14:textFill>
                  <w14:solidFill>
                    <w14:srgbClr w14:val="000000">
                      <w14:alpha w14:val="100000"/>
                    </w14:srgbClr>
                  </w14:solidFill>
                </w14:textFill>
              </w:rPr>
              <w:t>|</w:t>
            </w:r>
            <w:r w:rsidR="00736711">
              <w:rPr>
                <w:rFonts w:cs="Times New Roman"/>
                <w:iCs/>
                <w:szCs w:val="20"/>
                <w:vertAlign w:val="superscript"/>
              </w:rPr>
              <w:t>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49CB5D1" w14:textId="5C21410F" w:rsidR="00A10AE1" w:rsidRPr="006952BF" w:rsidRDefault="006F2AD0" w:rsidP="00E60DB3">
            <w:pPr>
              <w:pStyle w:val="COMTabletext"/>
              <w:jc w:val="center"/>
              <w:rPr>
                <w:szCs w:val="20"/>
                <w:highlight w:val="darkGray"/>
              </w:rPr>
            </w:pPr>
            <w:r w:rsidRPr="006F2AD0">
              <w:rPr>
                <w:color w:val="000000"/>
                <w:spacing w:val="44"/>
                <w:szCs w:val="20"/>
                <w:shd w:val="solid" w:color="000000" w:fill="000000"/>
                <w:fitText w:val="217" w:id="-1232941052"/>
                <w14:textFill>
                  <w14:solidFill>
                    <w14:srgbClr w14:val="000000">
                      <w14:alpha w14:val="100000"/>
                    </w14:srgbClr>
                  </w14:solidFill>
                </w14:textFill>
              </w:rPr>
              <w:t>||</w:t>
            </w:r>
            <w:r w:rsidRPr="006F2AD0">
              <w:rPr>
                <w:color w:val="000000"/>
                <w:spacing w:val="2"/>
                <w:szCs w:val="20"/>
                <w:shd w:val="solid" w:color="000000" w:fill="000000"/>
                <w:fitText w:val="217" w:id="-1232941052"/>
                <w14:textFill>
                  <w14:solidFill>
                    <w14:srgbClr w14:val="000000">
                      <w14:alpha w14:val="100000"/>
                    </w14:srgbClr>
                  </w14:solidFill>
                </w14:textFill>
              </w:rPr>
              <w:t>|</w:t>
            </w:r>
            <w:r w:rsidR="00736711">
              <w:rPr>
                <w:rFonts w:cs="Times New Roman"/>
                <w:iCs/>
                <w:szCs w:val="20"/>
                <w:vertAlign w:val="superscript"/>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AF7D0AA" w14:textId="0736B488" w:rsidR="00A10AE1" w:rsidRPr="006952BF" w:rsidRDefault="006F2AD0" w:rsidP="00E60DB3">
            <w:pPr>
              <w:pStyle w:val="COMTabletext"/>
              <w:jc w:val="center"/>
              <w:rPr>
                <w:szCs w:val="20"/>
                <w:highlight w:val="darkGray"/>
              </w:rPr>
            </w:pPr>
            <w:r w:rsidRPr="006F2AD0">
              <w:rPr>
                <w:rFonts w:hint="eastAsia"/>
                <w:color w:val="000000"/>
                <w:w w:val="30"/>
                <w:szCs w:val="20"/>
                <w:shd w:val="solid" w:color="000000" w:fill="000000"/>
                <w:fitText w:val="134" w:id="-1232941051"/>
                <w14:textFill>
                  <w14:solidFill>
                    <w14:srgbClr w14:val="000000">
                      <w14:alpha w14:val="100000"/>
                    </w14:srgbClr>
                  </w14:solidFill>
                </w14:textFill>
              </w:rPr>
              <w:t xml:space="preserve">　</w:t>
            </w:r>
            <w:r w:rsidRPr="006F2AD0">
              <w:rPr>
                <w:color w:val="000000"/>
                <w:w w:val="30"/>
                <w:szCs w:val="20"/>
                <w:shd w:val="solid" w:color="000000" w:fill="000000"/>
                <w:fitText w:val="134" w:id="-1232941051"/>
                <w14:textFill>
                  <w14:solidFill>
                    <w14:srgbClr w14:val="000000">
                      <w14:alpha w14:val="100000"/>
                    </w14:srgbClr>
                  </w14:solidFill>
                </w14:textFill>
              </w:rPr>
              <w:t>|</w:t>
            </w:r>
            <w:r w:rsidRPr="006F2AD0">
              <w:rPr>
                <w:rFonts w:hint="eastAsia"/>
                <w:color w:val="000000"/>
                <w:spacing w:val="2"/>
                <w:w w:val="30"/>
                <w:szCs w:val="20"/>
                <w:shd w:val="solid" w:color="000000" w:fill="000000"/>
                <w:fitText w:val="134" w:id="-1232941051"/>
                <w14:textFill>
                  <w14:solidFill>
                    <w14:srgbClr w14:val="000000">
                      <w14:alpha w14:val="100000"/>
                    </w14:srgbClr>
                  </w14:solidFill>
                </w14:textFill>
              </w:rPr>
              <w:t xml:space="preserve">　</w:t>
            </w:r>
            <w:r w:rsidR="00736711">
              <w:rPr>
                <w:rFonts w:cs="Times New Roman"/>
                <w:iCs/>
                <w:szCs w:val="20"/>
                <w:vertAlign w:val="superscript"/>
              </w:rPr>
              <w:t>4</w:t>
            </w:r>
          </w:p>
        </w:tc>
      </w:tr>
      <w:tr w:rsidR="00A10AE1" w:rsidRPr="0091634E" w14:paraId="20612A48"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3D6109C4" w14:textId="77777777" w:rsidR="00A10AE1" w:rsidRPr="00BE0A25" w:rsidRDefault="00A10AE1" w:rsidP="006A1BBC">
            <w:pPr>
              <w:pStyle w:val="COMTabletext"/>
              <w:rPr>
                <w:szCs w:val="20"/>
              </w:rPr>
            </w:pPr>
            <w:r w:rsidRPr="00BE0A25">
              <w:rPr>
                <w:szCs w:val="20"/>
              </w:rPr>
              <w:t>Net cost of zanubrutinib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07F8A" w14:textId="59B4819B" w:rsidR="00A10AE1" w:rsidRPr="006952BF" w:rsidRDefault="006F2AD0" w:rsidP="006A1BBC">
            <w:pPr>
              <w:pStyle w:val="COMTabletext"/>
              <w:jc w:val="center"/>
              <w:rPr>
                <w:szCs w:val="20"/>
                <w:highlight w:val="darkGray"/>
              </w:rPr>
            </w:pPr>
            <w:r w:rsidRPr="006F2AD0">
              <w:rPr>
                <w:color w:val="000000"/>
                <w:spacing w:val="97"/>
                <w:szCs w:val="20"/>
                <w:shd w:val="solid" w:color="000000" w:fill="000000"/>
                <w:fitText w:val="183" w:id="-1232941050"/>
                <w14:textFill>
                  <w14:solidFill>
                    <w14:srgbClr w14:val="000000">
                      <w14:alpha w14:val="100000"/>
                    </w14:srgbClr>
                  </w14:solidFill>
                </w14:textFill>
              </w:rPr>
              <w:t>|</w:t>
            </w:r>
            <w:r w:rsidRPr="006F2AD0">
              <w:rPr>
                <w:color w:val="000000"/>
                <w:spacing w:val="1"/>
                <w:szCs w:val="20"/>
                <w:shd w:val="solid" w:color="000000" w:fill="000000"/>
                <w:fitText w:val="183" w:id="-1232941050"/>
                <w14:textFill>
                  <w14:solidFill>
                    <w14:srgbClr w14:val="000000">
                      <w14:alpha w14:val="100000"/>
                    </w14:srgbClr>
                  </w14:solidFill>
                </w14:textFill>
              </w:rPr>
              <w:t>|</w:t>
            </w:r>
            <w:r w:rsidR="00736711">
              <w:rPr>
                <w:rFonts w:cs="Times New Roman"/>
                <w:iCs/>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E9BB15" w14:textId="23422586" w:rsidR="00A10AE1" w:rsidRPr="006952BF" w:rsidRDefault="006F2AD0" w:rsidP="006A1BBC">
            <w:pPr>
              <w:pStyle w:val="COMTabletext"/>
              <w:jc w:val="center"/>
              <w:rPr>
                <w:szCs w:val="20"/>
                <w:highlight w:val="darkGray"/>
              </w:rPr>
            </w:pPr>
            <w:r w:rsidRPr="006F2AD0">
              <w:rPr>
                <w:color w:val="000000"/>
                <w:spacing w:val="97"/>
                <w:szCs w:val="20"/>
                <w:shd w:val="solid" w:color="000000" w:fill="000000"/>
                <w:fitText w:val="183" w:id="-1232941049"/>
                <w14:textFill>
                  <w14:solidFill>
                    <w14:srgbClr w14:val="000000">
                      <w14:alpha w14:val="100000"/>
                    </w14:srgbClr>
                  </w14:solidFill>
                </w14:textFill>
              </w:rPr>
              <w:t>|</w:t>
            </w:r>
            <w:r w:rsidRPr="006F2AD0">
              <w:rPr>
                <w:color w:val="000000"/>
                <w:spacing w:val="1"/>
                <w:szCs w:val="20"/>
                <w:shd w:val="solid" w:color="000000" w:fill="000000"/>
                <w:fitText w:val="183" w:id="-1232941049"/>
                <w14:textFill>
                  <w14:solidFill>
                    <w14:srgbClr w14:val="000000">
                      <w14:alpha w14:val="100000"/>
                    </w14:srgbClr>
                  </w14:solidFill>
                </w14:textFill>
              </w:rPr>
              <w:t>|</w:t>
            </w:r>
            <w:r w:rsidR="00736711">
              <w:rPr>
                <w:rFonts w:cs="Times New Roman"/>
                <w:iCs/>
                <w:szCs w:val="20"/>
                <w:vertAlign w:val="superscript"/>
              </w:rPr>
              <w:t>6</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6BAE853" w14:textId="7C4D6DDD" w:rsidR="00A10AE1" w:rsidRPr="006952BF" w:rsidRDefault="006F2AD0" w:rsidP="006A1BBC">
            <w:pPr>
              <w:pStyle w:val="COMTabletext"/>
              <w:jc w:val="center"/>
              <w:rPr>
                <w:szCs w:val="20"/>
                <w:highlight w:val="darkGray"/>
              </w:rPr>
            </w:pPr>
            <w:r w:rsidRPr="006F2AD0">
              <w:rPr>
                <w:color w:val="000000"/>
                <w:spacing w:val="106"/>
                <w:szCs w:val="20"/>
                <w:shd w:val="solid" w:color="000000" w:fill="000000"/>
                <w:fitText w:val="192" w:id="-1232941048"/>
                <w14:textFill>
                  <w14:solidFill>
                    <w14:srgbClr w14:val="000000">
                      <w14:alpha w14:val="100000"/>
                    </w14:srgbClr>
                  </w14:solidFill>
                </w14:textFill>
              </w:rPr>
              <w:t>|</w:t>
            </w:r>
            <w:r w:rsidRPr="006F2AD0">
              <w:rPr>
                <w:color w:val="000000"/>
                <w:spacing w:val="1"/>
                <w:szCs w:val="20"/>
                <w:shd w:val="solid" w:color="000000" w:fill="000000"/>
                <w:fitText w:val="192" w:id="-1232941048"/>
                <w14:textFill>
                  <w14:solidFill>
                    <w14:srgbClr w14:val="000000">
                      <w14:alpha w14:val="100000"/>
                    </w14:srgbClr>
                  </w14:solidFill>
                </w14:textFill>
              </w:rPr>
              <w:t>|</w:t>
            </w:r>
            <w:r w:rsidR="00736711">
              <w:rPr>
                <w:rFonts w:cs="Times New Roman"/>
                <w:iCs/>
                <w:szCs w:val="20"/>
                <w:vertAlign w:val="superscript"/>
              </w:rPr>
              <w:t>7</w:t>
            </w:r>
          </w:p>
        </w:tc>
        <w:tc>
          <w:tcPr>
            <w:tcW w:w="1122" w:type="dxa"/>
            <w:tcBorders>
              <w:top w:val="single" w:sz="4" w:space="0" w:color="auto"/>
              <w:left w:val="single" w:sz="4" w:space="0" w:color="auto"/>
              <w:bottom w:val="single" w:sz="4" w:space="0" w:color="auto"/>
              <w:right w:val="single" w:sz="4" w:space="0" w:color="auto"/>
            </w:tcBorders>
            <w:shd w:val="clear" w:color="auto" w:fill="auto"/>
          </w:tcPr>
          <w:p w14:paraId="6B6F8DDE" w14:textId="53F39800" w:rsidR="00A10AE1" w:rsidRPr="006952BF" w:rsidRDefault="006F2AD0" w:rsidP="006A1BBC">
            <w:pPr>
              <w:pStyle w:val="COMTabletext"/>
              <w:jc w:val="center"/>
              <w:rPr>
                <w:szCs w:val="20"/>
                <w:highlight w:val="darkGray"/>
              </w:rPr>
            </w:pPr>
            <w:r w:rsidRPr="006F2AD0">
              <w:rPr>
                <w:color w:val="000000"/>
                <w:spacing w:val="98"/>
                <w:szCs w:val="20"/>
                <w:shd w:val="solid" w:color="000000" w:fill="000000"/>
                <w:fitText w:val="184" w:id="-1232941047"/>
                <w14:textFill>
                  <w14:solidFill>
                    <w14:srgbClr w14:val="000000">
                      <w14:alpha w14:val="100000"/>
                    </w14:srgbClr>
                  </w14:solidFill>
                </w14:textFill>
              </w:rPr>
              <w:t>|</w:t>
            </w:r>
            <w:r w:rsidRPr="006F2AD0">
              <w:rPr>
                <w:color w:val="000000"/>
                <w:spacing w:val="1"/>
                <w:szCs w:val="20"/>
                <w:shd w:val="solid" w:color="000000" w:fill="000000"/>
                <w:fitText w:val="184" w:id="-1232941047"/>
                <w14:textFill>
                  <w14:solidFill>
                    <w14:srgbClr w14:val="000000">
                      <w14:alpha w14:val="100000"/>
                    </w14:srgbClr>
                  </w14:solidFill>
                </w14:textFill>
              </w:rPr>
              <w:t>|</w:t>
            </w:r>
            <w:r w:rsidR="00736711">
              <w:rPr>
                <w:rFonts w:cs="Times New Roman"/>
                <w:iCs/>
                <w:szCs w:val="20"/>
                <w:vertAlign w:val="superscript"/>
              </w:rPr>
              <w:t>8</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31A2760F" w14:textId="7D70D7F5" w:rsidR="00A10AE1" w:rsidRPr="006952BF" w:rsidRDefault="006F2AD0" w:rsidP="006A1BBC">
            <w:pPr>
              <w:pStyle w:val="COMTabletext"/>
              <w:jc w:val="center"/>
              <w:rPr>
                <w:szCs w:val="20"/>
                <w:highlight w:val="darkGray"/>
              </w:rPr>
            </w:pPr>
            <w:r w:rsidRPr="006F2AD0">
              <w:rPr>
                <w:color w:val="000000"/>
                <w:spacing w:val="172"/>
                <w:szCs w:val="20"/>
                <w:shd w:val="solid" w:color="000000" w:fill="000000"/>
                <w:fitText w:val="258" w:id="-1232941046"/>
                <w14:textFill>
                  <w14:solidFill>
                    <w14:srgbClr w14:val="000000">
                      <w14:alpha w14:val="100000"/>
                    </w14:srgbClr>
                  </w14:solidFill>
                </w14:textFill>
              </w:rPr>
              <w:t>|</w:t>
            </w:r>
            <w:r w:rsidRPr="006F2AD0">
              <w:rPr>
                <w:color w:val="000000"/>
                <w:spacing w:val="1"/>
                <w:szCs w:val="20"/>
                <w:shd w:val="solid" w:color="000000" w:fill="000000"/>
                <w:fitText w:val="258" w:id="-1232941046"/>
                <w14:textFill>
                  <w14:solidFill>
                    <w14:srgbClr w14:val="000000">
                      <w14:alpha w14:val="100000"/>
                    </w14:srgbClr>
                  </w14:solidFill>
                </w14:textFill>
              </w:rPr>
              <w:t>|</w:t>
            </w:r>
            <w:r w:rsidR="00736711">
              <w:rPr>
                <w:rFonts w:cs="Times New Roman"/>
                <w:iCs/>
                <w:szCs w:val="20"/>
                <w:vertAlign w:val="superscript"/>
              </w:rPr>
              <w:t>10</w:t>
            </w:r>
          </w:p>
        </w:tc>
        <w:tc>
          <w:tcPr>
            <w:tcW w:w="1222" w:type="dxa"/>
            <w:tcBorders>
              <w:top w:val="single" w:sz="4" w:space="0" w:color="auto"/>
              <w:left w:val="single" w:sz="4" w:space="0" w:color="auto"/>
              <w:bottom w:val="single" w:sz="4" w:space="0" w:color="auto"/>
              <w:right w:val="single" w:sz="4" w:space="0" w:color="auto"/>
            </w:tcBorders>
            <w:shd w:val="clear" w:color="auto" w:fill="auto"/>
          </w:tcPr>
          <w:p w14:paraId="4097F364" w14:textId="01EBF4CB" w:rsidR="00A10AE1" w:rsidRPr="006952BF" w:rsidRDefault="006F2AD0" w:rsidP="006A1BBC">
            <w:pPr>
              <w:pStyle w:val="COMTabletext"/>
              <w:jc w:val="center"/>
              <w:rPr>
                <w:szCs w:val="20"/>
                <w:highlight w:val="darkGray"/>
              </w:rPr>
            </w:pPr>
            <w:r w:rsidRPr="006F2AD0">
              <w:rPr>
                <w:color w:val="000000"/>
                <w:spacing w:val="81"/>
                <w:szCs w:val="20"/>
                <w:shd w:val="solid" w:color="000000" w:fill="000000"/>
                <w:fitText w:val="167" w:id="-1232941045"/>
                <w14:textFill>
                  <w14:solidFill>
                    <w14:srgbClr w14:val="000000">
                      <w14:alpha w14:val="100000"/>
                    </w14:srgbClr>
                  </w14:solidFill>
                </w14:textFill>
              </w:rPr>
              <w:t>|</w:t>
            </w:r>
            <w:r w:rsidRPr="006F2AD0">
              <w:rPr>
                <w:color w:val="000000"/>
                <w:spacing w:val="1"/>
                <w:szCs w:val="20"/>
                <w:shd w:val="solid" w:color="000000" w:fill="000000"/>
                <w:fitText w:val="167" w:id="-1232941045"/>
                <w14:textFill>
                  <w14:solidFill>
                    <w14:srgbClr w14:val="000000">
                      <w14:alpha w14:val="100000"/>
                    </w14:srgbClr>
                  </w14:solidFill>
                </w14:textFill>
              </w:rPr>
              <w:t>|</w:t>
            </w:r>
            <w:r w:rsidR="00736711">
              <w:rPr>
                <w:rFonts w:cs="Times New Roman"/>
                <w:iCs/>
                <w:szCs w:val="20"/>
                <w:vertAlign w:val="superscript"/>
              </w:rPr>
              <w:t>11</w:t>
            </w:r>
          </w:p>
        </w:tc>
      </w:tr>
      <w:tr w:rsidR="0031031D" w:rsidRPr="0091634E" w14:paraId="173F7422" w14:textId="77777777" w:rsidTr="006A1BBC">
        <w:tc>
          <w:tcPr>
            <w:tcW w:w="9011" w:type="dxa"/>
            <w:gridSpan w:val="7"/>
            <w:tcBorders>
              <w:top w:val="single" w:sz="6" w:space="0" w:color="auto"/>
              <w:left w:val="single" w:sz="6" w:space="0" w:color="auto"/>
              <w:bottom w:val="single" w:sz="6" w:space="0" w:color="auto"/>
              <w:right w:val="single" w:sz="4" w:space="0" w:color="auto"/>
            </w:tcBorders>
            <w:shd w:val="clear" w:color="auto" w:fill="auto"/>
          </w:tcPr>
          <w:p w14:paraId="2A158942" w14:textId="54BF6F2C" w:rsidR="0031031D" w:rsidRPr="0031031D" w:rsidRDefault="0031031D" w:rsidP="0031031D">
            <w:pPr>
              <w:pStyle w:val="COMTabletext"/>
              <w:rPr>
                <w:b/>
                <w:bCs w:val="0"/>
                <w:szCs w:val="20"/>
              </w:rPr>
            </w:pPr>
            <w:r>
              <w:rPr>
                <w:b/>
                <w:bCs w:val="0"/>
                <w:szCs w:val="20"/>
              </w:rPr>
              <w:t xml:space="preserve">Net savings </w:t>
            </w:r>
            <w:r w:rsidR="005D662B">
              <w:rPr>
                <w:b/>
                <w:bCs w:val="0"/>
                <w:szCs w:val="20"/>
              </w:rPr>
              <w:t>from</w:t>
            </w:r>
            <w:r>
              <w:rPr>
                <w:b/>
                <w:bCs w:val="0"/>
                <w:szCs w:val="20"/>
              </w:rPr>
              <w:t xml:space="preserve"> displaced therapies</w:t>
            </w:r>
          </w:p>
        </w:tc>
      </w:tr>
      <w:tr w:rsidR="002E5389" w:rsidRPr="0091634E" w14:paraId="6741A630"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1F5C263D" w14:textId="3DC02AB2" w:rsidR="002E5389" w:rsidRPr="005D662B" w:rsidRDefault="002E5389" w:rsidP="002E5389">
            <w:pPr>
              <w:pStyle w:val="COMTabletext"/>
              <w:rPr>
                <w:szCs w:val="20"/>
              </w:rPr>
            </w:pPr>
            <w:r>
              <w:rPr>
                <w:szCs w:val="20"/>
              </w:rPr>
              <w:t xml:space="preserve">Net </w:t>
            </w:r>
            <w:r w:rsidR="00766C76">
              <w:rPr>
                <w:szCs w:val="20"/>
              </w:rPr>
              <w:t>cost of</w:t>
            </w:r>
            <w:r>
              <w:rPr>
                <w:szCs w:val="20"/>
              </w:rPr>
              <w:t xml:space="preserve"> displaced v</w:t>
            </w:r>
            <w:r w:rsidRPr="005D662B">
              <w:rPr>
                <w:szCs w:val="20"/>
              </w:rPr>
              <w:t>enetoclax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3C52F" w14:textId="2C8000B2" w:rsidR="002E5389" w:rsidRPr="006952BF" w:rsidRDefault="006F2AD0" w:rsidP="002E5389">
            <w:pPr>
              <w:pStyle w:val="COMTabletext"/>
              <w:jc w:val="center"/>
              <w:rPr>
                <w:szCs w:val="20"/>
                <w:highlight w:val="darkGray"/>
              </w:rPr>
            </w:pPr>
            <w:r w:rsidRPr="006F2AD0">
              <w:rPr>
                <w:color w:val="000000"/>
                <w:spacing w:val="97"/>
                <w:shd w:val="solid" w:color="000000" w:fill="000000"/>
                <w:fitText w:val="183" w:id="-1232941044"/>
                <w14:textFill>
                  <w14:solidFill>
                    <w14:srgbClr w14:val="000000">
                      <w14:alpha w14:val="100000"/>
                    </w14:srgbClr>
                  </w14:solidFill>
                </w14:textFill>
              </w:rPr>
              <w:t>|</w:t>
            </w:r>
            <w:r w:rsidRPr="006F2AD0">
              <w:rPr>
                <w:color w:val="000000"/>
                <w:spacing w:val="1"/>
                <w:shd w:val="solid" w:color="000000" w:fill="000000"/>
                <w:fitText w:val="183" w:id="-1232941044"/>
                <w14:textFill>
                  <w14:solidFill>
                    <w14:srgbClr w14:val="000000">
                      <w14:alpha w14:val="100000"/>
                    </w14:srgbClr>
                  </w14:solidFill>
                </w14:textFill>
              </w:rPr>
              <w:t>|</w:t>
            </w:r>
            <w:r w:rsidR="00736711">
              <w:rPr>
                <w:rFonts w:cs="Times New Roman"/>
                <w:iCs/>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05971" w14:textId="02F6DF42" w:rsidR="002E5389" w:rsidRPr="006952BF" w:rsidRDefault="006F2AD0" w:rsidP="002E5389">
            <w:pPr>
              <w:pStyle w:val="COMTabletext"/>
              <w:jc w:val="center"/>
              <w:rPr>
                <w:szCs w:val="20"/>
                <w:highlight w:val="darkGray"/>
              </w:rPr>
            </w:pPr>
            <w:r w:rsidRPr="006F2AD0">
              <w:rPr>
                <w:color w:val="000000"/>
                <w:spacing w:val="97"/>
                <w:shd w:val="solid" w:color="000000" w:fill="000000"/>
                <w:fitText w:val="183" w:id="-1232941043"/>
                <w14:textFill>
                  <w14:solidFill>
                    <w14:srgbClr w14:val="000000">
                      <w14:alpha w14:val="100000"/>
                    </w14:srgbClr>
                  </w14:solidFill>
                </w14:textFill>
              </w:rPr>
              <w:t>|</w:t>
            </w:r>
            <w:r w:rsidRPr="006F2AD0">
              <w:rPr>
                <w:color w:val="000000"/>
                <w:spacing w:val="1"/>
                <w:shd w:val="solid" w:color="000000" w:fill="000000"/>
                <w:fitText w:val="183" w:id="-1232941043"/>
                <w14:textFill>
                  <w14:solidFill>
                    <w14:srgbClr w14:val="000000">
                      <w14:alpha w14:val="100000"/>
                    </w14:srgbClr>
                  </w14:solidFill>
                </w14:textFill>
              </w:rPr>
              <w:t>|</w:t>
            </w:r>
            <w:r w:rsidR="00736711">
              <w:rPr>
                <w:rFonts w:cs="Times New Roman"/>
                <w:iCs/>
                <w:szCs w:val="20"/>
                <w:vertAlign w:val="superscript"/>
              </w:rPr>
              <w:t>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21414D4" w14:textId="5CF96233" w:rsidR="002E5389" w:rsidRPr="006952BF" w:rsidRDefault="006F2AD0" w:rsidP="002E5389">
            <w:pPr>
              <w:pStyle w:val="COMTabletext"/>
              <w:jc w:val="center"/>
              <w:rPr>
                <w:szCs w:val="20"/>
                <w:highlight w:val="darkGray"/>
              </w:rPr>
            </w:pPr>
            <w:r w:rsidRPr="006F2AD0">
              <w:rPr>
                <w:color w:val="000000"/>
                <w:spacing w:val="106"/>
                <w:shd w:val="solid" w:color="000000" w:fill="000000"/>
                <w:fitText w:val="192" w:id="-1232941042"/>
                <w14:textFill>
                  <w14:solidFill>
                    <w14:srgbClr w14:val="000000">
                      <w14:alpha w14:val="100000"/>
                    </w14:srgbClr>
                  </w14:solidFill>
                </w14:textFill>
              </w:rPr>
              <w:t>|</w:t>
            </w:r>
            <w:r w:rsidRPr="006F2AD0">
              <w:rPr>
                <w:color w:val="000000"/>
                <w:spacing w:val="1"/>
                <w:shd w:val="solid" w:color="000000" w:fill="000000"/>
                <w:fitText w:val="192" w:id="-1232941042"/>
                <w14:textFill>
                  <w14:solidFill>
                    <w14:srgbClr w14:val="000000">
                      <w14:alpha w14:val="100000"/>
                    </w14:srgbClr>
                  </w14:solidFill>
                </w14:textFill>
              </w:rPr>
              <w:t>|</w:t>
            </w:r>
            <w:r w:rsidR="00736711">
              <w:rPr>
                <w:rFonts w:cs="Times New Roman"/>
                <w:iCs/>
                <w:szCs w:val="20"/>
                <w:vertAlign w:val="superscript"/>
              </w:rPr>
              <w:t>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276FB526" w14:textId="11F62604" w:rsidR="002E5389" w:rsidRPr="006952BF" w:rsidRDefault="006F2AD0" w:rsidP="002E5389">
            <w:pPr>
              <w:pStyle w:val="COMTabletext"/>
              <w:jc w:val="center"/>
              <w:rPr>
                <w:szCs w:val="20"/>
                <w:highlight w:val="darkGray"/>
              </w:rPr>
            </w:pPr>
            <w:r w:rsidRPr="006F2AD0">
              <w:rPr>
                <w:color w:val="000000"/>
                <w:spacing w:val="98"/>
                <w:shd w:val="solid" w:color="000000" w:fill="000000"/>
                <w:fitText w:val="184" w:id="-1232941041"/>
                <w14:textFill>
                  <w14:solidFill>
                    <w14:srgbClr w14:val="000000">
                      <w14:alpha w14:val="100000"/>
                    </w14:srgbClr>
                  </w14:solidFill>
                </w14:textFill>
              </w:rPr>
              <w:t>|</w:t>
            </w:r>
            <w:r w:rsidRPr="006F2AD0">
              <w:rPr>
                <w:color w:val="000000"/>
                <w:spacing w:val="1"/>
                <w:shd w:val="solid" w:color="000000" w:fill="000000"/>
                <w:fitText w:val="184" w:id="-1232941041"/>
                <w14:textFill>
                  <w14:solidFill>
                    <w14:srgbClr w14:val="000000">
                      <w14:alpha w14:val="100000"/>
                    </w14:srgbClr>
                  </w14:solidFill>
                </w14:textFill>
              </w:rPr>
              <w:t>|</w:t>
            </w:r>
            <w:r w:rsidR="00736711">
              <w:rPr>
                <w:rFonts w:cs="Times New Roman"/>
                <w:iCs/>
                <w:szCs w:val="20"/>
                <w:vertAlign w:val="superscript"/>
              </w:rPr>
              <w:t>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3854C20" w14:textId="0B4A05BC" w:rsidR="002E5389" w:rsidRPr="006952BF" w:rsidRDefault="006F2AD0" w:rsidP="002E5389">
            <w:pPr>
              <w:pStyle w:val="COMTabletext"/>
              <w:jc w:val="center"/>
              <w:rPr>
                <w:szCs w:val="20"/>
                <w:highlight w:val="darkGray"/>
              </w:rPr>
            </w:pPr>
            <w:r w:rsidRPr="006F2AD0">
              <w:rPr>
                <w:color w:val="000000"/>
                <w:spacing w:val="44"/>
                <w:shd w:val="solid" w:color="000000" w:fill="000000"/>
                <w:fitText w:val="217" w:id="-1232941040"/>
                <w14:textFill>
                  <w14:solidFill>
                    <w14:srgbClr w14:val="000000">
                      <w14:alpha w14:val="100000"/>
                    </w14:srgbClr>
                  </w14:solidFill>
                </w14:textFill>
              </w:rPr>
              <w:t>||</w:t>
            </w:r>
            <w:r w:rsidRPr="006F2AD0">
              <w:rPr>
                <w:color w:val="000000"/>
                <w:spacing w:val="2"/>
                <w:shd w:val="solid" w:color="000000" w:fill="000000"/>
                <w:fitText w:val="217" w:id="-1232941040"/>
                <w14:textFill>
                  <w14:solidFill>
                    <w14:srgbClr w14:val="000000">
                      <w14:alpha w14:val="100000"/>
                    </w14:srgbClr>
                  </w14:solidFill>
                </w14:textFill>
              </w:rPr>
              <w:t>|</w:t>
            </w:r>
            <w:r w:rsidR="00736711">
              <w:rPr>
                <w:rFonts w:cs="Times New Roman"/>
                <w:iCs/>
                <w:szCs w:val="20"/>
                <w:vertAlign w:val="superscript"/>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BC60885" w14:textId="0C5795CF" w:rsidR="002E5389" w:rsidRPr="006952BF" w:rsidRDefault="006F2AD0" w:rsidP="002E5389">
            <w:pPr>
              <w:pStyle w:val="COMTabletext"/>
              <w:jc w:val="center"/>
              <w:rPr>
                <w:szCs w:val="20"/>
                <w:highlight w:val="darkGray"/>
              </w:rPr>
            </w:pPr>
            <w:r w:rsidRPr="006F2AD0">
              <w:rPr>
                <w:rFonts w:hint="eastAsia"/>
                <w:color w:val="000000"/>
                <w:w w:val="30"/>
                <w:shd w:val="solid" w:color="000000" w:fill="000000"/>
                <w:fitText w:val="134" w:id="-1232941056"/>
                <w14:textFill>
                  <w14:solidFill>
                    <w14:srgbClr w14:val="000000">
                      <w14:alpha w14:val="100000"/>
                    </w14:srgbClr>
                  </w14:solidFill>
                </w14:textFill>
              </w:rPr>
              <w:t xml:space="preserve">　</w:t>
            </w:r>
            <w:r w:rsidRPr="006F2AD0">
              <w:rPr>
                <w:color w:val="000000"/>
                <w:w w:val="30"/>
                <w:shd w:val="solid" w:color="000000" w:fill="000000"/>
                <w:fitText w:val="134" w:id="-1232941056"/>
                <w14:textFill>
                  <w14:solidFill>
                    <w14:srgbClr w14:val="000000">
                      <w14:alpha w14:val="100000"/>
                    </w14:srgbClr>
                  </w14:solidFill>
                </w14:textFill>
              </w:rPr>
              <w:t>|</w:t>
            </w:r>
            <w:r w:rsidRPr="006F2AD0">
              <w:rPr>
                <w:rFonts w:hint="eastAsia"/>
                <w:color w:val="000000"/>
                <w:spacing w:val="2"/>
                <w:w w:val="30"/>
                <w:shd w:val="solid" w:color="000000" w:fill="000000"/>
                <w:fitText w:val="134" w:id="-1232941056"/>
                <w14:textFill>
                  <w14:solidFill>
                    <w14:srgbClr w14:val="000000">
                      <w14:alpha w14:val="100000"/>
                    </w14:srgbClr>
                  </w14:solidFill>
                </w14:textFill>
              </w:rPr>
              <w:t xml:space="preserve">　</w:t>
            </w:r>
            <w:r w:rsidR="00736711">
              <w:rPr>
                <w:rFonts w:cs="Times New Roman"/>
                <w:iCs/>
                <w:szCs w:val="20"/>
                <w:vertAlign w:val="superscript"/>
              </w:rPr>
              <w:t>4</w:t>
            </w:r>
          </w:p>
        </w:tc>
      </w:tr>
      <w:tr w:rsidR="005D662B" w:rsidRPr="0091634E" w14:paraId="1753CD85"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38A0EA78" w14:textId="4B7A0A0F" w:rsidR="005D662B" w:rsidRPr="005D662B" w:rsidRDefault="002E5389" w:rsidP="005D662B">
            <w:pPr>
              <w:pStyle w:val="COMTabletext"/>
              <w:rPr>
                <w:bCs w:val="0"/>
                <w:szCs w:val="20"/>
              </w:rPr>
            </w:pPr>
            <w:r>
              <w:rPr>
                <w:szCs w:val="20"/>
              </w:rPr>
              <w:t xml:space="preserve">Net </w:t>
            </w:r>
            <w:r w:rsidR="00766C76">
              <w:rPr>
                <w:szCs w:val="20"/>
              </w:rPr>
              <w:t>cost of</w:t>
            </w:r>
            <w:r>
              <w:rPr>
                <w:szCs w:val="20"/>
              </w:rPr>
              <w:t xml:space="preserve"> displaced </w:t>
            </w:r>
            <w:r w:rsidR="005D662B">
              <w:rPr>
                <w:bCs w:val="0"/>
                <w:szCs w:val="20"/>
              </w:rPr>
              <w:t>obinutuzumab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FDCFB" w14:textId="64589FF2" w:rsidR="005D662B" w:rsidRPr="006952BF" w:rsidRDefault="006F2AD0" w:rsidP="005D662B">
            <w:pPr>
              <w:pStyle w:val="COMTabletext"/>
              <w:jc w:val="center"/>
              <w:rPr>
                <w:szCs w:val="20"/>
                <w:highlight w:val="darkGray"/>
              </w:rPr>
            </w:pPr>
            <w:r w:rsidRPr="006F2AD0">
              <w:rPr>
                <w:rFonts w:cs="Times New Roman"/>
                <w:color w:val="000000"/>
                <w:spacing w:val="97"/>
                <w:szCs w:val="20"/>
                <w:shd w:val="solid" w:color="000000" w:fill="000000"/>
                <w:fitText w:val="183" w:id="-1232941055"/>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55"/>
                <w14:textFill>
                  <w14:solidFill>
                    <w14:srgbClr w14:val="000000">
                      <w14:alpha w14:val="100000"/>
                    </w14:srgbClr>
                  </w14:solidFill>
                </w14:textFill>
              </w:rPr>
              <w:t>|</w:t>
            </w:r>
            <w:r w:rsidR="00736711">
              <w:rPr>
                <w:rFonts w:cs="Times New Roman"/>
                <w:iCs/>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D456D" w14:textId="44EB943F" w:rsidR="005D662B" w:rsidRPr="006952BF" w:rsidRDefault="006F2AD0" w:rsidP="005D662B">
            <w:pPr>
              <w:pStyle w:val="COMTabletext"/>
              <w:jc w:val="center"/>
              <w:rPr>
                <w:szCs w:val="20"/>
                <w:highlight w:val="darkGray"/>
              </w:rPr>
            </w:pPr>
            <w:r w:rsidRPr="006F2AD0">
              <w:rPr>
                <w:rFonts w:cs="Times New Roman"/>
                <w:color w:val="000000"/>
                <w:spacing w:val="97"/>
                <w:szCs w:val="20"/>
                <w:shd w:val="solid" w:color="000000" w:fill="000000"/>
                <w:fitText w:val="183" w:id="-1232941054"/>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54"/>
                <w14:textFill>
                  <w14:solidFill>
                    <w14:srgbClr w14:val="000000">
                      <w14:alpha w14:val="100000"/>
                    </w14:srgbClr>
                  </w14:solidFill>
                </w14:textFill>
              </w:rPr>
              <w:t>|</w:t>
            </w:r>
            <w:r w:rsidR="00736711">
              <w:rPr>
                <w:rFonts w:cs="Times New Roman"/>
                <w:iCs/>
                <w:szCs w:val="20"/>
                <w:vertAlign w:val="superscript"/>
              </w:rPr>
              <w:t>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DBD41EF" w14:textId="77AA4CEB" w:rsidR="005D662B" w:rsidRPr="006952BF" w:rsidRDefault="006F2AD0" w:rsidP="005D662B">
            <w:pPr>
              <w:pStyle w:val="COMTabletext"/>
              <w:jc w:val="center"/>
              <w:rPr>
                <w:szCs w:val="20"/>
                <w:highlight w:val="darkGray"/>
              </w:rPr>
            </w:pPr>
            <w:r w:rsidRPr="006F2AD0">
              <w:rPr>
                <w:rFonts w:cs="Times New Roman"/>
                <w:color w:val="000000"/>
                <w:spacing w:val="106"/>
                <w:szCs w:val="20"/>
                <w:shd w:val="solid" w:color="000000" w:fill="000000"/>
                <w:fitText w:val="192" w:id="-1232941053"/>
                <w14:textFill>
                  <w14:solidFill>
                    <w14:srgbClr w14:val="000000">
                      <w14:alpha w14:val="100000"/>
                    </w14:srgbClr>
                  </w14:solidFill>
                </w14:textFill>
              </w:rPr>
              <w:t>|</w:t>
            </w:r>
            <w:r w:rsidRPr="006F2AD0">
              <w:rPr>
                <w:rFonts w:cs="Times New Roman"/>
                <w:color w:val="000000"/>
                <w:spacing w:val="1"/>
                <w:szCs w:val="20"/>
                <w:shd w:val="solid" w:color="000000" w:fill="000000"/>
                <w:fitText w:val="192" w:id="-1232941053"/>
                <w14:textFill>
                  <w14:solidFill>
                    <w14:srgbClr w14:val="000000">
                      <w14:alpha w14:val="100000"/>
                    </w14:srgbClr>
                  </w14:solidFill>
                </w14:textFill>
              </w:rPr>
              <w:t>|</w:t>
            </w:r>
            <w:r w:rsidR="00736711">
              <w:rPr>
                <w:rFonts w:cs="Times New Roman"/>
                <w:iCs/>
                <w:szCs w:val="20"/>
                <w:vertAlign w:val="superscript"/>
              </w:rPr>
              <w:t>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09757C6" w14:textId="32DFADC3" w:rsidR="005D662B" w:rsidRPr="006952BF" w:rsidRDefault="006F2AD0" w:rsidP="005D662B">
            <w:pPr>
              <w:pStyle w:val="COMTabletext"/>
              <w:jc w:val="center"/>
              <w:rPr>
                <w:szCs w:val="20"/>
                <w:highlight w:val="darkGray"/>
              </w:rPr>
            </w:pPr>
            <w:r w:rsidRPr="006F2AD0">
              <w:rPr>
                <w:rFonts w:cs="Times New Roman"/>
                <w:color w:val="000000"/>
                <w:spacing w:val="98"/>
                <w:szCs w:val="20"/>
                <w:shd w:val="solid" w:color="000000" w:fill="000000"/>
                <w:fitText w:val="184" w:id="-1232941052"/>
                <w14:textFill>
                  <w14:solidFill>
                    <w14:srgbClr w14:val="000000">
                      <w14:alpha w14:val="100000"/>
                    </w14:srgbClr>
                  </w14:solidFill>
                </w14:textFill>
              </w:rPr>
              <w:t>|</w:t>
            </w:r>
            <w:r w:rsidRPr="006F2AD0">
              <w:rPr>
                <w:rFonts w:cs="Times New Roman"/>
                <w:color w:val="000000"/>
                <w:spacing w:val="1"/>
                <w:szCs w:val="20"/>
                <w:shd w:val="solid" w:color="000000" w:fill="000000"/>
                <w:fitText w:val="184" w:id="-1232941052"/>
                <w14:textFill>
                  <w14:solidFill>
                    <w14:srgbClr w14:val="000000">
                      <w14:alpha w14:val="100000"/>
                    </w14:srgbClr>
                  </w14:solidFill>
                </w14:textFill>
              </w:rPr>
              <w:t>|</w:t>
            </w:r>
            <w:r w:rsidR="00736711">
              <w:rPr>
                <w:rFonts w:cs="Times New Roman"/>
                <w:iCs/>
                <w:szCs w:val="20"/>
                <w:vertAlign w:val="superscript"/>
              </w:rPr>
              <w:t>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90F1AA1" w14:textId="0FE87BAF" w:rsidR="005D662B" w:rsidRPr="006952BF" w:rsidRDefault="006F2AD0" w:rsidP="005D662B">
            <w:pPr>
              <w:pStyle w:val="COMTabletext"/>
              <w:jc w:val="center"/>
              <w:rPr>
                <w:szCs w:val="20"/>
                <w:highlight w:val="darkGray"/>
              </w:rPr>
            </w:pPr>
            <w:r w:rsidRPr="006F2AD0">
              <w:rPr>
                <w:rFonts w:cs="Times New Roman"/>
                <w:color w:val="000000"/>
                <w:spacing w:val="44"/>
                <w:szCs w:val="20"/>
                <w:shd w:val="solid" w:color="000000" w:fill="000000"/>
                <w:fitText w:val="217" w:id="-1232941051"/>
                <w14:textFill>
                  <w14:solidFill>
                    <w14:srgbClr w14:val="000000">
                      <w14:alpha w14:val="100000"/>
                    </w14:srgbClr>
                  </w14:solidFill>
                </w14:textFill>
              </w:rPr>
              <w:t>||</w:t>
            </w:r>
            <w:r w:rsidRPr="006F2AD0">
              <w:rPr>
                <w:rFonts w:cs="Times New Roman"/>
                <w:color w:val="000000"/>
                <w:spacing w:val="2"/>
                <w:szCs w:val="20"/>
                <w:shd w:val="solid" w:color="000000" w:fill="000000"/>
                <w:fitText w:val="217" w:id="-1232941051"/>
                <w14:textFill>
                  <w14:solidFill>
                    <w14:srgbClr w14:val="000000">
                      <w14:alpha w14:val="100000"/>
                    </w14:srgbClr>
                  </w14:solidFill>
                </w14:textFill>
              </w:rPr>
              <w:t>|</w:t>
            </w:r>
            <w:r w:rsidR="00736711">
              <w:rPr>
                <w:rFonts w:cs="Times New Roman"/>
                <w:iCs/>
                <w:szCs w:val="20"/>
                <w:vertAlign w:val="superscript"/>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37D41D8" w14:textId="32E720FC" w:rsidR="005D662B" w:rsidRPr="006952BF" w:rsidRDefault="006F2AD0" w:rsidP="005D662B">
            <w:pPr>
              <w:pStyle w:val="COMTabletext"/>
              <w:jc w:val="center"/>
              <w:rPr>
                <w:szCs w:val="20"/>
                <w:highlight w:val="darkGray"/>
              </w:rPr>
            </w:pPr>
            <w:r w:rsidRPr="006F2AD0">
              <w:rPr>
                <w:rFonts w:cs="Times New Roman" w:hint="eastAsia"/>
                <w:color w:val="000000"/>
                <w:w w:val="30"/>
                <w:szCs w:val="20"/>
                <w:shd w:val="solid" w:color="000000" w:fill="000000"/>
                <w:fitText w:val="134" w:id="-1232941050"/>
                <w14:textFill>
                  <w14:solidFill>
                    <w14:srgbClr w14:val="000000">
                      <w14:alpha w14:val="100000"/>
                    </w14:srgbClr>
                  </w14:solidFill>
                </w14:textFill>
              </w:rPr>
              <w:t xml:space="preserve">　</w:t>
            </w:r>
            <w:r w:rsidRPr="006F2AD0">
              <w:rPr>
                <w:rFonts w:cs="Times New Roman"/>
                <w:color w:val="000000"/>
                <w:w w:val="30"/>
                <w:szCs w:val="20"/>
                <w:shd w:val="solid" w:color="000000" w:fill="000000"/>
                <w:fitText w:val="134" w:id="-1232941050"/>
                <w14:textFill>
                  <w14:solidFill>
                    <w14:srgbClr w14:val="000000">
                      <w14:alpha w14:val="100000"/>
                    </w14:srgbClr>
                  </w14:solidFill>
                </w14:textFill>
              </w:rPr>
              <w:t>|</w:t>
            </w:r>
            <w:r w:rsidRPr="006F2AD0">
              <w:rPr>
                <w:rFonts w:cs="Times New Roman" w:hint="eastAsia"/>
                <w:color w:val="000000"/>
                <w:spacing w:val="2"/>
                <w:w w:val="30"/>
                <w:szCs w:val="20"/>
                <w:shd w:val="solid" w:color="000000" w:fill="000000"/>
                <w:fitText w:val="134" w:id="-1232941050"/>
                <w14:textFill>
                  <w14:solidFill>
                    <w14:srgbClr w14:val="000000">
                      <w14:alpha w14:val="100000"/>
                    </w14:srgbClr>
                  </w14:solidFill>
                </w14:textFill>
              </w:rPr>
              <w:t xml:space="preserve">　</w:t>
            </w:r>
            <w:r w:rsidR="00736711">
              <w:rPr>
                <w:rFonts w:cs="Times New Roman"/>
                <w:iCs/>
                <w:szCs w:val="20"/>
                <w:vertAlign w:val="superscript"/>
              </w:rPr>
              <w:t>4</w:t>
            </w:r>
          </w:p>
        </w:tc>
      </w:tr>
      <w:tr w:rsidR="005D662B" w:rsidRPr="0091634E" w14:paraId="5A568E46"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1B0AF23B" w14:textId="5428C98D" w:rsidR="005D662B" w:rsidRPr="005D662B" w:rsidRDefault="002E5389" w:rsidP="005D662B">
            <w:pPr>
              <w:pStyle w:val="COMTabletext"/>
              <w:rPr>
                <w:szCs w:val="20"/>
              </w:rPr>
            </w:pPr>
            <w:r>
              <w:rPr>
                <w:szCs w:val="20"/>
              </w:rPr>
              <w:t xml:space="preserve">Total </w:t>
            </w:r>
            <w:r w:rsidR="00766C76">
              <w:rPr>
                <w:szCs w:val="20"/>
              </w:rPr>
              <w:t>cost of</w:t>
            </w:r>
            <w:r w:rsidR="005D662B">
              <w:rPr>
                <w:szCs w:val="20"/>
              </w:rPr>
              <w:t xml:space="preserve"> displaced therapies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FB7A62" w14:textId="17FB6277" w:rsidR="005D662B" w:rsidRPr="006952BF" w:rsidRDefault="006F2AD0" w:rsidP="005D662B">
            <w:pPr>
              <w:pStyle w:val="COMTabletext"/>
              <w:jc w:val="center"/>
              <w:rPr>
                <w:szCs w:val="20"/>
                <w:highlight w:val="darkGray"/>
              </w:rPr>
            </w:pPr>
            <w:r w:rsidRPr="006F2AD0">
              <w:rPr>
                <w:rFonts w:cs="Times New Roman"/>
                <w:color w:val="000000"/>
                <w:spacing w:val="97"/>
                <w:szCs w:val="20"/>
                <w:shd w:val="solid" w:color="000000" w:fill="000000"/>
                <w:fitText w:val="183" w:id="-1232941049"/>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49"/>
                <w14:textFill>
                  <w14:solidFill>
                    <w14:srgbClr w14:val="000000">
                      <w14:alpha w14:val="100000"/>
                    </w14:srgbClr>
                  </w14:solidFill>
                </w14:textFill>
              </w:rPr>
              <w:t>|</w:t>
            </w:r>
            <w:r w:rsidR="00736711">
              <w:rPr>
                <w:rFonts w:cs="Times New Roman"/>
                <w:iCs/>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92B6E1" w14:textId="6903F0EA" w:rsidR="005D662B" w:rsidRPr="006952BF" w:rsidRDefault="006F2AD0" w:rsidP="005D662B">
            <w:pPr>
              <w:pStyle w:val="COMTabletext"/>
              <w:jc w:val="center"/>
              <w:rPr>
                <w:szCs w:val="20"/>
                <w:highlight w:val="darkGray"/>
              </w:rPr>
            </w:pPr>
            <w:r w:rsidRPr="006F2AD0">
              <w:rPr>
                <w:rFonts w:cs="Times New Roman"/>
                <w:color w:val="000000"/>
                <w:spacing w:val="97"/>
                <w:szCs w:val="20"/>
                <w:shd w:val="solid" w:color="000000" w:fill="000000"/>
                <w:fitText w:val="183" w:id="-1232941048"/>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48"/>
                <w14:textFill>
                  <w14:solidFill>
                    <w14:srgbClr w14:val="000000">
                      <w14:alpha w14:val="100000"/>
                    </w14:srgbClr>
                  </w14:solidFill>
                </w14:textFill>
              </w:rPr>
              <w:t>|</w:t>
            </w:r>
            <w:r w:rsidR="00736711">
              <w:rPr>
                <w:rFonts w:cs="Times New Roman"/>
                <w:iCs/>
                <w:szCs w:val="20"/>
                <w:vertAlign w:val="superscript"/>
              </w:rPr>
              <w:t>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E7E8ED6" w14:textId="36C6B6D1" w:rsidR="005D662B" w:rsidRPr="006952BF" w:rsidRDefault="006F2AD0" w:rsidP="005D662B">
            <w:pPr>
              <w:pStyle w:val="COMTabletext"/>
              <w:jc w:val="center"/>
              <w:rPr>
                <w:szCs w:val="20"/>
                <w:highlight w:val="darkGray"/>
              </w:rPr>
            </w:pPr>
            <w:r w:rsidRPr="006F2AD0">
              <w:rPr>
                <w:rFonts w:cs="Times New Roman"/>
                <w:color w:val="000000"/>
                <w:spacing w:val="106"/>
                <w:szCs w:val="20"/>
                <w:shd w:val="solid" w:color="000000" w:fill="000000"/>
                <w:fitText w:val="192" w:id="-1232941047"/>
                <w14:textFill>
                  <w14:solidFill>
                    <w14:srgbClr w14:val="000000">
                      <w14:alpha w14:val="100000"/>
                    </w14:srgbClr>
                  </w14:solidFill>
                </w14:textFill>
              </w:rPr>
              <w:t>|</w:t>
            </w:r>
            <w:r w:rsidRPr="006F2AD0">
              <w:rPr>
                <w:rFonts w:cs="Times New Roman"/>
                <w:color w:val="000000"/>
                <w:spacing w:val="1"/>
                <w:szCs w:val="20"/>
                <w:shd w:val="solid" w:color="000000" w:fill="000000"/>
                <w:fitText w:val="192" w:id="-1232941047"/>
                <w14:textFill>
                  <w14:solidFill>
                    <w14:srgbClr w14:val="000000">
                      <w14:alpha w14:val="100000"/>
                    </w14:srgbClr>
                  </w14:solidFill>
                </w14:textFill>
              </w:rPr>
              <w:t>|</w:t>
            </w:r>
            <w:r w:rsidR="00736711">
              <w:rPr>
                <w:rFonts w:cs="Times New Roman"/>
                <w:iCs/>
                <w:szCs w:val="20"/>
                <w:vertAlign w:val="superscript"/>
              </w:rPr>
              <w:t>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83A6AF4" w14:textId="75B6FD8E" w:rsidR="005D662B" w:rsidRPr="006952BF" w:rsidRDefault="006F2AD0" w:rsidP="005D662B">
            <w:pPr>
              <w:pStyle w:val="COMTabletext"/>
              <w:jc w:val="center"/>
              <w:rPr>
                <w:szCs w:val="20"/>
                <w:highlight w:val="darkGray"/>
              </w:rPr>
            </w:pPr>
            <w:r w:rsidRPr="006F2AD0">
              <w:rPr>
                <w:rFonts w:cs="Times New Roman"/>
                <w:color w:val="000000"/>
                <w:spacing w:val="98"/>
                <w:szCs w:val="20"/>
                <w:shd w:val="solid" w:color="000000" w:fill="000000"/>
                <w:fitText w:val="184" w:id="-1232941046"/>
                <w14:textFill>
                  <w14:solidFill>
                    <w14:srgbClr w14:val="000000">
                      <w14:alpha w14:val="100000"/>
                    </w14:srgbClr>
                  </w14:solidFill>
                </w14:textFill>
              </w:rPr>
              <w:t>|</w:t>
            </w:r>
            <w:r w:rsidRPr="006F2AD0">
              <w:rPr>
                <w:rFonts w:cs="Times New Roman"/>
                <w:color w:val="000000"/>
                <w:spacing w:val="1"/>
                <w:szCs w:val="20"/>
                <w:shd w:val="solid" w:color="000000" w:fill="000000"/>
                <w:fitText w:val="184" w:id="-1232941046"/>
                <w14:textFill>
                  <w14:solidFill>
                    <w14:srgbClr w14:val="000000">
                      <w14:alpha w14:val="100000"/>
                    </w14:srgbClr>
                  </w14:solidFill>
                </w14:textFill>
              </w:rPr>
              <w:t>|</w:t>
            </w:r>
            <w:r w:rsidR="00736711">
              <w:rPr>
                <w:rFonts w:cs="Times New Roman"/>
                <w:iCs/>
                <w:szCs w:val="20"/>
                <w:vertAlign w:val="superscript"/>
              </w:rPr>
              <w:t>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425E9DC" w14:textId="12695286" w:rsidR="005D662B" w:rsidRPr="006952BF" w:rsidRDefault="006F2AD0" w:rsidP="005D662B">
            <w:pPr>
              <w:pStyle w:val="COMTabletext"/>
              <w:jc w:val="center"/>
              <w:rPr>
                <w:szCs w:val="20"/>
                <w:highlight w:val="darkGray"/>
              </w:rPr>
            </w:pPr>
            <w:r w:rsidRPr="006F2AD0">
              <w:rPr>
                <w:rFonts w:cs="Times New Roman"/>
                <w:color w:val="000000"/>
                <w:spacing w:val="44"/>
                <w:szCs w:val="20"/>
                <w:shd w:val="solid" w:color="000000" w:fill="000000"/>
                <w:fitText w:val="217" w:id="-1232941045"/>
                <w14:textFill>
                  <w14:solidFill>
                    <w14:srgbClr w14:val="000000">
                      <w14:alpha w14:val="100000"/>
                    </w14:srgbClr>
                  </w14:solidFill>
                </w14:textFill>
              </w:rPr>
              <w:t>||</w:t>
            </w:r>
            <w:r w:rsidRPr="006F2AD0">
              <w:rPr>
                <w:rFonts w:cs="Times New Roman"/>
                <w:color w:val="000000"/>
                <w:spacing w:val="2"/>
                <w:szCs w:val="20"/>
                <w:shd w:val="solid" w:color="000000" w:fill="000000"/>
                <w:fitText w:val="217" w:id="-1232941045"/>
                <w14:textFill>
                  <w14:solidFill>
                    <w14:srgbClr w14:val="000000">
                      <w14:alpha w14:val="100000"/>
                    </w14:srgbClr>
                  </w14:solidFill>
                </w14:textFill>
              </w:rPr>
              <w:t>|</w:t>
            </w:r>
            <w:r w:rsidR="00736711">
              <w:rPr>
                <w:rFonts w:cs="Times New Roman"/>
                <w:iCs/>
                <w:szCs w:val="20"/>
                <w:vertAlign w:val="superscript"/>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D8960E2" w14:textId="17CA3DAC" w:rsidR="005D662B" w:rsidRPr="006952BF" w:rsidRDefault="006F2AD0" w:rsidP="005D662B">
            <w:pPr>
              <w:pStyle w:val="COMTabletext"/>
              <w:jc w:val="center"/>
              <w:rPr>
                <w:szCs w:val="20"/>
                <w:highlight w:val="darkGray"/>
              </w:rPr>
            </w:pPr>
            <w:r w:rsidRPr="006F2AD0">
              <w:rPr>
                <w:rFonts w:cs="Times New Roman" w:hint="eastAsia"/>
                <w:color w:val="000000"/>
                <w:w w:val="30"/>
                <w:szCs w:val="20"/>
                <w:shd w:val="solid" w:color="000000" w:fill="000000"/>
                <w:fitText w:val="134" w:id="-1232941044"/>
                <w14:textFill>
                  <w14:solidFill>
                    <w14:srgbClr w14:val="000000">
                      <w14:alpha w14:val="100000"/>
                    </w14:srgbClr>
                  </w14:solidFill>
                </w14:textFill>
              </w:rPr>
              <w:t xml:space="preserve">　</w:t>
            </w:r>
            <w:r w:rsidRPr="006F2AD0">
              <w:rPr>
                <w:rFonts w:cs="Times New Roman"/>
                <w:color w:val="000000"/>
                <w:w w:val="30"/>
                <w:szCs w:val="20"/>
                <w:shd w:val="solid" w:color="000000" w:fill="000000"/>
                <w:fitText w:val="134" w:id="-1232941044"/>
                <w14:textFill>
                  <w14:solidFill>
                    <w14:srgbClr w14:val="000000">
                      <w14:alpha w14:val="100000"/>
                    </w14:srgbClr>
                  </w14:solidFill>
                </w14:textFill>
              </w:rPr>
              <w:t>|</w:t>
            </w:r>
            <w:r w:rsidRPr="006F2AD0">
              <w:rPr>
                <w:rFonts w:cs="Times New Roman" w:hint="eastAsia"/>
                <w:color w:val="000000"/>
                <w:spacing w:val="2"/>
                <w:w w:val="30"/>
                <w:szCs w:val="20"/>
                <w:shd w:val="solid" w:color="000000" w:fill="000000"/>
                <w:fitText w:val="134" w:id="-1232941044"/>
                <w14:textFill>
                  <w14:solidFill>
                    <w14:srgbClr w14:val="000000">
                      <w14:alpha w14:val="100000"/>
                    </w14:srgbClr>
                  </w14:solidFill>
                </w14:textFill>
              </w:rPr>
              <w:t xml:space="preserve">　</w:t>
            </w:r>
            <w:r w:rsidR="00736711">
              <w:rPr>
                <w:rFonts w:cs="Times New Roman"/>
                <w:iCs/>
                <w:szCs w:val="20"/>
                <w:vertAlign w:val="superscript"/>
              </w:rPr>
              <w:t>4</w:t>
            </w:r>
          </w:p>
        </w:tc>
      </w:tr>
      <w:tr w:rsidR="005D662B" w:rsidRPr="0091634E" w14:paraId="4A1F2106" w14:textId="77777777" w:rsidTr="006A1BBC">
        <w:tc>
          <w:tcPr>
            <w:tcW w:w="9011" w:type="dxa"/>
            <w:gridSpan w:val="7"/>
            <w:tcBorders>
              <w:top w:val="single" w:sz="6" w:space="0" w:color="auto"/>
              <w:left w:val="single" w:sz="6" w:space="0" w:color="auto"/>
              <w:bottom w:val="single" w:sz="6" w:space="0" w:color="auto"/>
              <w:right w:val="single" w:sz="4" w:space="0" w:color="auto"/>
            </w:tcBorders>
            <w:shd w:val="clear" w:color="auto" w:fill="auto"/>
          </w:tcPr>
          <w:p w14:paraId="50FB0C99" w14:textId="3953FA5F" w:rsidR="005D662B" w:rsidRPr="0031031D" w:rsidRDefault="005D662B" w:rsidP="005D662B">
            <w:pPr>
              <w:pStyle w:val="COMTabletext"/>
              <w:rPr>
                <w:b/>
                <w:bCs w:val="0"/>
                <w:szCs w:val="20"/>
              </w:rPr>
            </w:pPr>
            <w:r>
              <w:rPr>
                <w:b/>
                <w:bCs w:val="0"/>
                <w:szCs w:val="20"/>
              </w:rPr>
              <w:t>Net financial implications of listing zanubrutinib</w:t>
            </w:r>
          </w:p>
        </w:tc>
      </w:tr>
      <w:tr w:rsidR="0020530B" w:rsidRPr="0091634E" w14:paraId="65C062DC"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52EDE874" w14:textId="0B06C437" w:rsidR="0020530B" w:rsidRPr="0091634E" w:rsidRDefault="0020530B" w:rsidP="0020530B">
            <w:pPr>
              <w:pStyle w:val="COMTabletext"/>
              <w:rPr>
                <w:b/>
                <w:bCs w:val="0"/>
                <w:szCs w:val="20"/>
              </w:rPr>
            </w:pPr>
            <w:r w:rsidRPr="00BD1C10">
              <w:rPr>
                <w:rFonts w:cs="Times New Roman"/>
                <w:szCs w:val="20"/>
              </w:rPr>
              <w:t>Net cost to the PBS/RPBS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FB876E" w14:textId="10AAE259" w:rsidR="0020530B" w:rsidRPr="006952BF" w:rsidRDefault="006F2AD0" w:rsidP="0020530B">
            <w:pPr>
              <w:pStyle w:val="COMTabletext"/>
              <w:jc w:val="center"/>
              <w:rPr>
                <w:szCs w:val="20"/>
                <w:highlight w:val="darkGray"/>
              </w:rPr>
            </w:pPr>
            <w:r w:rsidRPr="006F2AD0">
              <w:rPr>
                <w:rFonts w:cs="Times New Roman"/>
                <w:color w:val="000000"/>
                <w:spacing w:val="97"/>
                <w:szCs w:val="20"/>
                <w:shd w:val="solid" w:color="000000" w:fill="000000"/>
                <w:fitText w:val="183" w:id="-1232941043"/>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43"/>
                <w14:textFill>
                  <w14:solidFill>
                    <w14:srgbClr w14:val="000000">
                      <w14:alpha w14:val="100000"/>
                    </w14:srgbClr>
                  </w14:solidFill>
                </w14:textFill>
              </w:rPr>
              <w:t>|</w:t>
            </w:r>
            <w:r w:rsidR="00736711">
              <w:rPr>
                <w:rFonts w:cs="Times New Roman"/>
                <w:iCs/>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873FE8" w14:textId="52BDF070" w:rsidR="0020530B" w:rsidRPr="006952BF" w:rsidRDefault="006F2AD0" w:rsidP="0020530B">
            <w:pPr>
              <w:pStyle w:val="COMTabletext"/>
              <w:jc w:val="center"/>
              <w:rPr>
                <w:szCs w:val="20"/>
                <w:highlight w:val="darkGray"/>
              </w:rPr>
            </w:pPr>
            <w:r w:rsidRPr="006F2AD0">
              <w:rPr>
                <w:rFonts w:cs="Times New Roman"/>
                <w:color w:val="000000"/>
                <w:spacing w:val="97"/>
                <w:szCs w:val="20"/>
                <w:shd w:val="solid" w:color="000000" w:fill="000000"/>
                <w:fitText w:val="183" w:id="-1232941042"/>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42"/>
                <w14:textFill>
                  <w14:solidFill>
                    <w14:srgbClr w14:val="000000">
                      <w14:alpha w14:val="100000"/>
                    </w14:srgbClr>
                  </w14:solidFill>
                </w14:textFill>
              </w:rPr>
              <w:t>|</w:t>
            </w:r>
            <w:r w:rsidR="00736711">
              <w:rPr>
                <w:rFonts w:cs="Times New Roman"/>
                <w:iCs/>
                <w:szCs w:val="20"/>
                <w:vertAlign w:val="superscript"/>
              </w:rPr>
              <w:t>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EAB82EC" w14:textId="7D6033F3" w:rsidR="0020530B" w:rsidRPr="006952BF" w:rsidRDefault="006F2AD0" w:rsidP="0020530B">
            <w:pPr>
              <w:pStyle w:val="COMTabletext"/>
              <w:jc w:val="center"/>
              <w:rPr>
                <w:szCs w:val="20"/>
                <w:highlight w:val="darkGray"/>
              </w:rPr>
            </w:pPr>
            <w:r w:rsidRPr="006F2AD0">
              <w:rPr>
                <w:rFonts w:cs="Times New Roman"/>
                <w:color w:val="000000"/>
                <w:spacing w:val="106"/>
                <w:szCs w:val="20"/>
                <w:shd w:val="solid" w:color="000000" w:fill="000000"/>
                <w:fitText w:val="192" w:id="-1232941041"/>
                <w14:textFill>
                  <w14:solidFill>
                    <w14:srgbClr w14:val="000000">
                      <w14:alpha w14:val="100000"/>
                    </w14:srgbClr>
                  </w14:solidFill>
                </w14:textFill>
              </w:rPr>
              <w:t>|</w:t>
            </w:r>
            <w:r w:rsidRPr="006F2AD0">
              <w:rPr>
                <w:rFonts w:cs="Times New Roman"/>
                <w:color w:val="000000"/>
                <w:spacing w:val="1"/>
                <w:szCs w:val="20"/>
                <w:shd w:val="solid" w:color="000000" w:fill="000000"/>
                <w:fitText w:val="192" w:id="-1232941041"/>
                <w14:textFill>
                  <w14:solidFill>
                    <w14:srgbClr w14:val="000000">
                      <w14:alpha w14:val="100000"/>
                    </w14:srgbClr>
                  </w14:solidFill>
                </w14:textFill>
              </w:rPr>
              <w:t>|</w:t>
            </w:r>
            <w:r w:rsidR="00736711">
              <w:rPr>
                <w:rFonts w:cs="Times New Roman"/>
                <w:iCs/>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34CA50D5" w14:textId="1B002307" w:rsidR="0020530B" w:rsidRPr="006952BF" w:rsidRDefault="006F2AD0" w:rsidP="0020530B">
            <w:pPr>
              <w:pStyle w:val="COMTabletext"/>
              <w:jc w:val="center"/>
              <w:rPr>
                <w:szCs w:val="20"/>
                <w:highlight w:val="darkGray"/>
              </w:rPr>
            </w:pPr>
            <w:r w:rsidRPr="006F2AD0">
              <w:rPr>
                <w:rFonts w:cs="Times New Roman"/>
                <w:color w:val="000000"/>
                <w:spacing w:val="98"/>
                <w:szCs w:val="20"/>
                <w:shd w:val="solid" w:color="000000" w:fill="000000"/>
                <w:fitText w:val="184" w:id="-1232941040"/>
                <w14:textFill>
                  <w14:solidFill>
                    <w14:srgbClr w14:val="000000">
                      <w14:alpha w14:val="100000"/>
                    </w14:srgbClr>
                  </w14:solidFill>
                </w14:textFill>
              </w:rPr>
              <w:t>|</w:t>
            </w:r>
            <w:r w:rsidRPr="006F2AD0">
              <w:rPr>
                <w:rFonts w:cs="Times New Roman"/>
                <w:color w:val="000000"/>
                <w:spacing w:val="1"/>
                <w:szCs w:val="20"/>
                <w:shd w:val="solid" w:color="000000" w:fill="000000"/>
                <w:fitText w:val="184" w:id="-1232941040"/>
                <w14:textFill>
                  <w14:solidFill>
                    <w14:srgbClr w14:val="000000">
                      <w14:alpha w14:val="100000"/>
                    </w14:srgbClr>
                  </w14:solidFill>
                </w14:textFill>
              </w:rPr>
              <w:t>|</w:t>
            </w:r>
            <w:r w:rsidR="00736711">
              <w:rPr>
                <w:rFonts w:cs="Times New Roman"/>
                <w:iCs/>
                <w:szCs w:val="20"/>
                <w:vertAlign w:val="superscript"/>
              </w:rPr>
              <w:t>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08BBE97" w14:textId="72ADE510" w:rsidR="0020530B" w:rsidRPr="006952BF" w:rsidRDefault="006F2AD0" w:rsidP="0020530B">
            <w:pPr>
              <w:pStyle w:val="COMTabletext"/>
              <w:jc w:val="center"/>
              <w:rPr>
                <w:szCs w:val="20"/>
                <w:highlight w:val="darkGray"/>
              </w:rPr>
            </w:pPr>
            <w:r w:rsidRPr="006F2AD0">
              <w:rPr>
                <w:rFonts w:cs="Times New Roman"/>
                <w:color w:val="000000"/>
                <w:spacing w:val="44"/>
                <w:szCs w:val="20"/>
                <w:shd w:val="solid" w:color="000000" w:fill="000000"/>
                <w:fitText w:val="217" w:id="-1232941056"/>
                <w14:textFill>
                  <w14:solidFill>
                    <w14:srgbClr w14:val="000000">
                      <w14:alpha w14:val="100000"/>
                    </w14:srgbClr>
                  </w14:solidFill>
                </w14:textFill>
              </w:rPr>
              <w:t>||</w:t>
            </w:r>
            <w:r w:rsidRPr="006F2AD0">
              <w:rPr>
                <w:rFonts w:cs="Times New Roman"/>
                <w:color w:val="000000"/>
                <w:spacing w:val="2"/>
                <w:szCs w:val="20"/>
                <w:shd w:val="solid" w:color="000000" w:fill="000000"/>
                <w:fitText w:val="217" w:id="-1232941056"/>
                <w14:textFill>
                  <w14:solidFill>
                    <w14:srgbClr w14:val="000000">
                      <w14:alpha w14:val="100000"/>
                    </w14:srgbClr>
                  </w14:solidFill>
                </w14:textFill>
              </w:rPr>
              <w:t>|</w:t>
            </w:r>
            <w:r w:rsidR="00736711">
              <w:rPr>
                <w:rFonts w:cs="Times New Roman"/>
                <w:iCs/>
                <w:szCs w:val="20"/>
                <w:vertAlign w:val="superscript"/>
              </w:rPr>
              <w:t>7</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1C1B7E13" w14:textId="541502C9" w:rsidR="0020530B" w:rsidRPr="006952BF" w:rsidRDefault="006F2AD0" w:rsidP="0020530B">
            <w:pPr>
              <w:pStyle w:val="COMTabletext"/>
              <w:jc w:val="center"/>
              <w:rPr>
                <w:szCs w:val="20"/>
                <w:highlight w:val="darkGray"/>
              </w:rPr>
            </w:pPr>
            <w:r w:rsidRPr="006F2AD0">
              <w:rPr>
                <w:rFonts w:cs="Times New Roman"/>
                <w:color w:val="000000"/>
                <w:spacing w:val="81"/>
                <w:szCs w:val="20"/>
                <w:shd w:val="solid" w:color="000000" w:fill="000000"/>
                <w:fitText w:val="167" w:id="-1232941055"/>
                <w14:textFill>
                  <w14:solidFill>
                    <w14:srgbClr w14:val="000000">
                      <w14:alpha w14:val="100000"/>
                    </w14:srgbClr>
                  </w14:solidFill>
                </w14:textFill>
              </w:rPr>
              <w:t>|</w:t>
            </w:r>
            <w:r w:rsidRPr="006F2AD0">
              <w:rPr>
                <w:rFonts w:cs="Times New Roman"/>
                <w:color w:val="000000"/>
                <w:spacing w:val="1"/>
                <w:szCs w:val="20"/>
                <w:shd w:val="solid" w:color="000000" w:fill="000000"/>
                <w:fitText w:val="167" w:id="-1232941055"/>
                <w14:textFill>
                  <w14:solidFill>
                    <w14:srgbClr w14:val="000000">
                      <w14:alpha w14:val="100000"/>
                    </w14:srgbClr>
                  </w14:solidFill>
                </w14:textFill>
              </w:rPr>
              <w:t>|</w:t>
            </w:r>
            <w:r w:rsidR="00736711">
              <w:rPr>
                <w:rFonts w:cs="Times New Roman"/>
                <w:iCs/>
                <w:szCs w:val="20"/>
                <w:vertAlign w:val="superscript"/>
              </w:rPr>
              <w:t>10</w:t>
            </w:r>
          </w:p>
        </w:tc>
      </w:tr>
      <w:tr w:rsidR="0020530B" w:rsidRPr="0091634E" w14:paraId="5F4D46F8"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040EE6F4" w14:textId="52E3C948" w:rsidR="0020530B" w:rsidRPr="0091634E" w:rsidRDefault="0020530B" w:rsidP="0020530B">
            <w:pPr>
              <w:pStyle w:val="COMTabletext"/>
              <w:rPr>
                <w:b/>
                <w:bCs w:val="0"/>
                <w:szCs w:val="20"/>
              </w:rPr>
            </w:pPr>
            <w:r>
              <w:rPr>
                <w:rFonts w:cs="Times New Roman"/>
                <w:szCs w:val="20"/>
              </w:rPr>
              <w:t xml:space="preserve">Net </w:t>
            </w:r>
            <w:r w:rsidR="00766C76">
              <w:rPr>
                <w:rFonts w:cs="Times New Roman"/>
                <w:szCs w:val="20"/>
              </w:rPr>
              <w:t>cost</w:t>
            </w:r>
            <w:r>
              <w:rPr>
                <w:rFonts w:cs="Times New Roman"/>
                <w:szCs w:val="20"/>
              </w:rPr>
              <w:t xml:space="preserve"> to the MBS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BEDEA1" w14:textId="3CEDDDB3" w:rsidR="0020530B" w:rsidRPr="006952BF" w:rsidRDefault="006F2AD0" w:rsidP="0020530B">
            <w:pPr>
              <w:pStyle w:val="COMTabletext"/>
              <w:jc w:val="center"/>
              <w:rPr>
                <w:szCs w:val="20"/>
                <w:highlight w:val="darkGray"/>
              </w:rPr>
            </w:pPr>
            <w:r w:rsidRPr="006F2AD0">
              <w:rPr>
                <w:rFonts w:cs="Times New Roman"/>
                <w:color w:val="000000"/>
                <w:spacing w:val="97"/>
                <w:szCs w:val="20"/>
                <w:shd w:val="solid" w:color="000000" w:fill="000000"/>
                <w:fitText w:val="183" w:id="-1232941054"/>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54"/>
                <w14:textFill>
                  <w14:solidFill>
                    <w14:srgbClr w14:val="000000">
                      <w14:alpha w14:val="100000"/>
                    </w14:srgbClr>
                  </w14:solidFill>
                </w14:textFill>
              </w:rPr>
              <w:t>|</w:t>
            </w:r>
            <w:r w:rsidR="00736711">
              <w:rPr>
                <w:rFonts w:cs="Times New Roman"/>
                <w:iCs/>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6FA4FA" w14:textId="31E8B860" w:rsidR="0020530B" w:rsidRPr="006952BF" w:rsidRDefault="006F2AD0" w:rsidP="0020530B">
            <w:pPr>
              <w:pStyle w:val="COMTabletext"/>
              <w:jc w:val="center"/>
              <w:rPr>
                <w:szCs w:val="20"/>
                <w:highlight w:val="darkGray"/>
              </w:rPr>
            </w:pPr>
            <w:r w:rsidRPr="006F2AD0">
              <w:rPr>
                <w:rFonts w:cs="Times New Roman"/>
                <w:color w:val="000000"/>
                <w:spacing w:val="97"/>
                <w:szCs w:val="20"/>
                <w:shd w:val="solid" w:color="000000" w:fill="000000"/>
                <w:fitText w:val="183" w:id="-1232941053"/>
                <w14:textFill>
                  <w14:solidFill>
                    <w14:srgbClr w14:val="000000">
                      <w14:alpha w14:val="100000"/>
                    </w14:srgbClr>
                  </w14:solidFill>
                </w14:textFill>
              </w:rPr>
              <w:t>|</w:t>
            </w:r>
            <w:r w:rsidRPr="006F2AD0">
              <w:rPr>
                <w:rFonts w:cs="Times New Roman"/>
                <w:color w:val="000000"/>
                <w:spacing w:val="1"/>
                <w:szCs w:val="20"/>
                <w:shd w:val="solid" w:color="000000" w:fill="000000"/>
                <w:fitText w:val="183" w:id="-1232941053"/>
                <w14:textFill>
                  <w14:solidFill>
                    <w14:srgbClr w14:val="000000">
                      <w14:alpha w14:val="100000"/>
                    </w14:srgbClr>
                  </w14:solidFill>
                </w14:textFill>
              </w:rPr>
              <w:t>|</w:t>
            </w:r>
            <w:r w:rsidR="00736711">
              <w:rPr>
                <w:rFonts w:cs="Times New Roman"/>
                <w:iCs/>
                <w:szCs w:val="20"/>
                <w:vertAlign w:val="superscript"/>
              </w:rPr>
              <w:t>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118C02C" w14:textId="32B90C01" w:rsidR="0020530B" w:rsidRPr="006952BF" w:rsidRDefault="006F2AD0" w:rsidP="0020530B">
            <w:pPr>
              <w:pStyle w:val="COMTabletext"/>
              <w:jc w:val="center"/>
              <w:rPr>
                <w:szCs w:val="20"/>
                <w:highlight w:val="darkGray"/>
              </w:rPr>
            </w:pPr>
            <w:r w:rsidRPr="006F2AD0">
              <w:rPr>
                <w:rFonts w:cs="Times New Roman"/>
                <w:color w:val="000000"/>
                <w:spacing w:val="106"/>
                <w:szCs w:val="20"/>
                <w:shd w:val="solid" w:color="000000" w:fill="000000"/>
                <w:fitText w:val="192" w:id="-1232941052"/>
                <w14:textFill>
                  <w14:solidFill>
                    <w14:srgbClr w14:val="000000">
                      <w14:alpha w14:val="100000"/>
                    </w14:srgbClr>
                  </w14:solidFill>
                </w14:textFill>
              </w:rPr>
              <w:t>|</w:t>
            </w:r>
            <w:r w:rsidRPr="006F2AD0">
              <w:rPr>
                <w:rFonts w:cs="Times New Roman"/>
                <w:color w:val="000000"/>
                <w:spacing w:val="1"/>
                <w:szCs w:val="20"/>
                <w:shd w:val="solid" w:color="000000" w:fill="000000"/>
                <w:fitText w:val="192" w:id="-1232941052"/>
                <w14:textFill>
                  <w14:solidFill>
                    <w14:srgbClr w14:val="000000">
                      <w14:alpha w14:val="100000"/>
                    </w14:srgbClr>
                  </w14:solidFill>
                </w14:textFill>
              </w:rPr>
              <w:t>|</w:t>
            </w:r>
            <w:r w:rsidR="00736711">
              <w:rPr>
                <w:rFonts w:cs="Times New Roman"/>
                <w:iCs/>
                <w:szCs w:val="20"/>
                <w:vertAlign w:val="superscript"/>
              </w:rPr>
              <w:t>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D91180D" w14:textId="257C5575" w:rsidR="0020530B" w:rsidRPr="006952BF" w:rsidRDefault="006F2AD0" w:rsidP="0020530B">
            <w:pPr>
              <w:pStyle w:val="COMTabletext"/>
              <w:jc w:val="center"/>
              <w:rPr>
                <w:szCs w:val="20"/>
                <w:highlight w:val="darkGray"/>
              </w:rPr>
            </w:pPr>
            <w:r w:rsidRPr="006F2AD0">
              <w:rPr>
                <w:rFonts w:cs="Times New Roman"/>
                <w:color w:val="000000"/>
                <w:spacing w:val="98"/>
                <w:szCs w:val="20"/>
                <w:shd w:val="solid" w:color="000000" w:fill="000000"/>
                <w:fitText w:val="184" w:id="-1232941051"/>
                <w14:textFill>
                  <w14:solidFill>
                    <w14:srgbClr w14:val="000000">
                      <w14:alpha w14:val="100000"/>
                    </w14:srgbClr>
                  </w14:solidFill>
                </w14:textFill>
              </w:rPr>
              <w:t>|</w:t>
            </w:r>
            <w:r w:rsidRPr="006F2AD0">
              <w:rPr>
                <w:rFonts w:cs="Times New Roman"/>
                <w:color w:val="000000"/>
                <w:spacing w:val="1"/>
                <w:szCs w:val="20"/>
                <w:shd w:val="solid" w:color="000000" w:fill="000000"/>
                <w:fitText w:val="184" w:id="-1232941051"/>
                <w14:textFill>
                  <w14:solidFill>
                    <w14:srgbClr w14:val="000000">
                      <w14:alpha w14:val="100000"/>
                    </w14:srgbClr>
                  </w14:solidFill>
                </w14:textFill>
              </w:rPr>
              <w:t>|</w:t>
            </w:r>
            <w:r w:rsidR="00736711">
              <w:rPr>
                <w:rFonts w:cs="Times New Roman"/>
                <w:iCs/>
                <w:szCs w:val="20"/>
                <w:vertAlign w:val="superscript"/>
              </w:rPr>
              <w:t>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25469CF" w14:textId="77E3858A" w:rsidR="0020530B" w:rsidRPr="006952BF" w:rsidRDefault="006F2AD0" w:rsidP="0020530B">
            <w:pPr>
              <w:pStyle w:val="COMTabletext"/>
              <w:jc w:val="center"/>
              <w:rPr>
                <w:szCs w:val="20"/>
                <w:highlight w:val="darkGray"/>
              </w:rPr>
            </w:pPr>
            <w:r w:rsidRPr="006F2AD0">
              <w:rPr>
                <w:rFonts w:cs="Times New Roman"/>
                <w:color w:val="000000"/>
                <w:spacing w:val="44"/>
                <w:szCs w:val="20"/>
                <w:shd w:val="solid" w:color="000000" w:fill="000000"/>
                <w:fitText w:val="217" w:id="-1232941050"/>
                <w14:textFill>
                  <w14:solidFill>
                    <w14:srgbClr w14:val="000000">
                      <w14:alpha w14:val="100000"/>
                    </w14:srgbClr>
                  </w14:solidFill>
                </w14:textFill>
              </w:rPr>
              <w:t>||</w:t>
            </w:r>
            <w:r w:rsidRPr="006F2AD0">
              <w:rPr>
                <w:rFonts w:cs="Times New Roman"/>
                <w:color w:val="000000"/>
                <w:spacing w:val="2"/>
                <w:szCs w:val="20"/>
                <w:shd w:val="solid" w:color="000000" w:fill="000000"/>
                <w:fitText w:val="217" w:id="-1232941050"/>
                <w14:textFill>
                  <w14:solidFill>
                    <w14:srgbClr w14:val="000000">
                      <w14:alpha w14:val="100000"/>
                    </w14:srgbClr>
                  </w14:solidFill>
                </w14:textFill>
              </w:rPr>
              <w:t>|</w:t>
            </w:r>
            <w:r w:rsidR="00736711">
              <w:rPr>
                <w:rFonts w:cs="Times New Roman"/>
                <w:iCs/>
                <w:szCs w:val="20"/>
                <w:vertAlign w:val="superscript"/>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B6C2827" w14:textId="7FB6E8E5" w:rsidR="0020530B" w:rsidRPr="006952BF" w:rsidRDefault="006F2AD0" w:rsidP="0020530B">
            <w:pPr>
              <w:pStyle w:val="COMTabletext"/>
              <w:jc w:val="center"/>
              <w:rPr>
                <w:szCs w:val="20"/>
                <w:highlight w:val="darkGray"/>
              </w:rPr>
            </w:pPr>
            <w:r w:rsidRPr="006F2AD0">
              <w:rPr>
                <w:rFonts w:cs="Times New Roman" w:hint="eastAsia"/>
                <w:color w:val="000000"/>
                <w:w w:val="30"/>
                <w:szCs w:val="20"/>
                <w:shd w:val="solid" w:color="000000" w:fill="000000"/>
                <w:fitText w:val="134" w:id="-1232941049"/>
                <w14:textFill>
                  <w14:solidFill>
                    <w14:srgbClr w14:val="000000">
                      <w14:alpha w14:val="100000"/>
                    </w14:srgbClr>
                  </w14:solidFill>
                </w14:textFill>
              </w:rPr>
              <w:t xml:space="preserve">　</w:t>
            </w:r>
            <w:r w:rsidRPr="006F2AD0">
              <w:rPr>
                <w:rFonts w:cs="Times New Roman"/>
                <w:color w:val="000000"/>
                <w:w w:val="30"/>
                <w:szCs w:val="20"/>
                <w:shd w:val="solid" w:color="000000" w:fill="000000"/>
                <w:fitText w:val="134" w:id="-1232941049"/>
                <w14:textFill>
                  <w14:solidFill>
                    <w14:srgbClr w14:val="000000">
                      <w14:alpha w14:val="100000"/>
                    </w14:srgbClr>
                  </w14:solidFill>
                </w14:textFill>
              </w:rPr>
              <w:t>|</w:t>
            </w:r>
            <w:r w:rsidRPr="006F2AD0">
              <w:rPr>
                <w:rFonts w:cs="Times New Roman" w:hint="eastAsia"/>
                <w:color w:val="000000"/>
                <w:spacing w:val="2"/>
                <w:w w:val="30"/>
                <w:szCs w:val="20"/>
                <w:shd w:val="solid" w:color="000000" w:fill="000000"/>
                <w:fitText w:val="134" w:id="-1232941049"/>
                <w14:textFill>
                  <w14:solidFill>
                    <w14:srgbClr w14:val="000000">
                      <w14:alpha w14:val="100000"/>
                    </w14:srgbClr>
                  </w14:solidFill>
                </w14:textFill>
              </w:rPr>
              <w:t xml:space="preserve">　</w:t>
            </w:r>
            <w:r w:rsidR="00736711">
              <w:rPr>
                <w:rFonts w:cs="Times New Roman"/>
                <w:iCs/>
                <w:szCs w:val="20"/>
                <w:vertAlign w:val="superscript"/>
              </w:rPr>
              <w:t>4</w:t>
            </w:r>
          </w:p>
        </w:tc>
      </w:tr>
      <w:tr w:rsidR="0020530B" w:rsidRPr="0091634E" w14:paraId="4CAE6AD3" w14:textId="77777777" w:rsidTr="009874D2">
        <w:tc>
          <w:tcPr>
            <w:tcW w:w="2260" w:type="dxa"/>
            <w:tcBorders>
              <w:top w:val="single" w:sz="6" w:space="0" w:color="auto"/>
              <w:left w:val="single" w:sz="6" w:space="0" w:color="auto"/>
              <w:bottom w:val="single" w:sz="6" w:space="0" w:color="auto"/>
              <w:right w:val="single" w:sz="4" w:space="0" w:color="auto"/>
            </w:tcBorders>
            <w:shd w:val="clear" w:color="auto" w:fill="auto"/>
          </w:tcPr>
          <w:p w14:paraId="544DA499" w14:textId="5BF0FD1C" w:rsidR="0020530B" w:rsidRPr="0091634E" w:rsidRDefault="0020530B" w:rsidP="0020530B">
            <w:pPr>
              <w:pStyle w:val="COMTabletext"/>
              <w:rPr>
                <w:b/>
                <w:bCs w:val="0"/>
                <w:szCs w:val="20"/>
              </w:rPr>
            </w:pPr>
            <w:r w:rsidRPr="00654EEB">
              <w:rPr>
                <w:rFonts w:cs="Times New Roman"/>
                <w:b/>
                <w:szCs w:val="20"/>
              </w:rPr>
              <w:t>Net cost to the PBS/RPBS</w:t>
            </w:r>
            <w:r>
              <w:rPr>
                <w:rFonts w:cs="Times New Roman"/>
                <w:b/>
                <w:szCs w:val="20"/>
              </w:rPr>
              <w:t>/MBS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0561A" w14:textId="20995B06" w:rsidR="0020530B" w:rsidRPr="006952BF" w:rsidRDefault="006F2AD0" w:rsidP="0020530B">
            <w:pPr>
              <w:pStyle w:val="COMTabletext"/>
              <w:jc w:val="center"/>
              <w:rPr>
                <w:szCs w:val="20"/>
                <w:highlight w:val="darkGray"/>
              </w:rPr>
            </w:pPr>
            <w:r w:rsidRPr="006F2AD0">
              <w:rPr>
                <w:rFonts w:cs="Times New Roman"/>
                <w:b/>
                <w:color w:val="000000"/>
                <w:spacing w:val="150"/>
                <w:szCs w:val="20"/>
                <w:shd w:val="solid" w:color="000000" w:fill="000000"/>
                <w:fitText w:val="242" w:id="-1232941048"/>
                <w14:textFill>
                  <w14:solidFill>
                    <w14:srgbClr w14:val="000000">
                      <w14:alpha w14:val="100000"/>
                    </w14:srgbClr>
                  </w14:solidFill>
                </w14:textFill>
              </w:rPr>
              <w:t>|</w:t>
            </w:r>
            <w:r w:rsidRPr="006F2AD0">
              <w:rPr>
                <w:rFonts w:cs="Times New Roman"/>
                <w:b/>
                <w:color w:val="000000"/>
                <w:spacing w:val="1"/>
                <w:szCs w:val="20"/>
                <w:shd w:val="solid" w:color="000000" w:fill="000000"/>
                <w:fitText w:val="242" w:id="-1232941048"/>
                <w14:textFill>
                  <w14:solidFill>
                    <w14:srgbClr w14:val="000000">
                      <w14:alpha w14:val="100000"/>
                    </w14:srgbClr>
                  </w14:solidFill>
                </w14:textFill>
              </w:rPr>
              <w:t>|</w:t>
            </w:r>
            <w:r w:rsidR="00736711">
              <w:rPr>
                <w:rFonts w:cs="Times New Roman"/>
                <w:iCs/>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E3F917" w14:textId="3D498614" w:rsidR="0020530B" w:rsidRPr="006952BF" w:rsidRDefault="006F2AD0" w:rsidP="0020530B">
            <w:pPr>
              <w:pStyle w:val="COMTabletext"/>
              <w:jc w:val="center"/>
              <w:rPr>
                <w:szCs w:val="20"/>
                <w:highlight w:val="darkGray"/>
              </w:rPr>
            </w:pPr>
            <w:r w:rsidRPr="006F2AD0">
              <w:rPr>
                <w:rFonts w:cs="Times New Roman"/>
                <w:b/>
                <w:color w:val="000000"/>
                <w:spacing w:val="150"/>
                <w:szCs w:val="20"/>
                <w:shd w:val="solid" w:color="000000" w:fill="000000"/>
                <w:fitText w:val="242" w:id="-1232941047"/>
                <w14:textFill>
                  <w14:solidFill>
                    <w14:srgbClr w14:val="000000">
                      <w14:alpha w14:val="100000"/>
                    </w14:srgbClr>
                  </w14:solidFill>
                </w14:textFill>
              </w:rPr>
              <w:t>|</w:t>
            </w:r>
            <w:r w:rsidRPr="006F2AD0">
              <w:rPr>
                <w:rFonts w:cs="Times New Roman"/>
                <w:b/>
                <w:color w:val="000000"/>
                <w:spacing w:val="1"/>
                <w:szCs w:val="20"/>
                <w:shd w:val="solid" w:color="000000" w:fill="000000"/>
                <w:fitText w:val="242" w:id="-1232941047"/>
                <w14:textFill>
                  <w14:solidFill>
                    <w14:srgbClr w14:val="000000">
                      <w14:alpha w14:val="100000"/>
                    </w14:srgbClr>
                  </w14:solidFill>
                </w14:textFill>
              </w:rPr>
              <w:t>|</w:t>
            </w:r>
            <w:r w:rsidR="00736711">
              <w:rPr>
                <w:rFonts w:cs="Times New Roman"/>
                <w:iCs/>
                <w:szCs w:val="20"/>
                <w:vertAlign w:val="superscript"/>
              </w:rPr>
              <w:t>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8D7B26F" w14:textId="21C291C9" w:rsidR="0020530B" w:rsidRPr="006952BF" w:rsidRDefault="006F2AD0" w:rsidP="0020530B">
            <w:pPr>
              <w:pStyle w:val="COMTabletext"/>
              <w:jc w:val="center"/>
              <w:rPr>
                <w:szCs w:val="20"/>
                <w:highlight w:val="darkGray"/>
              </w:rPr>
            </w:pPr>
            <w:r w:rsidRPr="006F2AD0">
              <w:rPr>
                <w:rFonts w:cs="Times New Roman"/>
                <w:b/>
                <w:color w:val="000000"/>
                <w:spacing w:val="166"/>
                <w:szCs w:val="20"/>
                <w:shd w:val="solid" w:color="000000" w:fill="000000"/>
                <w:fitText w:val="258" w:id="-1232941046"/>
                <w14:textFill>
                  <w14:solidFill>
                    <w14:srgbClr w14:val="000000">
                      <w14:alpha w14:val="100000"/>
                    </w14:srgbClr>
                  </w14:solidFill>
                </w14:textFill>
              </w:rPr>
              <w:t>|</w:t>
            </w:r>
            <w:r w:rsidRPr="006F2AD0">
              <w:rPr>
                <w:rFonts w:cs="Times New Roman"/>
                <w:b/>
                <w:color w:val="000000"/>
                <w:spacing w:val="1"/>
                <w:szCs w:val="20"/>
                <w:shd w:val="solid" w:color="000000" w:fill="000000"/>
                <w:fitText w:val="258" w:id="-1232941046"/>
                <w14:textFill>
                  <w14:solidFill>
                    <w14:srgbClr w14:val="000000">
                      <w14:alpha w14:val="100000"/>
                    </w14:srgbClr>
                  </w14:solidFill>
                </w14:textFill>
              </w:rPr>
              <w:t>|</w:t>
            </w:r>
            <w:r w:rsidR="00736711">
              <w:rPr>
                <w:rFonts w:cs="Times New Roman"/>
                <w:iCs/>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5E52650" w14:textId="5E96FB20" w:rsidR="0020530B" w:rsidRPr="006952BF" w:rsidRDefault="006F2AD0" w:rsidP="0020530B">
            <w:pPr>
              <w:pStyle w:val="COMTabletext"/>
              <w:jc w:val="center"/>
              <w:rPr>
                <w:szCs w:val="20"/>
                <w:highlight w:val="darkGray"/>
              </w:rPr>
            </w:pPr>
            <w:r w:rsidRPr="006F2AD0">
              <w:rPr>
                <w:rFonts w:cs="Times New Roman"/>
                <w:b/>
                <w:color w:val="000000"/>
                <w:spacing w:val="149"/>
                <w:szCs w:val="20"/>
                <w:shd w:val="solid" w:color="000000" w:fill="000000"/>
                <w:fitText w:val="241" w:id="-1232941045"/>
                <w14:textFill>
                  <w14:solidFill>
                    <w14:srgbClr w14:val="000000">
                      <w14:alpha w14:val="100000"/>
                    </w14:srgbClr>
                  </w14:solidFill>
                </w14:textFill>
              </w:rPr>
              <w:t>|</w:t>
            </w:r>
            <w:r w:rsidRPr="006F2AD0">
              <w:rPr>
                <w:rFonts w:cs="Times New Roman"/>
                <w:b/>
                <w:color w:val="000000"/>
                <w:spacing w:val="1"/>
                <w:szCs w:val="20"/>
                <w:shd w:val="solid" w:color="000000" w:fill="000000"/>
                <w:fitText w:val="241" w:id="-1232941045"/>
                <w14:textFill>
                  <w14:solidFill>
                    <w14:srgbClr w14:val="000000">
                      <w14:alpha w14:val="100000"/>
                    </w14:srgbClr>
                  </w14:solidFill>
                </w14:textFill>
              </w:rPr>
              <w:t>|</w:t>
            </w:r>
            <w:r w:rsidR="00736711">
              <w:rPr>
                <w:rFonts w:cs="Times New Roman"/>
                <w:iCs/>
                <w:szCs w:val="20"/>
                <w:vertAlign w:val="superscript"/>
              </w:rPr>
              <w:t>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2FBAAAC" w14:textId="3BCCF9DA" w:rsidR="0020530B" w:rsidRPr="006952BF" w:rsidRDefault="006F2AD0" w:rsidP="0020530B">
            <w:pPr>
              <w:pStyle w:val="COMTabletext"/>
              <w:jc w:val="center"/>
              <w:rPr>
                <w:szCs w:val="20"/>
                <w:highlight w:val="darkGray"/>
              </w:rPr>
            </w:pPr>
            <w:r w:rsidRPr="006F2AD0">
              <w:rPr>
                <w:rFonts w:cs="Times New Roman"/>
                <w:b/>
                <w:color w:val="000000"/>
                <w:spacing w:val="191"/>
                <w:szCs w:val="20"/>
                <w:shd w:val="solid" w:color="000000" w:fill="000000"/>
                <w:fitText w:val="283" w:id="-1232941044"/>
                <w14:textFill>
                  <w14:solidFill>
                    <w14:srgbClr w14:val="000000">
                      <w14:alpha w14:val="100000"/>
                    </w14:srgbClr>
                  </w14:solidFill>
                </w14:textFill>
              </w:rPr>
              <w:t>|</w:t>
            </w:r>
            <w:r w:rsidRPr="006F2AD0">
              <w:rPr>
                <w:rFonts w:cs="Times New Roman"/>
                <w:b/>
                <w:color w:val="000000"/>
                <w:spacing w:val="1"/>
                <w:szCs w:val="20"/>
                <w:shd w:val="solid" w:color="000000" w:fill="000000"/>
                <w:fitText w:val="283" w:id="-1232941044"/>
                <w14:textFill>
                  <w14:solidFill>
                    <w14:srgbClr w14:val="000000">
                      <w14:alpha w14:val="100000"/>
                    </w14:srgbClr>
                  </w14:solidFill>
                </w14:textFill>
              </w:rPr>
              <w:t>|</w:t>
            </w:r>
            <w:r w:rsidR="00736711">
              <w:rPr>
                <w:rFonts w:cs="Times New Roman"/>
                <w:iCs/>
                <w:szCs w:val="20"/>
                <w:vertAlign w:val="superscript"/>
              </w:rPr>
              <w:t>7</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BCF59A2" w14:textId="12EA8BB1" w:rsidR="0020530B" w:rsidRPr="006952BF" w:rsidRDefault="006F2AD0" w:rsidP="0020530B">
            <w:pPr>
              <w:pStyle w:val="COMTabletext"/>
              <w:jc w:val="center"/>
              <w:rPr>
                <w:szCs w:val="20"/>
                <w:highlight w:val="darkGray"/>
              </w:rPr>
            </w:pPr>
            <w:r w:rsidRPr="006F2AD0">
              <w:rPr>
                <w:rFonts w:cs="Times New Roman"/>
                <w:b/>
                <w:color w:val="000000"/>
                <w:spacing w:val="43"/>
                <w:szCs w:val="20"/>
                <w:shd w:val="solid" w:color="000000" w:fill="000000"/>
                <w:fitText w:val="224" w:id="-1232941043"/>
                <w14:textFill>
                  <w14:solidFill>
                    <w14:srgbClr w14:val="000000">
                      <w14:alpha w14:val="100000"/>
                    </w14:srgbClr>
                  </w14:solidFill>
                </w14:textFill>
              </w:rPr>
              <w:t>||</w:t>
            </w:r>
            <w:r w:rsidRPr="006F2AD0">
              <w:rPr>
                <w:rFonts w:cs="Times New Roman"/>
                <w:b/>
                <w:color w:val="000000"/>
                <w:spacing w:val="1"/>
                <w:szCs w:val="20"/>
                <w:shd w:val="solid" w:color="000000" w:fill="000000"/>
                <w:fitText w:val="224" w:id="-1232941043"/>
                <w14:textFill>
                  <w14:solidFill>
                    <w14:srgbClr w14:val="000000">
                      <w14:alpha w14:val="100000"/>
                    </w14:srgbClr>
                  </w14:solidFill>
                </w14:textFill>
              </w:rPr>
              <w:t>|</w:t>
            </w:r>
            <w:r w:rsidR="00736711">
              <w:rPr>
                <w:rFonts w:cs="Times New Roman"/>
                <w:iCs/>
                <w:szCs w:val="20"/>
                <w:vertAlign w:val="superscript"/>
              </w:rPr>
              <w:t>10</w:t>
            </w:r>
          </w:p>
        </w:tc>
      </w:tr>
    </w:tbl>
    <w:p w14:paraId="23F256AA" w14:textId="77777777" w:rsidR="00BC3944" w:rsidRDefault="0020530B" w:rsidP="00BC3944">
      <w:pPr>
        <w:pStyle w:val="TableFooter"/>
      </w:pPr>
      <w:r w:rsidRPr="00AC3465">
        <w:t>Source</w:t>
      </w:r>
      <w:r>
        <w:t>: ‘Section4_TN CLL’ Excel workbook.</w:t>
      </w:r>
    </w:p>
    <w:p w14:paraId="6E987B52" w14:textId="2412F31B" w:rsidR="00BC3944" w:rsidRPr="00A63AF1" w:rsidRDefault="00BC3944" w:rsidP="00BC3944">
      <w:pPr>
        <w:pStyle w:val="TableFooter"/>
      </w:pPr>
      <w:r w:rsidRPr="00BC3944">
        <w:rPr>
          <w:vertAlign w:val="superscript"/>
        </w:rPr>
        <w:t xml:space="preserve"> </w:t>
      </w:r>
      <w:r>
        <w:rPr>
          <w:vertAlign w:val="superscript"/>
        </w:rPr>
        <w:t>a</w:t>
      </w:r>
      <w:r>
        <w:t xml:space="preserve"> Estimated by dividing the total number of dispensed venetoclax and obinutuzumab scripts by the assumed average number of venetoclax and </w:t>
      </w:r>
      <w:r w:rsidRPr="00A63AF1">
        <w:t>obinutuzumab scripts per patient (17.025).</w:t>
      </w:r>
    </w:p>
    <w:p w14:paraId="06052B3A" w14:textId="47C48F6A" w:rsidR="009B2C88" w:rsidRPr="00A63AF1" w:rsidRDefault="009B2C88" w:rsidP="00BC3944">
      <w:pPr>
        <w:pStyle w:val="TableFooter"/>
      </w:pPr>
      <w:r w:rsidRPr="00A63AF1">
        <w:rPr>
          <w:vertAlign w:val="superscript"/>
        </w:rPr>
        <w:t>b</w:t>
      </w:r>
      <w:r w:rsidRPr="00A63AF1">
        <w:t xml:space="preserve"> A 40% uptake rate </w:t>
      </w:r>
      <w:r w:rsidR="008B0A0A" w:rsidRPr="00A63AF1">
        <w:t xml:space="preserve">for zanubrutinib </w:t>
      </w:r>
      <w:r w:rsidRPr="00A63AF1">
        <w:t>was assumed</w:t>
      </w:r>
      <w:r w:rsidR="008B0A0A" w:rsidRPr="00A63AF1">
        <w:t>.</w:t>
      </w:r>
    </w:p>
    <w:p w14:paraId="6ABFD8C5" w14:textId="46756074" w:rsidR="00BC3944" w:rsidRDefault="00094627" w:rsidP="00BC3944">
      <w:pPr>
        <w:pStyle w:val="TableFooter"/>
      </w:pPr>
      <w:r w:rsidRPr="00A63AF1">
        <w:rPr>
          <w:vertAlign w:val="superscript"/>
        </w:rPr>
        <w:t>c</w:t>
      </w:r>
      <w:r w:rsidR="00BC3944" w:rsidRPr="00A63AF1">
        <w:t xml:space="preserve"> </w:t>
      </w:r>
      <w:r w:rsidR="009B2C88" w:rsidRPr="00A63AF1">
        <w:t xml:space="preserve">A substitution </w:t>
      </w:r>
      <w:r w:rsidRPr="00A63AF1">
        <w:t>rate</w:t>
      </w:r>
      <w:r w:rsidR="009B2C88" w:rsidRPr="00A63AF1">
        <w:t xml:space="preserve"> of 4.110 was assumed. The substitution </w:t>
      </w:r>
      <w:r w:rsidRPr="00A63AF1">
        <w:t>rate</w:t>
      </w:r>
      <w:r w:rsidR="009B2C88" w:rsidRPr="00A63AF1">
        <w:t xml:space="preserve"> was d</w:t>
      </w:r>
      <w:r w:rsidR="00BC3944" w:rsidRPr="00A63AF1">
        <w:t>erived by dividing the estimated duration of zanubrutinib treatment (70 mont</w:t>
      </w:r>
      <w:r w:rsidR="00BC3944">
        <w:t xml:space="preserve">hs) by the estimated number of venetoclax and obinutuzumab scripts per patient (1 venetoclax initial + 8.67 venetoclax continuing + 7.355 obinutuzumab = </w:t>
      </w:r>
      <w:r w:rsidR="00BC3944" w:rsidRPr="00F95A66">
        <w:t>17.025</w:t>
      </w:r>
      <w:r w:rsidR="00BC3944">
        <w:t xml:space="preserve"> scripts per patient).</w:t>
      </w:r>
    </w:p>
    <w:p w14:paraId="5CEBF1A1" w14:textId="64080B9B" w:rsidR="00BC3944" w:rsidRDefault="00094627" w:rsidP="00BC3944">
      <w:pPr>
        <w:pStyle w:val="TableFooter"/>
      </w:pPr>
      <w:r>
        <w:rPr>
          <w:vertAlign w:val="superscript"/>
        </w:rPr>
        <w:t>d</w:t>
      </w:r>
      <w:r w:rsidR="00BC3944">
        <w:t xml:space="preserve"> Based on assumed 70 zanubrutinib scripts per patient per treatment course, with </w:t>
      </w:r>
      <w:r w:rsidR="00BC3944" w:rsidRPr="00C2273D">
        <w:t xml:space="preserve">13.5% of zanubrutinib </w:t>
      </w:r>
      <w:r w:rsidR="00BC3944">
        <w:t>scripts for each treated patient occurs each year</w:t>
      </w:r>
      <w:r w:rsidR="00BC3944" w:rsidRPr="00C2273D">
        <w:t xml:space="preserve"> (</w:t>
      </w:r>
      <w:r w:rsidR="00BC3944">
        <w:t xml:space="preserve">calculated as </w:t>
      </w:r>
      <w:r w:rsidR="00BC3944" w:rsidRPr="00C2273D">
        <w:t>9.47 months ÷ 70 months = 13.5%)</w:t>
      </w:r>
      <w:r w:rsidR="00BC3944">
        <w:t xml:space="preserve">. Assumed an additional 12.18 scripts per patient for </w:t>
      </w:r>
      <w:bookmarkStart w:id="75" w:name="_Hlk113629054"/>
      <w:r w:rsidR="006952BF" w:rsidRPr="006952BF">
        <w:t>&lt; 500</w:t>
      </w:r>
      <w:bookmarkEnd w:id="75"/>
      <w:r w:rsidR="00BC3944">
        <w:t xml:space="preserve"> grandfathered patients in Year 1. </w:t>
      </w:r>
    </w:p>
    <w:p w14:paraId="62A19530" w14:textId="2CD2A9BA" w:rsidR="00BC3944" w:rsidRDefault="00094627" w:rsidP="006952BF">
      <w:pPr>
        <w:pStyle w:val="TableFooter"/>
        <w:spacing w:after="0"/>
      </w:pPr>
      <w:r>
        <w:rPr>
          <w:vertAlign w:val="superscript"/>
        </w:rPr>
        <w:t>e</w:t>
      </w:r>
      <w:r w:rsidR="00BC3944">
        <w:t xml:space="preserve"> </w:t>
      </w:r>
      <w:r w:rsidR="00BC3944" w:rsidRPr="00DE5B9D">
        <w:t xml:space="preserve">The submission stated that the sponsor intends to commence a compassionate access program in January 2023, which would result in an estimated </w:t>
      </w:r>
      <w:r w:rsidR="00736711" w:rsidRPr="006952BF">
        <w:t>&lt; 500</w:t>
      </w:r>
      <w:r w:rsidR="00BC3944" w:rsidRPr="00DE5B9D">
        <w:t xml:space="preserve"> patients requiring grandfathered treatment with zanubrutinib.</w:t>
      </w:r>
    </w:p>
    <w:p w14:paraId="6424C422" w14:textId="77777777" w:rsidR="006952BF" w:rsidRDefault="006952BF" w:rsidP="006952BF">
      <w:pPr>
        <w:rPr>
          <w:rFonts w:ascii="Arial Narrow" w:hAnsi="Arial Narrow"/>
          <w:i/>
          <w:sz w:val="18"/>
          <w:szCs w:val="18"/>
        </w:rPr>
      </w:pPr>
      <w:r>
        <w:rPr>
          <w:rFonts w:ascii="Arial Narrow" w:hAnsi="Arial Narrow"/>
          <w:i/>
          <w:sz w:val="18"/>
          <w:szCs w:val="18"/>
        </w:rPr>
        <w:t xml:space="preserve">The redacted values correspond to the following ranges: </w:t>
      </w:r>
    </w:p>
    <w:p w14:paraId="40CEF6A8" w14:textId="77777777" w:rsidR="005F1564" w:rsidRDefault="005F1564" w:rsidP="006952BF">
      <w:pPr>
        <w:rPr>
          <w:rFonts w:ascii="Arial Narrow" w:hAnsi="Arial Narrow"/>
          <w:i/>
          <w:sz w:val="18"/>
          <w:szCs w:val="18"/>
          <w:vertAlign w:val="superscript"/>
        </w:rPr>
        <w:sectPr w:rsidR="005F1564" w:rsidSect="00820B2D">
          <w:headerReference w:type="default" r:id="rId12"/>
          <w:footerReference w:type="default" r:id="rId13"/>
          <w:pgSz w:w="11907" w:h="16840" w:code="9"/>
          <w:pgMar w:top="1440" w:right="1440" w:bottom="1440" w:left="1440" w:header="1440" w:footer="1440" w:gutter="0"/>
          <w:pgNumType w:start="1"/>
          <w:cols w:space="708"/>
          <w:docGrid w:linePitch="360"/>
        </w:sectPr>
      </w:pPr>
    </w:p>
    <w:p w14:paraId="7185315A" w14:textId="672A985C" w:rsidR="006952BF" w:rsidRDefault="006952BF" w:rsidP="006952BF">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00736711" w:rsidRPr="00736711">
        <w:rPr>
          <w:rFonts w:ascii="Arial Narrow" w:hAnsi="Arial Narrow"/>
          <w:i/>
          <w:sz w:val="18"/>
          <w:szCs w:val="18"/>
        </w:rPr>
        <w:t>&lt; 500</w:t>
      </w:r>
    </w:p>
    <w:p w14:paraId="1DC34435" w14:textId="67A0840E" w:rsidR="006952BF" w:rsidRDefault="006952BF" w:rsidP="006952BF">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00736711" w:rsidRPr="00736711">
        <w:rPr>
          <w:rFonts w:ascii="Arial Narrow" w:hAnsi="Arial Narrow"/>
          <w:i/>
          <w:sz w:val="18"/>
          <w:szCs w:val="18"/>
        </w:rPr>
        <w:t>500 to &lt; 5,000</w:t>
      </w:r>
    </w:p>
    <w:p w14:paraId="671C5821" w14:textId="1A26512E" w:rsidR="006952BF" w:rsidRDefault="006952BF" w:rsidP="006952BF">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00736711" w:rsidRPr="00736711">
        <w:rPr>
          <w:rFonts w:ascii="Arial Narrow" w:hAnsi="Arial Narrow"/>
          <w:i/>
          <w:sz w:val="18"/>
          <w:szCs w:val="18"/>
        </w:rPr>
        <w:t>$10 million to &lt; $20 million</w:t>
      </w:r>
    </w:p>
    <w:p w14:paraId="456DD0A4" w14:textId="35D0F452" w:rsidR="006952BF" w:rsidRDefault="006952BF" w:rsidP="006952B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736711" w:rsidRPr="00736711">
        <w:rPr>
          <w:rFonts w:ascii="Arial Narrow" w:hAnsi="Arial Narrow"/>
          <w:i/>
          <w:sz w:val="18"/>
          <w:szCs w:val="18"/>
        </w:rPr>
        <w:t>net cost saving</w:t>
      </w:r>
    </w:p>
    <w:p w14:paraId="20E9F793" w14:textId="4F2FDCB1" w:rsidR="006952BF" w:rsidRDefault="006952BF" w:rsidP="006952BF">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736711" w:rsidRPr="00736711">
        <w:rPr>
          <w:rFonts w:ascii="Arial Narrow" w:hAnsi="Arial Narrow"/>
          <w:i/>
          <w:sz w:val="18"/>
          <w:szCs w:val="18"/>
        </w:rPr>
        <w:t>$0 to &lt; $10 million</w:t>
      </w:r>
    </w:p>
    <w:p w14:paraId="4ACB8DA1" w14:textId="70DE9776" w:rsidR="006952BF" w:rsidRDefault="006952BF" w:rsidP="006952BF">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736711" w:rsidRPr="00736711">
        <w:rPr>
          <w:rFonts w:ascii="Arial Narrow" w:hAnsi="Arial Narrow"/>
          <w:i/>
          <w:sz w:val="18"/>
          <w:szCs w:val="18"/>
        </w:rPr>
        <w:t>$20 million to &lt; $30 million</w:t>
      </w:r>
    </w:p>
    <w:p w14:paraId="7E054169" w14:textId="1F2FD8F7" w:rsidR="006952BF" w:rsidRDefault="006952BF" w:rsidP="006952BF">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736711" w:rsidRPr="00736711">
        <w:rPr>
          <w:rFonts w:ascii="Arial Narrow" w:hAnsi="Arial Narrow"/>
          <w:i/>
          <w:sz w:val="18"/>
          <w:szCs w:val="18"/>
        </w:rPr>
        <w:t>$30 million to &lt; $40 million</w:t>
      </w:r>
    </w:p>
    <w:p w14:paraId="2AAB56E0" w14:textId="452831AC" w:rsidR="006952BF" w:rsidRDefault="006952BF" w:rsidP="006952BF">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736711" w:rsidRPr="00736711">
        <w:rPr>
          <w:rFonts w:ascii="Arial Narrow" w:hAnsi="Arial Narrow"/>
          <w:i/>
          <w:sz w:val="18"/>
          <w:szCs w:val="18"/>
        </w:rPr>
        <w:t>$40 million to &lt; $50 million</w:t>
      </w:r>
    </w:p>
    <w:p w14:paraId="0A30A16D" w14:textId="4E8BE766" w:rsidR="006952BF" w:rsidRDefault="006952BF" w:rsidP="006952BF">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736711" w:rsidRPr="00736711">
        <w:rPr>
          <w:rFonts w:ascii="Arial Narrow" w:hAnsi="Arial Narrow"/>
          <w:i/>
          <w:sz w:val="18"/>
          <w:szCs w:val="18"/>
        </w:rPr>
        <w:t>5,000 to &lt; 10,000</w:t>
      </w:r>
    </w:p>
    <w:p w14:paraId="06AD821B" w14:textId="6B0D3336" w:rsidR="006952BF" w:rsidRDefault="006952BF" w:rsidP="006952BF">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736711" w:rsidRPr="00736711">
        <w:rPr>
          <w:rFonts w:ascii="Arial Narrow" w:hAnsi="Arial Narrow"/>
          <w:i/>
          <w:sz w:val="18"/>
          <w:szCs w:val="18"/>
        </w:rPr>
        <w:t>$50 million to &lt; $60 million</w:t>
      </w:r>
    </w:p>
    <w:p w14:paraId="489167CB" w14:textId="25847D8C" w:rsidR="006952BF" w:rsidRPr="006952BF" w:rsidRDefault="006952BF" w:rsidP="00736711">
      <w:pPr>
        <w:spacing w:after="120"/>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736711" w:rsidRPr="00736711">
        <w:rPr>
          <w:rFonts w:ascii="Arial Narrow" w:hAnsi="Arial Narrow"/>
          <w:i/>
          <w:sz w:val="18"/>
          <w:szCs w:val="18"/>
        </w:rPr>
        <w:t>$60 million to &lt; $70 million</w:t>
      </w:r>
    </w:p>
    <w:p w14:paraId="5ED95C07" w14:textId="77777777" w:rsidR="005F1564" w:rsidRDefault="005F1564" w:rsidP="008D734C">
      <w:pPr>
        <w:pStyle w:val="COMexecsumnumberedpara"/>
        <w:sectPr w:rsidR="005F1564" w:rsidSect="005F1564">
          <w:type w:val="continuous"/>
          <w:pgSz w:w="11907" w:h="16840" w:code="9"/>
          <w:pgMar w:top="1440" w:right="1440" w:bottom="1440" w:left="1440" w:header="1440" w:footer="1440" w:gutter="0"/>
          <w:pgNumType w:start="1"/>
          <w:cols w:num="2" w:space="708"/>
          <w:docGrid w:linePitch="360"/>
        </w:sectPr>
      </w:pPr>
    </w:p>
    <w:p w14:paraId="75586731" w14:textId="45991AA8" w:rsidR="000902D9" w:rsidRPr="00C31E62" w:rsidRDefault="00E26713" w:rsidP="008D734C">
      <w:pPr>
        <w:pStyle w:val="COMexecsumnumberedpara"/>
      </w:pPr>
      <w:r>
        <w:lastRenderedPageBreak/>
        <w:t>Based on the published price</w:t>
      </w:r>
      <w:r w:rsidR="00271BA8">
        <w:t>s</w:t>
      </w:r>
      <w:r>
        <w:t xml:space="preserve"> of venetoclax and obinutuzumab, and the proposed published price of zanubrutinib, t</w:t>
      </w:r>
      <w:r w:rsidR="000902D9">
        <w:t>he total cost to the PBS/RPBS</w:t>
      </w:r>
      <w:r w:rsidR="00696FE3">
        <w:t>/MBS</w:t>
      </w:r>
      <w:r w:rsidR="000902D9">
        <w:t xml:space="preserve"> of listing </w:t>
      </w:r>
      <w:r w:rsidR="00BC3944">
        <w:t>zanubrutinib</w:t>
      </w:r>
      <w:r w:rsidR="000902D9">
        <w:t xml:space="preserve"> was estimated </w:t>
      </w:r>
      <w:r w:rsidR="00A05C32">
        <w:t>to be</w:t>
      </w:r>
      <w:r w:rsidR="000902D9">
        <w:t xml:space="preserve"> </w:t>
      </w:r>
      <w:bookmarkStart w:id="76" w:name="_Hlk113629090"/>
      <w:r w:rsidR="008D734C" w:rsidRPr="008D734C">
        <w:t>$0 to &lt; $10 million</w:t>
      </w:r>
      <w:bookmarkEnd w:id="76"/>
      <w:r w:rsidR="008D734C">
        <w:t xml:space="preserve"> </w:t>
      </w:r>
      <w:r w:rsidR="00F27BC8">
        <w:t xml:space="preserve">in Year 1, increasing to </w:t>
      </w:r>
      <w:bookmarkStart w:id="77" w:name="_Hlk113629385"/>
      <w:r w:rsidR="008D734C" w:rsidRPr="008D734C">
        <w:t>$50 million to &lt; $60 million</w:t>
      </w:r>
      <w:bookmarkEnd w:id="77"/>
      <w:r w:rsidR="008D734C">
        <w:t xml:space="preserve"> </w:t>
      </w:r>
      <w:r w:rsidR="00F27BC8">
        <w:t>in Year 6,</w:t>
      </w:r>
      <w:r w:rsidR="000902D9">
        <w:t xml:space="preserve"> a total </w:t>
      </w:r>
      <w:r w:rsidR="00271BA8">
        <w:t xml:space="preserve">cost </w:t>
      </w:r>
      <w:r w:rsidR="000902D9">
        <w:t xml:space="preserve">of </w:t>
      </w:r>
      <w:bookmarkStart w:id="78" w:name="_Hlk113629257"/>
      <w:r w:rsidR="008D734C" w:rsidRPr="008D734C">
        <w:t>$100 million to &lt; $200 million</w:t>
      </w:r>
      <w:bookmarkEnd w:id="78"/>
      <w:r w:rsidR="000902D9">
        <w:t xml:space="preserve"> </w:t>
      </w:r>
      <w:r w:rsidR="00F27BC8">
        <w:t>over</w:t>
      </w:r>
      <w:r w:rsidR="000902D9">
        <w:t xml:space="preserve"> the first 6 years of listing.</w:t>
      </w:r>
      <w:r w:rsidR="00A3006E">
        <w:t xml:space="preserve"> The additional cost to the PBS/RPBS/MBS was driven by the higher proposed published price of zanubrutinib compared to the cost-minimised price of zanubrutinib (i.e., based on the published prices of venetoclax + obinutuzumab).</w:t>
      </w:r>
    </w:p>
    <w:p w14:paraId="38BF238D" w14:textId="73BB9D47" w:rsidR="00E26713" w:rsidRPr="00021B9D" w:rsidRDefault="00E26713" w:rsidP="00E26713">
      <w:pPr>
        <w:pStyle w:val="COMexecsumnumberedpara"/>
        <w:rPr>
          <w:iCs/>
        </w:rPr>
      </w:pPr>
      <w:r>
        <w:t>The estimate</w:t>
      </w:r>
      <w:r w:rsidR="00582AED">
        <w:t>d</w:t>
      </w:r>
      <w:r>
        <w:t xml:space="preserve"> number of zanubrutinib scripts appeared to be underestimated due to the following reasons:</w:t>
      </w:r>
    </w:p>
    <w:p w14:paraId="72DFE0CC" w14:textId="77777777" w:rsidR="005C2D58" w:rsidRDefault="008C01D4" w:rsidP="00D37ECB">
      <w:pPr>
        <w:pStyle w:val="COMexecsummbulletlist"/>
      </w:pPr>
      <w:r w:rsidRPr="005C2D58">
        <w:t>The available PBS data for venetoclax and obinutuzumab in 2021, which was used to estimate utilisation of zanubrutinib, was immature, and does not represent the full treatment course for some patients (i.e., patients who would have initiated treatment in January 2020 to November 2020 and continued into 2021 had venetoclax + obinutuzumab been listed).</w:t>
      </w:r>
      <w:r w:rsidR="00D83D43" w:rsidRPr="005C2D58">
        <w:t xml:space="preserve"> The PBAC noted </w:t>
      </w:r>
      <w:r w:rsidR="00CF0A08" w:rsidRPr="005C2D58">
        <w:t>PBS data for 2022 is available to estimate utilisation.</w:t>
      </w:r>
    </w:p>
    <w:p w14:paraId="01819D8D" w14:textId="2B443632" w:rsidR="008C01D4" w:rsidRPr="00A63AF1" w:rsidRDefault="008C01D4" w:rsidP="00D37ECB">
      <w:pPr>
        <w:pStyle w:val="COMexecsummbulletlist"/>
      </w:pPr>
      <w:r w:rsidRPr="005C2D58">
        <w:t xml:space="preserve">Uptake of zanubrutinib may be higher than estimated, given that zanubrutinib is an oral treatment, and </w:t>
      </w:r>
      <w:r w:rsidR="00CA2F91" w:rsidRPr="005C2D58">
        <w:t xml:space="preserve">given that the </w:t>
      </w:r>
      <w:r w:rsidRPr="005C2D58">
        <w:t xml:space="preserve">PBS </w:t>
      </w:r>
      <w:r w:rsidR="00CA2F91" w:rsidRPr="005C2D58">
        <w:t xml:space="preserve">restrictions for </w:t>
      </w:r>
      <w:r w:rsidR="00935A52" w:rsidRPr="005C2D58">
        <w:t xml:space="preserve">fixed duration </w:t>
      </w:r>
      <w:r w:rsidR="00CA2F91" w:rsidRPr="005C2D58">
        <w:t xml:space="preserve">venetoclax do not allow </w:t>
      </w:r>
      <w:r w:rsidRPr="005C2D58">
        <w:t xml:space="preserve">retreatment </w:t>
      </w:r>
      <w:r w:rsidR="00522B14" w:rsidRPr="005C2D58">
        <w:t xml:space="preserve">with venetoclax </w:t>
      </w:r>
      <w:r w:rsidRPr="005C2D58">
        <w:t>in the event of disease progression</w:t>
      </w:r>
      <w:r w:rsidRPr="00A63AF1">
        <w:t xml:space="preserve">. </w:t>
      </w:r>
      <w:r w:rsidR="00F90C88" w:rsidRPr="00A63AF1">
        <w:t>The PSCR stated that the assumed uptake rate in Years 1 to 6 of listing (40%) was likely to be optimistic.</w:t>
      </w:r>
      <w:r w:rsidR="00CF0A08" w:rsidRPr="00A63AF1">
        <w:t xml:space="preserve"> The PBAC considered the uptake of 40% to be potentially reasonable although very uncertain. </w:t>
      </w:r>
    </w:p>
    <w:p w14:paraId="6485E94F" w14:textId="50409BA9" w:rsidR="008C01D4" w:rsidRPr="00021B9D" w:rsidRDefault="008C01D4" w:rsidP="00D37ECB">
      <w:pPr>
        <w:pStyle w:val="COMexecsummbulletlist"/>
      </w:pPr>
      <w:r w:rsidRPr="00A63AF1">
        <w:t>The submission assumed that zanubrutinib script utilisation for each patient (i.e., based on the mean treatment duration of 70 months) would be evenly spread over 7.39 years, which reduced the utilisation during the initial 6 years of listing.</w:t>
      </w:r>
      <w:r w:rsidR="00F90C88" w:rsidRPr="00A63AF1">
        <w:t xml:space="preserve"> The PSCR stated that this assumption</w:t>
      </w:r>
      <w:r w:rsidR="00F90C88" w:rsidRPr="005C2D58">
        <w:t xml:space="preserve"> was made for simplicity given the market dynamics.</w:t>
      </w:r>
    </w:p>
    <w:p w14:paraId="005479A9" w14:textId="22A67F07" w:rsidR="008C01D4" w:rsidRPr="00021B9D" w:rsidRDefault="008C01D4" w:rsidP="00D37ECB">
      <w:pPr>
        <w:pStyle w:val="COMexecsummbulletlist"/>
      </w:pPr>
      <w:r w:rsidRPr="00021B9D">
        <w:t>The mean treatment duration for zanubrutinib is uncertain and may be longer than estimated.</w:t>
      </w:r>
      <w:r w:rsidR="00411FFD">
        <w:t xml:space="preserve"> The PBAC noted removing the discounting (</w:t>
      </w:r>
      <w:r w:rsidR="00411FFD" w:rsidRPr="00826A05">
        <w:t xml:space="preserve">see </w:t>
      </w:r>
      <w:r w:rsidR="00411FFD" w:rsidRPr="00826A05">
        <w:fldChar w:fldCharType="begin" w:fldLock="1"/>
      </w:r>
      <w:r w:rsidR="00411FFD" w:rsidRPr="00826A05">
        <w:instrText xml:space="preserve"> REF _Ref104805262 \h </w:instrText>
      </w:r>
      <w:r w:rsidR="005C2D58">
        <w:instrText xml:space="preserve"> \* MERGEFORMAT </w:instrText>
      </w:r>
      <w:r w:rsidR="00411FFD" w:rsidRPr="00826A05">
        <w:fldChar w:fldCharType="separate"/>
      </w:r>
      <w:r w:rsidR="00540D87" w:rsidRPr="005C2D58">
        <w:t>Table 14</w:t>
      </w:r>
      <w:r w:rsidR="00411FFD" w:rsidRPr="00826A05">
        <w:fldChar w:fldCharType="end"/>
      </w:r>
      <w:r w:rsidR="00411FFD">
        <w:t>) will increase the treatment duration.</w:t>
      </w:r>
    </w:p>
    <w:p w14:paraId="7B1AF8FB" w14:textId="2B9594D1" w:rsidR="00E26713" w:rsidRPr="00021B9D" w:rsidRDefault="008C01D4" w:rsidP="00D37ECB">
      <w:pPr>
        <w:pStyle w:val="COMexecsummbulletlist"/>
      </w:pPr>
      <w:r w:rsidRPr="00021B9D">
        <w:t>The availability of an oral therapy for patients with previously untreated CLL/SLL, which may result in growth of the CLL/SLL market.</w:t>
      </w:r>
      <w:r w:rsidR="003D3B41">
        <w:t xml:space="preserve"> The PBAC considered with zanubrutinib being oral and relatively well tolerated that there is a risk that patients will commence treatment earlier and this risk should be managed with a</w:t>
      </w:r>
      <w:r w:rsidR="005C0AC8">
        <w:t xml:space="preserve"> Risk Sharing Arrangement (</w:t>
      </w:r>
      <w:r w:rsidR="003D3B41">
        <w:t>RSA</w:t>
      </w:r>
      <w:r w:rsidR="005C0AC8">
        <w:t>)</w:t>
      </w:r>
      <w:r w:rsidR="003D3B41">
        <w:t>.</w:t>
      </w:r>
    </w:p>
    <w:p w14:paraId="1B691C63" w14:textId="5104F42C" w:rsidR="006A016F" w:rsidRPr="009F1F60" w:rsidRDefault="00545A9C" w:rsidP="009F1F60">
      <w:pPr>
        <w:pStyle w:val="COMexecsumnumberedpara"/>
        <w:rPr>
          <w:rFonts w:eastAsiaTheme="majorEastAsia" w:cs="Calibri"/>
        </w:rPr>
      </w:pPr>
      <w:r>
        <w:t xml:space="preserve">The submission also claimed that listing of zanubrutinib would be associated with a reduction in tumour lysis syndrome prophylaxis/monitoring costs associated with venetoclax. The submission </w:t>
      </w:r>
      <w:r w:rsidR="00696FE3">
        <w:t>estimated</w:t>
      </w:r>
      <w:r>
        <w:t xml:space="preserve"> a cost of $1,329 per patient, based on the estimated tumour lysis syndrome costs included in the July 2020 venetoclax submission, inflated to 2022</w:t>
      </w:r>
      <w:r w:rsidR="000B4905">
        <w:t xml:space="preserve"> prices</w:t>
      </w:r>
      <w:r>
        <w:t>.</w:t>
      </w:r>
      <w:r w:rsidR="009F1F60">
        <w:t xml:space="preserve"> A proportion of the </w:t>
      </w:r>
      <w:r w:rsidR="002C0240">
        <w:t xml:space="preserve">tumour lysis syndrome </w:t>
      </w:r>
      <w:r w:rsidR="009F1F60">
        <w:t xml:space="preserve">costs </w:t>
      </w:r>
      <w:r w:rsidR="009F1F60">
        <w:lastRenderedPageBreak/>
        <w:t>would be applicable to state health budgets (e.g., costs associated with hospital admission).</w:t>
      </w:r>
    </w:p>
    <w:p w14:paraId="6015A395" w14:textId="2EDB6A4E" w:rsidR="00576972" w:rsidRPr="00C31E62" w:rsidRDefault="00576972" w:rsidP="00606FBA">
      <w:pPr>
        <w:pStyle w:val="COMH2-non-numbered"/>
      </w:pPr>
      <w:bookmarkStart w:id="79" w:name="_Toc22897649"/>
      <w:bookmarkStart w:id="80" w:name="_Toc124179172"/>
      <w:bookmarkStart w:id="81" w:name="_Toc124853857"/>
      <w:r w:rsidRPr="00C31E62">
        <w:t>Financial Management – Risk Sharing Arrangements</w:t>
      </w:r>
      <w:bookmarkEnd w:id="79"/>
      <w:bookmarkEnd w:id="80"/>
      <w:bookmarkEnd w:id="81"/>
    </w:p>
    <w:p w14:paraId="7C13C68C" w14:textId="1EF3A2E0" w:rsidR="004509A1" w:rsidRPr="00CA2520" w:rsidRDefault="004509A1" w:rsidP="004509A1">
      <w:pPr>
        <w:pStyle w:val="COMexecsumnumberedpara"/>
        <w:rPr>
          <w:iCs/>
        </w:rPr>
      </w:pPr>
      <w:r w:rsidRPr="00CA2520">
        <w:rPr>
          <w:iCs/>
        </w:rPr>
        <w:t>The submission noted that the Department may wish to combine caps on zanubrutinib in the treatment naïve and relapsed/refractory settings to manage expenditure related to sequencing of BTKi/BCL</w:t>
      </w:r>
      <w:r w:rsidR="00D309F6">
        <w:rPr>
          <w:iCs/>
        </w:rPr>
        <w:t>-</w:t>
      </w:r>
      <w:r w:rsidRPr="00CA2520">
        <w:rPr>
          <w:iCs/>
        </w:rPr>
        <w:t>2</w:t>
      </w:r>
      <w:r w:rsidR="00826A05">
        <w:rPr>
          <w:iCs/>
        </w:rPr>
        <w:t>i</w:t>
      </w:r>
      <w:r w:rsidRPr="00CA2520">
        <w:rPr>
          <w:iCs/>
        </w:rPr>
        <w:t xml:space="preserve"> treatments. The submission proposed a combined RSA across the treatment naïve and relapsed refractory settings, and noted that a combined cap may include the following:</w:t>
      </w:r>
    </w:p>
    <w:p w14:paraId="1DB4EC36" w14:textId="2CC8A1E0" w:rsidR="004509A1" w:rsidRPr="00CA2520" w:rsidRDefault="004509A1" w:rsidP="00D37ECB">
      <w:pPr>
        <w:pStyle w:val="COMexecsummbulletlist"/>
      </w:pPr>
      <w:r w:rsidRPr="00CA2520">
        <w:t>A weighted price for zanubrutinib across the treatment naïve and relapsed/refractory settings, with weightings based on prescription volume of BTK inhibitor/BCL</w:t>
      </w:r>
      <w:r w:rsidR="00826A05">
        <w:t>-</w:t>
      </w:r>
      <w:r w:rsidRPr="00CA2520">
        <w:t>2</w:t>
      </w:r>
      <w:r w:rsidR="00826A05">
        <w:t>i</w:t>
      </w:r>
      <w:r w:rsidRPr="00CA2520">
        <w:t xml:space="preserve"> agents in each setting.</w:t>
      </w:r>
    </w:p>
    <w:p w14:paraId="40D69721" w14:textId="5D675CB5" w:rsidR="004509A1" w:rsidRPr="00CA2520" w:rsidRDefault="004509A1" w:rsidP="00D37ECB">
      <w:pPr>
        <w:pStyle w:val="COMexecsummbulletlist"/>
      </w:pPr>
      <w:r w:rsidRPr="00CA2520">
        <w:t xml:space="preserve">Utilisation in the relapsed/refractory setting would be combined with utilisation in the treatment naïve setting based on the estimates provided in each financial model, and expenditure calculated based on the weighted price. </w:t>
      </w:r>
    </w:p>
    <w:p w14:paraId="037099B8" w14:textId="58666008" w:rsidR="004509A1" w:rsidRPr="00CA2520" w:rsidRDefault="004509A1" w:rsidP="00D37ECB">
      <w:pPr>
        <w:pStyle w:val="COMexecsummbulletlist"/>
      </w:pPr>
      <w:r w:rsidRPr="00CA2520">
        <w:t xml:space="preserve">Any use beyond the proposed annual subsidisation caps would result in the application of a </w:t>
      </w:r>
      <w:r w:rsidR="006F2AD0" w:rsidRPr="00866102">
        <w:rPr>
          <w:color w:val="000000"/>
          <w:w w:val="15"/>
          <w:shd w:val="solid" w:color="000000" w:fill="000000"/>
          <w:fitText w:val="-20" w:id="-1232941042"/>
          <w14:textFill>
            <w14:solidFill>
              <w14:srgbClr w14:val="000000">
                <w14:alpha w14:val="100000"/>
              </w14:srgbClr>
            </w14:solidFill>
          </w14:textFill>
        </w:rPr>
        <w:t xml:space="preserve">|  </w:t>
      </w:r>
      <w:r w:rsidR="006F2AD0" w:rsidRPr="00866102">
        <w:rPr>
          <w:color w:val="000000"/>
          <w:spacing w:val="-69"/>
          <w:w w:val="15"/>
          <w:shd w:val="solid" w:color="000000" w:fill="000000"/>
          <w:fitText w:val="-20" w:id="-1232941042"/>
          <w14:textFill>
            <w14:solidFill>
              <w14:srgbClr w14:val="000000">
                <w14:alpha w14:val="100000"/>
              </w14:srgbClr>
            </w14:solidFill>
          </w14:textFill>
        </w:rPr>
        <w:t>|</w:t>
      </w:r>
      <w:r w:rsidRPr="00CA2520">
        <w:t>% rebate.</w:t>
      </w:r>
    </w:p>
    <w:p w14:paraId="11C5DB53" w14:textId="52F86BF8" w:rsidR="004509A1" w:rsidRPr="00A63AF1" w:rsidRDefault="004509A1" w:rsidP="004509A1">
      <w:pPr>
        <w:pStyle w:val="COMexecsumnumberedpara"/>
        <w:rPr>
          <w:iCs/>
        </w:rPr>
      </w:pPr>
      <w:r w:rsidRPr="00CA2520">
        <w:rPr>
          <w:iCs/>
        </w:rPr>
        <w:t xml:space="preserve">The PSCR stated </w:t>
      </w:r>
      <w:r w:rsidRPr="00A63AF1">
        <w:rPr>
          <w:iCs/>
        </w:rPr>
        <w:t>that there is a strong financial rationale for a combined RSA across the treatment naïve and relapsed and refractory CLL/SLL settings to manage uncertainty in uptake and erosion between the settings, and potentially lead to cost savings over the 5-year RSA Deed period.</w:t>
      </w:r>
      <w:r w:rsidR="00E55014" w:rsidRPr="00A63AF1">
        <w:rPr>
          <w:iCs/>
        </w:rPr>
        <w:t xml:space="preserve"> The pre-PBAC response affirmed this as the preferred approach.</w:t>
      </w:r>
    </w:p>
    <w:p w14:paraId="6E7BAA75" w14:textId="615C6AB0" w:rsidR="004509A1" w:rsidRPr="00A63AF1" w:rsidRDefault="004509A1" w:rsidP="004509A1">
      <w:pPr>
        <w:pStyle w:val="COMexecsumnumberedpara"/>
        <w:rPr>
          <w:iCs/>
        </w:rPr>
      </w:pPr>
      <w:r w:rsidRPr="00A63AF1">
        <w:rPr>
          <w:iCs/>
        </w:rPr>
        <w:t>The submission acknowledged that, given the changing BTK</w:t>
      </w:r>
      <w:r w:rsidR="00826A05" w:rsidRPr="00A63AF1">
        <w:rPr>
          <w:iCs/>
        </w:rPr>
        <w:t>i</w:t>
      </w:r>
      <w:r w:rsidRPr="00A63AF1">
        <w:rPr>
          <w:iCs/>
        </w:rPr>
        <w:t>/BCL</w:t>
      </w:r>
      <w:r w:rsidR="00D309F6" w:rsidRPr="00A63AF1">
        <w:rPr>
          <w:iCs/>
        </w:rPr>
        <w:t>-</w:t>
      </w:r>
      <w:r w:rsidRPr="00A63AF1">
        <w:rPr>
          <w:iCs/>
        </w:rPr>
        <w:t>2</w:t>
      </w:r>
      <w:r w:rsidR="00826A05" w:rsidRPr="00A63AF1">
        <w:rPr>
          <w:iCs/>
        </w:rPr>
        <w:t>i</w:t>
      </w:r>
      <w:r w:rsidRPr="00A63AF1">
        <w:rPr>
          <w:iCs/>
        </w:rPr>
        <w:t xml:space="preserve"> landscape, agents from both BTKi and BCL</w:t>
      </w:r>
      <w:r w:rsidR="00D309F6" w:rsidRPr="00A63AF1">
        <w:rPr>
          <w:iCs/>
        </w:rPr>
        <w:t>-</w:t>
      </w:r>
      <w:r w:rsidRPr="00A63AF1">
        <w:rPr>
          <w:iCs/>
        </w:rPr>
        <w:t>2</w:t>
      </w:r>
      <w:r w:rsidR="00826A05" w:rsidRPr="00A63AF1">
        <w:rPr>
          <w:iCs/>
        </w:rPr>
        <w:t>i</w:t>
      </w:r>
      <w:r w:rsidRPr="00A63AF1">
        <w:rPr>
          <w:iCs/>
        </w:rPr>
        <w:t xml:space="preserve"> classes may join the combined RSA in future. If a shared RSA is recommended, the sponsor requested separate PBS item codes in the treatment naïve and relapsed refractory settings to enable utilisation tracking in each line of therapy. However, the basis for this request was unclear.</w:t>
      </w:r>
    </w:p>
    <w:p w14:paraId="19474A42" w14:textId="77777777" w:rsidR="004509A1" w:rsidRPr="00A63AF1" w:rsidRDefault="004509A1" w:rsidP="004509A1">
      <w:pPr>
        <w:pStyle w:val="COMexecsumnumberedpara"/>
        <w:rPr>
          <w:iCs/>
        </w:rPr>
      </w:pPr>
      <w:r w:rsidRPr="00A63AF1">
        <w:rPr>
          <w:iCs/>
        </w:rPr>
        <w:t>The ESC noted that if there are separate PBS item codes for the two treatment settings, then separate SPAs could be applied, and a weighted price would not be required. The ESC further noted that, if recommended, it would be appropriate for zanubrutinib to join the current RSA in place for relapsed/refractory CLL/SLL so that the cost per patient in the relapsed/refractory setting for zanubrutinib is equivalent to that for the other therapies. The ESC noted that if zanubrutinib use in the treatment naïve setting was to be included in the current RSA, then the subsidisation caps would need to be increased to account for this use.</w:t>
      </w:r>
    </w:p>
    <w:p w14:paraId="5EF89446" w14:textId="506E0A0C" w:rsidR="004509A1" w:rsidRPr="00A63AF1" w:rsidRDefault="004509A1" w:rsidP="004509A1">
      <w:pPr>
        <w:pStyle w:val="COMexecsumnumberedpara"/>
        <w:rPr>
          <w:iCs/>
        </w:rPr>
      </w:pPr>
      <w:r w:rsidRPr="00A63AF1">
        <w:rPr>
          <w:iCs/>
        </w:rPr>
        <w:t xml:space="preserve">The ESC noted an alternative approach would be for a single line agnostic listing for zanubrutinib i.e., a listing for the ‘treatment of CLL/SLL’. In this situation a weighted price for zanubrutinib across the two settings would be required, and the options would be for (i) zanubrutinib to have a separate RSA or (ii) zanubrutinib to join the RSA for in place for relapsed/refractory CLL/SLL. The ESC noted that if zanubrutinib </w:t>
      </w:r>
      <w:r w:rsidR="000D7010" w:rsidRPr="00A63AF1">
        <w:rPr>
          <w:iCs/>
        </w:rPr>
        <w:t xml:space="preserve">did </w:t>
      </w:r>
      <w:r w:rsidRPr="00A63AF1">
        <w:rPr>
          <w:iCs/>
        </w:rPr>
        <w:t xml:space="preserve">not </w:t>
      </w:r>
      <w:r w:rsidRPr="00A63AF1">
        <w:rPr>
          <w:iCs/>
        </w:rPr>
        <w:lastRenderedPageBreak/>
        <w:t xml:space="preserve">join the current RSA, then </w:t>
      </w:r>
      <w:r w:rsidR="000D7010" w:rsidRPr="00A63AF1">
        <w:rPr>
          <w:iCs/>
        </w:rPr>
        <w:t xml:space="preserve">the </w:t>
      </w:r>
      <w:r w:rsidRPr="00A63AF1">
        <w:rPr>
          <w:iCs/>
        </w:rPr>
        <w:t xml:space="preserve">price for zanubrutinib in the relapsed/refractory setting should be based on the cost per patient that was considered cost-effective for ibrutinib at the time of its listing. For this scenario the ESC requested estimates of the weights for calculating a single price for use across both settings be provided in the pre-PBAC response. </w:t>
      </w:r>
    </w:p>
    <w:p w14:paraId="0EEB9DB8" w14:textId="0C1E0F15" w:rsidR="004A4D02" w:rsidRPr="00A63AF1" w:rsidRDefault="004A4D02" w:rsidP="004509A1">
      <w:pPr>
        <w:pStyle w:val="COMexecsumnumberedpara"/>
        <w:rPr>
          <w:iCs/>
        </w:rPr>
      </w:pPr>
      <w:r w:rsidRPr="00A63AF1">
        <w:t>The pre-PBAC response suggested that these weights should be based on the estimated use of zanubrutinib in the treatment naïve setting compared to the estimated use for the entire BTKi therapies in the relapsed/refractory setting. The weightings provided in the pre-PBAC response could not be replicated.</w:t>
      </w:r>
    </w:p>
    <w:p w14:paraId="7E363A70" w14:textId="7DEB3112" w:rsidR="00191A79" w:rsidRPr="00A63AF1" w:rsidRDefault="00D43C42" w:rsidP="009F1F60">
      <w:pPr>
        <w:pStyle w:val="COMexecsumnumberedpara"/>
        <w:numPr>
          <w:ilvl w:val="0"/>
          <w:numId w:val="0"/>
        </w:numPr>
        <w:ind w:left="720"/>
        <w:rPr>
          <w:i/>
        </w:rPr>
      </w:pPr>
      <w:r w:rsidRPr="00A63AF1">
        <w:rPr>
          <w:i/>
        </w:rPr>
        <w:t>For more detail on PBAC’s view, see section 7 PBAC outcome.</w:t>
      </w:r>
    </w:p>
    <w:p w14:paraId="6C27A2D1" w14:textId="77777777" w:rsidR="00A00967" w:rsidRPr="00A63AF1" w:rsidRDefault="00A00967" w:rsidP="00605DE9">
      <w:pPr>
        <w:pStyle w:val="COMH1numbered"/>
        <w:numPr>
          <w:ilvl w:val="0"/>
          <w:numId w:val="1"/>
        </w:numPr>
      </w:pPr>
      <w:bookmarkStart w:id="82" w:name="_Hlk76381249"/>
      <w:bookmarkStart w:id="83" w:name="_Hlk76377955"/>
      <w:r w:rsidRPr="00A63AF1">
        <w:t>PBAC Outcome</w:t>
      </w:r>
    </w:p>
    <w:p w14:paraId="44597BFB" w14:textId="3175C119" w:rsidR="009E7478" w:rsidRPr="00A63AF1" w:rsidRDefault="00F132AA" w:rsidP="009E7478">
      <w:pPr>
        <w:widowControl w:val="0"/>
        <w:numPr>
          <w:ilvl w:val="1"/>
          <w:numId w:val="1"/>
        </w:numPr>
        <w:spacing w:after="120"/>
        <w:ind w:left="720" w:hanging="720"/>
        <w:rPr>
          <w:lang w:val="en-GB"/>
        </w:rPr>
      </w:pPr>
      <w:r w:rsidRPr="00A63AF1">
        <w:rPr>
          <w:snapToGrid w:val="0"/>
          <w:lang w:val="en-GB" w:eastAsia="en-US"/>
        </w:rPr>
        <w:t xml:space="preserve">The </w:t>
      </w:r>
      <w:r w:rsidR="00A00967" w:rsidRPr="00A63AF1">
        <w:rPr>
          <w:snapToGrid w:val="0"/>
          <w:lang w:val="en-GB" w:eastAsia="en-US"/>
        </w:rPr>
        <w:t xml:space="preserve">PBAC recommended </w:t>
      </w:r>
      <w:r w:rsidR="0046209D" w:rsidRPr="00A63AF1">
        <w:rPr>
          <w:snapToGrid w:val="0"/>
          <w:lang w:val="en-GB" w:eastAsia="en-US"/>
        </w:rPr>
        <w:t>extending the</w:t>
      </w:r>
      <w:r w:rsidR="004C5AD9" w:rsidRPr="00A63AF1">
        <w:t xml:space="preserve"> </w:t>
      </w:r>
      <w:r w:rsidR="00A00967" w:rsidRPr="00A63AF1">
        <w:rPr>
          <w:snapToGrid w:val="0"/>
          <w:lang w:val="en-GB" w:eastAsia="en-US"/>
        </w:rPr>
        <w:t xml:space="preserve">listing of </w:t>
      </w:r>
      <w:r w:rsidRPr="00A63AF1">
        <w:rPr>
          <w:snapToGrid w:val="0"/>
          <w:lang w:val="en-GB" w:eastAsia="en-US"/>
        </w:rPr>
        <w:t xml:space="preserve">zanubrutinib </w:t>
      </w:r>
      <w:r w:rsidR="0046209D" w:rsidRPr="00A63AF1">
        <w:rPr>
          <w:snapToGrid w:val="0"/>
          <w:lang w:val="en-GB" w:eastAsia="en-US"/>
        </w:rPr>
        <w:t xml:space="preserve">to include treatment </w:t>
      </w:r>
      <w:r w:rsidRPr="00A63AF1">
        <w:rPr>
          <w:lang w:val="en-GB" w:eastAsia="en-US"/>
        </w:rPr>
        <w:t xml:space="preserve">naïve </w:t>
      </w:r>
      <w:r w:rsidR="004628AF" w:rsidRPr="00A63AF1">
        <w:t>chronic lymphocytic leukaemia</w:t>
      </w:r>
      <w:r w:rsidR="004628AF" w:rsidRPr="00A63AF1">
        <w:rPr>
          <w:lang w:val="en-GB" w:eastAsia="en-US"/>
        </w:rPr>
        <w:t xml:space="preserve"> (</w:t>
      </w:r>
      <w:r w:rsidRPr="00A63AF1">
        <w:rPr>
          <w:lang w:val="en-GB" w:eastAsia="en-US"/>
        </w:rPr>
        <w:t>CLL</w:t>
      </w:r>
      <w:r w:rsidR="004628AF" w:rsidRPr="00A63AF1">
        <w:rPr>
          <w:lang w:val="en-GB" w:eastAsia="en-US"/>
        </w:rPr>
        <w:t>)</w:t>
      </w:r>
      <w:r w:rsidRPr="00A63AF1">
        <w:rPr>
          <w:lang w:val="en-GB" w:eastAsia="en-US"/>
        </w:rPr>
        <w:t xml:space="preserve"> or </w:t>
      </w:r>
      <w:r w:rsidR="004628AF" w:rsidRPr="00A63AF1">
        <w:t>small lymphocytic l</w:t>
      </w:r>
      <w:r w:rsidR="0047248A" w:rsidRPr="00A63AF1">
        <w:t>ymphom</w:t>
      </w:r>
      <w:r w:rsidR="004628AF" w:rsidRPr="00A63AF1">
        <w:t>a</w:t>
      </w:r>
      <w:r w:rsidR="004628AF" w:rsidRPr="00A63AF1">
        <w:rPr>
          <w:lang w:val="en-GB" w:eastAsia="en-US"/>
        </w:rPr>
        <w:t xml:space="preserve"> (</w:t>
      </w:r>
      <w:r w:rsidRPr="00A63AF1">
        <w:rPr>
          <w:lang w:val="en-GB" w:eastAsia="en-US"/>
        </w:rPr>
        <w:t>SLL</w:t>
      </w:r>
      <w:r w:rsidR="004628AF" w:rsidRPr="00A63AF1">
        <w:rPr>
          <w:lang w:val="en-GB" w:eastAsia="en-US"/>
        </w:rPr>
        <w:t>)</w:t>
      </w:r>
      <w:r w:rsidRPr="00A63AF1">
        <w:rPr>
          <w:lang w:val="en-GB" w:eastAsia="en-US"/>
        </w:rPr>
        <w:t>. The PBAC considered the nominated comparator of venetoclax plus obinutuzumab was appropriate</w:t>
      </w:r>
      <w:r w:rsidR="00AC3FD8" w:rsidRPr="00A63AF1">
        <w:rPr>
          <w:lang w:val="en-GB" w:eastAsia="en-US"/>
        </w:rPr>
        <w:t xml:space="preserve">. </w:t>
      </w:r>
      <w:r w:rsidR="009E7478" w:rsidRPr="00A63AF1">
        <w:t>The PBAC’s recommendation for listing was based on, among other matters, its assessment, as described above, that the cost-effectiveness of zanubrutinib would be acceptable if it were cost-minimised to venetoclax plus obinutuzumab</w:t>
      </w:r>
      <w:r w:rsidR="002F59D1" w:rsidRPr="00A63AF1">
        <w:t xml:space="preserve">. </w:t>
      </w:r>
      <w:r w:rsidR="009E7478" w:rsidRPr="00A63AF1">
        <w:t xml:space="preserve">The PBAC considered </w:t>
      </w:r>
      <w:r w:rsidR="00C47A5E" w:rsidRPr="00A63AF1">
        <w:t>a</w:t>
      </w:r>
      <w:r w:rsidR="009E7478" w:rsidRPr="00A63AF1">
        <w:t xml:space="preserve"> risk sharing arrangement </w:t>
      </w:r>
      <w:r w:rsidR="00854876" w:rsidRPr="00A63AF1">
        <w:t xml:space="preserve">(RSA) </w:t>
      </w:r>
      <w:r w:rsidR="00C47A5E" w:rsidRPr="00A63AF1">
        <w:t xml:space="preserve">would be required to manage </w:t>
      </w:r>
      <w:r w:rsidR="00C47A5E" w:rsidRPr="00A63AF1">
        <w:rPr>
          <w:rFonts w:asciiTheme="minorHAnsi" w:hAnsiTheme="minorHAnsi"/>
          <w:snapToGrid w:val="0"/>
          <w:lang w:val="en-GB" w:eastAsia="en-US"/>
        </w:rPr>
        <w:t>the risks of the duration of treatment with zanubrutinib being longer than modelled and earlier use in patients not meeting the iwCLL criteria for initiating treatment</w:t>
      </w:r>
      <w:r w:rsidR="009E7478" w:rsidRPr="00A63AF1">
        <w:t>.</w:t>
      </w:r>
    </w:p>
    <w:p w14:paraId="5A72A083" w14:textId="6365EABF" w:rsidR="00AC3FD8" w:rsidRPr="00A63AF1" w:rsidRDefault="00AC3FD8" w:rsidP="00B91219">
      <w:pPr>
        <w:pStyle w:val="COMexecsumnumberedpara"/>
        <w:widowControl w:val="0"/>
        <w:rPr>
          <w:lang w:val="en-GB" w:eastAsia="en-US"/>
        </w:rPr>
      </w:pPr>
      <w:r w:rsidRPr="00A63AF1">
        <w:rPr>
          <w:lang w:val="en-GB" w:eastAsia="en-US"/>
        </w:rPr>
        <w:t xml:space="preserve">The PBAC noted the input from individuals, health professionals and organisations regarding </w:t>
      </w:r>
      <w:r w:rsidR="00885499" w:rsidRPr="00A63AF1">
        <w:rPr>
          <w:lang w:val="en-GB" w:eastAsia="en-US"/>
        </w:rPr>
        <w:t xml:space="preserve">the benefits of treatment with zanubrutinib including </w:t>
      </w:r>
      <w:r w:rsidR="00FB4993" w:rsidRPr="00A63AF1">
        <w:rPr>
          <w:bCs/>
        </w:rPr>
        <w:t>ease of taking zanubrutinib, efficacy, high tolerability, the potential for reduced hospital visits, and the opportunity for improved quality of life through the ability to return to work and participate in the community</w:t>
      </w:r>
      <w:r w:rsidR="00885499" w:rsidRPr="00A63AF1">
        <w:rPr>
          <w:lang w:val="en-GB" w:eastAsia="en-US"/>
        </w:rPr>
        <w:t>.</w:t>
      </w:r>
      <w:r w:rsidRPr="00A63AF1">
        <w:rPr>
          <w:lang w:val="en-GB" w:eastAsia="en-US"/>
        </w:rPr>
        <w:t xml:space="preserve"> The </w:t>
      </w:r>
      <w:r w:rsidRPr="00A63AF1">
        <w:t>PBAC considered that it would be ideal to have a range of first-line subsidised treatment options available to patients, with treatment able to be tailored to the needs of an individual patient. Factors considered could include co</w:t>
      </w:r>
      <w:r w:rsidRPr="00A63AF1">
        <w:noBreakHyphen/>
        <w:t xml:space="preserve">existing disease, the extent of lymph node involvement, the goals of treatment, a preference for fixed duration or continuous treatment, and the acceptability of an initial period of intravenous treatment. </w:t>
      </w:r>
    </w:p>
    <w:p w14:paraId="2CEA1515" w14:textId="1FBBBD67" w:rsidR="00FE3E22" w:rsidRPr="00A63AF1" w:rsidRDefault="00FE3E22" w:rsidP="00FE3E22">
      <w:pPr>
        <w:pStyle w:val="COMexecsumnumberedpara"/>
        <w:rPr>
          <w:lang w:val="en-GB" w:eastAsia="en-US"/>
        </w:rPr>
      </w:pPr>
      <w:r w:rsidRPr="00A63AF1">
        <w:rPr>
          <w:lang w:val="en-GB" w:eastAsia="en-US"/>
        </w:rPr>
        <w:t xml:space="preserve">The PBAC noted consumer comments detailing </w:t>
      </w:r>
      <w:bookmarkStart w:id="84" w:name="_Hlk130544105"/>
      <w:r w:rsidRPr="00A63AF1">
        <w:rPr>
          <w:lang w:val="en-GB" w:eastAsia="en-US"/>
        </w:rPr>
        <w:t>the difficulty of the ‘watch and wait’ approach for asymptomatic patients</w:t>
      </w:r>
      <w:r w:rsidR="009F22F8" w:rsidRPr="00A63AF1">
        <w:rPr>
          <w:lang w:val="en-GB" w:eastAsia="en-US"/>
        </w:rPr>
        <w:t>, which puts pressure on clinicians to initiate treatment. The PBAC</w:t>
      </w:r>
      <w:r w:rsidRPr="00A63AF1">
        <w:rPr>
          <w:lang w:val="en-GB" w:eastAsia="en-US"/>
        </w:rPr>
        <w:t xml:space="preserve"> considered that the availability of an oral treatment could lead to inappropriate use </w:t>
      </w:r>
      <w:r w:rsidR="0056766F" w:rsidRPr="00A63AF1">
        <w:rPr>
          <w:lang w:val="en-GB" w:eastAsia="en-US"/>
        </w:rPr>
        <w:t>earlier than indicated</w:t>
      </w:r>
      <w:r w:rsidRPr="00A63AF1">
        <w:rPr>
          <w:lang w:val="en-GB" w:eastAsia="en-US"/>
        </w:rPr>
        <w:t xml:space="preserve">. </w:t>
      </w:r>
      <w:bookmarkEnd w:id="84"/>
      <w:r w:rsidRPr="00A63AF1">
        <w:rPr>
          <w:lang w:val="en-GB" w:eastAsia="en-US"/>
        </w:rPr>
        <w:t xml:space="preserve">To </w:t>
      </w:r>
      <w:r w:rsidR="00881A3C" w:rsidRPr="00A63AF1">
        <w:rPr>
          <w:lang w:val="en-GB" w:eastAsia="en-US"/>
        </w:rPr>
        <w:t xml:space="preserve">reduce </w:t>
      </w:r>
      <w:r w:rsidRPr="00A63AF1">
        <w:rPr>
          <w:lang w:val="en-GB" w:eastAsia="en-US"/>
        </w:rPr>
        <w:t xml:space="preserve">the potential for inappropriate use, the PBAC considered that it would be appropriate to include the </w:t>
      </w:r>
      <w:r w:rsidR="00225E64" w:rsidRPr="00A63AF1">
        <w:rPr>
          <w:lang w:val="en-GB" w:eastAsia="en-US"/>
        </w:rPr>
        <w:t>International Workshop on CLL (</w:t>
      </w:r>
      <w:r w:rsidRPr="00A63AF1">
        <w:rPr>
          <w:lang w:val="en-GB" w:eastAsia="en-US"/>
        </w:rPr>
        <w:t>iwCLL</w:t>
      </w:r>
      <w:r w:rsidR="00225E64" w:rsidRPr="00A63AF1">
        <w:rPr>
          <w:lang w:val="en-GB" w:eastAsia="en-US"/>
        </w:rPr>
        <w:t>)</w:t>
      </w:r>
      <w:r w:rsidRPr="00A63AF1">
        <w:rPr>
          <w:lang w:val="en-GB" w:eastAsia="en-US"/>
        </w:rPr>
        <w:t xml:space="preserve"> </w:t>
      </w:r>
      <w:r w:rsidR="00881A3C" w:rsidRPr="00A63AF1">
        <w:rPr>
          <w:lang w:val="en-GB" w:eastAsia="en-US"/>
        </w:rPr>
        <w:t xml:space="preserve">criteria </w:t>
      </w:r>
      <w:r w:rsidRPr="00A63AF1">
        <w:rPr>
          <w:lang w:val="en-GB" w:eastAsia="en-US"/>
        </w:rPr>
        <w:t xml:space="preserve">for </w:t>
      </w:r>
      <w:r w:rsidR="00881A3C" w:rsidRPr="00A63AF1">
        <w:rPr>
          <w:lang w:val="en-GB" w:eastAsia="en-US"/>
        </w:rPr>
        <w:t xml:space="preserve">commencing </w:t>
      </w:r>
      <w:r w:rsidRPr="00A63AF1">
        <w:rPr>
          <w:lang w:val="en-GB" w:eastAsia="en-US"/>
        </w:rPr>
        <w:t xml:space="preserve">treatment </w:t>
      </w:r>
      <w:r w:rsidR="00225E64" w:rsidRPr="00A63AF1">
        <w:rPr>
          <w:lang w:val="en-GB" w:eastAsia="en-US"/>
        </w:rPr>
        <w:t>(latest version</w:t>
      </w:r>
      <w:r w:rsidR="009F22F8" w:rsidRPr="00A63AF1">
        <w:rPr>
          <w:lang w:val="en-GB" w:eastAsia="en-US"/>
        </w:rPr>
        <w:t xml:space="preserve">, which was Hallek </w:t>
      </w:r>
      <w:r w:rsidR="004C2BB0" w:rsidRPr="00A63AF1">
        <w:rPr>
          <w:lang w:val="en-GB" w:eastAsia="en-US"/>
        </w:rPr>
        <w:t xml:space="preserve">et al, </w:t>
      </w:r>
      <w:r w:rsidR="009F22F8" w:rsidRPr="00A63AF1">
        <w:rPr>
          <w:lang w:val="en-GB" w:eastAsia="en-US"/>
        </w:rPr>
        <w:t>2018 at the time of the PBAC consideration</w:t>
      </w:r>
      <w:r w:rsidR="00225E64" w:rsidRPr="00A63AF1">
        <w:rPr>
          <w:lang w:val="en-GB" w:eastAsia="en-US"/>
        </w:rPr>
        <w:t xml:space="preserve">) </w:t>
      </w:r>
      <w:r w:rsidRPr="00A63AF1">
        <w:rPr>
          <w:lang w:val="en-GB" w:eastAsia="en-US"/>
        </w:rPr>
        <w:t xml:space="preserve">in the restriction for zanubrutinib, and to flow this change onto the restrictions for all treatments for CLL/SLL </w:t>
      </w:r>
      <w:r w:rsidR="00601418" w:rsidRPr="00A63AF1">
        <w:rPr>
          <w:lang w:val="en-GB" w:eastAsia="en-US"/>
        </w:rPr>
        <w:t xml:space="preserve">patients with </w:t>
      </w:r>
      <w:r w:rsidRPr="00A63AF1">
        <w:rPr>
          <w:lang w:val="en-GB" w:eastAsia="en-US"/>
        </w:rPr>
        <w:t>both treatment naïve and relapsed/refractory</w:t>
      </w:r>
      <w:r w:rsidR="00601418" w:rsidRPr="00A63AF1">
        <w:rPr>
          <w:lang w:val="en-GB" w:eastAsia="en-US"/>
        </w:rPr>
        <w:t xml:space="preserve"> </w:t>
      </w:r>
      <w:r w:rsidR="00A02E15" w:rsidRPr="00A63AF1">
        <w:rPr>
          <w:lang w:val="en-GB" w:eastAsia="en-US"/>
        </w:rPr>
        <w:t>disease</w:t>
      </w:r>
      <w:r w:rsidRPr="00A63AF1">
        <w:rPr>
          <w:lang w:val="en-GB" w:eastAsia="en-US"/>
        </w:rPr>
        <w:t>.</w:t>
      </w:r>
    </w:p>
    <w:p w14:paraId="1360E2D3" w14:textId="04007964" w:rsidR="00FE3E22" w:rsidRPr="00A63AF1" w:rsidRDefault="00FE3E22" w:rsidP="00FE3E22">
      <w:pPr>
        <w:widowControl w:val="0"/>
        <w:numPr>
          <w:ilvl w:val="1"/>
          <w:numId w:val="1"/>
        </w:numPr>
        <w:spacing w:after="120"/>
        <w:ind w:left="720" w:hanging="720"/>
        <w:rPr>
          <w:rFonts w:asciiTheme="minorHAnsi" w:hAnsiTheme="minorHAnsi"/>
          <w:snapToGrid w:val="0"/>
          <w:lang w:val="en-GB" w:eastAsia="en-US"/>
        </w:rPr>
      </w:pPr>
      <w:r w:rsidRPr="00A63AF1">
        <w:lastRenderedPageBreak/>
        <w:t xml:space="preserve">The PBAC noted that the </w:t>
      </w:r>
      <w:r w:rsidRPr="00A63AF1">
        <w:rPr>
          <w:iCs/>
        </w:rPr>
        <w:t>restrictions</w:t>
      </w:r>
      <w:r w:rsidRPr="00A63AF1">
        <w:t xml:space="preserve"> for venetoclax </w:t>
      </w:r>
      <w:r w:rsidR="005620B8" w:rsidRPr="00A63AF1">
        <w:t>plus</w:t>
      </w:r>
      <w:r w:rsidRPr="00A63AF1">
        <w:t xml:space="preserve"> obinutuzumab </w:t>
      </w:r>
      <w:r w:rsidRPr="00A63AF1">
        <w:rPr>
          <w:iCs/>
        </w:rPr>
        <w:t>in first-line CLL/SLL require patients to be inappropriate for fludarabine-based chemoimmunotherapy and have a cumulative illness rating scale (CIRS) score &gt; 6 (excluding CLL-induced illness or organ damage) or creatinine clearance &lt; 70 mL/min</w:t>
      </w:r>
      <w:r w:rsidR="00EB4405" w:rsidRPr="00A63AF1">
        <w:rPr>
          <w:iCs/>
        </w:rPr>
        <w:t xml:space="preserve">. </w:t>
      </w:r>
      <w:r w:rsidRPr="00A63AF1">
        <w:rPr>
          <w:iCs/>
        </w:rPr>
        <w:t xml:space="preserve">However, the PBAC recalled </w:t>
      </w:r>
      <w:r w:rsidR="005620B8" w:rsidRPr="00A63AF1">
        <w:rPr>
          <w:iCs/>
        </w:rPr>
        <w:t xml:space="preserve">that </w:t>
      </w:r>
      <w:r w:rsidRPr="00A63AF1">
        <w:rPr>
          <w:iCs/>
        </w:rPr>
        <w:t xml:space="preserve">at the December 2022 intracycle meeting </w:t>
      </w:r>
      <w:r w:rsidR="005620B8" w:rsidRPr="00A63AF1">
        <w:rPr>
          <w:iCs/>
        </w:rPr>
        <w:t xml:space="preserve">it had considered </w:t>
      </w:r>
      <w:r w:rsidRPr="00A63AF1">
        <w:rPr>
          <w:iCs/>
        </w:rPr>
        <w:t xml:space="preserve">it was no longer clinically relevant to include the CIRS score in restrictions for CLL/SLL therapies </w:t>
      </w:r>
      <w:bookmarkStart w:id="85" w:name="_Hlk124343081"/>
      <w:r w:rsidRPr="00A63AF1">
        <w:rPr>
          <w:iCs/>
        </w:rPr>
        <w:t xml:space="preserve">given </w:t>
      </w:r>
      <w:r w:rsidR="005620B8" w:rsidRPr="00A63AF1">
        <w:rPr>
          <w:iCs/>
        </w:rPr>
        <w:t>the score</w:t>
      </w:r>
      <w:r w:rsidRPr="00A63AF1">
        <w:rPr>
          <w:iCs/>
        </w:rPr>
        <w:t xml:space="preserve"> was developed to assess the ability of a patient to tolerate chemoimmunotherapy and was less relevant for targeted</w:t>
      </w:r>
      <w:bookmarkEnd w:id="85"/>
      <w:r w:rsidRPr="00A63AF1">
        <w:rPr>
          <w:iCs/>
        </w:rPr>
        <w:t xml:space="preserve"> agents. The PBAC recalled it</w:t>
      </w:r>
      <w:r w:rsidR="005620B8" w:rsidRPr="00A63AF1">
        <w:rPr>
          <w:iCs/>
        </w:rPr>
        <w:t>s previous consideration t</w:t>
      </w:r>
      <w:r w:rsidRPr="00A63AF1">
        <w:rPr>
          <w:iCs/>
        </w:rPr>
        <w:t>hat, rather than relying on the CIRS score</w:t>
      </w:r>
      <w:r w:rsidRPr="00A63AF1">
        <w:rPr>
          <w:lang w:val="en-GB" w:eastAsia="en-US"/>
        </w:rPr>
        <w:t xml:space="preserve"> </w:t>
      </w:r>
      <w:bookmarkStart w:id="86" w:name="_Hlk125091950"/>
      <w:r w:rsidRPr="00A63AF1">
        <w:rPr>
          <w:lang w:val="en-GB" w:eastAsia="en-US"/>
        </w:rPr>
        <w:t>and/or creatinine clearance &lt; 70 mL/min</w:t>
      </w:r>
      <w:bookmarkEnd w:id="86"/>
      <w:r w:rsidRPr="00A63AF1">
        <w:rPr>
          <w:iCs/>
        </w:rPr>
        <w:t>, it would be more clinically appropriate for clinicians/patients to decide the most appropriate treatment regimen for a particular patient, which may involve consideration of a broader range of factors including biological characteristics of the disease and an individual’s specific organ sensitivities (e.g.</w:t>
      </w:r>
      <w:r w:rsidR="00493D8A" w:rsidRPr="00A63AF1">
        <w:rPr>
          <w:iCs/>
        </w:rPr>
        <w:t>,</w:t>
      </w:r>
      <w:r w:rsidRPr="00A63AF1">
        <w:rPr>
          <w:iCs/>
        </w:rPr>
        <w:t xml:space="preserve"> cardiac or renal risk).</w:t>
      </w:r>
    </w:p>
    <w:p w14:paraId="2D220381" w14:textId="40D587E3" w:rsidR="00A00967" w:rsidRPr="00A63AF1" w:rsidRDefault="005620B8" w:rsidP="00FE3E22">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T</w:t>
      </w:r>
      <w:r w:rsidR="00AC3FD8" w:rsidRPr="00A63AF1">
        <w:rPr>
          <w:rFonts w:asciiTheme="minorHAnsi" w:hAnsiTheme="minorHAnsi"/>
          <w:snapToGrid w:val="0"/>
          <w:lang w:val="en-GB" w:eastAsia="en-US"/>
        </w:rPr>
        <w:t xml:space="preserve">he PBAC </w:t>
      </w:r>
      <w:r w:rsidR="00D03D5C" w:rsidRPr="00A63AF1">
        <w:rPr>
          <w:rFonts w:asciiTheme="minorHAnsi" w:hAnsiTheme="minorHAnsi"/>
          <w:snapToGrid w:val="0"/>
          <w:lang w:val="en-GB" w:eastAsia="en-US"/>
        </w:rPr>
        <w:t xml:space="preserve">similarly </w:t>
      </w:r>
      <w:r w:rsidR="00000DBE" w:rsidRPr="00A63AF1">
        <w:rPr>
          <w:rFonts w:asciiTheme="minorHAnsi" w:hAnsiTheme="minorHAnsi"/>
          <w:snapToGrid w:val="0"/>
          <w:lang w:val="en-GB" w:eastAsia="en-US"/>
        </w:rPr>
        <w:t>advised the restriction criteria relating to</w:t>
      </w:r>
      <w:r w:rsidR="00AC3FD8" w:rsidRPr="00A63AF1">
        <w:rPr>
          <w:rFonts w:asciiTheme="minorHAnsi" w:hAnsiTheme="minorHAnsi"/>
          <w:snapToGrid w:val="0"/>
          <w:lang w:val="en-GB" w:eastAsia="en-US"/>
        </w:rPr>
        <w:t xml:space="preserve"> ‘inappropriate for fludarabine-based chemoimmunotherapy’</w:t>
      </w:r>
      <w:r w:rsidR="00C91E41" w:rsidRPr="00A63AF1">
        <w:rPr>
          <w:rFonts w:asciiTheme="minorHAnsi" w:hAnsiTheme="minorHAnsi"/>
          <w:snapToGrid w:val="0"/>
          <w:lang w:val="en-GB" w:eastAsia="en-US"/>
        </w:rPr>
        <w:t xml:space="preserve">, </w:t>
      </w:r>
      <w:r w:rsidR="00181CA4" w:rsidRPr="00A63AF1">
        <w:rPr>
          <w:rFonts w:asciiTheme="minorHAnsi" w:hAnsiTheme="minorHAnsi"/>
          <w:snapToGrid w:val="0"/>
          <w:lang w:val="en-GB" w:eastAsia="en-US"/>
        </w:rPr>
        <w:t>hav</w:t>
      </w:r>
      <w:r w:rsidR="00000DBE" w:rsidRPr="00A63AF1">
        <w:rPr>
          <w:rFonts w:asciiTheme="minorHAnsi" w:hAnsiTheme="minorHAnsi"/>
          <w:snapToGrid w:val="0"/>
          <w:lang w:val="en-GB" w:eastAsia="en-US"/>
        </w:rPr>
        <w:t>ing</w:t>
      </w:r>
      <w:r w:rsidR="00181CA4" w:rsidRPr="00A63AF1">
        <w:rPr>
          <w:rFonts w:asciiTheme="minorHAnsi" w:hAnsiTheme="minorHAnsi"/>
          <w:snapToGrid w:val="0"/>
          <w:lang w:val="en-GB" w:eastAsia="en-US"/>
        </w:rPr>
        <w:t xml:space="preserve"> </w:t>
      </w:r>
      <w:r w:rsidR="00181CA4" w:rsidRPr="00A63AF1">
        <w:rPr>
          <w:iCs/>
        </w:rPr>
        <w:t xml:space="preserve">CIRS </w:t>
      </w:r>
      <w:r w:rsidR="00EB4405" w:rsidRPr="00A63AF1">
        <w:rPr>
          <w:iCs/>
        </w:rPr>
        <w:t>&gt;</w:t>
      </w:r>
      <w:r w:rsidR="00493D8A" w:rsidRPr="00A63AF1">
        <w:rPr>
          <w:rFonts w:cstheme="minorHAnsi"/>
          <w:iCs/>
        </w:rPr>
        <w:t xml:space="preserve"> </w:t>
      </w:r>
      <w:r w:rsidR="00181CA4" w:rsidRPr="00A63AF1">
        <w:rPr>
          <w:iCs/>
        </w:rPr>
        <w:t>6</w:t>
      </w:r>
      <w:r w:rsidR="00361785" w:rsidRPr="00A63AF1">
        <w:rPr>
          <w:iCs/>
        </w:rPr>
        <w:t>,</w:t>
      </w:r>
      <w:r w:rsidR="00181CA4" w:rsidRPr="00A63AF1">
        <w:rPr>
          <w:iCs/>
        </w:rPr>
        <w:t xml:space="preserve"> </w:t>
      </w:r>
      <w:r w:rsidR="00EB4405" w:rsidRPr="00A63AF1">
        <w:rPr>
          <w:iCs/>
        </w:rPr>
        <w:t>or</w:t>
      </w:r>
      <w:r w:rsidR="00C91E41" w:rsidRPr="00A63AF1">
        <w:rPr>
          <w:iCs/>
        </w:rPr>
        <w:t xml:space="preserve"> hav</w:t>
      </w:r>
      <w:r w:rsidR="00000DBE" w:rsidRPr="00A63AF1">
        <w:rPr>
          <w:iCs/>
        </w:rPr>
        <w:t>ing</w:t>
      </w:r>
      <w:r w:rsidR="00C91E41" w:rsidRPr="00A63AF1">
        <w:rPr>
          <w:iCs/>
        </w:rPr>
        <w:t xml:space="preserve"> </w:t>
      </w:r>
      <w:r w:rsidR="00181CA4" w:rsidRPr="00A63AF1">
        <w:rPr>
          <w:iCs/>
        </w:rPr>
        <w:t xml:space="preserve">creatinine clearance </w:t>
      </w:r>
      <w:r w:rsidR="00EB4405" w:rsidRPr="00A63AF1">
        <w:rPr>
          <w:iCs/>
        </w:rPr>
        <w:t>&lt;</w:t>
      </w:r>
      <w:r w:rsidR="00181CA4" w:rsidRPr="00A63AF1">
        <w:rPr>
          <w:iCs/>
        </w:rPr>
        <w:t xml:space="preserve"> 70 mL/min</w:t>
      </w:r>
      <w:r w:rsidR="00000DBE" w:rsidRPr="00A63AF1">
        <w:rPr>
          <w:iCs/>
        </w:rPr>
        <w:t xml:space="preserve"> should not be included in the zanubrutinib restriction</w:t>
      </w:r>
      <w:r w:rsidR="00181CA4" w:rsidRPr="00A63AF1">
        <w:rPr>
          <w:rFonts w:asciiTheme="minorHAnsi" w:hAnsiTheme="minorHAnsi"/>
          <w:snapToGrid w:val="0"/>
          <w:lang w:val="en-GB" w:eastAsia="en-US"/>
        </w:rPr>
        <w:t>.</w:t>
      </w:r>
      <w:r w:rsidR="002F59D1" w:rsidRPr="00A63AF1">
        <w:rPr>
          <w:rFonts w:asciiTheme="minorHAnsi" w:hAnsiTheme="minorHAnsi"/>
          <w:snapToGrid w:val="0"/>
          <w:lang w:val="en-GB" w:eastAsia="en-US"/>
        </w:rPr>
        <w:t xml:space="preserve"> </w:t>
      </w:r>
    </w:p>
    <w:p w14:paraId="42509307" w14:textId="49C2ABAF" w:rsidR="00685D18" w:rsidRPr="00A63AF1" w:rsidRDefault="004D4C09" w:rsidP="006A1BBC">
      <w:pPr>
        <w:pStyle w:val="COMexecsumnumberedpara"/>
        <w:widowControl w:val="0"/>
        <w:rPr>
          <w:lang w:val="en-GB" w:eastAsia="en-US"/>
        </w:rPr>
      </w:pPr>
      <w:r w:rsidRPr="00A63AF1">
        <w:rPr>
          <w:lang w:val="en-GB" w:eastAsia="en-US"/>
        </w:rPr>
        <w:t xml:space="preserve">The </w:t>
      </w:r>
      <w:r w:rsidRPr="00A63AF1">
        <w:t xml:space="preserve">concurrent submission for zanubrutinib monotherapy for the treatment of relapsed/refractory CLL/SLL was also recommended at the March 2023 PBAC meeting. </w:t>
      </w:r>
      <w:r w:rsidR="00685D18" w:rsidRPr="00A63AF1">
        <w:rPr>
          <w:lang w:val="en-GB" w:eastAsia="en-US"/>
        </w:rPr>
        <w:t xml:space="preserve">The PBAC considered that it would be appropriate for </w:t>
      </w:r>
      <w:r w:rsidR="00EA333F" w:rsidRPr="00A63AF1">
        <w:rPr>
          <w:lang w:val="en-GB" w:eastAsia="en-US"/>
        </w:rPr>
        <w:t xml:space="preserve">zanubrutinib to have </w:t>
      </w:r>
      <w:r w:rsidR="00685D18" w:rsidRPr="00A63AF1">
        <w:rPr>
          <w:lang w:val="en-GB" w:eastAsia="en-US"/>
        </w:rPr>
        <w:t xml:space="preserve">separate restrictions in the treatment naïve and </w:t>
      </w:r>
      <w:r w:rsidR="00EA333F" w:rsidRPr="00A63AF1">
        <w:rPr>
          <w:lang w:val="en-GB" w:eastAsia="en-US"/>
        </w:rPr>
        <w:t xml:space="preserve">in the </w:t>
      </w:r>
      <w:r w:rsidR="00685D18" w:rsidRPr="00A63AF1">
        <w:rPr>
          <w:lang w:val="en-GB" w:eastAsia="en-US"/>
        </w:rPr>
        <w:t>relapsed/refractory settings</w:t>
      </w:r>
      <w:r w:rsidR="007E50E5" w:rsidRPr="00A63AF1">
        <w:rPr>
          <w:lang w:val="en-GB" w:eastAsia="en-US"/>
        </w:rPr>
        <w:t xml:space="preserve"> and to align the restrictions with the existing CLL/SLL restrictions</w:t>
      </w:r>
      <w:r w:rsidR="00685D18" w:rsidRPr="00A63AF1">
        <w:rPr>
          <w:lang w:val="en-GB" w:eastAsia="en-US"/>
        </w:rPr>
        <w:t>.</w:t>
      </w:r>
      <w:r w:rsidR="00395B94" w:rsidRPr="00A63AF1">
        <w:rPr>
          <w:lang w:val="en-GB" w:eastAsia="en-US"/>
        </w:rPr>
        <w:t xml:space="preserve"> The PBAC noted advice from the Department that separate PBS item codes for treatment naïve disease and relapsed/refractory disease would allow easier administration of any RSA caps.</w:t>
      </w:r>
    </w:p>
    <w:p w14:paraId="5DAA89AC" w14:textId="311E67ED" w:rsidR="009E7478" w:rsidRPr="00A63AF1" w:rsidRDefault="009E7478" w:rsidP="00FE3E22">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The PBAC considered that the nominated main comparator of venetoclax plus obinutuzumab was appropriate</w:t>
      </w:r>
      <w:r w:rsidR="00F45361" w:rsidRPr="00A63AF1">
        <w:rPr>
          <w:rFonts w:asciiTheme="minorHAnsi" w:hAnsiTheme="minorHAnsi"/>
          <w:snapToGrid w:val="0"/>
          <w:lang w:val="en-GB" w:eastAsia="en-US"/>
        </w:rPr>
        <w:t xml:space="preserve">. The PBAC noted </w:t>
      </w:r>
      <w:r w:rsidR="00D0430C" w:rsidRPr="00A63AF1">
        <w:rPr>
          <w:rFonts w:asciiTheme="minorHAnsi" w:hAnsiTheme="minorHAnsi"/>
          <w:snapToGrid w:val="0"/>
          <w:lang w:val="en-GB" w:eastAsia="en-US"/>
        </w:rPr>
        <w:t xml:space="preserve">that </w:t>
      </w:r>
      <w:r w:rsidRPr="00A63AF1">
        <w:rPr>
          <w:rFonts w:asciiTheme="minorHAnsi" w:hAnsiTheme="minorHAnsi"/>
          <w:snapToGrid w:val="0"/>
          <w:lang w:val="en-GB" w:eastAsia="en-US"/>
        </w:rPr>
        <w:t xml:space="preserve">acalabrutinib, and acalabrutinib plus obinutuzumab, were </w:t>
      </w:r>
      <w:r w:rsidR="00D0430C" w:rsidRPr="00A63AF1">
        <w:rPr>
          <w:rFonts w:asciiTheme="minorHAnsi" w:hAnsiTheme="minorHAnsi"/>
          <w:snapToGrid w:val="0"/>
          <w:lang w:val="en-GB" w:eastAsia="en-US"/>
        </w:rPr>
        <w:t>appropriate</w:t>
      </w:r>
      <w:r w:rsidR="00F45361" w:rsidRPr="00A63AF1">
        <w:rPr>
          <w:rFonts w:asciiTheme="minorHAnsi" w:hAnsiTheme="minorHAnsi"/>
          <w:snapToGrid w:val="0"/>
          <w:lang w:val="en-GB" w:eastAsia="en-US"/>
        </w:rPr>
        <w:t>ly</w:t>
      </w:r>
      <w:r w:rsidR="00D0430C" w:rsidRPr="00A63AF1">
        <w:rPr>
          <w:rFonts w:asciiTheme="minorHAnsi" w:hAnsiTheme="minorHAnsi"/>
          <w:snapToGrid w:val="0"/>
          <w:lang w:val="en-GB" w:eastAsia="en-US"/>
        </w:rPr>
        <w:t xml:space="preserve"> </w:t>
      </w:r>
      <w:r w:rsidR="00F45361" w:rsidRPr="00A63AF1">
        <w:rPr>
          <w:rFonts w:asciiTheme="minorHAnsi" w:hAnsiTheme="minorHAnsi"/>
          <w:snapToGrid w:val="0"/>
          <w:lang w:val="en-GB" w:eastAsia="en-US"/>
        </w:rPr>
        <w:t xml:space="preserve">nominated as </w:t>
      </w:r>
      <w:r w:rsidRPr="00A63AF1">
        <w:rPr>
          <w:rFonts w:asciiTheme="minorHAnsi" w:hAnsiTheme="minorHAnsi"/>
          <w:snapToGrid w:val="0"/>
          <w:lang w:val="en-GB" w:eastAsia="en-US"/>
        </w:rPr>
        <w:t>near market comparators</w:t>
      </w:r>
      <w:r w:rsidR="00F45361" w:rsidRPr="00A63AF1">
        <w:rPr>
          <w:rFonts w:asciiTheme="minorHAnsi" w:hAnsiTheme="minorHAnsi"/>
          <w:snapToGrid w:val="0"/>
          <w:lang w:val="en-GB" w:eastAsia="en-US"/>
        </w:rPr>
        <w:t>, however had not been recommended for listing</w:t>
      </w:r>
      <w:r w:rsidRPr="00A63AF1">
        <w:rPr>
          <w:rFonts w:asciiTheme="minorHAnsi" w:hAnsiTheme="minorHAnsi"/>
          <w:snapToGrid w:val="0"/>
          <w:lang w:val="en-GB" w:eastAsia="en-US"/>
        </w:rPr>
        <w:t>.</w:t>
      </w:r>
    </w:p>
    <w:p w14:paraId="64587BA5" w14:textId="4142F594" w:rsidR="00E37195" w:rsidRPr="00A63AF1" w:rsidRDefault="00E37195" w:rsidP="00FE3E22">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The PBAC noted that the clinical evidence consisted of open label trials with blinded assessments, that patient populations across the SEQUOIA trial for zanubrutinib</w:t>
      </w:r>
      <w:r w:rsidR="00F45361" w:rsidRPr="00A63AF1">
        <w:rPr>
          <w:rFonts w:asciiTheme="minorHAnsi" w:hAnsiTheme="minorHAnsi"/>
          <w:snapToGrid w:val="0"/>
          <w:lang w:val="en-GB" w:eastAsia="en-US"/>
        </w:rPr>
        <w:t xml:space="preserve"> and</w:t>
      </w:r>
      <w:r w:rsidRPr="00A63AF1">
        <w:rPr>
          <w:rFonts w:asciiTheme="minorHAnsi" w:hAnsiTheme="minorHAnsi"/>
          <w:snapToGrid w:val="0"/>
          <w:lang w:val="en-GB" w:eastAsia="en-US"/>
        </w:rPr>
        <w:t xml:space="preserve"> the CLL-14 trial for venetoclax plus obinutuzumab were broadly similar, and that </w:t>
      </w:r>
      <w:r w:rsidR="00322504" w:rsidRPr="00A63AF1">
        <w:rPr>
          <w:rFonts w:asciiTheme="minorHAnsi" w:hAnsiTheme="minorHAnsi"/>
          <w:snapToGrid w:val="0"/>
          <w:lang w:val="en-GB" w:eastAsia="en-US"/>
        </w:rPr>
        <w:t>the duration</w:t>
      </w:r>
      <w:r w:rsidR="008F4702" w:rsidRPr="00A63AF1">
        <w:rPr>
          <w:rFonts w:asciiTheme="minorHAnsi" w:hAnsiTheme="minorHAnsi"/>
          <w:snapToGrid w:val="0"/>
          <w:lang w:val="en-GB" w:eastAsia="en-US"/>
        </w:rPr>
        <w:t xml:space="preserve"> of follow-up</w:t>
      </w:r>
      <w:r w:rsidR="00322504" w:rsidRPr="00A63AF1">
        <w:rPr>
          <w:rFonts w:asciiTheme="minorHAnsi" w:hAnsiTheme="minorHAnsi"/>
          <w:snapToGrid w:val="0"/>
          <w:lang w:val="en-GB" w:eastAsia="en-US"/>
        </w:rPr>
        <w:t xml:space="preserve"> for the trials differed</w:t>
      </w:r>
      <w:r w:rsidR="008F4702" w:rsidRPr="00A63AF1">
        <w:rPr>
          <w:rFonts w:asciiTheme="minorHAnsi" w:hAnsiTheme="minorHAnsi"/>
          <w:snapToGrid w:val="0"/>
          <w:lang w:val="en-GB" w:eastAsia="en-US"/>
        </w:rPr>
        <w:t>. The PBAC noted the treatment regimens also differed</w:t>
      </w:r>
      <w:r w:rsidR="00322504" w:rsidRPr="00A63AF1">
        <w:rPr>
          <w:rFonts w:asciiTheme="minorHAnsi" w:hAnsiTheme="minorHAnsi"/>
          <w:snapToGrid w:val="0"/>
          <w:lang w:val="en-GB" w:eastAsia="en-US"/>
        </w:rPr>
        <w:t xml:space="preserve"> with venetoclax plus obinutuzumab being </w:t>
      </w:r>
      <w:r w:rsidR="008F4702" w:rsidRPr="00A63AF1">
        <w:rPr>
          <w:rFonts w:asciiTheme="minorHAnsi" w:hAnsiTheme="minorHAnsi"/>
          <w:snapToGrid w:val="0"/>
          <w:lang w:val="en-GB" w:eastAsia="en-US"/>
        </w:rPr>
        <w:t xml:space="preserve">administered for a </w:t>
      </w:r>
      <w:r w:rsidR="00322504" w:rsidRPr="00A63AF1">
        <w:rPr>
          <w:rFonts w:asciiTheme="minorHAnsi" w:hAnsiTheme="minorHAnsi"/>
          <w:snapToGrid w:val="0"/>
          <w:lang w:val="en-GB" w:eastAsia="en-US"/>
        </w:rPr>
        <w:t xml:space="preserve">fixed duration </w:t>
      </w:r>
      <w:r w:rsidR="008F4702" w:rsidRPr="00A63AF1">
        <w:rPr>
          <w:rFonts w:asciiTheme="minorHAnsi" w:hAnsiTheme="minorHAnsi"/>
          <w:snapToGrid w:val="0"/>
          <w:lang w:val="en-GB" w:eastAsia="en-US"/>
        </w:rPr>
        <w:t xml:space="preserve">(maximum of 12 months) </w:t>
      </w:r>
      <w:r w:rsidR="00322504" w:rsidRPr="00A63AF1">
        <w:rPr>
          <w:rFonts w:asciiTheme="minorHAnsi" w:hAnsiTheme="minorHAnsi"/>
          <w:snapToGrid w:val="0"/>
          <w:lang w:val="en-GB" w:eastAsia="en-US"/>
        </w:rPr>
        <w:t xml:space="preserve">and </w:t>
      </w:r>
      <w:r w:rsidR="003A6953" w:rsidRPr="00A63AF1">
        <w:rPr>
          <w:rFonts w:asciiTheme="minorHAnsi" w:hAnsiTheme="minorHAnsi"/>
          <w:snapToGrid w:val="0"/>
          <w:lang w:val="en-GB" w:eastAsia="en-US"/>
        </w:rPr>
        <w:t xml:space="preserve">zanubrutinib </w:t>
      </w:r>
      <w:r w:rsidR="00322504" w:rsidRPr="00A63AF1">
        <w:rPr>
          <w:rFonts w:asciiTheme="minorHAnsi" w:hAnsiTheme="minorHAnsi"/>
          <w:snapToGrid w:val="0"/>
          <w:lang w:val="en-GB" w:eastAsia="en-US"/>
        </w:rPr>
        <w:t xml:space="preserve">being </w:t>
      </w:r>
      <w:r w:rsidR="008F4702" w:rsidRPr="00A63AF1">
        <w:rPr>
          <w:rFonts w:asciiTheme="minorHAnsi" w:hAnsiTheme="minorHAnsi"/>
          <w:snapToGrid w:val="0"/>
          <w:lang w:val="en-GB" w:eastAsia="en-US"/>
        </w:rPr>
        <w:t xml:space="preserve">administered </w:t>
      </w:r>
      <w:r w:rsidR="00322504" w:rsidRPr="00A63AF1">
        <w:rPr>
          <w:rFonts w:asciiTheme="minorHAnsi" w:hAnsiTheme="minorHAnsi"/>
          <w:snapToGrid w:val="0"/>
          <w:lang w:val="en-GB" w:eastAsia="en-US"/>
        </w:rPr>
        <w:t>until progression.</w:t>
      </w:r>
    </w:p>
    <w:p w14:paraId="7A14F56F" w14:textId="0C6D4BDB" w:rsidR="00181CA4" w:rsidRPr="00A63AF1" w:rsidRDefault="00181CA4" w:rsidP="00FE3E22">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 xml:space="preserve">The PBAC noted that the comparative efficacy </w:t>
      </w:r>
      <w:r w:rsidR="00F13A1B" w:rsidRPr="00A63AF1">
        <w:rPr>
          <w:rFonts w:asciiTheme="minorHAnsi" w:hAnsiTheme="minorHAnsi"/>
          <w:snapToGrid w:val="0"/>
          <w:lang w:val="en-GB" w:eastAsia="en-US"/>
        </w:rPr>
        <w:t xml:space="preserve">and safety </w:t>
      </w:r>
      <w:r w:rsidRPr="00A63AF1">
        <w:rPr>
          <w:rFonts w:asciiTheme="minorHAnsi" w:hAnsiTheme="minorHAnsi"/>
          <w:snapToGrid w:val="0"/>
          <w:lang w:val="en-GB" w:eastAsia="en-US"/>
        </w:rPr>
        <w:t xml:space="preserve">of zanubrutinib versus venetoclax plus obinutuzumab was based on </w:t>
      </w:r>
      <w:r w:rsidR="00361785" w:rsidRPr="00A63AF1">
        <w:rPr>
          <w:rFonts w:asciiTheme="minorHAnsi" w:hAnsiTheme="minorHAnsi"/>
          <w:snapToGrid w:val="0"/>
          <w:lang w:val="en-GB" w:eastAsia="en-US"/>
        </w:rPr>
        <w:t>indirect treatment comparison</w:t>
      </w:r>
      <w:r w:rsidR="00F13A1B" w:rsidRPr="00A63AF1">
        <w:rPr>
          <w:rFonts w:asciiTheme="minorHAnsi" w:hAnsiTheme="minorHAnsi"/>
          <w:snapToGrid w:val="0"/>
          <w:lang w:val="en-GB" w:eastAsia="en-US"/>
        </w:rPr>
        <w:t>s</w:t>
      </w:r>
      <w:r w:rsidR="00361785" w:rsidRPr="00A63AF1">
        <w:rPr>
          <w:rFonts w:asciiTheme="minorHAnsi" w:hAnsiTheme="minorHAnsi"/>
          <w:snapToGrid w:val="0"/>
          <w:color w:val="E5B8B7" w:themeColor="accent2" w:themeTint="66"/>
          <w:lang w:val="en-GB" w:eastAsia="en-US"/>
        </w:rPr>
        <w:t xml:space="preserve"> </w:t>
      </w:r>
      <w:r w:rsidR="00361785" w:rsidRPr="00A63AF1">
        <w:rPr>
          <w:rFonts w:asciiTheme="minorHAnsi" w:hAnsiTheme="minorHAnsi"/>
          <w:snapToGrid w:val="0"/>
          <w:lang w:val="en-GB" w:eastAsia="en-US"/>
        </w:rPr>
        <w:t xml:space="preserve">of zanubrutinib from the SEQUOIA trial </w:t>
      </w:r>
      <w:r w:rsidR="00917659" w:rsidRPr="00A63AF1">
        <w:rPr>
          <w:rFonts w:asciiTheme="minorHAnsi" w:hAnsiTheme="minorHAnsi"/>
          <w:snapToGrid w:val="0"/>
          <w:lang w:val="en-GB" w:eastAsia="en-US"/>
        </w:rPr>
        <w:t>to</w:t>
      </w:r>
      <w:r w:rsidR="00361785" w:rsidRPr="00A63AF1">
        <w:rPr>
          <w:rFonts w:asciiTheme="minorHAnsi" w:hAnsiTheme="minorHAnsi"/>
          <w:snapToGrid w:val="0"/>
          <w:lang w:val="en-GB" w:eastAsia="en-US"/>
        </w:rPr>
        <w:t xml:space="preserve"> venetoclax plus obinutuzumab from the CLL-14 trial. The PBAC noted that </w:t>
      </w:r>
      <w:r w:rsidR="006A3454" w:rsidRPr="00A63AF1">
        <w:rPr>
          <w:rFonts w:asciiTheme="minorHAnsi" w:hAnsiTheme="minorHAnsi"/>
          <w:snapToGrid w:val="0"/>
          <w:lang w:val="en-GB" w:eastAsia="en-US"/>
        </w:rPr>
        <w:t xml:space="preserve">progression free survival </w:t>
      </w:r>
      <w:r w:rsidR="00361785" w:rsidRPr="00A63AF1">
        <w:rPr>
          <w:rFonts w:asciiTheme="minorHAnsi" w:hAnsiTheme="minorHAnsi"/>
          <w:snapToGrid w:val="0"/>
          <w:lang w:val="en-GB" w:eastAsia="en-US"/>
        </w:rPr>
        <w:t xml:space="preserve">and </w:t>
      </w:r>
      <w:r w:rsidR="006A3454" w:rsidRPr="00A63AF1">
        <w:rPr>
          <w:rFonts w:asciiTheme="minorHAnsi" w:hAnsiTheme="minorHAnsi"/>
          <w:snapToGrid w:val="0"/>
          <w:lang w:val="en-GB" w:eastAsia="en-US"/>
        </w:rPr>
        <w:t xml:space="preserve">overall survival </w:t>
      </w:r>
      <w:r w:rsidR="00361785" w:rsidRPr="00A63AF1">
        <w:rPr>
          <w:rFonts w:asciiTheme="minorHAnsi" w:hAnsiTheme="minorHAnsi"/>
          <w:snapToGrid w:val="0"/>
          <w:lang w:val="en-GB" w:eastAsia="en-US"/>
        </w:rPr>
        <w:t xml:space="preserve">for zanubrutinib </w:t>
      </w:r>
      <w:r w:rsidR="006A3454" w:rsidRPr="00A63AF1">
        <w:rPr>
          <w:rFonts w:asciiTheme="minorHAnsi" w:hAnsiTheme="minorHAnsi"/>
          <w:snapToGrid w:val="0"/>
          <w:lang w:val="en-GB" w:eastAsia="en-US"/>
        </w:rPr>
        <w:t xml:space="preserve">and </w:t>
      </w:r>
      <w:r w:rsidR="00361785" w:rsidRPr="00A63AF1">
        <w:rPr>
          <w:rFonts w:asciiTheme="minorHAnsi" w:hAnsiTheme="minorHAnsi"/>
          <w:snapToGrid w:val="0"/>
          <w:lang w:val="en-GB" w:eastAsia="en-US"/>
        </w:rPr>
        <w:t xml:space="preserve">venetoclax plus obinutuzumab were broadly similar. The PBAC noted that based on a median follow-up of just over 2 years </w:t>
      </w:r>
      <w:r w:rsidR="006A3454" w:rsidRPr="00A63AF1">
        <w:rPr>
          <w:rFonts w:asciiTheme="minorHAnsi" w:hAnsiTheme="minorHAnsi"/>
          <w:snapToGrid w:val="0"/>
          <w:lang w:val="en-GB" w:eastAsia="en-US"/>
        </w:rPr>
        <w:t xml:space="preserve">for the SEQUOIA trial </w:t>
      </w:r>
      <w:r w:rsidR="00361785" w:rsidRPr="00A63AF1">
        <w:rPr>
          <w:rFonts w:asciiTheme="minorHAnsi" w:hAnsiTheme="minorHAnsi"/>
          <w:snapToGrid w:val="0"/>
          <w:lang w:val="en-GB" w:eastAsia="en-US"/>
        </w:rPr>
        <w:t xml:space="preserve">that </w:t>
      </w:r>
      <w:r w:rsidR="006A3454" w:rsidRPr="00A63AF1">
        <w:rPr>
          <w:rFonts w:asciiTheme="minorHAnsi" w:hAnsiTheme="minorHAnsi"/>
          <w:snapToGrid w:val="0"/>
          <w:lang w:val="en-GB" w:eastAsia="en-US"/>
        </w:rPr>
        <w:t xml:space="preserve">a </w:t>
      </w:r>
      <w:r w:rsidR="00361785" w:rsidRPr="00A63AF1">
        <w:rPr>
          <w:rFonts w:asciiTheme="minorHAnsi" w:hAnsiTheme="minorHAnsi"/>
          <w:snapToGrid w:val="0"/>
          <w:lang w:val="en-GB" w:eastAsia="en-US"/>
        </w:rPr>
        <w:lastRenderedPageBreak/>
        <w:t>difference in overall survival would not be expected</w:t>
      </w:r>
      <w:r w:rsidR="00917659" w:rsidRPr="00A63AF1">
        <w:rPr>
          <w:rFonts w:asciiTheme="minorHAnsi" w:hAnsiTheme="minorHAnsi"/>
          <w:snapToGrid w:val="0"/>
          <w:lang w:val="en-GB" w:eastAsia="en-US"/>
        </w:rPr>
        <w:t xml:space="preserve"> </w:t>
      </w:r>
      <w:r w:rsidR="00021CCF" w:rsidRPr="00A63AF1">
        <w:rPr>
          <w:rFonts w:asciiTheme="minorHAnsi" w:hAnsiTheme="minorHAnsi"/>
          <w:snapToGrid w:val="0"/>
          <w:lang w:val="en-GB" w:eastAsia="en-US"/>
        </w:rPr>
        <w:t xml:space="preserve">given the </w:t>
      </w:r>
      <w:r w:rsidR="004D4C09" w:rsidRPr="00A63AF1">
        <w:rPr>
          <w:rFonts w:asciiTheme="minorHAnsi" w:hAnsiTheme="minorHAnsi"/>
          <w:snapToGrid w:val="0"/>
          <w:lang w:val="en-GB" w:eastAsia="en-US"/>
        </w:rPr>
        <w:t xml:space="preserve">good </w:t>
      </w:r>
      <w:r w:rsidR="00021CCF" w:rsidRPr="00A63AF1">
        <w:rPr>
          <w:rFonts w:asciiTheme="minorHAnsi" w:hAnsiTheme="minorHAnsi"/>
          <w:snapToGrid w:val="0"/>
          <w:lang w:val="en-GB" w:eastAsia="en-US"/>
        </w:rPr>
        <w:t xml:space="preserve">prognosis </w:t>
      </w:r>
      <w:r w:rsidR="00917659" w:rsidRPr="00A63AF1">
        <w:rPr>
          <w:rFonts w:asciiTheme="minorHAnsi" w:hAnsiTheme="minorHAnsi"/>
          <w:snapToGrid w:val="0"/>
          <w:lang w:val="en-GB" w:eastAsia="en-US"/>
        </w:rPr>
        <w:t>for treatment naïve CLL</w:t>
      </w:r>
      <w:r w:rsidR="00021CCF" w:rsidRPr="00A63AF1">
        <w:rPr>
          <w:rFonts w:asciiTheme="minorHAnsi" w:hAnsiTheme="minorHAnsi"/>
          <w:snapToGrid w:val="0"/>
          <w:lang w:val="en-GB" w:eastAsia="en-US"/>
        </w:rPr>
        <w:t>/SLL patients</w:t>
      </w:r>
      <w:r w:rsidR="00917659" w:rsidRPr="00A63AF1">
        <w:rPr>
          <w:rFonts w:asciiTheme="minorHAnsi" w:hAnsiTheme="minorHAnsi"/>
          <w:snapToGrid w:val="0"/>
          <w:lang w:val="en-GB" w:eastAsia="en-US"/>
        </w:rPr>
        <w:t>.</w:t>
      </w:r>
    </w:p>
    <w:p w14:paraId="34029B1B" w14:textId="3704E58F" w:rsidR="00CB3448" w:rsidRPr="00A63AF1" w:rsidRDefault="001A0CAC" w:rsidP="00275BE6">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 xml:space="preserve">The PBAC noted that three </w:t>
      </w:r>
      <w:r w:rsidR="00D25A7C" w:rsidRPr="00A63AF1">
        <w:rPr>
          <w:rFonts w:asciiTheme="minorHAnsi" w:hAnsiTheme="minorHAnsi"/>
          <w:snapToGrid w:val="0"/>
          <w:lang w:val="en-GB" w:eastAsia="en-US"/>
        </w:rPr>
        <w:t xml:space="preserve">unanchored </w:t>
      </w:r>
      <w:r w:rsidRPr="00A63AF1">
        <w:rPr>
          <w:rFonts w:asciiTheme="minorHAnsi" w:hAnsiTheme="minorHAnsi"/>
          <w:snapToGrid w:val="0"/>
          <w:lang w:val="en-GB" w:eastAsia="en-US"/>
        </w:rPr>
        <w:t xml:space="preserve">MAIC models </w:t>
      </w:r>
      <w:r w:rsidR="003A6953" w:rsidRPr="00A63AF1">
        <w:rPr>
          <w:rFonts w:asciiTheme="minorHAnsi" w:hAnsiTheme="minorHAnsi"/>
          <w:snapToGrid w:val="0"/>
          <w:lang w:val="en-GB" w:eastAsia="en-US"/>
        </w:rPr>
        <w:t xml:space="preserve">were developed for zanubrutinib </w:t>
      </w:r>
      <w:r w:rsidR="00D25A7C" w:rsidRPr="00A63AF1">
        <w:t xml:space="preserve">versus venetoclax + obinutuzumab </w:t>
      </w:r>
      <w:r w:rsidR="00CB3448" w:rsidRPr="00A63AF1">
        <w:t xml:space="preserve">with results for zanubrutinib </w:t>
      </w:r>
      <w:r w:rsidRPr="00A63AF1">
        <w:rPr>
          <w:rFonts w:asciiTheme="minorHAnsi" w:hAnsiTheme="minorHAnsi"/>
          <w:snapToGrid w:val="0"/>
          <w:lang w:val="en-GB" w:eastAsia="en-US"/>
        </w:rPr>
        <w:t xml:space="preserve">based on pooled data from patients </w:t>
      </w:r>
      <w:r w:rsidR="003A6953" w:rsidRPr="00A63AF1">
        <w:rPr>
          <w:rFonts w:asciiTheme="minorHAnsi" w:hAnsiTheme="minorHAnsi"/>
          <w:snapToGrid w:val="0"/>
          <w:lang w:val="en-GB" w:eastAsia="en-US"/>
        </w:rPr>
        <w:t xml:space="preserve">in the SEQUOIA trial </w:t>
      </w:r>
      <w:r w:rsidRPr="00A63AF1">
        <w:rPr>
          <w:rFonts w:asciiTheme="minorHAnsi" w:hAnsiTheme="minorHAnsi"/>
          <w:snapToGrid w:val="0"/>
          <w:lang w:val="en-GB" w:eastAsia="en-US"/>
        </w:rPr>
        <w:t xml:space="preserve">with del17p and non del17p, and that none of the models demonstrated a statistically significant difference in PFS or OS. The PBAC considered that the treatment effect modifiers flagged </w:t>
      </w:r>
      <w:r w:rsidR="00CB3448" w:rsidRPr="00A63AF1">
        <w:rPr>
          <w:rFonts w:asciiTheme="minorHAnsi" w:hAnsiTheme="minorHAnsi"/>
          <w:snapToGrid w:val="0"/>
          <w:lang w:val="en-GB" w:eastAsia="en-US"/>
        </w:rPr>
        <w:t xml:space="preserve">for matching </w:t>
      </w:r>
      <w:r w:rsidRPr="00A63AF1">
        <w:rPr>
          <w:rFonts w:asciiTheme="minorHAnsi" w:hAnsiTheme="minorHAnsi"/>
          <w:snapToGrid w:val="0"/>
          <w:lang w:val="en-GB" w:eastAsia="en-US"/>
        </w:rPr>
        <w:t xml:space="preserve">were appropriate. </w:t>
      </w:r>
      <w:r w:rsidR="003A6953" w:rsidRPr="00A63AF1">
        <w:rPr>
          <w:rFonts w:asciiTheme="minorHAnsi" w:hAnsiTheme="minorHAnsi"/>
          <w:snapToGrid w:val="0"/>
          <w:lang w:val="en-GB" w:eastAsia="en-US"/>
        </w:rPr>
        <w:t>T</w:t>
      </w:r>
      <w:r w:rsidRPr="00A63AF1">
        <w:rPr>
          <w:rFonts w:asciiTheme="minorHAnsi" w:hAnsiTheme="minorHAnsi"/>
          <w:snapToGrid w:val="0"/>
          <w:lang w:val="en-GB" w:eastAsia="en-US"/>
        </w:rPr>
        <w:t>he PBAC noted that the submission</w:t>
      </w:r>
      <w:r w:rsidR="00917BBB" w:rsidRPr="00A63AF1">
        <w:rPr>
          <w:rFonts w:asciiTheme="minorHAnsi" w:hAnsiTheme="minorHAnsi"/>
          <w:snapToGrid w:val="0"/>
          <w:lang w:val="en-GB" w:eastAsia="en-US"/>
        </w:rPr>
        <w:t xml:space="preserve"> presented Model 1 to support the clinical claim, and although a</w:t>
      </w:r>
      <w:r w:rsidRPr="00A63AF1">
        <w:rPr>
          <w:rFonts w:asciiTheme="minorHAnsi" w:hAnsiTheme="minorHAnsi"/>
          <w:snapToGrid w:val="0"/>
          <w:lang w:val="en-GB" w:eastAsia="en-US"/>
        </w:rPr>
        <w:t xml:space="preserve"> justifi</w:t>
      </w:r>
      <w:r w:rsidR="00917BBB" w:rsidRPr="00A63AF1">
        <w:rPr>
          <w:rFonts w:asciiTheme="minorHAnsi" w:hAnsiTheme="minorHAnsi"/>
          <w:snapToGrid w:val="0"/>
          <w:lang w:val="en-GB" w:eastAsia="en-US"/>
        </w:rPr>
        <w:t>cation was not provided for the selection of this model over the other two,</w:t>
      </w:r>
      <w:r w:rsidR="003A6953" w:rsidRPr="00A63AF1">
        <w:rPr>
          <w:rFonts w:asciiTheme="minorHAnsi" w:hAnsiTheme="minorHAnsi"/>
          <w:snapToGrid w:val="0"/>
          <w:lang w:val="en-GB" w:eastAsia="en-US"/>
        </w:rPr>
        <w:t xml:space="preserve"> </w:t>
      </w:r>
      <w:r w:rsidRPr="00A63AF1">
        <w:rPr>
          <w:rFonts w:asciiTheme="minorHAnsi" w:hAnsiTheme="minorHAnsi"/>
          <w:snapToGrid w:val="0"/>
          <w:lang w:val="en-GB" w:eastAsia="en-US"/>
        </w:rPr>
        <w:t xml:space="preserve">the </w:t>
      </w:r>
      <w:r w:rsidR="00275BE6" w:rsidRPr="00A63AF1">
        <w:rPr>
          <w:rFonts w:asciiTheme="minorHAnsi" w:hAnsiTheme="minorHAnsi"/>
          <w:snapToGrid w:val="0"/>
          <w:lang w:val="en-GB" w:eastAsia="en-US"/>
        </w:rPr>
        <w:t>results across the three models were reasonably consistent</w:t>
      </w:r>
      <w:r w:rsidRPr="00A63AF1">
        <w:rPr>
          <w:rFonts w:asciiTheme="minorHAnsi" w:hAnsiTheme="minorHAnsi"/>
          <w:snapToGrid w:val="0"/>
          <w:lang w:val="en-GB" w:eastAsia="en-US"/>
        </w:rPr>
        <w:t xml:space="preserve">. </w:t>
      </w:r>
    </w:p>
    <w:p w14:paraId="45154A7F" w14:textId="1F181CEE" w:rsidR="00F13A1B" w:rsidRPr="00A63AF1" w:rsidRDefault="00F13A1B" w:rsidP="00FE3E22">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 xml:space="preserve">The PBAC noted that </w:t>
      </w:r>
      <w:r w:rsidR="00264501" w:rsidRPr="00A63AF1">
        <w:rPr>
          <w:rFonts w:asciiTheme="minorHAnsi" w:hAnsiTheme="minorHAnsi"/>
          <w:snapToGrid w:val="0"/>
          <w:lang w:val="en-GB" w:eastAsia="en-US"/>
        </w:rPr>
        <w:t xml:space="preserve">unanchored </w:t>
      </w:r>
      <w:r w:rsidR="00C154D4" w:rsidRPr="00A63AF1">
        <w:rPr>
          <w:rFonts w:asciiTheme="minorHAnsi" w:hAnsiTheme="minorHAnsi"/>
          <w:snapToGrid w:val="0"/>
          <w:lang w:val="en-GB" w:eastAsia="en-US"/>
        </w:rPr>
        <w:t>unadjusted indirect treatment comparisons</w:t>
      </w:r>
      <w:r w:rsidR="00275BE6" w:rsidRPr="00A63AF1">
        <w:rPr>
          <w:rFonts w:asciiTheme="minorHAnsi" w:hAnsiTheme="minorHAnsi"/>
          <w:snapToGrid w:val="0"/>
          <w:lang w:val="en-GB" w:eastAsia="en-US"/>
        </w:rPr>
        <w:t xml:space="preserve"> were presented for safety outcomes</w:t>
      </w:r>
      <w:r w:rsidR="00C154D4" w:rsidRPr="00A63AF1">
        <w:rPr>
          <w:rFonts w:asciiTheme="minorHAnsi" w:hAnsiTheme="minorHAnsi"/>
          <w:snapToGrid w:val="0"/>
          <w:lang w:val="en-GB" w:eastAsia="en-US"/>
        </w:rPr>
        <w:t xml:space="preserve">, </w:t>
      </w:r>
      <w:r w:rsidR="00275BE6" w:rsidRPr="00A63AF1">
        <w:rPr>
          <w:rFonts w:asciiTheme="minorHAnsi" w:hAnsiTheme="minorHAnsi"/>
          <w:snapToGrid w:val="0"/>
          <w:lang w:val="en-GB" w:eastAsia="en-US"/>
        </w:rPr>
        <w:t xml:space="preserve">and </w:t>
      </w:r>
      <w:r w:rsidRPr="00A63AF1">
        <w:rPr>
          <w:rFonts w:asciiTheme="minorHAnsi" w:hAnsiTheme="minorHAnsi"/>
          <w:snapToGrid w:val="0"/>
          <w:lang w:val="en-GB" w:eastAsia="en-US"/>
        </w:rPr>
        <w:t xml:space="preserve">that </w:t>
      </w:r>
      <w:r w:rsidR="00C154D4" w:rsidRPr="00A63AF1">
        <w:rPr>
          <w:rFonts w:asciiTheme="minorHAnsi" w:hAnsiTheme="minorHAnsi"/>
          <w:snapToGrid w:val="0"/>
          <w:lang w:val="en-GB" w:eastAsia="en-US"/>
        </w:rPr>
        <w:t xml:space="preserve">patients treated with </w:t>
      </w:r>
      <w:r w:rsidRPr="00A63AF1">
        <w:rPr>
          <w:rFonts w:asciiTheme="minorHAnsi" w:hAnsiTheme="minorHAnsi"/>
          <w:snapToGrid w:val="0"/>
          <w:lang w:val="en-GB" w:eastAsia="en-US"/>
        </w:rPr>
        <w:t xml:space="preserve">venetoclax plus obinutuzumab </w:t>
      </w:r>
      <w:r w:rsidR="00C154D4" w:rsidRPr="00A63AF1">
        <w:rPr>
          <w:rFonts w:asciiTheme="minorHAnsi" w:hAnsiTheme="minorHAnsi"/>
          <w:snapToGrid w:val="0"/>
          <w:lang w:val="en-GB" w:eastAsia="en-US"/>
        </w:rPr>
        <w:t xml:space="preserve">experienced numerically higher rates of neutropenia, anaemia, thrombocytopenia and diarrhoea, and that </w:t>
      </w:r>
      <w:r w:rsidR="00455CBA" w:rsidRPr="00A63AF1">
        <w:rPr>
          <w:rFonts w:asciiTheme="minorHAnsi" w:hAnsiTheme="minorHAnsi"/>
          <w:snapToGrid w:val="0"/>
          <w:lang w:val="en-GB" w:eastAsia="en-US"/>
        </w:rPr>
        <w:t xml:space="preserve">the discontinuation rate for </w:t>
      </w:r>
      <w:r w:rsidR="00C154D4" w:rsidRPr="00A63AF1">
        <w:rPr>
          <w:rFonts w:asciiTheme="minorHAnsi" w:hAnsiTheme="minorHAnsi"/>
          <w:snapToGrid w:val="0"/>
          <w:lang w:val="en-GB" w:eastAsia="en-US"/>
        </w:rPr>
        <w:t xml:space="preserve">patients treated with zanubrutinib </w:t>
      </w:r>
      <w:r w:rsidR="00455CBA" w:rsidRPr="00A63AF1">
        <w:rPr>
          <w:rFonts w:asciiTheme="minorHAnsi" w:hAnsiTheme="minorHAnsi"/>
          <w:snapToGrid w:val="0"/>
          <w:lang w:val="en-GB" w:eastAsia="en-US"/>
        </w:rPr>
        <w:t xml:space="preserve">was </w:t>
      </w:r>
      <w:r w:rsidR="00C154D4" w:rsidRPr="00A63AF1">
        <w:rPr>
          <w:rFonts w:asciiTheme="minorHAnsi" w:hAnsiTheme="minorHAnsi"/>
          <w:snapToGrid w:val="0"/>
          <w:lang w:val="en-GB" w:eastAsia="en-US"/>
        </w:rPr>
        <w:t xml:space="preserve">approximately half </w:t>
      </w:r>
      <w:r w:rsidR="00455CBA" w:rsidRPr="00A63AF1">
        <w:rPr>
          <w:rFonts w:asciiTheme="minorHAnsi" w:hAnsiTheme="minorHAnsi"/>
          <w:snapToGrid w:val="0"/>
          <w:lang w:val="en-GB" w:eastAsia="en-US"/>
        </w:rPr>
        <w:t>that for</w:t>
      </w:r>
      <w:r w:rsidR="00C154D4" w:rsidRPr="00A63AF1">
        <w:rPr>
          <w:rFonts w:asciiTheme="minorHAnsi" w:hAnsiTheme="minorHAnsi"/>
          <w:snapToGrid w:val="0"/>
          <w:lang w:val="en-GB" w:eastAsia="en-US"/>
        </w:rPr>
        <w:t xml:space="preserve"> patients treated with venetoclax plus obinutuzumab</w:t>
      </w:r>
      <w:r w:rsidR="00455CBA" w:rsidRPr="00A63AF1">
        <w:rPr>
          <w:rFonts w:asciiTheme="minorHAnsi" w:hAnsiTheme="minorHAnsi"/>
          <w:snapToGrid w:val="0"/>
          <w:lang w:val="en-GB" w:eastAsia="en-US"/>
        </w:rPr>
        <w:t>, although the difference may reduce over time given the longer treatment duration with zanubrutinib</w:t>
      </w:r>
      <w:r w:rsidR="00C154D4" w:rsidRPr="00A63AF1">
        <w:rPr>
          <w:rFonts w:asciiTheme="minorHAnsi" w:hAnsiTheme="minorHAnsi"/>
          <w:snapToGrid w:val="0"/>
          <w:lang w:val="en-GB" w:eastAsia="en-US"/>
        </w:rPr>
        <w:t>.</w:t>
      </w:r>
      <w:r w:rsidR="00455CBA" w:rsidRPr="00A63AF1">
        <w:rPr>
          <w:rFonts w:asciiTheme="minorHAnsi" w:hAnsiTheme="minorHAnsi"/>
          <w:snapToGrid w:val="0"/>
          <w:lang w:val="en-GB" w:eastAsia="en-US"/>
        </w:rPr>
        <w:t xml:space="preserve"> </w:t>
      </w:r>
    </w:p>
    <w:p w14:paraId="29F92CCD" w14:textId="213D9106" w:rsidR="00A00967" w:rsidRPr="00A63AF1" w:rsidRDefault="00933397" w:rsidP="009C41F4">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 xml:space="preserve">The PBAC considered that the clinical claims of non-inferior </w:t>
      </w:r>
      <w:r w:rsidR="00707611" w:rsidRPr="00A63AF1">
        <w:rPr>
          <w:rFonts w:asciiTheme="minorHAnsi" w:hAnsiTheme="minorHAnsi"/>
          <w:snapToGrid w:val="0"/>
          <w:lang w:val="en-GB" w:eastAsia="en-US"/>
        </w:rPr>
        <w:t xml:space="preserve">effectiveness </w:t>
      </w:r>
      <w:r w:rsidRPr="00A63AF1">
        <w:rPr>
          <w:rFonts w:asciiTheme="minorHAnsi" w:hAnsiTheme="minorHAnsi"/>
          <w:snapToGrid w:val="0"/>
          <w:lang w:val="en-GB" w:eastAsia="en-US"/>
        </w:rPr>
        <w:t xml:space="preserve">and safety </w:t>
      </w:r>
      <w:r w:rsidR="00455CBA" w:rsidRPr="00A63AF1">
        <w:rPr>
          <w:rFonts w:asciiTheme="minorHAnsi" w:hAnsiTheme="minorHAnsi"/>
          <w:snapToGrid w:val="0"/>
          <w:lang w:val="en-GB" w:eastAsia="en-US"/>
        </w:rPr>
        <w:t xml:space="preserve">for zanubrutinib versus venetoclax plus obinutuzumab </w:t>
      </w:r>
      <w:r w:rsidRPr="00A63AF1">
        <w:rPr>
          <w:rFonts w:asciiTheme="minorHAnsi" w:hAnsiTheme="minorHAnsi"/>
          <w:snapToGrid w:val="0"/>
          <w:lang w:val="en-GB" w:eastAsia="en-US"/>
        </w:rPr>
        <w:t xml:space="preserve">were </w:t>
      </w:r>
      <w:r w:rsidR="003104C5" w:rsidRPr="00A63AF1">
        <w:rPr>
          <w:rFonts w:asciiTheme="minorHAnsi" w:hAnsiTheme="minorHAnsi"/>
          <w:snapToGrid w:val="0"/>
          <w:lang w:val="en-GB" w:eastAsia="en-US"/>
        </w:rPr>
        <w:t xml:space="preserve">reasonably supported by the data, </w:t>
      </w:r>
      <w:r w:rsidRPr="00A63AF1">
        <w:rPr>
          <w:rFonts w:asciiTheme="minorHAnsi" w:hAnsiTheme="minorHAnsi"/>
          <w:snapToGrid w:val="0"/>
          <w:lang w:val="en-GB" w:eastAsia="en-US"/>
        </w:rPr>
        <w:t>but with some uncertainty</w:t>
      </w:r>
      <w:r w:rsidR="00BE7987" w:rsidRPr="00A63AF1">
        <w:rPr>
          <w:rFonts w:asciiTheme="minorHAnsi" w:hAnsiTheme="minorHAnsi"/>
          <w:snapToGrid w:val="0"/>
          <w:lang w:val="en-GB" w:eastAsia="en-US"/>
        </w:rPr>
        <w:t xml:space="preserve"> given the indirect treatment comparisons presented and the immaturity of the clinical evidence </w:t>
      </w:r>
      <w:r w:rsidR="00165095" w:rsidRPr="00A63AF1">
        <w:rPr>
          <w:rFonts w:asciiTheme="minorHAnsi" w:hAnsiTheme="minorHAnsi"/>
          <w:snapToGrid w:val="0"/>
          <w:lang w:val="en-GB" w:eastAsia="en-US"/>
        </w:rPr>
        <w:t xml:space="preserve">particularly </w:t>
      </w:r>
      <w:r w:rsidR="00455CBA" w:rsidRPr="00A63AF1">
        <w:rPr>
          <w:rFonts w:asciiTheme="minorHAnsi" w:hAnsiTheme="minorHAnsi"/>
          <w:snapToGrid w:val="0"/>
          <w:lang w:val="en-GB" w:eastAsia="en-US"/>
        </w:rPr>
        <w:t>for overall survival</w:t>
      </w:r>
      <w:r w:rsidRPr="00A63AF1">
        <w:rPr>
          <w:rFonts w:asciiTheme="minorHAnsi" w:hAnsiTheme="minorHAnsi"/>
          <w:snapToGrid w:val="0"/>
          <w:lang w:val="en-GB" w:eastAsia="en-US"/>
        </w:rPr>
        <w:t>.</w:t>
      </w:r>
    </w:p>
    <w:p w14:paraId="02DD3C05" w14:textId="7035890E" w:rsidR="006F4936" w:rsidRPr="00A63AF1" w:rsidRDefault="006F4936" w:rsidP="001C5373">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 xml:space="preserve">The PBAC noted that the submission had presented a CMA </w:t>
      </w:r>
      <w:r w:rsidR="00B46D40" w:rsidRPr="00A63AF1">
        <w:rPr>
          <w:rFonts w:asciiTheme="minorHAnsi" w:hAnsiTheme="minorHAnsi"/>
          <w:snapToGrid w:val="0"/>
          <w:lang w:val="en-GB" w:eastAsia="en-US"/>
        </w:rPr>
        <w:t xml:space="preserve">of </w:t>
      </w:r>
      <w:r w:rsidR="0012259F" w:rsidRPr="00A63AF1">
        <w:rPr>
          <w:rFonts w:asciiTheme="minorHAnsi" w:hAnsiTheme="minorHAnsi"/>
          <w:snapToGrid w:val="0"/>
          <w:lang w:val="en-GB" w:eastAsia="en-US"/>
        </w:rPr>
        <w:t xml:space="preserve">zanubrutinib compared with venetoclax plus obinutuzumab to derive a price for zanubrutinib that resulted in the same cost per course per patient as venetoclax plus obinutuzumab. </w:t>
      </w:r>
      <w:r w:rsidRPr="00A63AF1">
        <w:rPr>
          <w:rFonts w:asciiTheme="minorHAnsi" w:hAnsiTheme="minorHAnsi"/>
          <w:snapToGrid w:val="0"/>
          <w:lang w:val="en-GB" w:eastAsia="en-US"/>
        </w:rPr>
        <w:t xml:space="preserve">The PBAC noted that the CMA was conducted over a period of 10 years, and that a 5% discount rate was applied to the time to treatment discontinuation curve for zanubrutinib. The PBAC considered that the submission’s approach to the CMA </w:t>
      </w:r>
      <w:r w:rsidR="00A01252" w:rsidRPr="00A63AF1">
        <w:rPr>
          <w:rFonts w:asciiTheme="minorHAnsi" w:hAnsiTheme="minorHAnsi"/>
          <w:snapToGrid w:val="0"/>
          <w:lang w:val="en-GB" w:eastAsia="en-US"/>
        </w:rPr>
        <w:t>(</w:t>
      </w:r>
      <w:r w:rsidR="00707611" w:rsidRPr="00A63AF1">
        <w:rPr>
          <w:rFonts w:asciiTheme="minorHAnsi" w:hAnsiTheme="minorHAnsi"/>
          <w:snapToGrid w:val="0"/>
          <w:lang w:val="en-GB" w:eastAsia="en-US"/>
        </w:rPr>
        <w:fldChar w:fldCharType="begin" w:fldLock="1"/>
      </w:r>
      <w:r w:rsidR="00707611" w:rsidRPr="00A63AF1">
        <w:rPr>
          <w:rFonts w:asciiTheme="minorHAnsi" w:hAnsiTheme="minorHAnsi"/>
          <w:snapToGrid w:val="0"/>
          <w:lang w:val="en-GB" w:eastAsia="en-US"/>
        </w:rPr>
        <w:instrText xml:space="preserve"> REF _Ref124002126 \h </w:instrText>
      </w:r>
      <w:r w:rsidR="00A63AF1">
        <w:rPr>
          <w:rFonts w:asciiTheme="minorHAnsi" w:hAnsiTheme="minorHAnsi"/>
          <w:snapToGrid w:val="0"/>
          <w:lang w:val="en-GB" w:eastAsia="en-US"/>
        </w:rPr>
        <w:instrText xml:space="preserve"> \* MERGEFORMAT </w:instrText>
      </w:r>
      <w:r w:rsidR="00707611" w:rsidRPr="00A63AF1">
        <w:rPr>
          <w:rFonts w:asciiTheme="minorHAnsi" w:hAnsiTheme="minorHAnsi"/>
          <w:snapToGrid w:val="0"/>
          <w:lang w:val="en-GB" w:eastAsia="en-US"/>
        </w:rPr>
      </w:r>
      <w:r w:rsidR="00707611" w:rsidRPr="00A63AF1">
        <w:rPr>
          <w:rFonts w:asciiTheme="minorHAnsi" w:hAnsiTheme="minorHAnsi"/>
          <w:snapToGrid w:val="0"/>
          <w:lang w:val="en-GB" w:eastAsia="en-US"/>
        </w:rPr>
        <w:fldChar w:fldCharType="separate"/>
      </w:r>
      <w:r w:rsidR="00707611" w:rsidRPr="00A63AF1">
        <w:t xml:space="preserve">Table </w:t>
      </w:r>
      <w:r w:rsidR="00707611" w:rsidRPr="00A63AF1">
        <w:rPr>
          <w:noProof/>
        </w:rPr>
        <w:t>11</w:t>
      </w:r>
      <w:r w:rsidR="00707611" w:rsidRPr="00A63AF1">
        <w:rPr>
          <w:rFonts w:asciiTheme="minorHAnsi" w:hAnsiTheme="minorHAnsi"/>
          <w:snapToGrid w:val="0"/>
          <w:lang w:val="en-GB" w:eastAsia="en-US"/>
        </w:rPr>
        <w:fldChar w:fldCharType="end"/>
      </w:r>
      <w:r w:rsidR="00A01252" w:rsidRPr="00A63AF1">
        <w:rPr>
          <w:rFonts w:asciiTheme="minorHAnsi" w:hAnsiTheme="minorHAnsi"/>
          <w:snapToGrid w:val="0"/>
          <w:lang w:val="en-GB" w:eastAsia="en-US"/>
        </w:rPr>
        <w:t xml:space="preserve">) </w:t>
      </w:r>
      <w:r w:rsidRPr="00A63AF1">
        <w:rPr>
          <w:rFonts w:asciiTheme="minorHAnsi" w:hAnsiTheme="minorHAnsi"/>
          <w:snapToGrid w:val="0"/>
          <w:lang w:val="en-GB" w:eastAsia="en-US"/>
        </w:rPr>
        <w:t>was reasonable</w:t>
      </w:r>
      <w:r w:rsidR="00707611" w:rsidRPr="00A63AF1">
        <w:rPr>
          <w:rFonts w:asciiTheme="minorHAnsi" w:hAnsiTheme="minorHAnsi"/>
          <w:snapToGrid w:val="0"/>
          <w:lang w:val="en-GB" w:eastAsia="en-US"/>
        </w:rPr>
        <w:t xml:space="preserve"> with adjustments described below</w:t>
      </w:r>
      <w:r w:rsidRPr="00A63AF1">
        <w:rPr>
          <w:rFonts w:asciiTheme="minorHAnsi" w:hAnsiTheme="minorHAnsi"/>
          <w:snapToGrid w:val="0"/>
          <w:lang w:val="en-GB" w:eastAsia="en-US"/>
        </w:rPr>
        <w:t xml:space="preserve">, and that a time frame of 10 years was appropriate in the context of first-line treatment </w:t>
      </w:r>
      <w:r w:rsidR="00165095" w:rsidRPr="00A63AF1">
        <w:rPr>
          <w:rFonts w:asciiTheme="minorHAnsi" w:hAnsiTheme="minorHAnsi"/>
          <w:snapToGrid w:val="0"/>
          <w:lang w:val="en-GB" w:eastAsia="en-US"/>
        </w:rPr>
        <w:t>of</w:t>
      </w:r>
      <w:r w:rsidRPr="00A63AF1">
        <w:rPr>
          <w:rFonts w:asciiTheme="minorHAnsi" w:hAnsiTheme="minorHAnsi"/>
          <w:snapToGrid w:val="0"/>
          <w:lang w:val="en-GB" w:eastAsia="en-US"/>
        </w:rPr>
        <w:t xml:space="preserve"> CLL/SLL. </w:t>
      </w:r>
    </w:p>
    <w:p w14:paraId="4642B169" w14:textId="223BA145" w:rsidR="00397A7C" w:rsidRPr="00A63AF1" w:rsidRDefault="006F4936" w:rsidP="00165095">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The PBAC noted th</w:t>
      </w:r>
      <w:r w:rsidR="00165095" w:rsidRPr="00A63AF1">
        <w:rPr>
          <w:rFonts w:asciiTheme="minorHAnsi" w:hAnsiTheme="minorHAnsi"/>
          <w:snapToGrid w:val="0"/>
          <w:lang w:val="en-GB" w:eastAsia="en-US"/>
        </w:rPr>
        <w:t>at the</w:t>
      </w:r>
      <w:r w:rsidR="00F577BB" w:rsidRPr="00A63AF1">
        <w:rPr>
          <w:rFonts w:asciiTheme="minorHAnsi" w:hAnsiTheme="minorHAnsi"/>
          <w:snapToGrid w:val="0"/>
          <w:lang w:val="en-GB" w:eastAsia="en-US"/>
        </w:rPr>
        <w:t xml:space="preserve"> analysis included in the submission capped the </w:t>
      </w:r>
      <w:r w:rsidR="00F577BB" w:rsidRPr="00A63AF1">
        <w:t>time to treatment discontinuation for zanubrutinib using progression-free survival data for the venetoclax + obinutuzumab arm of the CLL-14 trial and that introduced uncertainty. The PBAC noted that the survival capping was removed in the analysis presented</w:t>
      </w:r>
      <w:r w:rsidR="00165095" w:rsidRPr="00A63AF1">
        <w:rPr>
          <w:rFonts w:asciiTheme="minorHAnsi" w:hAnsiTheme="minorHAnsi"/>
          <w:snapToGrid w:val="0"/>
          <w:lang w:val="en-GB" w:eastAsia="en-US"/>
        </w:rPr>
        <w:t xml:space="preserve"> in the</w:t>
      </w:r>
      <w:r w:rsidR="0012259F" w:rsidRPr="00A63AF1">
        <w:rPr>
          <w:rFonts w:asciiTheme="minorHAnsi" w:hAnsiTheme="minorHAnsi"/>
          <w:snapToGrid w:val="0"/>
          <w:lang w:val="en-GB" w:eastAsia="en-US"/>
        </w:rPr>
        <w:t xml:space="preserve"> pre-PBAC response </w:t>
      </w:r>
      <w:r w:rsidR="00F577BB" w:rsidRPr="00A63AF1">
        <w:rPr>
          <w:rFonts w:asciiTheme="minorHAnsi" w:hAnsiTheme="minorHAnsi"/>
          <w:snapToGrid w:val="0"/>
          <w:lang w:val="en-GB" w:eastAsia="en-US"/>
        </w:rPr>
        <w:t>and</w:t>
      </w:r>
      <w:r w:rsidR="00397A7C" w:rsidRPr="00A63AF1">
        <w:rPr>
          <w:rFonts w:asciiTheme="minorHAnsi" w:hAnsiTheme="minorHAnsi"/>
          <w:snapToGrid w:val="0"/>
          <w:lang w:val="en-GB" w:eastAsia="en-US"/>
        </w:rPr>
        <w:t xml:space="preserve"> considered that this was appropriate</w:t>
      </w:r>
      <w:r w:rsidR="00F577BB" w:rsidRPr="00A63AF1">
        <w:rPr>
          <w:rFonts w:asciiTheme="minorHAnsi" w:hAnsiTheme="minorHAnsi"/>
          <w:snapToGrid w:val="0"/>
          <w:lang w:val="en-GB" w:eastAsia="en-US"/>
        </w:rPr>
        <w:t>. The PBAC</w:t>
      </w:r>
      <w:r w:rsidR="00397A7C" w:rsidRPr="00A63AF1">
        <w:rPr>
          <w:rFonts w:asciiTheme="minorHAnsi" w:hAnsiTheme="minorHAnsi"/>
          <w:snapToGrid w:val="0"/>
          <w:lang w:val="en-GB" w:eastAsia="en-US"/>
        </w:rPr>
        <w:t xml:space="preserve"> noted that the revised equi-effective doses were: </w:t>
      </w:r>
    </w:p>
    <w:p w14:paraId="542B80AF" w14:textId="03F69376" w:rsidR="00EF319D" w:rsidRPr="00A63AF1" w:rsidRDefault="00EF319D" w:rsidP="00D37ECB">
      <w:pPr>
        <w:pStyle w:val="COMexecsummbulletlist"/>
        <w:rPr>
          <w:lang w:val="en-GB" w:eastAsia="en-US"/>
        </w:rPr>
      </w:pPr>
      <w:r w:rsidRPr="00A63AF1">
        <w:rPr>
          <w:lang w:val="en-GB" w:eastAsia="en-US"/>
        </w:rPr>
        <w:t xml:space="preserve">One initial and 8.67 continuing venetoclax scripts plus 7.355 obinutuzumab scripts are </w:t>
      </w:r>
      <w:r w:rsidRPr="00A63AF1">
        <w:rPr>
          <w:iCs/>
        </w:rPr>
        <w:t>equivalent</w:t>
      </w:r>
      <w:r w:rsidRPr="00A63AF1">
        <w:rPr>
          <w:lang w:val="en-GB" w:eastAsia="en-US"/>
        </w:rPr>
        <w:t xml:space="preserve"> to 70.73 months of zanubrutinib treatment at a dose of 304 mg daily (68.09 zanubrutinib scripts).</w:t>
      </w:r>
    </w:p>
    <w:p w14:paraId="096AD626" w14:textId="71171035" w:rsidR="006F4936" w:rsidRPr="00A63AF1" w:rsidRDefault="00397A7C" w:rsidP="00165095">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lastRenderedPageBreak/>
        <w:t xml:space="preserve">The PBAC noted that the sponsor in their pre-PBAC response had proposed to </w:t>
      </w:r>
      <w:r w:rsidR="0012259F" w:rsidRPr="00A63AF1">
        <w:rPr>
          <w:rFonts w:asciiTheme="minorHAnsi" w:hAnsiTheme="minorHAnsi"/>
          <w:snapToGrid w:val="0"/>
          <w:lang w:val="en-GB" w:eastAsia="en-US"/>
        </w:rPr>
        <w:t>r</w:t>
      </w:r>
      <w:r w:rsidR="006F4936" w:rsidRPr="00A63AF1">
        <w:rPr>
          <w:rFonts w:asciiTheme="minorHAnsi" w:hAnsiTheme="minorHAnsi"/>
          <w:snapToGrid w:val="0"/>
          <w:lang w:val="en-GB" w:eastAsia="en-US"/>
        </w:rPr>
        <w:t xml:space="preserve">educe the cost offsets </w:t>
      </w:r>
      <w:r w:rsidRPr="00A63AF1">
        <w:rPr>
          <w:rFonts w:asciiTheme="minorHAnsi" w:hAnsiTheme="minorHAnsi"/>
          <w:snapToGrid w:val="0"/>
          <w:lang w:val="en-GB" w:eastAsia="en-US"/>
        </w:rPr>
        <w:t xml:space="preserve">for zanubrutinib in the model </w:t>
      </w:r>
      <w:r w:rsidR="006F4936" w:rsidRPr="00A63AF1">
        <w:rPr>
          <w:rFonts w:asciiTheme="minorHAnsi" w:hAnsiTheme="minorHAnsi"/>
          <w:snapToGrid w:val="0"/>
          <w:lang w:val="en-GB" w:eastAsia="en-US"/>
        </w:rPr>
        <w:t xml:space="preserve">by 50% </w:t>
      </w:r>
      <w:r w:rsidR="0012259F" w:rsidRPr="00A63AF1">
        <w:rPr>
          <w:rFonts w:asciiTheme="minorHAnsi" w:hAnsiTheme="minorHAnsi"/>
          <w:snapToGrid w:val="0"/>
          <w:lang w:val="en-GB" w:eastAsia="en-US"/>
        </w:rPr>
        <w:t xml:space="preserve">to </w:t>
      </w:r>
      <w:r w:rsidR="00F577BB" w:rsidRPr="00A63AF1">
        <w:rPr>
          <w:rFonts w:asciiTheme="minorHAnsi" w:hAnsiTheme="minorHAnsi"/>
          <w:snapToGrid w:val="0"/>
          <w:lang w:val="en-GB" w:eastAsia="en-US"/>
        </w:rPr>
        <w:t xml:space="preserve">better </w:t>
      </w:r>
      <w:r w:rsidR="0012259F" w:rsidRPr="00A63AF1">
        <w:rPr>
          <w:rFonts w:asciiTheme="minorHAnsi" w:hAnsiTheme="minorHAnsi"/>
          <w:snapToGrid w:val="0"/>
          <w:lang w:val="en-GB" w:eastAsia="en-US"/>
        </w:rPr>
        <w:t xml:space="preserve">reflect real-world offsets compared to offsets in the clinical trials. The PBAC </w:t>
      </w:r>
      <w:r w:rsidR="006F4936" w:rsidRPr="00A63AF1">
        <w:rPr>
          <w:rFonts w:asciiTheme="minorHAnsi" w:hAnsiTheme="minorHAnsi"/>
          <w:snapToGrid w:val="0"/>
          <w:lang w:val="en-GB" w:eastAsia="en-US"/>
        </w:rPr>
        <w:t>considered that this was appropriate.</w:t>
      </w:r>
      <w:r w:rsidR="00BC3729" w:rsidRPr="00A63AF1">
        <w:rPr>
          <w:rFonts w:asciiTheme="minorHAnsi" w:hAnsiTheme="minorHAnsi"/>
          <w:snapToGrid w:val="0"/>
          <w:lang w:val="en-GB" w:eastAsia="en-US"/>
        </w:rPr>
        <w:t xml:space="preserve"> </w:t>
      </w:r>
    </w:p>
    <w:p w14:paraId="1A6F96D1" w14:textId="0D7DA9C9" w:rsidR="00AB103D" w:rsidRPr="00A63AF1" w:rsidRDefault="00165095" w:rsidP="00BF2CEA">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The PBAC noted that the submission used a market share approach to derive the expected utilisation and the cost to the PBS/RPBS over 6 years and considered that this was appropriate</w:t>
      </w:r>
      <w:r w:rsidR="00BD7CA1" w:rsidRPr="00A63AF1">
        <w:rPr>
          <w:rFonts w:asciiTheme="minorHAnsi" w:hAnsiTheme="minorHAnsi"/>
          <w:snapToGrid w:val="0"/>
          <w:lang w:val="en-GB" w:eastAsia="en-US"/>
        </w:rPr>
        <w:t xml:space="preserve">, although </w:t>
      </w:r>
      <w:r w:rsidR="005E52A0" w:rsidRPr="00A63AF1">
        <w:rPr>
          <w:rFonts w:asciiTheme="minorHAnsi" w:hAnsiTheme="minorHAnsi"/>
          <w:snapToGrid w:val="0"/>
          <w:lang w:val="en-GB" w:eastAsia="en-US"/>
        </w:rPr>
        <w:t>noted it</w:t>
      </w:r>
      <w:r w:rsidR="00BD7CA1" w:rsidRPr="00A63AF1">
        <w:rPr>
          <w:rFonts w:asciiTheme="minorHAnsi" w:hAnsiTheme="minorHAnsi"/>
          <w:snapToGrid w:val="0"/>
          <w:lang w:val="en-GB" w:eastAsia="en-US"/>
        </w:rPr>
        <w:t xml:space="preserve"> would be more appropriate to define the market using more recent PBS data for venetoclax and obinutuzum</w:t>
      </w:r>
      <w:r w:rsidR="00A01252" w:rsidRPr="00A63AF1">
        <w:rPr>
          <w:rFonts w:asciiTheme="minorHAnsi" w:hAnsiTheme="minorHAnsi"/>
          <w:snapToGrid w:val="0"/>
          <w:lang w:val="en-GB" w:eastAsia="en-US"/>
        </w:rPr>
        <w:t>a</w:t>
      </w:r>
      <w:r w:rsidR="00BD7CA1" w:rsidRPr="00A63AF1">
        <w:rPr>
          <w:rFonts w:asciiTheme="minorHAnsi" w:hAnsiTheme="minorHAnsi"/>
          <w:snapToGrid w:val="0"/>
          <w:lang w:val="en-GB" w:eastAsia="en-US"/>
        </w:rPr>
        <w:t>b</w:t>
      </w:r>
      <w:r w:rsidRPr="00A63AF1">
        <w:rPr>
          <w:rFonts w:asciiTheme="minorHAnsi" w:hAnsiTheme="minorHAnsi"/>
          <w:snapToGrid w:val="0"/>
          <w:lang w:val="en-GB" w:eastAsia="en-US"/>
        </w:rPr>
        <w:t xml:space="preserve">. </w:t>
      </w:r>
      <w:r w:rsidR="006C7C02" w:rsidRPr="00A63AF1">
        <w:rPr>
          <w:rFonts w:asciiTheme="minorHAnsi" w:hAnsiTheme="minorHAnsi"/>
          <w:snapToGrid w:val="0"/>
          <w:lang w:val="en-GB" w:eastAsia="en-US"/>
        </w:rPr>
        <w:t xml:space="preserve">The PBAC noted the financial estimates </w:t>
      </w:r>
      <w:r w:rsidRPr="00A63AF1">
        <w:rPr>
          <w:rFonts w:asciiTheme="minorHAnsi" w:hAnsiTheme="minorHAnsi"/>
          <w:snapToGrid w:val="0"/>
          <w:lang w:val="en-GB" w:eastAsia="en-US"/>
        </w:rPr>
        <w:t>assumed</w:t>
      </w:r>
      <w:r w:rsidR="00BF2CEA" w:rsidRPr="00A63AF1">
        <w:rPr>
          <w:rFonts w:asciiTheme="minorHAnsi" w:hAnsiTheme="minorHAnsi"/>
          <w:snapToGrid w:val="0"/>
          <w:lang w:val="en-GB" w:eastAsia="en-US"/>
        </w:rPr>
        <w:t xml:space="preserve"> that zanubrutinib would be used in 40% of patients who would otherwise have initiated treatment on venetoclax plus obinutuzumab, that approximately </w:t>
      </w:r>
      <w:r w:rsidR="00D37ECB">
        <w:rPr>
          <w:rFonts w:asciiTheme="minorHAnsi" w:hAnsiTheme="minorHAnsi"/>
          <w:snapToGrid w:val="0"/>
          <w:lang w:val="en-GB" w:eastAsia="en-US"/>
        </w:rPr>
        <w:t>&lt; 500</w:t>
      </w:r>
      <w:r w:rsidR="00D37ECB" w:rsidRPr="00A63AF1">
        <w:rPr>
          <w:rFonts w:asciiTheme="minorHAnsi" w:hAnsiTheme="minorHAnsi"/>
          <w:snapToGrid w:val="0"/>
          <w:lang w:val="en-GB" w:eastAsia="en-US"/>
        </w:rPr>
        <w:t xml:space="preserve"> </w:t>
      </w:r>
      <w:r w:rsidR="00BF2CEA" w:rsidRPr="00A63AF1">
        <w:rPr>
          <w:rFonts w:asciiTheme="minorHAnsi" w:hAnsiTheme="minorHAnsi"/>
          <w:snapToGrid w:val="0"/>
          <w:lang w:val="en-GB" w:eastAsia="en-US"/>
        </w:rPr>
        <w:t>patients would be grandfathered from the sponsor’s compassionate access program, and that zanubrutinib would not grow the market</w:t>
      </w:r>
      <w:r w:rsidR="006C7C02" w:rsidRPr="00A63AF1">
        <w:rPr>
          <w:rFonts w:asciiTheme="minorHAnsi" w:hAnsiTheme="minorHAnsi"/>
          <w:snapToGrid w:val="0"/>
          <w:lang w:val="en-GB" w:eastAsia="en-US"/>
        </w:rPr>
        <w:t xml:space="preserve">. The PBAC considered that the submission’s assumption </w:t>
      </w:r>
      <w:r w:rsidR="00BF2CEA" w:rsidRPr="00A63AF1">
        <w:rPr>
          <w:rFonts w:asciiTheme="minorHAnsi" w:hAnsiTheme="minorHAnsi"/>
          <w:snapToGrid w:val="0"/>
          <w:lang w:val="en-GB" w:eastAsia="en-US"/>
        </w:rPr>
        <w:t xml:space="preserve">that zanubrutinib would be used instead of venetoclax plus obinutuzumab in </w:t>
      </w:r>
      <w:r w:rsidR="006C7C02" w:rsidRPr="00A63AF1">
        <w:rPr>
          <w:rFonts w:asciiTheme="minorHAnsi" w:hAnsiTheme="minorHAnsi"/>
          <w:snapToGrid w:val="0"/>
          <w:lang w:val="en-GB" w:eastAsia="en-US"/>
        </w:rPr>
        <w:t xml:space="preserve">40% </w:t>
      </w:r>
      <w:r w:rsidR="00BF2CEA" w:rsidRPr="00A63AF1">
        <w:rPr>
          <w:rFonts w:asciiTheme="minorHAnsi" w:hAnsiTheme="minorHAnsi"/>
          <w:snapToGrid w:val="0"/>
          <w:lang w:val="en-GB" w:eastAsia="en-US"/>
        </w:rPr>
        <w:t xml:space="preserve">of patients initiating therapy each year </w:t>
      </w:r>
      <w:r w:rsidR="00411FFD" w:rsidRPr="00A63AF1">
        <w:rPr>
          <w:iCs/>
        </w:rPr>
        <w:t xml:space="preserve">to be potentially reasonable although very uncertain. </w:t>
      </w:r>
      <w:r w:rsidR="00411FFD" w:rsidRPr="00A63AF1">
        <w:t xml:space="preserve">The PBAC considered the grandfathered patients would already be accounted for given the prevalence approach used and should not be accounted for separately. The PBAC noted discounting </w:t>
      </w:r>
      <w:r w:rsidR="005E52A0" w:rsidRPr="00A63AF1">
        <w:t>was applied to the treatment duration but, consistent with standard practice for estimating the financial impact, th</w:t>
      </w:r>
      <w:r w:rsidR="00411FFD" w:rsidRPr="00A63AF1">
        <w:t>is should be removed from the calculations.</w:t>
      </w:r>
      <w:r w:rsidR="00411FFD" w:rsidRPr="00A63AF1" w:rsidDel="00411FFD">
        <w:rPr>
          <w:rFonts w:asciiTheme="minorHAnsi" w:hAnsiTheme="minorHAnsi"/>
          <w:snapToGrid w:val="0"/>
          <w:lang w:val="en-GB" w:eastAsia="en-US"/>
        </w:rPr>
        <w:t xml:space="preserve"> </w:t>
      </w:r>
    </w:p>
    <w:p w14:paraId="56E8D50C" w14:textId="49053535" w:rsidR="006C7C02" w:rsidRPr="00A63AF1" w:rsidRDefault="00AB103D" w:rsidP="00BF2CEA">
      <w:pPr>
        <w:widowControl w:val="0"/>
        <w:numPr>
          <w:ilvl w:val="1"/>
          <w:numId w:val="1"/>
        </w:numPr>
        <w:spacing w:after="120"/>
        <w:ind w:left="720" w:hanging="720"/>
        <w:rPr>
          <w:rFonts w:asciiTheme="minorHAnsi" w:hAnsiTheme="minorHAnsi"/>
          <w:snapToGrid w:val="0"/>
          <w:lang w:val="en-GB" w:eastAsia="en-US"/>
        </w:rPr>
      </w:pPr>
      <w:r w:rsidRPr="00A63AF1">
        <w:rPr>
          <w:rFonts w:asciiTheme="minorHAnsi" w:hAnsiTheme="minorHAnsi"/>
          <w:snapToGrid w:val="0"/>
          <w:lang w:val="en-GB" w:eastAsia="en-US"/>
        </w:rPr>
        <w:t xml:space="preserve">The PBAC noted </w:t>
      </w:r>
      <w:r w:rsidR="00C47A5E" w:rsidRPr="00A63AF1">
        <w:rPr>
          <w:rFonts w:asciiTheme="minorHAnsi" w:hAnsiTheme="minorHAnsi"/>
          <w:snapToGrid w:val="0"/>
          <w:lang w:val="en-GB" w:eastAsia="en-US"/>
        </w:rPr>
        <w:t xml:space="preserve">that overall </w:t>
      </w:r>
      <w:r w:rsidRPr="00A63AF1">
        <w:rPr>
          <w:rFonts w:asciiTheme="minorHAnsi" w:hAnsiTheme="minorHAnsi"/>
          <w:snapToGrid w:val="0"/>
          <w:lang w:val="en-GB" w:eastAsia="en-US"/>
        </w:rPr>
        <w:t>due to the cost for zanubrutinib accruing over a longer period of time than the cost-offsets for venetoclax plus obinutuzumab that in the initial years there would be a cost saving however this would reverse to a net cost in later years. The PBAC noted there would also be a net cost with the listing of zanubrutinib over the longer term due to the inclusion of cost offsets in the CMA and due to discounting being included in the CMA but not in the calculation for the financial estimates</w:t>
      </w:r>
      <w:r w:rsidR="006C7C02" w:rsidRPr="00A63AF1">
        <w:rPr>
          <w:rFonts w:asciiTheme="minorHAnsi" w:hAnsiTheme="minorHAnsi"/>
          <w:snapToGrid w:val="0"/>
          <w:lang w:val="en-GB" w:eastAsia="en-US"/>
        </w:rPr>
        <w:t xml:space="preserve">. </w:t>
      </w:r>
    </w:p>
    <w:p w14:paraId="32EFFFFF" w14:textId="05DA848A" w:rsidR="00B61B8B" w:rsidRPr="00A63AF1" w:rsidRDefault="0076237C" w:rsidP="00BF2CEA">
      <w:pPr>
        <w:widowControl w:val="0"/>
        <w:numPr>
          <w:ilvl w:val="1"/>
          <w:numId w:val="1"/>
        </w:numPr>
        <w:spacing w:after="120"/>
        <w:ind w:left="720" w:hanging="720"/>
        <w:rPr>
          <w:rFonts w:asciiTheme="minorHAnsi" w:hAnsiTheme="minorHAnsi"/>
          <w:snapToGrid w:val="0"/>
          <w:lang w:val="en-GB" w:eastAsia="en-US"/>
        </w:rPr>
      </w:pPr>
      <w:bookmarkStart w:id="87" w:name="_Hlk130478161"/>
      <w:r w:rsidRPr="00A63AF1">
        <w:rPr>
          <w:rFonts w:asciiTheme="minorHAnsi" w:hAnsiTheme="minorHAnsi"/>
          <w:snapToGrid w:val="0"/>
          <w:lang w:val="en-GB" w:eastAsia="en-US"/>
        </w:rPr>
        <w:t xml:space="preserve">The PBAC noted </w:t>
      </w:r>
      <w:r w:rsidR="00B61B8B" w:rsidRPr="00A63AF1">
        <w:rPr>
          <w:rFonts w:asciiTheme="minorHAnsi" w:hAnsiTheme="minorHAnsi"/>
          <w:snapToGrid w:val="0"/>
          <w:lang w:val="en-GB" w:eastAsia="en-US"/>
        </w:rPr>
        <w:t>that in the pre-PBAC response it was</w:t>
      </w:r>
      <w:r w:rsidRPr="00A63AF1">
        <w:rPr>
          <w:rFonts w:asciiTheme="minorHAnsi" w:hAnsiTheme="minorHAnsi"/>
          <w:snapToGrid w:val="0"/>
          <w:lang w:val="en-GB" w:eastAsia="en-US"/>
        </w:rPr>
        <w:t xml:space="preserve"> estimated that patient numbers, and therefore script numbers would increase by approximately 30% </w:t>
      </w:r>
      <w:r w:rsidR="00B61B8B" w:rsidRPr="00A63AF1">
        <w:rPr>
          <w:rFonts w:asciiTheme="minorHAnsi" w:hAnsiTheme="minorHAnsi"/>
          <w:snapToGrid w:val="0"/>
          <w:lang w:val="en-GB" w:eastAsia="en-US"/>
        </w:rPr>
        <w:t xml:space="preserve">due to </w:t>
      </w:r>
      <w:r w:rsidRPr="00A63AF1">
        <w:rPr>
          <w:rFonts w:asciiTheme="minorHAnsi" w:hAnsiTheme="minorHAnsi"/>
          <w:snapToGrid w:val="0"/>
          <w:lang w:val="en-GB" w:eastAsia="en-US"/>
        </w:rPr>
        <w:t>the removal of the requirement for patients to be ‘inappropriate for fludarabine-based chemoimmunotherapy’</w:t>
      </w:r>
      <w:r w:rsidR="00B61B8B" w:rsidRPr="00A63AF1">
        <w:rPr>
          <w:rFonts w:asciiTheme="minorHAnsi" w:hAnsiTheme="minorHAnsi"/>
          <w:snapToGrid w:val="0"/>
          <w:lang w:val="en-GB" w:eastAsia="en-US"/>
        </w:rPr>
        <w:t>.</w:t>
      </w:r>
      <w:r w:rsidRPr="00A63AF1">
        <w:rPr>
          <w:rFonts w:asciiTheme="minorHAnsi" w:hAnsiTheme="minorHAnsi"/>
          <w:snapToGrid w:val="0"/>
          <w:lang w:val="en-GB" w:eastAsia="en-US"/>
        </w:rPr>
        <w:t xml:space="preserve"> </w:t>
      </w:r>
      <w:r w:rsidR="00B61B8B" w:rsidRPr="00A63AF1">
        <w:rPr>
          <w:rFonts w:asciiTheme="minorHAnsi" w:hAnsiTheme="minorHAnsi"/>
          <w:snapToGrid w:val="0"/>
          <w:lang w:val="en-GB" w:eastAsia="en-US"/>
        </w:rPr>
        <w:t>H</w:t>
      </w:r>
      <w:r w:rsidRPr="00A63AF1">
        <w:rPr>
          <w:rFonts w:asciiTheme="minorHAnsi" w:hAnsiTheme="minorHAnsi"/>
          <w:snapToGrid w:val="0"/>
          <w:lang w:val="en-GB" w:eastAsia="en-US"/>
        </w:rPr>
        <w:t>owever</w:t>
      </w:r>
      <w:r w:rsidR="00B61B8B" w:rsidRPr="00A63AF1">
        <w:rPr>
          <w:rFonts w:asciiTheme="minorHAnsi" w:hAnsiTheme="minorHAnsi"/>
          <w:snapToGrid w:val="0"/>
          <w:lang w:val="en-GB" w:eastAsia="en-US"/>
        </w:rPr>
        <w:t>,</w:t>
      </w:r>
      <w:r w:rsidRPr="00A63AF1">
        <w:rPr>
          <w:rFonts w:asciiTheme="minorHAnsi" w:hAnsiTheme="minorHAnsi"/>
          <w:snapToGrid w:val="0"/>
          <w:lang w:val="en-GB" w:eastAsia="en-US"/>
        </w:rPr>
        <w:t xml:space="preserve"> the PBAC considered that</w:t>
      </w:r>
      <w:r w:rsidR="00B61B8B" w:rsidRPr="00A63AF1">
        <w:rPr>
          <w:rFonts w:asciiTheme="minorHAnsi" w:hAnsiTheme="minorHAnsi"/>
          <w:snapToGrid w:val="0"/>
          <w:lang w:val="en-GB" w:eastAsia="en-US"/>
        </w:rPr>
        <w:t xml:space="preserve"> the</w:t>
      </w:r>
      <w:r w:rsidRPr="00A63AF1">
        <w:rPr>
          <w:rFonts w:asciiTheme="minorHAnsi" w:hAnsiTheme="minorHAnsi"/>
          <w:snapToGrid w:val="0"/>
          <w:lang w:val="en-GB" w:eastAsia="en-US"/>
        </w:rPr>
        <w:t xml:space="preserve"> </w:t>
      </w:r>
      <w:r w:rsidR="00FB64A7" w:rsidRPr="00A63AF1">
        <w:rPr>
          <w:rFonts w:asciiTheme="minorHAnsi" w:hAnsiTheme="minorHAnsi"/>
          <w:snapToGrid w:val="0"/>
          <w:lang w:val="en-GB" w:eastAsia="en-US"/>
        </w:rPr>
        <w:t>use</w:t>
      </w:r>
      <w:r w:rsidRPr="00A63AF1">
        <w:rPr>
          <w:rFonts w:asciiTheme="minorHAnsi" w:hAnsiTheme="minorHAnsi"/>
          <w:snapToGrid w:val="0"/>
          <w:lang w:val="en-GB" w:eastAsia="en-US"/>
        </w:rPr>
        <w:t xml:space="preserve"> of fludarabine-based chemoimmunotherapy </w:t>
      </w:r>
      <w:r w:rsidR="00B61B8B" w:rsidRPr="00A63AF1">
        <w:rPr>
          <w:rFonts w:asciiTheme="minorHAnsi" w:hAnsiTheme="minorHAnsi"/>
          <w:snapToGrid w:val="0"/>
          <w:lang w:val="en-GB" w:eastAsia="en-US"/>
        </w:rPr>
        <w:t xml:space="preserve">in CLL </w:t>
      </w:r>
      <w:r w:rsidRPr="00A63AF1">
        <w:rPr>
          <w:rFonts w:asciiTheme="minorHAnsi" w:hAnsiTheme="minorHAnsi"/>
          <w:snapToGrid w:val="0"/>
          <w:lang w:val="en-GB" w:eastAsia="en-US"/>
        </w:rPr>
        <w:t>is</w:t>
      </w:r>
      <w:r w:rsidR="00B61B8B" w:rsidRPr="00A63AF1">
        <w:rPr>
          <w:lang w:val="en-GB" w:eastAsia="en-US"/>
        </w:rPr>
        <w:t xml:space="preserve"> low and declining and as such, there would be no increase in use associated with the restriction change.</w:t>
      </w:r>
    </w:p>
    <w:bookmarkEnd w:id="87"/>
    <w:p w14:paraId="74EA3033" w14:textId="31B7A3DC" w:rsidR="008406FD" w:rsidRPr="00A63AF1" w:rsidRDefault="00685D18" w:rsidP="00B835BD">
      <w:pPr>
        <w:widowControl w:val="0"/>
        <w:numPr>
          <w:ilvl w:val="1"/>
          <w:numId w:val="1"/>
        </w:numPr>
        <w:spacing w:after="120"/>
        <w:ind w:left="720" w:hanging="720"/>
        <w:rPr>
          <w:rFonts w:ascii="Times New Roman" w:hAnsi="Times New Roman" w:cs="Times New Roman"/>
          <w:lang w:eastAsia="en-US"/>
        </w:rPr>
      </w:pPr>
      <w:r w:rsidRPr="00A63AF1">
        <w:rPr>
          <w:rFonts w:asciiTheme="minorHAnsi" w:hAnsiTheme="minorHAnsi"/>
          <w:snapToGrid w:val="0"/>
          <w:lang w:val="en-GB" w:eastAsia="en-US"/>
        </w:rPr>
        <w:t xml:space="preserve">The PBAC </w:t>
      </w:r>
      <w:r w:rsidR="001B7B34" w:rsidRPr="00A63AF1">
        <w:rPr>
          <w:rFonts w:asciiTheme="minorHAnsi" w:hAnsiTheme="minorHAnsi"/>
          <w:snapToGrid w:val="0"/>
          <w:lang w:val="en-GB" w:eastAsia="en-US"/>
        </w:rPr>
        <w:t xml:space="preserve">noted that the sponsor had </w:t>
      </w:r>
      <w:r w:rsidR="00644833" w:rsidRPr="00A63AF1">
        <w:rPr>
          <w:rFonts w:asciiTheme="minorHAnsi" w:hAnsiTheme="minorHAnsi"/>
          <w:snapToGrid w:val="0"/>
          <w:lang w:val="en-GB" w:eastAsia="en-US"/>
        </w:rPr>
        <w:t xml:space="preserve">proposed </w:t>
      </w:r>
      <w:r w:rsidR="001B7B34" w:rsidRPr="00A63AF1">
        <w:rPr>
          <w:rFonts w:asciiTheme="minorHAnsi" w:hAnsiTheme="minorHAnsi"/>
          <w:snapToGrid w:val="0"/>
          <w:lang w:val="en-GB" w:eastAsia="en-US"/>
        </w:rPr>
        <w:t xml:space="preserve">a RSA, and considered that this was appropriate to manage </w:t>
      </w:r>
      <w:r w:rsidR="002E7FDB" w:rsidRPr="00A63AF1">
        <w:rPr>
          <w:rFonts w:asciiTheme="minorHAnsi" w:hAnsiTheme="minorHAnsi"/>
          <w:snapToGrid w:val="0"/>
          <w:lang w:val="en-GB" w:eastAsia="en-US"/>
        </w:rPr>
        <w:t>the risk of (i)</w:t>
      </w:r>
      <w:r w:rsidR="00644833" w:rsidRPr="00A63AF1">
        <w:rPr>
          <w:rFonts w:asciiTheme="minorHAnsi" w:hAnsiTheme="minorHAnsi"/>
          <w:snapToGrid w:val="0"/>
          <w:lang w:val="en-GB" w:eastAsia="en-US"/>
        </w:rPr>
        <w:t xml:space="preserve"> </w:t>
      </w:r>
      <w:r w:rsidR="001B7B34" w:rsidRPr="00A63AF1">
        <w:rPr>
          <w:rFonts w:asciiTheme="minorHAnsi" w:hAnsiTheme="minorHAnsi"/>
          <w:snapToGrid w:val="0"/>
          <w:lang w:val="en-GB" w:eastAsia="en-US"/>
        </w:rPr>
        <w:t xml:space="preserve">the treatment duration </w:t>
      </w:r>
      <w:r w:rsidR="002E7FDB" w:rsidRPr="00A63AF1">
        <w:rPr>
          <w:rFonts w:asciiTheme="minorHAnsi" w:hAnsiTheme="minorHAnsi"/>
          <w:snapToGrid w:val="0"/>
          <w:lang w:val="en-GB" w:eastAsia="en-US"/>
        </w:rPr>
        <w:t xml:space="preserve">being longer than modelled with the additional use </w:t>
      </w:r>
      <w:r w:rsidR="00AB103D" w:rsidRPr="00A63AF1">
        <w:rPr>
          <w:rFonts w:asciiTheme="minorHAnsi" w:hAnsiTheme="minorHAnsi"/>
          <w:snapToGrid w:val="0"/>
          <w:lang w:val="en-GB" w:eastAsia="en-US"/>
        </w:rPr>
        <w:t xml:space="preserve">potentially </w:t>
      </w:r>
      <w:r w:rsidR="002E7FDB" w:rsidRPr="00A63AF1">
        <w:rPr>
          <w:rFonts w:asciiTheme="minorHAnsi" w:hAnsiTheme="minorHAnsi"/>
          <w:snapToGrid w:val="0"/>
          <w:lang w:val="en-GB" w:eastAsia="en-US"/>
        </w:rPr>
        <w:t>not being cost-effective</w:t>
      </w:r>
      <w:r w:rsidR="001B7B34" w:rsidRPr="00A63AF1">
        <w:rPr>
          <w:rFonts w:asciiTheme="minorHAnsi" w:hAnsiTheme="minorHAnsi"/>
          <w:snapToGrid w:val="0"/>
          <w:lang w:val="en-GB" w:eastAsia="en-US"/>
        </w:rPr>
        <w:t xml:space="preserve"> and</w:t>
      </w:r>
      <w:r w:rsidR="007E209B" w:rsidRPr="00A63AF1">
        <w:rPr>
          <w:rFonts w:asciiTheme="minorHAnsi" w:hAnsiTheme="minorHAnsi"/>
          <w:snapToGrid w:val="0"/>
          <w:lang w:val="en-GB" w:eastAsia="en-US"/>
        </w:rPr>
        <w:t xml:space="preserve"> </w:t>
      </w:r>
      <w:r w:rsidR="002E7FDB" w:rsidRPr="00A63AF1">
        <w:rPr>
          <w:rFonts w:asciiTheme="minorHAnsi" w:hAnsiTheme="minorHAnsi"/>
          <w:snapToGrid w:val="0"/>
          <w:lang w:val="en-GB" w:eastAsia="en-US"/>
        </w:rPr>
        <w:t>(ii)</w:t>
      </w:r>
      <w:r w:rsidR="001B7B34" w:rsidRPr="00A63AF1">
        <w:rPr>
          <w:rFonts w:asciiTheme="minorHAnsi" w:hAnsiTheme="minorHAnsi"/>
          <w:snapToGrid w:val="0"/>
          <w:lang w:val="en-GB" w:eastAsia="en-US"/>
        </w:rPr>
        <w:t xml:space="preserve"> </w:t>
      </w:r>
      <w:r w:rsidR="002E7FDB" w:rsidRPr="00A63AF1">
        <w:rPr>
          <w:rFonts w:asciiTheme="minorHAnsi" w:hAnsiTheme="minorHAnsi"/>
          <w:snapToGrid w:val="0"/>
          <w:lang w:val="en-GB" w:eastAsia="en-US"/>
        </w:rPr>
        <w:t xml:space="preserve">earlier </w:t>
      </w:r>
      <w:r w:rsidR="001B7B34" w:rsidRPr="00A63AF1">
        <w:rPr>
          <w:rFonts w:asciiTheme="minorHAnsi" w:hAnsiTheme="minorHAnsi"/>
          <w:snapToGrid w:val="0"/>
          <w:lang w:val="en-GB" w:eastAsia="en-US"/>
        </w:rPr>
        <w:t xml:space="preserve">use in patients not meeting the iwCLL criteria for </w:t>
      </w:r>
      <w:r w:rsidR="001E4ACD" w:rsidRPr="00A63AF1">
        <w:rPr>
          <w:rFonts w:asciiTheme="minorHAnsi" w:hAnsiTheme="minorHAnsi"/>
          <w:snapToGrid w:val="0"/>
          <w:lang w:val="en-GB" w:eastAsia="en-US"/>
        </w:rPr>
        <w:t xml:space="preserve">initiating </w:t>
      </w:r>
      <w:r w:rsidR="001B7B34" w:rsidRPr="00A63AF1">
        <w:rPr>
          <w:rFonts w:asciiTheme="minorHAnsi" w:hAnsiTheme="minorHAnsi"/>
          <w:snapToGrid w:val="0"/>
          <w:lang w:val="en-GB" w:eastAsia="en-US"/>
        </w:rPr>
        <w:t>treatment</w:t>
      </w:r>
      <w:r w:rsidR="002E7FDB" w:rsidRPr="00A63AF1">
        <w:rPr>
          <w:rFonts w:asciiTheme="minorHAnsi" w:hAnsiTheme="minorHAnsi"/>
          <w:snapToGrid w:val="0"/>
          <w:lang w:val="en-GB" w:eastAsia="en-US"/>
        </w:rPr>
        <w:t xml:space="preserve"> with such use </w:t>
      </w:r>
      <w:r w:rsidR="00AB103D" w:rsidRPr="00A63AF1">
        <w:rPr>
          <w:rFonts w:asciiTheme="minorHAnsi" w:hAnsiTheme="minorHAnsi"/>
          <w:snapToGrid w:val="0"/>
          <w:lang w:val="en-GB" w:eastAsia="en-US"/>
        </w:rPr>
        <w:t xml:space="preserve">potentially </w:t>
      </w:r>
      <w:r w:rsidR="002E7FDB" w:rsidRPr="00A63AF1">
        <w:rPr>
          <w:rFonts w:asciiTheme="minorHAnsi" w:hAnsiTheme="minorHAnsi"/>
          <w:snapToGrid w:val="0"/>
          <w:lang w:val="en-GB" w:eastAsia="en-US"/>
        </w:rPr>
        <w:t>not being cost-effective</w:t>
      </w:r>
      <w:r w:rsidR="001B7B34" w:rsidRPr="00A63AF1">
        <w:rPr>
          <w:rFonts w:asciiTheme="minorHAnsi" w:hAnsiTheme="minorHAnsi"/>
          <w:snapToGrid w:val="0"/>
          <w:lang w:val="en-GB" w:eastAsia="en-US"/>
        </w:rPr>
        <w:t>. The PBAC noted that while venetoclax has a RSA in the first-line setting, given it is a fixed duration</w:t>
      </w:r>
      <w:r w:rsidR="007E566A" w:rsidRPr="00A63AF1">
        <w:rPr>
          <w:rFonts w:asciiTheme="minorHAnsi" w:hAnsiTheme="minorHAnsi"/>
          <w:snapToGrid w:val="0"/>
          <w:lang w:val="en-GB" w:eastAsia="en-US"/>
        </w:rPr>
        <w:t>,</w:t>
      </w:r>
      <w:r w:rsidR="001B7B34" w:rsidRPr="00A63AF1">
        <w:rPr>
          <w:rFonts w:asciiTheme="minorHAnsi" w:hAnsiTheme="minorHAnsi"/>
          <w:snapToGrid w:val="0"/>
          <w:lang w:val="en-GB" w:eastAsia="en-US"/>
        </w:rPr>
        <w:t xml:space="preserve"> </w:t>
      </w:r>
      <w:r w:rsidR="0015750B" w:rsidRPr="00A63AF1">
        <w:rPr>
          <w:rFonts w:asciiTheme="minorHAnsi" w:hAnsiTheme="minorHAnsi"/>
          <w:snapToGrid w:val="0"/>
          <w:lang w:val="en-GB" w:eastAsia="en-US"/>
        </w:rPr>
        <w:t xml:space="preserve">the identified risks regarding </w:t>
      </w:r>
      <w:r w:rsidR="001B7B34" w:rsidRPr="00A63AF1">
        <w:rPr>
          <w:rFonts w:asciiTheme="minorHAnsi" w:hAnsiTheme="minorHAnsi"/>
          <w:snapToGrid w:val="0"/>
          <w:lang w:val="en-GB" w:eastAsia="en-US"/>
        </w:rPr>
        <w:t xml:space="preserve">zanubrutinib </w:t>
      </w:r>
      <w:r w:rsidR="0015750B" w:rsidRPr="00A63AF1">
        <w:rPr>
          <w:rFonts w:asciiTheme="minorHAnsi" w:hAnsiTheme="minorHAnsi"/>
          <w:snapToGrid w:val="0"/>
          <w:lang w:val="en-GB" w:eastAsia="en-US"/>
        </w:rPr>
        <w:t>use do not apply and hence</w:t>
      </w:r>
      <w:r w:rsidR="001B7B34" w:rsidRPr="00A63AF1">
        <w:rPr>
          <w:rFonts w:asciiTheme="minorHAnsi" w:hAnsiTheme="minorHAnsi"/>
          <w:snapToGrid w:val="0"/>
          <w:lang w:val="en-GB" w:eastAsia="en-US"/>
        </w:rPr>
        <w:t xml:space="preserve"> it </w:t>
      </w:r>
      <w:r w:rsidR="00B043B8" w:rsidRPr="00A63AF1">
        <w:rPr>
          <w:rFonts w:asciiTheme="minorHAnsi" w:hAnsiTheme="minorHAnsi"/>
          <w:snapToGrid w:val="0"/>
          <w:lang w:val="en-GB" w:eastAsia="en-US"/>
        </w:rPr>
        <w:t>may</w:t>
      </w:r>
      <w:r w:rsidR="001B7B34" w:rsidRPr="00A63AF1">
        <w:rPr>
          <w:rFonts w:asciiTheme="minorHAnsi" w:hAnsiTheme="minorHAnsi"/>
          <w:snapToGrid w:val="0"/>
          <w:lang w:val="en-GB" w:eastAsia="en-US"/>
        </w:rPr>
        <w:t xml:space="preserve"> not be appropriate to add zanubrutinib to the existing RSA for venetoclax. </w:t>
      </w:r>
    </w:p>
    <w:p w14:paraId="2C4C7052" w14:textId="0278804D" w:rsidR="00D65B57" w:rsidRPr="00A63AF1" w:rsidRDefault="00D65B57" w:rsidP="00D65B57">
      <w:pPr>
        <w:pStyle w:val="COMexecsumnumberedpara"/>
        <w:rPr>
          <w:lang w:val="en-GB" w:eastAsia="en-US"/>
        </w:rPr>
      </w:pPr>
      <w:r w:rsidRPr="00A63AF1">
        <w:rPr>
          <w:lang w:val="en-GB" w:eastAsia="en-US"/>
        </w:rPr>
        <w:lastRenderedPageBreak/>
        <w:t xml:space="preserve">The PBAC recommended that </w:t>
      </w:r>
      <w:r w:rsidR="00117874" w:rsidRPr="00A63AF1">
        <w:rPr>
          <w:lang w:val="en-GB" w:eastAsia="en-US"/>
        </w:rPr>
        <w:t xml:space="preserve">the restriction should allow for the </w:t>
      </w:r>
      <w:r w:rsidRPr="00A63AF1">
        <w:rPr>
          <w:lang w:val="en-GB" w:eastAsia="en-US"/>
        </w:rPr>
        <w:t xml:space="preserve">transition </w:t>
      </w:r>
      <w:r w:rsidR="00117874" w:rsidRPr="00A63AF1">
        <w:rPr>
          <w:lang w:val="en-GB" w:eastAsia="en-US"/>
        </w:rPr>
        <w:t xml:space="preserve">of </w:t>
      </w:r>
      <w:r w:rsidRPr="00A63AF1">
        <w:rPr>
          <w:lang w:val="en-GB" w:eastAsia="en-US"/>
        </w:rPr>
        <w:t xml:space="preserve">the approximately </w:t>
      </w:r>
      <w:r w:rsidR="00D37ECB">
        <w:rPr>
          <w:lang w:val="en-GB" w:eastAsia="en-US"/>
        </w:rPr>
        <w:t>&lt; 500</w:t>
      </w:r>
      <w:r w:rsidR="00D37ECB" w:rsidRPr="00A63AF1">
        <w:rPr>
          <w:lang w:val="en-GB" w:eastAsia="en-US"/>
        </w:rPr>
        <w:t xml:space="preserve"> </w:t>
      </w:r>
      <w:r w:rsidRPr="00A63AF1">
        <w:rPr>
          <w:lang w:val="en-GB" w:eastAsia="en-US"/>
        </w:rPr>
        <w:t>patients who commenced on non-PBS</w:t>
      </w:r>
      <w:r w:rsidR="00117874" w:rsidRPr="00A63AF1">
        <w:rPr>
          <w:lang w:val="en-GB" w:eastAsia="en-US"/>
        </w:rPr>
        <w:t>-</w:t>
      </w:r>
      <w:r w:rsidRPr="00A63AF1">
        <w:rPr>
          <w:lang w:val="en-GB" w:eastAsia="en-US"/>
        </w:rPr>
        <w:t>subsidised zanubrutinib through a compassionate access program</w:t>
      </w:r>
      <w:r w:rsidR="00117874" w:rsidRPr="00A63AF1">
        <w:rPr>
          <w:lang w:val="en-GB" w:eastAsia="en-US"/>
        </w:rPr>
        <w:t xml:space="preserve"> to access zanubrutinib on the PBS, provided the </w:t>
      </w:r>
      <w:r w:rsidR="005433EC" w:rsidRPr="00A63AF1">
        <w:rPr>
          <w:lang w:val="en-GB" w:eastAsia="en-US"/>
        </w:rPr>
        <w:t xml:space="preserve">patients had met the PBS initiation criteria at time of initiation with non-PBS therapy, and provided that the </w:t>
      </w:r>
      <w:r w:rsidR="00117874" w:rsidRPr="00A63AF1">
        <w:rPr>
          <w:lang w:val="en-GB" w:eastAsia="en-US"/>
        </w:rPr>
        <w:t>condition had not progressed whilst the patient was actively being treated with non-PBS-subsidised zanubrutinib</w:t>
      </w:r>
      <w:r w:rsidRPr="00A63AF1">
        <w:rPr>
          <w:lang w:val="en-GB" w:eastAsia="en-US"/>
        </w:rPr>
        <w:t>.</w:t>
      </w:r>
    </w:p>
    <w:p w14:paraId="0C43998D" w14:textId="6A8C6A34" w:rsidR="00AF021B" w:rsidRPr="00A63AF1" w:rsidRDefault="00A00967" w:rsidP="00B835BD">
      <w:pPr>
        <w:widowControl w:val="0"/>
        <w:numPr>
          <w:ilvl w:val="1"/>
          <w:numId w:val="1"/>
        </w:numPr>
        <w:spacing w:after="120"/>
        <w:ind w:left="720" w:hanging="720"/>
        <w:rPr>
          <w:rFonts w:asciiTheme="minorHAnsi" w:hAnsiTheme="minorHAnsi" w:cs="Times New Roman"/>
          <w:b/>
          <w:bCs/>
          <w:lang w:val="en-GB" w:eastAsia="en-US"/>
        </w:rPr>
      </w:pPr>
      <w:r w:rsidRPr="00A63AF1">
        <w:rPr>
          <w:rFonts w:asciiTheme="minorHAnsi" w:hAnsiTheme="minorHAnsi"/>
          <w:bCs/>
          <w:snapToGrid w:val="0"/>
          <w:lang w:val="en-GB" w:eastAsia="en-US"/>
        </w:rPr>
        <w:t>The PBAC noted th</w:t>
      </w:r>
      <w:r w:rsidR="004E2777" w:rsidRPr="00A63AF1">
        <w:rPr>
          <w:rFonts w:asciiTheme="minorHAnsi" w:hAnsiTheme="minorHAnsi"/>
          <w:bCs/>
          <w:snapToGrid w:val="0"/>
          <w:lang w:val="en-GB" w:eastAsia="en-US"/>
        </w:rPr>
        <w:t>at</w:t>
      </w:r>
      <w:r w:rsidRPr="00A63AF1">
        <w:rPr>
          <w:rFonts w:asciiTheme="minorHAnsi" w:hAnsiTheme="minorHAnsi"/>
          <w:bCs/>
          <w:snapToGrid w:val="0"/>
          <w:lang w:val="en-GB" w:eastAsia="en-US"/>
        </w:rPr>
        <w:t xml:space="preserve"> flow-on restriction changes</w:t>
      </w:r>
      <w:r w:rsidR="00B835BD" w:rsidRPr="00A63AF1">
        <w:rPr>
          <w:rFonts w:asciiTheme="minorHAnsi" w:hAnsiTheme="minorHAnsi"/>
          <w:bCs/>
          <w:snapToGrid w:val="0"/>
          <w:lang w:val="en-GB" w:eastAsia="en-US"/>
        </w:rPr>
        <w:t xml:space="preserve"> would be required for </w:t>
      </w:r>
      <w:r w:rsidR="00F90CCE" w:rsidRPr="00A63AF1">
        <w:rPr>
          <w:rFonts w:asciiTheme="minorHAnsi" w:hAnsiTheme="minorHAnsi"/>
          <w:bCs/>
          <w:snapToGrid w:val="0"/>
          <w:lang w:val="en-GB" w:eastAsia="en-US"/>
        </w:rPr>
        <w:t>other</w:t>
      </w:r>
      <w:r w:rsidR="00B835BD" w:rsidRPr="00A63AF1">
        <w:rPr>
          <w:rFonts w:asciiTheme="minorHAnsi" w:hAnsiTheme="minorHAnsi"/>
          <w:bCs/>
          <w:snapToGrid w:val="0"/>
          <w:lang w:val="en-GB" w:eastAsia="en-US"/>
        </w:rPr>
        <w:t xml:space="preserve"> therapies for CLL/SLL</w:t>
      </w:r>
      <w:r w:rsidR="00225E64" w:rsidRPr="00A63AF1">
        <w:rPr>
          <w:rFonts w:asciiTheme="minorHAnsi" w:hAnsiTheme="minorHAnsi"/>
          <w:bCs/>
          <w:snapToGrid w:val="0"/>
          <w:lang w:val="en-GB" w:eastAsia="en-US"/>
        </w:rPr>
        <w:t xml:space="preserve"> to ensure the therapies are only prescribed in accordance with the iwCLL guidance (latest version) in relation to when to prescribe drug treatment for this condition/when to monitor the patient without therapy</w:t>
      </w:r>
      <w:r w:rsidR="00B835BD" w:rsidRPr="00A63AF1">
        <w:rPr>
          <w:rFonts w:asciiTheme="minorHAnsi" w:hAnsiTheme="minorHAnsi"/>
          <w:bCs/>
          <w:snapToGrid w:val="0"/>
          <w:lang w:val="en-GB" w:eastAsia="en-US"/>
        </w:rPr>
        <w:t>.</w:t>
      </w:r>
    </w:p>
    <w:p w14:paraId="205181AD" w14:textId="379FE5E7" w:rsidR="00A00967" w:rsidRPr="00A00967" w:rsidRDefault="00A00967" w:rsidP="00B835BD">
      <w:pPr>
        <w:widowControl w:val="0"/>
        <w:numPr>
          <w:ilvl w:val="1"/>
          <w:numId w:val="1"/>
        </w:numPr>
        <w:spacing w:after="120"/>
        <w:ind w:left="720" w:hanging="720"/>
        <w:rPr>
          <w:rFonts w:asciiTheme="minorHAnsi" w:hAnsiTheme="minorHAnsi" w:cs="Times New Roman"/>
          <w:b/>
          <w:bCs/>
          <w:lang w:val="en-GB" w:eastAsia="en-US"/>
        </w:rPr>
      </w:pPr>
      <w:r w:rsidRPr="00A63AF1">
        <w:rPr>
          <w:rFonts w:asciiTheme="minorHAnsi" w:hAnsiTheme="minorHAnsi" w:cstheme="minorHAnsi"/>
          <w:lang w:val="en-GB" w:eastAsia="en-US"/>
        </w:rPr>
        <w:t xml:space="preserve">The PBAC noted that its recommendation was on a cost-minimisation basis and advised that, because </w:t>
      </w:r>
      <w:r w:rsidR="00F47367" w:rsidRPr="00A63AF1">
        <w:rPr>
          <w:rFonts w:asciiTheme="minorHAnsi" w:hAnsiTheme="minorHAnsi" w:cstheme="minorHAnsi"/>
          <w:lang w:val="en-GB" w:eastAsia="en-US"/>
        </w:rPr>
        <w:t>zanubrutinib</w:t>
      </w:r>
      <w:r w:rsidRPr="00A63AF1">
        <w:rPr>
          <w:rFonts w:asciiTheme="minorHAnsi" w:hAnsiTheme="minorHAnsi" w:cstheme="minorHAnsi"/>
          <w:lang w:val="en-GB" w:eastAsia="en-US"/>
        </w:rPr>
        <w:t xml:space="preserve"> is not expected to provide a substantial</w:t>
      </w:r>
      <w:r w:rsidRPr="00A63AF1">
        <w:rPr>
          <w:rFonts w:asciiTheme="minorHAnsi" w:hAnsiTheme="minorHAnsi" w:cs="Times New Roman"/>
          <w:bCs/>
          <w:lang w:val="en-GB" w:eastAsia="en-US"/>
        </w:rPr>
        <w:t xml:space="preserve"> and clinically relevant improvement in efficacy, or reduction of toxicity, over </w:t>
      </w:r>
      <w:r w:rsidR="00F47367" w:rsidRPr="00A63AF1">
        <w:rPr>
          <w:rFonts w:asciiTheme="minorHAnsi" w:hAnsiTheme="minorHAnsi" w:cs="Times New Roman"/>
          <w:bCs/>
          <w:lang w:val="en-GB" w:eastAsia="en-US"/>
        </w:rPr>
        <w:t>venetoclax plus obinutuzumab</w:t>
      </w:r>
      <w:r w:rsidRPr="00A63AF1">
        <w:rPr>
          <w:rFonts w:asciiTheme="minorHAnsi" w:hAnsiTheme="minorHAnsi" w:cs="Times New Roman"/>
          <w:bCs/>
          <w:lang w:val="en-GB" w:eastAsia="en-US"/>
        </w:rPr>
        <w:t xml:space="preserve">, or not expected to address a high and urgent unmet clinical need given the presence of an alternative therapy, the criteria prescribed by the </w:t>
      </w:r>
      <w:r w:rsidRPr="00A63AF1">
        <w:rPr>
          <w:rFonts w:asciiTheme="minorHAnsi" w:hAnsiTheme="minorHAnsi" w:cs="Times New Roman"/>
          <w:bCs/>
          <w:i/>
          <w:lang w:val="en-GB" w:eastAsia="en-US"/>
        </w:rPr>
        <w:t>National Health (Pharmaceuticals and Vaccines</w:t>
      </w:r>
      <w:r w:rsidRPr="00A00967">
        <w:rPr>
          <w:rFonts w:asciiTheme="minorHAnsi" w:hAnsiTheme="minorHAnsi" w:cs="Times New Roman"/>
          <w:bCs/>
          <w:i/>
          <w:lang w:val="en-GB" w:eastAsia="en-US"/>
        </w:rPr>
        <w:t xml:space="preserve"> – Cost Recovery) Regulations 2022</w:t>
      </w:r>
      <w:r w:rsidRPr="00A00967">
        <w:rPr>
          <w:rFonts w:asciiTheme="minorHAnsi" w:hAnsiTheme="minorHAnsi" w:cs="Times New Roman"/>
          <w:bCs/>
          <w:lang w:val="en-GB" w:eastAsia="en-US"/>
        </w:rPr>
        <w:t xml:space="preserve"> for Pricing Pathway A were not met.</w:t>
      </w:r>
    </w:p>
    <w:p w14:paraId="5F324C2C" w14:textId="5FDA9260" w:rsidR="00BE5416" w:rsidRPr="005C2D58" w:rsidRDefault="00A00967" w:rsidP="005C2D58">
      <w:pPr>
        <w:widowControl w:val="0"/>
        <w:numPr>
          <w:ilvl w:val="1"/>
          <w:numId w:val="1"/>
        </w:numPr>
        <w:spacing w:after="240"/>
        <w:ind w:left="720" w:hanging="720"/>
        <w:rPr>
          <w:rFonts w:asciiTheme="minorHAnsi" w:hAnsiTheme="minorHAnsi"/>
          <w:b/>
          <w:bCs/>
          <w:snapToGrid w:val="0"/>
          <w:lang w:val="en-GB" w:eastAsia="en-US"/>
        </w:rPr>
      </w:pPr>
      <w:r w:rsidRPr="00A00967">
        <w:rPr>
          <w:rFonts w:asciiTheme="minorHAnsi" w:hAnsiTheme="minorHAnsi"/>
          <w:bCs/>
          <w:snapToGrid w:val="0"/>
          <w:lang w:val="en-GB" w:eastAsia="en-US"/>
        </w:rPr>
        <w:t>The PBAC noted that this submission is not eligible for an Independent Review</w:t>
      </w:r>
      <w:r w:rsidR="00AF021B">
        <w:rPr>
          <w:rFonts w:asciiTheme="minorHAnsi" w:hAnsiTheme="minorHAnsi"/>
          <w:bCs/>
          <w:snapToGrid w:val="0"/>
          <w:lang w:val="en-GB" w:eastAsia="en-US"/>
        </w:rPr>
        <w:t xml:space="preserve"> </w:t>
      </w:r>
      <w:r w:rsidR="0050007E">
        <w:rPr>
          <w:rFonts w:asciiTheme="minorHAnsi" w:hAnsiTheme="minorHAnsi"/>
          <w:bCs/>
          <w:snapToGrid w:val="0"/>
          <w:lang w:val="en-GB" w:eastAsia="en-US"/>
        </w:rPr>
        <w:t>as</w:t>
      </w:r>
      <w:r w:rsidR="00AF021B">
        <w:rPr>
          <w:rFonts w:asciiTheme="minorHAnsi" w:hAnsiTheme="minorHAnsi"/>
          <w:bCs/>
          <w:snapToGrid w:val="0"/>
          <w:lang w:val="en-GB" w:eastAsia="en-US"/>
        </w:rPr>
        <w:t xml:space="preserve"> it received a positive recommendation</w:t>
      </w:r>
      <w:r w:rsidRPr="00A00967">
        <w:rPr>
          <w:rFonts w:asciiTheme="minorHAnsi" w:hAnsiTheme="minorHAnsi"/>
          <w:bCs/>
          <w:snapToGrid w:val="0"/>
          <w:lang w:val="en-GB" w:eastAsia="en-US"/>
        </w:rPr>
        <w:t xml:space="preserve">. </w:t>
      </w:r>
    </w:p>
    <w:p w14:paraId="6D4290F1" w14:textId="048A6D58" w:rsidR="00A00967" w:rsidRPr="00A00967" w:rsidRDefault="00A00967" w:rsidP="005C2D58">
      <w:pPr>
        <w:widowControl w:val="0"/>
        <w:jc w:val="left"/>
        <w:rPr>
          <w:rFonts w:asciiTheme="minorHAnsi" w:hAnsiTheme="minorHAnsi"/>
          <w:b/>
          <w:bCs/>
          <w:snapToGrid w:val="0"/>
          <w:lang w:val="en-GB" w:eastAsia="en-US"/>
        </w:rPr>
      </w:pPr>
      <w:r w:rsidRPr="00A00967">
        <w:rPr>
          <w:rFonts w:asciiTheme="minorHAnsi" w:hAnsiTheme="minorHAnsi"/>
          <w:b/>
          <w:bCs/>
          <w:snapToGrid w:val="0"/>
          <w:lang w:val="en-GB" w:eastAsia="en-US"/>
        </w:rPr>
        <w:t>Outcome:</w:t>
      </w:r>
    </w:p>
    <w:p w14:paraId="2DBF51F5" w14:textId="2B6D6206" w:rsidR="00A00967" w:rsidRDefault="00A00967" w:rsidP="00A00967">
      <w:pPr>
        <w:spacing w:after="120"/>
        <w:rPr>
          <w:rFonts w:asciiTheme="minorHAnsi" w:hAnsiTheme="minorHAnsi"/>
          <w:bCs/>
          <w:snapToGrid w:val="0"/>
          <w:lang w:val="en-GB" w:eastAsia="en-US"/>
        </w:rPr>
      </w:pPr>
      <w:r w:rsidRPr="00A00967">
        <w:rPr>
          <w:rFonts w:asciiTheme="minorHAnsi" w:hAnsiTheme="minorHAnsi"/>
          <w:bCs/>
          <w:snapToGrid w:val="0"/>
          <w:lang w:val="en-GB" w:eastAsia="en-US"/>
        </w:rPr>
        <w:t xml:space="preserve">Recommended </w:t>
      </w:r>
    </w:p>
    <w:bookmarkEnd w:id="82"/>
    <w:p w14:paraId="747E6BA3" w14:textId="77777777" w:rsidR="00A00967" w:rsidRPr="00792EB6" w:rsidRDefault="00A00967" w:rsidP="00605DE9">
      <w:pPr>
        <w:pStyle w:val="COMH1numbered"/>
        <w:numPr>
          <w:ilvl w:val="0"/>
          <w:numId w:val="1"/>
        </w:numPr>
      </w:pPr>
      <w:r w:rsidRPr="00605DE9">
        <w:t>Recommended</w:t>
      </w:r>
      <w:r w:rsidRPr="00792EB6">
        <w:t xml:space="preserve"> listing</w:t>
      </w:r>
    </w:p>
    <w:p w14:paraId="547A9C7C" w14:textId="6C38D9C9" w:rsidR="00B043B8" w:rsidRPr="00AA5CC7" w:rsidRDefault="00B043B8" w:rsidP="00B043B8">
      <w:pPr>
        <w:rPr>
          <w:rFonts w:cs="Calibri"/>
        </w:rPr>
      </w:pPr>
      <w:r>
        <w:rPr>
          <w:rFonts w:cs="Calibri"/>
        </w:rPr>
        <w:t>8.1</w:t>
      </w:r>
      <w:r>
        <w:rPr>
          <w:rFonts w:cs="Calibri"/>
        </w:rPr>
        <w:tab/>
        <w:t xml:space="preserve">Add </w:t>
      </w:r>
      <w:r w:rsidR="00A02E15">
        <w:rPr>
          <w:rFonts w:cs="Calibri"/>
        </w:rPr>
        <w:t xml:space="preserve">indication </w:t>
      </w:r>
      <w:r w:rsidRPr="005D68A7">
        <w:rPr>
          <w:rFonts w:cs="Calibri"/>
        </w:rPr>
        <w:t>as follows:</w:t>
      </w:r>
    </w:p>
    <w:p w14:paraId="1CA04C20" w14:textId="77777777" w:rsidR="00500919" w:rsidRPr="00A00967" w:rsidRDefault="00500919" w:rsidP="00A00967">
      <w:pPr>
        <w:widowControl w:val="0"/>
        <w:spacing w:after="120"/>
        <w:ind w:firstLine="720"/>
        <w:contextualSpacing/>
        <w:rPr>
          <w:rFonts w:asciiTheme="minorHAnsi" w:hAnsiTheme="minorHAnsi"/>
          <w:bCs/>
          <w:snapToGrid w:val="0"/>
          <w:lang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276"/>
        <w:gridCol w:w="1275"/>
        <w:gridCol w:w="1276"/>
        <w:gridCol w:w="851"/>
        <w:gridCol w:w="1559"/>
      </w:tblGrid>
      <w:tr w:rsidR="005C2D58" w:rsidRPr="005C2D58" w14:paraId="1CAE11B8" w14:textId="77777777" w:rsidTr="006A1BBC">
        <w:trPr>
          <w:cantSplit/>
          <w:trHeight w:val="339"/>
        </w:trPr>
        <w:tc>
          <w:tcPr>
            <w:tcW w:w="8784" w:type="dxa"/>
            <w:gridSpan w:val="7"/>
            <w:tcBorders>
              <w:top w:val="single" w:sz="4" w:space="0" w:color="auto"/>
              <w:left w:val="single" w:sz="4" w:space="0" w:color="auto"/>
              <w:bottom w:val="single" w:sz="4" w:space="0" w:color="auto"/>
              <w:right w:val="single" w:sz="4" w:space="0" w:color="auto"/>
            </w:tcBorders>
          </w:tcPr>
          <w:p w14:paraId="3E74AA17" w14:textId="77777777" w:rsidR="00556B48" w:rsidRPr="005C2D58" w:rsidRDefault="00556B48" w:rsidP="006A1BBC">
            <w:pPr>
              <w:keepNext/>
              <w:ind w:left="-57"/>
              <w:rPr>
                <w:rFonts w:ascii="Arial Narrow" w:hAnsi="Arial Narrow"/>
                <w:b/>
                <w:sz w:val="20"/>
                <w:szCs w:val="20"/>
              </w:rPr>
            </w:pPr>
            <w:bookmarkStart w:id="88" w:name="_Hlk129697898"/>
            <w:r w:rsidRPr="005C2D58">
              <w:rPr>
                <w:rFonts w:ascii="Arial Narrow" w:hAnsi="Arial Narrow"/>
                <w:b/>
                <w:sz w:val="20"/>
                <w:szCs w:val="20"/>
              </w:rPr>
              <w:t xml:space="preserve">Category / Program: </w:t>
            </w:r>
            <w:r w:rsidRPr="005C2D58">
              <w:rPr>
                <w:rFonts w:ascii="Arial Narrow" w:hAnsi="Arial Narrow"/>
                <w:sz w:val="20"/>
                <w:szCs w:val="20"/>
              </w:rPr>
              <w:t xml:space="preserve">GENERAL – General Schedule (Code GE) </w:t>
            </w:r>
          </w:p>
        </w:tc>
      </w:tr>
      <w:tr w:rsidR="005C2D58" w:rsidRPr="005C2D58" w14:paraId="49EC125E" w14:textId="77777777" w:rsidTr="006A1BBC">
        <w:trPr>
          <w:cantSplit/>
          <w:trHeight w:val="471"/>
        </w:trPr>
        <w:tc>
          <w:tcPr>
            <w:tcW w:w="2547" w:type="dxa"/>
            <w:gridSpan w:val="2"/>
          </w:tcPr>
          <w:p w14:paraId="5CEA7FC2" w14:textId="77777777" w:rsidR="00556B48" w:rsidRPr="005C2D58" w:rsidRDefault="00556B48" w:rsidP="006A1BBC">
            <w:pPr>
              <w:keepNext/>
              <w:ind w:left="-57"/>
              <w:rPr>
                <w:rFonts w:ascii="Arial Narrow" w:hAnsi="Arial Narrow"/>
                <w:b/>
                <w:bCs/>
                <w:sz w:val="20"/>
                <w:szCs w:val="20"/>
              </w:rPr>
            </w:pPr>
            <w:bookmarkStart w:id="89" w:name="_Hlk113624522"/>
            <w:r w:rsidRPr="005C2D58">
              <w:rPr>
                <w:rFonts w:ascii="Arial Narrow" w:hAnsi="Arial Narrow"/>
                <w:b/>
                <w:bCs/>
                <w:sz w:val="20"/>
                <w:szCs w:val="20"/>
              </w:rPr>
              <w:t>MEDICINAL PRODUCT</w:t>
            </w:r>
          </w:p>
          <w:p w14:paraId="2B340CFF" w14:textId="77777777" w:rsidR="00556B48" w:rsidRPr="005C2D58" w:rsidRDefault="00556B48" w:rsidP="006A1BBC">
            <w:pPr>
              <w:keepNext/>
              <w:ind w:left="-57"/>
              <w:rPr>
                <w:rFonts w:ascii="Arial Narrow" w:hAnsi="Arial Narrow"/>
                <w:b/>
                <w:sz w:val="20"/>
                <w:szCs w:val="20"/>
              </w:rPr>
            </w:pPr>
            <w:r w:rsidRPr="005C2D58">
              <w:rPr>
                <w:rFonts w:ascii="Arial Narrow" w:hAnsi="Arial Narrow"/>
                <w:b/>
                <w:bCs/>
                <w:sz w:val="20"/>
                <w:szCs w:val="20"/>
              </w:rPr>
              <w:t>medicinal product pack</w:t>
            </w:r>
          </w:p>
        </w:tc>
        <w:tc>
          <w:tcPr>
            <w:tcW w:w="1276" w:type="dxa"/>
          </w:tcPr>
          <w:p w14:paraId="06E34C1C" w14:textId="77777777" w:rsidR="00556B48" w:rsidRPr="005C2D58" w:rsidRDefault="00556B48" w:rsidP="004B0A86">
            <w:pPr>
              <w:keepNext/>
              <w:jc w:val="center"/>
              <w:rPr>
                <w:rFonts w:ascii="Arial Narrow" w:hAnsi="Arial Narrow"/>
                <w:b/>
                <w:sz w:val="20"/>
                <w:szCs w:val="20"/>
              </w:rPr>
            </w:pPr>
            <w:r w:rsidRPr="005C2D58">
              <w:rPr>
                <w:rFonts w:ascii="Arial Narrow" w:hAnsi="Arial Narrow"/>
                <w:b/>
                <w:sz w:val="20"/>
                <w:szCs w:val="20"/>
              </w:rPr>
              <w:t>PBS item code</w:t>
            </w:r>
          </w:p>
        </w:tc>
        <w:tc>
          <w:tcPr>
            <w:tcW w:w="1275" w:type="dxa"/>
          </w:tcPr>
          <w:p w14:paraId="58EB8DDC" w14:textId="77777777" w:rsidR="00556B48" w:rsidRPr="005C2D58" w:rsidRDefault="00556B48" w:rsidP="004B0A86">
            <w:pPr>
              <w:keepNext/>
              <w:jc w:val="center"/>
              <w:rPr>
                <w:rFonts w:ascii="Arial Narrow" w:hAnsi="Arial Narrow"/>
                <w:b/>
                <w:sz w:val="20"/>
                <w:szCs w:val="20"/>
              </w:rPr>
            </w:pPr>
            <w:r w:rsidRPr="005C2D58">
              <w:rPr>
                <w:rFonts w:ascii="Arial Narrow" w:hAnsi="Arial Narrow"/>
                <w:b/>
                <w:sz w:val="20"/>
                <w:szCs w:val="20"/>
              </w:rPr>
              <w:t>Max. qty packs</w:t>
            </w:r>
          </w:p>
        </w:tc>
        <w:tc>
          <w:tcPr>
            <w:tcW w:w="1276" w:type="dxa"/>
          </w:tcPr>
          <w:p w14:paraId="5FAE19E5" w14:textId="77777777" w:rsidR="00556B48" w:rsidRPr="005C2D58" w:rsidRDefault="00556B48" w:rsidP="004B0A86">
            <w:pPr>
              <w:keepNext/>
              <w:jc w:val="center"/>
              <w:rPr>
                <w:rFonts w:ascii="Arial Narrow" w:hAnsi="Arial Narrow"/>
                <w:b/>
                <w:sz w:val="20"/>
                <w:szCs w:val="20"/>
              </w:rPr>
            </w:pPr>
            <w:r w:rsidRPr="005C2D58">
              <w:rPr>
                <w:rFonts w:ascii="Arial Narrow" w:hAnsi="Arial Narrow"/>
                <w:b/>
                <w:sz w:val="20"/>
                <w:szCs w:val="20"/>
              </w:rPr>
              <w:t>Max. qty units</w:t>
            </w:r>
          </w:p>
        </w:tc>
        <w:tc>
          <w:tcPr>
            <w:tcW w:w="851" w:type="dxa"/>
          </w:tcPr>
          <w:p w14:paraId="35245264" w14:textId="77777777" w:rsidR="00556B48" w:rsidRPr="005C2D58" w:rsidRDefault="00556B48" w:rsidP="004B0A86">
            <w:pPr>
              <w:keepNext/>
              <w:ind w:left="-108"/>
              <w:jc w:val="center"/>
              <w:rPr>
                <w:rFonts w:ascii="Arial Narrow" w:hAnsi="Arial Narrow"/>
                <w:b/>
                <w:sz w:val="20"/>
                <w:szCs w:val="20"/>
              </w:rPr>
            </w:pPr>
            <w:r w:rsidRPr="005C2D58">
              <w:rPr>
                <w:rFonts w:ascii="Arial Narrow" w:hAnsi="Arial Narrow"/>
                <w:b/>
                <w:sz w:val="20"/>
                <w:szCs w:val="20"/>
              </w:rPr>
              <w:t>№.of Rpts</w:t>
            </w:r>
          </w:p>
        </w:tc>
        <w:tc>
          <w:tcPr>
            <w:tcW w:w="1559" w:type="dxa"/>
          </w:tcPr>
          <w:p w14:paraId="4D7984E5" w14:textId="77777777" w:rsidR="00556B48" w:rsidRPr="005C2D58" w:rsidRDefault="00556B48" w:rsidP="004B0A86">
            <w:pPr>
              <w:keepNext/>
              <w:jc w:val="center"/>
              <w:rPr>
                <w:rFonts w:ascii="Arial Narrow" w:hAnsi="Arial Narrow"/>
                <w:b/>
                <w:sz w:val="20"/>
                <w:szCs w:val="20"/>
                <w:lang w:val="fr-FR"/>
              </w:rPr>
            </w:pPr>
            <w:r w:rsidRPr="005C2D58">
              <w:rPr>
                <w:rFonts w:ascii="Arial Narrow" w:hAnsi="Arial Narrow"/>
                <w:b/>
                <w:sz w:val="20"/>
                <w:szCs w:val="20"/>
              </w:rPr>
              <w:t>Available brands</w:t>
            </w:r>
          </w:p>
        </w:tc>
      </w:tr>
      <w:tr w:rsidR="005C2D58" w:rsidRPr="005C2D58" w14:paraId="359DEAA2" w14:textId="77777777" w:rsidTr="006A1BBC">
        <w:trPr>
          <w:cantSplit/>
          <w:trHeight w:val="224"/>
        </w:trPr>
        <w:tc>
          <w:tcPr>
            <w:tcW w:w="8784" w:type="dxa"/>
            <w:gridSpan w:val="7"/>
          </w:tcPr>
          <w:p w14:paraId="00897D70" w14:textId="77777777" w:rsidR="00556B48" w:rsidRPr="005C2D58" w:rsidRDefault="00556B48" w:rsidP="006A1BBC">
            <w:pPr>
              <w:keepNext/>
              <w:ind w:left="-57"/>
              <w:rPr>
                <w:rFonts w:ascii="Arial Narrow" w:hAnsi="Arial Narrow"/>
                <w:sz w:val="20"/>
                <w:szCs w:val="20"/>
              </w:rPr>
            </w:pPr>
            <w:r w:rsidRPr="005C2D58">
              <w:rPr>
                <w:rFonts w:ascii="Arial Narrow" w:hAnsi="Arial Narrow"/>
                <w:sz w:val="20"/>
                <w:szCs w:val="20"/>
              </w:rPr>
              <w:t>ZANUBRUTINIB</w:t>
            </w:r>
          </w:p>
        </w:tc>
      </w:tr>
      <w:tr w:rsidR="005C2D58" w:rsidRPr="005C2D58" w14:paraId="23349296" w14:textId="77777777" w:rsidTr="006A1BBC">
        <w:trPr>
          <w:cantSplit/>
          <w:trHeight w:val="193"/>
        </w:trPr>
        <w:tc>
          <w:tcPr>
            <w:tcW w:w="2547" w:type="dxa"/>
            <w:gridSpan w:val="2"/>
          </w:tcPr>
          <w:p w14:paraId="063F247E" w14:textId="77777777" w:rsidR="00556B48" w:rsidRPr="005C2D58" w:rsidRDefault="00556B48" w:rsidP="006A1BBC">
            <w:pPr>
              <w:keepNext/>
              <w:ind w:left="-57"/>
              <w:rPr>
                <w:rFonts w:ascii="Arial Narrow" w:hAnsi="Arial Narrow"/>
                <w:sz w:val="20"/>
                <w:szCs w:val="20"/>
              </w:rPr>
            </w:pPr>
            <w:r w:rsidRPr="005C2D58">
              <w:rPr>
                <w:rFonts w:ascii="Arial Narrow" w:hAnsi="Arial Narrow"/>
                <w:sz w:val="20"/>
                <w:szCs w:val="20"/>
              </w:rPr>
              <w:t>zanubrutinib 80 mg capsule, 120</w:t>
            </w:r>
          </w:p>
        </w:tc>
        <w:tc>
          <w:tcPr>
            <w:tcW w:w="1276" w:type="dxa"/>
          </w:tcPr>
          <w:p w14:paraId="3F67BA55" w14:textId="77777777" w:rsidR="00556B48" w:rsidRPr="005C2D58" w:rsidRDefault="00556B48" w:rsidP="006A1BBC">
            <w:pPr>
              <w:keepNext/>
              <w:jc w:val="center"/>
              <w:rPr>
                <w:rFonts w:ascii="Arial Narrow" w:hAnsi="Arial Narrow"/>
                <w:sz w:val="20"/>
                <w:szCs w:val="20"/>
              </w:rPr>
            </w:pPr>
            <w:r w:rsidRPr="005C2D58">
              <w:rPr>
                <w:rFonts w:ascii="Arial Narrow" w:hAnsi="Arial Narrow"/>
                <w:sz w:val="20"/>
                <w:szCs w:val="20"/>
              </w:rPr>
              <w:t>NEW 1</w:t>
            </w:r>
          </w:p>
          <w:p w14:paraId="09643070" w14:textId="77777777" w:rsidR="00556B48" w:rsidRPr="005C2D58" w:rsidRDefault="00556B48" w:rsidP="006A1BBC">
            <w:pPr>
              <w:keepNext/>
              <w:jc w:val="center"/>
              <w:rPr>
                <w:rFonts w:ascii="Arial Narrow" w:hAnsi="Arial Narrow"/>
                <w:sz w:val="20"/>
                <w:szCs w:val="20"/>
                <w:vertAlign w:val="subscript"/>
              </w:rPr>
            </w:pPr>
            <w:r w:rsidRPr="005C2D58">
              <w:rPr>
                <w:rFonts w:ascii="Arial Narrow" w:hAnsi="Arial Narrow"/>
                <w:sz w:val="20"/>
                <w:szCs w:val="20"/>
                <w:vertAlign w:val="subscript"/>
              </w:rPr>
              <w:t>MP</w:t>
            </w:r>
          </w:p>
        </w:tc>
        <w:tc>
          <w:tcPr>
            <w:tcW w:w="1275" w:type="dxa"/>
          </w:tcPr>
          <w:p w14:paraId="63A2FF31" w14:textId="77777777" w:rsidR="00556B48" w:rsidRPr="005C2D58" w:rsidRDefault="00556B48" w:rsidP="006A1BBC">
            <w:pPr>
              <w:keepNext/>
              <w:jc w:val="center"/>
              <w:rPr>
                <w:rFonts w:ascii="Arial Narrow" w:hAnsi="Arial Narrow"/>
                <w:sz w:val="20"/>
                <w:szCs w:val="20"/>
              </w:rPr>
            </w:pPr>
            <w:r w:rsidRPr="005C2D58">
              <w:rPr>
                <w:rFonts w:ascii="Arial Narrow" w:hAnsi="Arial Narrow"/>
                <w:sz w:val="20"/>
                <w:szCs w:val="20"/>
              </w:rPr>
              <w:t>1</w:t>
            </w:r>
          </w:p>
        </w:tc>
        <w:tc>
          <w:tcPr>
            <w:tcW w:w="1276" w:type="dxa"/>
          </w:tcPr>
          <w:p w14:paraId="7F24F814" w14:textId="77777777" w:rsidR="00556B48" w:rsidRPr="005C2D58" w:rsidRDefault="00556B48" w:rsidP="006A1BBC">
            <w:pPr>
              <w:keepNext/>
              <w:jc w:val="center"/>
              <w:rPr>
                <w:rFonts w:ascii="Arial Narrow" w:hAnsi="Arial Narrow"/>
                <w:sz w:val="20"/>
                <w:szCs w:val="20"/>
              </w:rPr>
            </w:pPr>
            <w:r w:rsidRPr="005C2D58">
              <w:rPr>
                <w:rFonts w:ascii="Arial Narrow" w:hAnsi="Arial Narrow"/>
                <w:sz w:val="20"/>
                <w:szCs w:val="20"/>
              </w:rPr>
              <w:t>120</w:t>
            </w:r>
          </w:p>
        </w:tc>
        <w:tc>
          <w:tcPr>
            <w:tcW w:w="851" w:type="dxa"/>
          </w:tcPr>
          <w:p w14:paraId="484E0C14" w14:textId="77777777" w:rsidR="00556B48" w:rsidRPr="005C2D58" w:rsidRDefault="00556B48" w:rsidP="006A1BBC">
            <w:pPr>
              <w:keepNext/>
              <w:jc w:val="center"/>
              <w:rPr>
                <w:rFonts w:ascii="Arial Narrow" w:hAnsi="Arial Narrow"/>
                <w:sz w:val="20"/>
                <w:szCs w:val="20"/>
              </w:rPr>
            </w:pPr>
            <w:r w:rsidRPr="005C2D58">
              <w:rPr>
                <w:rFonts w:ascii="Arial Narrow" w:hAnsi="Arial Narrow"/>
                <w:sz w:val="20"/>
                <w:szCs w:val="20"/>
              </w:rPr>
              <w:t>5</w:t>
            </w:r>
          </w:p>
        </w:tc>
        <w:tc>
          <w:tcPr>
            <w:tcW w:w="1559" w:type="dxa"/>
          </w:tcPr>
          <w:p w14:paraId="75323BFF" w14:textId="77777777" w:rsidR="00556B48" w:rsidRPr="005C2D58" w:rsidRDefault="00556B48" w:rsidP="006A1BBC">
            <w:pPr>
              <w:keepNext/>
              <w:rPr>
                <w:rFonts w:ascii="Arial Narrow" w:eastAsia="MS Gothic" w:hAnsi="Arial Narrow"/>
                <w:bCs/>
                <w:sz w:val="20"/>
                <w:szCs w:val="20"/>
              </w:rPr>
            </w:pPr>
            <w:r w:rsidRPr="005C2D58">
              <w:rPr>
                <w:rFonts w:ascii="Arial Narrow" w:eastAsia="MS Gothic" w:hAnsi="Arial Narrow"/>
                <w:bCs/>
                <w:sz w:val="20"/>
                <w:szCs w:val="20"/>
              </w:rPr>
              <w:t>Brukinsa</w:t>
            </w:r>
          </w:p>
        </w:tc>
      </w:tr>
      <w:tr w:rsidR="005C2D58" w:rsidRPr="005C2D58" w14:paraId="1258EF87" w14:textId="77777777" w:rsidTr="006A1BBC">
        <w:trPr>
          <w:cantSplit/>
          <w:trHeight w:val="193"/>
        </w:trPr>
        <w:tc>
          <w:tcPr>
            <w:tcW w:w="8784" w:type="dxa"/>
            <w:gridSpan w:val="7"/>
          </w:tcPr>
          <w:p w14:paraId="32E83C2A" w14:textId="0E469B40" w:rsidR="00556B48" w:rsidRPr="005C2D58" w:rsidRDefault="00556B48" w:rsidP="006A1BBC">
            <w:pPr>
              <w:keepNext/>
              <w:jc w:val="right"/>
              <w:rPr>
                <w:rFonts w:ascii="Arial Narrow" w:eastAsia="MS Gothic" w:hAnsi="Arial Narrow"/>
                <w:bCs/>
                <w:sz w:val="20"/>
                <w:szCs w:val="20"/>
              </w:rPr>
            </w:pPr>
            <w:r w:rsidRPr="005C2D58">
              <w:rPr>
                <w:rFonts w:ascii="Arial Narrow" w:eastAsia="MS Gothic" w:hAnsi="Arial Narrow"/>
                <w:bCs/>
                <w:sz w:val="20"/>
                <w:szCs w:val="20"/>
              </w:rPr>
              <w:t xml:space="preserve">Safety Net Rule Penalty Applies? Yes </w:t>
            </w:r>
          </w:p>
        </w:tc>
      </w:tr>
      <w:tr w:rsidR="005C2D58" w:rsidRPr="005C2D58" w14:paraId="3A899ECD"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7"/>
            <w:tcBorders>
              <w:top w:val="single" w:sz="4" w:space="0" w:color="auto"/>
              <w:left w:val="single" w:sz="4" w:space="0" w:color="auto"/>
              <w:right w:val="single" w:sz="4" w:space="0" w:color="auto"/>
            </w:tcBorders>
          </w:tcPr>
          <w:p w14:paraId="78E9C077" w14:textId="77777777" w:rsidR="00556B48" w:rsidRPr="005C2D58" w:rsidRDefault="00556B48" w:rsidP="006A1BBC">
            <w:pPr>
              <w:rPr>
                <w:rFonts w:ascii="Arial Narrow" w:hAnsi="Arial Narrow"/>
                <w:sz w:val="20"/>
                <w:szCs w:val="20"/>
              </w:rPr>
            </w:pPr>
          </w:p>
        </w:tc>
      </w:tr>
      <w:tr w:rsidR="005C2D58" w:rsidRPr="005C2D58" w14:paraId="725C081C"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7"/>
            <w:tcBorders>
              <w:top w:val="single" w:sz="4" w:space="0" w:color="auto"/>
              <w:left w:val="single" w:sz="4" w:space="0" w:color="auto"/>
              <w:right w:val="single" w:sz="4" w:space="0" w:color="auto"/>
            </w:tcBorders>
          </w:tcPr>
          <w:p w14:paraId="6060885B" w14:textId="4168278C" w:rsidR="00556B48" w:rsidRPr="005C2D58" w:rsidRDefault="00556B48" w:rsidP="006A1BBC">
            <w:pPr>
              <w:rPr>
                <w:rFonts w:ascii="Arial Narrow" w:hAnsi="Arial Narrow"/>
                <w:b/>
                <w:sz w:val="20"/>
                <w:szCs w:val="20"/>
              </w:rPr>
            </w:pPr>
            <w:r w:rsidRPr="005C2D58">
              <w:rPr>
                <w:rFonts w:ascii="Arial Narrow" w:hAnsi="Arial Narrow"/>
                <w:b/>
                <w:sz w:val="20"/>
                <w:szCs w:val="20"/>
              </w:rPr>
              <w:t xml:space="preserve">Restriction Summary / Treatment of Concept: Authority Required </w:t>
            </w:r>
          </w:p>
        </w:tc>
      </w:tr>
      <w:bookmarkEnd w:id="88"/>
      <w:bookmarkEnd w:id="89"/>
      <w:tr w:rsidR="005C2D58" w:rsidRPr="005C2D58" w14:paraId="5C79A364" w14:textId="77777777" w:rsidTr="008D4506">
        <w:tblPrEx>
          <w:tblCellMar>
            <w:top w:w="15" w:type="dxa"/>
            <w:left w:w="15" w:type="dxa"/>
            <w:bottom w:w="15" w:type="dxa"/>
            <w:right w:w="15" w:type="dxa"/>
          </w:tblCellMar>
          <w:tblLook w:val="04A0" w:firstRow="1" w:lastRow="0" w:firstColumn="1" w:lastColumn="0" w:noHBand="0" w:noVBand="1"/>
        </w:tblPrEx>
        <w:tc>
          <w:tcPr>
            <w:tcW w:w="981" w:type="dxa"/>
            <w:vAlign w:val="center"/>
          </w:tcPr>
          <w:p w14:paraId="4FB02071" w14:textId="59EE6DC6" w:rsidR="00556B48" w:rsidRPr="005C2D58" w:rsidRDefault="00556B48" w:rsidP="006A1BBC">
            <w:pPr>
              <w:jc w:val="center"/>
              <w:rPr>
                <w:rFonts w:ascii="Arial Narrow" w:hAnsi="Arial Narrow"/>
                <w:sz w:val="20"/>
                <w:szCs w:val="20"/>
              </w:rPr>
            </w:pPr>
          </w:p>
        </w:tc>
        <w:tc>
          <w:tcPr>
            <w:tcW w:w="7803" w:type="dxa"/>
            <w:gridSpan w:val="6"/>
            <w:vAlign w:val="center"/>
            <w:hideMark/>
          </w:tcPr>
          <w:p w14:paraId="32D97C13" w14:textId="77777777" w:rsidR="00556B48" w:rsidRPr="005C2D58" w:rsidRDefault="00556B48" w:rsidP="006A1BBC">
            <w:pPr>
              <w:rPr>
                <w:rFonts w:ascii="Arial Narrow" w:hAnsi="Arial Narrow"/>
                <w:sz w:val="20"/>
                <w:szCs w:val="20"/>
              </w:rPr>
            </w:pPr>
            <w:r w:rsidRPr="005C2D58">
              <w:rPr>
                <w:rFonts w:ascii="Arial Narrow" w:hAnsi="Arial Narrow"/>
                <w:b/>
                <w:bCs/>
                <w:sz w:val="20"/>
                <w:szCs w:val="20"/>
              </w:rPr>
              <w:t>Indication:</w:t>
            </w:r>
            <w:r w:rsidRPr="005C2D58">
              <w:rPr>
                <w:rFonts w:ascii="Arial Narrow" w:hAnsi="Arial Narrow"/>
                <w:sz w:val="20"/>
                <w:szCs w:val="20"/>
              </w:rPr>
              <w:t xml:space="preserve"> Chronic lymphocytic leukaemia (CLL) or small lymphocytic lymphoma (SLL)</w:t>
            </w:r>
          </w:p>
        </w:tc>
      </w:tr>
      <w:tr w:rsidR="005C2D58" w:rsidRPr="005C2D58" w14:paraId="2C5E0B4E" w14:textId="77777777" w:rsidTr="006A1BB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17E1FE6" w14:textId="77777777" w:rsidR="00556B48" w:rsidRPr="005C2D58" w:rsidRDefault="00556B48" w:rsidP="006A1BBC">
            <w:pPr>
              <w:jc w:val="center"/>
              <w:rPr>
                <w:rFonts w:ascii="Arial Narrow" w:hAnsi="Arial Narrow"/>
                <w:sz w:val="20"/>
                <w:szCs w:val="20"/>
              </w:rPr>
            </w:pPr>
          </w:p>
        </w:tc>
        <w:tc>
          <w:tcPr>
            <w:tcW w:w="7803" w:type="dxa"/>
            <w:gridSpan w:val="6"/>
            <w:vAlign w:val="center"/>
          </w:tcPr>
          <w:p w14:paraId="1E9A9BF7" w14:textId="77777777" w:rsidR="00556B48" w:rsidRPr="005C2D58" w:rsidRDefault="00556B48" w:rsidP="006A1BBC">
            <w:pPr>
              <w:rPr>
                <w:rFonts w:ascii="Arial Narrow" w:hAnsi="Arial Narrow"/>
                <w:b/>
                <w:bCs/>
                <w:sz w:val="20"/>
                <w:szCs w:val="20"/>
              </w:rPr>
            </w:pPr>
          </w:p>
        </w:tc>
      </w:tr>
      <w:tr w:rsidR="005C2D58" w:rsidRPr="005C2D58" w14:paraId="22D1106D" w14:textId="77777777" w:rsidTr="008D4506">
        <w:tblPrEx>
          <w:tblCellMar>
            <w:top w:w="15" w:type="dxa"/>
            <w:left w:w="15" w:type="dxa"/>
            <w:bottom w:w="15" w:type="dxa"/>
            <w:right w:w="15" w:type="dxa"/>
          </w:tblCellMar>
          <w:tblLook w:val="04A0" w:firstRow="1" w:lastRow="0" w:firstColumn="1" w:lastColumn="0" w:noHBand="0" w:noVBand="1"/>
        </w:tblPrEx>
        <w:tc>
          <w:tcPr>
            <w:tcW w:w="981" w:type="dxa"/>
            <w:vAlign w:val="center"/>
          </w:tcPr>
          <w:p w14:paraId="2EE46822" w14:textId="77777777" w:rsidR="00556B48" w:rsidRPr="005C2D58" w:rsidRDefault="00556B48" w:rsidP="006A1BBC">
            <w:pPr>
              <w:jc w:val="center"/>
              <w:rPr>
                <w:rFonts w:ascii="Arial Narrow" w:hAnsi="Arial Narrow"/>
                <w:sz w:val="20"/>
                <w:szCs w:val="20"/>
              </w:rPr>
            </w:pPr>
          </w:p>
        </w:tc>
        <w:tc>
          <w:tcPr>
            <w:tcW w:w="7803" w:type="dxa"/>
            <w:gridSpan w:val="6"/>
            <w:vAlign w:val="center"/>
            <w:hideMark/>
          </w:tcPr>
          <w:p w14:paraId="0B7BAE0E" w14:textId="77777777" w:rsidR="00556B48" w:rsidRPr="005C2D58" w:rsidRDefault="00556B48" w:rsidP="006A1BBC">
            <w:pPr>
              <w:rPr>
                <w:rFonts w:ascii="Arial Narrow" w:hAnsi="Arial Narrow"/>
                <w:sz w:val="20"/>
                <w:szCs w:val="20"/>
              </w:rPr>
            </w:pPr>
            <w:r w:rsidRPr="005C2D58">
              <w:rPr>
                <w:rFonts w:ascii="Arial Narrow" w:hAnsi="Arial Narrow"/>
                <w:b/>
                <w:bCs/>
                <w:sz w:val="20"/>
                <w:szCs w:val="20"/>
              </w:rPr>
              <w:t>Treatment Phase:</w:t>
            </w:r>
            <w:r w:rsidRPr="005C2D58">
              <w:rPr>
                <w:rFonts w:ascii="Arial Narrow" w:hAnsi="Arial Narrow"/>
                <w:sz w:val="20"/>
                <w:szCs w:val="20"/>
              </w:rPr>
              <w:t xml:space="preserve"> First line drug treatment of this indication</w:t>
            </w:r>
          </w:p>
        </w:tc>
      </w:tr>
      <w:tr w:rsidR="005C2D58" w:rsidRPr="005C2D58" w14:paraId="0D18BDEE" w14:textId="77777777" w:rsidTr="006A1BB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6FE80F" w14:textId="77777777" w:rsidR="00556B48" w:rsidRPr="005C2D58" w:rsidRDefault="00556B48" w:rsidP="006A1BBC">
            <w:pPr>
              <w:jc w:val="center"/>
              <w:rPr>
                <w:rFonts w:ascii="Arial Narrow" w:hAnsi="Arial Narrow"/>
                <w:sz w:val="20"/>
                <w:szCs w:val="20"/>
              </w:rPr>
            </w:pPr>
          </w:p>
        </w:tc>
        <w:tc>
          <w:tcPr>
            <w:tcW w:w="7803" w:type="dxa"/>
            <w:gridSpan w:val="6"/>
            <w:vAlign w:val="center"/>
          </w:tcPr>
          <w:p w14:paraId="652665B5" w14:textId="77777777" w:rsidR="00556B48" w:rsidRPr="005C2D58" w:rsidRDefault="00556B48" w:rsidP="006A1BBC">
            <w:pPr>
              <w:rPr>
                <w:rFonts w:ascii="Arial Narrow" w:hAnsi="Arial Narrow"/>
                <w:b/>
                <w:bCs/>
                <w:sz w:val="20"/>
                <w:szCs w:val="20"/>
              </w:rPr>
            </w:pPr>
          </w:p>
        </w:tc>
      </w:tr>
      <w:tr w:rsidR="005C2D58" w:rsidRPr="005C2D58" w14:paraId="6B2024E1" w14:textId="77777777" w:rsidTr="008D4506">
        <w:tblPrEx>
          <w:tblCellMar>
            <w:top w:w="15" w:type="dxa"/>
            <w:left w:w="15" w:type="dxa"/>
            <w:bottom w:w="15" w:type="dxa"/>
            <w:right w:w="15" w:type="dxa"/>
          </w:tblCellMar>
          <w:tblLook w:val="04A0" w:firstRow="1" w:lastRow="0" w:firstColumn="1" w:lastColumn="0" w:noHBand="0" w:noVBand="1"/>
        </w:tblPrEx>
        <w:trPr>
          <w:trHeight w:val="264"/>
        </w:trPr>
        <w:tc>
          <w:tcPr>
            <w:tcW w:w="981" w:type="dxa"/>
            <w:vAlign w:val="center"/>
          </w:tcPr>
          <w:p w14:paraId="093AF987" w14:textId="2AF62D62" w:rsidR="00556B48" w:rsidRPr="005C2D58" w:rsidRDefault="00556B48" w:rsidP="006A1BBC">
            <w:pPr>
              <w:jc w:val="center"/>
              <w:rPr>
                <w:rFonts w:ascii="Arial Narrow" w:hAnsi="Arial Narrow"/>
                <w:sz w:val="20"/>
                <w:szCs w:val="20"/>
              </w:rPr>
            </w:pPr>
          </w:p>
        </w:tc>
        <w:tc>
          <w:tcPr>
            <w:tcW w:w="7803" w:type="dxa"/>
            <w:gridSpan w:val="6"/>
            <w:vAlign w:val="center"/>
            <w:hideMark/>
          </w:tcPr>
          <w:p w14:paraId="36836E02" w14:textId="77777777" w:rsidR="00556B48" w:rsidRPr="005C2D58" w:rsidRDefault="00556B48" w:rsidP="006A1BBC">
            <w:pPr>
              <w:rPr>
                <w:rFonts w:ascii="Arial Narrow" w:hAnsi="Arial Narrow"/>
                <w:sz w:val="20"/>
                <w:szCs w:val="20"/>
              </w:rPr>
            </w:pPr>
            <w:r w:rsidRPr="005C2D58">
              <w:rPr>
                <w:rFonts w:ascii="Arial Narrow" w:hAnsi="Arial Narrow"/>
                <w:b/>
                <w:bCs/>
                <w:sz w:val="20"/>
                <w:szCs w:val="20"/>
              </w:rPr>
              <w:t xml:space="preserve">Clinical criteria: </w:t>
            </w:r>
          </w:p>
        </w:tc>
      </w:tr>
      <w:tr w:rsidR="005C2D58" w:rsidRPr="005C2D58" w14:paraId="49BBB8CF" w14:textId="77777777" w:rsidTr="008D4506">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B33C9FE" w14:textId="4137C405"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1CD8F1AA"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The condition must be untreated with drug treatment at the time of the first dose of this drug; or</w:t>
            </w:r>
          </w:p>
        </w:tc>
      </w:tr>
      <w:tr w:rsidR="005C2D58" w:rsidRPr="005C2D58" w14:paraId="0120CAEC"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1ADC3ED" w14:textId="1367CF3B"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42423610" w14:textId="5C6A3888" w:rsidR="00556B48" w:rsidRPr="005C2D58" w:rsidRDefault="00556B48" w:rsidP="006A1BBC">
            <w:pPr>
              <w:rPr>
                <w:rFonts w:ascii="Arial Narrow" w:hAnsi="Arial Narrow"/>
                <w:sz w:val="20"/>
                <w:szCs w:val="20"/>
              </w:rPr>
            </w:pPr>
            <w:r w:rsidRPr="005C2D58">
              <w:rPr>
                <w:rFonts w:ascii="Arial Narrow" w:hAnsi="Arial Narrow"/>
                <w:sz w:val="20"/>
                <w:szCs w:val="20"/>
              </w:rPr>
              <w:t>Patient must have developed an intolerance of a severity necessitating permanent treatment withdrawal following use of another drug PBS-indicated as first-line drug treatment of CLL/SLL</w:t>
            </w:r>
          </w:p>
        </w:tc>
      </w:tr>
      <w:tr w:rsidR="005C2D58" w:rsidRPr="005C2D58" w14:paraId="551AC0A2" w14:textId="77777777" w:rsidTr="008D4506">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21581AB" w14:textId="77777777"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6E1C7754"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AND</w:t>
            </w:r>
          </w:p>
        </w:tc>
      </w:tr>
      <w:tr w:rsidR="005C2D58" w:rsidRPr="005C2D58" w14:paraId="6C821000"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E5CEF13" w14:textId="1085D4FE"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4E4C9F24"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Clinical criteria:</w:t>
            </w:r>
          </w:p>
        </w:tc>
      </w:tr>
      <w:tr w:rsidR="005C2D58" w:rsidRPr="005C2D58" w14:paraId="0AF8830E"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4ACCDBB" w14:textId="7948BD7B"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045D50FC" w14:textId="69A72FD7" w:rsidR="00556B48" w:rsidRPr="005C2D58" w:rsidRDefault="00556B48" w:rsidP="006A1BBC">
            <w:pPr>
              <w:rPr>
                <w:rFonts w:ascii="Arial Narrow" w:hAnsi="Arial Narrow"/>
                <w:b/>
                <w:bCs/>
                <w:sz w:val="20"/>
                <w:szCs w:val="20"/>
              </w:rPr>
            </w:pPr>
            <w:r w:rsidRPr="005C2D58">
              <w:rPr>
                <w:rFonts w:ascii="Arial Narrow" w:hAnsi="Arial Narrow"/>
                <w:sz w:val="20"/>
                <w:szCs w:val="20"/>
              </w:rPr>
              <w:t xml:space="preserve">The treatment must </w:t>
            </w:r>
            <w:r w:rsidR="00395B94" w:rsidRPr="005C2D58">
              <w:rPr>
                <w:rFonts w:ascii="Arial Narrow" w:hAnsi="Arial Narrow"/>
                <w:sz w:val="20"/>
                <w:szCs w:val="20"/>
              </w:rPr>
              <w:t xml:space="preserve">only </w:t>
            </w:r>
            <w:r w:rsidRPr="005C2D58">
              <w:rPr>
                <w:rFonts w:ascii="Arial Narrow" w:hAnsi="Arial Narrow"/>
                <w:sz w:val="20"/>
                <w:szCs w:val="20"/>
              </w:rPr>
              <w:t xml:space="preserve">be prescribed </w:t>
            </w:r>
            <w:r w:rsidR="00395B94" w:rsidRPr="005C2D58">
              <w:rPr>
                <w:rFonts w:ascii="Arial Narrow" w:hAnsi="Arial Narrow"/>
                <w:sz w:val="20"/>
                <w:szCs w:val="20"/>
              </w:rPr>
              <w:t xml:space="preserve">for patients with active disease </w:t>
            </w:r>
            <w:r w:rsidRPr="005C2D58">
              <w:rPr>
                <w:rFonts w:ascii="Arial Narrow" w:hAnsi="Arial Narrow"/>
                <w:sz w:val="20"/>
                <w:szCs w:val="20"/>
              </w:rPr>
              <w:t>in accordance with the International Workshop on CLL (iwCLL) guidance (latest version) in relation to when to prescribe drug treatment for this condition</w:t>
            </w:r>
          </w:p>
        </w:tc>
      </w:tr>
      <w:tr w:rsidR="005C2D58" w:rsidRPr="005C2D58" w14:paraId="19A9F3F9"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AC869B4" w14:textId="77777777"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758C1260"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AND</w:t>
            </w:r>
          </w:p>
        </w:tc>
      </w:tr>
      <w:tr w:rsidR="005C2D58" w:rsidRPr="005C2D58" w14:paraId="0CE5B98A"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28015E1E" w14:textId="769A1423"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57846363"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Clinical criteria:</w:t>
            </w:r>
          </w:p>
        </w:tc>
      </w:tr>
      <w:tr w:rsidR="005C2D58" w:rsidRPr="005C2D58" w14:paraId="5D4AC050"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40B9E2D" w14:textId="100377AE"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2CC00349"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The treatment must be the sole PBS-subsidised systemic anti-cancer therapy for this PBS indication.</w:t>
            </w:r>
          </w:p>
        </w:tc>
      </w:tr>
      <w:tr w:rsidR="005C2D58" w:rsidRPr="005C2D58" w14:paraId="091158FB"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17C0B121" w14:textId="77777777"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56580053" w14:textId="77777777" w:rsidR="00556B48" w:rsidRPr="005C2D58" w:rsidRDefault="00556B48" w:rsidP="006A1BBC">
            <w:pPr>
              <w:rPr>
                <w:rFonts w:ascii="Arial Narrow" w:hAnsi="Arial Narrow"/>
                <w:b/>
                <w:bCs/>
                <w:sz w:val="20"/>
                <w:szCs w:val="20"/>
              </w:rPr>
            </w:pPr>
          </w:p>
        </w:tc>
      </w:tr>
      <w:tr w:rsidR="005C2D58" w:rsidRPr="005C2D58" w14:paraId="7D4AC630"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98F4D14" w14:textId="70131684"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098CE571"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Treatment criteria:</w:t>
            </w:r>
          </w:p>
        </w:tc>
      </w:tr>
      <w:tr w:rsidR="005C2D58" w:rsidRPr="005C2D58" w14:paraId="1F1A1126"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8A20ABC" w14:textId="2753AAA9"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3B82AC55" w14:textId="30C34155" w:rsidR="00556B48" w:rsidRPr="005C2D58" w:rsidRDefault="00556B48" w:rsidP="006A1BBC">
            <w:pPr>
              <w:rPr>
                <w:rFonts w:ascii="Arial Narrow" w:hAnsi="Arial Narrow"/>
                <w:sz w:val="20"/>
                <w:szCs w:val="20"/>
              </w:rPr>
            </w:pPr>
            <w:r w:rsidRPr="005C2D58">
              <w:rPr>
                <w:rFonts w:ascii="Arial Narrow" w:hAnsi="Arial Narrow"/>
                <w:sz w:val="20"/>
                <w:szCs w:val="20"/>
              </w:rPr>
              <w:t>Patient must be undergoing initial treatment with this drug – this is the first</w:t>
            </w:r>
            <w:r w:rsidR="00117874" w:rsidRPr="005C2D58">
              <w:rPr>
                <w:rFonts w:ascii="Arial Narrow" w:hAnsi="Arial Narrow"/>
                <w:sz w:val="20"/>
                <w:szCs w:val="20"/>
              </w:rPr>
              <w:t xml:space="preserve"> </w:t>
            </w:r>
            <w:r w:rsidRPr="005C2D58">
              <w:rPr>
                <w:rFonts w:ascii="Arial Narrow" w:hAnsi="Arial Narrow"/>
                <w:sz w:val="20"/>
                <w:szCs w:val="20"/>
              </w:rPr>
              <w:t>prescription for this drug; or</w:t>
            </w:r>
          </w:p>
        </w:tc>
      </w:tr>
      <w:tr w:rsidR="005C2D58" w:rsidRPr="005C2D58" w14:paraId="18B4C4F0"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610913B" w14:textId="4FC6CDAA" w:rsidR="00556B48" w:rsidRPr="005C2D58" w:rsidRDefault="00556B48" w:rsidP="006A1BBC">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04A067A5"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Patient must be undergoing continuing treatment with this drug – the condition has not progressed whilst the patient has actively been on this drug</w:t>
            </w:r>
          </w:p>
        </w:tc>
      </w:tr>
      <w:tr w:rsidR="005C2D58" w:rsidRPr="005C2D58" w14:paraId="257898F9" w14:textId="77777777" w:rsidTr="006A1BBC">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9F3F42A" w14:textId="77777777" w:rsidR="00556B48" w:rsidRPr="005C2D58" w:rsidRDefault="00556B48" w:rsidP="006A1BBC">
            <w:pPr>
              <w:jc w:val="center"/>
              <w:rPr>
                <w:rFonts w:ascii="Arial Narrow" w:hAnsi="Arial Narrow"/>
                <w:strike/>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4EEAEC50" w14:textId="75DD1A8A" w:rsidR="00556B48" w:rsidRPr="005C2D58" w:rsidRDefault="00556B48" w:rsidP="006A1BBC">
            <w:pPr>
              <w:rPr>
                <w:rFonts w:ascii="Arial Narrow" w:hAnsi="Arial Narrow"/>
                <w:strike/>
                <w:sz w:val="20"/>
                <w:szCs w:val="20"/>
              </w:rPr>
            </w:pPr>
          </w:p>
        </w:tc>
      </w:tr>
      <w:tr w:rsidR="005C2D58" w:rsidRPr="005C2D58" w14:paraId="023AC449" w14:textId="77777777" w:rsidTr="006A1BBC">
        <w:tblPrEx>
          <w:tblCellMar>
            <w:top w:w="15" w:type="dxa"/>
            <w:left w:w="15" w:type="dxa"/>
            <w:bottom w:w="15" w:type="dxa"/>
            <w:right w:w="15" w:type="dxa"/>
          </w:tblCellMar>
          <w:tblLook w:val="04A0" w:firstRow="1" w:lastRow="0" w:firstColumn="1" w:lastColumn="0" w:noHBand="0" w:noVBand="1"/>
        </w:tblPrEx>
        <w:tc>
          <w:tcPr>
            <w:tcW w:w="981" w:type="dxa"/>
          </w:tcPr>
          <w:p w14:paraId="4794F063" w14:textId="18CCDC69" w:rsidR="00556B48" w:rsidRPr="005C2D58" w:rsidRDefault="00556B48" w:rsidP="006A1BBC">
            <w:pPr>
              <w:jc w:val="center"/>
              <w:rPr>
                <w:rFonts w:ascii="Arial Narrow" w:hAnsi="Arial Narrow"/>
                <w:strike/>
                <w:sz w:val="20"/>
                <w:szCs w:val="20"/>
              </w:rPr>
            </w:pPr>
          </w:p>
        </w:tc>
        <w:tc>
          <w:tcPr>
            <w:tcW w:w="7803" w:type="dxa"/>
            <w:gridSpan w:val="6"/>
          </w:tcPr>
          <w:p w14:paraId="37D6F289"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 xml:space="preserve">Administrative advice: </w:t>
            </w:r>
          </w:p>
          <w:p w14:paraId="4C23532D" w14:textId="77777777" w:rsidR="00556B48" w:rsidRPr="005C2D58" w:rsidRDefault="00556B48" w:rsidP="006A1BBC">
            <w:pPr>
              <w:rPr>
                <w:rFonts w:ascii="Arial Narrow" w:hAnsi="Arial Narrow"/>
                <w:strike/>
                <w:sz w:val="20"/>
                <w:szCs w:val="20"/>
              </w:rPr>
            </w:pPr>
            <w:r w:rsidRPr="005C2D58">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C2D58" w:rsidRPr="005C2D58" w14:paraId="7B85DC53" w14:textId="77777777" w:rsidTr="006A1BBC">
        <w:tblPrEx>
          <w:tblCellMar>
            <w:top w:w="15" w:type="dxa"/>
            <w:left w:w="15" w:type="dxa"/>
            <w:bottom w:w="15" w:type="dxa"/>
            <w:right w:w="15" w:type="dxa"/>
          </w:tblCellMar>
          <w:tblLook w:val="04A0" w:firstRow="1" w:lastRow="0" w:firstColumn="1" w:lastColumn="0" w:noHBand="0" w:noVBand="1"/>
        </w:tblPrEx>
        <w:tc>
          <w:tcPr>
            <w:tcW w:w="981" w:type="dxa"/>
          </w:tcPr>
          <w:p w14:paraId="2388DD51" w14:textId="06305FF8" w:rsidR="00556B48" w:rsidRPr="005C2D58" w:rsidRDefault="00556B48" w:rsidP="006A1BBC">
            <w:pPr>
              <w:jc w:val="center"/>
              <w:rPr>
                <w:rFonts w:ascii="Arial Narrow" w:hAnsi="Arial Narrow"/>
                <w:sz w:val="20"/>
                <w:szCs w:val="20"/>
              </w:rPr>
            </w:pPr>
          </w:p>
        </w:tc>
        <w:tc>
          <w:tcPr>
            <w:tcW w:w="7803" w:type="dxa"/>
            <w:gridSpan w:val="6"/>
          </w:tcPr>
          <w:p w14:paraId="549F3A21"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 xml:space="preserve">Administrative advice: </w:t>
            </w:r>
            <w:r w:rsidRPr="005C2D58">
              <w:rPr>
                <w:rFonts w:ascii="Arial Narrow" w:hAnsi="Arial Narrow"/>
                <w:bCs/>
                <w:sz w:val="20"/>
                <w:szCs w:val="20"/>
              </w:rPr>
              <w:t>No increase in the maximum quantity or number of units may be authorised.</w:t>
            </w:r>
          </w:p>
        </w:tc>
      </w:tr>
      <w:tr w:rsidR="005C2D58" w:rsidRPr="005C2D58" w14:paraId="58E3AC6D" w14:textId="77777777" w:rsidTr="006A1BBC">
        <w:tblPrEx>
          <w:tblCellMar>
            <w:top w:w="15" w:type="dxa"/>
            <w:left w:w="15" w:type="dxa"/>
            <w:bottom w:w="15" w:type="dxa"/>
            <w:right w:w="15" w:type="dxa"/>
          </w:tblCellMar>
          <w:tblLook w:val="04A0" w:firstRow="1" w:lastRow="0" w:firstColumn="1" w:lastColumn="0" w:noHBand="0" w:noVBand="1"/>
        </w:tblPrEx>
        <w:tc>
          <w:tcPr>
            <w:tcW w:w="981" w:type="dxa"/>
          </w:tcPr>
          <w:p w14:paraId="59626246" w14:textId="08DE6CF0" w:rsidR="00556B48" w:rsidRPr="005C2D58" w:rsidRDefault="00556B48" w:rsidP="006A1BBC">
            <w:pPr>
              <w:jc w:val="center"/>
              <w:rPr>
                <w:rFonts w:ascii="Arial Narrow" w:hAnsi="Arial Narrow"/>
                <w:sz w:val="20"/>
                <w:szCs w:val="20"/>
              </w:rPr>
            </w:pPr>
          </w:p>
        </w:tc>
        <w:tc>
          <w:tcPr>
            <w:tcW w:w="7803" w:type="dxa"/>
            <w:gridSpan w:val="6"/>
          </w:tcPr>
          <w:p w14:paraId="2E60F6AA"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 xml:space="preserve">Administrative advice: </w:t>
            </w:r>
            <w:r w:rsidRPr="005C2D58">
              <w:rPr>
                <w:rFonts w:ascii="Arial Narrow" w:hAnsi="Arial Narrow"/>
                <w:bCs/>
                <w:sz w:val="20"/>
                <w:szCs w:val="20"/>
              </w:rPr>
              <w:t>No increase in the maximum number of repeats may be authorised.</w:t>
            </w:r>
          </w:p>
        </w:tc>
      </w:tr>
      <w:tr w:rsidR="005C2D58" w:rsidRPr="005C2D58" w14:paraId="1EE89D9A" w14:textId="77777777" w:rsidTr="006A1BBC">
        <w:tblPrEx>
          <w:tblCellMar>
            <w:top w:w="15" w:type="dxa"/>
            <w:left w:w="15" w:type="dxa"/>
            <w:bottom w:w="15" w:type="dxa"/>
            <w:right w:w="15" w:type="dxa"/>
          </w:tblCellMar>
          <w:tblLook w:val="04A0" w:firstRow="1" w:lastRow="0" w:firstColumn="1" w:lastColumn="0" w:noHBand="0" w:noVBand="1"/>
        </w:tblPrEx>
        <w:tc>
          <w:tcPr>
            <w:tcW w:w="981" w:type="dxa"/>
          </w:tcPr>
          <w:p w14:paraId="315AB52E" w14:textId="5805DD5F" w:rsidR="00556B48" w:rsidRPr="005C2D58" w:rsidRDefault="00556B48" w:rsidP="006A1BBC">
            <w:pPr>
              <w:jc w:val="center"/>
              <w:rPr>
                <w:rFonts w:ascii="Arial Narrow" w:hAnsi="Arial Narrow"/>
                <w:sz w:val="20"/>
                <w:szCs w:val="20"/>
              </w:rPr>
            </w:pPr>
          </w:p>
        </w:tc>
        <w:tc>
          <w:tcPr>
            <w:tcW w:w="7803" w:type="dxa"/>
            <w:gridSpan w:val="6"/>
          </w:tcPr>
          <w:p w14:paraId="7FE5688B" w14:textId="77777777" w:rsidR="00556B48" w:rsidRPr="005C2D58" w:rsidRDefault="00556B48" w:rsidP="006A1BBC">
            <w:pPr>
              <w:rPr>
                <w:rFonts w:ascii="Arial Narrow" w:hAnsi="Arial Narrow"/>
                <w:b/>
                <w:bCs/>
                <w:sz w:val="20"/>
                <w:szCs w:val="20"/>
              </w:rPr>
            </w:pPr>
            <w:r w:rsidRPr="005C2D58">
              <w:rPr>
                <w:rFonts w:ascii="Arial Narrow" w:hAnsi="Arial Narrow"/>
                <w:b/>
                <w:bCs/>
                <w:sz w:val="20"/>
                <w:szCs w:val="20"/>
              </w:rPr>
              <w:t xml:space="preserve">Administrative advice: </w:t>
            </w:r>
            <w:r w:rsidRPr="005C2D58">
              <w:rPr>
                <w:rFonts w:ascii="Arial Narrow" w:hAnsi="Arial Narrow"/>
                <w:bCs/>
                <w:sz w:val="20"/>
                <w:szCs w:val="20"/>
              </w:rPr>
              <w:t>Special Pricing Arrangements apply.</w:t>
            </w:r>
          </w:p>
        </w:tc>
      </w:tr>
      <w:tr w:rsidR="005C2D58" w:rsidRPr="005C2D58" w14:paraId="0A03B7D0" w14:textId="77777777" w:rsidTr="006A1BBC">
        <w:tblPrEx>
          <w:tblCellMar>
            <w:top w:w="15" w:type="dxa"/>
            <w:left w:w="15" w:type="dxa"/>
            <w:bottom w:w="15" w:type="dxa"/>
            <w:right w:w="15" w:type="dxa"/>
          </w:tblCellMar>
          <w:tblLook w:val="04A0" w:firstRow="1" w:lastRow="0" w:firstColumn="1" w:lastColumn="0" w:noHBand="0" w:noVBand="1"/>
        </w:tblPrEx>
        <w:tc>
          <w:tcPr>
            <w:tcW w:w="981" w:type="dxa"/>
          </w:tcPr>
          <w:p w14:paraId="4161FDF1" w14:textId="740A6977" w:rsidR="00556B48" w:rsidRPr="005C2D58" w:rsidRDefault="00556B48" w:rsidP="006A1BBC">
            <w:pPr>
              <w:jc w:val="center"/>
              <w:rPr>
                <w:rFonts w:ascii="Arial Narrow" w:hAnsi="Arial Narrow"/>
                <w:bCs/>
                <w:sz w:val="20"/>
                <w:szCs w:val="20"/>
              </w:rPr>
            </w:pPr>
          </w:p>
        </w:tc>
        <w:tc>
          <w:tcPr>
            <w:tcW w:w="7803" w:type="dxa"/>
            <w:gridSpan w:val="6"/>
          </w:tcPr>
          <w:p w14:paraId="6757E209" w14:textId="77777777" w:rsidR="00556B48" w:rsidRPr="005C2D58" w:rsidRDefault="00556B48" w:rsidP="006A1BBC">
            <w:pPr>
              <w:rPr>
                <w:rFonts w:ascii="Arial Narrow" w:hAnsi="Arial Narrow"/>
                <w:bCs/>
                <w:sz w:val="20"/>
                <w:szCs w:val="20"/>
              </w:rPr>
            </w:pPr>
            <w:r w:rsidRPr="005C2D58">
              <w:rPr>
                <w:rFonts w:ascii="Arial Narrow" w:hAnsi="Arial Narrow"/>
                <w:b/>
                <w:bCs/>
                <w:sz w:val="20"/>
                <w:szCs w:val="20"/>
              </w:rPr>
              <w:t xml:space="preserve">Administrative advice: </w:t>
            </w:r>
          </w:p>
          <w:p w14:paraId="31876B28"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The latest International Workshop on CLL (iwCLL) provides guidance on various aspects of management of CLL/SLL. Notably, two of these are:</w:t>
            </w:r>
          </w:p>
          <w:p w14:paraId="3326A8FC"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(1) when to treat versus when to monitor the patient without therapy – see ‘Indications for treatment’ section; and</w:t>
            </w:r>
          </w:p>
          <w:p w14:paraId="6D2DA203"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(2) recognising progressive disease – see ‘Definition of response, relapse, and refractory disease’ section.</w:t>
            </w:r>
          </w:p>
          <w:p w14:paraId="0AAD3E76" w14:textId="77777777" w:rsidR="00556B48" w:rsidRPr="005C2D58" w:rsidRDefault="00556B48" w:rsidP="006A1BBC">
            <w:pPr>
              <w:rPr>
                <w:rFonts w:ascii="Arial Narrow" w:hAnsi="Arial Narrow"/>
                <w:sz w:val="20"/>
                <w:szCs w:val="20"/>
              </w:rPr>
            </w:pPr>
          </w:p>
          <w:p w14:paraId="3341E19A"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See the following literature reference for details:</w:t>
            </w:r>
          </w:p>
          <w:p w14:paraId="01789549" w14:textId="77777777" w:rsidR="00556B48" w:rsidRPr="005C2D58" w:rsidRDefault="00556B48" w:rsidP="006A1BBC">
            <w:pPr>
              <w:rPr>
                <w:rFonts w:ascii="Arial Narrow" w:hAnsi="Arial Narrow"/>
                <w:sz w:val="20"/>
                <w:szCs w:val="20"/>
              </w:rPr>
            </w:pPr>
            <w:r w:rsidRPr="005C2D58">
              <w:rPr>
                <w:rFonts w:ascii="Arial Narrow" w:hAnsi="Arial Narrow"/>
                <w:sz w:val="20"/>
                <w:szCs w:val="20"/>
              </w:rPr>
              <w:t>Hallek, M et al. iwCLL guidelines for diagnosis, indications for treatment, response assessment, and supportive management of CLL. </w:t>
            </w:r>
            <w:r w:rsidRPr="005C2D58">
              <w:rPr>
                <w:rFonts w:ascii="Arial Narrow" w:hAnsi="Arial Narrow"/>
                <w:i/>
                <w:iCs/>
                <w:sz w:val="20"/>
                <w:szCs w:val="20"/>
              </w:rPr>
              <w:t>Blood</w:t>
            </w:r>
            <w:r w:rsidRPr="005C2D58">
              <w:rPr>
                <w:rFonts w:ascii="Arial Narrow" w:hAnsi="Arial Narrow"/>
                <w:sz w:val="20"/>
                <w:szCs w:val="20"/>
              </w:rPr>
              <w:t> vol. 131, 25 (2018): 2745-2760.</w:t>
            </w:r>
          </w:p>
        </w:tc>
      </w:tr>
      <w:bookmarkEnd w:id="83"/>
    </w:tbl>
    <w:p w14:paraId="02A98FAD" w14:textId="77777777" w:rsidR="005C2D58" w:rsidRPr="005C2D58" w:rsidRDefault="005C2D58" w:rsidP="00C533D8">
      <w:pPr>
        <w:rPr>
          <w:i/>
          <w:iCs/>
        </w:rPr>
      </w:pPr>
    </w:p>
    <w:p w14:paraId="039DA6B9" w14:textId="4B8F4DAC" w:rsidR="00ED5F8D" w:rsidRPr="005C2D58" w:rsidRDefault="00ED5F8D" w:rsidP="009F497A">
      <w:pPr>
        <w:spacing w:after="120"/>
        <w:rPr>
          <w:i/>
          <w:iCs/>
        </w:rPr>
      </w:pPr>
      <w:r w:rsidRPr="005C2D58">
        <w:rPr>
          <w:i/>
          <w:iCs/>
        </w:rPr>
        <w:t>Flow-on changes</w:t>
      </w:r>
    </w:p>
    <w:p w14:paraId="5211B00B" w14:textId="77777777" w:rsidR="00ED5F8D" w:rsidRPr="005C2D58" w:rsidRDefault="00ED5F8D" w:rsidP="00ED5F8D">
      <w:r w:rsidRPr="005C2D58">
        <w:t>8.2</w:t>
      </w:r>
      <w:r w:rsidRPr="005C2D58">
        <w:tab/>
        <w:t>Amend the following venetoclax listings as follows:</w:t>
      </w:r>
    </w:p>
    <w:p w14:paraId="651596CD" w14:textId="77777777" w:rsidR="00ED5F8D" w:rsidRPr="005C2D58" w:rsidRDefault="00ED5F8D" w:rsidP="00ED5F8D"/>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993"/>
        <w:gridCol w:w="1275"/>
        <w:gridCol w:w="1276"/>
        <w:gridCol w:w="851"/>
        <w:gridCol w:w="1559"/>
      </w:tblGrid>
      <w:tr w:rsidR="005C2D58" w:rsidRPr="005C2D58" w14:paraId="2B12AA2C" w14:textId="77777777" w:rsidTr="006A1BBC">
        <w:trPr>
          <w:cantSplit/>
          <w:trHeight w:val="339"/>
        </w:trPr>
        <w:tc>
          <w:tcPr>
            <w:tcW w:w="8784" w:type="dxa"/>
            <w:gridSpan w:val="6"/>
            <w:tcBorders>
              <w:top w:val="single" w:sz="4" w:space="0" w:color="auto"/>
              <w:left w:val="single" w:sz="4" w:space="0" w:color="auto"/>
              <w:bottom w:val="single" w:sz="4" w:space="0" w:color="auto"/>
              <w:right w:val="single" w:sz="4" w:space="0" w:color="auto"/>
            </w:tcBorders>
          </w:tcPr>
          <w:p w14:paraId="08471C3B" w14:textId="77777777" w:rsidR="00ED5F8D" w:rsidRPr="005C2D58" w:rsidRDefault="00ED5F8D" w:rsidP="006A1BBC">
            <w:pPr>
              <w:keepNext/>
              <w:ind w:left="-57"/>
              <w:rPr>
                <w:rFonts w:ascii="Arial Narrow" w:hAnsi="Arial Narrow"/>
                <w:b/>
                <w:sz w:val="20"/>
                <w:szCs w:val="20"/>
              </w:rPr>
            </w:pPr>
            <w:bookmarkStart w:id="90" w:name="_Hlk129700197"/>
            <w:r w:rsidRPr="005C2D58">
              <w:rPr>
                <w:rFonts w:ascii="Arial Narrow" w:hAnsi="Arial Narrow"/>
                <w:b/>
                <w:sz w:val="20"/>
                <w:szCs w:val="20"/>
              </w:rPr>
              <w:t xml:space="preserve">Category / Program: </w:t>
            </w:r>
            <w:r w:rsidRPr="005C2D58">
              <w:rPr>
                <w:rFonts w:ascii="Arial Narrow" w:hAnsi="Arial Narrow"/>
                <w:sz w:val="20"/>
                <w:szCs w:val="20"/>
              </w:rPr>
              <w:t xml:space="preserve">GENERAL – General Schedule (Code GE) </w:t>
            </w:r>
          </w:p>
        </w:tc>
      </w:tr>
      <w:tr w:rsidR="005C2D58" w:rsidRPr="005C2D58" w14:paraId="6F74CB53" w14:textId="77777777" w:rsidTr="006A1BBC">
        <w:trPr>
          <w:cantSplit/>
          <w:trHeight w:val="471"/>
        </w:trPr>
        <w:tc>
          <w:tcPr>
            <w:tcW w:w="2830" w:type="dxa"/>
          </w:tcPr>
          <w:p w14:paraId="0617304E" w14:textId="77777777" w:rsidR="00ED5F8D" w:rsidRPr="005C2D58" w:rsidRDefault="00ED5F8D" w:rsidP="006A1BBC">
            <w:pPr>
              <w:keepNext/>
              <w:ind w:left="-57"/>
              <w:rPr>
                <w:rFonts w:ascii="Arial Narrow" w:hAnsi="Arial Narrow"/>
                <w:b/>
                <w:bCs/>
                <w:sz w:val="20"/>
                <w:szCs w:val="20"/>
              </w:rPr>
            </w:pPr>
            <w:r w:rsidRPr="005C2D58">
              <w:rPr>
                <w:rFonts w:ascii="Arial Narrow" w:hAnsi="Arial Narrow"/>
                <w:b/>
                <w:bCs/>
                <w:sz w:val="20"/>
                <w:szCs w:val="20"/>
              </w:rPr>
              <w:t>MEDICINAL PRODUCT</w:t>
            </w:r>
          </w:p>
          <w:p w14:paraId="42A4DD67" w14:textId="77777777" w:rsidR="00ED5F8D" w:rsidRPr="005C2D58" w:rsidRDefault="00ED5F8D" w:rsidP="006A1BBC">
            <w:pPr>
              <w:keepNext/>
              <w:ind w:left="-57"/>
              <w:rPr>
                <w:rFonts w:ascii="Arial Narrow" w:hAnsi="Arial Narrow"/>
                <w:b/>
                <w:sz w:val="20"/>
                <w:szCs w:val="20"/>
              </w:rPr>
            </w:pPr>
            <w:r w:rsidRPr="005C2D58">
              <w:rPr>
                <w:rFonts w:ascii="Arial Narrow" w:hAnsi="Arial Narrow"/>
                <w:b/>
                <w:bCs/>
                <w:sz w:val="20"/>
                <w:szCs w:val="20"/>
              </w:rPr>
              <w:t>medicinal product pack</w:t>
            </w:r>
          </w:p>
        </w:tc>
        <w:tc>
          <w:tcPr>
            <w:tcW w:w="993" w:type="dxa"/>
          </w:tcPr>
          <w:p w14:paraId="49CE93AE" w14:textId="77777777" w:rsidR="00ED5F8D" w:rsidRPr="005C2D58" w:rsidRDefault="00ED5F8D" w:rsidP="006A1BBC">
            <w:pPr>
              <w:keepNext/>
              <w:jc w:val="center"/>
              <w:rPr>
                <w:rFonts w:ascii="Arial Narrow" w:hAnsi="Arial Narrow"/>
                <w:b/>
                <w:sz w:val="20"/>
                <w:szCs w:val="20"/>
              </w:rPr>
            </w:pPr>
            <w:r w:rsidRPr="005C2D58">
              <w:rPr>
                <w:rFonts w:ascii="Arial Narrow" w:hAnsi="Arial Narrow"/>
                <w:b/>
                <w:sz w:val="20"/>
                <w:szCs w:val="20"/>
              </w:rPr>
              <w:t>PBS item code</w:t>
            </w:r>
          </w:p>
        </w:tc>
        <w:tc>
          <w:tcPr>
            <w:tcW w:w="1275" w:type="dxa"/>
          </w:tcPr>
          <w:p w14:paraId="15045D32"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packs</w:t>
            </w:r>
          </w:p>
        </w:tc>
        <w:tc>
          <w:tcPr>
            <w:tcW w:w="1276" w:type="dxa"/>
          </w:tcPr>
          <w:p w14:paraId="6377F89D"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units</w:t>
            </w:r>
          </w:p>
        </w:tc>
        <w:tc>
          <w:tcPr>
            <w:tcW w:w="851" w:type="dxa"/>
          </w:tcPr>
          <w:p w14:paraId="0C899ABF" w14:textId="77777777" w:rsidR="00ED5F8D" w:rsidRPr="005C2D58" w:rsidRDefault="00ED5F8D" w:rsidP="006A1BBC">
            <w:pPr>
              <w:keepNext/>
              <w:ind w:left="-108"/>
              <w:jc w:val="center"/>
              <w:rPr>
                <w:rFonts w:ascii="Arial Narrow" w:hAnsi="Arial Narrow"/>
                <w:b/>
                <w:sz w:val="20"/>
                <w:szCs w:val="20"/>
              </w:rPr>
            </w:pPr>
            <w:r w:rsidRPr="005C2D58">
              <w:rPr>
                <w:rFonts w:ascii="Arial Narrow" w:hAnsi="Arial Narrow"/>
                <w:b/>
                <w:sz w:val="20"/>
                <w:szCs w:val="20"/>
              </w:rPr>
              <w:t>№.of Rpts</w:t>
            </w:r>
          </w:p>
        </w:tc>
        <w:tc>
          <w:tcPr>
            <w:tcW w:w="1559" w:type="dxa"/>
          </w:tcPr>
          <w:p w14:paraId="16024098" w14:textId="77777777" w:rsidR="00ED5F8D" w:rsidRPr="005C2D58" w:rsidRDefault="00ED5F8D" w:rsidP="006A1BBC">
            <w:pPr>
              <w:keepNext/>
              <w:rPr>
                <w:rFonts w:ascii="Arial Narrow" w:hAnsi="Arial Narrow"/>
                <w:b/>
                <w:sz w:val="20"/>
                <w:szCs w:val="20"/>
                <w:lang w:val="fr-FR"/>
              </w:rPr>
            </w:pPr>
            <w:r w:rsidRPr="005C2D58">
              <w:rPr>
                <w:rFonts w:ascii="Arial Narrow" w:hAnsi="Arial Narrow"/>
                <w:b/>
                <w:sz w:val="20"/>
                <w:szCs w:val="20"/>
              </w:rPr>
              <w:t>Available brands</w:t>
            </w:r>
          </w:p>
        </w:tc>
      </w:tr>
      <w:tr w:rsidR="005C2D58" w:rsidRPr="005C2D58" w14:paraId="6C2E605B" w14:textId="77777777" w:rsidTr="006A1BBC">
        <w:trPr>
          <w:cantSplit/>
          <w:trHeight w:val="224"/>
        </w:trPr>
        <w:tc>
          <w:tcPr>
            <w:tcW w:w="8784" w:type="dxa"/>
            <w:gridSpan w:val="6"/>
          </w:tcPr>
          <w:p w14:paraId="6EA9339F"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VENETOCLAX</w:t>
            </w:r>
          </w:p>
        </w:tc>
      </w:tr>
      <w:tr w:rsidR="005C2D58" w:rsidRPr="005C2D58" w14:paraId="3D167BC0" w14:textId="77777777" w:rsidTr="006A1BBC">
        <w:trPr>
          <w:cantSplit/>
          <w:trHeight w:val="193"/>
        </w:trPr>
        <w:tc>
          <w:tcPr>
            <w:tcW w:w="2830" w:type="dxa"/>
          </w:tcPr>
          <w:p w14:paraId="4A337E2A"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venetoclax 10 mg tablet [14] (&amp;) venetoclax 50 mg tablet [7] (&amp;) venetoclax 100 mg tablet [7] (&amp;) venetoclax 100 mg tablet [14], 1 pack</w:t>
            </w:r>
          </w:p>
        </w:tc>
        <w:tc>
          <w:tcPr>
            <w:tcW w:w="993" w:type="dxa"/>
          </w:tcPr>
          <w:p w14:paraId="347BFBE2"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12188L</w:t>
            </w:r>
          </w:p>
          <w:p w14:paraId="137AD2CA" w14:textId="77777777" w:rsidR="00ED5F8D" w:rsidRPr="005C2D58" w:rsidRDefault="00ED5F8D" w:rsidP="006A1BBC">
            <w:pPr>
              <w:keepNext/>
              <w:jc w:val="center"/>
              <w:rPr>
                <w:rFonts w:ascii="Arial Narrow" w:hAnsi="Arial Narrow"/>
                <w:sz w:val="20"/>
                <w:szCs w:val="20"/>
                <w:vertAlign w:val="subscript"/>
              </w:rPr>
            </w:pPr>
            <w:r w:rsidRPr="005C2D58">
              <w:rPr>
                <w:rFonts w:ascii="Arial Narrow" w:hAnsi="Arial Narrow"/>
                <w:sz w:val="20"/>
                <w:szCs w:val="20"/>
                <w:vertAlign w:val="subscript"/>
              </w:rPr>
              <w:t>MP</w:t>
            </w:r>
          </w:p>
        </w:tc>
        <w:tc>
          <w:tcPr>
            <w:tcW w:w="1275" w:type="dxa"/>
          </w:tcPr>
          <w:p w14:paraId="69F54002"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w:t>
            </w:r>
          </w:p>
        </w:tc>
        <w:tc>
          <w:tcPr>
            <w:tcW w:w="1276" w:type="dxa"/>
          </w:tcPr>
          <w:p w14:paraId="00A58883"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w:t>
            </w:r>
          </w:p>
        </w:tc>
        <w:tc>
          <w:tcPr>
            <w:tcW w:w="851" w:type="dxa"/>
          </w:tcPr>
          <w:p w14:paraId="6972BFC3"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0</w:t>
            </w:r>
          </w:p>
        </w:tc>
        <w:tc>
          <w:tcPr>
            <w:tcW w:w="1559" w:type="dxa"/>
          </w:tcPr>
          <w:p w14:paraId="72338231" w14:textId="77777777" w:rsidR="00ED5F8D" w:rsidRPr="005C2D58" w:rsidRDefault="00ED5F8D" w:rsidP="006A1BBC">
            <w:pPr>
              <w:keepNext/>
              <w:rPr>
                <w:rFonts w:ascii="Arial Narrow" w:eastAsia="MS Gothic" w:hAnsi="Arial Narrow"/>
                <w:bCs/>
                <w:sz w:val="20"/>
                <w:szCs w:val="20"/>
              </w:rPr>
            </w:pPr>
            <w:r w:rsidRPr="005C2D58">
              <w:rPr>
                <w:rFonts w:ascii="Arial Narrow" w:eastAsia="MS Gothic" w:hAnsi="Arial Narrow"/>
                <w:bCs/>
                <w:sz w:val="20"/>
                <w:szCs w:val="20"/>
              </w:rPr>
              <w:t>Venclexta</w:t>
            </w:r>
          </w:p>
        </w:tc>
      </w:tr>
      <w:tr w:rsidR="005C2D58" w:rsidRPr="005C2D58" w14:paraId="7A6BD2DF" w14:textId="77777777" w:rsidTr="006A1BBC">
        <w:trPr>
          <w:cantSplit/>
          <w:trHeight w:val="193"/>
        </w:trPr>
        <w:tc>
          <w:tcPr>
            <w:tcW w:w="8784" w:type="dxa"/>
            <w:gridSpan w:val="6"/>
          </w:tcPr>
          <w:p w14:paraId="22964899" w14:textId="3D26A2F6" w:rsidR="00ED5F8D" w:rsidRPr="005C2D58" w:rsidRDefault="00ED5F8D" w:rsidP="006A1BBC">
            <w:pPr>
              <w:keepNext/>
              <w:jc w:val="right"/>
              <w:rPr>
                <w:rFonts w:ascii="Arial Narrow" w:eastAsia="MS Gothic" w:hAnsi="Arial Narrow"/>
                <w:bCs/>
                <w:sz w:val="20"/>
                <w:szCs w:val="20"/>
              </w:rPr>
            </w:pPr>
            <w:r w:rsidRPr="005C2D58">
              <w:rPr>
                <w:rFonts w:ascii="Arial Narrow" w:eastAsia="MS Gothic" w:hAnsi="Arial Narrow"/>
                <w:bCs/>
                <w:sz w:val="20"/>
                <w:szCs w:val="20"/>
              </w:rPr>
              <w:t>Safety Net Rule Penalty Applies? No</w:t>
            </w:r>
          </w:p>
        </w:tc>
      </w:tr>
      <w:tr w:rsidR="005C2D58" w:rsidRPr="005C2D58" w14:paraId="431EAC67"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6"/>
            <w:tcBorders>
              <w:top w:val="single" w:sz="4" w:space="0" w:color="auto"/>
              <w:left w:val="single" w:sz="4" w:space="0" w:color="auto"/>
              <w:right w:val="single" w:sz="4" w:space="0" w:color="auto"/>
            </w:tcBorders>
          </w:tcPr>
          <w:p w14:paraId="1585A52F" w14:textId="77777777" w:rsidR="00ED5F8D" w:rsidRPr="005C2D58" w:rsidRDefault="00ED5F8D" w:rsidP="006A1BBC">
            <w:pPr>
              <w:rPr>
                <w:rFonts w:ascii="Arial Narrow" w:hAnsi="Arial Narrow"/>
                <w:sz w:val="20"/>
                <w:szCs w:val="20"/>
              </w:rPr>
            </w:pPr>
          </w:p>
        </w:tc>
      </w:tr>
      <w:tr w:rsidR="005C2D58" w:rsidRPr="005C2D58" w14:paraId="619EA8D6"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6"/>
            <w:tcBorders>
              <w:top w:val="single" w:sz="4" w:space="0" w:color="auto"/>
              <w:left w:val="single" w:sz="4" w:space="0" w:color="auto"/>
              <w:right w:val="single" w:sz="4" w:space="0" w:color="auto"/>
            </w:tcBorders>
          </w:tcPr>
          <w:p w14:paraId="0AC8CB54" w14:textId="414E939A" w:rsidR="00ED5F8D" w:rsidRPr="005C2D58" w:rsidRDefault="00ED5F8D" w:rsidP="006A1BBC">
            <w:pPr>
              <w:rPr>
                <w:rFonts w:ascii="Arial Narrow" w:hAnsi="Arial Narrow"/>
                <w:b/>
                <w:sz w:val="20"/>
                <w:szCs w:val="20"/>
              </w:rPr>
            </w:pPr>
            <w:r w:rsidRPr="005C2D58">
              <w:rPr>
                <w:rFonts w:ascii="Arial Narrow" w:hAnsi="Arial Narrow"/>
                <w:b/>
                <w:sz w:val="20"/>
                <w:szCs w:val="20"/>
              </w:rPr>
              <w:t xml:space="preserve">Amend Restriction Summary / Treatment of Concept: Authority Required </w:t>
            </w:r>
          </w:p>
          <w:p w14:paraId="542D1C2C" w14:textId="77777777" w:rsidR="00ED5F8D" w:rsidRPr="005C2D58" w:rsidRDefault="00ED5F8D" w:rsidP="006A1BBC">
            <w:pPr>
              <w:rPr>
                <w:rFonts w:ascii="Arial Narrow" w:hAnsi="Arial Narrow"/>
                <w:b/>
                <w:sz w:val="20"/>
                <w:szCs w:val="20"/>
              </w:rPr>
            </w:pPr>
          </w:p>
        </w:tc>
      </w:tr>
      <w:bookmarkEnd w:id="90"/>
    </w:tbl>
    <w:tbl>
      <w:tblPr>
        <w:tblStyle w:val="TableGrid"/>
        <w:tblW w:w="0" w:type="auto"/>
        <w:tblLook w:val="04A0" w:firstRow="1" w:lastRow="0" w:firstColumn="1" w:lastColumn="0" w:noHBand="0" w:noVBand="1"/>
      </w:tblPr>
      <w:tblGrid>
        <w:gridCol w:w="990"/>
        <w:gridCol w:w="7796"/>
      </w:tblGrid>
      <w:tr w:rsidR="005C2D58" w:rsidRPr="005C2D58" w14:paraId="074E3688" w14:textId="77777777" w:rsidTr="008D4506">
        <w:tc>
          <w:tcPr>
            <w:tcW w:w="990" w:type="dxa"/>
          </w:tcPr>
          <w:p w14:paraId="1EC00651" w14:textId="7E8159E0"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47BF0C78"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Indication: </w:t>
            </w:r>
            <w:r w:rsidRPr="005C2D58">
              <w:rPr>
                <w:rFonts w:ascii="Arial Narrow" w:hAnsi="Arial Narrow" w:cs="Open Sans"/>
                <w:sz w:val="20"/>
                <w:szCs w:val="20"/>
              </w:rPr>
              <w:t>Chronic lymphocytic leukaemia (CLL) or small lymphocytic lymphoma (SLL)</w:t>
            </w:r>
          </w:p>
        </w:tc>
      </w:tr>
      <w:tr w:rsidR="005C2D58" w:rsidRPr="005C2D58" w14:paraId="6415388E" w14:textId="77777777" w:rsidTr="00A02E15">
        <w:tc>
          <w:tcPr>
            <w:tcW w:w="990" w:type="dxa"/>
          </w:tcPr>
          <w:p w14:paraId="5E8EB833" w14:textId="77777777" w:rsidR="00ED5F8D" w:rsidRPr="005C2D58" w:rsidRDefault="00ED5F8D" w:rsidP="006A1BBC">
            <w:pPr>
              <w:jc w:val="center"/>
              <w:textAlignment w:val="baseline"/>
              <w:rPr>
                <w:rFonts w:ascii="Arial Narrow" w:hAnsi="Arial Narrow" w:cs="Open Sans"/>
                <w:sz w:val="20"/>
                <w:szCs w:val="20"/>
              </w:rPr>
            </w:pPr>
          </w:p>
        </w:tc>
        <w:tc>
          <w:tcPr>
            <w:tcW w:w="7796" w:type="dxa"/>
          </w:tcPr>
          <w:p w14:paraId="243D7098" w14:textId="77777777" w:rsidR="00ED5F8D" w:rsidRPr="005C2D58" w:rsidRDefault="00ED5F8D" w:rsidP="006A1BBC">
            <w:pPr>
              <w:ind w:left="-57"/>
              <w:textAlignment w:val="baseline"/>
              <w:rPr>
                <w:rFonts w:ascii="Arial Narrow" w:hAnsi="Arial Narrow" w:cs="Open Sans"/>
                <w:b/>
                <w:bCs/>
                <w:sz w:val="20"/>
                <w:szCs w:val="20"/>
                <w:bdr w:val="none" w:sz="0" w:space="0" w:color="auto" w:frame="1"/>
              </w:rPr>
            </w:pPr>
          </w:p>
        </w:tc>
      </w:tr>
      <w:tr w:rsidR="005C2D58" w:rsidRPr="005C2D58" w14:paraId="3ECE1697" w14:textId="77777777" w:rsidTr="008D4506">
        <w:tc>
          <w:tcPr>
            <w:tcW w:w="990" w:type="dxa"/>
          </w:tcPr>
          <w:p w14:paraId="1D27886A" w14:textId="77777777" w:rsidR="00ED5F8D" w:rsidRPr="005C2D58" w:rsidRDefault="00ED5F8D" w:rsidP="006A1BBC">
            <w:pPr>
              <w:jc w:val="center"/>
              <w:rPr>
                <w:rFonts w:ascii="Arial Narrow" w:hAnsi="Arial Narrow" w:cs="Open Sans"/>
                <w:sz w:val="20"/>
                <w:szCs w:val="20"/>
              </w:rPr>
            </w:pPr>
          </w:p>
        </w:tc>
        <w:tc>
          <w:tcPr>
            <w:tcW w:w="7796" w:type="dxa"/>
            <w:hideMark/>
          </w:tcPr>
          <w:p w14:paraId="10A90268"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Treatment Phase: </w:t>
            </w:r>
            <w:r w:rsidRPr="005C2D58">
              <w:rPr>
                <w:rFonts w:ascii="Arial Narrow" w:hAnsi="Arial Narrow" w:cs="Open Sans"/>
                <w:sz w:val="20"/>
                <w:szCs w:val="20"/>
              </w:rPr>
              <w:t>Initial treatment in first-line therapy - Dose titration (weeks 1 to 4 of a 5-week ramp-up schedule)</w:t>
            </w:r>
          </w:p>
        </w:tc>
      </w:tr>
      <w:tr w:rsidR="005C2D58" w:rsidRPr="005C2D58" w14:paraId="1D0DB035" w14:textId="77777777" w:rsidTr="00A02E15">
        <w:tc>
          <w:tcPr>
            <w:tcW w:w="990" w:type="dxa"/>
          </w:tcPr>
          <w:p w14:paraId="03456B49" w14:textId="77777777" w:rsidR="00ED5F8D" w:rsidRPr="005C2D58" w:rsidRDefault="00ED5F8D" w:rsidP="006A1BBC">
            <w:pPr>
              <w:jc w:val="center"/>
              <w:rPr>
                <w:rFonts w:ascii="Arial Narrow" w:hAnsi="Arial Narrow" w:cs="Open Sans"/>
                <w:sz w:val="20"/>
                <w:szCs w:val="20"/>
              </w:rPr>
            </w:pPr>
          </w:p>
        </w:tc>
        <w:tc>
          <w:tcPr>
            <w:tcW w:w="7796" w:type="dxa"/>
          </w:tcPr>
          <w:p w14:paraId="19318D7D" w14:textId="77777777" w:rsidR="00ED5F8D" w:rsidRPr="005C2D58" w:rsidRDefault="00ED5F8D" w:rsidP="006A1BBC">
            <w:pPr>
              <w:ind w:left="-57"/>
              <w:textAlignment w:val="baseline"/>
              <w:rPr>
                <w:rFonts w:ascii="Arial Narrow" w:hAnsi="Arial Narrow" w:cs="Open Sans"/>
                <w:b/>
                <w:bCs/>
                <w:sz w:val="20"/>
                <w:szCs w:val="20"/>
                <w:bdr w:val="none" w:sz="0" w:space="0" w:color="auto" w:frame="1"/>
              </w:rPr>
            </w:pPr>
          </w:p>
        </w:tc>
      </w:tr>
      <w:tr w:rsidR="005C2D58" w:rsidRPr="005C2D58" w14:paraId="433B9DF9" w14:textId="77777777" w:rsidTr="008D4506">
        <w:tc>
          <w:tcPr>
            <w:tcW w:w="990" w:type="dxa"/>
          </w:tcPr>
          <w:p w14:paraId="312DA9C9" w14:textId="4361EBE6"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3FD75744"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Clinical criteria:</w:t>
            </w:r>
          </w:p>
        </w:tc>
      </w:tr>
      <w:tr w:rsidR="005C2D58" w:rsidRPr="005C2D58" w14:paraId="68216AD5" w14:textId="77777777" w:rsidTr="008D4506">
        <w:tc>
          <w:tcPr>
            <w:tcW w:w="990" w:type="dxa"/>
          </w:tcPr>
          <w:p w14:paraId="6128443A" w14:textId="1EA3A468"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60CE5F0D"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strike/>
                <w:sz w:val="20"/>
                <w:szCs w:val="20"/>
              </w:rPr>
              <w:t>The condition must be untreated</w:t>
            </w:r>
          </w:p>
        </w:tc>
      </w:tr>
      <w:tr w:rsidR="005C2D58" w:rsidRPr="005C2D58" w14:paraId="313B6D93" w14:textId="77777777" w:rsidTr="00A02E15">
        <w:tc>
          <w:tcPr>
            <w:tcW w:w="990" w:type="dxa"/>
            <w:tcBorders>
              <w:top w:val="single" w:sz="4" w:space="0" w:color="auto"/>
              <w:left w:val="single" w:sz="4" w:space="0" w:color="auto"/>
              <w:bottom w:val="single" w:sz="4" w:space="0" w:color="auto"/>
              <w:right w:val="single" w:sz="4" w:space="0" w:color="auto"/>
            </w:tcBorders>
            <w:vAlign w:val="center"/>
          </w:tcPr>
          <w:p w14:paraId="2847E524" w14:textId="06E6F90F" w:rsidR="00ED5F8D" w:rsidRPr="005C2D58" w:rsidRDefault="00ED5F8D" w:rsidP="006A1BBC">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692E5338" w14:textId="77777777" w:rsidR="00ED5F8D" w:rsidRPr="005C2D58" w:rsidRDefault="00ED5F8D" w:rsidP="006A1BBC">
            <w:pPr>
              <w:ind w:left="-57"/>
              <w:rPr>
                <w:rFonts w:ascii="Arial Narrow" w:hAnsi="Arial Narrow" w:cs="Open Sans"/>
                <w:i/>
                <w:iCs/>
                <w:sz w:val="20"/>
                <w:szCs w:val="20"/>
              </w:rPr>
            </w:pPr>
            <w:r w:rsidRPr="005C2D58">
              <w:rPr>
                <w:rFonts w:ascii="Arial Narrow" w:hAnsi="Arial Narrow"/>
                <w:i/>
                <w:iCs/>
                <w:sz w:val="20"/>
                <w:szCs w:val="20"/>
              </w:rPr>
              <w:t>The condition must be untreated with drug treatment at the time of the first dose of this drug; or</w:t>
            </w:r>
          </w:p>
        </w:tc>
      </w:tr>
      <w:tr w:rsidR="005C2D58" w:rsidRPr="005C2D58" w14:paraId="43460C66" w14:textId="77777777" w:rsidTr="00A02E15">
        <w:tc>
          <w:tcPr>
            <w:tcW w:w="990" w:type="dxa"/>
            <w:tcBorders>
              <w:top w:val="single" w:sz="4" w:space="0" w:color="auto"/>
              <w:left w:val="single" w:sz="4" w:space="0" w:color="auto"/>
              <w:bottom w:val="single" w:sz="4" w:space="0" w:color="auto"/>
              <w:right w:val="single" w:sz="4" w:space="0" w:color="auto"/>
            </w:tcBorders>
            <w:vAlign w:val="center"/>
          </w:tcPr>
          <w:p w14:paraId="7F0A0587" w14:textId="65ED6EAB" w:rsidR="00ED5F8D" w:rsidRPr="005C2D58" w:rsidRDefault="00ED5F8D" w:rsidP="006A1BBC">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E83043A" w14:textId="4DE329F7" w:rsidR="00ED5F8D" w:rsidRPr="005C2D58" w:rsidRDefault="00ED5F8D" w:rsidP="006A1BBC">
            <w:pPr>
              <w:ind w:left="-57"/>
              <w:rPr>
                <w:rFonts w:ascii="Arial Narrow" w:hAnsi="Arial Narrow" w:cs="Open Sans"/>
                <w:i/>
                <w:iCs/>
                <w:sz w:val="20"/>
                <w:szCs w:val="20"/>
              </w:rPr>
            </w:pPr>
            <w:r w:rsidRPr="005C2D58">
              <w:rPr>
                <w:rFonts w:ascii="Arial Narrow" w:hAnsi="Arial Narrow"/>
                <w:i/>
                <w:iCs/>
                <w:sz w:val="20"/>
                <w:szCs w:val="20"/>
              </w:rPr>
              <w:t xml:space="preserve">Patient must have developed an intolerance of a severity necessitating permanent treatment withdrawal following use of another drug PBS-indicated as first line drug treatment of CLL/SLL </w:t>
            </w:r>
          </w:p>
        </w:tc>
      </w:tr>
      <w:tr w:rsidR="005C2D58" w:rsidRPr="005C2D58" w14:paraId="2D64A2BA" w14:textId="77777777" w:rsidTr="008D4506">
        <w:tc>
          <w:tcPr>
            <w:tcW w:w="990" w:type="dxa"/>
          </w:tcPr>
          <w:p w14:paraId="71566B09" w14:textId="60BB7521" w:rsidR="00ED5F8D" w:rsidRPr="005C2D58" w:rsidRDefault="00ED5F8D" w:rsidP="006A1BBC">
            <w:pPr>
              <w:jc w:val="center"/>
              <w:rPr>
                <w:rFonts w:ascii="Arial Narrow" w:hAnsi="Arial Narrow" w:cs="Open Sans"/>
                <w:sz w:val="20"/>
                <w:szCs w:val="20"/>
              </w:rPr>
            </w:pPr>
          </w:p>
        </w:tc>
        <w:tc>
          <w:tcPr>
            <w:tcW w:w="7796" w:type="dxa"/>
            <w:hideMark/>
          </w:tcPr>
          <w:p w14:paraId="1B552B23"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b/>
                <w:bCs/>
                <w:strike/>
                <w:sz w:val="20"/>
                <w:szCs w:val="20"/>
                <w:bdr w:val="none" w:sz="0" w:space="0" w:color="auto" w:frame="1"/>
              </w:rPr>
              <w:t>AND</w:t>
            </w:r>
          </w:p>
        </w:tc>
      </w:tr>
      <w:tr w:rsidR="005C2D58" w:rsidRPr="005C2D58" w14:paraId="45B6A901" w14:textId="77777777" w:rsidTr="008D4506">
        <w:tc>
          <w:tcPr>
            <w:tcW w:w="990" w:type="dxa"/>
          </w:tcPr>
          <w:p w14:paraId="08C37837" w14:textId="1289591E"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4DE783C3" w14:textId="77777777" w:rsidR="00ED5F8D" w:rsidRPr="005C2D58" w:rsidRDefault="00ED5F8D" w:rsidP="006A1BBC">
            <w:pPr>
              <w:ind w:left="-57"/>
              <w:textAlignment w:val="baseline"/>
              <w:rPr>
                <w:rFonts w:ascii="Arial Narrow" w:hAnsi="Arial Narrow" w:cs="Open Sans"/>
                <w:strike/>
                <w:sz w:val="20"/>
                <w:szCs w:val="20"/>
              </w:rPr>
            </w:pPr>
            <w:r w:rsidRPr="005C2D58">
              <w:rPr>
                <w:rFonts w:ascii="Arial Narrow" w:hAnsi="Arial Narrow" w:cs="Open Sans"/>
                <w:b/>
                <w:bCs/>
                <w:strike/>
                <w:sz w:val="20"/>
                <w:szCs w:val="20"/>
                <w:bdr w:val="none" w:sz="0" w:space="0" w:color="auto" w:frame="1"/>
              </w:rPr>
              <w:t>Clinical criteria:</w:t>
            </w:r>
          </w:p>
        </w:tc>
      </w:tr>
      <w:tr w:rsidR="005C2D58" w:rsidRPr="005C2D58" w14:paraId="4C09AA2C" w14:textId="77777777" w:rsidTr="008D4506">
        <w:tc>
          <w:tcPr>
            <w:tcW w:w="990" w:type="dxa"/>
          </w:tcPr>
          <w:p w14:paraId="0B7E6B0D" w14:textId="3A2C9D7B"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0BDD837B"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strike/>
                <w:sz w:val="20"/>
                <w:szCs w:val="20"/>
              </w:rPr>
              <w:t>Patient must be inappropriate for fludarabine based chemo-immunotherapy</w:t>
            </w:r>
          </w:p>
        </w:tc>
      </w:tr>
      <w:tr w:rsidR="005C2D58" w:rsidRPr="005C2D58" w14:paraId="603238D9" w14:textId="77777777" w:rsidTr="00A02E15">
        <w:tc>
          <w:tcPr>
            <w:tcW w:w="990" w:type="dxa"/>
            <w:tcBorders>
              <w:top w:val="single" w:sz="4" w:space="0" w:color="auto"/>
              <w:left w:val="single" w:sz="4" w:space="0" w:color="auto"/>
              <w:bottom w:val="single" w:sz="4" w:space="0" w:color="auto"/>
              <w:right w:val="single" w:sz="4" w:space="0" w:color="auto"/>
            </w:tcBorders>
            <w:vAlign w:val="center"/>
          </w:tcPr>
          <w:p w14:paraId="29D2456F" w14:textId="5CA23965" w:rsidR="00ED5F8D" w:rsidRPr="005C2D58" w:rsidRDefault="00ED5F8D" w:rsidP="006A1BBC">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02BE78F0" w14:textId="77777777" w:rsidR="00ED5F8D" w:rsidRPr="005C2D58" w:rsidRDefault="00ED5F8D" w:rsidP="006A1BBC">
            <w:pPr>
              <w:ind w:left="-57"/>
              <w:rPr>
                <w:rFonts w:ascii="Arial Narrow" w:hAnsi="Arial Narrow" w:cs="Open Sans"/>
                <w:i/>
                <w:iCs/>
                <w:strike/>
                <w:sz w:val="20"/>
                <w:szCs w:val="20"/>
              </w:rPr>
            </w:pPr>
            <w:r w:rsidRPr="005C2D58">
              <w:rPr>
                <w:rFonts w:ascii="Arial Narrow" w:hAnsi="Arial Narrow"/>
                <w:b/>
                <w:bCs/>
                <w:i/>
                <w:iCs/>
                <w:sz w:val="20"/>
                <w:szCs w:val="20"/>
              </w:rPr>
              <w:t>AND</w:t>
            </w:r>
          </w:p>
        </w:tc>
      </w:tr>
      <w:tr w:rsidR="005C2D58" w:rsidRPr="005C2D58" w14:paraId="38C0C6A8" w14:textId="77777777" w:rsidTr="00A02E15">
        <w:tc>
          <w:tcPr>
            <w:tcW w:w="990" w:type="dxa"/>
            <w:tcBorders>
              <w:top w:val="single" w:sz="4" w:space="0" w:color="auto"/>
              <w:left w:val="single" w:sz="4" w:space="0" w:color="auto"/>
              <w:bottom w:val="single" w:sz="4" w:space="0" w:color="auto"/>
              <w:right w:val="single" w:sz="4" w:space="0" w:color="auto"/>
            </w:tcBorders>
            <w:vAlign w:val="center"/>
          </w:tcPr>
          <w:p w14:paraId="01BBB661" w14:textId="5680BCFE" w:rsidR="00ED5F8D" w:rsidRPr="005C2D58" w:rsidRDefault="00ED5F8D" w:rsidP="006A1BBC">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19504DAE" w14:textId="77777777" w:rsidR="00ED5F8D" w:rsidRPr="005C2D58" w:rsidRDefault="00ED5F8D" w:rsidP="006A1BBC">
            <w:pPr>
              <w:ind w:left="-57"/>
              <w:rPr>
                <w:rFonts w:ascii="Arial Narrow" w:hAnsi="Arial Narrow" w:cs="Open Sans"/>
                <w:i/>
                <w:iCs/>
                <w:strike/>
                <w:sz w:val="20"/>
                <w:szCs w:val="20"/>
              </w:rPr>
            </w:pPr>
            <w:r w:rsidRPr="005C2D58">
              <w:rPr>
                <w:rFonts w:ascii="Arial Narrow" w:hAnsi="Arial Narrow"/>
                <w:b/>
                <w:bCs/>
                <w:i/>
                <w:iCs/>
                <w:sz w:val="20"/>
                <w:szCs w:val="20"/>
              </w:rPr>
              <w:t>Clinical criteria:</w:t>
            </w:r>
          </w:p>
        </w:tc>
      </w:tr>
      <w:tr w:rsidR="005C2D58" w:rsidRPr="005C2D58" w14:paraId="36EC9954" w14:textId="77777777" w:rsidTr="00A02E15">
        <w:tc>
          <w:tcPr>
            <w:tcW w:w="990" w:type="dxa"/>
            <w:tcBorders>
              <w:top w:val="single" w:sz="4" w:space="0" w:color="auto"/>
              <w:left w:val="single" w:sz="4" w:space="0" w:color="auto"/>
              <w:bottom w:val="single" w:sz="4" w:space="0" w:color="auto"/>
              <w:right w:val="single" w:sz="4" w:space="0" w:color="auto"/>
            </w:tcBorders>
            <w:vAlign w:val="center"/>
          </w:tcPr>
          <w:p w14:paraId="5691FF95" w14:textId="23DF4C4B" w:rsidR="00ED5F8D" w:rsidRPr="005C2D58" w:rsidRDefault="00ED5F8D" w:rsidP="006A1BBC">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A06EE31" w14:textId="63A4DCC7" w:rsidR="00ED5F8D" w:rsidRPr="005C2D58" w:rsidRDefault="00395B94" w:rsidP="006A1BBC">
            <w:pPr>
              <w:ind w:left="-57"/>
              <w:rPr>
                <w:rFonts w:ascii="Arial Narrow" w:hAnsi="Arial Narrow" w:cs="Open Sans"/>
                <w:i/>
                <w:iCs/>
                <w:strike/>
                <w:sz w:val="20"/>
                <w:szCs w:val="20"/>
              </w:rPr>
            </w:pPr>
            <w:r w:rsidRPr="005C2D58">
              <w:rPr>
                <w:rFonts w:ascii="Arial Narrow" w:hAnsi="Arial Narrow"/>
                <w:i/>
                <w:iCs/>
                <w:sz w:val="20"/>
                <w:szCs w:val="20"/>
              </w:rPr>
              <w:t>The treatment must only be prescribed for patients with active disease in accordance with the International Workshop on CLL (iwCLL) guidance (latest version) in relation to when to prescribe drug treatment for this condition</w:t>
            </w:r>
          </w:p>
        </w:tc>
      </w:tr>
      <w:tr w:rsidR="005C2D58" w:rsidRPr="005C2D58" w14:paraId="3200CB13" w14:textId="77777777" w:rsidTr="008D4506">
        <w:tc>
          <w:tcPr>
            <w:tcW w:w="990" w:type="dxa"/>
          </w:tcPr>
          <w:p w14:paraId="2DC308F4" w14:textId="77777777" w:rsidR="00ED5F8D" w:rsidRPr="005C2D58" w:rsidRDefault="00ED5F8D" w:rsidP="006A1BBC">
            <w:pPr>
              <w:jc w:val="center"/>
              <w:rPr>
                <w:rFonts w:ascii="Arial Narrow" w:hAnsi="Arial Narrow" w:cs="Open Sans"/>
                <w:sz w:val="20"/>
                <w:szCs w:val="20"/>
              </w:rPr>
            </w:pPr>
          </w:p>
        </w:tc>
        <w:tc>
          <w:tcPr>
            <w:tcW w:w="7796" w:type="dxa"/>
            <w:hideMark/>
          </w:tcPr>
          <w:p w14:paraId="2E3B3F86" w14:textId="77777777" w:rsidR="00ED5F8D" w:rsidRPr="005C2D58" w:rsidRDefault="00ED5F8D" w:rsidP="006A1BBC">
            <w:pPr>
              <w:ind w:left="-57"/>
              <w:rPr>
                <w:rFonts w:ascii="Arial Narrow" w:hAnsi="Arial Narrow" w:cs="Open Sans"/>
                <w:sz w:val="20"/>
                <w:szCs w:val="20"/>
              </w:rPr>
            </w:pPr>
            <w:r w:rsidRPr="005C2D58">
              <w:rPr>
                <w:rFonts w:ascii="Arial Narrow" w:hAnsi="Arial Narrow" w:cs="Open Sans"/>
                <w:b/>
                <w:bCs/>
                <w:sz w:val="20"/>
                <w:szCs w:val="20"/>
                <w:bdr w:val="none" w:sz="0" w:space="0" w:color="auto" w:frame="1"/>
              </w:rPr>
              <w:t>AND</w:t>
            </w:r>
          </w:p>
        </w:tc>
      </w:tr>
      <w:tr w:rsidR="005C2D58" w:rsidRPr="005C2D58" w14:paraId="44DD49C3" w14:textId="77777777" w:rsidTr="008D4506">
        <w:tc>
          <w:tcPr>
            <w:tcW w:w="990" w:type="dxa"/>
          </w:tcPr>
          <w:p w14:paraId="637B781C" w14:textId="487EA1ED"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12BBACB5"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Clinical criteria:</w:t>
            </w:r>
          </w:p>
        </w:tc>
      </w:tr>
      <w:tr w:rsidR="005C2D58" w:rsidRPr="005C2D58" w14:paraId="354400F4" w14:textId="77777777" w:rsidTr="008D4506">
        <w:tc>
          <w:tcPr>
            <w:tcW w:w="990" w:type="dxa"/>
          </w:tcPr>
          <w:p w14:paraId="7863858B" w14:textId="3D16E248"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1D071F2F" w14:textId="77777777" w:rsidR="00ED5F8D" w:rsidRPr="005C2D58" w:rsidRDefault="00ED5F8D" w:rsidP="006A1BBC">
            <w:pPr>
              <w:ind w:left="-57"/>
              <w:rPr>
                <w:rFonts w:ascii="Arial Narrow" w:hAnsi="Arial Narrow" w:cs="Open Sans"/>
                <w:sz w:val="20"/>
                <w:szCs w:val="20"/>
              </w:rPr>
            </w:pPr>
            <w:r w:rsidRPr="005C2D58">
              <w:rPr>
                <w:rFonts w:ascii="Arial Narrow" w:hAnsi="Arial Narrow" w:cs="Open Sans"/>
                <w:sz w:val="20"/>
                <w:szCs w:val="20"/>
              </w:rPr>
              <w:t>The treatment must be in combination with obinutuzumab (refer to Product Information for timing of obinutuzumab and venetoclax doses)</w:t>
            </w:r>
          </w:p>
        </w:tc>
      </w:tr>
      <w:tr w:rsidR="005C2D58" w:rsidRPr="005C2D58" w14:paraId="4A8BE9BB" w14:textId="77777777" w:rsidTr="008D4506">
        <w:tc>
          <w:tcPr>
            <w:tcW w:w="990" w:type="dxa"/>
          </w:tcPr>
          <w:p w14:paraId="0CE550EF" w14:textId="31F3AE30" w:rsidR="00ED5F8D" w:rsidRPr="005C2D58" w:rsidRDefault="00ED5F8D" w:rsidP="006A1BBC">
            <w:pPr>
              <w:jc w:val="center"/>
              <w:rPr>
                <w:rFonts w:ascii="Arial Narrow" w:hAnsi="Arial Narrow" w:cs="Open Sans"/>
                <w:sz w:val="20"/>
                <w:szCs w:val="20"/>
              </w:rPr>
            </w:pPr>
          </w:p>
        </w:tc>
        <w:tc>
          <w:tcPr>
            <w:tcW w:w="7796" w:type="dxa"/>
            <w:hideMark/>
          </w:tcPr>
          <w:p w14:paraId="545E8E74"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b/>
                <w:bCs/>
                <w:strike/>
                <w:sz w:val="20"/>
                <w:szCs w:val="20"/>
                <w:bdr w:val="none" w:sz="0" w:space="0" w:color="auto" w:frame="1"/>
              </w:rPr>
              <w:t>AND</w:t>
            </w:r>
          </w:p>
        </w:tc>
      </w:tr>
      <w:tr w:rsidR="005C2D58" w:rsidRPr="005C2D58" w14:paraId="7254BDED" w14:textId="77777777" w:rsidTr="008D4506">
        <w:tc>
          <w:tcPr>
            <w:tcW w:w="990" w:type="dxa"/>
          </w:tcPr>
          <w:p w14:paraId="749292DB" w14:textId="6C6E2C98"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3618D94A" w14:textId="77777777" w:rsidR="00ED5F8D" w:rsidRPr="005C2D58" w:rsidRDefault="00ED5F8D" w:rsidP="006A1BBC">
            <w:pPr>
              <w:ind w:left="-57"/>
              <w:textAlignment w:val="baseline"/>
              <w:rPr>
                <w:rFonts w:ascii="Arial Narrow" w:hAnsi="Arial Narrow" w:cs="Open Sans"/>
                <w:strike/>
                <w:sz w:val="20"/>
                <w:szCs w:val="20"/>
              </w:rPr>
            </w:pPr>
            <w:r w:rsidRPr="005C2D58">
              <w:rPr>
                <w:rFonts w:ascii="Arial Narrow" w:hAnsi="Arial Narrow" w:cs="Open Sans"/>
                <w:b/>
                <w:bCs/>
                <w:strike/>
                <w:sz w:val="20"/>
                <w:szCs w:val="20"/>
                <w:bdr w:val="none" w:sz="0" w:space="0" w:color="auto" w:frame="1"/>
              </w:rPr>
              <w:t>Clinical criteria:</w:t>
            </w:r>
          </w:p>
        </w:tc>
      </w:tr>
      <w:tr w:rsidR="005C2D58" w:rsidRPr="005C2D58" w14:paraId="18CDCADF" w14:textId="77777777" w:rsidTr="008D4506">
        <w:tc>
          <w:tcPr>
            <w:tcW w:w="990" w:type="dxa"/>
          </w:tcPr>
          <w:p w14:paraId="38072954" w14:textId="59B1B628"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05C95BA7"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strike/>
                <w:sz w:val="20"/>
                <w:szCs w:val="20"/>
              </w:rPr>
              <w:t>Patient must have a creatinine clearance 30 mL/min or greater</w:t>
            </w:r>
          </w:p>
        </w:tc>
      </w:tr>
      <w:tr w:rsidR="005C2D58" w:rsidRPr="005C2D58" w14:paraId="68B145FC" w14:textId="77777777" w:rsidTr="008D4506">
        <w:tc>
          <w:tcPr>
            <w:tcW w:w="990" w:type="dxa"/>
          </w:tcPr>
          <w:p w14:paraId="29EC7F24" w14:textId="11A60EF3" w:rsidR="00ED5F8D" w:rsidRPr="005C2D58" w:rsidRDefault="00ED5F8D" w:rsidP="006A1BBC">
            <w:pPr>
              <w:jc w:val="center"/>
              <w:rPr>
                <w:rFonts w:ascii="Arial Narrow" w:hAnsi="Arial Narrow" w:cs="Open Sans"/>
                <w:sz w:val="20"/>
                <w:szCs w:val="20"/>
              </w:rPr>
            </w:pPr>
          </w:p>
        </w:tc>
        <w:tc>
          <w:tcPr>
            <w:tcW w:w="7796" w:type="dxa"/>
            <w:hideMark/>
          </w:tcPr>
          <w:p w14:paraId="70D64F68"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b/>
                <w:bCs/>
                <w:strike/>
                <w:sz w:val="20"/>
                <w:szCs w:val="20"/>
                <w:bdr w:val="none" w:sz="0" w:space="0" w:color="auto" w:frame="1"/>
              </w:rPr>
              <w:t>AND</w:t>
            </w:r>
          </w:p>
        </w:tc>
      </w:tr>
      <w:tr w:rsidR="005C2D58" w:rsidRPr="005C2D58" w14:paraId="44B66A74" w14:textId="77777777" w:rsidTr="008D4506">
        <w:tc>
          <w:tcPr>
            <w:tcW w:w="990" w:type="dxa"/>
          </w:tcPr>
          <w:p w14:paraId="73D6C277" w14:textId="2A9841C4"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10EF3AFB" w14:textId="77777777" w:rsidR="00ED5F8D" w:rsidRPr="005C2D58" w:rsidRDefault="00ED5F8D" w:rsidP="006A1BBC">
            <w:pPr>
              <w:ind w:left="-57"/>
              <w:textAlignment w:val="baseline"/>
              <w:rPr>
                <w:rFonts w:ascii="Arial Narrow" w:hAnsi="Arial Narrow" w:cs="Open Sans"/>
                <w:strike/>
                <w:sz w:val="20"/>
                <w:szCs w:val="20"/>
              </w:rPr>
            </w:pPr>
            <w:r w:rsidRPr="005C2D58">
              <w:rPr>
                <w:rFonts w:ascii="Arial Narrow" w:hAnsi="Arial Narrow" w:cs="Open Sans"/>
                <w:b/>
                <w:bCs/>
                <w:strike/>
                <w:sz w:val="20"/>
                <w:szCs w:val="20"/>
                <w:bdr w:val="none" w:sz="0" w:space="0" w:color="auto" w:frame="1"/>
              </w:rPr>
              <w:t>Clinical criteria:</w:t>
            </w:r>
          </w:p>
        </w:tc>
      </w:tr>
      <w:tr w:rsidR="005C2D58" w:rsidRPr="005C2D58" w14:paraId="3F1CC5FD" w14:textId="77777777" w:rsidTr="008D4506">
        <w:tc>
          <w:tcPr>
            <w:tcW w:w="990" w:type="dxa"/>
          </w:tcPr>
          <w:p w14:paraId="251EB19E" w14:textId="2E1FCC9A"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2590CD32"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strike/>
                <w:sz w:val="20"/>
                <w:szCs w:val="20"/>
              </w:rPr>
              <w:t>Patient must have a total cumulative illness rating scale (CIRS) score of greater than 6 (excluding CLL-induced illness or organ damage); or</w:t>
            </w:r>
          </w:p>
        </w:tc>
      </w:tr>
      <w:tr w:rsidR="005C2D58" w:rsidRPr="005C2D58" w14:paraId="00070AD1" w14:textId="77777777" w:rsidTr="008D4506">
        <w:tc>
          <w:tcPr>
            <w:tcW w:w="990" w:type="dxa"/>
          </w:tcPr>
          <w:p w14:paraId="4DE4580C" w14:textId="14F905F7"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4C1295BB" w14:textId="77777777" w:rsidR="00ED5F8D" w:rsidRPr="005C2D58" w:rsidRDefault="00ED5F8D" w:rsidP="006A1BBC">
            <w:pPr>
              <w:ind w:left="-57"/>
              <w:rPr>
                <w:rFonts w:ascii="Arial Narrow" w:hAnsi="Arial Narrow" w:cs="Open Sans"/>
                <w:strike/>
                <w:sz w:val="20"/>
                <w:szCs w:val="20"/>
              </w:rPr>
            </w:pPr>
            <w:r w:rsidRPr="005C2D58">
              <w:rPr>
                <w:rFonts w:ascii="Arial Narrow" w:hAnsi="Arial Narrow" w:cs="Open Sans"/>
                <w:strike/>
                <w:sz w:val="20"/>
                <w:szCs w:val="20"/>
              </w:rPr>
              <w:t>Patient must have a creatinine clearance less than 70 mL/min</w:t>
            </w:r>
          </w:p>
        </w:tc>
      </w:tr>
      <w:tr w:rsidR="005C2D58" w:rsidRPr="005C2D58" w14:paraId="740EF846" w14:textId="77777777" w:rsidTr="00A02E15">
        <w:tc>
          <w:tcPr>
            <w:tcW w:w="990" w:type="dxa"/>
          </w:tcPr>
          <w:p w14:paraId="2936AC46" w14:textId="77777777" w:rsidR="00ED5F8D" w:rsidRPr="005C2D58" w:rsidRDefault="00ED5F8D" w:rsidP="006A1BBC">
            <w:pPr>
              <w:jc w:val="center"/>
              <w:textAlignment w:val="baseline"/>
              <w:rPr>
                <w:rFonts w:ascii="Arial Narrow" w:hAnsi="Arial Narrow" w:cs="Open Sans"/>
                <w:sz w:val="20"/>
                <w:szCs w:val="20"/>
              </w:rPr>
            </w:pPr>
          </w:p>
        </w:tc>
        <w:tc>
          <w:tcPr>
            <w:tcW w:w="7796" w:type="dxa"/>
          </w:tcPr>
          <w:p w14:paraId="317BC3B0" w14:textId="77777777" w:rsidR="00ED5F8D" w:rsidRPr="005C2D58" w:rsidRDefault="00ED5F8D" w:rsidP="006A1BBC">
            <w:pPr>
              <w:ind w:left="-57"/>
              <w:rPr>
                <w:rFonts w:ascii="Arial Narrow" w:hAnsi="Arial Narrow" w:cs="Open Sans"/>
                <w:sz w:val="20"/>
                <w:szCs w:val="20"/>
              </w:rPr>
            </w:pPr>
          </w:p>
        </w:tc>
      </w:tr>
      <w:tr w:rsidR="005C2D58" w:rsidRPr="005C2D58" w14:paraId="51217521" w14:textId="77777777" w:rsidTr="008D4506">
        <w:tc>
          <w:tcPr>
            <w:tcW w:w="990" w:type="dxa"/>
          </w:tcPr>
          <w:p w14:paraId="7D577E40" w14:textId="30669C4A"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209361F3"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quantity or number of units may be authorised.</w:t>
            </w:r>
          </w:p>
        </w:tc>
      </w:tr>
      <w:tr w:rsidR="005C2D58" w:rsidRPr="005C2D58" w14:paraId="5CBC10BE" w14:textId="77777777" w:rsidTr="008D4506">
        <w:tc>
          <w:tcPr>
            <w:tcW w:w="990" w:type="dxa"/>
          </w:tcPr>
          <w:p w14:paraId="0B974244" w14:textId="6B868844"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44D5E4EC"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number of repeats may be authorised.</w:t>
            </w:r>
          </w:p>
        </w:tc>
      </w:tr>
      <w:tr w:rsidR="005C2D58" w:rsidRPr="005C2D58" w14:paraId="609EEB76" w14:textId="77777777" w:rsidTr="008D4506">
        <w:tc>
          <w:tcPr>
            <w:tcW w:w="990" w:type="dxa"/>
          </w:tcPr>
          <w:p w14:paraId="35DB2F27" w14:textId="23267A30"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34ACB4C0"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Special Pricing Arrangements apply.</w:t>
            </w:r>
          </w:p>
        </w:tc>
      </w:tr>
      <w:tr w:rsidR="005C2D58" w:rsidRPr="005C2D58" w14:paraId="4E3703EC" w14:textId="77777777" w:rsidTr="008D4506">
        <w:tc>
          <w:tcPr>
            <w:tcW w:w="990" w:type="dxa"/>
          </w:tcPr>
          <w:p w14:paraId="046CA8A5" w14:textId="162A430E"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578E6442"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Administrative Advice:</w:t>
            </w:r>
          </w:p>
          <w:p w14:paraId="0CA91929"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C2D58" w:rsidRPr="005C2D58" w14:paraId="10D2D810" w14:textId="77777777" w:rsidTr="00A02E15">
        <w:tc>
          <w:tcPr>
            <w:tcW w:w="990" w:type="dxa"/>
          </w:tcPr>
          <w:p w14:paraId="37C69C67" w14:textId="6E5B2BBA" w:rsidR="00ED5F8D" w:rsidRPr="005C2D58" w:rsidRDefault="00ED5F8D" w:rsidP="006A1BBC">
            <w:pPr>
              <w:jc w:val="center"/>
              <w:textAlignment w:val="baseline"/>
              <w:rPr>
                <w:rFonts w:ascii="Arial Narrow" w:hAnsi="Arial Narrow" w:cs="Open Sans"/>
                <w:sz w:val="20"/>
                <w:szCs w:val="20"/>
              </w:rPr>
            </w:pPr>
          </w:p>
        </w:tc>
        <w:tc>
          <w:tcPr>
            <w:tcW w:w="7796" w:type="dxa"/>
          </w:tcPr>
          <w:p w14:paraId="596AEA17" w14:textId="77777777" w:rsidR="00ED5F8D" w:rsidRPr="005C2D58" w:rsidRDefault="00ED5F8D" w:rsidP="006A1BBC">
            <w:pPr>
              <w:ind w:left="-57"/>
              <w:rPr>
                <w:rFonts w:ascii="Arial Narrow" w:hAnsi="Arial Narrow"/>
                <w:bCs/>
                <w:i/>
                <w:iCs/>
                <w:sz w:val="20"/>
                <w:szCs w:val="20"/>
              </w:rPr>
            </w:pPr>
            <w:r w:rsidRPr="005C2D58">
              <w:rPr>
                <w:rFonts w:ascii="Arial Narrow" w:hAnsi="Arial Narrow"/>
                <w:b/>
                <w:bCs/>
                <w:i/>
                <w:iCs/>
                <w:sz w:val="20"/>
                <w:szCs w:val="20"/>
              </w:rPr>
              <w:t xml:space="preserve">Administrative advice: </w:t>
            </w:r>
          </w:p>
          <w:p w14:paraId="75A369EA" w14:textId="77777777" w:rsidR="00ED5F8D" w:rsidRPr="005C2D58" w:rsidRDefault="00ED5F8D" w:rsidP="006A1BBC">
            <w:pPr>
              <w:ind w:left="-57"/>
              <w:rPr>
                <w:rFonts w:ascii="Arial Narrow" w:hAnsi="Arial Narrow"/>
                <w:i/>
                <w:iCs/>
                <w:sz w:val="20"/>
                <w:szCs w:val="20"/>
              </w:rPr>
            </w:pPr>
            <w:r w:rsidRPr="005C2D58">
              <w:rPr>
                <w:rFonts w:ascii="Arial Narrow" w:hAnsi="Arial Narrow"/>
                <w:i/>
                <w:iCs/>
                <w:sz w:val="20"/>
                <w:szCs w:val="20"/>
              </w:rPr>
              <w:t>The latest International Workshop on CLL (iwCLL) provides guidance on various aspects of management of CLL/SLL. Notably, two of these are:</w:t>
            </w:r>
          </w:p>
          <w:p w14:paraId="192335FD" w14:textId="77777777" w:rsidR="00ED5F8D" w:rsidRPr="005C2D58" w:rsidRDefault="00ED5F8D" w:rsidP="006A1BBC">
            <w:pPr>
              <w:ind w:left="-57"/>
              <w:rPr>
                <w:rFonts w:ascii="Arial Narrow" w:hAnsi="Arial Narrow"/>
                <w:i/>
                <w:iCs/>
                <w:sz w:val="20"/>
                <w:szCs w:val="20"/>
              </w:rPr>
            </w:pPr>
            <w:r w:rsidRPr="005C2D58">
              <w:rPr>
                <w:rFonts w:ascii="Arial Narrow" w:hAnsi="Arial Narrow"/>
                <w:i/>
                <w:iCs/>
                <w:sz w:val="20"/>
                <w:szCs w:val="20"/>
              </w:rPr>
              <w:t>(1) when to treat versus when to monitor the patient without therapy – see ‘Indications for treatment’ section; and</w:t>
            </w:r>
          </w:p>
          <w:p w14:paraId="76DAE7AD" w14:textId="77777777" w:rsidR="00ED5F8D" w:rsidRPr="005C2D58" w:rsidRDefault="00ED5F8D" w:rsidP="006A1BBC">
            <w:pPr>
              <w:ind w:left="-57"/>
              <w:rPr>
                <w:rFonts w:ascii="Arial Narrow" w:hAnsi="Arial Narrow"/>
                <w:i/>
                <w:iCs/>
                <w:sz w:val="20"/>
                <w:szCs w:val="20"/>
              </w:rPr>
            </w:pPr>
            <w:r w:rsidRPr="005C2D58">
              <w:rPr>
                <w:rFonts w:ascii="Arial Narrow" w:hAnsi="Arial Narrow"/>
                <w:i/>
                <w:iCs/>
                <w:sz w:val="20"/>
                <w:szCs w:val="20"/>
              </w:rPr>
              <w:t>(2) recognising progressive disease – see ‘Definition of response, relapse, and refractory disease’ section.</w:t>
            </w:r>
          </w:p>
          <w:p w14:paraId="46F6BD9A" w14:textId="77777777" w:rsidR="00ED5F8D" w:rsidRPr="005C2D58" w:rsidRDefault="00ED5F8D" w:rsidP="006A1BBC">
            <w:pPr>
              <w:ind w:left="-57"/>
              <w:rPr>
                <w:rFonts w:ascii="Arial Narrow" w:hAnsi="Arial Narrow"/>
                <w:i/>
                <w:iCs/>
                <w:sz w:val="20"/>
                <w:szCs w:val="20"/>
              </w:rPr>
            </w:pPr>
          </w:p>
          <w:p w14:paraId="02D48A33" w14:textId="77777777" w:rsidR="00ED5F8D" w:rsidRPr="005C2D58" w:rsidRDefault="00ED5F8D" w:rsidP="006A1BBC">
            <w:pPr>
              <w:ind w:left="-57"/>
              <w:rPr>
                <w:rFonts w:ascii="Arial Narrow" w:hAnsi="Arial Narrow"/>
                <w:i/>
                <w:iCs/>
                <w:sz w:val="20"/>
                <w:szCs w:val="20"/>
              </w:rPr>
            </w:pPr>
            <w:r w:rsidRPr="005C2D58">
              <w:rPr>
                <w:rFonts w:ascii="Arial Narrow" w:hAnsi="Arial Narrow"/>
                <w:i/>
                <w:iCs/>
                <w:sz w:val="20"/>
                <w:szCs w:val="20"/>
              </w:rPr>
              <w:t>See the following literature reference for details:</w:t>
            </w:r>
          </w:p>
          <w:p w14:paraId="2EC6846B" w14:textId="77777777" w:rsidR="00ED5F8D" w:rsidRPr="005C2D58" w:rsidRDefault="00ED5F8D" w:rsidP="006A1BBC">
            <w:pPr>
              <w:ind w:left="-57"/>
              <w:textAlignment w:val="baseline"/>
              <w:rPr>
                <w:rFonts w:ascii="Arial Narrow" w:hAnsi="Arial Narrow" w:cs="Open Sans"/>
                <w:b/>
                <w:bCs/>
                <w:i/>
                <w:iCs/>
                <w:sz w:val="20"/>
                <w:szCs w:val="20"/>
                <w:bdr w:val="none" w:sz="0" w:space="0" w:color="auto" w:frame="1"/>
              </w:rPr>
            </w:pPr>
            <w:r w:rsidRPr="005C2D58">
              <w:rPr>
                <w:rFonts w:ascii="Arial Narrow" w:hAnsi="Arial Narrow"/>
                <w:i/>
                <w:iCs/>
                <w:sz w:val="20"/>
                <w:szCs w:val="20"/>
              </w:rPr>
              <w:t>Hallek, M et al. iwCLL guidelines for diagnosis, indications for treatment, response assessment, and supportive management of CLL. Blood vol. 131, 25 (2018): 2745-2760.</w:t>
            </w:r>
          </w:p>
        </w:tc>
      </w:tr>
    </w:tbl>
    <w:p w14:paraId="03B7AA78" w14:textId="77777777" w:rsidR="00ED5F8D" w:rsidRPr="005C2D58" w:rsidRDefault="00ED5F8D" w:rsidP="00ED5F8D"/>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559"/>
        <w:gridCol w:w="1276"/>
        <w:gridCol w:w="1275"/>
        <w:gridCol w:w="1276"/>
        <w:gridCol w:w="851"/>
        <w:gridCol w:w="1559"/>
      </w:tblGrid>
      <w:tr w:rsidR="005C2D58" w:rsidRPr="005C2D58" w14:paraId="5BDA3D3D" w14:textId="77777777" w:rsidTr="006A1BBC">
        <w:trPr>
          <w:cantSplit/>
          <w:trHeight w:val="339"/>
        </w:trPr>
        <w:tc>
          <w:tcPr>
            <w:tcW w:w="8784" w:type="dxa"/>
            <w:gridSpan w:val="7"/>
            <w:tcBorders>
              <w:top w:val="single" w:sz="4" w:space="0" w:color="auto"/>
              <w:left w:val="single" w:sz="4" w:space="0" w:color="auto"/>
              <w:bottom w:val="single" w:sz="4" w:space="0" w:color="auto"/>
              <w:right w:val="single" w:sz="4" w:space="0" w:color="auto"/>
            </w:tcBorders>
          </w:tcPr>
          <w:p w14:paraId="38136A1A" w14:textId="77777777" w:rsidR="00ED5F8D" w:rsidRPr="005C2D58" w:rsidRDefault="00ED5F8D" w:rsidP="006A1BBC">
            <w:pPr>
              <w:keepNext/>
              <w:ind w:left="-57"/>
              <w:rPr>
                <w:rFonts w:ascii="Arial Narrow" w:hAnsi="Arial Narrow"/>
                <w:b/>
                <w:sz w:val="20"/>
                <w:szCs w:val="20"/>
              </w:rPr>
            </w:pPr>
            <w:bookmarkStart w:id="91" w:name="_Hlk129700676"/>
            <w:r w:rsidRPr="005C2D58">
              <w:rPr>
                <w:rFonts w:ascii="Arial Narrow" w:hAnsi="Arial Narrow"/>
                <w:b/>
                <w:sz w:val="20"/>
                <w:szCs w:val="20"/>
              </w:rPr>
              <w:lastRenderedPageBreak/>
              <w:t xml:space="preserve">Category / Program: </w:t>
            </w:r>
            <w:r w:rsidRPr="005C2D58">
              <w:rPr>
                <w:rFonts w:ascii="Arial Narrow" w:hAnsi="Arial Narrow"/>
                <w:sz w:val="20"/>
                <w:szCs w:val="20"/>
              </w:rPr>
              <w:t xml:space="preserve">GENERAL – General Schedule (Code GE) </w:t>
            </w:r>
          </w:p>
        </w:tc>
      </w:tr>
      <w:tr w:rsidR="005C2D58" w:rsidRPr="005C2D58" w14:paraId="4C6DA0FD" w14:textId="77777777" w:rsidTr="006A1BBC">
        <w:trPr>
          <w:cantSplit/>
          <w:trHeight w:val="471"/>
        </w:trPr>
        <w:tc>
          <w:tcPr>
            <w:tcW w:w="2547" w:type="dxa"/>
            <w:gridSpan w:val="2"/>
          </w:tcPr>
          <w:p w14:paraId="5E6C262C" w14:textId="77777777" w:rsidR="00ED5F8D" w:rsidRPr="005C2D58" w:rsidRDefault="00ED5F8D" w:rsidP="006A1BBC">
            <w:pPr>
              <w:keepNext/>
              <w:ind w:left="-57"/>
              <w:rPr>
                <w:rFonts w:ascii="Arial Narrow" w:hAnsi="Arial Narrow"/>
                <w:b/>
                <w:bCs/>
                <w:sz w:val="20"/>
                <w:szCs w:val="20"/>
              </w:rPr>
            </w:pPr>
            <w:r w:rsidRPr="005C2D58">
              <w:rPr>
                <w:rFonts w:ascii="Arial Narrow" w:hAnsi="Arial Narrow"/>
                <w:b/>
                <w:bCs/>
                <w:sz w:val="20"/>
                <w:szCs w:val="20"/>
              </w:rPr>
              <w:t>MEDICINAL PRODUCT</w:t>
            </w:r>
          </w:p>
          <w:p w14:paraId="76015E17" w14:textId="77777777" w:rsidR="00ED5F8D" w:rsidRPr="005C2D58" w:rsidRDefault="00ED5F8D" w:rsidP="006A1BBC">
            <w:pPr>
              <w:keepNext/>
              <w:ind w:left="-57"/>
              <w:rPr>
                <w:rFonts w:ascii="Arial Narrow" w:hAnsi="Arial Narrow"/>
                <w:b/>
                <w:sz w:val="20"/>
                <w:szCs w:val="20"/>
              </w:rPr>
            </w:pPr>
            <w:r w:rsidRPr="005C2D58">
              <w:rPr>
                <w:rFonts w:ascii="Arial Narrow" w:hAnsi="Arial Narrow"/>
                <w:b/>
                <w:bCs/>
                <w:sz w:val="20"/>
                <w:szCs w:val="20"/>
              </w:rPr>
              <w:t>medicinal product pack</w:t>
            </w:r>
          </w:p>
        </w:tc>
        <w:tc>
          <w:tcPr>
            <w:tcW w:w="1276" w:type="dxa"/>
          </w:tcPr>
          <w:p w14:paraId="2D839F14" w14:textId="77777777" w:rsidR="00ED5F8D" w:rsidRPr="005C2D58" w:rsidRDefault="00ED5F8D" w:rsidP="006A1BBC">
            <w:pPr>
              <w:keepNext/>
              <w:jc w:val="center"/>
              <w:rPr>
                <w:rFonts w:ascii="Arial Narrow" w:hAnsi="Arial Narrow"/>
                <w:b/>
                <w:sz w:val="20"/>
                <w:szCs w:val="20"/>
              </w:rPr>
            </w:pPr>
            <w:r w:rsidRPr="005C2D58">
              <w:rPr>
                <w:rFonts w:ascii="Arial Narrow" w:hAnsi="Arial Narrow"/>
                <w:b/>
                <w:sz w:val="20"/>
                <w:szCs w:val="20"/>
              </w:rPr>
              <w:t>PBS item code</w:t>
            </w:r>
          </w:p>
        </w:tc>
        <w:tc>
          <w:tcPr>
            <w:tcW w:w="1275" w:type="dxa"/>
          </w:tcPr>
          <w:p w14:paraId="2D7A8C85"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packs</w:t>
            </w:r>
          </w:p>
        </w:tc>
        <w:tc>
          <w:tcPr>
            <w:tcW w:w="1276" w:type="dxa"/>
          </w:tcPr>
          <w:p w14:paraId="516DA461"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units</w:t>
            </w:r>
          </w:p>
        </w:tc>
        <w:tc>
          <w:tcPr>
            <w:tcW w:w="851" w:type="dxa"/>
          </w:tcPr>
          <w:p w14:paraId="764803D0" w14:textId="77777777" w:rsidR="00ED5F8D" w:rsidRPr="005C2D58" w:rsidRDefault="00ED5F8D" w:rsidP="006A1BBC">
            <w:pPr>
              <w:keepNext/>
              <w:ind w:left="-108"/>
              <w:jc w:val="center"/>
              <w:rPr>
                <w:rFonts w:ascii="Arial Narrow" w:hAnsi="Arial Narrow"/>
                <w:b/>
                <w:sz w:val="20"/>
                <w:szCs w:val="20"/>
              </w:rPr>
            </w:pPr>
            <w:r w:rsidRPr="005C2D58">
              <w:rPr>
                <w:rFonts w:ascii="Arial Narrow" w:hAnsi="Arial Narrow"/>
                <w:b/>
                <w:sz w:val="20"/>
                <w:szCs w:val="20"/>
              </w:rPr>
              <w:t>№.of Rpts</w:t>
            </w:r>
          </w:p>
        </w:tc>
        <w:tc>
          <w:tcPr>
            <w:tcW w:w="1559" w:type="dxa"/>
          </w:tcPr>
          <w:p w14:paraId="43C735F4" w14:textId="77777777" w:rsidR="00ED5F8D" w:rsidRPr="005C2D58" w:rsidRDefault="00ED5F8D" w:rsidP="006A1BBC">
            <w:pPr>
              <w:keepNext/>
              <w:rPr>
                <w:rFonts w:ascii="Arial Narrow" w:hAnsi="Arial Narrow"/>
                <w:b/>
                <w:sz w:val="20"/>
                <w:szCs w:val="20"/>
                <w:lang w:val="fr-FR"/>
              </w:rPr>
            </w:pPr>
            <w:r w:rsidRPr="005C2D58">
              <w:rPr>
                <w:rFonts w:ascii="Arial Narrow" w:hAnsi="Arial Narrow"/>
                <w:b/>
                <w:sz w:val="20"/>
                <w:szCs w:val="20"/>
              </w:rPr>
              <w:t>Available brands</w:t>
            </w:r>
          </w:p>
        </w:tc>
      </w:tr>
      <w:tr w:rsidR="005C2D58" w:rsidRPr="005C2D58" w14:paraId="58CD16C1" w14:textId="77777777" w:rsidTr="006A1BBC">
        <w:trPr>
          <w:cantSplit/>
          <w:trHeight w:val="224"/>
        </w:trPr>
        <w:tc>
          <w:tcPr>
            <w:tcW w:w="8784" w:type="dxa"/>
            <w:gridSpan w:val="7"/>
          </w:tcPr>
          <w:p w14:paraId="24C5F177"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VENETOCLAX</w:t>
            </w:r>
          </w:p>
        </w:tc>
      </w:tr>
      <w:tr w:rsidR="005C2D58" w:rsidRPr="005C2D58" w14:paraId="1D57B46E" w14:textId="77777777" w:rsidTr="006A1BBC">
        <w:trPr>
          <w:cantSplit/>
          <w:trHeight w:val="193"/>
        </w:trPr>
        <w:tc>
          <w:tcPr>
            <w:tcW w:w="2547" w:type="dxa"/>
            <w:gridSpan w:val="2"/>
          </w:tcPr>
          <w:p w14:paraId="4EEED09D"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 xml:space="preserve">venetoclax 100 mg tablet, 120 </w:t>
            </w:r>
          </w:p>
        </w:tc>
        <w:tc>
          <w:tcPr>
            <w:tcW w:w="1276" w:type="dxa"/>
          </w:tcPr>
          <w:p w14:paraId="3AC60375"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12205J</w:t>
            </w:r>
          </w:p>
          <w:p w14:paraId="597F72F9" w14:textId="77777777" w:rsidR="00ED5F8D" w:rsidRPr="005C2D58" w:rsidRDefault="00ED5F8D" w:rsidP="006A1BBC">
            <w:pPr>
              <w:keepNext/>
              <w:jc w:val="center"/>
              <w:rPr>
                <w:rFonts w:ascii="Arial Narrow" w:hAnsi="Arial Narrow"/>
                <w:sz w:val="20"/>
                <w:szCs w:val="20"/>
                <w:vertAlign w:val="subscript"/>
              </w:rPr>
            </w:pPr>
            <w:r w:rsidRPr="005C2D58">
              <w:rPr>
                <w:rFonts w:ascii="Arial Narrow" w:hAnsi="Arial Narrow"/>
                <w:sz w:val="20"/>
                <w:szCs w:val="20"/>
                <w:vertAlign w:val="subscript"/>
              </w:rPr>
              <w:t>MP</w:t>
            </w:r>
          </w:p>
        </w:tc>
        <w:tc>
          <w:tcPr>
            <w:tcW w:w="1275" w:type="dxa"/>
          </w:tcPr>
          <w:p w14:paraId="096AA1A3"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w:t>
            </w:r>
          </w:p>
        </w:tc>
        <w:tc>
          <w:tcPr>
            <w:tcW w:w="1276" w:type="dxa"/>
          </w:tcPr>
          <w:p w14:paraId="5AC7A243"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120</w:t>
            </w:r>
          </w:p>
        </w:tc>
        <w:tc>
          <w:tcPr>
            <w:tcW w:w="851" w:type="dxa"/>
          </w:tcPr>
          <w:p w14:paraId="37A8B916"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4</w:t>
            </w:r>
          </w:p>
        </w:tc>
        <w:tc>
          <w:tcPr>
            <w:tcW w:w="1559" w:type="dxa"/>
          </w:tcPr>
          <w:p w14:paraId="5ED1452D" w14:textId="77777777" w:rsidR="00ED5F8D" w:rsidRPr="005C2D58" w:rsidRDefault="00ED5F8D" w:rsidP="006A1BBC">
            <w:pPr>
              <w:keepNext/>
              <w:rPr>
                <w:rFonts w:ascii="Arial Narrow" w:eastAsia="MS Gothic" w:hAnsi="Arial Narrow"/>
                <w:bCs/>
                <w:sz w:val="20"/>
                <w:szCs w:val="20"/>
              </w:rPr>
            </w:pPr>
            <w:r w:rsidRPr="005C2D58">
              <w:rPr>
                <w:rFonts w:ascii="Arial Narrow" w:eastAsia="MS Gothic" w:hAnsi="Arial Narrow"/>
                <w:bCs/>
                <w:sz w:val="20"/>
                <w:szCs w:val="20"/>
              </w:rPr>
              <w:t>Venclexta</w:t>
            </w:r>
          </w:p>
        </w:tc>
      </w:tr>
      <w:tr w:rsidR="005C2D58" w:rsidRPr="005C2D58" w14:paraId="5FA2DF29" w14:textId="77777777" w:rsidTr="006A1BBC">
        <w:trPr>
          <w:cantSplit/>
          <w:trHeight w:val="193"/>
        </w:trPr>
        <w:tc>
          <w:tcPr>
            <w:tcW w:w="8784" w:type="dxa"/>
            <w:gridSpan w:val="7"/>
          </w:tcPr>
          <w:p w14:paraId="48B194B6" w14:textId="7431FF93" w:rsidR="00ED5F8D" w:rsidRPr="005C2D58" w:rsidRDefault="00ED5F8D" w:rsidP="006A1BBC">
            <w:pPr>
              <w:keepNext/>
              <w:jc w:val="right"/>
              <w:rPr>
                <w:rFonts w:ascii="Arial Narrow" w:eastAsia="MS Gothic" w:hAnsi="Arial Narrow"/>
                <w:bCs/>
                <w:sz w:val="20"/>
                <w:szCs w:val="20"/>
              </w:rPr>
            </w:pPr>
            <w:r w:rsidRPr="005C2D58">
              <w:rPr>
                <w:rFonts w:ascii="Arial Narrow" w:eastAsia="MS Gothic" w:hAnsi="Arial Narrow"/>
                <w:bCs/>
                <w:sz w:val="20"/>
                <w:szCs w:val="20"/>
              </w:rPr>
              <w:t>Safety Net Rule Penalty Applies? Yes</w:t>
            </w:r>
          </w:p>
        </w:tc>
      </w:tr>
      <w:tr w:rsidR="005C2D58" w:rsidRPr="005C2D58" w14:paraId="7A35F03B"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7"/>
            <w:tcBorders>
              <w:top w:val="single" w:sz="4" w:space="0" w:color="auto"/>
              <w:left w:val="single" w:sz="4" w:space="0" w:color="auto"/>
              <w:right w:val="single" w:sz="4" w:space="0" w:color="auto"/>
            </w:tcBorders>
          </w:tcPr>
          <w:p w14:paraId="065807F5" w14:textId="77777777" w:rsidR="00ED5F8D" w:rsidRPr="005C2D58" w:rsidRDefault="00ED5F8D" w:rsidP="006A1BBC">
            <w:pPr>
              <w:rPr>
                <w:rFonts w:ascii="Arial Narrow" w:hAnsi="Arial Narrow"/>
                <w:sz w:val="20"/>
                <w:szCs w:val="20"/>
              </w:rPr>
            </w:pPr>
          </w:p>
        </w:tc>
      </w:tr>
      <w:tr w:rsidR="005C2D58" w:rsidRPr="005C2D58" w14:paraId="128630D0"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7"/>
            <w:tcBorders>
              <w:top w:val="single" w:sz="4" w:space="0" w:color="auto"/>
              <w:left w:val="single" w:sz="4" w:space="0" w:color="auto"/>
              <w:right w:val="single" w:sz="4" w:space="0" w:color="auto"/>
            </w:tcBorders>
          </w:tcPr>
          <w:p w14:paraId="024E0A6A" w14:textId="1D766BBF" w:rsidR="00ED5F8D" w:rsidRPr="005C2D58" w:rsidRDefault="00ED5F8D" w:rsidP="006A1BBC">
            <w:pPr>
              <w:rPr>
                <w:rFonts w:ascii="Arial Narrow" w:hAnsi="Arial Narrow"/>
                <w:b/>
                <w:sz w:val="20"/>
                <w:szCs w:val="20"/>
              </w:rPr>
            </w:pPr>
            <w:r w:rsidRPr="005C2D58">
              <w:rPr>
                <w:rFonts w:ascii="Arial Narrow" w:hAnsi="Arial Narrow"/>
                <w:b/>
                <w:sz w:val="20"/>
                <w:szCs w:val="20"/>
              </w:rPr>
              <w:t>Restriction Summary / Treatment of Concept: Authority Required  **********UNCHANGED************</w:t>
            </w:r>
          </w:p>
          <w:p w14:paraId="06F2251B" w14:textId="77777777" w:rsidR="00ED5F8D" w:rsidRPr="005C2D58" w:rsidRDefault="00ED5F8D" w:rsidP="006A1BBC">
            <w:pPr>
              <w:rPr>
                <w:rFonts w:ascii="Arial Narrow" w:hAnsi="Arial Narrow"/>
                <w:b/>
                <w:sz w:val="20"/>
                <w:szCs w:val="20"/>
              </w:rPr>
            </w:pPr>
          </w:p>
        </w:tc>
      </w:tr>
      <w:tr w:rsidR="005C2D58" w:rsidRPr="005C2D58" w14:paraId="3DC2EDE6"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07319617" w14:textId="63103A1A"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4EF8E701" w14:textId="377962D0"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 xml:space="preserve">Indication: </w:t>
            </w:r>
            <w:r w:rsidRPr="005C2D58">
              <w:rPr>
                <w:rFonts w:ascii="Arial Narrow" w:hAnsi="Arial Narrow" w:cs="Open Sans"/>
                <w:sz w:val="20"/>
                <w:szCs w:val="20"/>
              </w:rPr>
              <w:t>Chronic lymphocytic leukaemia (CLL) or small lymphocytic lymphoma (SLL)</w:t>
            </w:r>
          </w:p>
        </w:tc>
      </w:tr>
      <w:tr w:rsidR="00202233" w:rsidRPr="005C2D58" w14:paraId="0082CC37"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31090001" w14:textId="77777777"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4151F723" w14:textId="77777777" w:rsidR="00202233" w:rsidRPr="005C2D58" w:rsidRDefault="00202233" w:rsidP="00202233">
            <w:pPr>
              <w:rPr>
                <w:rFonts w:ascii="Arial Narrow" w:hAnsi="Arial Narrow"/>
                <w:b/>
                <w:sz w:val="20"/>
                <w:szCs w:val="20"/>
              </w:rPr>
            </w:pPr>
          </w:p>
        </w:tc>
      </w:tr>
      <w:tr w:rsidR="00202233" w:rsidRPr="005C2D58" w14:paraId="2A6B88EB"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50D5A501" w14:textId="77777777"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2F27F194" w14:textId="46D0985C"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 xml:space="preserve">Treatment Phase: </w:t>
            </w:r>
            <w:r w:rsidRPr="005C2D58">
              <w:rPr>
                <w:rFonts w:ascii="Arial Narrow" w:hAnsi="Arial Narrow" w:cs="Open Sans"/>
                <w:sz w:val="20"/>
                <w:szCs w:val="20"/>
              </w:rPr>
              <w:t>First continuing treatment (treatment cycles 2 to 6 inclusive) of first-line therapy</w:t>
            </w:r>
          </w:p>
        </w:tc>
      </w:tr>
      <w:tr w:rsidR="00202233" w:rsidRPr="005C2D58" w14:paraId="506600FC"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73A05B11" w14:textId="77777777"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69D2A08C" w14:textId="77777777" w:rsidR="00202233" w:rsidRPr="005C2D58" w:rsidRDefault="00202233" w:rsidP="00202233">
            <w:pPr>
              <w:rPr>
                <w:rFonts w:ascii="Arial Narrow" w:hAnsi="Arial Narrow"/>
                <w:b/>
                <w:sz w:val="20"/>
                <w:szCs w:val="20"/>
              </w:rPr>
            </w:pPr>
          </w:p>
        </w:tc>
      </w:tr>
      <w:tr w:rsidR="00202233" w:rsidRPr="005C2D58" w14:paraId="3FE91923"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3FC33C6D" w14:textId="0091EEBC"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3FF1F24C" w14:textId="684EDE05"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Clinical criteria:</w:t>
            </w:r>
          </w:p>
        </w:tc>
      </w:tr>
      <w:tr w:rsidR="00202233" w:rsidRPr="005C2D58" w14:paraId="1C98D720"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2E660245" w14:textId="79805C5D"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1A71D8DA" w14:textId="3A19CE1A" w:rsidR="00202233" w:rsidRPr="005C2D58" w:rsidRDefault="00202233" w:rsidP="00202233">
            <w:pPr>
              <w:rPr>
                <w:rFonts w:ascii="Arial Narrow" w:hAnsi="Arial Narrow"/>
                <w:b/>
                <w:sz w:val="20"/>
                <w:szCs w:val="20"/>
              </w:rPr>
            </w:pPr>
            <w:r w:rsidRPr="005C2D58">
              <w:rPr>
                <w:rFonts w:ascii="Arial Narrow" w:hAnsi="Arial Narrow" w:cs="Open Sans"/>
                <w:sz w:val="20"/>
                <w:szCs w:val="20"/>
              </w:rPr>
              <w:t>Patient must have previously received PBS-subsidised treatment with this drug for this condition</w:t>
            </w:r>
          </w:p>
        </w:tc>
      </w:tr>
      <w:tr w:rsidR="00202233" w:rsidRPr="005C2D58" w14:paraId="5BCE93AD"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606DAE2D" w14:textId="77777777"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6ABFD155" w14:textId="0B049A29"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AND</w:t>
            </w:r>
          </w:p>
        </w:tc>
      </w:tr>
      <w:tr w:rsidR="00202233" w:rsidRPr="005C2D58" w14:paraId="006CBCE3"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67444962" w14:textId="4C645339"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41C01184" w14:textId="2CFC8B16"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Clinical criteria:</w:t>
            </w:r>
          </w:p>
        </w:tc>
      </w:tr>
      <w:tr w:rsidR="00202233" w:rsidRPr="005C2D58" w14:paraId="138B4D93"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3AEE0892" w14:textId="3FD98541"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58CB8A73" w14:textId="4B993D48" w:rsidR="00202233" w:rsidRPr="005C2D58" w:rsidRDefault="00202233" w:rsidP="00202233">
            <w:pPr>
              <w:rPr>
                <w:rFonts w:ascii="Arial Narrow" w:hAnsi="Arial Narrow"/>
                <w:b/>
                <w:sz w:val="20"/>
                <w:szCs w:val="20"/>
              </w:rPr>
            </w:pPr>
            <w:r w:rsidRPr="005C2D58">
              <w:rPr>
                <w:rFonts w:ascii="Arial Narrow" w:hAnsi="Arial Narrow" w:cs="Open Sans"/>
                <w:sz w:val="20"/>
                <w:szCs w:val="20"/>
              </w:rPr>
              <w:t>The treatment must be in combination with obinutuzumab (refer to Product Information for timing of obinutuzumab and venetoclax doses)</w:t>
            </w:r>
          </w:p>
        </w:tc>
      </w:tr>
      <w:tr w:rsidR="00202233" w:rsidRPr="005C2D58" w14:paraId="7A850DDD"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00EA8D1A" w14:textId="77777777"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4133C7CE" w14:textId="50D0C281"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AND</w:t>
            </w:r>
          </w:p>
        </w:tc>
      </w:tr>
      <w:tr w:rsidR="00202233" w:rsidRPr="005C2D58" w14:paraId="558FBAEA"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71DF3AB2" w14:textId="16D9D666"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1BDBAD30" w14:textId="0FDCDB66"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Clinical criteria:</w:t>
            </w:r>
          </w:p>
        </w:tc>
      </w:tr>
      <w:tr w:rsidR="00202233" w:rsidRPr="005C2D58" w14:paraId="51F82A61"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4A4C390F" w14:textId="3E02BAFB"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6935D9FA" w14:textId="04B35C19" w:rsidR="00202233" w:rsidRPr="005C2D58" w:rsidRDefault="00202233" w:rsidP="00202233">
            <w:pPr>
              <w:rPr>
                <w:rFonts w:ascii="Arial Narrow" w:hAnsi="Arial Narrow"/>
                <w:b/>
                <w:sz w:val="20"/>
                <w:szCs w:val="20"/>
              </w:rPr>
            </w:pPr>
            <w:r w:rsidRPr="005C2D58">
              <w:rPr>
                <w:rFonts w:ascii="Arial Narrow" w:hAnsi="Arial Narrow" w:cs="Open Sans"/>
                <w:sz w:val="20"/>
                <w:szCs w:val="20"/>
              </w:rPr>
              <w:t>The treatment must cease upon disease progression</w:t>
            </w:r>
          </w:p>
        </w:tc>
      </w:tr>
      <w:tr w:rsidR="00202233" w:rsidRPr="005C2D58" w14:paraId="4ECA4570"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1384BCAE" w14:textId="77777777"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66470CFD" w14:textId="77777777" w:rsidR="00202233" w:rsidRPr="005C2D58" w:rsidRDefault="00202233" w:rsidP="00202233">
            <w:pPr>
              <w:rPr>
                <w:rFonts w:ascii="Arial Narrow" w:hAnsi="Arial Narrow"/>
                <w:b/>
                <w:sz w:val="20"/>
                <w:szCs w:val="20"/>
              </w:rPr>
            </w:pPr>
          </w:p>
        </w:tc>
      </w:tr>
      <w:tr w:rsidR="00202233" w:rsidRPr="005C2D58" w14:paraId="5339CFD8"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6F1F7057" w14:textId="09CC044E"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2425A50E" w14:textId="1F3477BB"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quantity or number of units may be authorised.</w:t>
            </w:r>
          </w:p>
        </w:tc>
      </w:tr>
      <w:tr w:rsidR="00202233" w:rsidRPr="005C2D58" w14:paraId="28A46262"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34D2E0F7" w14:textId="72CDE4FF"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190D272B" w14:textId="09982FC0"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number of repeats may be authorised.</w:t>
            </w:r>
          </w:p>
        </w:tc>
      </w:tr>
      <w:tr w:rsidR="00202233" w:rsidRPr="005C2D58" w14:paraId="73C23D51"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554DC590" w14:textId="5FD70179" w:rsidR="00202233" w:rsidRPr="005C2D58" w:rsidRDefault="00202233" w:rsidP="00202233">
            <w:pPr>
              <w:rPr>
                <w:rFonts w:ascii="Arial Narrow" w:hAnsi="Arial Narrow"/>
                <w:b/>
                <w:sz w:val="20"/>
                <w:szCs w:val="20"/>
              </w:rPr>
            </w:pPr>
          </w:p>
        </w:tc>
        <w:tc>
          <w:tcPr>
            <w:tcW w:w="7796" w:type="dxa"/>
            <w:gridSpan w:val="6"/>
            <w:tcBorders>
              <w:top w:val="single" w:sz="4" w:space="0" w:color="auto"/>
              <w:left w:val="single" w:sz="4" w:space="0" w:color="auto"/>
              <w:right w:val="single" w:sz="4" w:space="0" w:color="auto"/>
            </w:tcBorders>
          </w:tcPr>
          <w:p w14:paraId="23A10825" w14:textId="16D90CE6" w:rsidR="00202233" w:rsidRPr="005C2D58" w:rsidRDefault="00202233" w:rsidP="00202233">
            <w:pPr>
              <w:rPr>
                <w:rFonts w:ascii="Arial Narrow" w:hAnsi="Arial Narrow"/>
                <w:b/>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Special Pricing Arrangements apply.</w:t>
            </w:r>
          </w:p>
        </w:tc>
      </w:tr>
      <w:tr w:rsidR="00202233" w:rsidRPr="005C2D58" w14:paraId="51AD6F39" w14:textId="77777777" w:rsidTr="00202233">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right w:val="single" w:sz="4" w:space="0" w:color="auto"/>
            </w:tcBorders>
          </w:tcPr>
          <w:p w14:paraId="5A5238F8" w14:textId="56605C18" w:rsidR="00202233" w:rsidRPr="005C2D58" w:rsidRDefault="00202233" w:rsidP="00202233">
            <w:pPr>
              <w:rPr>
                <w:rFonts w:ascii="Arial Narrow" w:hAnsi="Arial Narrow" w:cs="Open Sans"/>
                <w:sz w:val="20"/>
                <w:szCs w:val="20"/>
              </w:rPr>
            </w:pPr>
          </w:p>
        </w:tc>
        <w:tc>
          <w:tcPr>
            <w:tcW w:w="7796" w:type="dxa"/>
            <w:gridSpan w:val="6"/>
            <w:tcBorders>
              <w:top w:val="single" w:sz="4" w:space="0" w:color="auto"/>
              <w:left w:val="single" w:sz="4" w:space="0" w:color="auto"/>
              <w:right w:val="single" w:sz="4" w:space="0" w:color="auto"/>
            </w:tcBorders>
          </w:tcPr>
          <w:p w14:paraId="3CDB769A" w14:textId="77777777" w:rsidR="00202233" w:rsidRPr="005C2D58" w:rsidRDefault="00202233" w:rsidP="00202233">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Administrative Advice:</w:t>
            </w:r>
          </w:p>
          <w:p w14:paraId="1F606FCB" w14:textId="4A61D779" w:rsidR="00202233" w:rsidRPr="005C2D58" w:rsidRDefault="00202233" w:rsidP="00202233">
            <w:pPr>
              <w:rPr>
                <w:rFonts w:ascii="Arial Narrow" w:hAnsi="Arial Narrow" w:cs="Open Sans"/>
                <w:b/>
                <w:bCs/>
                <w:sz w:val="20"/>
                <w:szCs w:val="20"/>
                <w:bdr w:val="none" w:sz="0" w:space="0" w:color="auto" w:frame="1"/>
              </w:rPr>
            </w:pPr>
            <w:r w:rsidRPr="005C2D58">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bookmarkEnd w:id="91"/>
    </w:tbl>
    <w:p w14:paraId="2F9254F5" w14:textId="77777777" w:rsidR="00ED5F8D" w:rsidRPr="005C2D58" w:rsidRDefault="00ED5F8D" w:rsidP="00ED5F8D"/>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276"/>
        <w:gridCol w:w="1275"/>
        <w:gridCol w:w="1276"/>
        <w:gridCol w:w="851"/>
        <w:gridCol w:w="1559"/>
      </w:tblGrid>
      <w:tr w:rsidR="005C2D58" w:rsidRPr="005C2D58" w14:paraId="62D8B246" w14:textId="77777777" w:rsidTr="006A1BBC">
        <w:trPr>
          <w:cantSplit/>
          <w:trHeight w:val="339"/>
        </w:trPr>
        <w:tc>
          <w:tcPr>
            <w:tcW w:w="8784" w:type="dxa"/>
            <w:gridSpan w:val="6"/>
            <w:tcBorders>
              <w:top w:val="single" w:sz="4" w:space="0" w:color="auto"/>
              <w:left w:val="single" w:sz="4" w:space="0" w:color="auto"/>
              <w:bottom w:val="single" w:sz="4" w:space="0" w:color="auto"/>
              <w:right w:val="single" w:sz="4" w:space="0" w:color="auto"/>
            </w:tcBorders>
          </w:tcPr>
          <w:p w14:paraId="1BD20363" w14:textId="77777777" w:rsidR="00ED5F8D" w:rsidRPr="005C2D58" w:rsidRDefault="00ED5F8D" w:rsidP="006A1BBC">
            <w:pPr>
              <w:keepNext/>
              <w:ind w:left="-57"/>
              <w:rPr>
                <w:rFonts w:ascii="Arial Narrow" w:hAnsi="Arial Narrow"/>
                <w:b/>
                <w:sz w:val="20"/>
                <w:szCs w:val="20"/>
              </w:rPr>
            </w:pPr>
            <w:bookmarkStart w:id="92" w:name="_Hlk129701040"/>
            <w:r w:rsidRPr="005C2D58">
              <w:rPr>
                <w:rFonts w:ascii="Arial Narrow" w:hAnsi="Arial Narrow"/>
                <w:b/>
                <w:sz w:val="20"/>
                <w:szCs w:val="20"/>
              </w:rPr>
              <w:t xml:space="preserve">Category / Program: </w:t>
            </w:r>
            <w:r w:rsidRPr="005C2D58">
              <w:rPr>
                <w:rFonts w:ascii="Arial Narrow" w:hAnsi="Arial Narrow"/>
                <w:sz w:val="20"/>
                <w:szCs w:val="20"/>
              </w:rPr>
              <w:t xml:space="preserve">GENERAL – General Schedule (Code GE) </w:t>
            </w:r>
          </w:p>
        </w:tc>
      </w:tr>
      <w:tr w:rsidR="005C2D58" w:rsidRPr="005C2D58" w14:paraId="7C4DBE60" w14:textId="77777777" w:rsidTr="006A1BBC">
        <w:trPr>
          <w:cantSplit/>
          <w:trHeight w:val="471"/>
        </w:trPr>
        <w:tc>
          <w:tcPr>
            <w:tcW w:w="2547" w:type="dxa"/>
          </w:tcPr>
          <w:p w14:paraId="2E3C01F2" w14:textId="77777777" w:rsidR="00ED5F8D" w:rsidRPr="005C2D58" w:rsidRDefault="00ED5F8D" w:rsidP="006A1BBC">
            <w:pPr>
              <w:keepNext/>
              <w:ind w:left="-57"/>
              <w:rPr>
                <w:rFonts w:ascii="Arial Narrow" w:hAnsi="Arial Narrow"/>
                <w:b/>
                <w:bCs/>
                <w:sz w:val="20"/>
                <w:szCs w:val="20"/>
              </w:rPr>
            </w:pPr>
            <w:r w:rsidRPr="005C2D58">
              <w:rPr>
                <w:rFonts w:ascii="Arial Narrow" w:hAnsi="Arial Narrow"/>
                <w:b/>
                <w:bCs/>
                <w:sz w:val="20"/>
                <w:szCs w:val="20"/>
              </w:rPr>
              <w:t>MEDICINAL PRODUCT</w:t>
            </w:r>
          </w:p>
          <w:p w14:paraId="4F236493" w14:textId="77777777" w:rsidR="00ED5F8D" w:rsidRPr="005C2D58" w:rsidRDefault="00ED5F8D" w:rsidP="006A1BBC">
            <w:pPr>
              <w:keepNext/>
              <w:ind w:left="-57"/>
              <w:rPr>
                <w:rFonts w:ascii="Arial Narrow" w:hAnsi="Arial Narrow"/>
                <w:b/>
                <w:sz w:val="20"/>
                <w:szCs w:val="20"/>
              </w:rPr>
            </w:pPr>
            <w:r w:rsidRPr="005C2D58">
              <w:rPr>
                <w:rFonts w:ascii="Arial Narrow" w:hAnsi="Arial Narrow"/>
                <w:b/>
                <w:bCs/>
                <w:sz w:val="20"/>
                <w:szCs w:val="20"/>
              </w:rPr>
              <w:t>medicinal product pack</w:t>
            </w:r>
          </w:p>
        </w:tc>
        <w:tc>
          <w:tcPr>
            <w:tcW w:w="1276" w:type="dxa"/>
          </w:tcPr>
          <w:p w14:paraId="1BD63611" w14:textId="77777777" w:rsidR="00ED5F8D" w:rsidRPr="005C2D58" w:rsidRDefault="00ED5F8D" w:rsidP="006A1BBC">
            <w:pPr>
              <w:keepNext/>
              <w:jc w:val="center"/>
              <w:rPr>
                <w:rFonts w:ascii="Arial Narrow" w:hAnsi="Arial Narrow"/>
                <w:b/>
                <w:sz w:val="20"/>
                <w:szCs w:val="20"/>
              </w:rPr>
            </w:pPr>
            <w:r w:rsidRPr="005C2D58">
              <w:rPr>
                <w:rFonts w:ascii="Arial Narrow" w:hAnsi="Arial Narrow"/>
                <w:b/>
                <w:sz w:val="20"/>
                <w:szCs w:val="20"/>
              </w:rPr>
              <w:t>PBS item code</w:t>
            </w:r>
          </w:p>
        </w:tc>
        <w:tc>
          <w:tcPr>
            <w:tcW w:w="1275" w:type="dxa"/>
          </w:tcPr>
          <w:p w14:paraId="03E4FBC7"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packs</w:t>
            </w:r>
          </w:p>
        </w:tc>
        <w:tc>
          <w:tcPr>
            <w:tcW w:w="1276" w:type="dxa"/>
          </w:tcPr>
          <w:p w14:paraId="029BAD5B"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units</w:t>
            </w:r>
          </w:p>
        </w:tc>
        <w:tc>
          <w:tcPr>
            <w:tcW w:w="851" w:type="dxa"/>
          </w:tcPr>
          <w:p w14:paraId="2956280B" w14:textId="77777777" w:rsidR="00ED5F8D" w:rsidRPr="005C2D58" w:rsidRDefault="00ED5F8D" w:rsidP="006A1BBC">
            <w:pPr>
              <w:keepNext/>
              <w:ind w:left="-108"/>
              <w:jc w:val="center"/>
              <w:rPr>
                <w:rFonts w:ascii="Arial Narrow" w:hAnsi="Arial Narrow"/>
                <w:b/>
                <w:sz w:val="20"/>
                <w:szCs w:val="20"/>
              </w:rPr>
            </w:pPr>
            <w:r w:rsidRPr="005C2D58">
              <w:rPr>
                <w:rFonts w:ascii="Arial Narrow" w:hAnsi="Arial Narrow"/>
                <w:b/>
                <w:sz w:val="20"/>
                <w:szCs w:val="20"/>
              </w:rPr>
              <w:t>№.of Rpts</w:t>
            </w:r>
          </w:p>
        </w:tc>
        <w:tc>
          <w:tcPr>
            <w:tcW w:w="1559" w:type="dxa"/>
          </w:tcPr>
          <w:p w14:paraId="694AF960" w14:textId="77777777" w:rsidR="00ED5F8D" w:rsidRPr="005C2D58" w:rsidRDefault="00ED5F8D" w:rsidP="006A1BBC">
            <w:pPr>
              <w:keepNext/>
              <w:rPr>
                <w:rFonts w:ascii="Arial Narrow" w:hAnsi="Arial Narrow"/>
                <w:b/>
                <w:sz w:val="20"/>
                <w:szCs w:val="20"/>
                <w:lang w:val="fr-FR"/>
              </w:rPr>
            </w:pPr>
            <w:r w:rsidRPr="005C2D58">
              <w:rPr>
                <w:rFonts w:ascii="Arial Narrow" w:hAnsi="Arial Narrow"/>
                <w:b/>
                <w:sz w:val="20"/>
                <w:szCs w:val="20"/>
              </w:rPr>
              <w:t>Available brands</w:t>
            </w:r>
          </w:p>
        </w:tc>
      </w:tr>
      <w:tr w:rsidR="005C2D58" w:rsidRPr="005C2D58" w14:paraId="420E1828" w14:textId="77777777" w:rsidTr="006A1BBC">
        <w:trPr>
          <w:cantSplit/>
          <w:trHeight w:val="224"/>
        </w:trPr>
        <w:tc>
          <w:tcPr>
            <w:tcW w:w="8784" w:type="dxa"/>
            <w:gridSpan w:val="6"/>
          </w:tcPr>
          <w:p w14:paraId="4D8D554C"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VENETOCLAX</w:t>
            </w:r>
          </w:p>
        </w:tc>
      </w:tr>
      <w:tr w:rsidR="005C2D58" w:rsidRPr="005C2D58" w14:paraId="671C8BBB" w14:textId="77777777" w:rsidTr="006A1BBC">
        <w:trPr>
          <w:cantSplit/>
          <w:trHeight w:val="193"/>
        </w:trPr>
        <w:tc>
          <w:tcPr>
            <w:tcW w:w="2547" w:type="dxa"/>
          </w:tcPr>
          <w:p w14:paraId="31C17E50"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 xml:space="preserve">venetoclax 100 mg tablet, 120 </w:t>
            </w:r>
          </w:p>
        </w:tc>
        <w:tc>
          <w:tcPr>
            <w:tcW w:w="1276" w:type="dxa"/>
          </w:tcPr>
          <w:p w14:paraId="67179D59"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12199C</w:t>
            </w:r>
          </w:p>
          <w:p w14:paraId="0FFC5AD1" w14:textId="77777777" w:rsidR="00ED5F8D" w:rsidRPr="005C2D58" w:rsidRDefault="00ED5F8D" w:rsidP="006A1BBC">
            <w:pPr>
              <w:keepNext/>
              <w:jc w:val="center"/>
              <w:rPr>
                <w:rFonts w:ascii="Arial Narrow" w:hAnsi="Arial Narrow"/>
                <w:sz w:val="20"/>
                <w:szCs w:val="20"/>
                <w:vertAlign w:val="subscript"/>
              </w:rPr>
            </w:pPr>
            <w:r w:rsidRPr="005C2D58">
              <w:rPr>
                <w:rFonts w:ascii="Arial Narrow" w:hAnsi="Arial Narrow"/>
                <w:sz w:val="20"/>
                <w:szCs w:val="20"/>
                <w:vertAlign w:val="subscript"/>
              </w:rPr>
              <w:t>MP</w:t>
            </w:r>
          </w:p>
        </w:tc>
        <w:tc>
          <w:tcPr>
            <w:tcW w:w="1275" w:type="dxa"/>
          </w:tcPr>
          <w:p w14:paraId="5F34C496"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w:t>
            </w:r>
          </w:p>
        </w:tc>
        <w:tc>
          <w:tcPr>
            <w:tcW w:w="1276" w:type="dxa"/>
          </w:tcPr>
          <w:p w14:paraId="0666A555"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120</w:t>
            </w:r>
          </w:p>
        </w:tc>
        <w:tc>
          <w:tcPr>
            <w:tcW w:w="851" w:type="dxa"/>
          </w:tcPr>
          <w:p w14:paraId="2AE16481"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5</w:t>
            </w:r>
          </w:p>
        </w:tc>
        <w:tc>
          <w:tcPr>
            <w:tcW w:w="1559" w:type="dxa"/>
          </w:tcPr>
          <w:p w14:paraId="23D96C4D" w14:textId="77777777" w:rsidR="00ED5F8D" w:rsidRPr="005C2D58" w:rsidRDefault="00ED5F8D" w:rsidP="006A1BBC">
            <w:pPr>
              <w:keepNext/>
              <w:rPr>
                <w:rFonts w:ascii="Arial Narrow" w:eastAsia="MS Gothic" w:hAnsi="Arial Narrow"/>
                <w:bCs/>
                <w:sz w:val="20"/>
                <w:szCs w:val="20"/>
              </w:rPr>
            </w:pPr>
            <w:r w:rsidRPr="005C2D58">
              <w:rPr>
                <w:rFonts w:ascii="Arial Narrow" w:eastAsia="MS Gothic" w:hAnsi="Arial Narrow"/>
                <w:bCs/>
                <w:sz w:val="20"/>
                <w:szCs w:val="20"/>
              </w:rPr>
              <w:t>Venclexta</w:t>
            </w:r>
          </w:p>
        </w:tc>
      </w:tr>
      <w:tr w:rsidR="005C2D58" w:rsidRPr="005C2D58" w14:paraId="47C3BC7D" w14:textId="77777777" w:rsidTr="006A1BBC">
        <w:trPr>
          <w:cantSplit/>
          <w:trHeight w:val="193"/>
        </w:trPr>
        <w:tc>
          <w:tcPr>
            <w:tcW w:w="8784" w:type="dxa"/>
            <w:gridSpan w:val="6"/>
          </w:tcPr>
          <w:p w14:paraId="4D2962E5" w14:textId="4A63DD6A" w:rsidR="00ED5F8D" w:rsidRPr="005C2D58" w:rsidRDefault="00ED5F8D" w:rsidP="006A1BBC">
            <w:pPr>
              <w:keepNext/>
              <w:jc w:val="right"/>
              <w:rPr>
                <w:rFonts w:ascii="Arial Narrow" w:eastAsia="MS Gothic" w:hAnsi="Arial Narrow"/>
                <w:bCs/>
                <w:sz w:val="20"/>
                <w:szCs w:val="20"/>
              </w:rPr>
            </w:pPr>
            <w:r w:rsidRPr="005C2D58">
              <w:rPr>
                <w:rFonts w:ascii="Arial Narrow" w:eastAsia="MS Gothic" w:hAnsi="Arial Narrow"/>
                <w:bCs/>
                <w:sz w:val="20"/>
                <w:szCs w:val="20"/>
              </w:rPr>
              <w:t>Safety Net Rule Penalty Applies? Yes</w:t>
            </w:r>
          </w:p>
        </w:tc>
      </w:tr>
      <w:tr w:rsidR="005C2D58" w:rsidRPr="005C2D58" w14:paraId="449E009F"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6"/>
            <w:tcBorders>
              <w:top w:val="single" w:sz="4" w:space="0" w:color="auto"/>
              <w:left w:val="single" w:sz="4" w:space="0" w:color="auto"/>
              <w:right w:val="single" w:sz="4" w:space="0" w:color="auto"/>
            </w:tcBorders>
          </w:tcPr>
          <w:p w14:paraId="3B22E452" w14:textId="77777777" w:rsidR="00ED5F8D" w:rsidRPr="005C2D58" w:rsidRDefault="00ED5F8D" w:rsidP="006A1BBC">
            <w:pPr>
              <w:rPr>
                <w:rFonts w:ascii="Arial Narrow" w:hAnsi="Arial Narrow"/>
                <w:sz w:val="20"/>
                <w:szCs w:val="20"/>
              </w:rPr>
            </w:pPr>
          </w:p>
        </w:tc>
      </w:tr>
      <w:tr w:rsidR="005C2D58" w:rsidRPr="005C2D58" w14:paraId="48317227"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6"/>
            <w:tcBorders>
              <w:top w:val="single" w:sz="4" w:space="0" w:color="auto"/>
              <w:left w:val="single" w:sz="4" w:space="0" w:color="auto"/>
              <w:right w:val="single" w:sz="4" w:space="0" w:color="auto"/>
            </w:tcBorders>
          </w:tcPr>
          <w:p w14:paraId="7C8A9DA3" w14:textId="7957143B" w:rsidR="00ED5F8D" w:rsidRPr="005C2D58" w:rsidRDefault="00ED5F8D" w:rsidP="006A1BBC">
            <w:pPr>
              <w:rPr>
                <w:rFonts w:ascii="Arial Narrow" w:hAnsi="Arial Narrow"/>
                <w:b/>
                <w:sz w:val="20"/>
                <w:szCs w:val="20"/>
              </w:rPr>
            </w:pPr>
            <w:r w:rsidRPr="005C2D58">
              <w:rPr>
                <w:rFonts w:ascii="Arial Narrow" w:hAnsi="Arial Narrow"/>
                <w:b/>
                <w:sz w:val="20"/>
                <w:szCs w:val="20"/>
              </w:rPr>
              <w:t>Restriction Summary  / Treatment of Concept: Authority Required  **********UNCHANGED************</w:t>
            </w:r>
          </w:p>
          <w:p w14:paraId="6CCE7A29" w14:textId="77777777" w:rsidR="00ED5F8D" w:rsidRPr="005C2D58" w:rsidRDefault="00ED5F8D" w:rsidP="006A1BBC">
            <w:pPr>
              <w:rPr>
                <w:rFonts w:ascii="Arial Narrow" w:hAnsi="Arial Narrow"/>
                <w:b/>
                <w:sz w:val="20"/>
                <w:szCs w:val="20"/>
              </w:rPr>
            </w:pPr>
          </w:p>
        </w:tc>
      </w:tr>
    </w:tbl>
    <w:tbl>
      <w:tblPr>
        <w:tblStyle w:val="TableGrid"/>
        <w:tblW w:w="0" w:type="auto"/>
        <w:tblLook w:val="04A0" w:firstRow="1" w:lastRow="0" w:firstColumn="1" w:lastColumn="0" w:noHBand="0" w:noVBand="1"/>
      </w:tblPr>
      <w:tblGrid>
        <w:gridCol w:w="988"/>
        <w:gridCol w:w="7796"/>
      </w:tblGrid>
      <w:tr w:rsidR="005C2D58" w:rsidRPr="005C2D58" w14:paraId="4E64D399" w14:textId="77777777" w:rsidTr="008D4506">
        <w:tc>
          <w:tcPr>
            <w:tcW w:w="988" w:type="dxa"/>
          </w:tcPr>
          <w:p w14:paraId="2BF5145E" w14:textId="1CB02082"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741B1796"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Indication: </w:t>
            </w:r>
            <w:r w:rsidRPr="005C2D58">
              <w:rPr>
                <w:rFonts w:ascii="Arial Narrow" w:hAnsi="Arial Narrow" w:cs="Open Sans"/>
                <w:sz w:val="20"/>
                <w:szCs w:val="20"/>
              </w:rPr>
              <w:t>Chronic lymphocytic leukaemia (CLL) or small lymphocytic lymphoma (SLL)</w:t>
            </w:r>
          </w:p>
        </w:tc>
      </w:tr>
      <w:tr w:rsidR="005C2D58" w:rsidRPr="005C2D58" w14:paraId="30BC1C4B" w14:textId="77777777" w:rsidTr="006A1BBC">
        <w:tc>
          <w:tcPr>
            <w:tcW w:w="988" w:type="dxa"/>
          </w:tcPr>
          <w:p w14:paraId="0D166309" w14:textId="77777777" w:rsidR="00ED5F8D" w:rsidRPr="005C2D58" w:rsidRDefault="00ED5F8D" w:rsidP="006A1BBC">
            <w:pPr>
              <w:jc w:val="center"/>
              <w:textAlignment w:val="baseline"/>
              <w:rPr>
                <w:rFonts w:ascii="Arial Narrow" w:hAnsi="Arial Narrow" w:cs="Open Sans"/>
                <w:sz w:val="20"/>
                <w:szCs w:val="20"/>
              </w:rPr>
            </w:pPr>
          </w:p>
        </w:tc>
        <w:tc>
          <w:tcPr>
            <w:tcW w:w="7796" w:type="dxa"/>
          </w:tcPr>
          <w:p w14:paraId="2EE20A91" w14:textId="77777777" w:rsidR="00ED5F8D" w:rsidRPr="005C2D58" w:rsidRDefault="00ED5F8D" w:rsidP="006A1BBC">
            <w:pPr>
              <w:ind w:left="-57"/>
              <w:textAlignment w:val="baseline"/>
              <w:rPr>
                <w:rFonts w:ascii="Arial Narrow" w:hAnsi="Arial Narrow" w:cs="Open Sans"/>
                <w:b/>
                <w:bCs/>
                <w:sz w:val="20"/>
                <w:szCs w:val="20"/>
                <w:bdr w:val="none" w:sz="0" w:space="0" w:color="auto" w:frame="1"/>
              </w:rPr>
            </w:pPr>
          </w:p>
        </w:tc>
      </w:tr>
      <w:tr w:rsidR="005C2D58" w:rsidRPr="005C2D58" w14:paraId="70E7C535" w14:textId="77777777" w:rsidTr="008D4506">
        <w:tc>
          <w:tcPr>
            <w:tcW w:w="988" w:type="dxa"/>
          </w:tcPr>
          <w:p w14:paraId="3B9624E4" w14:textId="77777777" w:rsidR="00ED5F8D" w:rsidRPr="005C2D58" w:rsidRDefault="00ED5F8D" w:rsidP="006A1BBC">
            <w:pPr>
              <w:jc w:val="center"/>
              <w:rPr>
                <w:rFonts w:ascii="Arial Narrow" w:hAnsi="Arial Narrow" w:cs="Open Sans"/>
                <w:sz w:val="20"/>
                <w:szCs w:val="20"/>
              </w:rPr>
            </w:pPr>
          </w:p>
        </w:tc>
        <w:tc>
          <w:tcPr>
            <w:tcW w:w="7796" w:type="dxa"/>
            <w:hideMark/>
          </w:tcPr>
          <w:p w14:paraId="0A1208C9"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Treatment Phase: </w:t>
            </w:r>
            <w:r w:rsidRPr="005C2D58">
              <w:rPr>
                <w:rFonts w:ascii="Arial Narrow" w:hAnsi="Arial Narrow" w:cs="Open Sans"/>
                <w:sz w:val="20"/>
                <w:szCs w:val="20"/>
              </w:rPr>
              <w:t>Second and final continuing treatment prescription (treatment cycles 7 to 12 inclusive) of first-line therapy</w:t>
            </w:r>
          </w:p>
        </w:tc>
      </w:tr>
      <w:tr w:rsidR="005C2D58" w:rsidRPr="005C2D58" w14:paraId="16B7C4F3" w14:textId="77777777" w:rsidTr="006A1BBC">
        <w:tc>
          <w:tcPr>
            <w:tcW w:w="988" w:type="dxa"/>
          </w:tcPr>
          <w:p w14:paraId="06857952" w14:textId="77777777" w:rsidR="00ED5F8D" w:rsidRPr="005C2D58" w:rsidRDefault="00ED5F8D" w:rsidP="006A1BBC">
            <w:pPr>
              <w:jc w:val="center"/>
              <w:rPr>
                <w:rFonts w:ascii="Arial Narrow" w:hAnsi="Arial Narrow" w:cs="Open Sans"/>
                <w:sz w:val="20"/>
                <w:szCs w:val="20"/>
              </w:rPr>
            </w:pPr>
          </w:p>
        </w:tc>
        <w:tc>
          <w:tcPr>
            <w:tcW w:w="7796" w:type="dxa"/>
          </w:tcPr>
          <w:p w14:paraId="498BE407" w14:textId="77777777" w:rsidR="00ED5F8D" w:rsidRPr="005C2D58" w:rsidRDefault="00ED5F8D" w:rsidP="006A1BBC">
            <w:pPr>
              <w:ind w:left="-57"/>
              <w:textAlignment w:val="baseline"/>
              <w:rPr>
                <w:rFonts w:ascii="Arial Narrow" w:hAnsi="Arial Narrow" w:cs="Open Sans"/>
                <w:b/>
                <w:bCs/>
                <w:sz w:val="20"/>
                <w:szCs w:val="20"/>
                <w:bdr w:val="none" w:sz="0" w:space="0" w:color="auto" w:frame="1"/>
              </w:rPr>
            </w:pPr>
          </w:p>
        </w:tc>
      </w:tr>
      <w:tr w:rsidR="005C2D58" w:rsidRPr="005C2D58" w14:paraId="592E9C1A" w14:textId="77777777" w:rsidTr="008D4506">
        <w:tc>
          <w:tcPr>
            <w:tcW w:w="988" w:type="dxa"/>
          </w:tcPr>
          <w:p w14:paraId="230B610A" w14:textId="2BDBE57B"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06969068"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Clinical criteria:</w:t>
            </w:r>
          </w:p>
        </w:tc>
      </w:tr>
      <w:tr w:rsidR="005C2D58" w:rsidRPr="005C2D58" w14:paraId="628BB1AB" w14:textId="77777777" w:rsidTr="008D4506">
        <w:tc>
          <w:tcPr>
            <w:tcW w:w="988" w:type="dxa"/>
          </w:tcPr>
          <w:p w14:paraId="6C2785BB" w14:textId="2DFF79C0"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4342538A" w14:textId="77777777" w:rsidR="00ED5F8D" w:rsidRPr="005C2D58" w:rsidRDefault="00ED5F8D" w:rsidP="006A1BBC">
            <w:pPr>
              <w:ind w:left="-57"/>
              <w:rPr>
                <w:rFonts w:ascii="Arial Narrow" w:hAnsi="Arial Narrow" w:cs="Open Sans"/>
                <w:sz w:val="20"/>
                <w:szCs w:val="20"/>
              </w:rPr>
            </w:pPr>
            <w:r w:rsidRPr="005C2D58">
              <w:rPr>
                <w:rFonts w:ascii="Arial Narrow" w:hAnsi="Arial Narrow" w:cs="Open Sans"/>
                <w:sz w:val="20"/>
                <w:szCs w:val="20"/>
              </w:rPr>
              <w:t>Patient must have previously received PBS-subsidised treatment with this drug for this condition</w:t>
            </w:r>
          </w:p>
        </w:tc>
      </w:tr>
      <w:tr w:rsidR="005C2D58" w:rsidRPr="005C2D58" w14:paraId="3D9075C3" w14:textId="77777777" w:rsidTr="008D4506">
        <w:tc>
          <w:tcPr>
            <w:tcW w:w="988" w:type="dxa"/>
          </w:tcPr>
          <w:p w14:paraId="242BD37A" w14:textId="77777777" w:rsidR="00ED5F8D" w:rsidRPr="005C2D58" w:rsidRDefault="00ED5F8D" w:rsidP="006A1BBC">
            <w:pPr>
              <w:jc w:val="center"/>
              <w:rPr>
                <w:rFonts w:ascii="Arial Narrow" w:hAnsi="Arial Narrow" w:cs="Open Sans"/>
                <w:sz w:val="20"/>
                <w:szCs w:val="20"/>
              </w:rPr>
            </w:pPr>
          </w:p>
        </w:tc>
        <w:tc>
          <w:tcPr>
            <w:tcW w:w="7796" w:type="dxa"/>
            <w:hideMark/>
          </w:tcPr>
          <w:p w14:paraId="405CA771" w14:textId="77777777" w:rsidR="00ED5F8D" w:rsidRPr="005C2D58" w:rsidRDefault="00ED5F8D" w:rsidP="006A1BBC">
            <w:pPr>
              <w:ind w:left="-57"/>
              <w:rPr>
                <w:rFonts w:ascii="Arial Narrow" w:hAnsi="Arial Narrow" w:cs="Open Sans"/>
                <w:sz w:val="20"/>
                <w:szCs w:val="20"/>
              </w:rPr>
            </w:pPr>
            <w:r w:rsidRPr="005C2D58">
              <w:rPr>
                <w:rFonts w:ascii="Arial Narrow" w:hAnsi="Arial Narrow" w:cs="Open Sans"/>
                <w:b/>
                <w:bCs/>
                <w:sz w:val="20"/>
                <w:szCs w:val="20"/>
                <w:bdr w:val="none" w:sz="0" w:space="0" w:color="auto" w:frame="1"/>
              </w:rPr>
              <w:t>AND</w:t>
            </w:r>
          </w:p>
        </w:tc>
      </w:tr>
      <w:tr w:rsidR="005C2D58" w:rsidRPr="005C2D58" w14:paraId="6BE9741F" w14:textId="77777777" w:rsidTr="008D4506">
        <w:tc>
          <w:tcPr>
            <w:tcW w:w="988" w:type="dxa"/>
          </w:tcPr>
          <w:p w14:paraId="6A02A044" w14:textId="3CEE7AF7"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01CB3629"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Clinical criteria:</w:t>
            </w:r>
          </w:p>
        </w:tc>
      </w:tr>
      <w:tr w:rsidR="005C2D58" w:rsidRPr="005C2D58" w14:paraId="7B07B59D" w14:textId="77777777" w:rsidTr="008D4506">
        <w:tc>
          <w:tcPr>
            <w:tcW w:w="988" w:type="dxa"/>
          </w:tcPr>
          <w:p w14:paraId="7618B010" w14:textId="23F022C2"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2C274ED3" w14:textId="77777777" w:rsidR="00ED5F8D" w:rsidRPr="005C2D58" w:rsidRDefault="00ED5F8D" w:rsidP="006A1BBC">
            <w:pPr>
              <w:ind w:left="-57"/>
              <w:rPr>
                <w:rFonts w:ascii="Arial Narrow" w:hAnsi="Arial Narrow" w:cs="Open Sans"/>
                <w:sz w:val="20"/>
                <w:szCs w:val="20"/>
              </w:rPr>
            </w:pPr>
            <w:r w:rsidRPr="005C2D58">
              <w:rPr>
                <w:rFonts w:ascii="Arial Narrow" w:hAnsi="Arial Narrow" w:cs="Open Sans"/>
                <w:sz w:val="20"/>
                <w:szCs w:val="20"/>
              </w:rPr>
              <w:t>The treatment must cease upon disease progression; or</w:t>
            </w:r>
          </w:p>
        </w:tc>
      </w:tr>
      <w:tr w:rsidR="005C2D58" w:rsidRPr="005C2D58" w14:paraId="298E7090" w14:textId="77777777" w:rsidTr="008D4506">
        <w:tc>
          <w:tcPr>
            <w:tcW w:w="988" w:type="dxa"/>
          </w:tcPr>
          <w:p w14:paraId="71CF3461" w14:textId="4E723BD3"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35196041" w14:textId="77777777" w:rsidR="00ED5F8D" w:rsidRPr="005C2D58" w:rsidRDefault="00ED5F8D" w:rsidP="006A1BBC">
            <w:pPr>
              <w:ind w:left="-57"/>
              <w:rPr>
                <w:rFonts w:ascii="Arial Narrow" w:hAnsi="Arial Narrow" w:cs="Open Sans"/>
                <w:sz w:val="20"/>
                <w:szCs w:val="20"/>
              </w:rPr>
            </w:pPr>
            <w:r w:rsidRPr="005C2D58">
              <w:rPr>
                <w:rFonts w:ascii="Arial Narrow" w:hAnsi="Arial Narrow" w:cs="Open Sans"/>
                <w:sz w:val="20"/>
                <w:szCs w:val="20"/>
              </w:rPr>
              <w:t>The treatment must cease upon completion of 12 cycles of treatment with this drug for this condition, whichever comes first</w:t>
            </w:r>
          </w:p>
        </w:tc>
      </w:tr>
      <w:tr w:rsidR="005C2D58" w:rsidRPr="005C2D58" w14:paraId="28775E37" w14:textId="77777777" w:rsidTr="006A1BBC">
        <w:tc>
          <w:tcPr>
            <w:tcW w:w="988" w:type="dxa"/>
          </w:tcPr>
          <w:p w14:paraId="5880FAB6" w14:textId="77777777" w:rsidR="00ED5F8D" w:rsidRPr="005C2D58" w:rsidRDefault="00ED5F8D" w:rsidP="006A1BBC">
            <w:pPr>
              <w:textAlignment w:val="baseline"/>
              <w:rPr>
                <w:rFonts w:ascii="Arial Narrow" w:hAnsi="Arial Narrow" w:cs="Open Sans"/>
                <w:sz w:val="20"/>
                <w:szCs w:val="20"/>
              </w:rPr>
            </w:pPr>
          </w:p>
        </w:tc>
        <w:tc>
          <w:tcPr>
            <w:tcW w:w="7796" w:type="dxa"/>
          </w:tcPr>
          <w:p w14:paraId="671EED02" w14:textId="77777777" w:rsidR="00ED5F8D" w:rsidRPr="005C2D58" w:rsidRDefault="00ED5F8D" w:rsidP="006A1BBC">
            <w:pPr>
              <w:ind w:left="-57"/>
              <w:rPr>
                <w:rFonts w:ascii="Arial Narrow" w:hAnsi="Arial Narrow" w:cs="Open Sans"/>
                <w:sz w:val="20"/>
                <w:szCs w:val="20"/>
              </w:rPr>
            </w:pPr>
          </w:p>
        </w:tc>
      </w:tr>
      <w:tr w:rsidR="005C2D58" w:rsidRPr="005C2D58" w14:paraId="3F99E45D" w14:textId="77777777" w:rsidTr="008D4506">
        <w:tc>
          <w:tcPr>
            <w:tcW w:w="988" w:type="dxa"/>
          </w:tcPr>
          <w:p w14:paraId="06661A75" w14:textId="0F6DF535"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1611B001"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quantity or number of units may be authorised.</w:t>
            </w:r>
          </w:p>
        </w:tc>
      </w:tr>
      <w:tr w:rsidR="005C2D58" w:rsidRPr="005C2D58" w14:paraId="399A0C94" w14:textId="77777777" w:rsidTr="008D4506">
        <w:tc>
          <w:tcPr>
            <w:tcW w:w="988" w:type="dxa"/>
          </w:tcPr>
          <w:p w14:paraId="0DDAA100" w14:textId="0864A6C8"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175F2EFB"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number of repeats may be authorised.</w:t>
            </w:r>
          </w:p>
        </w:tc>
      </w:tr>
      <w:tr w:rsidR="005C2D58" w:rsidRPr="005C2D58" w14:paraId="393B24EC" w14:textId="77777777" w:rsidTr="008D4506">
        <w:tc>
          <w:tcPr>
            <w:tcW w:w="988" w:type="dxa"/>
          </w:tcPr>
          <w:p w14:paraId="65E168D9" w14:textId="185F06CC"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138039EE"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Special Pricing Arrangements apply.</w:t>
            </w:r>
          </w:p>
        </w:tc>
      </w:tr>
      <w:tr w:rsidR="00ED5F8D" w:rsidRPr="005C2D58" w14:paraId="69F376BC" w14:textId="77777777" w:rsidTr="008D4506">
        <w:trPr>
          <w:trHeight w:val="274"/>
        </w:trPr>
        <w:tc>
          <w:tcPr>
            <w:tcW w:w="988" w:type="dxa"/>
          </w:tcPr>
          <w:p w14:paraId="1544E113" w14:textId="21F05FD1"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0E7B4AF4"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Administrative Advice:</w:t>
            </w:r>
          </w:p>
          <w:p w14:paraId="2AF73D32"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bookmarkEnd w:id="92"/>
    </w:tbl>
    <w:p w14:paraId="3C1F06C1" w14:textId="77777777" w:rsidR="00ED5F8D" w:rsidRPr="005C2D58" w:rsidRDefault="00ED5F8D" w:rsidP="00ED5F8D">
      <w:pPr>
        <w:rPr>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276"/>
        <w:gridCol w:w="1275"/>
        <w:gridCol w:w="1276"/>
        <w:gridCol w:w="851"/>
        <w:gridCol w:w="1559"/>
      </w:tblGrid>
      <w:tr w:rsidR="005C2D58" w:rsidRPr="005C2D58" w14:paraId="40B39CD7" w14:textId="77777777" w:rsidTr="006A1BBC">
        <w:trPr>
          <w:cantSplit/>
          <w:trHeight w:val="339"/>
        </w:trPr>
        <w:tc>
          <w:tcPr>
            <w:tcW w:w="8784" w:type="dxa"/>
            <w:gridSpan w:val="6"/>
            <w:tcBorders>
              <w:top w:val="single" w:sz="4" w:space="0" w:color="auto"/>
              <w:left w:val="single" w:sz="4" w:space="0" w:color="auto"/>
              <w:bottom w:val="single" w:sz="4" w:space="0" w:color="auto"/>
              <w:right w:val="single" w:sz="4" w:space="0" w:color="auto"/>
            </w:tcBorders>
          </w:tcPr>
          <w:p w14:paraId="0D52E8A4" w14:textId="77777777" w:rsidR="00ED5F8D" w:rsidRPr="005C2D58" w:rsidRDefault="00ED5F8D" w:rsidP="006A1BBC">
            <w:pPr>
              <w:keepNext/>
              <w:ind w:left="-57"/>
              <w:rPr>
                <w:rFonts w:ascii="Arial Narrow" w:hAnsi="Arial Narrow"/>
                <w:b/>
                <w:sz w:val="20"/>
                <w:szCs w:val="20"/>
              </w:rPr>
            </w:pPr>
            <w:r w:rsidRPr="005C2D58">
              <w:rPr>
                <w:rFonts w:ascii="Arial Narrow" w:hAnsi="Arial Narrow"/>
                <w:b/>
                <w:sz w:val="20"/>
                <w:szCs w:val="20"/>
              </w:rPr>
              <w:t xml:space="preserve">Category / Program: </w:t>
            </w:r>
            <w:r w:rsidRPr="005C2D58">
              <w:rPr>
                <w:rFonts w:ascii="Arial Narrow" w:hAnsi="Arial Narrow"/>
                <w:sz w:val="20"/>
                <w:szCs w:val="20"/>
              </w:rPr>
              <w:t xml:space="preserve">GENERAL – General Schedule (Code GE) </w:t>
            </w:r>
          </w:p>
        </w:tc>
      </w:tr>
      <w:tr w:rsidR="005C2D58" w:rsidRPr="005C2D58" w14:paraId="105196E7" w14:textId="77777777" w:rsidTr="006A1BBC">
        <w:trPr>
          <w:cantSplit/>
          <w:trHeight w:val="471"/>
        </w:trPr>
        <w:tc>
          <w:tcPr>
            <w:tcW w:w="2547" w:type="dxa"/>
          </w:tcPr>
          <w:p w14:paraId="4594C5F6" w14:textId="77777777" w:rsidR="00ED5F8D" w:rsidRPr="005C2D58" w:rsidRDefault="00ED5F8D" w:rsidP="006A1BBC">
            <w:pPr>
              <w:keepNext/>
              <w:ind w:left="-57"/>
              <w:rPr>
                <w:rFonts w:ascii="Arial Narrow" w:hAnsi="Arial Narrow"/>
                <w:b/>
                <w:bCs/>
                <w:sz w:val="20"/>
                <w:szCs w:val="20"/>
              </w:rPr>
            </w:pPr>
            <w:r w:rsidRPr="005C2D58">
              <w:rPr>
                <w:rFonts w:ascii="Arial Narrow" w:hAnsi="Arial Narrow"/>
                <w:b/>
                <w:bCs/>
                <w:sz w:val="20"/>
                <w:szCs w:val="20"/>
              </w:rPr>
              <w:t>MEDICINAL PRODUCT</w:t>
            </w:r>
          </w:p>
          <w:p w14:paraId="777B50BF" w14:textId="77777777" w:rsidR="00ED5F8D" w:rsidRPr="005C2D58" w:rsidRDefault="00ED5F8D" w:rsidP="006A1BBC">
            <w:pPr>
              <w:keepNext/>
              <w:ind w:left="-57"/>
              <w:rPr>
                <w:rFonts w:ascii="Arial Narrow" w:hAnsi="Arial Narrow"/>
                <w:b/>
                <w:sz w:val="20"/>
                <w:szCs w:val="20"/>
              </w:rPr>
            </w:pPr>
            <w:r w:rsidRPr="005C2D58">
              <w:rPr>
                <w:rFonts w:ascii="Arial Narrow" w:hAnsi="Arial Narrow"/>
                <w:b/>
                <w:bCs/>
                <w:sz w:val="20"/>
                <w:szCs w:val="20"/>
              </w:rPr>
              <w:t>medicinal product pack</w:t>
            </w:r>
          </w:p>
        </w:tc>
        <w:tc>
          <w:tcPr>
            <w:tcW w:w="1276" w:type="dxa"/>
          </w:tcPr>
          <w:p w14:paraId="50D59C2F" w14:textId="77777777" w:rsidR="00ED5F8D" w:rsidRPr="005C2D58" w:rsidRDefault="00ED5F8D" w:rsidP="006A1BBC">
            <w:pPr>
              <w:keepNext/>
              <w:jc w:val="center"/>
              <w:rPr>
                <w:rFonts w:ascii="Arial Narrow" w:hAnsi="Arial Narrow"/>
                <w:b/>
                <w:sz w:val="20"/>
                <w:szCs w:val="20"/>
              </w:rPr>
            </w:pPr>
            <w:r w:rsidRPr="005C2D58">
              <w:rPr>
                <w:rFonts w:ascii="Arial Narrow" w:hAnsi="Arial Narrow"/>
                <w:b/>
                <w:sz w:val="20"/>
                <w:szCs w:val="20"/>
              </w:rPr>
              <w:t>PBS item code</w:t>
            </w:r>
          </w:p>
        </w:tc>
        <w:tc>
          <w:tcPr>
            <w:tcW w:w="1275" w:type="dxa"/>
          </w:tcPr>
          <w:p w14:paraId="2DD58706"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packs</w:t>
            </w:r>
          </w:p>
        </w:tc>
        <w:tc>
          <w:tcPr>
            <w:tcW w:w="1276" w:type="dxa"/>
          </w:tcPr>
          <w:p w14:paraId="73A9C3BF" w14:textId="77777777" w:rsidR="00ED5F8D" w:rsidRPr="005C2D58" w:rsidRDefault="00ED5F8D" w:rsidP="006A1BBC">
            <w:pPr>
              <w:keepNext/>
              <w:rPr>
                <w:rFonts w:ascii="Arial Narrow" w:hAnsi="Arial Narrow"/>
                <w:b/>
                <w:sz w:val="20"/>
                <w:szCs w:val="20"/>
              </w:rPr>
            </w:pPr>
            <w:r w:rsidRPr="005C2D58">
              <w:rPr>
                <w:rFonts w:ascii="Arial Narrow" w:hAnsi="Arial Narrow"/>
                <w:b/>
                <w:sz w:val="20"/>
                <w:szCs w:val="20"/>
              </w:rPr>
              <w:t>Max. qty units</w:t>
            </w:r>
          </w:p>
        </w:tc>
        <w:tc>
          <w:tcPr>
            <w:tcW w:w="851" w:type="dxa"/>
          </w:tcPr>
          <w:p w14:paraId="52C77D08" w14:textId="77777777" w:rsidR="00ED5F8D" w:rsidRPr="005C2D58" w:rsidRDefault="00ED5F8D" w:rsidP="006A1BBC">
            <w:pPr>
              <w:keepNext/>
              <w:ind w:left="-108"/>
              <w:jc w:val="center"/>
              <w:rPr>
                <w:rFonts w:ascii="Arial Narrow" w:hAnsi="Arial Narrow"/>
                <w:b/>
                <w:sz w:val="20"/>
                <w:szCs w:val="20"/>
              </w:rPr>
            </w:pPr>
            <w:r w:rsidRPr="005C2D58">
              <w:rPr>
                <w:rFonts w:ascii="Arial Narrow" w:hAnsi="Arial Narrow"/>
                <w:b/>
                <w:sz w:val="20"/>
                <w:szCs w:val="20"/>
              </w:rPr>
              <w:t>№.of Rpts</w:t>
            </w:r>
          </w:p>
        </w:tc>
        <w:tc>
          <w:tcPr>
            <w:tcW w:w="1559" w:type="dxa"/>
          </w:tcPr>
          <w:p w14:paraId="4A14857B" w14:textId="77777777" w:rsidR="00ED5F8D" w:rsidRPr="005C2D58" w:rsidRDefault="00ED5F8D" w:rsidP="006A1BBC">
            <w:pPr>
              <w:keepNext/>
              <w:rPr>
                <w:rFonts w:ascii="Arial Narrow" w:hAnsi="Arial Narrow"/>
                <w:b/>
                <w:sz w:val="20"/>
                <w:szCs w:val="20"/>
                <w:lang w:val="fr-FR"/>
              </w:rPr>
            </w:pPr>
            <w:r w:rsidRPr="005C2D58">
              <w:rPr>
                <w:rFonts w:ascii="Arial Narrow" w:hAnsi="Arial Narrow"/>
                <w:b/>
                <w:sz w:val="20"/>
                <w:szCs w:val="20"/>
              </w:rPr>
              <w:t>Available brands</w:t>
            </w:r>
          </w:p>
        </w:tc>
      </w:tr>
      <w:tr w:rsidR="005C2D58" w:rsidRPr="005C2D58" w14:paraId="79978AE9" w14:textId="77777777" w:rsidTr="006A1BBC">
        <w:trPr>
          <w:cantSplit/>
          <w:trHeight w:val="224"/>
        </w:trPr>
        <w:tc>
          <w:tcPr>
            <w:tcW w:w="8784" w:type="dxa"/>
            <w:gridSpan w:val="6"/>
          </w:tcPr>
          <w:p w14:paraId="2516DFE1"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VENETOCLAX</w:t>
            </w:r>
          </w:p>
        </w:tc>
      </w:tr>
      <w:tr w:rsidR="005C2D58" w:rsidRPr="005C2D58" w14:paraId="137509BD" w14:textId="77777777" w:rsidTr="006A1BBC">
        <w:trPr>
          <w:cantSplit/>
          <w:trHeight w:val="193"/>
        </w:trPr>
        <w:tc>
          <w:tcPr>
            <w:tcW w:w="2547" w:type="dxa"/>
          </w:tcPr>
          <w:p w14:paraId="45B8F41F"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 xml:space="preserve">venetoclax 10 mg tablet, 2 </w:t>
            </w:r>
          </w:p>
        </w:tc>
        <w:tc>
          <w:tcPr>
            <w:tcW w:w="1276" w:type="dxa"/>
          </w:tcPr>
          <w:p w14:paraId="637A1D41"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12999E</w:t>
            </w:r>
          </w:p>
          <w:p w14:paraId="5EC13834" w14:textId="77777777" w:rsidR="00ED5F8D" w:rsidRPr="005C2D58" w:rsidRDefault="00ED5F8D" w:rsidP="006A1BBC">
            <w:pPr>
              <w:keepNext/>
              <w:jc w:val="center"/>
              <w:rPr>
                <w:rFonts w:ascii="Arial Narrow" w:hAnsi="Arial Narrow"/>
                <w:sz w:val="20"/>
                <w:szCs w:val="20"/>
                <w:vertAlign w:val="subscript"/>
              </w:rPr>
            </w:pPr>
            <w:r w:rsidRPr="005C2D58">
              <w:rPr>
                <w:rFonts w:ascii="Arial Narrow" w:hAnsi="Arial Narrow"/>
                <w:sz w:val="20"/>
                <w:szCs w:val="20"/>
                <w:vertAlign w:val="subscript"/>
              </w:rPr>
              <w:t>MP</w:t>
            </w:r>
          </w:p>
        </w:tc>
        <w:tc>
          <w:tcPr>
            <w:tcW w:w="1275" w:type="dxa"/>
          </w:tcPr>
          <w:p w14:paraId="35960AD1"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7</w:t>
            </w:r>
          </w:p>
        </w:tc>
        <w:tc>
          <w:tcPr>
            <w:tcW w:w="1276" w:type="dxa"/>
          </w:tcPr>
          <w:p w14:paraId="5829CB4B"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14</w:t>
            </w:r>
          </w:p>
        </w:tc>
        <w:tc>
          <w:tcPr>
            <w:tcW w:w="851" w:type="dxa"/>
          </w:tcPr>
          <w:p w14:paraId="5668CE24"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0</w:t>
            </w:r>
          </w:p>
        </w:tc>
        <w:tc>
          <w:tcPr>
            <w:tcW w:w="1559" w:type="dxa"/>
          </w:tcPr>
          <w:p w14:paraId="0DB92960" w14:textId="77777777" w:rsidR="00ED5F8D" w:rsidRPr="005C2D58" w:rsidRDefault="00ED5F8D" w:rsidP="006A1BBC">
            <w:pPr>
              <w:keepNext/>
              <w:rPr>
                <w:rFonts w:ascii="Arial Narrow" w:eastAsia="MS Gothic" w:hAnsi="Arial Narrow"/>
                <w:bCs/>
                <w:sz w:val="20"/>
                <w:szCs w:val="20"/>
              </w:rPr>
            </w:pPr>
            <w:r w:rsidRPr="005C2D58">
              <w:rPr>
                <w:rFonts w:ascii="Arial Narrow" w:eastAsia="MS Gothic" w:hAnsi="Arial Narrow"/>
                <w:bCs/>
                <w:sz w:val="20"/>
                <w:szCs w:val="20"/>
              </w:rPr>
              <w:t>Venclexta</w:t>
            </w:r>
          </w:p>
        </w:tc>
      </w:tr>
      <w:tr w:rsidR="005C2D58" w:rsidRPr="005C2D58" w14:paraId="6FF37169" w14:textId="77777777" w:rsidTr="006A1BBC">
        <w:trPr>
          <w:cantSplit/>
          <w:trHeight w:val="193"/>
        </w:trPr>
        <w:tc>
          <w:tcPr>
            <w:tcW w:w="2547" w:type="dxa"/>
          </w:tcPr>
          <w:p w14:paraId="0C03648A" w14:textId="77777777" w:rsidR="00ED5F8D" w:rsidRPr="005C2D58" w:rsidRDefault="00ED5F8D" w:rsidP="006A1BBC">
            <w:pPr>
              <w:keepNext/>
              <w:ind w:left="-57"/>
              <w:rPr>
                <w:rFonts w:ascii="Arial Narrow" w:hAnsi="Arial Narrow"/>
                <w:sz w:val="20"/>
                <w:szCs w:val="20"/>
              </w:rPr>
            </w:pPr>
            <w:r w:rsidRPr="005C2D58">
              <w:rPr>
                <w:rFonts w:ascii="Arial Narrow" w:hAnsi="Arial Narrow"/>
                <w:sz w:val="20"/>
                <w:szCs w:val="20"/>
              </w:rPr>
              <w:t xml:space="preserve">venetoclax 50 mg tablet, 7 </w:t>
            </w:r>
          </w:p>
        </w:tc>
        <w:tc>
          <w:tcPr>
            <w:tcW w:w="1276" w:type="dxa"/>
          </w:tcPr>
          <w:p w14:paraId="7934C38B"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11648C</w:t>
            </w:r>
          </w:p>
          <w:p w14:paraId="783E9B49"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vertAlign w:val="subscript"/>
              </w:rPr>
              <w:t>MP</w:t>
            </w:r>
          </w:p>
        </w:tc>
        <w:tc>
          <w:tcPr>
            <w:tcW w:w="1275" w:type="dxa"/>
          </w:tcPr>
          <w:p w14:paraId="14D84006"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1</w:t>
            </w:r>
          </w:p>
        </w:tc>
        <w:tc>
          <w:tcPr>
            <w:tcW w:w="1276" w:type="dxa"/>
          </w:tcPr>
          <w:p w14:paraId="471CED70"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7</w:t>
            </w:r>
          </w:p>
        </w:tc>
        <w:tc>
          <w:tcPr>
            <w:tcW w:w="851" w:type="dxa"/>
          </w:tcPr>
          <w:p w14:paraId="3BCDB190" w14:textId="77777777" w:rsidR="00ED5F8D" w:rsidRPr="005C2D58" w:rsidRDefault="00ED5F8D" w:rsidP="006A1BBC">
            <w:pPr>
              <w:keepNext/>
              <w:jc w:val="center"/>
              <w:rPr>
                <w:rFonts w:ascii="Arial Narrow" w:hAnsi="Arial Narrow"/>
                <w:sz w:val="20"/>
                <w:szCs w:val="20"/>
              </w:rPr>
            </w:pPr>
            <w:r w:rsidRPr="005C2D58">
              <w:rPr>
                <w:rFonts w:ascii="Arial Narrow" w:hAnsi="Arial Narrow"/>
                <w:sz w:val="20"/>
                <w:szCs w:val="20"/>
              </w:rPr>
              <w:t>0</w:t>
            </w:r>
          </w:p>
        </w:tc>
        <w:tc>
          <w:tcPr>
            <w:tcW w:w="1559" w:type="dxa"/>
          </w:tcPr>
          <w:p w14:paraId="5D21ACEA" w14:textId="77777777" w:rsidR="00ED5F8D" w:rsidRPr="005C2D58" w:rsidRDefault="00ED5F8D" w:rsidP="006A1BBC">
            <w:pPr>
              <w:keepNext/>
              <w:rPr>
                <w:rFonts w:ascii="Arial Narrow" w:eastAsia="MS Gothic" w:hAnsi="Arial Narrow"/>
                <w:bCs/>
                <w:sz w:val="20"/>
                <w:szCs w:val="20"/>
              </w:rPr>
            </w:pPr>
            <w:r w:rsidRPr="005C2D58">
              <w:rPr>
                <w:rFonts w:ascii="Arial Narrow" w:eastAsia="MS Gothic" w:hAnsi="Arial Narrow"/>
                <w:bCs/>
                <w:sz w:val="20"/>
                <w:szCs w:val="20"/>
              </w:rPr>
              <w:t>Venclexta</w:t>
            </w:r>
          </w:p>
        </w:tc>
      </w:tr>
      <w:tr w:rsidR="005C2D58" w:rsidRPr="005C2D58" w14:paraId="248DD4EA" w14:textId="77777777" w:rsidTr="006A1BBC">
        <w:trPr>
          <w:cantSplit/>
          <w:trHeight w:val="193"/>
        </w:trPr>
        <w:tc>
          <w:tcPr>
            <w:tcW w:w="8784" w:type="dxa"/>
            <w:gridSpan w:val="6"/>
          </w:tcPr>
          <w:p w14:paraId="6952B244" w14:textId="1ECD708F" w:rsidR="00ED5F8D" w:rsidRPr="005C2D58" w:rsidRDefault="00ED5F8D" w:rsidP="006A1BBC">
            <w:pPr>
              <w:keepNext/>
              <w:jc w:val="right"/>
              <w:rPr>
                <w:rFonts w:ascii="Arial Narrow" w:eastAsia="MS Gothic" w:hAnsi="Arial Narrow"/>
                <w:bCs/>
                <w:sz w:val="20"/>
                <w:szCs w:val="20"/>
              </w:rPr>
            </w:pPr>
            <w:r w:rsidRPr="005C2D58">
              <w:rPr>
                <w:rFonts w:ascii="Arial Narrow" w:eastAsia="MS Gothic" w:hAnsi="Arial Narrow"/>
                <w:bCs/>
                <w:sz w:val="20"/>
                <w:szCs w:val="20"/>
              </w:rPr>
              <w:t>Safety Net Rule Penalty Applies? No</w:t>
            </w:r>
          </w:p>
        </w:tc>
      </w:tr>
      <w:tr w:rsidR="005C2D58" w:rsidRPr="005C2D58" w14:paraId="28E99DC7"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6"/>
            <w:tcBorders>
              <w:top w:val="single" w:sz="4" w:space="0" w:color="auto"/>
              <w:left w:val="single" w:sz="4" w:space="0" w:color="auto"/>
              <w:right w:val="single" w:sz="4" w:space="0" w:color="auto"/>
            </w:tcBorders>
          </w:tcPr>
          <w:p w14:paraId="702DD24C" w14:textId="77777777" w:rsidR="00ED5F8D" w:rsidRPr="005C2D58" w:rsidRDefault="00ED5F8D" w:rsidP="006A1BBC">
            <w:pPr>
              <w:rPr>
                <w:rFonts w:ascii="Arial Narrow" w:hAnsi="Arial Narrow"/>
                <w:sz w:val="20"/>
                <w:szCs w:val="20"/>
              </w:rPr>
            </w:pPr>
          </w:p>
        </w:tc>
      </w:tr>
      <w:tr w:rsidR="005C2D58" w:rsidRPr="005C2D58" w14:paraId="61737F29" w14:textId="77777777" w:rsidTr="006A1BBC">
        <w:tblPrEx>
          <w:tblCellMar>
            <w:top w:w="15" w:type="dxa"/>
            <w:left w:w="15" w:type="dxa"/>
            <w:bottom w:w="15" w:type="dxa"/>
            <w:right w:w="15" w:type="dxa"/>
          </w:tblCellMar>
          <w:tblLook w:val="04A0" w:firstRow="1" w:lastRow="0" w:firstColumn="1" w:lastColumn="0" w:noHBand="0" w:noVBand="1"/>
        </w:tblPrEx>
        <w:tc>
          <w:tcPr>
            <w:tcW w:w="8784" w:type="dxa"/>
            <w:gridSpan w:val="6"/>
            <w:tcBorders>
              <w:top w:val="single" w:sz="4" w:space="0" w:color="auto"/>
              <w:left w:val="single" w:sz="4" w:space="0" w:color="auto"/>
              <w:right w:val="single" w:sz="4" w:space="0" w:color="auto"/>
            </w:tcBorders>
          </w:tcPr>
          <w:p w14:paraId="2556B1FD" w14:textId="39445833" w:rsidR="00ED5F8D" w:rsidRPr="005C2D58" w:rsidRDefault="00ED5F8D" w:rsidP="006A1BBC">
            <w:pPr>
              <w:rPr>
                <w:rFonts w:ascii="Arial Narrow" w:hAnsi="Arial Narrow"/>
                <w:b/>
                <w:sz w:val="20"/>
                <w:szCs w:val="20"/>
              </w:rPr>
            </w:pPr>
            <w:r w:rsidRPr="005C2D58">
              <w:rPr>
                <w:rFonts w:ascii="Arial Narrow" w:hAnsi="Arial Narrow"/>
                <w:b/>
                <w:sz w:val="20"/>
                <w:szCs w:val="20"/>
              </w:rPr>
              <w:t>Restriction Summary / Treatment of Concept: Authority Required  **********UNCHANGED************</w:t>
            </w:r>
          </w:p>
          <w:p w14:paraId="09F6F075" w14:textId="77777777" w:rsidR="00ED5F8D" w:rsidRPr="005C2D58" w:rsidRDefault="00ED5F8D" w:rsidP="006A1BBC">
            <w:pPr>
              <w:rPr>
                <w:rFonts w:ascii="Arial Narrow" w:hAnsi="Arial Narrow"/>
                <w:b/>
                <w:sz w:val="20"/>
                <w:szCs w:val="20"/>
              </w:rPr>
            </w:pPr>
          </w:p>
        </w:tc>
      </w:tr>
    </w:tbl>
    <w:tbl>
      <w:tblPr>
        <w:tblStyle w:val="TableGrid"/>
        <w:tblW w:w="0" w:type="auto"/>
        <w:tblLook w:val="04A0" w:firstRow="1" w:lastRow="0" w:firstColumn="1" w:lastColumn="0" w:noHBand="0" w:noVBand="1"/>
      </w:tblPr>
      <w:tblGrid>
        <w:gridCol w:w="988"/>
        <w:gridCol w:w="7796"/>
      </w:tblGrid>
      <w:tr w:rsidR="005C2D58" w:rsidRPr="005C2D58" w14:paraId="79FBA368" w14:textId="77777777" w:rsidTr="008D4506">
        <w:tc>
          <w:tcPr>
            <w:tcW w:w="988" w:type="dxa"/>
          </w:tcPr>
          <w:p w14:paraId="26E22CC0" w14:textId="0DF877A5"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4DDB87F5"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Indication: </w:t>
            </w:r>
            <w:r w:rsidRPr="005C2D58">
              <w:rPr>
                <w:rFonts w:ascii="Arial Narrow" w:hAnsi="Arial Narrow" w:cs="Open Sans"/>
                <w:sz w:val="20"/>
                <w:szCs w:val="20"/>
              </w:rPr>
              <w:t>Chronic lymphocytic leukaemia (CLL) or small lymphocytic lymphoma (SLL)</w:t>
            </w:r>
          </w:p>
        </w:tc>
      </w:tr>
      <w:tr w:rsidR="005C2D58" w:rsidRPr="005C2D58" w14:paraId="29FE8B2C" w14:textId="77777777" w:rsidTr="006A1BBC">
        <w:tc>
          <w:tcPr>
            <w:tcW w:w="988" w:type="dxa"/>
          </w:tcPr>
          <w:p w14:paraId="45B8D214" w14:textId="77777777" w:rsidR="00ED5F8D" w:rsidRPr="005C2D58" w:rsidRDefault="00ED5F8D" w:rsidP="006A1BBC">
            <w:pPr>
              <w:jc w:val="center"/>
              <w:textAlignment w:val="baseline"/>
              <w:rPr>
                <w:rFonts w:ascii="Arial Narrow" w:hAnsi="Arial Narrow" w:cs="Open Sans"/>
                <w:sz w:val="20"/>
                <w:szCs w:val="20"/>
              </w:rPr>
            </w:pPr>
          </w:p>
        </w:tc>
        <w:tc>
          <w:tcPr>
            <w:tcW w:w="7796" w:type="dxa"/>
          </w:tcPr>
          <w:p w14:paraId="5E60287F" w14:textId="77777777" w:rsidR="00ED5F8D" w:rsidRPr="005C2D58" w:rsidRDefault="00ED5F8D" w:rsidP="006A1BBC">
            <w:pPr>
              <w:ind w:left="-57"/>
              <w:textAlignment w:val="baseline"/>
              <w:rPr>
                <w:rFonts w:ascii="Arial Narrow" w:hAnsi="Arial Narrow" w:cs="Open Sans"/>
                <w:b/>
                <w:bCs/>
                <w:sz w:val="20"/>
                <w:szCs w:val="20"/>
                <w:bdr w:val="none" w:sz="0" w:space="0" w:color="auto" w:frame="1"/>
              </w:rPr>
            </w:pPr>
          </w:p>
        </w:tc>
      </w:tr>
      <w:tr w:rsidR="005C2D58" w:rsidRPr="005C2D58" w14:paraId="310D674F" w14:textId="77777777" w:rsidTr="008D4506">
        <w:tc>
          <w:tcPr>
            <w:tcW w:w="988" w:type="dxa"/>
          </w:tcPr>
          <w:p w14:paraId="252DD434" w14:textId="77777777" w:rsidR="00ED5F8D" w:rsidRPr="005C2D58" w:rsidRDefault="00ED5F8D" w:rsidP="006A1BBC">
            <w:pPr>
              <w:jc w:val="center"/>
              <w:rPr>
                <w:rFonts w:ascii="Arial Narrow" w:hAnsi="Arial Narrow" w:cs="Open Sans"/>
                <w:sz w:val="20"/>
                <w:szCs w:val="20"/>
              </w:rPr>
            </w:pPr>
          </w:p>
        </w:tc>
        <w:tc>
          <w:tcPr>
            <w:tcW w:w="7796" w:type="dxa"/>
            <w:hideMark/>
          </w:tcPr>
          <w:p w14:paraId="6A3291B9"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Treatment Phase: </w:t>
            </w:r>
            <w:r w:rsidRPr="005C2D58">
              <w:rPr>
                <w:rFonts w:ascii="Arial Narrow" w:hAnsi="Arial Narrow" w:cs="Open Sans"/>
                <w:sz w:val="20"/>
                <w:szCs w:val="20"/>
              </w:rPr>
              <w:t>Dose modification</w:t>
            </w:r>
          </w:p>
        </w:tc>
      </w:tr>
      <w:tr w:rsidR="005C2D58" w:rsidRPr="005C2D58" w14:paraId="3F910616" w14:textId="77777777" w:rsidTr="006A1BBC">
        <w:tc>
          <w:tcPr>
            <w:tcW w:w="988" w:type="dxa"/>
          </w:tcPr>
          <w:p w14:paraId="6A411A43" w14:textId="77777777" w:rsidR="00ED5F8D" w:rsidRPr="005C2D58" w:rsidRDefault="00ED5F8D" w:rsidP="006A1BBC">
            <w:pPr>
              <w:jc w:val="center"/>
              <w:rPr>
                <w:rFonts w:ascii="Arial Narrow" w:hAnsi="Arial Narrow" w:cs="Open Sans"/>
                <w:sz w:val="20"/>
                <w:szCs w:val="20"/>
              </w:rPr>
            </w:pPr>
          </w:p>
        </w:tc>
        <w:tc>
          <w:tcPr>
            <w:tcW w:w="7796" w:type="dxa"/>
          </w:tcPr>
          <w:p w14:paraId="5E997100" w14:textId="77777777" w:rsidR="00ED5F8D" w:rsidRPr="005C2D58" w:rsidRDefault="00ED5F8D" w:rsidP="006A1BBC">
            <w:pPr>
              <w:ind w:left="-57"/>
              <w:textAlignment w:val="baseline"/>
              <w:rPr>
                <w:rFonts w:ascii="Arial Narrow" w:hAnsi="Arial Narrow" w:cs="Open Sans"/>
                <w:b/>
                <w:bCs/>
                <w:sz w:val="20"/>
                <w:szCs w:val="20"/>
                <w:bdr w:val="none" w:sz="0" w:space="0" w:color="auto" w:frame="1"/>
              </w:rPr>
            </w:pPr>
          </w:p>
        </w:tc>
      </w:tr>
      <w:tr w:rsidR="005C2D58" w:rsidRPr="005C2D58" w14:paraId="7EDD5A59" w14:textId="77777777" w:rsidTr="008D4506">
        <w:tc>
          <w:tcPr>
            <w:tcW w:w="988" w:type="dxa"/>
          </w:tcPr>
          <w:p w14:paraId="39A341D9" w14:textId="1012A3A0"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47220317"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Clinical criteria:</w:t>
            </w:r>
          </w:p>
        </w:tc>
      </w:tr>
      <w:tr w:rsidR="005C2D58" w:rsidRPr="005C2D58" w14:paraId="5B0843A6" w14:textId="77777777" w:rsidTr="008D4506">
        <w:tc>
          <w:tcPr>
            <w:tcW w:w="988" w:type="dxa"/>
          </w:tcPr>
          <w:p w14:paraId="0CE0161A" w14:textId="361BEAD2"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0BBC8A09" w14:textId="77777777" w:rsidR="00ED5F8D" w:rsidRPr="005C2D58" w:rsidRDefault="00ED5F8D" w:rsidP="006A1BBC">
            <w:pPr>
              <w:ind w:left="-57"/>
              <w:rPr>
                <w:rFonts w:ascii="Arial Narrow" w:hAnsi="Arial Narrow" w:cs="Open Sans"/>
                <w:sz w:val="20"/>
                <w:szCs w:val="20"/>
              </w:rPr>
            </w:pPr>
            <w:r w:rsidRPr="005C2D58">
              <w:rPr>
                <w:rFonts w:ascii="Arial Narrow" w:hAnsi="Arial Narrow" w:cs="Open Sans"/>
                <w:sz w:val="20"/>
                <w:szCs w:val="20"/>
              </w:rPr>
              <w:t>The treatment must be for dose titration purposes</w:t>
            </w:r>
          </w:p>
        </w:tc>
      </w:tr>
      <w:tr w:rsidR="005C2D58" w:rsidRPr="005C2D58" w14:paraId="1573C5E8" w14:textId="77777777" w:rsidTr="006A1BBC">
        <w:tc>
          <w:tcPr>
            <w:tcW w:w="988" w:type="dxa"/>
          </w:tcPr>
          <w:p w14:paraId="671822F9" w14:textId="77777777" w:rsidR="00ED5F8D" w:rsidRPr="005C2D58" w:rsidRDefault="00ED5F8D" w:rsidP="006A1BBC">
            <w:pPr>
              <w:jc w:val="center"/>
              <w:textAlignment w:val="baseline"/>
              <w:rPr>
                <w:rFonts w:ascii="Arial Narrow" w:hAnsi="Arial Narrow" w:cs="Open Sans"/>
                <w:sz w:val="20"/>
                <w:szCs w:val="20"/>
              </w:rPr>
            </w:pPr>
          </w:p>
        </w:tc>
        <w:tc>
          <w:tcPr>
            <w:tcW w:w="7796" w:type="dxa"/>
          </w:tcPr>
          <w:p w14:paraId="2402AB56" w14:textId="77777777" w:rsidR="00ED5F8D" w:rsidRPr="005C2D58" w:rsidRDefault="00ED5F8D" w:rsidP="006A1BBC">
            <w:pPr>
              <w:ind w:left="-57"/>
              <w:rPr>
                <w:rFonts w:ascii="Arial Narrow" w:hAnsi="Arial Narrow" w:cs="Open Sans"/>
                <w:sz w:val="20"/>
                <w:szCs w:val="20"/>
              </w:rPr>
            </w:pPr>
          </w:p>
        </w:tc>
      </w:tr>
      <w:tr w:rsidR="005C2D58" w:rsidRPr="005C2D58" w14:paraId="567333FE" w14:textId="77777777" w:rsidTr="008D4506">
        <w:tc>
          <w:tcPr>
            <w:tcW w:w="988" w:type="dxa"/>
          </w:tcPr>
          <w:p w14:paraId="157C0996" w14:textId="680C4EE2"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52886ABA"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quantity or number of units may be authorised.</w:t>
            </w:r>
          </w:p>
        </w:tc>
      </w:tr>
      <w:tr w:rsidR="005C2D58" w:rsidRPr="005C2D58" w14:paraId="29DF6894" w14:textId="77777777" w:rsidTr="008D4506">
        <w:tc>
          <w:tcPr>
            <w:tcW w:w="988" w:type="dxa"/>
          </w:tcPr>
          <w:p w14:paraId="1C9E699F" w14:textId="3B3B10B7"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0446C425"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No increase in the maximum number of repeats may be authorised.</w:t>
            </w:r>
          </w:p>
        </w:tc>
      </w:tr>
      <w:tr w:rsidR="005C2D58" w:rsidRPr="005C2D58" w14:paraId="2DDFD649" w14:textId="77777777" w:rsidTr="008D4506">
        <w:tc>
          <w:tcPr>
            <w:tcW w:w="988" w:type="dxa"/>
          </w:tcPr>
          <w:p w14:paraId="7ABBC4E3" w14:textId="63FD0370"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107D317A"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 xml:space="preserve">Administrative Advice: </w:t>
            </w:r>
            <w:r w:rsidRPr="005C2D58">
              <w:rPr>
                <w:rFonts w:ascii="Arial Narrow" w:hAnsi="Arial Narrow" w:cs="Open Sans"/>
                <w:sz w:val="20"/>
                <w:szCs w:val="20"/>
              </w:rPr>
              <w:t>Special Pricing Arrangements apply.</w:t>
            </w:r>
          </w:p>
        </w:tc>
      </w:tr>
      <w:tr w:rsidR="005C2D58" w:rsidRPr="005C2D58" w14:paraId="49D41EEA" w14:textId="77777777" w:rsidTr="008D4506">
        <w:tc>
          <w:tcPr>
            <w:tcW w:w="988" w:type="dxa"/>
          </w:tcPr>
          <w:p w14:paraId="677E455D" w14:textId="7C79BA0C" w:rsidR="00ED5F8D" w:rsidRPr="005C2D58" w:rsidRDefault="00ED5F8D" w:rsidP="006A1BBC">
            <w:pPr>
              <w:jc w:val="center"/>
              <w:textAlignment w:val="baseline"/>
              <w:rPr>
                <w:rFonts w:ascii="Arial Narrow" w:hAnsi="Arial Narrow" w:cs="Open Sans"/>
                <w:sz w:val="20"/>
                <w:szCs w:val="20"/>
              </w:rPr>
            </w:pPr>
          </w:p>
        </w:tc>
        <w:tc>
          <w:tcPr>
            <w:tcW w:w="7796" w:type="dxa"/>
            <w:hideMark/>
          </w:tcPr>
          <w:p w14:paraId="7237EC28"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b/>
                <w:bCs/>
                <w:sz w:val="20"/>
                <w:szCs w:val="20"/>
                <w:bdr w:val="none" w:sz="0" w:space="0" w:color="auto" w:frame="1"/>
              </w:rPr>
              <w:t>Administrative Advice:</w:t>
            </w:r>
          </w:p>
          <w:p w14:paraId="666B9F88" w14:textId="77777777" w:rsidR="00ED5F8D" w:rsidRPr="005C2D58" w:rsidRDefault="00ED5F8D" w:rsidP="006A1BBC">
            <w:pPr>
              <w:ind w:left="-57"/>
              <w:textAlignment w:val="baseline"/>
              <w:rPr>
                <w:rFonts w:ascii="Arial Narrow" w:hAnsi="Arial Narrow" w:cs="Open Sans"/>
                <w:sz w:val="20"/>
                <w:szCs w:val="20"/>
              </w:rPr>
            </w:pPr>
            <w:r w:rsidRPr="005C2D58">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69B2D02C" w14:textId="77777777" w:rsidR="00ED5F8D" w:rsidRDefault="00ED5F8D" w:rsidP="00ED5F8D"/>
    <w:p w14:paraId="6EB631CD" w14:textId="0BB1668E" w:rsidR="00803831" w:rsidRDefault="00ED5F8D" w:rsidP="002C1C75">
      <w:pPr>
        <w:jc w:val="left"/>
        <w:rPr>
          <w:b/>
          <w:bCs/>
          <w:u w:val="single"/>
        </w:rPr>
      </w:pPr>
      <w:r w:rsidRPr="00125FC2">
        <w:rPr>
          <w:rFonts w:asciiTheme="minorHAnsi" w:hAnsiTheme="minorHAnsi" w:cstheme="minorHAnsi"/>
          <w:b/>
          <w:i/>
        </w:rPr>
        <w:t>Th</w:t>
      </w:r>
      <w:r>
        <w:rPr>
          <w:rFonts w:asciiTheme="minorHAnsi" w:hAnsiTheme="minorHAnsi" w:cstheme="minorHAnsi"/>
          <w:b/>
          <w:i/>
        </w:rPr>
        <w:t>e</w:t>
      </w:r>
      <w:r w:rsidRPr="00125FC2">
        <w:rPr>
          <w:rFonts w:asciiTheme="minorHAnsi" w:hAnsiTheme="minorHAnsi" w:cstheme="minorHAnsi"/>
          <w:b/>
          <w:i/>
        </w:rPr>
        <w:t xml:space="preserve"> restriction </w:t>
      </w:r>
      <w:r>
        <w:rPr>
          <w:rFonts w:asciiTheme="minorHAnsi" w:hAnsiTheme="minorHAnsi" w:cstheme="minorHAnsi"/>
          <w:b/>
          <w:i/>
        </w:rPr>
        <w:t xml:space="preserve">and flow-on changes </w:t>
      </w:r>
      <w:r w:rsidRPr="00125FC2">
        <w:rPr>
          <w:rFonts w:asciiTheme="minorHAnsi" w:hAnsiTheme="minorHAnsi" w:cstheme="minorHAnsi"/>
          <w:b/>
          <w:i/>
        </w:rPr>
        <w:t xml:space="preserve">may be subject to further review. Should there be any changes made to the restriction the </w:t>
      </w:r>
      <w:r w:rsidR="00605DE9">
        <w:rPr>
          <w:rFonts w:asciiTheme="minorHAnsi" w:hAnsiTheme="minorHAnsi" w:cstheme="minorHAnsi"/>
          <w:b/>
          <w:i/>
        </w:rPr>
        <w:t>s</w:t>
      </w:r>
      <w:r w:rsidRPr="00125FC2">
        <w:rPr>
          <w:rFonts w:asciiTheme="minorHAnsi" w:hAnsiTheme="minorHAnsi" w:cstheme="minorHAnsi"/>
          <w:b/>
          <w:i/>
        </w:rPr>
        <w:t>ponsor will be informed</w:t>
      </w:r>
      <w:r w:rsidRPr="00125FC2">
        <w:rPr>
          <w:rFonts w:asciiTheme="minorHAnsi" w:hAnsiTheme="minorHAnsi" w:cstheme="minorHAnsi"/>
          <w:b/>
        </w:rPr>
        <w:t>.</w:t>
      </w:r>
    </w:p>
    <w:p w14:paraId="1A91D387" w14:textId="187534ED" w:rsidR="009F497A" w:rsidRPr="009F497A" w:rsidRDefault="009F497A" w:rsidP="009F497A">
      <w:pPr>
        <w:pStyle w:val="COMH1numbered"/>
        <w:numPr>
          <w:ilvl w:val="0"/>
          <w:numId w:val="1"/>
        </w:numPr>
      </w:pPr>
      <w:r w:rsidRPr="009F497A">
        <w:t>Context for Decision</w:t>
      </w:r>
    </w:p>
    <w:p w14:paraId="676CA267" w14:textId="77777777" w:rsidR="009F497A" w:rsidRDefault="009F497A" w:rsidP="009F497A">
      <w:pPr>
        <w:spacing w:after="120"/>
        <w:ind w:left="720"/>
        <w:rPr>
          <w:rFonts w:asciiTheme="minorHAnsi" w:hAnsiTheme="minorHAnsi"/>
          <w:bCs/>
          <w:lang w:val="en-GB"/>
        </w:rPr>
      </w:pPr>
      <w:r>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Pr>
          <w:rFonts w:asciiTheme="minorHAnsi" w:hAnsiTheme="minorHAnsi"/>
          <w:bCs/>
          <w:lang w:val="en-GB"/>
        </w:rPr>
        <w:lastRenderedPageBreak/>
        <w:t>merits of the medicine or the circumstances in which it should be made available through the PBS. The PBAC welcomes applications containing new information at any time.</w:t>
      </w:r>
    </w:p>
    <w:p w14:paraId="4D9F4ABE" w14:textId="3124827E" w:rsidR="009F497A" w:rsidRPr="009F497A" w:rsidRDefault="009F497A" w:rsidP="009F497A">
      <w:pPr>
        <w:pStyle w:val="COMH1numbered"/>
        <w:numPr>
          <w:ilvl w:val="0"/>
          <w:numId w:val="1"/>
        </w:numPr>
      </w:pPr>
      <w:r w:rsidRPr="009F497A">
        <w:t>Sponsor’s Comment</w:t>
      </w:r>
    </w:p>
    <w:p w14:paraId="02D2C509" w14:textId="5AF3CCCD" w:rsidR="00803831" w:rsidRPr="009F497A" w:rsidRDefault="009F497A" w:rsidP="009F497A">
      <w:pPr>
        <w:spacing w:after="120"/>
        <w:ind w:left="426" w:firstLine="294"/>
        <w:rPr>
          <w:rFonts w:asciiTheme="minorHAnsi" w:hAnsiTheme="minorHAnsi"/>
          <w:bCs/>
          <w:szCs w:val="22"/>
        </w:rPr>
      </w:pPr>
      <w:r>
        <w:rPr>
          <w:rFonts w:asciiTheme="minorHAnsi" w:hAnsiTheme="minorHAnsi"/>
          <w:bCs/>
        </w:rPr>
        <w:t>The sponsor had no comment.</w:t>
      </w:r>
    </w:p>
    <w:sectPr w:rsidR="00803831" w:rsidRPr="009F497A" w:rsidSect="005F1564">
      <w:type w:val="continuous"/>
      <w:pgSz w:w="11907" w:h="16840" w:code="9"/>
      <w:pgMar w:top="1440" w:right="1440" w:bottom="1440" w:left="1440" w:header="1440" w:footer="1440"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AD9A" w14:textId="77777777" w:rsidR="002438F7" w:rsidRDefault="002438F7" w:rsidP="00124A51">
      <w:r>
        <w:separator/>
      </w:r>
    </w:p>
    <w:p w14:paraId="306B9B71" w14:textId="77777777" w:rsidR="002438F7" w:rsidRDefault="002438F7"/>
    <w:p w14:paraId="2B36F982" w14:textId="77777777" w:rsidR="002438F7" w:rsidRDefault="002438F7"/>
  </w:endnote>
  <w:endnote w:type="continuationSeparator" w:id="0">
    <w:p w14:paraId="0B4CE83B" w14:textId="77777777" w:rsidR="002438F7" w:rsidRDefault="002438F7" w:rsidP="00124A51">
      <w:r>
        <w:continuationSeparator/>
      </w:r>
    </w:p>
    <w:p w14:paraId="2075C8DF" w14:textId="77777777" w:rsidR="002438F7" w:rsidRDefault="002438F7"/>
    <w:p w14:paraId="61A7D7A5" w14:textId="77777777" w:rsidR="002438F7" w:rsidRDefault="00243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CB35" w14:textId="1DABDDE9" w:rsidR="006A1BBC" w:rsidRDefault="006A1BBC" w:rsidP="009A114F">
    <w:pPr>
      <w:pStyle w:val="Footer"/>
      <w:jc w:val="center"/>
    </w:pPr>
  </w:p>
  <w:p w14:paraId="656CE745" w14:textId="3CD8FB27" w:rsidR="006A1BBC" w:rsidRPr="00FD7E41" w:rsidRDefault="00AF7865" w:rsidP="009A114F">
    <w:pPr>
      <w:pStyle w:val="Footer"/>
      <w:jc w:val="center"/>
      <w:rPr>
        <w:b/>
        <w:bCs/>
      </w:rPr>
    </w:pPr>
    <w:sdt>
      <w:sdtPr>
        <w:rPr>
          <w:b/>
          <w:bCs/>
        </w:rPr>
        <w:id w:val="1004703050"/>
        <w:docPartObj>
          <w:docPartGallery w:val="Page Numbers (Bottom of Page)"/>
          <w:docPartUnique/>
        </w:docPartObj>
      </w:sdtPr>
      <w:sdtEndPr>
        <w:rPr>
          <w:noProof/>
        </w:rPr>
      </w:sdtEndPr>
      <w:sdtContent>
        <w:r w:rsidR="006A1BBC" w:rsidRPr="00FD7E41">
          <w:rPr>
            <w:b/>
            <w:bCs/>
          </w:rPr>
          <w:fldChar w:fldCharType="begin"/>
        </w:r>
        <w:r w:rsidR="006A1BBC" w:rsidRPr="00FD7E41">
          <w:rPr>
            <w:b/>
            <w:bCs/>
          </w:rPr>
          <w:instrText xml:space="preserve"> PAGE   \* MERGEFORMAT </w:instrText>
        </w:r>
        <w:r w:rsidR="006A1BBC" w:rsidRPr="00FD7E41">
          <w:rPr>
            <w:b/>
            <w:bCs/>
          </w:rPr>
          <w:fldChar w:fldCharType="separate"/>
        </w:r>
        <w:r w:rsidR="006A1BBC" w:rsidRPr="00FD7E41">
          <w:rPr>
            <w:b/>
            <w:bCs/>
          </w:rPr>
          <w:t>ii</w:t>
        </w:r>
        <w:r w:rsidR="006A1BBC" w:rsidRPr="00FD7E41">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35E4" w14:textId="77777777" w:rsidR="002438F7" w:rsidRDefault="002438F7" w:rsidP="00124A51">
      <w:r>
        <w:separator/>
      </w:r>
    </w:p>
    <w:p w14:paraId="1370198A" w14:textId="77777777" w:rsidR="002438F7" w:rsidRDefault="002438F7"/>
    <w:p w14:paraId="4E906EF7" w14:textId="77777777" w:rsidR="002438F7" w:rsidRDefault="002438F7"/>
  </w:footnote>
  <w:footnote w:type="continuationSeparator" w:id="0">
    <w:p w14:paraId="4728A883" w14:textId="77777777" w:rsidR="002438F7" w:rsidRDefault="002438F7" w:rsidP="00124A51">
      <w:r>
        <w:continuationSeparator/>
      </w:r>
    </w:p>
    <w:p w14:paraId="7DD577F6" w14:textId="77777777" w:rsidR="002438F7" w:rsidRDefault="002438F7"/>
    <w:p w14:paraId="0168186C" w14:textId="77777777" w:rsidR="002438F7" w:rsidRDefault="00243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8587" w14:textId="15E603DB" w:rsidR="006A1BBC" w:rsidRPr="00195452" w:rsidRDefault="00786A51" w:rsidP="00FD7E41">
    <w:pPr>
      <w:jc w:val="center"/>
      <w:rPr>
        <w:rFonts w:asciiTheme="minorHAnsi" w:hAnsiTheme="minorHAnsi"/>
        <w:i/>
        <w:color w:val="808080"/>
      </w:rPr>
    </w:pPr>
    <w:r>
      <w:rPr>
        <w:rFonts w:asciiTheme="minorHAnsi" w:hAnsiTheme="minorHAnsi"/>
        <w:i/>
        <w:color w:val="808080"/>
      </w:rPr>
      <w:t>Public Summary Document</w:t>
    </w:r>
    <w:r w:rsidR="006A1BBC">
      <w:rPr>
        <w:rFonts w:asciiTheme="minorHAnsi" w:hAnsiTheme="minorHAnsi"/>
        <w:i/>
        <w:color w:val="808080"/>
      </w:rPr>
      <w:t xml:space="preserve"> – March 2023 </w:t>
    </w:r>
    <w:r w:rsidR="006A1BBC" w:rsidRPr="00195452">
      <w:rPr>
        <w:rFonts w:asciiTheme="minorHAnsi" w:hAnsiTheme="minorHAnsi"/>
        <w:i/>
        <w:color w:val="808080"/>
      </w:rPr>
      <w:t>PBAC Meeting</w:t>
    </w:r>
  </w:p>
  <w:p w14:paraId="4D337CE6" w14:textId="77777777" w:rsidR="005C2D58" w:rsidRDefault="005C2D58" w:rsidP="008D734C">
    <w:pPr>
      <w:tabs>
        <w:tab w:val="center" w:pos="4513"/>
        <w:tab w:val="right" w:pos="9026"/>
      </w:tabs>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A54AB"/>
    <w:multiLevelType w:val="hybridMultilevel"/>
    <w:tmpl w:val="07A0EFBC"/>
    <w:lvl w:ilvl="0" w:tplc="CBB43E72">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B5432"/>
    <w:multiLevelType w:val="hybridMultilevel"/>
    <w:tmpl w:val="87B6E9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41B9A"/>
    <w:multiLevelType w:val="hybridMultilevel"/>
    <w:tmpl w:val="87D45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219F8"/>
    <w:multiLevelType w:val="hybridMultilevel"/>
    <w:tmpl w:val="B76C27A0"/>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55237"/>
    <w:multiLevelType w:val="hybridMultilevel"/>
    <w:tmpl w:val="B596A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FE01F2"/>
    <w:multiLevelType w:val="hybridMultilevel"/>
    <w:tmpl w:val="23F0233A"/>
    <w:lvl w:ilvl="0" w:tplc="8C16B99C">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F31169"/>
    <w:multiLevelType w:val="hybridMultilevel"/>
    <w:tmpl w:val="374A8178"/>
    <w:lvl w:ilvl="0" w:tplc="F03A70A8">
      <w:numFmt w:val="bullet"/>
      <w:lvlText w:val="-"/>
      <w:lvlJc w:val="left"/>
      <w:pPr>
        <w:ind w:left="410" w:hanging="360"/>
      </w:pPr>
      <w:rPr>
        <w:rFonts w:ascii="Calibri" w:eastAsia="Times New Roman"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CDA27FF4"/>
    <w:lvl w:ilvl="0" w:tplc="5A9C76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5607C"/>
    <w:multiLevelType w:val="hybridMultilevel"/>
    <w:tmpl w:val="84E82944"/>
    <w:lvl w:ilvl="0" w:tplc="53845D3C">
      <w:start w:val="1"/>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805CD"/>
    <w:multiLevelType w:val="hybridMultilevel"/>
    <w:tmpl w:val="A4EC99CE"/>
    <w:lvl w:ilvl="0" w:tplc="00000004">
      <w:numFmt w:val="bullet"/>
      <w:lvlText w:val="-"/>
      <w:lvlJc w:val="left"/>
      <w:pPr>
        <w:ind w:left="1080" w:hanging="360"/>
      </w:pPr>
      <w:rPr>
        <w:rFonts w:ascii="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65991"/>
    <w:multiLevelType w:val="multilevel"/>
    <w:tmpl w:val="98F44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4D033C"/>
    <w:multiLevelType w:val="multilevel"/>
    <w:tmpl w:val="CEE2454E"/>
    <w:lvl w:ilvl="0">
      <w:start w:val="1"/>
      <w:numFmt w:val="decimal"/>
      <w:pStyle w:val="COMH1numbered"/>
      <w:lvlText w:val="%1"/>
      <w:lvlJc w:val="left"/>
      <w:pPr>
        <w:ind w:left="720" w:hanging="720"/>
      </w:pPr>
      <w:rPr>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2"/>
  </w:num>
  <w:num w:numId="2">
    <w:abstractNumId w:val="12"/>
  </w:num>
  <w:num w:numId="3">
    <w:abstractNumId w:val="13"/>
  </w:num>
  <w:num w:numId="4">
    <w:abstractNumId w:val="22"/>
  </w:num>
  <w:num w:numId="5">
    <w:abstractNumId w:val="5"/>
  </w:num>
  <w:num w:numId="6">
    <w:abstractNumId w:val="6"/>
  </w:num>
  <w:num w:numId="7">
    <w:abstractNumId w:val="4"/>
  </w:num>
  <w:num w:numId="8">
    <w:abstractNumId w:val="14"/>
  </w:num>
  <w:num w:numId="9">
    <w:abstractNumId w:val="17"/>
  </w:num>
  <w:num w:numId="10">
    <w:abstractNumId w:val="2"/>
  </w:num>
  <w:num w:numId="11">
    <w:abstractNumId w:val="19"/>
  </w:num>
  <w:num w:numId="12">
    <w:abstractNumId w:val="10"/>
  </w:num>
  <w:num w:numId="13">
    <w:abstractNumId w:val="11"/>
  </w:num>
  <w:num w:numId="14">
    <w:abstractNumId w:val="10"/>
  </w:num>
  <w:num w:numId="15">
    <w:abstractNumId w:val="11"/>
  </w:num>
  <w:num w:numId="16">
    <w:abstractNumId w:val="15"/>
  </w:num>
  <w:num w:numId="17">
    <w:abstractNumId w:val="16"/>
  </w:num>
  <w:num w:numId="18">
    <w:abstractNumId w:val="3"/>
  </w:num>
  <w:num w:numId="19">
    <w:abstractNumId w:val="0"/>
  </w:num>
  <w:num w:numId="20">
    <w:abstractNumId w:val="8"/>
  </w:num>
  <w:num w:numId="21">
    <w:abstractNumId w:val="9"/>
  </w:num>
  <w:num w:numId="22">
    <w:abstractNumId w:val="7"/>
  </w:num>
  <w:num w:numId="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2"/>
  </w:num>
  <w:num w:numId="26">
    <w:abstractNumId w:val="22"/>
  </w:num>
  <w:num w:numId="27">
    <w:abstractNumId w:val="20"/>
  </w:num>
  <w:num w:numId="28">
    <w:abstractNumId w:val="1"/>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22"/>
  </w:num>
  <w:num w:numId="37">
    <w:abstractNumId w:val="22"/>
  </w:num>
  <w:num w:numId="38">
    <w:abstractNumId w:val="22"/>
  </w:num>
  <w:num w:numId="3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0A0"/>
    <w:rsid w:val="00000790"/>
    <w:rsid w:val="00000DAD"/>
    <w:rsid w:val="00000DBE"/>
    <w:rsid w:val="0000110B"/>
    <w:rsid w:val="000025E3"/>
    <w:rsid w:val="00003499"/>
    <w:rsid w:val="000039B7"/>
    <w:rsid w:val="00003DD8"/>
    <w:rsid w:val="000046DE"/>
    <w:rsid w:val="000048DB"/>
    <w:rsid w:val="00004E8D"/>
    <w:rsid w:val="000056B9"/>
    <w:rsid w:val="00005808"/>
    <w:rsid w:val="00005CC0"/>
    <w:rsid w:val="00006159"/>
    <w:rsid w:val="0000639A"/>
    <w:rsid w:val="00007778"/>
    <w:rsid w:val="00010C2C"/>
    <w:rsid w:val="00010FB6"/>
    <w:rsid w:val="00012F49"/>
    <w:rsid w:val="00013247"/>
    <w:rsid w:val="00014049"/>
    <w:rsid w:val="00015807"/>
    <w:rsid w:val="00015886"/>
    <w:rsid w:val="00016018"/>
    <w:rsid w:val="000160DA"/>
    <w:rsid w:val="000162EF"/>
    <w:rsid w:val="00016C44"/>
    <w:rsid w:val="000173A3"/>
    <w:rsid w:val="00017AD0"/>
    <w:rsid w:val="00017F34"/>
    <w:rsid w:val="000207C9"/>
    <w:rsid w:val="00020E4C"/>
    <w:rsid w:val="000213E2"/>
    <w:rsid w:val="0002159A"/>
    <w:rsid w:val="00021B9D"/>
    <w:rsid w:val="00021CCF"/>
    <w:rsid w:val="00022195"/>
    <w:rsid w:val="0002225F"/>
    <w:rsid w:val="00022D8B"/>
    <w:rsid w:val="000234F5"/>
    <w:rsid w:val="00023763"/>
    <w:rsid w:val="000238C5"/>
    <w:rsid w:val="00023AB6"/>
    <w:rsid w:val="000245BC"/>
    <w:rsid w:val="00024E9E"/>
    <w:rsid w:val="00024EB5"/>
    <w:rsid w:val="00025D88"/>
    <w:rsid w:val="0002669C"/>
    <w:rsid w:val="00026AF2"/>
    <w:rsid w:val="000273CB"/>
    <w:rsid w:val="000274B8"/>
    <w:rsid w:val="00030599"/>
    <w:rsid w:val="000308F6"/>
    <w:rsid w:val="000312EC"/>
    <w:rsid w:val="00031410"/>
    <w:rsid w:val="000321F4"/>
    <w:rsid w:val="00032347"/>
    <w:rsid w:val="00032D51"/>
    <w:rsid w:val="00032DC9"/>
    <w:rsid w:val="000332EB"/>
    <w:rsid w:val="00033315"/>
    <w:rsid w:val="00033863"/>
    <w:rsid w:val="00034279"/>
    <w:rsid w:val="00034C4D"/>
    <w:rsid w:val="00035834"/>
    <w:rsid w:val="00035DC0"/>
    <w:rsid w:val="00036137"/>
    <w:rsid w:val="00036829"/>
    <w:rsid w:val="0003737A"/>
    <w:rsid w:val="00037DEC"/>
    <w:rsid w:val="00040895"/>
    <w:rsid w:val="00040A3B"/>
    <w:rsid w:val="00040D7A"/>
    <w:rsid w:val="000410A0"/>
    <w:rsid w:val="00041A36"/>
    <w:rsid w:val="00042A3D"/>
    <w:rsid w:val="00042F81"/>
    <w:rsid w:val="00043141"/>
    <w:rsid w:val="000435EE"/>
    <w:rsid w:val="00043C37"/>
    <w:rsid w:val="000444C5"/>
    <w:rsid w:val="00045017"/>
    <w:rsid w:val="00045172"/>
    <w:rsid w:val="00045476"/>
    <w:rsid w:val="000454B0"/>
    <w:rsid w:val="00045A2B"/>
    <w:rsid w:val="00045CCD"/>
    <w:rsid w:val="000462A5"/>
    <w:rsid w:val="000463E1"/>
    <w:rsid w:val="0004684A"/>
    <w:rsid w:val="0004698F"/>
    <w:rsid w:val="00046B20"/>
    <w:rsid w:val="00046D64"/>
    <w:rsid w:val="000474F9"/>
    <w:rsid w:val="000477E4"/>
    <w:rsid w:val="000508C2"/>
    <w:rsid w:val="00051B6D"/>
    <w:rsid w:val="000532BF"/>
    <w:rsid w:val="000534F6"/>
    <w:rsid w:val="000539D0"/>
    <w:rsid w:val="00053CA6"/>
    <w:rsid w:val="00054621"/>
    <w:rsid w:val="000546D7"/>
    <w:rsid w:val="00054A8D"/>
    <w:rsid w:val="00055178"/>
    <w:rsid w:val="00055B68"/>
    <w:rsid w:val="00055EE2"/>
    <w:rsid w:val="00056ECF"/>
    <w:rsid w:val="000573A6"/>
    <w:rsid w:val="00057612"/>
    <w:rsid w:val="000604DF"/>
    <w:rsid w:val="00060A5C"/>
    <w:rsid w:val="00060B8B"/>
    <w:rsid w:val="00061124"/>
    <w:rsid w:val="00061360"/>
    <w:rsid w:val="0006158D"/>
    <w:rsid w:val="00061932"/>
    <w:rsid w:val="00061E4C"/>
    <w:rsid w:val="00062324"/>
    <w:rsid w:val="00062394"/>
    <w:rsid w:val="00062B08"/>
    <w:rsid w:val="000631E2"/>
    <w:rsid w:val="00063711"/>
    <w:rsid w:val="000653B5"/>
    <w:rsid w:val="00065495"/>
    <w:rsid w:val="000655EF"/>
    <w:rsid w:val="00065CC1"/>
    <w:rsid w:val="00066360"/>
    <w:rsid w:val="00066AF8"/>
    <w:rsid w:val="00067185"/>
    <w:rsid w:val="0006740C"/>
    <w:rsid w:val="00067C94"/>
    <w:rsid w:val="00071248"/>
    <w:rsid w:val="00071B78"/>
    <w:rsid w:val="00071C39"/>
    <w:rsid w:val="000720B9"/>
    <w:rsid w:val="00072F22"/>
    <w:rsid w:val="00073063"/>
    <w:rsid w:val="000737F7"/>
    <w:rsid w:val="00074B25"/>
    <w:rsid w:val="00074FCE"/>
    <w:rsid w:val="0007517D"/>
    <w:rsid w:val="00075338"/>
    <w:rsid w:val="0007672F"/>
    <w:rsid w:val="00076B54"/>
    <w:rsid w:val="0007736A"/>
    <w:rsid w:val="000774F0"/>
    <w:rsid w:val="00077974"/>
    <w:rsid w:val="00077E7C"/>
    <w:rsid w:val="0008030F"/>
    <w:rsid w:val="000803D2"/>
    <w:rsid w:val="00080502"/>
    <w:rsid w:val="000805B8"/>
    <w:rsid w:val="00080909"/>
    <w:rsid w:val="000812CA"/>
    <w:rsid w:val="00081E63"/>
    <w:rsid w:val="0008258D"/>
    <w:rsid w:val="00082CA5"/>
    <w:rsid w:val="0008306A"/>
    <w:rsid w:val="0008344C"/>
    <w:rsid w:val="00083450"/>
    <w:rsid w:val="00083C88"/>
    <w:rsid w:val="00083E99"/>
    <w:rsid w:val="00083F8A"/>
    <w:rsid w:val="00083FD1"/>
    <w:rsid w:val="0008423E"/>
    <w:rsid w:val="00084281"/>
    <w:rsid w:val="00084FA8"/>
    <w:rsid w:val="00085462"/>
    <w:rsid w:val="000856C5"/>
    <w:rsid w:val="0008571F"/>
    <w:rsid w:val="00085C31"/>
    <w:rsid w:val="000861BB"/>
    <w:rsid w:val="00086694"/>
    <w:rsid w:val="00086DB0"/>
    <w:rsid w:val="00087CC4"/>
    <w:rsid w:val="00087D76"/>
    <w:rsid w:val="000902D9"/>
    <w:rsid w:val="00090ABC"/>
    <w:rsid w:val="00090C7E"/>
    <w:rsid w:val="000911AC"/>
    <w:rsid w:val="000911AD"/>
    <w:rsid w:val="000912FE"/>
    <w:rsid w:val="00091574"/>
    <w:rsid w:val="0009166D"/>
    <w:rsid w:val="00091693"/>
    <w:rsid w:val="00091C1F"/>
    <w:rsid w:val="0009217D"/>
    <w:rsid w:val="00092291"/>
    <w:rsid w:val="00092600"/>
    <w:rsid w:val="0009262B"/>
    <w:rsid w:val="00093310"/>
    <w:rsid w:val="0009445C"/>
    <w:rsid w:val="00094627"/>
    <w:rsid w:val="00095200"/>
    <w:rsid w:val="00095F12"/>
    <w:rsid w:val="00095FE5"/>
    <w:rsid w:val="00096284"/>
    <w:rsid w:val="00096454"/>
    <w:rsid w:val="00096933"/>
    <w:rsid w:val="00096F89"/>
    <w:rsid w:val="00097152"/>
    <w:rsid w:val="000972EB"/>
    <w:rsid w:val="00097E4F"/>
    <w:rsid w:val="000A0E6D"/>
    <w:rsid w:val="000A0EFA"/>
    <w:rsid w:val="000A18D0"/>
    <w:rsid w:val="000A1BC0"/>
    <w:rsid w:val="000A288A"/>
    <w:rsid w:val="000A2F9E"/>
    <w:rsid w:val="000A31D7"/>
    <w:rsid w:val="000A32E9"/>
    <w:rsid w:val="000A38F7"/>
    <w:rsid w:val="000A3E47"/>
    <w:rsid w:val="000A4B61"/>
    <w:rsid w:val="000A5133"/>
    <w:rsid w:val="000A522B"/>
    <w:rsid w:val="000A5892"/>
    <w:rsid w:val="000A58D4"/>
    <w:rsid w:val="000A5DFB"/>
    <w:rsid w:val="000A5E48"/>
    <w:rsid w:val="000A6039"/>
    <w:rsid w:val="000A6329"/>
    <w:rsid w:val="000A66D5"/>
    <w:rsid w:val="000A67EE"/>
    <w:rsid w:val="000A71DE"/>
    <w:rsid w:val="000A7453"/>
    <w:rsid w:val="000A79A7"/>
    <w:rsid w:val="000A7D08"/>
    <w:rsid w:val="000B00AA"/>
    <w:rsid w:val="000B0121"/>
    <w:rsid w:val="000B01A2"/>
    <w:rsid w:val="000B0670"/>
    <w:rsid w:val="000B0E75"/>
    <w:rsid w:val="000B136B"/>
    <w:rsid w:val="000B1489"/>
    <w:rsid w:val="000B1AB4"/>
    <w:rsid w:val="000B2D05"/>
    <w:rsid w:val="000B2DCB"/>
    <w:rsid w:val="000B4905"/>
    <w:rsid w:val="000B51E9"/>
    <w:rsid w:val="000B5409"/>
    <w:rsid w:val="000B5CE0"/>
    <w:rsid w:val="000B665A"/>
    <w:rsid w:val="000B6CAC"/>
    <w:rsid w:val="000B6F91"/>
    <w:rsid w:val="000B73E2"/>
    <w:rsid w:val="000B7612"/>
    <w:rsid w:val="000B78AE"/>
    <w:rsid w:val="000C0B01"/>
    <w:rsid w:val="000C151A"/>
    <w:rsid w:val="000C1E3C"/>
    <w:rsid w:val="000C1EC2"/>
    <w:rsid w:val="000C2812"/>
    <w:rsid w:val="000C29D6"/>
    <w:rsid w:val="000C3DF9"/>
    <w:rsid w:val="000C3E67"/>
    <w:rsid w:val="000C4ADE"/>
    <w:rsid w:val="000C4CF2"/>
    <w:rsid w:val="000C558C"/>
    <w:rsid w:val="000C580A"/>
    <w:rsid w:val="000C63AB"/>
    <w:rsid w:val="000C6713"/>
    <w:rsid w:val="000C71FD"/>
    <w:rsid w:val="000C74D5"/>
    <w:rsid w:val="000C7C64"/>
    <w:rsid w:val="000D095B"/>
    <w:rsid w:val="000D147F"/>
    <w:rsid w:val="000D163D"/>
    <w:rsid w:val="000D16E8"/>
    <w:rsid w:val="000D1926"/>
    <w:rsid w:val="000D1BFC"/>
    <w:rsid w:val="000D1D5D"/>
    <w:rsid w:val="000D1E95"/>
    <w:rsid w:val="000D281A"/>
    <w:rsid w:val="000D2848"/>
    <w:rsid w:val="000D2D41"/>
    <w:rsid w:val="000D2DD7"/>
    <w:rsid w:val="000D326A"/>
    <w:rsid w:val="000D3869"/>
    <w:rsid w:val="000D3E25"/>
    <w:rsid w:val="000D4147"/>
    <w:rsid w:val="000D4671"/>
    <w:rsid w:val="000D51FB"/>
    <w:rsid w:val="000D5AA4"/>
    <w:rsid w:val="000D5AE9"/>
    <w:rsid w:val="000D6386"/>
    <w:rsid w:val="000D6C7F"/>
    <w:rsid w:val="000D6F79"/>
    <w:rsid w:val="000D7010"/>
    <w:rsid w:val="000D7E07"/>
    <w:rsid w:val="000E017C"/>
    <w:rsid w:val="000E03D0"/>
    <w:rsid w:val="000E0640"/>
    <w:rsid w:val="000E135D"/>
    <w:rsid w:val="000E16B2"/>
    <w:rsid w:val="000E1817"/>
    <w:rsid w:val="000E277D"/>
    <w:rsid w:val="000E2D86"/>
    <w:rsid w:val="000E3D28"/>
    <w:rsid w:val="000E403A"/>
    <w:rsid w:val="000E4B92"/>
    <w:rsid w:val="000E50F6"/>
    <w:rsid w:val="000E53B6"/>
    <w:rsid w:val="000E5C23"/>
    <w:rsid w:val="000E6E92"/>
    <w:rsid w:val="000E77CA"/>
    <w:rsid w:val="000E7C09"/>
    <w:rsid w:val="000F00BA"/>
    <w:rsid w:val="000F0815"/>
    <w:rsid w:val="000F0BC1"/>
    <w:rsid w:val="000F1225"/>
    <w:rsid w:val="000F19D8"/>
    <w:rsid w:val="000F1ADC"/>
    <w:rsid w:val="000F25C1"/>
    <w:rsid w:val="000F2894"/>
    <w:rsid w:val="000F3152"/>
    <w:rsid w:val="000F316A"/>
    <w:rsid w:val="000F3327"/>
    <w:rsid w:val="000F396A"/>
    <w:rsid w:val="000F3C74"/>
    <w:rsid w:val="000F3EEF"/>
    <w:rsid w:val="000F4324"/>
    <w:rsid w:val="000F480D"/>
    <w:rsid w:val="000F4BB8"/>
    <w:rsid w:val="000F4D95"/>
    <w:rsid w:val="000F4F13"/>
    <w:rsid w:val="000F4FA9"/>
    <w:rsid w:val="000F53FB"/>
    <w:rsid w:val="000F60B1"/>
    <w:rsid w:val="000F6C0C"/>
    <w:rsid w:val="000F6C35"/>
    <w:rsid w:val="000F7127"/>
    <w:rsid w:val="000F7B54"/>
    <w:rsid w:val="000F7D05"/>
    <w:rsid w:val="000F7F90"/>
    <w:rsid w:val="001000B3"/>
    <w:rsid w:val="001002EA"/>
    <w:rsid w:val="0010089F"/>
    <w:rsid w:val="00100F8A"/>
    <w:rsid w:val="0010116A"/>
    <w:rsid w:val="00101D0E"/>
    <w:rsid w:val="00102384"/>
    <w:rsid w:val="0010314C"/>
    <w:rsid w:val="00103A92"/>
    <w:rsid w:val="00103DAA"/>
    <w:rsid w:val="0010452E"/>
    <w:rsid w:val="0010485D"/>
    <w:rsid w:val="0010519E"/>
    <w:rsid w:val="001052FE"/>
    <w:rsid w:val="00105AE2"/>
    <w:rsid w:val="001060C6"/>
    <w:rsid w:val="001069DE"/>
    <w:rsid w:val="00106B80"/>
    <w:rsid w:val="00107433"/>
    <w:rsid w:val="00107FA6"/>
    <w:rsid w:val="0011032E"/>
    <w:rsid w:val="00110989"/>
    <w:rsid w:val="00110C7E"/>
    <w:rsid w:val="00111A52"/>
    <w:rsid w:val="001122D8"/>
    <w:rsid w:val="001125DB"/>
    <w:rsid w:val="0011348B"/>
    <w:rsid w:val="00113F06"/>
    <w:rsid w:val="00114158"/>
    <w:rsid w:val="00115476"/>
    <w:rsid w:val="00115982"/>
    <w:rsid w:val="001169D0"/>
    <w:rsid w:val="00116C53"/>
    <w:rsid w:val="00116FAA"/>
    <w:rsid w:val="00117874"/>
    <w:rsid w:val="00117BC1"/>
    <w:rsid w:val="00117DCD"/>
    <w:rsid w:val="00117EF5"/>
    <w:rsid w:val="00117F22"/>
    <w:rsid w:val="00120AA6"/>
    <w:rsid w:val="00121021"/>
    <w:rsid w:val="001211A5"/>
    <w:rsid w:val="00121233"/>
    <w:rsid w:val="0012137C"/>
    <w:rsid w:val="00121799"/>
    <w:rsid w:val="00121955"/>
    <w:rsid w:val="00121BC5"/>
    <w:rsid w:val="001222A6"/>
    <w:rsid w:val="001222FC"/>
    <w:rsid w:val="0012259F"/>
    <w:rsid w:val="00123004"/>
    <w:rsid w:val="00123902"/>
    <w:rsid w:val="001246DC"/>
    <w:rsid w:val="00124807"/>
    <w:rsid w:val="00124A51"/>
    <w:rsid w:val="0012542B"/>
    <w:rsid w:val="001262EF"/>
    <w:rsid w:val="00126621"/>
    <w:rsid w:val="00126B1D"/>
    <w:rsid w:val="0012763C"/>
    <w:rsid w:val="00127B45"/>
    <w:rsid w:val="001301E9"/>
    <w:rsid w:val="00131367"/>
    <w:rsid w:val="00131B9C"/>
    <w:rsid w:val="00131D82"/>
    <w:rsid w:val="00132712"/>
    <w:rsid w:val="00132B22"/>
    <w:rsid w:val="001331D5"/>
    <w:rsid w:val="001339FA"/>
    <w:rsid w:val="00133CA8"/>
    <w:rsid w:val="00133D36"/>
    <w:rsid w:val="00133D9F"/>
    <w:rsid w:val="001342AD"/>
    <w:rsid w:val="001350D8"/>
    <w:rsid w:val="00136252"/>
    <w:rsid w:val="00136C69"/>
    <w:rsid w:val="00137298"/>
    <w:rsid w:val="001372F4"/>
    <w:rsid w:val="001373CD"/>
    <w:rsid w:val="00137645"/>
    <w:rsid w:val="0014015A"/>
    <w:rsid w:val="00140E99"/>
    <w:rsid w:val="001419C5"/>
    <w:rsid w:val="00142F68"/>
    <w:rsid w:val="0014351C"/>
    <w:rsid w:val="00143F67"/>
    <w:rsid w:val="0014429A"/>
    <w:rsid w:val="00145234"/>
    <w:rsid w:val="001454D6"/>
    <w:rsid w:val="00145540"/>
    <w:rsid w:val="001456B0"/>
    <w:rsid w:val="001469AF"/>
    <w:rsid w:val="00146E03"/>
    <w:rsid w:val="00147262"/>
    <w:rsid w:val="0014749D"/>
    <w:rsid w:val="00147B9F"/>
    <w:rsid w:val="00147E49"/>
    <w:rsid w:val="00150D9C"/>
    <w:rsid w:val="00151983"/>
    <w:rsid w:val="001522E8"/>
    <w:rsid w:val="001524A6"/>
    <w:rsid w:val="00152FDD"/>
    <w:rsid w:val="00154520"/>
    <w:rsid w:val="001547AB"/>
    <w:rsid w:val="00154FEE"/>
    <w:rsid w:val="001554BB"/>
    <w:rsid w:val="001559BA"/>
    <w:rsid w:val="00156F8F"/>
    <w:rsid w:val="00157130"/>
    <w:rsid w:val="0015750B"/>
    <w:rsid w:val="001576B1"/>
    <w:rsid w:val="00157F9D"/>
    <w:rsid w:val="0016047B"/>
    <w:rsid w:val="00160A4C"/>
    <w:rsid w:val="00160C45"/>
    <w:rsid w:val="00160DB1"/>
    <w:rsid w:val="00161563"/>
    <w:rsid w:val="00162913"/>
    <w:rsid w:val="001636B5"/>
    <w:rsid w:val="00163DF8"/>
    <w:rsid w:val="00163E81"/>
    <w:rsid w:val="00163EFF"/>
    <w:rsid w:val="00163F66"/>
    <w:rsid w:val="00164576"/>
    <w:rsid w:val="0016478E"/>
    <w:rsid w:val="00165059"/>
    <w:rsid w:val="00165095"/>
    <w:rsid w:val="0016581D"/>
    <w:rsid w:val="00165E87"/>
    <w:rsid w:val="00165EC4"/>
    <w:rsid w:val="001661FB"/>
    <w:rsid w:val="001665AA"/>
    <w:rsid w:val="00166DB9"/>
    <w:rsid w:val="00166DC9"/>
    <w:rsid w:val="001671A0"/>
    <w:rsid w:val="0016767F"/>
    <w:rsid w:val="001679A5"/>
    <w:rsid w:val="0017015A"/>
    <w:rsid w:val="00170D6C"/>
    <w:rsid w:val="00170E70"/>
    <w:rsid w:val="00171200"/>
    <w:rsid w:val="00171D0B"/>
    <w:rsid w:val="00172E96"/>
    <w:rsid w:val="00173565"/>
    <w:rsid w:val="00173B07"/>
    <w:rsid w:val="00174865"/>
    <w:rsid w:val="001751FA"/>
    <w:rsid w:val="001752ED"/>
    <w:rsid w:val="0017583C"/>
    <w:rsid w:val="0017757E"/>
    <w:rsid w:val="00177819"/>
    <w:rsid w:val="00177F71"/>
    <w:rsid w:val="0018008C"/>
    <w:rsid w:val="00180619"/>
    <w:rsid w:val="001806DD"/>
    <w:rsid w:val="001807E3"/>
    <w:rsid w:val="00180A68"/>
    <w:rsid w:val="00181107"/>
    <w:rsid w:val="00181933"/>
    <w:rsid w:val="00181C10"/>
    <w:rsid w:val="00181CA4"/>
    <w:rsid w:val="00181D9C"/>
    <w:rsid w:val="001823E7"/>
    <w:rsid w:val="0018290D"/>
    <w:rsid w:val="001836BA"/>
    <w:rsid w:val="001837FF"/>
    <w:rsid w:val="0018399A"/>
    <w:rsid w:val="00183EBC"/>
    <w:rsid w:val="00184A1B"/>
    <w:rsid w:val="00184B0E"/>
    <w:rsid w:val="001852B8"/>
    <w:rsid w:val="001865F5"/>
    <w:rsid w:val="00186643"/>
    <w:rsid w:val="0018752F"/>
    <w:rsid w:val="0018778C"/>
    <w:rsid w:val="00187EF0"/>
    <w:rsid w:val="0019119C"/>
    <w:rsid w:val="001919AB"/>
    <w:rsid w:val="00191A79"/>
    <w:rsid w:val="00191C09"/>
    <w:rsid w:val="00192304"/>
    <w:rsid w:val="00192AA7"/>
    <w:rsid w:val="00192C7F"/>
    <w:rsid w:val="00193838"/>
    <w:rsid w:val="00193990"/>
    <w:rsid w:val="001947CE"/>
    <w:rsid w:val="00194AD8"/>
    <w:rsid w:val="00194B20"/>
    <w:rsid w:val="00194B87"/>
    <w:rsid w:val="00194BD4"/>
    <w:rsid w:val="00195222"/>
    <w:rsid w:val="00195452"/>
    <w:rsid w:val="001965DD"/>
    <w:rsid w:val="001966B2"/>
    <w:rsid w:val="001975D8"/>
    <w:rsid w:val="001A004D"/>
    <w:rsid w:val="001A0C2D"/>
    <w:rsid w:val="001A0CAC"/>
    <w:rsid w:val="001A1223"/>
    <w:rsid w:val="001A1510"/>
    <w:rsid w:val="001A178E"/>
    <w:rsid w:val="001A1C65"/>
    <w:rsid w:val="001A23A4"/>
    <w:rsid w:val="001A2E04"/>
    <w:rsid w:val="001A3437"/>
    <w:rsid w:val="001A3A69"/>
    <w:rsid w:val="001A3C65"/>
    <w:rsid w:val="001A43FA"/>
    <w:rsid w:val="001A47C5"/>
    <w:rsid w:val="001A4AD6"/>
    <w:rsid w:val="001A523E"/>
    <w:rsid w:val="001A59FB"/>
    <w:rsid w:val="001A5CFE"/>
    <w:rsid w:val="001A5E76"/>
    <w:rsid w:val="001A5E9E"/>
    <w:rsid w:val="001A6354"/>
    <w:rsid w:val="001A6366"/>
    <w:rsid w:val="001A761A"/>
    <w:rsid w:val="001A7AE8"/>
    <w:rsid w:val="001A7CAE"/>
    <w:rsid w:val="001B1227"/>
    <w:rsid w:val="001B1700"/>
    <w:rsid w:val="001B1851"/>
    <w:rsid w:val="001B1AE0"/>
    <w:rsid w:val="001B1DCD"/>
    <w:rsid w:val="001B204E"/>
    <w:rsid w:val="001B2372"/>
    <w:rsid w:val="001B2C21"/>
    <w:rsid w:val="001B3443"/>
    <w:rsid w:val="001B34A8"/>
    <w:rsid w:val="001B3C7A"/>
    <w:rsid w:val="001B4D20"/>
    <w:rsid w:val="001B560E"/>
    <w:rsid w:val="001B5D27"/>
    <w:rsid w:val="001B5E7E"/>
    <w:rsid w:val="001B60F7"/>
    <w:rsid w:val="001B6185"/>
    <w:rsid w:val="001B7B34"/>
    <w:rsid w:val="001B7CDC"/>
    <w:rsid w:val="001B7F84"/>
    <w:rsid w:val="001C1C17"/>
    <w:rsid w:val="001C256A"/>
    <w:rsid w:val="001C2A9B"/>
    <w:rsid w:val="001C2CB4"/>
    <w:rsid w:val="001C3A4C"/>
    <w:rsid w:val="001C3BD0"/>
    <w:rsid w:val="001C3DD6"/>
    <w:rsid w:val="001C3FB9"/>
    <w:rsid w:val="001C4299"/>
    <w:rsid w:val="001C4874"/>
    <w:rsid w:val="001C5373"/>
    <w:rsid w:val="001C541C"/>
    <w:rsid w:val="001C54D6"/>
    <w:rsid w:val="001C5B95"/>
    <w:rsid w:val="001C5F94"/>
    <w:rsid w:val="001C61E8"/>
    <w:rsid w:val="001C68A9"/>
    <w:rsid w:val="001C6E66"/>
    <w:rsid w:val="001C7092"/>
    <w:rsid w:val="001C7752"/>
    <w:rsid w:val="001D03DC"/>
    <w:rsid w:val="001D0D79"/>
    <w:rsid w:val="001D1005"/>
    <w:rsid w:val="001D1100"/>
    <w:rsid w:val="001D1391"/>
    <w:rsid w:val="001D21C4"/>
    <w:rsid w:val="001D25D7"/>
    <w:rsid w:val="001D286D"/>
    <w:rsid w:val="001D3038"/>
    <w:rsid w:val="001D30D0"/>
    <w:rsid w:val="001D33A0"/>
    <w:rsid w:val="001D482F"/>
    <w:rsid w:val="001D50B2"/>
    <w:rsid w:val="001D5F84"/>
    <w:rsid w:val="001D641D"/>
    <w:rsid w:val="001D685B"/>
    <w:rsid w:val="001D71CA"/>
    <w:rsid w:val="001D71F4"/>
    <w:rsid w:val="001D72D4"/>
    <w:rsid w:val="001D7645"/>
    <w:rsid w:val="001D7C0F"/>
    <w:rsid w:val="001E0040"/>
    <w:rsid w:val="001E00DE"/>
    <w:rsid w:val="001E136D"/>
    <w:rsid w:val="001E1E86"/>
    <w:rsid w:val="001E238E"/>
    <w:rsid w:val="001E23C6"/>
    <w:rsid w:val="001E2483"/>
    <w:rsid w:val="001E2B1E"/>
    <w:rsid w:val="001E2B58"/>
    <w:rsid w:val="001E2CFF"/>
    <w:rsid w:val="001E2F24"/>
    <w:rsid w:val="001E30D4"/>
    <w:rsid w:val="001E345F"/>
    <w:rsid w:val="001E34DF"/>
    <w:rsid w:val="001E37A3"/>
    <w:rsid w:val="001E3F9A"/>
    <w:rsid w:val="001E4ACD"/>
    <w:rsid w:val="001E52EB"/>
    <w:rsid w:val="001E61D2"/>
    <w:rsid w:val="001E740C"/>
    <w:rsid w:val="001E7E3C"/>
    <w:rsid w:val="001F1235"/>
    <w:rsid w:val="001F1CB3"/>
    <w:rsid w:val="001F1F61"/>
    <w:rsid w:val="001F211D"/>
    <w:rsid w:val="001F2570"/>
    <w:rsid w:val="001F2C36"/>
    <w:rsid w:val="001F2F9D"/>
    <w:rsid w:val="001F38B5"/>
    <w:rsid w:val="001F3FC4"/>
    <w:rsid w:val="001F4081"/>
    <w:rsid w:val="001F5017"/>
    <w:rsid w:val="001F54F2"/>
    <w:rsid w:val="001F5B70"/>
    <w:rsid w:val="001F675F"/>
    <w:rsid w:val="001F7361"/>
    <w:rsid w:val="001F77BB"/>
    <w:rsid w:val="00200103"/>
    <w:rsid w:val="00200678"/>
    <w:rsid w:val="002011B0"/>
    <w:rsid w:val="002013E8"/>
    <w:rsid w:val="00202233"/>
    <w:rsid w:val="00202AE1"/>
    <w:rsid w:val="00202AE8"/>
    <w:rsid w:val="00202D1D"/>
    <w:rsid w:val="00203181"/>
    <w:rsid w:val="00203783"/>
    <w:rsid w:val="0020385F"/>
    <w:rsid w:val="002046A9"/>
    <w:rsid w:val="0020530B"/>
    <w:rsid w:val="002063B3"/>
    <w:rsid w:val="002068A0"/>
    <w:rsid w:val="002069D7"/>
    <w:rsid w:val="00207021"/>
    <w:rsid w:val="0020704B"/>
    <w:rsid w:val="0020732F"/>
    <w:rsid w:val="00207D00"/>
    <w:rsid w:val="00207D27"/>
    <w:rsid w:val="00210144"/>
    <w:rsid w:val="0021025D"/>
    <w:rsid w:val="002105C1"/>
    <w:rsid w:val="0021123E"/>
    <w:rsid w:val="002116FD"/>
    <w:rsid w:val="00211BB8"/>
    <w:rsid w:val="00211C72"/>
    <w:rsid w:val="0021225B"/>
    <w:rsid w:val="0021235B"/>
    <w:rsid w:val="002123BE"/>
    <w:rsid w:val="00212C0B"/>
    <w:rsid w:val="002132D5"/>
    <w:rsid w:val="002132DB"/>
    <w:rsid w:val="00213954"/>
    <w:rsid w:val="00213EF5"/>
    <w:rsid w:val="0021415C"/>
    <w:rsid w:val="002141C9"/>
    <w:rsid w:val="0021444F"/>
    <w:rsid w:val="00215D02"/>
    <w:rsid w:val="00216168"/>
    <w:rsid w:val="00216747"/>
    <w:rsid w:val="00216BF5"/>
    <w:rsid w:val="00217BD4"/>
    <w:rsid w:val="00217C56"/>
    <w:rsid w:val="00217D00"/>
    <w:rsid w:val="00217E58"/>
    <w:rsid w:val="0022109D"/>
    <w:rsid w:val="002213EA"/>
    <w:rsid w:val="00222189"/>
    <w:rsid w:val="00223A18"/>
    <w:rsid w:val="00223B49"/>
    <w:rsid w:val="00223D5A"/>
    <w:rsid w:val="0022433F"/>
    <w:rsid w:val="00224A77"/>
    <w:rsid w:val="00224DD4"/>
    <w:rsid w:val="00225E64"/>
    <w:rsid w:val="002268DA"/>
    <w:rsid w:val="00227012"/>
    <w:rsid w:val="0022708A"/>
    <w:rsid w:val="0022778F"/>
    <w:rsid w:val="002278A0"/>
    <w:rsid w:val="00227CCB"/>
    <w:rsid w:val="00227CE0"/>
    <w:rsid w:val="00227F0E"/>
    <w:rsid w:val="00230611"/>
    <w:rsid w:val="00230873"/>
    <w:rsid w:val="002309CC"/>
    <w:rsid w:val="00230A0B"/>
    <w:rsid w:val="00231234"/>
    <w:rsid w:val="00231266"/>
    <w:rsid w:val="00231BA9"/>
    <w:rsid w:val="00231C26"/>
    <w:rsid w:val="0023209F"/>
    <w:rsid w:val="00232881"/>
    <w:rsid w:val="002337CB"/>
    <w:rsid w:val="002337DA"/>
    <w:rsid w:val="00233C01"/>
    <w:rsid w:val="0023413C"/>
    <w:rsid w:val="002346F0"/>
    <w:rsid w:val="00234D58"/>
    <w:rsid w:val="00235A71"/>
    <w:rsid w:val="0023629D"/>
    <w:rsid w:val="00236D45"/>
    <w:rsid w:val="00236E6D"/>
    <w:rsid w:val="00237255"/>
    <w:rsid w:val="0023737D"/>
    <w:rsid w:val="002379C9"/>
    <w:rsid w:val="002404D4"/>
    <w:rsid w:val="00241AD4"/>
    <w:rsid w:val="002424AF"/>
    <w:rsid w:val="002434A2"/>
    <w:rsid w:val="002435D8"/>
    <w:rsid w:val="002438F7"/>
    <w:rsid w:val="002439DC"/>
    <w:rsid w:val="002441D2"/>
    <w:rsid w:val="00244DC8"/>
    <w:rsid w:val="002458BA"/>
    <w:rsid w:val="00245CE9"/>
    <w:rsid w:val="00245E8D"/>
    <w:rsid w:val="0024636C"/>
    <w:rsid w:val="00246A87"/>
    <w:rsid w:val="00246B7C"/>
    <w:rsid w:val="00246DBD"/>
    <w:rsid w:val="00247378"/>
    <w:rsid w:val="002476BC"/>
    <w:rsid w:val="00247925"/>
    <w:rsid w:val="002503C9"/>
    <w:rsid w:val="00250B4B"/>
    <w:rsid w:val="00250BBE"/>
    <w:rsid w:val="00250C13"/>
    <w:rsid w:val="00251006"/>
    <w:rsid w:val="00251414"/>
    <w:rsid w:val="00251676"/>
    <w:rsid w:val="002524D5"/>
    <w:rsid w:val="00252613"/>
    <w:rsid w:val="00252897"/>
    <w:rsid w:val="00252D95"/>
    <w:rsid w:val="002530EE"/>
    <w:rsid w:val="00253A1D"/>
    <w:rsid w:val="00253A8E"/>
    <w:rsid w:val="00253B1D"/>
    <w:rsid w:val="00254DCF"/>
    <w:rsid w:val="0025534B"/>
    <w:rsid w:val="00255BB7"/>
    <w:rsid w:val="00256121"/>
    <w:rsid w:val="0025690A"/>
    <w:rsid w:val="00256A04"/>
    <w:rsid w:val="00257541"/>
    <w:rsid w:val="00257A39"/>
    <w:rsid w:val="00257AC4"/>
    <w:rsid w:val="00257BBE"/>
    <w:rsid w:val="00257BEA"/>
    <w:rsid w:val="00260F45"/>
    <w:rsid w:val="002612DE"/>
    <w:rsid w:val="00261BA8"/>
    <w:rsid w:val="00261EEF"/>
    <w:rsid w:val="002625ED"/>
    <w:rsid w:val="00262A1A"/>
    <w:rsid w:val="00262A87"/>
    <w:rsid w:val="00262F97"/>
    <w:rsid w:val="00263049"/>
    <w:rsid w:val="002636C3"/>
    <w:rsid w:val="00263DDC"/>
    <w:rsid w:val="00264256"/>
    <w:rsid w:val="00264501"/>
    <w:rsid w:val="0026456C"/>
    <w:rsid w:val="0026495C"/>
    <w:rsid w:val="00264D26"/>
    <w:rsid w:val="00265451"/>
    <w:rsid w:val="00265ADE"/>
    <w:rsid w:val="00265D4F"/>
    <w:rsid w:val="0026743D"/>
    <w:rsid w:val="00267498"/>
    <w:rsid w:val="00267642"/>
    <w:rsid w:val="00267AEA"/>
    <w:rsid w:val="00267BFC"/>
    <w:rsid w:val="002700E6"/>
    <w:rsid w:val="00270AB1"/>
    <w:rsid w:val="00271278"/>
    <w:rsid w:val="0027196C"/>
    <w:rsid w:val="00271BA8"/>
    <w:rsid w:val="0027294B"/>
    <w:rsid w:val="00272CC0"/>
    <w:rsid w:val="0027357A"/>
    <w:rsid w:val="0027380A"/>
    <w:rsid w:val="00273EB4"/>
    <w:rsid w:val="00274682"/>
    <w:rsid w:val="00274C0B"/>
    <w:rsid w:val="00275158"/>
    <w:rsid w:val="00275BE6"/>
    <w:rsid w:val="00275C5A"/>
    <w:rsid w:val="00276A08"/>
    <w:rsid w:val="00276C70"/>
    <w:rsid w:val="00276E81"/>
    <w:rsid w:val="0027735A"/>
    <w:rsid w:val="002779B6"/>
    <w:rsid w:val="002800EA"/>
    <w:rsid w:val="00280983"/>
    <w:rsid w:val="002809FE"/>
    <w:rsid w:val="00280AD5"/>
    <w:rsid w:val="00281014"/>
    <w:rsid w:val="0028113E"/>
    <w:rsid w:val="002826AE"/>
    <w:rsid w:val="00282CC5"/>
    <w:rsid w:val="0028366B"/>
    <w:rsid w:val="00283781"/>
    <w:rsid w:val="002838A2"/>
    <w:rsid w:val="00284736"/>
    <w:rsid w:val="0028516C"/>
    <w:rsid w:val="00285BCE"/>
    <w:rsid w:val="00285E7C"/>
    <w:rsid w:val="0028665D"/>
    <w:rsid w:val="00286B22"/>
    <w:rsid w:val="002871D2"/>
    <w:rsid w:val="00287D16"/>
    <w:rsid w:val="00287D73"/>
    <w:rsid w:val="0029045B"/>
    <w:rsid w:val="00290596"/>
    <w:rsid w:val="00290C71"/>
    <w:rsid w:val="002926F6"/>
    <w:rsid w:val="002937F5"/>
    <w:rsid w:val="00293B70"/>
    <w:rsid w:val="00295037"/>
    <w:rsid w:val="002952E1"/>
    <w:rsid w:val="00296E4E"/>
    <w:rsid w:val="00297DDE"/>
    <w:rsid w:val="002A06F1"/>
    <w:rsid w:val="002A0F92"/>
    <w:rsid w:val="002A14AB"/>
    <w:rsid w:val="002A19FC"/>
    <w:rsid w:val="002A2232"/>
    <w:rsid w:val="002A2ADE"/>
    <w:rsid w:val="002A2D15"/>
    <w:rsid w:val="002A2DE5"/>
    <w:rsid w:val="002A2F50"/>
    <w:rsid w:val="002A3517"/>
    <w:rsid w:val="002A3580"/>
    <w:rsid w:val="002A3B38"/>
    <w:rsid w:val="002A3B92"/>
    <w:rsid w:val="002A53AC"/>
    <w:rsid w:val="002A5711"/>
    <w:rsid w:val="002A7943"/>
    <w:rsid w:val="002A7E9A"/>
    <w:rsid w:val="002B0198"/>
    <w:rsid w:val="002B05A1"/>
    <w:rsid w:val="002B05CE"/>
    <w:rsid w:val="002B0905"/>
    <w:rsid w:val="002B09A4"/>
    <w:rsid w:val="002B0D63"/>
    <w:rsid w:val="002B1561"/>
    <w:rsid w:val="002B1587"/>
    <w:rsid w:val="002B1AFA"/>
    <w:rsid w:val="002B1C1F"/>
    <w:rsid w:val="002B1EA7"/>
    <w:rsid w:val="002B222D"/>
    <w:rsid w:val="002B295E"/>
    <w:rsid w:val="002B3C6F"/>
    <w:rsid w:val="002B3D39"/>
    <w:rsid w:val="002B3E8A"/>
    <w:rsid w:val="002B4251"/>
    <w:rsid w:val="002B432F"/>
    <w:rsid w:val="002B49A4"/>
    <w:rsid w:val="002B4B27"/>
    <w:rsid w:val="002B526E"/>
    <w:rsid w:val="002B6197"/>
    <w:rsid w:val="002B62B3"/>
    <w:rsid w:val="002B6754"/>
    <w:rsid w:val="002B6CCE"/>
    <w:rsid w:val="002B79D1"/>
    <w:rsid w:val="002C0240"/>
    <w:rsid w:val="002C0482"/>
    <w:rsid w:val="002C05EE"/>
    <w:rsid w:val="002C085E"/>
    <w:rsid w:val="002C0882"/>
    <w:rsid w:val="002C17F0"/>
    <w:rsid w:val="002C1C75"/>
    <w:rsid w:val="002C2510"/>
    <w:rsid w:val="002C2775"/>
    <w:rsid w:val="002C27C1"/>
    <w:rsid w:val="002C2E1C"/>
    <w:rsid w:val="002C2F4F"/>
    <w:rsid w:val="002C36E3"/>
    <w:rsid w:val="002C41B7"/>
    <w:rsid w:val="002C48C4"/>
    <w:rsid w:val="002C5099"/>
    <w:rsid w:val="002C57D4"/>
    <w:rsid w:val="002C5889"/>
    <w:rsid w:val="002C6350"/>
    <w:rsid w:val="002C71CE"/>
    <w:rsid w:val="002C761B"/>
    <w:rsid w:val="002D08F8"/>
    <w:rsid w:val="002D16C2"/>
    <w:rsid w:val="002D1D30"/>
    <w:rsid w:val="002D2464"/>
    <w:rsid w:val="002D2777"/>
    <w:rsid w:val="002D2D76"/>
    <w:rsid w:val="002D3733"/>
    <w:rsid w:val="002D3E22"/>
    <w:rsid w:val="002D40C4"/>
    <w:rsid w:val="002D4857"/>
    <w:rsid w:val="002D4C67"/>
    <w:rsid w:val="002D5725"/>
    <w:rsid w:val="002D577C"/>
    <w:rsid w:val="002D7832"/>
    <w:rsid w:val="002E1071"/>
    <w:rsid w:val="002E1341"/>
    <w:rsid w:val="002E15B9"/>
    <w:rsid w:val="002E19A1"/>
    <w:rsid w:val="002E2158"/>
    <w:rsid w:val="002E22EC"/>
    <w:rsid w:val="002E287E"/>
    <w:rsid w:val="002E3973"/>
    <w:rsid w:val="002E439E"/>
    <w:rsid w:val="002E491C"/>
    <w:rsid w:val="002E4F02"/>
    <w:rsid w:val="002E4F16"/>
    <w:rsid w:val="002E5389"/>
    <w:rsid w:val="002E63F7"/>
    <w:rsid w:val="002E64F4"/>
    <w:rsid w:val="002E7690"/>
    <w:rsid w:val="002E7722"/>
    <w:rsid w:val="002E7754"/>
    <w:rsid w:val="002E7800"/>
    <w:rsid w:val="002E7FDB"/>
    <w:rsid w:val="002F04D6"/>
    <w:rsid w:val="002F05AD"/>
    <w:rsid w:val="002F07B5"/>
    <w:rsid w:val="002F07BA"/>
    <w:rsid w:val="002F0DA9"/>
    <w:rsid w:val="002F0DD4"/>
    <w:rsid w:val="002F1014"/>
    <w:rsid w:val="002F1688"/>
    <w:rsid w:val="002F1E3B"/>
    <w:rsid w:val="002F227C"/>
    <w:rsid w:val="002F2D97"/>
    <w:rsid w:val="002F373A"/>
    <w:rsid w:val="002F37C8"/>
    <w:rsid w:val="002F4110"/>
    <w:rsid w:val="002F48A5"/>
    <w:rsid w:val="002F4B8C"/>
    <w:rsid w:val="002F59D1"/>
    <w:rsid w:val="002F643C"/>
    <w:rsid w:val="002F71C0"/>
    <w:rsid w:val="002F74F1"/>
    <w:rsid w:val="002F7C7D"/>
    <w:rsid w:val="00300064"/>
    <w:rsid w:val="003001BF"/>
    <w:rsid w:val="00300627"/>
    <w:rsid w:val="003008EB"/>
    <w:rsid w:val="003008ED"/>
    <w:rsid w:val="0030093C"/>
    <w:rsid w:val="00300C9E"/>
    <w:rsid w:val="00301017"/>
    <w:rsid w:val="00301200"/>
    <w:rsid w:val="0030155F"/>
    <w:rsid w:val="00301810"/>
    <w:rsid w:val="00301FBF"/>
    <w:rsid w:val="003026A0"/>
    <w:rsid w:val="0030359E"/>
    <w:rsid w:val="00303BFD"/>
    <w:rsid w:val="00304EE3"/>
    <w:rsid w:val="0030531C"/>
    <w:rsid w:val="0030587B"/>
    <w:rsid w:val="003059C7"/>
    <w:rsid w:val="00305DCB"/>
    <w:rsid w:val="00306508"/>
    <w:rsid w:val="00306D98"/>
    <w:rsid w:val="0030786C"/>
    <w:rsid w:val="00310179"/>
    <w:rsid w:val="0031031A"/>
    <w:rsid w:val="0031031D"/>
    <w:rsid w:val="003104C5"/>
    <w:rsid w:val="00310981"/>
    <w:rsid w:val="00310B09"/>
    <w:rsid w:val="003115A7"/>
    <w:rsid w:val="003119B3"/>
    <w:rsid w:val="00311B3D"/>
    <w:rsid w:val="00311D9B"/>
    <w:rsid w:val="003124D9"/>
    <w:rsid w:val="00312594"/>
    <w:rsid w:val="00313240"/>
    <w:rsid w:val="003138BD"/>
    <w:rsid w:val="003138DE"/>
    <w:rsid w:val="00313A77"/>
    <w:rsid w:val="00314C95"/>
    <w:rsid w:val="00315498"/>
    <w:rsid w:val="003154E4"/>
    <w:rsid w:val="00315667"/>
    <w:rsid w:val="003161BC"/>
    <w:rsid w:val="00316474"/>
    <w:rsid w:val="003165C6"/>
    <w:rsid w:val="003167AB"/>
    <w:rsid w:val="00316A70"/>
    <w:rsid w:val="00317C77"/>
    <w:rsid w:val="00321372"/>
    <w:rsid w:val="00321BF4"/>
    <w:rsid w:val="00321DC7"/>
    <w:rsid w:val="00321E00"/>
    <w:rsid w:val="00322107"/>
    <w:rsid w:val="00322219"/>
    <w:rsid w:val="00322347"/>
    <w:rsid w:val="00322355"/>
    <w:rsid w:val="003223BD"/>
    <w:rsid w:val="00322504"/>
    <w:rsid w:val="0032261C"/>
    <w:rsid w:val="00322846"/>
    <w:rsid w:val="00322C7D"/>
    <w:rsid w:val="00322FE9"/>
    <w:rsid w:val="00323465"/>
    <w:rsid w:val="00323600"/>
    <w:rsid w:val="00323C6B"/>
    <w:rsid w:val="00324C94"/>
    <w:rsid w:val="003251C6"/>
    <w:rsid w:val="00325657"/>
    <w:rsid w:val="00325AF6"/>
    <w:rsid w:val="0032693B"/>
    <w:rsid w:val="00326D20"/>
    <w:rsid w:val="00326DA7"/>
    <w:rsid w:val="003270E4"/>
    <w:rsid w:val="003272AD"/>
    <w:rsid w:val="00327FF1"/>
    <w:rsid w:val="00330204"/>
    <w:rsid w:val="00330DAA"/>
    <w:rsid w:val="00330F5C"/>
    <w:rsid w:val="003326B4"/>
    <w:rsid w:val="00332FC5"/>
    <w:rsid w:val="0033432D"/>
    <w:rsid w:val="00334B8D"/>
    <w:rsid w:val="00334E0A"/>
    <w:rsid w:val="003351E4"/>
    <w:rsid w:val="00335A1A"/>
    <w:rsid w:val="003366C9"/>
    <w:rsid w:val="00336CE9"/>
    <w:rsid w:val="00337082"/>
    <w:rsid w:val="0033713D"/>
    <w:rsid w:val="003371B0"/>
    <w:rsid w:val="00337312"/>
    <w:rsid w:val="00337528"/>
    <w:rsid w:val="00337581"/>
    <w:rsid w:val="0033776C"/>
    <w:rsid w:val="00337D1B"/>
    <w:rsid w:val="0034042E"/>
    <w:rsid w:val="003406C5"/>
    <w:rsid w:val="00340C75"/>
    <w:rsid w:val="00340DF1"/>
    <w:rsid w:val="00341223"/>
    <w:rsid w:val="00341FB5"/>
    <w:rsid w:val="00341FCA"/>
    <w:rsid w:val="00342EDE"/>
    <w:rsid w:val="003438C7"/>
    <w:rsid w:val="0034422D"/>
    <w:rsid w:val="00345245"/>
    <w:rsid w:val="00346F59"/>
    <w:rsid w:val="00347511"/>
    <w:rsid w:val="00347F49"/>
    <w:rsid w:val="0035049F"/>
    <w:rsid w:val="0035158E"/>
    <w:rsid w:val="003517F9"/>
    <w:rsid w:val="00351BA9"/>
    <w:rsid w:val="00353A58"/>
    <w:rsid w:val="00353C56"/>
    <w:rsid w:val="00354492"/>
    <w:rsid w:val="00354F64"/>
    <w:rsid w:val="00355D0D"/>
    <w:rsid w:val="0035613F"/>
    <w:rsid w:val="0035620E"/>
    <w:rsid w:val="003568C0"/>
    <w:rsid w:val="003575BE"/>
    <w:rsid w:val="00357F06"/>
    <w:rsid w:val="003601F3"/>
    <w:rsid w:val="00360345"/>
    <w:rsid w:val="0036069B"/>
    <w:rsid w:val="00361785"/>
    <w:rsid w:val="00361A05"/>
    <w:rsid w:val="00362208"/>
    <w:rsid w:val="003624C4"/>
    <w:rsid w:val="00362707"/>
    <w:rsid w:val="00362C72"/>
    <w:rsid w:val="00363B00"/>
    <w:rsid w:val="003640BB"/>
    <w:rsid w:val="00364188"/>
    <w:rsid w:val="00364224"/>
    <w:rsid w:val="0036430E"/>
    <w:rsid w:val="00364F7B"/>
    <w:rsid w:val="003654AC"/>
    <w:rsid w:val="00365915"/>
    <w:rsid w:val="00365E3C"/>
    <w:rsid w:val="003661D9"/>
    <w:rsid w:val="00366A89"/>
    <w:rsid w:val="0036716C"/>
    <w:rsid w:val="00370275"/>
    <w:rsid w:val="003703CC"/>
    <w:rsid w:val="003705FA"/>
    <w:rsid w:val="00370851"/>
    <w:rsid w:val="00370D3C"/>
    <w:rsid w:val="003710CF"/>
    <w:rsid w:val="00371598"/>
    <w:rsid w:val="00372A8F"/>
    <w:rsid w:val="00372CFD"/>
    <w:rsid w:val="0037358A"/>
    <w:rsid w:val="00373739"/>
    <w:rsid w:val="00374BAC"/>
    <w:rsid w:val="00374F93"/>
    <w:rsid w:val="0037500D"/>
    <w:rsid w:val="003750F6"/>
    <w:rsid w:val="003760FC"/>
    <w:rsid w:val="003770E1"/>
    <w:rsid w:val="003775E5"/>
    <w:rsid w:val="003805D6"/>
    <w:rsid w:val="00380BD2"/>
    <w:rsid w:val="00380DE0"/>
    <w:rsid w:val="00380E37"/>
    <w:rsid w:val="00380F6F"/>
    <w:rsid w:val="0038365C"/>
    <w:rsid w:val="0038369B"/>
    <w:rsid w:val="00383B78"/>
    <w:rsid w:val="003846C2"/>
    <w:rsid w:val="00384EE5"/>
    <w:rsid w:val="003851C1"/>
    <w:rsid w:val="0038530F"/>
    <w:rsid w:val="0038557C"/>
    <w:rsid w:val="00385A58"/>
    <w:rsid w:val="00385A9D"/>
    <w:rsid w:val="003868DC"/>
    <w:rsid w:val="00386E31"/>
    <w:rsid w:val="00387121"/>
    <w:rsid w:val="003902B1"/>
    <w:rsid w:val="00390758"/>
    <w:rsid w:val="003911BF"/>
    <w:rsid w:val="003913E1"/>
    <w:rsid w:val="0039179C"/>
    <w:rsid w:val="003925D5"/>
    <w:rsid w:val="00392F97"/>
    <w:rsid w:val="003935F3"/>
    <w:rsid w:val="00393FD7"/>
    <w:rsid w:val="003947B5"/>
    <w:rsid w:val="00394D2E"/>
    <w:rsid w:val="003952D4"/>
    <w:rsid w:val="003954B5"/>
    <w:rsid w:val="003958A8"/>
    <w:rsid w:val="00395B94"/>
    <w:rsid w:val="00395CA7"/>
    <w:rsid w:val="0039614F"/>
    <w:rsid w:val="0039673A"/>
    <w:rsid w:val="00396896"/>
    <w:rsid w:val="00396D81"/>
    <w:rsid w:val="00396FD0"/>
    <w:rsid w:val="003975A9"/>
    <w:rsid w:val="003977D9"/>
    <w:rsid w:val="00397A7C"/>
    <w:rsid w:val="00397A9A"/>
    <w:rsid w:val="00397D00"/>
    <w:rsid w:val="00397DC3"/>
    <w:rsid w:val="003A0B82"/>
    <w:rsid w:val="003A1108"/>
    <w:rsid w:val="003A184D"/>
    <w:rsid w:val="003A1A7A"/>
    <w:rsid w:val="003A2392"/>
    <w:rsid w:val="003A2831"/>
    <w:rsid w:val="003A3782"/>
    <w:rsid w:val="003A399A"/>
    <w:rsid w:val="003A3CB6"/>
    <w:rsid w:val="003A3ED1"/>
    <w:rsid w:val="003A40D1"/>
    <w:rsid w:val="003A44DB"/>
    <w:rsid w:val="003A4AFA"/>
    <w:rsid w:val="003A4C14"/>
    <w:rsid w:val="003A4D34"/>
    <w:rsid w:val="003A52DB"/>
    <w:rsid w:val="003A564C"/>
    <w:rsid w:val="003A583A"/>
    <w:rsid w:val="003A5CFE"/>
    <w:rsid w:val="003A6953"/>
    <w:rsid w:val="003B0D3A"/>
    <w:rsid w:val="003B0EEF"/>
    <w:rsid w:val="003B1038"/>
    <w:rsid w:val="003B1564"/>
    <w:rsid w:val="003B1A10"/>
    <w:rsid w:val="003B24AB"/>
    <w:rsid w:val="003B284A"/>
    <w:rsid w:val="003B3055"/>
    <w:rsid w:val="003B316F"/>
    <w:rsid w:val="003B31DE"/>
    <w:rsid w:val="003B33ED"/>
    <w:rsid w:val="003B3971"/>
    <w:rsid w:val="003B3F57"/>
    <w:rsid w:val="003B420A"/>
    <w:rsid w:val="003B4A79"/>
    <w:rsid w:val="003B53F8"/>
    <w:rsid w:val="003B5529"/>
    <w:rsid w:val="003B55D1"/>
    <w:rsid w:val="003B5B61"/>
    <w:rsid w:val="003B6641"/>
    <w:rsid w:val="003B7246"/>
    <w:rsid w:val="003B7939"/>
    <w:rsid w:val="003B7DFF"/>
    <w:rsid w:val="003B7FCB"/>
    <w:rsid w:val="003C0426"/>
    <w:rsid w:val="003C0DD2"/>
    <w:rsid w:val="003C0F57"/>
    <w:rsid w:val="003C156A"/>
    <w:rsid w:val="003C1654"/>
    <w:rsid w:val="003C2DE2"/>
    <w:rsid w:val="003C3457"/>
    <w:rsid w:val="003C451B"/>
    <w:rsid w:val="003C4A8D"/>
    <w:rsid w:val="003C5542"/>
    <w:rsid w:val="003C68EC"/>
    <w:rsid w:val="003C6DCC"/>
    <w:rsid w:val="003C6DDA"/>
    <w:rsid w:val="003C6F34"/>
    <w:rsid w:val="003C7C15"/>
    <w:rsid w:val="003C7D19"/>
    <w:rsid w:val="003C7D2F"/>
    <w:rsid w:val="003D0244"/>
    <w:rsid w:val="003D0A64"/>
    <w:rsid w:val="003D0C5A"/>
    <w:rsid w:val="003D155F"/>
    <w:rsid w:val="003D1828"/>
    <w:rsid w:val="003D1DE4"/>
    <w:rsid w:val="003D1E9A"/>
    <w:rsid w:val="003D2422"/>
    <w:rsid w:val="003D2C24"/>
    <w:rsid w:val="003D3719"/>
    <w:rsid w:val="003D39A1"/>
    <w:rsid w:val="003D39FB"/>
    <w:rsid w:val="003D3B41"/>
    <w:rsid w:val="003D3FBF"/>
    <w:rsid w:val="003D4314"/>
    <w:rsid w:val="003D473F"/>
    <w:rsid w:val="003D4762"/>
    <w:rsid w:val="003D4A30"/>
    <w:rsid w:val="003D5272"/>
    <w:rsid w:val="003D56F0"/>
    <w:rsid w:val="003D56F4"/>
    <w:rsid w:val="003D674E"/>
    <w:rsid w:val="003D6F6D"/>
    <w:rsid w:val="003D6FA6"/>
    <w:rsid w:val="003D7452"/>
    <w:rsid w:val="003D79BB"/>
    <w:rsid w:val="003D7B4C"/>
    <w:rsid w:val="003D7C98"/>
    <w:rsid w:val="003D7D9D"/>
    <w:rsid w:val="003E0543"/>
    <w:rsid w:val="003E2593"/>
    <w:rsid w:val="003E28A1"/>
    <w:rsid w:val="003E3A6F"/>
    <w:rsid w:val="003E3E54"/>
    <w:rsid w:val="003E40EA"/>
    <w:rsid w:val="003E44DE"/>
    <w:rsid w:val="003E4631"/>
    <w:rsid w:val="003E473E"/>
    <w:rsid w:val="003E4C34"/>
    <w:rsid w:val="003E5417"/>
    <w:rsid w:val="003E5603"/>
    <w:rsid w:val="003E5FF8"/>
    <w:rsid w:val="003E72C1"/>
    <w:rsid w:val="003E749E"/>
    <w:rsid w:val="003E7B25"/>
    <w:rsid w:val="003E7DCE"/>
    <w:rsid w:val="003F0235"/>
    <w:rsid w:val="003F1113"/>
    <w:rsid w:val="003F1176"/>
    <w:rsid w:val="003F1AAB"/>
    <w:rsid w:val="003F1EEC"/>
    <w:rsid w:val="003F2947"/>
    <w:rsid w:val="003F2CC0"/>
    <w:rsid w:val="003F394B"/>
    <w:rsid w:val="003F3BD0"/>
    <w:rsid w:val="003F3F0C"/>
    <w:rsid w:val="003F4156"/>
    <w:rsid w:val="003F5ADF"/>
    <w:rsid w:val="003F65FF"/>
    <w:rsid w:val="003F6E60"/>
    <w:rsid w:val="003F700B"/>
    <w:rsid w:val="003F7031"/>
    <w:rsid w:val="003F774F"/>
    <w:rsid w:val="004000C4"/>
    <w:rsid w:val="00400B29"/>
    <w:rsid w:val="0040116C"/>
    <w:rsid w:val="004016BF"/>
    <w:rsid w:val="00401740"/>
    <w:rsid w:val="00402812"/>
    <w:rsid w:val="00402C5D"/>
    <w:rsid w:val="00402E44"/>
    <w:rsid w:val="00402EE0"/>
    <w:rsid w:val="00403F1C"/>
    <w:rsid w:val="00404E58"/>
    <w:rsid w:val="0040504B"/>
    <w:rsid w:val="0040542F"/>
    <w:rsid w:val="004054A0"/>
    <w:rsid w:val="004059F4"/>
    <w:rsid w:val="0040610E"/>
    <w:rsid w:val="00407FE5"/>
    <w:rsid w:val="004101B0"/>
    <w:rsid w:val="00410326"/>
    <w:rsid w:val="00410477"/>
    <w:rsid w:val="00410708"/>
    <w:rsid w:val="00410EC7"/>
    <w:rsid w:val="00411B39"/>
    <w:rsid w:val="00411FFD"/>
    <w:rsid w:val="004127A7"/>
    <w:rsid w:val="004132DA"/>
    <w:rsid w:val="0041346D"/>
    <w:rsid w:val="004136CB"/>
    <w:rsid w:val="00413A1E"/>
    <w:rsid w:val="00413F34"/>
    <w:rsid w:val="0041404D"/>
    <w:rsid w:val="004142A8"/>
    <w:rsid w:val="00414476"/>
    <w:rsid w:val="00414C2E"/>
    <w:rsid w:val="004151CF"/>
    <w:rsid w:val="00415255"/>
    <w:rsid w:val="0041529F"/>
    <w:rsid w:val="00415E60"/>
    <w:rsid w:val="004162EE"/>
    <w:rsid w:val="00416364"/>
    <w:rsid w:val="0042047F"/>
    <w:rsid w:val="00420AA6"/>
    <w:rsid w:val="00420B9F"/>
    <w:rsid w:val="0042192C"/>
    <w:rsid w:val="004219AE"/>
    <w:rsid w:val="00421EE4"/>
    <w:rsid w:val="00422260"/>
    <w:rsid w:val="0042245C"/>
    <w:rsid w:val="00422D8F"/>
    <w:rsid w:val="004236B2"/>
    <w:rsid w:val="00423AF7"/>
    <w:rsid w:val="00423B5C"/>
    <w:rsid w:val="0042413F"/>
    <w:rsid w:val="00425CBC"/>
    <w:rsid w:val="00425F97"/>
    <w:rsid w:val="0042672B"/>
    <w:rsid w:val="0042748D"/>
    <w:rsid w:val="00430805"/>
    <w:rsid w:val="00430A41"/>
    <w:rsid w:val="004319F8"/>
    <w:rsid w:val="00431E55"/>
    <w:rsid w:val="004321F6"/>
    <w:rsid w:val="00432842"/>
    <w:rsid w:val="00433044"/>
    <w:rsid w:val="004338DC"/>
    <w:rsid w:val="00434088"/>
    <w:rsid w:val="004340C0"/>
    <w:rsid w:val="004341AD"/>
    <w:rsid w:val="0043499A"/>
    <w:rsid w:val="00434DC0"/>
    <w:rsid w:val="00435398"/>
    <w:rsid w:val="00435BB8"/>
    <w:rsid w:val="00435BFA"/>
    <w:rsid w:val="0043704E"/>
    <w:rsid w:val="004375B9"/>
    <w:rsid w:val="00440F1F"/>
    <w:rsid w:val="004428D0"/>
    <w:rsid w:val="00442A46"/>
    <w:rsid w:val="004431CE"/>
    <w:rsid w:val="00444185"/>
    <w:rsid w:val="004443A7"/>
    <w:rsid w:val="0044442C"/>
    <w:rsid w:val="00444F88"/>
    <w:rsid w:val="004455CB"/>
    <w:rsid w:val="00445812"/>
    <w:rsid w:val="00445941"/>
    <w:rsid w:val="00445E47"/>
    <w:rsid w:val="004464EB"/>
    <w:rsid w:val="00447D26"/>
    <w:rsid w:val="00447DFC"/>
    <w:rsid w:val="004509A1"/>
    <w:rsid w:val="00450D20"/>
    <w:rsid w:val="00451C2F"/>
    <w:rsid w:val="00452DFE"/>
    <w:rsid w:val="00453FFA"/>
    <w:rsid w:val="00454F92"/>
    <w:rsid w:val="00455057"/>
    <w:rsid w:val="004556A4"/>
    <w:rsid w:val="00455CBA"/>
    <w:rsid w:val="00455D45"/>
    <w:rsid w:val="0045608B"/>
    <w:rsid w:val="0045692E"/>
    <w:rsid w:val="00456F46"/>
    <w:rsid w:val="00460015"/>
    <w:rsid w:val="00460606"/>
    <w:rsid w:val="004610F4"/>
    <w:rsid w:val="0046209D"/>
    <w:rsid w:val="0046239C"/>
    <w:rsid w:val="00462499"/>
    <w:rsid w:val="0046259C"/>
    <w:rsid w:val="004628AF"/>
    <w:rsid w:val="00463524"/>
    <w:rsid w:val="00463572"/>
    <w:rsid w:val="004635CD"/>
    <w:rsid w:val="00463AB3"/>
    <w:rsid w:val="00463D12"/>
    <w:rsid w:val="00463DFA"/>
    <w:rsid w:val="004644BD"/>
    <w:rsid w:val="00464595"/>
    <w:rsid w:val="004657A3"/>
    <w:rsid w:val="004658B5"/>
    <w:rsid w:val="00465E2F"/>
    <w:rsid w:val="00466522"/>
    <w:rsid w:val="00466D85"/>
    <w:rsid w:val="00467B15"/>
    <w:rsid w:val="004708EE"/>
    <w:rsid w:val="0047191A"/>
    <w:rsid w:val="00471CEB"/>
    <w:rsid w:val="00471EA5"/>
    <w:rsid w:val="004721CD"/>
    <w:rsid w:val="0047248A"/>
    <w:rsid w:val="00472A79"/>
    <w:rsid w:val="004736B7"/>
    <w:rsid w:val="00473F19"/>
    <w:rsid w:val="004740A7"/>
    <w:rsid w:val="004759E0"/>
    <w:rsid w:val="00475D0D"/>
    <w:rsid w:val="00475E22"/>
    <w:rsid w:val="0047633C"/>
    <w:rsid w:val="00477073"/>
    <w:rsid w:val="004775EA"/>
    <w:rsid w:val="0048088E"/>
    <w:rsid w:val="00480F2B"/>
    <w:rsid w:val="00481D86"/>
    <w:rsid w:val="00482582"/>
    <w:rsid w:val="00482720"/>
    <w:rsid w:val="00482CD7"/>
    <w:rsid w:val="0048308A"/>
    <w:rsid w:val="0048324C"/>
    <w:rsid w:val="004835E7"/>
    <w:rsid w:val="00483E60"/>
    <w:rsid w:val="00483EF2"/>
    <w:rsid w:val="00484134"/>
    <w:rsid w:val="0048427D"/>
    <w:rsid w:val="00485868"/>
    <w:rsid w:val="004859E1"/>
    <w:rsid w:val="00485A54"/>
    <w:rsid w:val="00485F90"/>
    <w:rsid w:val="004867E2"/>
    <w:rsid w:val="00487CCC"/>
    <w:rsid w:val="00490B17"/>
    <w:rsid w:val="00490C4C"/>
    <w:rsid w:val="00490C8B"/>
    <w:rsid w:val="0049136C"/>
    <w:rsid w:val="00491B3A"/>
    <w:rsid w:val="00491B79"/>
    <w:rsid w:val="004929DD"/>
    <w:rsid w:val="00492CFD"/>
    <w:rsid w:val="00493A39"/>
    <w:rsid w:val="00493D8A"/>
    <w:rsid w:val="00494207"/>
    <w:rsid w:val="0049438B"/>
    <w:rsid w:val="00494410"/>
    <w:rsid w:val="00494C7E"/>
    <w:rsid w:val="00494D77"/>
    <w:rsid w:val="00494DD5"/>
    <w:rsid w:val="00494F8F"/>
    <w:rsid w:val="00495055"/>
    <w:rsid w:val="00495331"/>
    <w:rsid w:val="0049533E"/>
    <w:rsid w:val="0049536F"/>
    <w:rsid w:val="00495FFC"/>
    <w:rsid w:val="004962D2"/>
    <w:rsid w:val="004968FB"/>
    <w:rsid w:val="0049691C"/>
    <w:rsid w:val="00496BAD"/>
    <w:rsid w:val="004A0DA1"/>
    <w:rsid w:val="004A13D6"/>
    <w:rsid w:val="004A159F"/>
    <w:rsid w:val="004A2417"/>
    <w:rsid w:val="004A2B10"/>
    <w:rsid w:val="004A2F96"/>
    <w:rsid w:val="004A3F61"/>
    <w:rsid w:val="004A4150"/>
    <w:rsid w:val="004A44E5"/>
    <w:rsid w:val="004A4D02"/>
    <w:rsid w:val="004A4D61"/>
    <w:rsid w:val="004A52E9"/>
    <w:rsid w:val="004A5855"/>
    <w:rsid w:val="004A6040"/>
    <w:rsid w:val="004A621E"/>
    <w:rsid w:val="004A6597"/>
    <w:rsid w:val="004A678A"/>
    <w:rsid w:val="004A7188"/>
    <w:rsid w:val="004A7848"/>
    <w:rsid w:val="004A793B"/>
    <w:rsid w:val="004B0157"/>
    <w:rsid w:val="004B08EE"/>
    <w:rsid w:val="004B0A86"/>
    <w:rsid w:val="004B11FE"/>
    <w:rsid w:val="004B152B"/>
    <w:rsid w:val="004B1CB4"/>
    <w:rsid w:val="004B2678"/>
    <w:rsid w:val="004B2D03"/>
    <w:rsid w:val="004B2EDE"/>
    <w:rsid w:val="004B2F18"/>
    <w:rsid w:val="004B38BE"/>
    <w:rsid w:val="004B3DDB"/>
    <w:rsid w:val="004B3EAD"/>
    <w:rsid w:val="004B4034"/>
    <w:rsid w:val="004B44FD"/>
    <w:rsid w:val="004B5C60"/>
    <w:rsid w:val="004B5CFC"/>
    <w:rsid w:val="004B5D79"/>
    <w:rsid w:val="004B6F79"/>
    <w:rsid w:val="004B6F83"/>
    <w:rsid w:val="004B72A0"/>
    <w:rsid w:val="004B774D"/>
    <w:rsid w:val="004B7AEB"/>
    <w:rsid w:val="004B7D8B"/>
    <w:rsid w:val="004C0005"/>
    <w:rsid w:val="004C154D"/>
    <w:rsid w:val="004C2263"/>
    <w:rsid w:val="004C255E"/>
    <w:rsid w:val="004C2AC2"/>
    <w:rsid w:val="004C2BB0"/>
    <w:rsid w:val="004C3945"/>
    <w:rsid w:val="004C4063"/>
    <w:rsid w:val="004C4AED"/>
    <w:rsid w:val="004C50D5"/>
    <w:rsid w:val="004C5AD9"/>
    <w:rsid w:val="004C5E5B"/>
    <w:rsid w:val="004C5E7A"/>
    <w:rsid w:val="004C5F27"/>
    <w:rsid w:val="004C6088"/>
    <w:rsid w:val="004C61C3"/>
    <w:rsid w:val="004C6539"/>
    <w:rsid w:val="004C68ED"/>
    <w:rsid w:val="004D0B06"/>
    <w:rsid w:val="004D1192"/>
    <w:rsid w:val="004D1823"/>
    <w:rsid w:val="004D2A8C"/>
    <w:rsid w:val="004D2B23"/>
    <w:rsid w:val="004D2C2D"/>
    <w:rsid w:val="004D38AC"/>
    <w:rsid w:val="004D4151"/>
    <w:rsid w:val="004D44ED"/>
    <w:rsid w:val="004D4C09"/>
    <w:rsid w:val="004D5049"/>
    <w:rsid w:val="004D54B4"/>
    <w:rsid w:val="004D5942"/>
    <w:rsid w:val="004D5B90"/>
    <w:rsid w:val="004D69B5"/>
    <w:rsid w:val="004D6C60"/>
    <w:rsid w:val="004D7227"/>
    <w:rsid w:val="004D7B5E"/>
    <w:rsid w:val="004E0E3E"/>
    <w:rsid w:val="004E0E7F"/>
    <w:rsid w:val="004E0EB8"/>
    <w:rsid w:val="004E157F"/>
    <w:rsid w:val="004E18D4"/>
    <w:rsid w:val="004E18E9"/>
    <w:rsid w:val="004E25C5"/>
    <w:rsid w:val="004E2777"/>
    <w:rsid w:val="004E2ADC"/>
    <w:rsid w:val="004E3186"/>
    <w:rsid w:val="004E3DD2"/>
    <w:rsid w:val="004E3E57"/>
    <w:rsid w:val="004E3E5C"/>
    <w:rsid w:val="004E43B2"/>
    <w:rsid w:val="004E4F08"/>
    <w:rsid w:val="004E4F4B"/>
    <w:rsid w:val="004E508E"/>
    <w:rsid w:val="004E596F"/>
    <w:rsid w:val="004E5EB7"/>
    <w:rsid w:val="004E5FE5"/>
    <w:rsid w:val="004E62C9"/>
    <w:rsid w:val="004F1A88"/>
    <w:rsid w:val="004F1D02"/>
    <w:rsid w:val="004F2679"/>
    <w:rsid w:val="004F2F21"/>
    <w:rsid w:val="004F38AC"/>
    <w:rsid w:val="004F38BD"/>
    <w:rsid w:val="004F3DE5"/>
    <w:rsid w:val="004F4171"/>
    <w:rsid w:val="004F428E"/>
    <w:rsid w:val="004F4BB7"/>
    <w:rsid w:val="004F526D"/>
    <w:rsid w:val="004F5347"/>
    <w:rsid w:val="004F5551"/>
    <w:rsid w:val="004F57E8"/>
    <w:rsid w:val="004F5F93"/>
    <w:rsid w:val="004F6913"/>
    <w:rsid w:val="004F70B5"/>
    <w:rsid w:val="004F72B3"/>
    <w:rsid w:val="004F752A"/>
    <w:rsid w:val="004F7805"/>
    <w:rsid w:val="004F7865"/>
    <w:rsid w:val="004F7E1A"/>
    <w:rsid w:val="0050007E"/>
    <w:rsid w:val="0050031D"/>
    <w:rsid w:val="00500891"/>
    <w:rsid w:val="00500919"/>
    <w:rsid w:val="0050174E"/>
    <w:rsid w:val="00501854"/>
    <w:rsid w:val="005019EE"/>
    <w:rsid w:val="00501A6E"/>
    <w:rsid w:val="0050219B"/>
    <w:rsid w:val="0050282A"/>
    <w:rsid w:val="00503F17"/>
    <w:rsid w:val="00503F3A"/>
    <w:rsid w:val="005050CE"/>
    <w:rsid w:val="005051DF"/>
    <w:rsid w:val="005054AD"/>
    <w:rsid w:val="0050575F"/>
    <w:rsid w:val="005058A5"/>
    <w:rsid w:val="00505C76"/>
    <w:rsid w:val="0050607E"/>
    <w:rsid w:val="00506928"/>
    <w:rsid w:val="00506CCB"/>
    <w:rsid w:val="00506E05"/>
    <w:rsid w:val="005077EF"/>
    <w:rsid w:val="0050790B"/>
    <w:rsid w:val="005079CD"/>
    <w:rsid w:val="005103A8"/>
    <w:rsid w:val="00511AD5"/>
    <w:rsid w:val="00511DC7"/>
    <w:rsid w:val="0051255B"/>
    <w:rsid w:val="00512A8E"/>
    <w:rsid w:val="0051317C"/>
    <w:rsid w:val="00513682"/>
    <w:rsid w:val="00513B72"/>
    <w:rsid w:val="00513C9F"/>
    <w:rsid w:val="005142C5"/>
    <w:rsid w:val="00514572"/>
    <w:rsid w:val="00514B5E"/>
    <w:rsid w:val="0051501B"/>
    <w:rsid w:val="005152B5"/>
    <w:rsid w:val="00515358"/>
    <w:rsid w:val="005153A6"/>
    <w:rsid w:val="00515886"/>
    <w:rsid w:val="00515D6B"/>
    <w:rsid w:val="00516574"/>
    <w:rsid w:val="00516745"/>
    <w:rsid w:val="00516E71"/>
    <w:rsid w:val="005173D5"/>
    <w:rsid w:val="00517A5C"/>
    <w:rsid w:val="00517E0E"/>
    <w:rsid w:val="0052036E"/>
    <w:rsid w:val="00521175"/>
    <w:rsid w:val="0052123C"/>
    <w:rsid w:val="00521319"/>
    <w:rsid w:val="00521882"/>
    <w:rsid w:val="00521FB1"/>
    <w:rsid w:val="00522005"/>
    <w:rsid w:val="005223BC"/>
    <w:rsid w:val="00522B14"/>
    <w:rsid w:val="00522BC8"/>
    <w:rsid w:val="00523C28"/>
    <w:rsid w:val="00524655"/>
    <w:rsid w:val="00524CE7"/>
    <w:rsid w:val="0052567E"/>
    <w:rsid w:val="00526E6A"/>
    <w:rsid w:val="0053112F"/>
    <w:rsid w:val="0053176B"/>
    <w:rsid w:val="0053195E"/>
    <w:rsid w:val="005326D1"/>
    <w:rsid w:val="00532C20"/>
    <w:rsid w:val="00533E8E"/>
    <w:rsid w:val="00533EB6"/>
    <w:rsid w:val="005341B3"/>
    <w:rsid w:val="005345E7"/>
    <w:rsid w:val="00534DD6"/>
    <w:rsid w:val="005369F0"/>
    <w:rsid w:val="00536F42"/>
    <w:rsid w:val="00537182"/>
    <w:rsid w:val="00537233"/>
    <w:rsid w:val="00540477"/>
    <w:rsid w:val="00540BEC"/>
    <w:rsid w:val="00540D87"/>
    <w:rsid w:val="00541DA6"/>
    <w:rsid w:val="00541EDD"/>
    <w:rsid w:val="00542278"/>
    <w:rsid w:val="00542743"/>
    <w:rsid w:val="00542859"/>
    <w:rsid w:val="00542BE6"/>
    <w:rsid w:val="00542C2D"/>
    <w:rsid w:val="0054314D"/>
    <w:rsid w:val="005433EC"/>
    <w:rsid w:val="00543601"/>
    <w:rsid w:val="00543A3F"/>
    <w:rsid w:val="0054451E"/>
    <w:rsid w:val="00544BC2"/>
    <w:rsid w:val="00544FCE"/>
    <w:rsid w:val="005454E8"/>
    <w:rsid w:val="00545A9C"/>
    <w:rsid w:val="005466F1"/>
    <w:rsid w:val="00547111"/>
    <w:rsid w:val="005478BD"/>
    <w:rsid w:val="005479E3"/>
    <w:rsid w:val="00547BA9"/>
    <w:rsid w:val="00547DC8"/>
    <w:rsid w:val="00550A35"/>
    <w:rsid w:val="00550C76"/>
    <w:rsid w:val="005514E1"/>
    <w:rsid w:val="00551985"/>
    <w:rsid w:val="00551AE3"/>
    <w:rsid w:val="00551C63"/>
    <w:rsid w:val="00552BD3"/>
    <w:rsid w:val="005532A0"/>
    <w:rsid w:val="0055370C"/>
    <w:rsid w:val="00553B18"/>
    <w:rsid w:val="00553C22"/>
    <w:rsid w:val="00553C4D"/>
    <w:rsid w:val="00554AE4"/>
    <w:rsid w:val="00554FD6"/>
    <w:rsid w:val="00555109"/>
    <w:rsid w:val="00555601"/>
    <w:rsid w:val="00556B35"/>
    <w:rsid w:val="00556B48"/>
    <w:rsid w:val="00557006"/>
    <w:rsid w:val="005572D5"/>
    <w:rsid w:val="0055741A"/>
    <w:rsid w:val="0055771D"/>
    <w:rsid w:val="00557F5E"/>
    <w:rsid w:val="00560961"/>
    <w:rsid w:val="005609BE"/>
    <w:rsid w:val="00560BCA"/>
    <w:rsid w:val="005611B7"/>
    <w:rsid w:val="005611F7"/>
    <w:rsid w:val="005618D4"/>
    <w:rsid w:val="005620B8"/>
    <w:rsid w:val="00562BF9"/>
    <w:rsid w:val="0056369A"/>
    <w:rsid w:val="00563BBC"/>
    <w:rsid w:val="00564867"/>
    <w:rsid w:val="005648DB"/>
    <w:rsid w:val="005649B2"/>
    <w:rsid w:val="00564A87"/>
    <w:rsid w:val="00565C79"/>
    <w:rsid w:val="00565DF0"/>
    <w:rsid w:val="0056696F"/>
    <w:rsid w:val="00566AE6"/>
    <w:rsid w:val="00566D9C"/>
    <w:rsid w:val="00567645"/>
    <w:rsid w:val="0056766F"/>
    <w:rsid w:val="00570877"/>
    <w:rsid w:val="00571AF2"/>
    <w:rsid w:val="00572180"/>
    <w:rsid w:val="00572269"/>
    <w:rsid w:val="0057244A"/>
    <w:rsid w:val="00572939"/>
    <w:rsid w:val="00572F26"/>
    <w:rsid w:val="005732A4"/>
    <w:rsid w:val="00573692"/>
    <w:rsid w:val="00574195"/>
    <w:rsid w:val="00574312"/>
    <w:rsid w:val="005750C5"/>
    <w:rsid w:val="0057511D"/>
    <w:rsid w:val="005752DE"/>
    <w:rsid w:val="00575354"/>
    <w:rsid w:val="00575692"/>
    <w:rsid w:val="0057581C"/>
    <w:rsid w:val="00575D60"/>
    <w:rsid w:val="00575D8D"/>
    <w:rsid w:val="00576972"/>
    <w:rsid w:val="00576CF5"/>
    <w:rsid w:val="005771A9"/>
    <w:rsid w:val="00577248"/>
    <w:rsid w:val="005774E3"/>
    <w:rsid w:val="0058093C"/>
    <w:rsid w:val="00581198"/>
    <w:rsid w:val="00581207"/>
    <w:rsid w:val="005812C6"/>
    <w:rsid w:val="00581F13"/>
    <w:rsid w:val="00582AED"/>
    <w:rsid w:val="00582B6A"/>
    <w:rsid w:val="00582C4A"/>
    <w:rsid w:val="00583699"/>
    <w:rsid w:val="00584702"/>
    <w:rsid w:val="00584B5F"/>
    <w:rsid w:val="00585CDD"/>
    <w:rsid w:val="00585DB9"/>
    <w:rsid w:val="00586037"/>
    <w:rsid w:val="005863AB"/>
    <w:rsid w:val="00586C26"/>
    <w:rsid w:val="00587058"/>
    <w:rsid w:val="00587303"/>
    <w:rsid w:val="00590546"/>
    <w:rsid w:val="00591491"/>
    <w:rsid w:val="00591957"/>
    <w:rsid w:val="00591A6D"/>
    <w:rsid w:val="00591D68"/>
    <w:rsid w:val="00594D9E"/>
    <w:rsid w:val="0059507D"/>
    <w:rsid w:val="00595367"/>
    <w:rsid w:val="00597BF9"/>
    <w:rsid w:val="00597F35"/>
    <w:rsid w:val="00597FCE"/>
    <w:rsid w:val="005A09EE"/>
    <w:rsid w:val="005A0C11"/>
    <w:rsid w:val="005A195A"/>
    <w:rsid w:val="005A1D9C"/>
    <w:rsid w:val="005A1EF8"/>
    <w:rsid w:val="005A2802"/>
    <w:rsid w:val="005A2B1B"/>
    <w:rsid w:val="005A309A"/>
    <w:rsid w:val="005A310B"/>
    <w:rsid w:val="005A373D"/>
    <w:rsid w:val="005A39A8"/>
    <w:rsid w:val="005A459D"/>
    <w:rsid w:val="005A5E0A"/>
    <w:rsid w:val="005A63DF"/>
    <w:rsid w:val="005A76DC"/>
    <w:rsid w:val="005A77FE"/>
    <w:rsid w:val="005A79C7"/>
    <w:rsid w:val="005A7BCF"/>
    <w:rsid w:val="005A7C26"/>
    <w:rsid w:val="005B015C"/>
    <w:rsid w:val="005B0A10"/>
    <w:rsid w:val="005B0B58"/>
    <w:rsid w:val="005B23D7"/>
    <w:rsid w:val="005B2D57"/>
    <w:rsid w:val="005B30DE"/>
    <w:rsid w:val="005B42C8"/>
    <w:rsid w:val="005B4E53"/>
    <w:rsid w:val="005B5857"/>
    <w:rsid w:val="005B6E70"/>
    <w:rsid w:val="005B784A"/>
    <w:rsid w:val="005C0AC8"/>
    <w:rsid w:val="005C1555"/>
    <w:rsid w:val="005C19C4"/>
    <w:rsid w:val="005C1B83"/>
    <w:rsid w:val="005C2130"/>
    <w:rsid w:val="005C25FF"/>
    <w:rsid w:val="005C28B7"/>
    <w:rsid w:val="005C2B30"/>
    <w:rsid w:val="005C2D55"/>
    <w:rsid w:val="005C2D58"/>
    <w:rsid w:val="005C2DDE"/>
    <w:rsid w:val="005C346B"/>
    <w:rsid w:val="005C3736"/>
    <w:rsid w:val="005C39A1"/>
    <w:rsid w:val="005C3F42"/>
    <w:rsid w:val="005C53F3"/>
    <w:rsid w:val="005C5A6C"/>
    <w:rsid w:val="005C5ABC"/>
    <w:rsid w:val="005C5FB4"/>
    <w:rsid w:val="005C7529"/>
    <w:rsid w:val="005D044D"/>
    <w:rsid w:val="005D0ABD"/>
    <w:rsid w:val="005D18AD"/>
    <w:rsid w:val="005D26B4"/>
    <w:rsid w:val="005D2A9D"/>
    <w:rsid w:val="005D38ED"/>
    <w:rsid w:val="005D4224"/>
    <w:rsid w:val="005D464C"/>
    <w:rsid w:val="005D4760"/>
    <w:rsid w:val="005D5579"/>
    <w:rsid w:val="005D558E"/>
    <w:rsid w:val="005D599F"/>
    <w:rsid w:val="005D5B36"/>
    <w:rsid w:val="005D5D1E"/>
    <w:rsid w:val="005D662B"/>
    <w:rsid w:val="005D7106"/>
    <w:rsid w:val="005D7286"/>
    <w:rsid w:val="005E02FD"/>
    <w:rsid w:val="005E1728"/>
    <w:rsid w:val="005E1995"/>
    <w:rsid w:val="005E1C71"/>
    <w:rsid w:val="005E2148"/>
    <w:rsid w:val="005E2290"/>
    <w:rsid w:val="005E2478"/>
    <w:rsid w:val="005E284A"/>
    <w:rsid w:val="005E3D87"/>
    <w:rsid w:val="005E406D"/>
    <w:rsid w:val="005E52A0"/>
    <w:rsid w:val="005E530A"/>
    <w:rsid w:val="005E5B2D"/>
    <w:rsid w:val="005E6CBC"/>
    <w:rsid w:val="005E72FF"/>
    <w:rsid w:val="005E73C0"/>
    <w:rsid w:val="005E7A06"/>
    <w:rsid w:val="005F00BA"/>
    <w:rsid w:val="005F07ED"/>
    <w:rsid w:val="005F0A73"/>
    <w:rsid w:val="005F1112"/>
    <w:rsid w:val="005F1564"/>
    <w:rsid w:val="005F1905"/>
    <w:rsid w:val="005F2706"/>
    <w:rsid w:val="005F27E1"/>
    <w:rsid w:val="005F3FA5"/>
    <w:rsid w:val="005F4412"/>
    <w:rsid w:val="005F4A89"/>
    <w:rsid w:val="005F4D64"/>
    <w:rsid w:val="005F58A4"/>
    <w:rsid w:val="005F5B9F"/>
    <w:rsid w:val="005F6406"/>
    <w:rsid w:val="005F6A8F"/>
    <w:rsid w:val="005F6BB7"/>
    <w:rsid w:val="005F7093"/>
    <w:rsid w:val="005F748B"/>
    <w:rsid w:val="005F7588"/>
    <w:rsid w:val="005F7E6D"/>
    <w:rsid w:val="00601274"/>
    <w:rsid w:val="00601378"/>
    <w:rsid w:val="00601418"/>
    <w:rsid w:val="0060177B"/>
    <w:rsid w:val="00601C5A"/>
    <w:rsid w:val="0060240E"/>
    <w:rsid w:val="00602EB5"/>
    <w:rsid w:val="00603248"/>
    <w:rsid w:val="006034C4"/>
    <w:rsid w:val="00603A82"/>
    <w:rsid w:val="00603BC0"/>
    <w:rsid w:val="00603DB9"/>
    <w:rsid w:val="006048AD"/>
    <w:rsid w:val="0060500B"/>
    <w:rsid w:val="0060543D"/>
    <w:rsid w:val="00605DE9"/>
    <w:rsid w:val="00606E39"/>
    <w:rsid w:val="00606FBA"/>
    <w:rsid w:val="00607669"/>
    <w:rsid w:val="006076F4"/>
    <w:rsid w:val="00607AFD"/>
    <w:rsid w:val="00607B74"/>
    <w:rsid w:val="006105B1"/>
    <w:rsid w:val="00611267"/>
    <w:rsid w:val="00611B12"/>
    <w:rsid w:val="00611CD7"/>
    <w:rsid w:val="00612F97"/>
    <w:rsid w:val="0061345D"/>
    <w:rsid w:val="00613B0F"/>
    <w:rsid w:val="00613C90"/>
    <w:rsid w:val="0061549B"/>
    <w:rsid w:val="006159FB"/>
    <w:rsid w:val="00615ADB"/>
    <w:rsid w:val="00616802"/>
    <w:rsid w:val="006176A8"/>
    <w:rsid w:val="00617D12"/>
    <w:rsid w:val="00617D1C"/>
    <w:rsid w:val="00617E12"/>
    <w:rsid w:val="006204AD"/>
    <w:rsid w:val="00620C25"/>
    <w:rsid w:val="00621477"/>
    <w:rsid w:val="00621ADA"/>
    <w:rsid w:val="00621B1F"/>
    <w:rsid w:val="00622BBB"/>
    <w:rsid w:val="00622EB9"/>
    <w:rsid w:val="00623DC4"/>
    <w:rsid w:val="00623F7B"/>
    <w:rsid w:val="00624A9E"/>
    <w:rsid w:val="00624BD4"/>
    <w:rsid w:val="00624C74"/>
    <w:rsid w:val="0062502A"/>
    <w:rsid w:val="00625095"/>
    <w:rsid w:val="006250A5"/>
    <w:rsid w:val="00627B08"/>
    <w:rsid w:val="00627BD6"/>
    <w:rsid w:val="00630A84"/>
    <w:rsid w:val="0063158F"/>
    <w:rsid w:val="00631B89"/>
    <w:rsid w:val="00631D6B"/>
    <w:rsid w:val="00632183"/>
    <w:rsid w:val="006330A1"/>
    <w:rsid w:val="006332BB"/>
    <w:rsid w:val="0063479F"/>
    <w:rsid w:val="00634C3F"/>
    <w:rsid w:val="006353F0"/>
    <w:rsid w:val="006357B5"/>
    <w:rsid w:val="006364A1"/>
    <w:rsid w:val="006365F1"/>
    <w:rsid w:val="0063678E"/>
    <w:rsid w:val="00637BFD"/>
    <w:rsid w:val="00637C5C"/>
    <w:rsid w:val="00637FD8"/>
    <w:rsid w:val="006408F4"/>
    <w:rsid w:val="00640DAF"/>
    <w:rsid w:val="006415DB"/>
    <w:rsid w:val="00641C4E"/>
    <w:rsid w:val="00641FB3"/>
    <w:rsid w:val="00642777"/>
    <w:rsid w:val="00643062"/>
    <w:rsid w:val="0064434C"/>
    <w:rsid w:val="00644673"/>
    <w:rsid w:val="00644833"/>
    <w:rsid w:val="00644960"/>
    <w:rsid w:val="0064613C"/>
    <w:rsid w:val="00646EB3"/>
    <w:rsid w:val="006471CC"/>
    <w:rsid w:val="006472FE"/>
    <w:rsid w:val="006473AB"/>
    <w:rsid w:val="006478BE"/>
    <w:rsid w:val="00647A29"/>
    <w:rsid w:val="00647BB6"/>
    <w:rsid w:val="0065079F"/>
    <w:rsid w:val="006511B5"/>
    <w:rsid w:val="00651344"/>
    <w:rsid w:val="00651677"/>
    <w:rsid w:val="00651FD9"/>
    <w:rsid w:val="006520A8"/>
    <w:rsid w:val="00652A28"/>
    <w:rsid w:val="006536CA"/>
    <w:rsid w:val="0065379F"/>
    <w:rsid w:val="00653AF5"/>
    <w:rsid w:val="00653D82"/>
    <w:rsid w:val="00654168"/>
    <w:rsid w:val="00654D93"/>
    <w:rsid w:val="00654EEB"/>
    <w:rsid w:val="006556CB"/>
    <w:rsid w:val="00655B5E"/>
    <w:rsid w:val="00656188"/>
    <w:rsid w:val="0065715A"/>
    <w:rsid w:val="00657C75"/>
    <w:rsid w:val="00657C88"/>
    <w:rsid w:val="00657D6F"/>
    <w:rsid w:val="00660ECE"/>
    <w:rsid w:val="006610F1"/>
    <w:rsid w:val="00661C6B"/>
    <w:rsid w:val="00662007"/>
    <w:rsid w:val="00662B1A"/>
    <w:rsid w:val="00662D3E"/>
    <w:rsid w:val="00663911"/>
    <w:rsid w:val="006640F2"/>
    <w:rsid w:val="006646DD"/>
    <w:rsid w:val="00664D7E"/>
    <w:rsid w:val="006667F9"/>
    <w:rsid w:val="006679C1"/>
    <w:rsid w:val="00667BE3"/>
    <w:rsid w:val="00670031"/>
    <w:rsid w:val="0067041E"/>
    <w:rsid w:val="00671004"/>
    <w:rsid w:val="006716F1"/>
    <w:rsid w:val="006719D2"/>
    <w:rsid w:val="00671BB9"/>
    <w:rsid w:val="006723CA"/>
    <w:rsid w:val="00672646"/>
    <w:rsid w:val="0067311F"/>
    <w:rsid w:val="00673603"/>
    <w:rsid w:val="00673699"/>
    <w:rsid w:val="00673CBA"/>
    <w:rsid w:val="00673D5A"/>
    <w:rsid w:val="00674381"/>
    <w:rsid w:val="00674E42"/>
    <w:rsid w:val="00675BC6"/>
    <w:rsid w:val="00675EE3"/>
    <w:rsid w:val="0067602D"/>
    <w:rsid w:val="00676110"/>
    <w:rsid w:val="0067655B"/>
    <w:rsid w:val="00676563"/>
    <w:rsid w:val="00676AEF"/>
    <w:rsid w:val="00677080"/>
    <w:rsid w:val="00680C1B"/>
    <w:rsid w:val="006813F8"/>
    <w:rsid w:val="00682112"/>
    <w:rsid w:val="00682BA6"/>
    <w:rsid w:val="00682FE6"/>
    <w:rsid w:val="006837C7"/>
    <w:rsid w:val="00685231"/>
    <w:rsid w:val="00685534"/>
    <w:rsid w:val="006859DA"/>
    <w:rsid w:val="00685D18"/>
    <w:rsid w:val="0068655C"/>
    <w:rsid w:val="00686955"/>
    <w:rsid w:val="00686957"/>
    <w:rsid w:val="006872BA"/>
    <w:rsid w:val="006877C7"/>
    <w:rsid w:val="00687CA5"/>
    <w:rsid w:val="00690795"/>
    <w:rsid w:val="00690A3C"/>
    <w:rsid w:val="00691648"/>
    <w:rsid w:val="006917D7"/>
    <w:rsid w:val="006919F8"/>
    <w:rsid w:val="00691FF4"/>
    <w:rsid w:val="00692685"/>
    <w:rsid w:val="0069434C"/>
    <w:rsid w:val="00694AF7"/>
    <w:rsid w:val="00694B90"/>
    <w:rsid w:val="00694F1E"/>
    <w:rsid w:val="00694F44"/>
    <w:rsid w:val="006952BF"/>
    <w:rsid w:val="00696380"/>
    <w:rsid w:val="0069639C"/>
    <w:rsid w:val="00696447"/>
    <w:rsid w:val="006965EA"/>
    <w:rsid w:val="0069678C"/>
    <w:rsid w:val="00696EF9"/>
    <w:rsid w:val="00696F51"/>
    <w:rsid w:val="00696FE3"/>
    <w:rsid w:val="006979A5"/>
    <w:rsid w:val="00697A97"/>
    <w:rsid w:val="006A016F"/>
    <w:rsid w:val="006A0689"/>
    <w:rsid w:val="006A0830"/>
    <w:rsid w:val="006A0DF7"/>
    <w:rsid w:val="006A0EEE"/>
    <w:rsid w:val="006A1B93"/>
    <w:rsid w:val="006A1BBC"/>
    <w:rsid w:val="006A3454"/>
    <w:rsid w:val="006A3799"/>
    <w:rsid w:val="006A4214"/>
    <w:rsid w:val="006A4321"/>
    <w:rsid w:val="006A43D9"/>
    <w:rsid w:val="006A4BF6"/>
    <w:rsid w:val="006A4C88"/>
    <w:rsid w:val="006A4E84"/>
    <w:rsid w:val="006A6749"/>
    <w:rsid w:val="006A6B99"/>
    <w:rsid w:val="006A720B"/>
    <w:rsid w:val="006A7341"/>
    <w:rsid w:val="006A78FF"/>
    <w:rsid w:val="006A7E5F"/>
    <w:rsid w:val="006B03A4"/>
    <w:rsid w:val="006B1BFF"/>
    <w:rsid w:val="006B261B"/>
    <w:rsid w:val="006B2C90"/>
    <w:rsid w:val="006B33CD"/>
    <w:rsid w:val="006B35E6"/>
    <w:rsid w:val="006B3B68"/>
    <w:rsid w:val="006B41D6"/>
    <w:rsid w:val="006B4428"/>
    <w:rsid w:val="006B465A"/>
    <w:rsid w:val="006B4C44"/>
    <w:rsid w:val="006B4D9D"/>
    <w:rsid w:val="006B552F"/>
    <w:rsid w:val="006B5736"/>
    <w:rsid w:val="006B6DD0"/>
    <w:rsid w:val="006B77AC"/>
    <w:rsid w:val="006B7C38"/>
    <w:rsid w:val="006C0399"/>
    <w:rsid w:val="006C0E02"/>
    <w:rsid w:val="006C108E"/>
    <w:rsid w:val="006C16F3"/>
    <w:rsid w:val="006C172B"/>
    <w:rsid w:val="006C1823"/>
    <w:rsid w:val="006C183F"/>
    <w:rsid w:val="006C19D4"/>
    <w:rsid w:val="006C1F2E"/>
    <w:rsid w:val="006C1F74"/>
    <w:rsid w:val="006C2A8E"/>
    <w:rsid w:val="006C3255"/>
    <w:rsid w:val="006C3678"/>
    <w:rsid w:val="006C3F26"/>
    <w:rsid w:val="006C4975"/>
    <w:rsid w:val="006C4FF1"/>
    <w:rsid w:val="006C5386"/>
    <w:rsid w:val="006C5862"/>
    <w:rsid w:val="006C5FEE"/>
    <w:rsid w:val="006C5FFE"/>
    <w:rsid w:val="006C684D"/>
    <w:rsid w:val="006C694C"/>
    <w:rsid w:val="006C6DF0"/>
    <w:rsid w:val="006C7146"/>
    <w:rsid w:val="006C7521"/>
    <w:rsid w:val="006C7B3B"/>
    <w:rsid w:val="006C7C02"/>
    <w:rsid w:val="006D0495"/>
    <w:rsid w:val="006D0D17"/>
    <w:rsid w:val="006D25C9"/>
    <w:rsid w:val="006D2AE4"/>
    <w:rsid w:val="006D39F9"/>
    <w:rsid w:val="006D3C7D"/>
    <w:rsid w:val="006D3F9A"/>
    <w:rsid w:val="006D411C"/>
    <w:rsid w:val="006D4659"/>
    <w:rsid w:val="006D4867"/>
    <w:rsid w:val="006D5D5F"/>
    <w:rsid w:val="006D68FB"/>
    <w:rsid w:val="006D6A2C"/>
    <w:rsid w:val="006D6FF6"/>
    <w:rsid w:val="006D71AD"/>
    <w:rsid w:val="006D72C9"/>
    <w:rsid w:val="006D7718"/>
    <w:rsid w:val="006E0152"/>
    <w:rsid w:val="006E02A4"/>
    <w:rsid w:val="006E03E5"/>
    <w:rsid w:val="006E0451"/>
    <w:rsid w:val="006E09A2"/>
    <w:rsid w:val="006E0C87"/>
    <w:rsid w:val="006E0EA6"/>
    <w:rsid w:val="006E0ED9"/>
    <w:rsid w:val="006E1317"/>
    <w:rsid w:val="006E1A4B"/>
    <w:rsid w:val="006E1BCE"/>
    <w:rsid w:val="006E1C17"/>
    <w:rsid w:val="006E1DC5"/>
    <w:rsid w:val="006E1E2F"/>
    <w:rsid w:val="006E2868"/>
    <w:rsid w:val="006E290D"/>
    <w:rsid w:val="006E2A7D"/>
    <w:rsid w:val="006E2D43"/>
    <w:rsid w:val="006E35AC"/>
    <w:rsid w:val="006E3BDC"/>
    <w:rsid w:val="006E409B"/>
    <w:rsid w:val="006E4297"/>
    <w:rsid w:val="006E4D76"/>
    <w:rsid w:val="006E58BC"/>
    <w:rsid w:val="006E5ACB"/>
    <w:rsid w:val="006E5DE7"/>
    <w:rsid w:val="006E5E73"/>
    <w:rsid w:val="006E6717"/>
    <w:rsid w:val="006E69F3"/>
    <w:rsid w:val="006F07C3"/>
    <w:rsid w:val="006F0EAE"/>
    <w:rsid w:val="006F0F46"/>
    <w:rsid w:val="006F146A"/>
    <w:rsid w:val="006F23F4"/>
    <w:rsid w:val="006F2879"/>
    <w:rsid w:val="006F2A0E"/>
    <w:rsid w:val="006F2AD0"/>
    <w:rsid w:val="006F2B5F"/>
    <w:rsid w:val="006F2E69"/>
    <w:rsid w:val="006F306C"/>
    <w:rsid w:val="006F4097"/>
    <w:rsid w:val="006F4259"/>
    <w:rsid w:val="006F4936"/>
    <w:rsid w:val="006F4B56"/>
    <w:rsid w:val="006F5529"/>
    <w:rsid w:val="006F5920"/>
    <w:rsid w:val="006F6082"/>
    <w:rsid w:val="006F63A5"/>
    <w:rsid w:val="006F6495"/>
    <w:rsid w:val="006F67D8"/>
    <w:rsid w:val="006F7276"/>
    <w:rsid w:val="006F7824"/>
    <w:rsid w:val="0070142B"/>
    <w:rsid w:val="00701C36"/>
    <w:rsid w:val="00701FC7"/>
    <w:rsid w:val="007024E1"/>
    <w:rsid w:val="0070276E"/>
    <w:rsid w:val="00702F8F"/>
    <w:rsid w:val="00703740"/>
    <w:rsid w:val="00703CDA"/>
    <w:rsid w:val="0070475F"/>
    <w:rsid w:val="00704B59"/>
    <w:rsid w:val="00706F6F"/>
    <w:rsid w:val="00707611"/>
    <w:rsid w:val="007079FC"/>
    <w:rsid w:val="0071064A"/>
    <w:rsid w:val="0071134B"/>
    <w:rsid w:val="007113B1"/>
    <w:rsid w:val="00711937"/>
    <w:rsid w:val="00711A36"/>
    <w:rsid w:val="00711E02"/>
    <w:rsid w:val="007122C8"/>
    <w:rsid w:val="007125D3"/>
    <w:rsid w:val="007136D3"/>
    <w:rsid w:val="00714AB5"/>
    <w:rsid w:val="00714C26"/>
    <w:rsid w:val="0071529C"/>
    <w:rsid w:val="00715D60"/>
    <w:rsid w:val="007170A4"/>
    <w:rsid w:val="007170DA"/>
    <w:rsid w:val="007172AD"/>
    <w:rsid w:val="0071741F"/>
    <w:rsid w:val="00717546"/>
    <w:rsid w:val="0072041E"/>
    <w:rsid w:val="00720801"/>
    <w:rsid w:val="00720BDD"/>
    <w:rsid w:val="00721233"/>
    <w:rsid w:val="00721E10"/>
    <w:rsid w:val="00721EA3"/>
    <w:rsid w:val="007229CB"/>
    <w:rsid w:val="007229D3"/>
    <w:rsid w:val="00722B1B"/>
    <w:rsid w:val="00723770"/>
    <w:rsid w:val="00723BF0"/>
    <w:rsid w:val="00723BF6"/>
    <w:rsid w:val="00723E18"/>
    <w:rsid w:val="007240DA"/>
    <w:rsid w:val="0072416F"/>
    <w:rsid w:val="00724A90"/>
    <w:rsid w:val="00725495"/>
    <w:rsid w:val="00725948"/>
    <w:rsid w:val="0072615A"/>
    <w:rsid w:val="0072670B"/>
    <w:rsid w:val="00726E4D"/>
    <w:rsid w:val="00727119"/>
    <w:rsid w:val="007272D3"/>
    <w:rsid w:val="00727427"/>
    <w:rsid w:val="00727892"/>
    <w:rsid w:val="00727C94"/>
    <w:rsid w:val="00727E17"/>
    <w:rsid w:val="00730820"/>
    <w:rsid w:val="0073102B"/>
    <w:rsid w:val="007310BD"/>
    <w:rsid w:val="007314B5"/>
    <w:rsid w:val="00731720"/>
    <w:rsid w:val="007319D5"/>
    <w:rsid w:val="00731B0A"/>
    <w:rsid w:val="00731EAE"/>
    <w:rsid w:val="007320E1"/>
    <w:rsid w:val="00733073"/>
    <w:rsid w:val="007332AD"/>
    <w:rsid w:val="007332CB"/>
    <w:rsid w:val="00733D92"/>
    <w:rsid w:val="00733E83"/>
    <w:rsid w:val="007349AA"/>
    <w:rsid w:val="00734E18"/>
    <w:rsid w:val="00735033"/>
    <w:rsid w:val="00735328"/>
    <w:rsid w:val="00735731"/>
    <w:rsid w:val="00736211"/>
    <w:rsid w:val="00736449"/>
    <w:rsid w:val="00736711"/>
    <w:rsid w:val="0073685B"/>
    <w:rsid w:val="00740064"/>
    <w:rsid w:val="00740A9F"/>
    <w:rsid w:val="0074169C"/>
    <w:rsid w:val="00741C50"/>
    <w:rsid w:val="00742A3A"/>
    <w:rsid w:val="007434A6"/>
    <w:rsid w:val="00743C4C"/>
    <w:rsid w:val="007449BF"/>
    <w:rsid w:val="00744FDE"/>
    <w:rsid w:val="007451EC"/>
    <w:rsid w:val="007463FE"/>
    <w:rsid w:val="007468F1"/>
    <w:rsid w:val="00746BC0"/>
    <w:rsid w:val="00747209"/>
    <w:rsid w:val="007476F3"/>
    <w:rsid w:val="00750D2C"/>
    <w:rsid w:val="007510B4"/>
    <w:rsid w:val="00751490"/>
    <w:rsid w:val="007517D9"/>
    <w:rsid w:val="00751CB7"/>
    <w:rsid w:val="00751DE0"/>
    <w:rsid w:val="007520CC"/>
    <w:rsid w:val="00752142"/>
    <w:rsid w:val="00752150"/>
    <w:rsid w:val="00752353"/>
    <w:rsid w:val="007523F9"/>
    <w:rsid w:val="00752736"/>
    <w:rsid w:val="00752B5C"/>
    <w:rsid w:val="00752E87"/>
    <w:rsid w:val="007531AB"/>
    <w:rsid w:val="0075357E"/>
    <w:rsid w:val="00753B29"/>
    <w:rsid w:val="00754527"/>
    <w:rsid w:val="007548A7"/>
    <w:rsid w:val="00755546"/>
    <w:rsid w:val="00756282"/>
    <w:rsid w:val="0075686F"/>
    <w:rsid w:val="007573E8"/>
    <w:rsid w:val="00757AD9"/>
    <w:rsid w:val="00760600"/>
    <w:rsid w:val="0076070F"/>
    <w:rsid w:val="00760AAE"/>
    <w:rsid w:val="00760C4E"/>
    <w:rsid w:val="00760F9E"/>
    <w:rsid w:val="007616E6"/>
    <w:rsid w:val="00761AB1"/>
    <w:rsid w:val="0076237C"/>
    <w:rsid w:val="00762504"/>
    <w:rsid w:val="007627BE"/>
    <w:rsid w:val="00762B6A"/>
    <w:rsid w:val="00763DA0"/>
    <w:rsid w:val="00764025"/>
    <w:rsid w:val="00764F03"/>
    <w:rsid w:val="0076533B"/>
    <w:rsid w:val="00765B1A"/>
    <w:rsid w:val="00765DC1"/>
    <w:rsid w:val="00765F50"/>
    <w:rsid w:val="00766C76"/>
    <w:rsid w:val="00770149"/>
    <w:rsid w:val="00770501"/>
    <w:rsid w:val="007707FC"/>
    <w:rsid w:val="00772E4F"/>
    <w:rsid w:val="00773214"/>
    <w:rsid w:val="00773D4C"/>
    <w:rsid w:val="007744C0"/>
    <w:rsid w:val="007745D7"/>
    <w:rsid w:val="007753FD"/>
    <w:rsid w:val="00775AF7"/>
    <w:rsid w:val="00776B0E"/>
    <w:rsid w:val="00777335"/>
    <w:rsid w:val="007800A9"/>
    <w:rsid w:val="007803A3"/>
    <w:rsid w:val="007804E1"/>
    <w:rsid w:val="00780834"/>
    <w:rsid w:val="00780896"/>
    <w:rsid w:val="00781119"/>
    <w:rsid w:val="007816A7"/>
    <w:rsid w:val="007829F4"/>
    <w:rsid w:val="00783081"/>
    <w:rsid w:val="007843C5"/>
    <w:rsid w:val="007843F2"/>
    <w:rsid w:val="007846FA"/>
    <w:rsid w:val="007848C1"/>
    <w:rsid w:val="00785A9F"/>
    <w:rsid w:val="00786344"/>
    <w:rsid w:val="00786A51"/>
    <w:rsid w:val="00787B87"/>
    <w:rsid w:val="00787EA5"/>
    <w:rsid w:val="007917A8"/>
    <w:rsid w:val="007925DF"/>
    <w:rsid w:val="00792EB6"/>
    <w:rsid w:val="0079377F"/>
    <w:rsid w:val="00793897"/>
    <w:rsid w:val="00793C24"/>
    <w:rsid w:val="00794188"/>
    <w:rsid w:val="007946B5"/>
    <w:rsid w:val="00794A62"/>
    <w:rsid w:val="00794AFF"/>
    <w:rsid w:val="00794D6B"/>
    <w:rsid w:val="00794D77"/>
    <w:rsid w:val="00794FAF"/>
    <w:rsid w:val="00795387"/>
    <w:rsid w:val="00795659"/>
    <w:rsid w:val="00795F44"/>
    <w:rsid w:val="0079607F"/>
    <w:rsid w:val="00796F89"/>
    <w:rsid w:val="00797428"/>
    <w:rsid w:val="007A08AA"/>
    <w:rsid w:val="007A0A12"/>
    <w:rsid w:val="007A132D"/>
    <w:rsid w:val="007A1345"/>
    <w:rsid w:val="007A1F86"/>
    <w:rsid w:val="007A27EA"/>
    <w:rsid w:val="007A2857"/>
    <w:rsid w:val="007A2DDB"/>
    <w:rsid w:val="007A3501"/>
    <w:rsid w:val="007A3FD7"/>
    <w:rsid w:val="007A480F"/>
    <w:rsid w:val="007A4929"/>
    <w:rsid w:val="007A599F"/>
    <w:rsid w:val="007A600D"/>
    <w:rsid w:val="007A6947"/>
    <w:rsid w:val="007A6C5B"/>
    <w:rsid w:val="007A70BA"/>
    <w:rsid w:val="007A7416"/>
    <w:rsid w:val="007B0D68"/>
    <w:rsid w:val="007B0F62"/>
    <w:rsid w:val="007B0F75"/>
    <w:rsid w:val="007B11C2"/>
    <w:rsid w:val="007B251D"/>
    <w:rsid w:val="007B29C6"/>
    <w:rsid w:val="007B3533"/>
    <w:rsid w:val="007B3E72"/>
    <w:rsid w:val="007B3E7B"/>
    <w:rsid w:val="007B4C1F"/>
    <w:rsid w:val="007B4F58"/>
    <w:rsid w:val="007B509C"/>
    <w:rsid w:val="007B528D"/>
    <w:rsid w:val="007B63CA"/>
    <w:rsid w:val="007B6E9D"/>
    <w:rsid w:val="007B70B8"/>
    <w:rsid w:val="007B70C9"/>
    <w:rsid w:val="007B77D1"/>
    <w:rsid w:val="007C0140"/>
    <w:rsid w:val="007C0263"/>
    <w:rsid w:val="007C02A3"/>
    <w:rsid w:val="007C07C7"/>
    <w:rsid w:val="007C0D4C"/>
    <w:rsid w:val="007C0D51"/>
    <w:rsid w:val="007C129A"/>
    <w:rsid w:val="007C149D"/>
    <w:rsid w:val="007C15DF"/>
    <w:rsid w:val="007C1CD9"/>
    <w:rsid w:val="007C1F43"/>
    <w:rsid w:val="007C270F"/>
    <w:rsid w:val="007C274B"/>
    <w:rsid w:val="007C2C4A"/>
    <w:rsid w:val="007C32EF"/>
    <w:rsid w:val="007C33BC"/>
    <w:rsid w:val="007C361D"/>
    <w:rsid w:val="007C3BCF"/>
    <w:rsid w:val="007C429E"/>
    <w:rsid w:val="007C44B0"/>
    <w:rsid w:val="007C470B"/>
    <w:rsid w:val="007C4B84"/>
    <w:rsid w:val="007C50DB"/>
    <w:rsid w:val="007C5E0F"/>
    <w:rsid w:val="007C69DE"/>
    <w:rsid w:val="007C70FF"/>
    <w:rsid w:val="007C77A1"/>
    <w:rsid w:val="007C786E"/>
    <w:rsid w:val="007C7C25"/>
    <w:rsid w:val="007D004F"/>
    <w:rsid w:val="007D035F"/>
    <w:rsid w:val="007D06B2"/>
    <w:rsid w:val="007D0B38"/>
    <w:rsid w:val="007D0CEE"/>
    <w:rsid w:val="007D18B9"/>
    <w:rsid w:val="007D1A68"/>
    <w:rsid w:val="007D1C42"/>
    <w:rsid w:val="007D1C81"/>
    <w:rsid w:val="007D1D52"/>
    <w:rsid w:val="007D2891"/>
    <w:rsid w:val="007D5440"/>
    <w:rsid w:val="007D5B93"/>
    <w:rsid w:val="007D5C75"/>
    <w:rsid w:val="007D658E"/>
    <w:rsid w:val="007D69EB"/>
    <w:rsid w:val="007D728E"/>
    <w:rsid w:val="007E128F"/>
    <w:rsid w:val="007E12D5"/>
    <w:rsid w:val="007E209B"/>
    <w:rsid w:val="007E271E"/>
    <w:rsid w:val="007E33DB"/>
    <w:rsid w:val="007E35F7"/>
    <w:rsid w:val="007E3BB0"/>
    <w:rsid w:val="007E3BF3"/>
    <w:rsid w:val="007E50E5"/>
    <w:rsid w:val="007E566A"/>
    <w:rsid w:val="007E5953"/>
    <w:rsid w:val="007E7432"/>
    <w:rsid w:val="007E7AE2"/>
    <w:rsid w:val="007E7E3E"/>
    <w:rsid w:val="007F040B"/>
    <w:rsid w:val="007F1017"/>
    <w:rsid w:val="007F15A9"/>
    <w:rsid w:val="007F20DF"/>
    <w:rsid w:val="007F29A6"/>
    <w:rsid w:val="007F2D6E"/>
    <w:rsid w:val="007F3A73"/>
    <w:rsid w:val="007F4221"/>
    <w:rsid w:val="007F441B"/>
    <w:rsid w:val="007F4A3F"/>
    <w:rsid w:val="007F4A61"/>
    <w:rsid w:val="007F4AB9"/>
    <w:rsid w:val="007F4D44"/>
    <w:rsid w:val="007F5255"/>
    <w:rsid w:val="007F56CC"/>
    <w:rsid w:val="007F5798"/>
    <w:rsid w:val="007F61C2"/>
    <w:rsid w:val="007F781A"/>
    <w:rsid w:val="00800C55"/>
    <w:rsid w:val="00800FA0"/>
    <w:rsid w:val="00801216"/>
    <w:rsid w:val="00801BED"/>
    <w:rsid w:val="00802073"/>
    <w:rsid w:val="008022E9"/>
    <w:rsid w:val="00802468"/>
    <w:rsid w:val="00803831"/>
    <w:rsid w:val="00804176"/>
    <w:rsid w:val="00804A75"/>
    <w:rsid w:val="00805142"/>
    <w:rsid w:val="00805FAD"/>
    <w:rsid w:val="00805FCE"/>
    <w:rsid w:val="00806E33"/>
    <w:rsid w:val="00807168"/>
    <w:rsid w:val="00807545"/>
    <w:rsid w:val="008079B6"/>
    <w:rsid w:val="00807A8B"/>
    <w:rsid w:val="00807C15"/>
    <w:rsid w:val="00807E67"/>
    <w:rsid w:val="008104D8"/>
    <w:rsid w:val="00810A82"/>
    <w:rsid w:val="00811383"/>
    <w:rsid w:val="00812149"/>
    <w:rsid w:val="00812478"/>
    <w:rsid w:val="00812AF6"/>
    <w:rsid w:val="00812CAC"/>
    <w:rsid w:val="0081438A"/>
    <w:rsid w:val="008147BC"/>
    <w:rsid w:val="00815EDC"/>
    <w:rsid w:val="00816085"/>
    <w:rsid w:val="00816361"/>
    <w:rsid w:val="00816664"/>
    <w:rsid w:val="008166EF"/>
    <w:rsid w:val="008168B7"/>
    <w:rsid w:val="00816D41"/>
    <w:rsid w:val="00816E2E"/>
    <w:rsid w:val="00816FEF"/>
    <w:rsid w:val="00817722"/>
    <w:rsid w:val="0082017E"/>
    <w:rsid w:val="00820A8C"/>
    <w:rsid w:val="00820B2D"/>
    <w:rsid w:val="008212BC"/>
    <w:rsid w:val="008215FB"/>
    <w:rsid w:val="0082181B"/>
    <w:rsid w:val="00821F89"/>
    <w:rsid w:val="008220CC"/>
    <w:rsid w:val="0082213F"/>
    <w:rsid w:val="0082225E"/>
    <w:rsid w:val="00823174"/>
    <w:rsid w:val="00823221"/>
    <w:rsid w:val="00823BF0"/>
    <w:rsid w:val="008242C3"/>
    <w:rsid w:val="00824A41"/>
    <w:rsid w:val="00824AE6"/>
    <w:rsid w:val="00825751"/>
    <w:rsid w:val="00825A20"/>
    <w:rsid w:val="008264EB"/>
    <w:rsid w:val="008268CE"/>
    <w:rsid w:val="00826A05"/>
    <w:rsid w:val="00827067"/>
    <w:rsid w:val="00827826"/>
    <w:rsid w:val="00827C23"/>
    <w:rsid w:val="0083074B"/>
    <w:rsid w:val="008317DA"/>
    <w:rsid w:val="00831E11"/>
    <w:rsid w:val="00832C33"/>
    <w:rsid w:val="00832D7F"/>
    <w:rsid w:val="00833245"/>
    <w:rsid w:val="0083327F"/>
    <w:rsid w:val="00833652"/>
    <w:rsid w:val="008339B4"/>
    <w:rsid w:val="00833B05"/>
    <w:rsid w:val="00833D06"/>
    <w:rsid w:val="008346D9"/>
    <w:rsid w:val="008349ED"/>
    <w:rsid w:val="00835B33"/>
    <w:rsid w:val="008362B4"/>
    <w:rsid w:val="00836F82"/>
    <w:rsid w:val="008406FD"/>
    <w:rsid w:val="008407E3"/>
    <w:rsid w:val="00840CA2"/>
    <w:rsid w:val="00840E05"/>
    <w:rsid w:val="00841346"/>
    <w:rsid w:val="00842AB6"/>
    <w:rsid w:val="0084374F"/>
    <w:rsid w:val="00843DF8"/>
    <w:rsid w:val="00844A22"/>
    <w:rsid w:val="008473DC"/>
    <w:rsid w:val="008473DE"/>
    <w:rsid w:val="008476E8"/>
    <w:rsid w:val="00847703"/>
    <w:rsid w:val="00847DF5"/>
    <w:rsid w:val="0085047D"/>
    <w:rsid w:val="00851448"/>
    <w:rsid w:val="00851D9A"/>
    <w:rsid w:val="00852876"/>
    <w:rsid w:val="00852E37"/>
    <w:rsid w:val="0085309D"/>
    <w:rsid w:val="00853AD9"/>
    <w:rsid w:val="00853AEB"/>
    <w:rsid w:val="00854876"/>
    <w:rsid w:val="00856897"/>
    <w:rsid w:val="00856E9A"/>
    <w:rsid w:val="00857229"/>
    <w:rsid w:val="00860739"/>
    <w:rsid w:val="0086075D"/>
    <w:rsid w:val="008613EA"/>
    <w:rsid w:val="00862502"/>
    <w:rsid w:val="0086263F"/>
    <w:rsid w:val="008626DF"/>
    <w:rsid w:val="00862998"/>
    <w:rsid w:val="00862CC1"/>
    <w:rsid w:val="00863171"/>
    <w:rsid w:val="0086323A"/>
    <w:rsid w:val="008642A7"/>
    <w:rsid w:val="008655E0"/>
    <w:rsid w:val="00865CB0"/>
    <w:rsid w:val="008660D4"/>
    <w:rsid w:val="00866102"/>
    <w:rsid w:val="00866381"/>
    <w:rsid w:val="00866982"/>
    <w:rsid w:val="00867CF8"/>
    <w:rsid w:val="00867F2C"/>
    <w:rsid w:val="008700A4"/>
    <w:rsid w:val="00870A23"/>
    <w:rsid w:val="00870B2C"/>
    <w:rsid w:val="00871428"/>
    <w:rsid w:val="00871FA9"/>
    <w:rsid w:val="008723B5"/>
    <w:rsid w:val="0087247E"/>
    <w:rsid w:val="008728E9"/>
    <w:rsid w:val="0087345A"/>
    <w:rsid w:val="008739D1"/>
    <w:rsid w:val="00874951"/>
    <w:rsid w:val="00875146"/>
    <w:rsid w:val="008751B2"/>
    <w:rsid w:val="00875916"/>
    <w:rsid w:val="00876149"/>
    <w:rsid w:val="00876873"/>
    <w:rsid w:val="0087692C"/>
    <w:rsid w:val="00877E7C"/>
    <w:rsid w:val="008803DA"/>
    <w:rsid w:val="00881A3C"/>
    <w:rsid w:val="00881E1D"/>
    <w:rsid w:val="008826F5"/>
    <w:rsid w:val="0088272A"/>
    <w:rsid w:val="00882874"/>
    <w:rsid w:val="00882E3C"/>
    <w:rsid w:val="0088308A"/>
    <w:rsid w:val="00883787"/>
    <w:rsid w:val="00883933"/>
    <w:rsid w:val="00883AF2"/>
    <w:rsid w:val="00884DD6"/>
    <w:rsid w:val="00885499"/>
    <w:rsid w:val="008855E4"/>
    <w:rsid w:val="008867A0"/>
    <w:rsid w:val="00886CD2"/>
    <w:rsid w:val="00887292"/>
    <w:rsid w:val="00887733"/>
    <w:rsid w:val="008908FD"/>
    <w:rsid w:val="00891E6F"/>
    <w:rsid w:val="00892749"/>
    <w:rsid w:val="0089275D"/>
    <w:rsid w:val="00892A36"/>
    <w:rsid w:val="00892FAC"/>
    <w:rsid w:val="00893239"/>
    <w:rsid w:val="00893CB6"/>
    <w:rsid w:val="00894489"/>
    <w:rsid w:val="00894CD6"/>
    <w:rsid w:val="00894E87"/>
    <w:rsid w:val="0089544F"/>
    <w:rsid w:val="00895AAA"/>
    <w:rsid w:val="00895E57"/>
    <w:rsid w:val="00896216"/>
    <w:rsid w:val="008963A5"/>
    <w:rsid w:val="00896A78"/>
    <w:rsid w:val="00896D5D"/>
    <w:rsid w:val="00897954"/>
    <w:rsid w:val="00897B93"/>
    <w:rsid w:val="00897D95"/>
    <w:rsid w:val="008A00C9"/>
    <w:rsid w:val="008A0754"/>
    <w:rsid w:val="008A0EFB"/>
    <w:rsid w:val="008A146A"/>
    <w:rsid w:val="008A2234"/>
    <w:rsid w:val="008A2689"/>
    <w:rsid w:val="008A2B43"/>
    <w:rsid w:val="008A3158"/>
    <w:rsid w:val="008A3363"/>
    <w:rsid w:val="008A3371"/>
    <w:rsid w:val="008A38EB"/>
    <w:rsid w:val="008A3A83"/>
    <w:rsid w:val="008A3C3E"/>
    <w:rsid w:val="008A3E9B"/>
    <w:rsid w:val="008A4C47"/>
    <w:rsid w:val="008A4DC6"/>
    <w:rsid w:val="008A5D59"/>
    <w:rsid w:val="008A608E"/>
    <w:rsid w:val="008A6D42"/>
    <w:rsid w:val="008A79DE"/>
    <w:rsid w:val="008B06FB"/>
    <w:rsid w:val="008B0A0A"/>
    <w:rsid w:val="008B0EF1"/>
    <w:rsid w:val="008B1757"/>
    <w:rsid w:val="008B19FC"/>
    <w:rsid w:val="008B1C33"/>
    <w:rsid w:val="008B2D58"/>
    <w:rsid w:val="008B3040"/>
    <w:rsid w:val="008B32E2"/>
    <w:rsid w:val="008B343D"/>
    <w:rsid w:val="008B437D"/>
    <w:rsid w:val="008B4B6F"/>
    <w:rsid w:val="008B5AD6"/>
    <w:rsid w:val="008B66E5"/>
    <w:rsid w:val="008B6D17"/>
    <w:rsid w:val="008B7992"/>
    <w:rsid w:val="008B7D07"/>
    <w:rsid w:val="008B7D7E"/>
    <w:rsid w:val="008C01D4"/>
    <w:rsid w:val="008C07C4"/>
    <w:rsid w:val="008C0C8E"/>
    <w:rsid w:val="008C10B1"/>
    <w:rsid w:val="008C1532"/>
    <w:rsid w:val="008C217D"/>
    <w:rsid w:val="008C2879"/>
    <w:rsid w:val="008C3D2F"/>
    <w:rsid w:val="008C4182"/>
    <w:rsid w:val="008C4EFD"/>
    <w:rsid w:val="008C5610"/>
    <w:rsid w:val="008C5739"/>
    <w:rsid w:val="008C5ABD"/>
    <w:rsid w:val="008C62C1"/>
    <w:rsid w:val="008C70C9"/>
    <w:rsid w:val="008C7282"/>
    <w:rsid w:val="008C767F"/>
    <w:rsid w:val="008C777A"/>
    <w:rsid w:val="008C7787"/>
    <w:rsid w:val="008C7ECB"/>
    <w:rsid w:val="008D00AE"/>
    <w:rsid w:val="008D0173"/>
    <w:rsid w:val="008D048B"/>
    <w:rsid w:val="008D0B05"/>
    <w:rsid w:val="008D0DAD"/>
    <w:rsid w:val="008D110F"/>
    <w:rsid w:val="008D194D"/>
    <w:rsid w:val="008D1A30"/>
    <w:rsid w:val="008D2514"/>
    <w:rsid w:val="008D2D4D"/>
    <w:rsid w:val="008D3B86"/>
    <w:rsid w:val="008D3BFE"/>
    <w:rsid w:val="008D43FD"/>
    <w:rsid w:val="008D4506"/>
    <w:rsid w:val="008D4755"/>
    <w:rsid w:val="008D4C3D"/>
    <w:rsid w:val="008D547B"/>
    <w:rsid w:val="008D5E9D"/>
    <w:rsid w:val="008D60D2"/>
    <w:rsid w:val="008D734C"/>
    <w:rsid w:val="008D743C"/>
    <w:rsid w:val="008D7DAC"/>
    <w:rsid w:val="008E0AA4"/>
    <w:rsid w:val="008E0D3C"/>
    <w:rsid w:val="008E0FF6"/>
    <w:rsid w:val="008E10CA"/>
    <w:rsid w:val="008E13E5"/>
    <w:rsid w:val="008E13FF"/>
    <w:rsid w:val="008E1B9E"/>
    <w:rsid w:val="008E1D6D"/>
    <w:rsid w:val="008E1EDB"/>
    <w:rsid w:val="008E1FA3"/>
    <w:rsid w:val="008E3DDD"/>
    <w:rsid w:val="008E4AF3"/>
    <w:rsid w:val="008E4B22"/>
    <w:rsid w:val="008E55AB"/>
    <w:rsid w:val="008E7898"/>
    <w:rsid w:val="008E7909"/>
    <w:rsid w:val="008F0405"/>
    <w:rsid w:val="008F081D"/>
    <w:rsid w:val="008F0B87"/>
    <w:rsid w:val="008F120A"/>
    <w:rsid w:val="008F22F6"/>
    <w:rsid w:val="008F2396"/>
    <w:rsid w:val="008F27E0"/>
    <w:rsid w:val="008F2B8B"/>
    <w:rsid w:val="008F351C"/>
    <w:rsid w:val="008F4702"/>
    <w:rsid w:val="008F48EB"/>
    <w:rsid w:val="008F4F07"/>
    <w:rsid w:val="008F4F0B"/>
    <w:rsid w:val="008F4FC4"/>
    <w:rsid w:val="008F75A1"/>
    <w:rsid w:val="009007B1"/>
    <w:rsid w:val="00900E5E"/>
    <w:rsid w:val="009035C6"/>
    <w:rsid w:val="00903DF2"/>
    <w:rsid w:val="009042C9"/>
    <w:rsid w:val="009046C4"/>
    <w:rsid w:val="00904FD6"/>
    <w:rsid w:val="009050AF"/>
    <w:rsid w:val="00905581"/>
    <w:rsid w:val="009057CC"/>
    <w:rsid w:val="009062A5"/>
    <w:rsid w:val="0090671E"/>
    <w:rsid w:val="00907699"/>
    <w:rsid w:val="00910CFD"/>
    <w:rsid w:val="00910FA7"/>
    <w:rsid w:val="00911272"/>
    <w:rsid w:val="00911339"/>
    <w:rsid w:val="00912017"/>
    <w:rsid w:val="00912052"/>
    <w:rsid w:val="0091239E"/>
    <w:rsid w:val="00912BDC"/>
    <w:rsid w:val="0091312C"/>
    <w:rsid w:val="009135D6"/>
    <w:rsid w:val="00913D82"/>
    <w:rsid w:val="00914C77"/>
    <w:rsid w:val="00915CD3"/>
    <w:rsid w:val="0091634E"/>
    <w:rsid w:val="009165B4"/>
    <w:rsid w:val="00916A55"/>
    <w:rsid w:val="009171FB"/>
    <w:rsid w:val="00917490"/>
    <w:rsid w:val="00917659"/>
    <w:rsid w:val="00917BBB"/>
    <w:rsid w:val="00917BF7"/>
    <w:rsid w:val="00920AD4"/>
    <w:rsid w:val="00920E68"/>
    <w:rsid w:val="009212F2"/>
    <w:rsid w:val="00921336"/>
    <w:rsid w:val="00921526"/>
    <w:rsid w:val="0092199F"/>
    <w:rsid w:val="00921ACB"/>
    <w:rsid w:val="00921CED"/>
    <w:rsid w:val="00922C03"/>
    <w:rsid w:val="00922C18"/>
    <w:rsid w:val="009234A3"/>
    <w:rsid w:val="009234BF"/>
    <w:rsid w:val="0092369B"/>
    <w:rsid w:val="00923835"/>
    <w:rsid w:val="00923A94"/>
    <w:rsid w:val="00924A1E"/>
    <w:rsid w:val="00925404"/>
    <w:rsid w:val="009262A4"/>
    <w:rsid w:val="00926E59"/>
    <w:rsid w:val="00927F78"/>
    <w:rsid w:val="00930261"/>
    <w:rsid w:val="00931213"/>
    <w:rsid w:val="00931866"/>
    <w:rsid w:val="00931C2F"/>
    <w:rsid w:val="00933397"/>
    <w:rsid w:val="0093367D"/>
    <w:rsid w:val="009337AD"/>
    <w:rsid w:val="00933852"/>
    <w:rsid w:val="009338B0"/>
    <w:rsid w:val="00933990"/>
    <w:rsid w:val="00934988"/>
    <w:rsid w:val="00935A52"/>
    <w:rsid w:val="00935B83"/>
    <w:rsid w:val="00936DF5"/>
    <w:rsid w:val="00937089"/>
    <w:rsid w:val="00937808"/>
    <w:rsid w:val="00940D8F"/>
    <w:rsid w:val="0094185D"/>
    <w:rsid w:val="00941F0C"/>
    <w:rsid w:val="009420EB"/>
    <w:rsid w:val="00942199"/>
    <w:rsid w:val="00943288"/>
    <w:rsid w:val="00944A11"/>
    <w:rsid w:val="00944A3F"/>
    <w:rsid w:val="00944C70"/>
    <w:rsid w:val="00944F8A"/>
    <w:rsid w:val="00945957"/>
    <w:rsid w:val="00945B46"/>
    <w:rsid w:val="00945EA8"/>
    <w:rsid w:val="0094678E"/>
    <w:rsid w:val="00947C37"/>
    <w:rsid w:val="009505BC"/>
    <w:rsid w:val="009510A2"/>
    <w:rsid w:val="0095189C"/>
    <w:rsid w:val="00951F0A"/>
    <w:rsid w:val="00952978"/>
    <w:rsid w:val="009529E1"/>
    <w:rsid w:val="009530CB"/>
    <w:rsid w:val="00953257"/>
    <w:rsid w:val="00953430"/>
    <w:rsid w:val="0095356B"/>
    <w:rsid w:val="00953DF1"/>
    <w:rsid w:val="00953EE9"/>
    <w:rsid w:val="009542BA"/>
    <w:rsid w:val="0095474C"/>
    <w:rsid w:val="009549FE"/>
    <w:rsid w:val="009555EA"/>
    <w:rsid w:val="009556F1"/>
    <w:rsid w:val="00955735"/>
    <w:rsid w:val="0095703F"/>
    <w:rsid w:val="00957979"/>
    <w:rsid w:val="00957D92"/>
    <w:rsid w:val="00957EE7"/>
    <w:rsid w:val="009602BF"/>
    <w:rsid w:val="0096073B"/>
    <w:rsid w:val="009612B3"/>
    <w:rsid w:val="00961E13"/>
    <w:rsid w:val="00962439"/>
    <w:rsid w:val="009625EF"/>
    <w:rsid w:val="00962684"/>
    <w:rsid w:val="00962763"/>
    <w:rsid w:val="00962789"/>
    <w:rsid w:val="00962CB9"/>
    <w:rsid w:val="00964312"/>
    <w:rsid w:val="0096447F"/>
    <w:rsid w:val="00964D57"/>
    <w:rsid w:val="009657EC"/>
    <w:rsid w:val="0096594B"/>
    <w:rsid w:val="0096599A"/>
    <w:rsid w:val="00965B8A"/>
    <w:rsid w:val="00965DD4"/>
    <w:rsid w:val="00966F1D"/>
    <w:rsid w:val="00967389"/>
    <w:rsid w:val="0097035C"/>
    <w:rsid w:val="0097071F"/>
    <w:rsid w:val="0097076D"/>
    <w:rsid w:val="009717AC"/>
    <w:rsid w:val="00971869"/>
    <w:rsid w:val="00971BD9"/>
    <w:rsid w:val="00971C2B"/>
    <w:rsid w:val="00972A03"/>
    <w:rsid w:val="0097337D"/>
    <w:rsid w:val="00973616"/>
    <w:rsid w:val="00973F1F"/>
    <w:rsid w:val="009744C9"/>
    <w:rsid w:val="009751C1"/>
    <w:rsid w:val="00975A87"/>
    <w:rsid w:val="00975BAF"/>
    <w:rsid w:val="009762EB"/>
    <w:rsid w:val="00976595"/>
    <w:rsid w:val="00976E5B"/>
    <w:rsid w:val="00977963"/>
    <w:rsid w:val="0098095B"/>
    <w:rsid w:val="009811F1"/>
    <w:rsid w:val="0098184F"/>
    <w:rsid w:val="0098249D"/>
    <w:rsid w:val="00982B67"/>
    <w:rsid w:val="00982C2D"/>
    <w:rsid w:val="00982F67"/>
    <w:rsid w:val="00983518"/>
    <w:rsid w:val="00983E57"/>
    <w:rsid w:val="00984E0D"/>
    <w:rsid w:val="00985861"/>
    <w:rsid w:val="00985BF7"/>
    <w:rsid w:val="00985DE2"/>
    <w:rsid w:val="0098675D"/>
    <w:rsid w:val="009870E2"/>
    <w:rsid w:val="00987124"/>
    <w:rsid w:val="009874D2"/>
    <w:rsid w:val="009875A6"/>
    <w:rsid w:val="00987BA4"/>
    <w:rsid w:val="00987ED8"/>
    <w:rsid w:val="00987F00"/>
    <w:rsid w:val="00990E4F"/>
    <w:rsid w:val="00990FA4"/>
    <w:rsid w:val="0099191F"/>
    <w:rsid w:val="00991947"/>
    <w:rsid w:val="009924FE"/>
    <w:rsid w:val="009926E0"/>
    <w:rsid w:val="00993A03"/>
    <w:rsid w:val="0099419B"/>
    <w:rsid w:val="00994361"/>
    <w:rsid w:val="009943BA"/>
    <w:rsid w:val="0099451E"/>
    <w:rsid w:val="009945B7"/>
    <w:rsid w:val="00994F38"/>
    <w:rsid w:val="0099527F"/>
    <w:rsid w:val="009964B2"/>
    <w:rsid w:val="00996B1A"/>
    <w:rsid w:val="009A0CF0"/>
    <w:rsid w:val="009A110B"/>
    <w:rsid w:val="009A114F"/>
    <w:rsid w:val="009A18F6"/>
    <w:rsid w:val="009A1F25"/>
    <w:rsid w:val="009A2DCC"/>
    <w:rsid w:val="009A30A9"/>
    <w:rsid w:val="009A4772"/>
    <w:rsid w:val="009A48B3"/>
    <w:rsid w:val="009A4920"/>
    <w:rsid w:val="009A4B5D"/>
    <w:rsid w:val="009A5ABC"/>
    <w:rsid w:val="009A684C"/>
    <w:rsid w:val="009A73C6"/>
    <w:rsid w:val="009A7F10"/>
    <w:rsid w:val="009B05C8"/>
    <w:rsid w:val="009B0750"/>
    <w:rsid w:val="009B0EA8"/>
    <w:rsid w:val="009B18AD"/>
    <w:rsid w:val="009B19DB"/>
    <w:rsid w:val="009B2271"/>
    <w:rsid w:val="009B2937"/>
    <w:rsid w:val="009B2C88"/>
    <w:rsid w:val="009B3CC4"/>
    <w:rsid w:val="009B3E26"/>
    <w:rsid w:val="009B41DF"/>
    <w:rsid w:val="009B43C5"/>
    <w:rsid w:val="009B6979"/>
    <w:rsid w:val="009B698D"/>
    <w:rsid w:val="009B6C8B"/>
    <w:rsid w:val="009B7388"/>
    <w:rsid w:val="009B7AF3"/>
    <w:rsid w:val="009B7F4B"/>
    <w:rsid w:val="009C00F8"/>
    <w:rsid w:val="009C0E17"/>
    <w:rsid w:val="009C1271"/>
    <w:rsid w:val="009C1457"/>
    <w:rsid w:val="009C2138"/>
    <w:rsid w:val="009C3185"/>
    <w:rsid w:val="009C33AD"/>
    <w:rsid w:val="009C3706"/>
    <w:rsid w:val="009C3A3A"/>
    <w:rsid w:val="009C3F4D"/>
    <w:rsid w:val="009C40FF"/>
    <w:rsid w:val="009C41F4"/>
    <w:rsid w:val="009C6213"/>
    <w:rsid w:val="009C6CEA"/>
    <w:rsid w:val="009C6F15"/>
    <w:rsid w:val="009C7B85"/>
    <w:rsid w:val="009D01F9"/>
    <w:rsid w:val="009D0254"/>
    <w:rsid w:val="009D0EF8"/>
    <w:rsid w:val="009D1A64"/>
    <w:rsid w:val="009D248A"/>
    <w:rsid w:val="009D32E1"/>
    <w:rsid w:val="009D36E8"/>
    <w:rsid w:val="009D3A59"/>
    <w:rsid w:val="009D3A79"/>
    <w:rsid w:val="009D3F6F"/>
    <w:rsid w:val="009D4A1C"/>
    <w:rsid w:val="009D5135"/>
    <w:rsid w:val="009D5B91"/>
    <w:rsid w:val="009D62E2"/>
    <w:rsid w:val="009D792E"/>
    <w:rsid w:val="009D7C60"/>
    <w:rsid w:val="009E015E"/>
    <w:rsid w:val="009E0D84"/>
    <w:rsid w:val="009E0DFE"/>
    <w:rsid w:val="009E1B81"/>
    <w:rsid w:val="009E1D9D"/>
    <w:rsid w:val="009E3180"/>
    <w:rsid w:val="009E31EA"/>
    <w:rsid w:val="009E31F6"/>
    <w:rsid w:val="009E3261"/>
    <w:rsid w:val="009E3309"/>
    <w:rsid w:val="009E3BB9"/>
    <w:rsid w:val="009E40D6"/>
    <w:rsid w:val="009E4C07"/>
    <w:rsid w:val="009E6786"/>
    <w:rsid w:val="009E6914"/>
    <w:rsid w:val="009E7478"/>
    <w:rsid w:val="009E777F"/>
    <w:rsid w:val="009F009F"/>
    <w:rsid w:val="009F0EAF"/>
    <w:rsid w:val="009F1281"/>
    <w:rsid w:val="009F16FE"/>
    <w:rsid w:val="009F1980"/>
    <w:rsid w:val="009F1F60"/>
    <w:rsid w:val="009F22F8"/>
    <w:rsid w:val="009F28DC"/>
    <w:rsid w:val="009F33B9"/>
    <w:rsid w:val="009F395D"/>
    <w:rsid w:val="009F3993"/>
    <w:rsid w:val="009F3A6E"/>
    <w:rsid w:val="009F3C24"/>
    <w:rsid w:val="009F466D"/>
    <w:rsid w:val="009F497A"/>
    <w:rsid w:val="009F4C48"/>
    <w:rsid w:val="009F54FB"/>
    <w:rsid w:val="009F6120"/>
    <w:rsid w:val="009F6273"/>
    <w:rsid w:val="009F6A33"/>
    <w:rsid w:val="009F6FCA"/>
    <w:rsid w:val="009F70BB"/>
    <w:rsid w:val="009F715D"/>
    <w:rsid w:val="00A00930"/>
    <w:rsid w:val="00A00967"/>
    <w:rsid w:val="00A0098D"/>
    <w:rsid w:val="00A00D76"/>
    <w:rsid w:val="00A00F36"/>
    <w:rsid w:val="00A01184"/>
    <w:rsid w:val="00A01252"/>
    <w:rsid w:val="00A0133C"/>
    <w:rsid w:val="00A01449"/>
    <w:rsid w:val="00A0171C"/>
    <w:rsid w:val="00A01E33"/>
    <w:rsid w:val="00A01F3D"/>
    <w:rsid w:val="00A02E15"/>
    <w:rsid w:val="00A037C2"/>
    <w:rsid w:val="00A03B46"/>
    <w:rsid w:val="00A03C9E"/>
    <w:rsid w:val="00A03D43"/>
    <w:rsid w:val="00A03D8F"/>
    <w:rsid w:val="00A04380"/>
    <w:rsid w:val="00A0469B"/>
    <w:rsid w:val="00A04786"/>
    <w:rsid w:val="00A05472"/>
    <w:rsid w:val="00A057E9"/>
    <w:rsid w:val="00A05C32"/>
    <w:rsid w:val="00A05DAD"/>
    <w:rsid w:val="00A05F63"/>
    <w:rsid w:val="00A05F74"/>
    <w:rsid w:val="00A0615E"/>
    <w:rsid w:val="00A0653F"/>
    <w:rsid w:val="00A06EDF"/>
    <w:rsid w:val="00A0733D"/>
    <w:rsid w:val="00A07CDA"/>
    <w:rsid w:val="00A10AE1"/>
    <w:rsid w:val="00A10DB0"/>
    <w:rsid w:val="00A10EB0"/>
    <w:rsid w:val="00A10F4D"/>
    <w:rsid w:val="00A11481"/>
    <w:rsid w:val="00A11CD0"/>
    <w:rsid w:val="00A11DB2"/>
    <w:rsid w:val="00A11EF7"/>
    <w:rsid w:val="00A13948"/>
    <w:rsid w:val="00A1555B"/>
    <w:rsid w:val="00A155C5"/>
    <w:rsid w:val="00A157DA"/>
    <w:rsid w:val="00A15EB6"/>
    <w:rsid w:val="00A16904"/>
    <w:rsid w:val="00A169A2"/>
    <w:rsid w:val="00A16AD8"/>
    <w:rsid w:val="00A172AE"/>
    <w:rsid w:val="00A172F6"/>
    <w:rsid w:val="00A2021E"/>
    <w:rsid w:val="00A211C3"/>
    <w:rsid w:val="00A21C95"/>
    <w:rsid w:val="00A21CF3"/>
    <w:rsid w:val="00A21D54"/>
    <w:rsid w:val="00A2404E"/>
    <w:rsid w:val="00A24724"/>
    <w:rsid w:val="00A24813"/>
    <w:rsid w:val="00A25635"/>
    <w:rsid w:val="00A27AEC"/>
    <w:rsid w:val="00A27E64"/>
    <w:rsid w:val="00A3006E"/>
    <w:rsid w:val="00A301F1"/>
    <w:rsid w:val="00A306E2"/>
    <w:rsid w:val="00A30887"/>
    <w:rsid w:val="00A30A53"/>
    <w:rsid w:val="00A30F28"/>
    <w:rsid w:val="00A31D60"/>
    <w:rsid w:val="00A31EC0"/>
    <w:rsid w:val="00A320DB"/>
    <w:rsid w:val="00A320FC"/>
    <w:rsid w:val="00A338A5"/>
    <w:rsid w:val="00A33B45"/>
    <w:rsid w:val="00A33CC1"/>
    <w:rsid w:val="00A33F28"/>
    <w:rsid w:val="00A3458A"/>
    <w:rsid w:val="00A346BC"/>
    <w:rsid w:val="00A3474A"/>
    <w:rsid w:val="00A35B35"/>
    <w:rsid w:val="00A35D16"/>
    <w:rsid w:val="00A3621F"/>
    <w:rsid w:val="00A37AFA"/>
    <w:rsid w:val="00A37BCD"/>
    <w:rsid w:val="00A37DD2"/>
    <w:rsid w:val="00A400C5"/>
    <w:rsid w:val="00A403C0"/>
    <w:rsid w:val="00A40B32"/>
    <w:rsid w:val="00A41174"/>
    <w:rsid w:val="00A41689"/>
    <w:rsid w:val="00A42592"/>
    <w:rsid w:val="00A425E9"/>
    <w:rsid w:val="00A42971"/>
    <w:rsid w:val="00A42B37"/>
    <w:rsid w:val="00A42BF2"/>
    <w:rsid w:val="00A437EB"/>
    <w:rsid w:val="00A437F2"/>
    <w:rsid w:val="00A43C59"/>
    <w:rsid w:val="00A44A62"/>
    <w:rsid w:val="00A45341"/>
    <w:rsid w:val="00A4669C"/>
    <w:rsid w:val="00A47C62"/>
    <w:rsid w:val="00A47DE2"/>
    <w:rsid w:val="00A50147"/>
    <w:rsid w:val="00A508AF"/>
    <w:rsid w:val="00A508DC"/>
    <w:rsid w:val="00A50ECD"/>
    <w:rsid w:val="00A5144B"/>
    <w:rsid w:val="00A518F3"/>
    <w:rsid w:val="00A525E7"/>
    <w:rsid w:val="00A52729"/>
    <w:rsid w:val="00A527BC"/>
    <w:rsid w:val="00A53001"/>
    <w:rsid w:val="00A535E0"/>
    <w:rsid w:val="00A53675"/>
    <w:rsid w:val="00A54178"/>
    <w:rsid w:val="00A56163"/>
    <w:rsid w:val="00A562AF"/>
    <w:rsid w:val="00A564D7"/>
    <w:rsid w:val="00A56B6A"/>
    <w:rsid w:val="00A578DC"/>
    <w:rsid w:val="00A60E64"/>
    <w:rsid w:val="00A61881"/>
    <w:rsid w:val="00A61947"/>
    <w:rsid w:val="00A634E8"/>
    <w:rsid w:val="00A639FC"/>
    <w:rsid w:val="00A63AF1"/>
    <w:rsid w:val="00A640E2"/>
    <w:rsid w:val="00A64455"/>
    <w:rsid w:val="00A64D65"/>
    <w:rsid w:val="00A64DBE"/>
    <w:rsid w:val="00A65BC2"/>
    <w:rsid w:val="00A65DDD"/>
    <w:rsid w:val="00A66FBF"/>
    <w:rsid w:val="00A6725B"/>
    <w:rsid w:val="00A6726B"/>
    <w:rsid w:val="00A67863"/>
    <w:rsid w:val="00A70300"/>
    <w:rsid w:val="00A70605"/>
    <w:rsid w:val="00A706BD"/>
    <w:rsid w:val="00A7127A"/>
    <w:rsid w:val="00A71548"/>
    <w:rsid w:val="00A71BC3"/>
    <w:rsid w:val="00A7229F"/>
    <w:rsid w:val="00A72532"/>
    <w:rsid w:val="00A72CF9"/>
    <w:rsid w:val="00A73134"/>
    <w:rsid w:val="00A7365A"/>
    <w:rsid w:val="00A742E6"/>
    <w:rsid w:val="00A74B12"/>
    <w:rsid w:val="00A75DE9"/>
    <w:rsid w:val="00A76001"/>
    <w:rsid w:val="00A777B2"/>
    <w:rsid w:val="00A8016F"/>
    <w:rsid w:val="00A80749"/>
    <w:rsid w:val="00A80B64"/>
    <w:rsid w:val="00A81B1A"/>
    <w:rsid w:val="00A825D4"/>
    <w:rsid w:val="00A828F6"/>
    <w:rsid w:val="00A82B73"/>
    <w:rsid w:val="00A840F2"/>
    <w:rsid w:val="00A84159"/>
    <w:rsid w:val="00A845DF"/>
    <w:rsid w:val="00A84A6A"/>
    <w:rsid w:val="00A84CA9"/>
    <w:rsid w:val="00A84D82"/>
    <w:rsid w:val="00A85FAB"/>
    <w:rsid w:val="00A86394"/>
    <w:rsid w:val="00A863C4"/>
    <w:rsid w:val="00A86644"/>
    <w:rsid w:val="00A867EE"/>
    <w:rsid w:val="00A86E8B"/>
    <w:rsid w:val="00A87164"/>
    <w:rsid w:val="00A871A9"/>
    <w:rsid w:val="00A872A7"/>
    <w:rsid w:val="00A87F43"/>
    <w:rsid w:val="00A902DF"/>
    <w:rsid w:val="00A9138E"/>
    <w:rsid w:val="00A91595"/>
    <w:rsid w:val="00A93072"/>
    <w:rsid w:val="00A931CD"/>
    <w:rsid w:val="00A934C3"/>
    <w:rsid w:val="00A938BD"/>
    <w:rsid w:val="00A93953"/>
    <w:rsid w:val="00A9413D"/>
    <w:rsid w:val="00A9443B"/>
    <w:rsid w:val="00A948FE"/>
    <w:rsid w:val="00A94F98"/>
    <w:rsid w:val="00A959D8"/>
    <w:rsid w:val="00A96265"/>
    <w:rsid w:val="00A9786B"/>
    <w:rsid w:val="00A97C4D"/>
    <w:rsid w:val="00AA0AAC"/>
    <w:rsid w:val="00AA113D"/>
    <w:rsid w:val="00AA1E7D"/>
    <w:rsid w:val="00AA20D0"/>
    <w:rsid w:val="00AA2639"/>
    <w:rsid w:val="00AA346D"/>
    <w:rsid w:val="00AA3CBE"/>
    <w:rsid w:val="00AA4452"/>
    <w:rsid w:val="00AA5072"/>
    <w:rsid w:val="00AA5D54"/>
    <w:rsid w:val="00AA600E"/>
    <w:rsid w:val="00AA6BD5"/>
    <w:rsid w:val="00AA6BD8"/>
    <w:rsid w:val="00AA6C7D"/>
    <w:rsid w:val="00AA74C8"/>
    <w:rsid w:val="00AA7750"/>
    <w:rsid w:val="00AA7B07"/>
    <w:rsid w:val="00AA7FD6"/>
    <w:rsid w:val="00AB00FD"/>
    <w:rsid w:val="00AB0391"/>
    <w:rsid w:val="00AB042A"/>
    <w:rsid w:val="00AB04F3"/>
    <w:rsid w:val="00AB06DB"/>
    <w:rsid w:val="00AB103D"/>
    <w:rsid w:val="00AB11AD"/>
    <w:rsid w:val="00AB14DE"/>
    <w:rsid w:val="00AB191D"/>
    <w:rsid w:val="00AB19EF"/>
    <w:rsid w:val="00AB1F8C"/>
    <w:rsid w:val="00AB2495"/>
    <w:rsid w:val="00AB2764"/>
    <w:rsid w:val="00AB2D34"/>
    <w:rsid w:val="00AB3430"/>
    <w:rsid w:val="00AB37B9"/>
    <w:rsid w:val="00AB4249"/>
    <w:rsid w:val="00AB4AD1"/>
    <w:rsid w:val="00AB5567"/>
    <w:rsid w:val="00AB594D"/>
    <w:rsid w:val="00AB5E07"/>
    <w:rsid w:val="00AB63AF"/>
    <w:rsid w:val="00AB7CFA"/>
    <w:rsid w:val="00AC00FC"/>
    <w:rsid w:val="00AC16DF"/>
    <w:rsid w:val="00AC1B3F"/>
    <w:rsid w:val="00AC1B68"/>
    <w:rsid w:val="00AC1C91"/>
    <w:rsid w:val="00AC203E"/>
    <w:rsid w:val="00AC36A8"/>
    <w:rsid w:val="00AC3FD8"/>
    <w:rsid w:val="00AC54C1"/>
    <w:rsid w:val="00AC5629"/>
    <w:rsid w:val="00AC5B42"/>
    <w:rsid w:val="00AC5B48"/>
    <w:rsid w:val="00AD108E"/>
    <w:rsid w:val="00AD1450"/>
    <w:rsid w:val="00AD15E8"/>
    <w:rsid w:val="00AD173F"/>
    <w:rsid w:val="00AD222E"/>
    <w:rsid w:val="00AD2BA2"/>
    <w:rsid w:val="00AD356D"/>
    <w:rsid w:val="00AD4256"/>
    <w:rsid w:val="00AD46BD"/>
    <w:rsid w:val="00AD5E13"/>
    <w:rsid w:val="00AD6502"/>
    <w:rsid w:val="00AD6F0A"/>
    <w:rsid w:val="00AD7230"/>
    <w:rsid w:val="00AE0695"/>
    <w:rsid w:val="00AE132B"/>
    <w:rsid w:val="00AE1F3C"/>
    <w:rsid w:val="00AE2683"/>
    <w:rsid w:val="00AE2954"/>
    <w:rsid w:val="00AE2D89"/>
    <w:rsid w:val="00AE36D6"/>
    <w:rsid w:val="00AE3E7E"/>
    <w:rsid w:val="00AE444C"/>
    <w:rsid w:val="00AE467F"/>
    <w:rsid w:val="00AE5ABD"/>
    <w:rsid w:val="00AE6086"/>
    <w:rsid w:val="00AE709B"/>
    <w:rsid w:val="00AE79FE"/>
    <w:rsid w:val="00AE7E53"/>
    <w:rsid w:val="00AF021B"/>
    <w:rsid w:val="00AF05C4"/>
    <w:rsid w:val="00AF1315"/>
    <w:rsid w:val="00AF18F7"/>
    <w:rsid w:val="00AF19BF"/>
    <w:rsid w:val="00AF1BBA"/>
    <w:rsid w:val="00AF21EE"/>
    <w:rsid w:val="00AF24EF"/>
    <w:rsid w:val="00AF2B35"/>
    <w:rsid w:val="00AF2DC3"/>
    <w:rsid w:val="00AF3470"/>
    <w:rsid w:val="00AF382A"/>
    <w:rsid w:val="00AF38B7"/>
    <w:rsid w:val="00AF3BE7"/>
    <w:rsid w:val="00AF3EA3"/>
    <w:rsid w:val="00AF4ADB"/>
    <w:rsid w:val="00AF4B22"/>
    <w:rsid w:val="00AF4B53"/>
    <w:rsid w:val="00AF5308"/>
    <w:rsid w:val="00AF56B5"/>
    <w:rsid w:val="00AF5B10"/>
    <w:rsid w:val="00AF5B1B"/>
    <w:rsid w:val="00AF5FAD"/>
    <w:rsid w:val="00AF6AAB"/>
    <w:rsid w:val="00AF710B"/>
    <w:rsid w:val="00AF74D3"/>
    <w:rsid w:val="00AF7865"/>
    <w:rsid w:val="00AF7A6E"/>
    <w:rsid w:val="00AF7A71"/>
    <w:rsid w:val="00AF7DE0"/>
    <w:rsid w:val="00B0172C"/>
    <w:rsid w:val="00B017D9"/>
    <w:rsid w:val="00B01D29"/>
    <w:rsid w:val="00B031BF"/>
    <w:rsid w:val="00B033E5"/>
    <w:rsid w:val="00B03A63"/>
    <w:rsid w:val="00B040CD"/>
    <w:rsid w:val="00B041B9"/>
    <w:rsid w:val="00B043B8"/>
    <w:rsid w:val="00B0504E"/>
    <w:rsid w:val="00B064FC"/>
    <w:rsid w:val="00B065CC"/>
    <w:rsid w:val="00B069E4"/>
    <w:rsid w:val="00B076B1"/>
    <w:rsid w:val="00B079E1"/>
    <w:rsid w:val="00B10D45"/>
    <w:rsid w:val="00B111F2"/>
    <w:rsid w:val="00B12754"/>
    <w:rsid w:val="00B129A4"/>
    <w:rsid w:val="00B12EA3"/>
    <w:rsid w:val="00B12F9A"/>
    <w:rsid w:val="00B15AD1"/>
    <w:rsid w:val="00B15D17"/>
    <w:rsid w:val="00B16CD0"/>
    <w:rsid w:val="00B17E24"/>
    <w:rsid w:val="00B201A4"/>
    <w:rsid w:val="00B201D1"/>
    <w:rsid w:val="00B20F7A"/>
    <w:rsid w:val="00B20FDF"/>
    <w:rsid w:val="00B20FF4"/>
    <w:rsid w:val="00B210AA"/>
    <w:rsid w:val="00B213A6"/>
    <w:rsid w:val="00B21802"/>
    <w:rsid w:val="00B22773"/>
    <w:rsid w:val="00B22DF1"/>
    <w:rsid w:val="00B23143"/>
    <w:rsid w:val="00B235B0"/>
    <w:rsid w:val="00B23763"/>
    <w:rsid w:val="00B237B6"/>
    <w:rsid w:val="00B249E1"/>
    <w:rsid w:val="00B24DF6"/>
    <w:rsid w:val="00B255C9"/>
    <w:rsid w:val="00B25752"/>
    <w:rsid w:val="00B26F47"/>
    <w:rsid w:val="00B2777D"/>
    <w:rsid w:val="00B27A61"/>
    <w:rsid w:val="00B306E1"/>
    <w:rsid w:val="00B30A95"/>
    <w:rsid w:val="00B30BDA"/>
    <w:rsid w:val="00B320EB"/>
    <w:rsid w:val="00B3259F"/>
    <w:rsid w:val="00B3309B"/>
    <w:rsid w:val="00B341D6"/>
    <w:rsid w:val="00B34451"/>
    <w:rsid w:val="00B34690"/>
    <w:rsid w:val="00B3471B"/>
    <w:rsid w:val="00B34A75"/>
    <w:rsid w:val="00B34BFA"/>
    <w:rsid w:val="00B34C12"/>
    <w:rsid w:val="00B34FE2"/>
    <w:rsid w:val="00B35166"/>
    <w:rsid w:val="00B3568F"/>
    <w:rsid w:val="00B357D8"/>
    <w:rsid w:val="00B360F4"/>
    <w:rsid w:val="00B361FF"/>
    <w:rsid w:val="00B368B9"/>
    <w:rsid w:val="00B36A00"/>
    <w:rsid w:val="00B3792B"/>
    <w:rsid w:val="00B37BFC"/>
    <w:rsid w:val="00B40358"/>
    <w:rsid w:val="00B40509"/>
    <w:rsid w:val="00B41614"/>
    <w:rsid w:val="00B41BD6"/>
    <w:rsid w:val="00B41C38"/>
    <w:rsid w:val="00B420E8"/>
    <w:rsid w:val="00B42851"/>
    <w:rsid w:val="00B42F80"/>
    <w:rsid w:val="00B435CB"/>
    <w:rsid w:val="00B4407B"/>
    <w:rsid w:val="00B465EC"/>
    <w:rsid w:val="00B46D40"/>
    <w:rsid w:val="00B46DF8"/>
    <w:rsid w:val="00B47C0F"/>
    <w:rsid w:val="00B50148"/>
    <w:rsid w:val="00B50260"/>
    <w:rsid w:val="00B505C8"/>
    <w:rsid w:val="00B506D9"/>
    <w:rsid w:val="00B5092E"/>
    <w:rsid w:val="00B50DB8"/>
    <w:rsid w:val="00B50DEE"/>
    <w:rsid w:val="00B52E9F"/>
    <w:rsid w:val="00B5328A"/>
    <w:rsid w:val="00B53409"/>
    <w:rsid w:val="00B534E8"/>
    <w:rsid w:val="00B53654"/>
    <w:rsid w:val="00B5370E"/>
    <w:rsid w:val="00B53905"/>
    <w:rsid w:val="00B53B26"/>
    <w:rsid w:val="00B5401D"/>
    <w:rsid w:val="00B542ED"/>
    <w:rsid w:val="00B546DB"/>
    <w:rsid w:val="00B54802"/>
    <w:rsid w:val="00B54B5B"/>
    <w:rsid w:val="00B54EFD"/>
    <w:rsid w:val="00B54FBD"/>
    <w:rsid w:val="00B5562E"/>
    <w:rsid w:val="00B55828"/>
    <w:rsid w:val="00B55862"/>
    <w:rsid w:val="00B55D65"/>
    <w:rsid w:val="00B56305"/>
    <w:rsid w:val="00B56AF4"/>
    <w:rsid w:val="00B57000"/>
    <w:rsid w:val="00B5704E"/>
    <w:rsid w:val="00B57BF8"/>
    <w:rsid w:val="00B60939"/>
    <w:rsid w:val="00B60AFD"/>
    <w:rsid w:val="00B617D8"/>
    <w:rsid w:val="00B61B8B"/>
    <w:rsid w:val="00B622FD"/>
    <w:rsid w:val="00B62715"/>
    <w:rsid w:val="00B628C8"/>
    <w:rsid w:val="00B62D85"/>
    <w:rsid w:val="00B63DCB"/>
    <w:rsid w:val="00B63DD5"/>
    <w:rsid w:val="00B6478E"/>
    <w:rsid w:val="00B64E25"/>
    <w:rsid w:val="00B6542E"/>
    <w:rsid w:val="00B65611"/>
    <w:rsid w:val="00B65AA6"/>
    <w:rsid w:val="00B65F53"/>
    <w:rsid w:val="00B70409"/>
    <w:rsid w:val="00B70CF1"/>
    <w:rsid w:val="00B70E8E"/>
    <w:rsid w:val="00B70FA9"/>
    <w:rsid w:val="00B7159D"/>
    <w:rsid w:val="00B7201B"/>
    <w:rsid w:val="00B722A8"/>
    <w:rsid w:val="00B725E7"/>
    <w:rsid w:val="00B72B7A"/>
    <w:rsid w:val="00B73132"/>
    <w:rsid w:val="00B73259"/>
    <w:rsid w:val="00B7430D"/>
    <w:rsid w:val="00B74538"/>
    <w:rsid w:val="00B749B5"/>
    <w:rsid w:val="00B7522C"/>
    <w:rsid w:val="00B7601F"/>
    <w:rsid w:val="00B76C0A"/>
    <w:rsid w:val="00B76C92"/>
    <w:rsid w:val="00B76D86"/>
    <w:rsid w:val="00B77046"/>
    <w:rsid w:val="00B7715D"/>
    <w:rsid w:val="00B77F13"/>
    <w:rsid w:val="00B8003B"/>
    <w:rsid w:val="00B80EFD"/>
    <w:rsid w:val="00B81552"/>
    <w:rsid w:val="00B818A4"/>
    <w:rsid w:val="00B81D42"/>
    <w:rsid w:val="00B82722"/>
    <w:rsid w:val="00B830FB"/>
    <w:rsid w:val="00B835BD"/>
    <w:rsid w:val="00B83739"/>
    <w:rsid w:val="00B84117"/>
    <w:rsid w:val="00B84634"/>
    <w:rsid w:val="00B84AC2"/>
    <w:rsid w:val="00B853EF"/>
    <w:rsid w:val="00B858E4"/>
    <w:rsid w:val="00B858F0"/>
    <w:rsid w:val="00B85AA2"/>
    <w:rsid w:val="00B85C28"/>
    <w:rsid w:val="00B85F87"/>
    <w:rsid w:val="00B8649C"/>
    <w:rsid w:val="00B8695D"/>
    <w:rsid w:val="00B86C25"/>
    <w:rsid w:val="00B87F0A"/>
    <w:rsid w:val="00B908B5"/>
    <w:rsid w:val="00B914B9"/>
    <w:rsid w:val="00B91837"/>
    <w:rsid w:val="00B92A4E"/>
    <w:rsid w:val="00B92D0B"/>
    <w:rsid w:val="00B93592"/>
    <w:rsid w:val="00B93A21"/>
    <w:rsid w:val="00B94945"/>
    <w:rsid w:val="00B94A96"/>
    <w:rsid w:val="00B94DD6"/>
    <w:rsid w:val="00B95680"/>
    <w:rsid w:val="00B95755"/>
    <w:rsid w:val="00B95A36"/>
    <w:rsid w:val="00B96FA2"/>
    <w:rsid w:val="00BA174F"/>
    <w:rsid w:val="00BA2771"/>
    <w:rsid w:val="00BA322D"/>
    <w:rsid w:val="00BA37EB"/>
    <w:rsid w:val="00BA39E0"/>
    <w:rsid w:val="00BA4BFF"/>
    <w:rsid w:val="00BA4D15"/>
    <w:rsid w:val="00BA5758"/>
    <w:rsid w:val="00BA5776"/>
    <w:rsid w:val="00BA599B"/>
    <w:rsid w:val="00BA6362"/>
    <w:rsid w:val="00BA63FA"/>
    <w:rsid w:val="00BA76C8"/>
    <w:rsid w:val="00BB00B3"/>
    <w:rsid w:val="00BB0BDD"/>
    <w:rsid w:val="00BB176C"/>
    <w:rsid w:val="00BB1D10"/>
    <w:rsid w:val="00BB2A73"/>
    <w:rsid w:val="00BB3A45"/>
    <w:rsid w:val="00BB4ACC"/>
    <w:rsid w:val="00BB5F42"/>
    <w:rsid w:val="00BB703E"/>
    <w:rsid w:val="00BB732D"/>
    <w:rsid w:val="00BB7405"/>
    <w:rsid w:val="00BB74DF"/>
    <w:rsid w:val="00BC012D"/>
    <w:rsid w:val="00BC08FF"/>
    <w:rsid w:val="00BC0BF9"/>
    <w:rsid w:val="00BC29A3"/>
    <w:rsid w:val="00BC2FCB"/>
    <w:rsid w:val="00BC3265"/>
    <w:rsid w:val="00BC3631"/>
    <w:rsid w:val="00BC3691"/>
    <w:rsid w:val="00BC3729"/>
    <w:rsid w:val="00BC38F8"/>
    <w:rsid w:val="00BC3944"/>
    <w:rsid w:val="00BC591F"/>
    <w:rsid w:val="00BC673B"/>
    <w:rsid w:val="00BC6EB9"/>
    <w:rsid w:val="00BC7D6D"/>
    <w:rsid w:val="00BC7FED"/>
    <w:rsid w:val="00BD0D00"/>
    <w:rsid w:val="00BD1103"/>
    <w:rsid w:val="00BD1B96"/>
    <w:rsid w:val="00BD1C10"/>
    <w:rsid w:val="00BD1ED7"/>
    <w:rsid w:val="00BD2108"/>
    <w:rsid w:val="00BD300C"/>
    <w:rsid w:val="00BD3620"/>
    <w:rsid w:val="00BD38D6"/>
    <w:rsid w:val="00BD39B7"/>
    <w:rsid w:val="00BD3FCF"/>
    <w:rsid w:val="00BD40B9"/>
    <w:rsid w:val="00BD4102"/>
    <w:rsid w:val="00BD4330"/>
    <w:rsid w:val="00BD4F11"/>
    <w:rsid w:val="00BD51DD"/>
    <w:rsid w:val="00BD5993"/>
    <w:rsid w:val="00BD5CC3"/>
    <w:rsid w:val="00BD68A3"/>
    <w:rsid w:val="00BD6938"/>
    <w:rsid w:val="00BD6CF3"/>
    <w:rsid w:val="00BD6F34"/>
    <w:rsid w:val="00BD7304"/>
    <w:rsid w:val="00BD7B51"/>
    <w:rsid w:val="00BD7CA1"/>
    <w:rsid w:val="00BD7F72"/>
    <w:rsid w:val="00BE0A25"/>
    <w:rsid w:val="00BE0E65"/>
    <w:rsid w:val="00BE0ECA"/>
    <w:rsid w:val="00BE0FAE"/>
    <w:rsid w:val="00BE123B"/>
    <w:rsid w:val="00BE1F79"/>
    <w:rsid w:val="00BE20D5"/>
    <w:rsid w:val="00BE2180"/>
    <w:rsid w:val="00BE21F2"/>
    <w:rsid w:val="00BE2550"/>
    <w:rsid w:val="00BE29AA"/>
    <w:rsid w:val="00BE2EB2"/>
    <w:rsid w:val="00BE2EBF"/>
    <w:rsid w:val="00BE3F31"/>
    <w:rsid w:val="00BE4275"/>
    <w:rsid w:val="00BE466A"/>
    <w:rsid w:val="00BE4B0F"/>
    <w:rsid w:val="00BE512B"/>
    <w:rsid w:val="00BE5416"/>
    <w:rsid w:val="00BE609A"/>
    <w:rsid w:val="00BE62F1"/>
    <w:rsid w:val="00BE64F3"/>
    <w:rsid w:val="00BE65E2"/>
    <w:rsid w:val="00BE6AF5"/>
    <w:rsid w:val="00BE7932"/>
    <w:rsid w:val="00BE7987"/>
    <w:rsid w:val="00BE7AB1"/>
    <w:rsid w:val="00BF06AE"/>
    <w:rsid w:val="00BF0F1A"/>
    <w:rsid w:val="00BF0F95"/>
    <w:rsid w:val="00BF1BA1"/>
    <w:rsid w:val="00BF1D41"/>
    <w:rsid w:val="00BF20EB"/>
    <w:rsid w:val="00BF2433"/>
    <w:rsid w:val="00BF2CEA"/>
    <w:rsid w:val="00BF2E6E"/>
    <w:rsid w:val="00BF39BD"/>
    <w:rsid w:val="00BF3D00"/>
    <w:rsid w:val="00BF40B2"/>
    <w:rsid w:val="00BF41EF"/>
    <w:rsid w:val="00BF4A78"/>
    <w:rsid w:val="00BF55BB"/>
    <w:rsid w:val="00BF61C9"/>
    <w:rsid w:val="00BF6C09"/>
    <w:rsid w:val="00BF6C94"/>
    <w:rsid w:val="00C00424"/>
    <w:rsid w:val="00C00BB0"/>
    <w:rsid w:val="00C00F2B"/>
    <w:rsid w:val="00C0299F"/>
    <w:rsid w:val="00C02D68"/>
    <w:rsid w:val="00C034AE"/>
    <w:rsid w:val="00C0377E"/>
    <w:rsid w:val="00C0389C"/>
    <w:rsid w:val="00C042D3"/>
    <w:rsid w:val="00C045C7"/>
    <w:rsid w:val="00C0466D"/>
    <w:rsid w:val="00C04BF4"/>
    <w:rsid w:val="00C0506B"/>
    <w:rsid w:val="00C05D7F"/>
    <w:rsid w:val="00C1082D"/>
    <w:rsid w:val="00C10C65"/>
    <w:rsid w:val="00C112C0"/>
    <w:rsid w:val="00C1179F"/>
    <w:rsid w:val="00C11A3D"/>
    <w:rsid w:val="00C11BB0"/>
    <w:rsid w:val="00C127B9"/>
    <w:rsid w:val="00C128FA"/>
    <w:rsid w:val="00C12C14"/>
    <w:rsid w:val="00C12C59"/>
    <w:rsid w:val="00C148FE"/>
    <w:rsid w:val="00C153C5"/>
    <w:rsid w:val="00C154D4"/>
    <w:rsid w:val="00C1553C"/>
    <w:rsid w:val="00C157A8"/>
    <w:rsid w:val="00C15F04"/>
    <w:rsid w:val="00C162BC"/>
    <w:rsid w:val="00C16498"/>
    <w:rsid w:val="00C175D9"/>
    <w:rsid w:val="00C179B3"/>
    <w:rsid w:val="00C17E3F"/>
    <w:rsid w:val="00C200AA"/>
    <w:rsid w:val="00C20132"/>
    <w:rsid w:val="00C20204"/>
    <w:rsid w:val="00C20916"/>
    <w:rsid w:val="00C20BA0"/>
    <w:rsid w:val="00C20BE8"/>
    <w:rsid w:val="00C2143E"/>
    <w:rsid w:val="00C218ED"/>
    <w:rsid w:val="00C2273D"/>
    <w:rsid w:val="00C22975"/>
    <w:rsid w:val="00C2372D"/>
    <w:rsid w:val="00C237ED"/>
    <w:rsid w:val="00C23DD7"/>
    <w:rsid w:val="00C24059"/>
    <w:rsid w:val="00C24632"/>
    <w:rsid w:val="00C25418"/>
    <w:rsid w:val="00C254DA"/>
    <w:rsid w:val="00C2595B"/>
    <w:rsid w:val="00C25BC8"/>
    <w:rsid w:val="00C25D9C"/>
    <w:rsid w:val="00C26E23"/>
    <w:rsid w:val="00C2778B"/>
    <w:rsid w:val="00C27823"/>
    <w:rsid w:val="00C27D36"/>
    <w:rsid w:val="00C315A1"/>
    <w:rsid w:val="00C31649"/>
    <w:rsid w:val="00C31E62"/>
    <w:rsid w:val="00C31F70"/>
    <w:rsid w:val="00C32A42"/>
    <w:rsid w:val="00C32E77"/>
    <w:rsid w:val="00C33A20"/>
    <w:rsid w:val="00C33AB2"/>
    <w:rsid w:val="00C341F0"/>
    <w:rsid w:val="00C3422E"/>
    <w:rsid w:val="00C3434C"/>
    <w:rsid w:val="00C3457E"/>
    <w:rsid w:val="00C3469D"/>
    <w:rsid w:val="00C34D74"/>
    <w:rsid w:val="00C3515F"/>
    <w:rsid w:val="00C35319"/>
    <w:rsid w:val="00C35875"/>
    <w:rsid w:val="00C358F0"/>
    <w:rsid w:val="00C35B31"/>
    <w:rsid w:val="00C36018"/>
    <w:rsid w:val="00C361EC"/>
    <w:rsid w:val="00C36CB7"/>
    <w:rsid w:val="00C40385"/>
    <w:rsid w:val="00C408EB"/>
    <w:rsid w:val="00C4132B"/>
    <w:rsid w:val="00C4152F"/>
    <w:rsid w:val="00C4156F"/>
    <w:rsid w:val="00C41768"/>
    <w:rsid w:val="00C41DCF"/>
    <w:rsid w:val="00C4228C"/>
    <w:rsid w:val="00C434C9"/>
    <w:rsid w:val="00C43BBC"/>
    <w:rsid w:val="00C4418D"/>
    <w:rsid w:val="00C442A3"/>
    <w:rsid w:val="00C44D57"/>
    <w:rsid w:val="00C4628B"/>
    <w:rsid w:val="00C464AA"/>
    <w:rsid w:val="00C46637"/>
    <w:rsid w:val="00C467A6"/>
    <w:rsid w:val="00C4696D"/>
    <w:rsid w:val="00C471A8"/>
    <w:rsid w:val="00C471F5"/>
    <w:rsid w:val="00C475AA"/>
    <w:rsid w:val="00C479F5"/>
    <w:rsid w:val="00C47A5E"/>
    <w:rsid w:val="00C50DDC"/>
    <w:rsid w:val="00C511CB"/>
    <w:rsid w:val="00C527C7"/>
    <w:rsid w:val="00C52DF7"/>
    <w:rsid w:val="00C532C6"/>
    <w:rsid w:val="00C533D8"/>
    <w:rsid w:val="00C534CC"/>
    <w:rsid w:val="00C5352A"/>
    <w:rsid w:val="00C53C98"/>
    <w:rsid w:val="00C5482D"/>
    <w:rsid w:val="00C54BB8"/>
    <w:rsid w:val="00C5528B"/>
    <w:rsid w:val="00C557DD"/>
    <w:rsid w:val="00C55D9D"/>
    <w:rsid w:val="00C56FCF"/>
    <w:rsid w:val="00C5715B"/>
    <w:rsid w:val="00C5733B"/>
    <w:rsid w:val="00C577DF"/>
    <w:rsid w:val="00C57B6C"/>
    <w:rsid w:val="00C60E64"/>
    <w:rsid w:val="00C61A59"/>
    <w:rsid w:val="00C626DE"/>
    <w:rsid w:val="00C628A6"/>
    <w:rsid w:val="00C63419"/>
    <w:rsid w:val="00C6385F"/>
    <w:rsid w:val="00C63912"/>
    <w:rsid w:val="00C63AAF"/>
    <w:rsid w:val="00C63C7E"/>
    <w:rsid w:val="00C63DDA"/>
    <w:rsid w:val="00C63E1B"/>
    <w:rsid w:val="00C64344"/>
    <w:rsid w:val="00C64D0C"/>
    <w:rsid w:val="00C64DD0"/>
    <w:rsid w:val="00C64DF3"/>
    <w:rsid w:val="00C64F8D"/>
    <w:rsid w:val="00C65108"/>
    <w:rsid w:val="00C65576"/>
    <w:rsid w:val="00C65B88"/>
    <w:rsid w:val="00C65BC9"/>
    <w:rsid w:val="00C66165"/>
    <w:rsid w:val="00C674D3"/>
    <w:rsid w:val="00C67666"/>
    <w:rsid w:val="00C6798E"/>
    <w:rsid w:val="00C67F15"/>
    <w:rsid w:val="00C7060A"/>
    <w:rsid w:val="00C70C51"/>
    <w:rsid w:val="00C70E89"/>
    <w:rsid w:val="00C70E8E"/>
    <w:rsid w:val="00C7151A"/>
    <w:rsid w:val="00C717E3"/>
    <w:rsid w:val="00C71F60"/>
    <w:rsid w:val="00C72241"/>
    <w:rsid w:val="00C7324F"/>
    <w:rsid w:val="00C7356D"/>
    <w:rsid w:val="00C738BD"/>
    <w:rsid w:val="00C73C0B"/>
    <w:rsid w:val="00C73D95"/>
    <w:rsid w:val="00C74551"/>
    <w:rsid w:val="00C750C8"/>
    <w:rsid w:val="00C7560F"/>
    <w:rsid w:val="00C75BF2"/>
    <w:rsid w:val="00C80A0E"/>
    <w:rsid w:val="00C8131E"/>
    <w:rsid w:val="00C81403"/>
    <w:rsid w:val="00C815EB"/>
    <w:rsid w:val="00C8171C"/>
    <w:rsid w:val="00C8213F"/>
    <w:rsid w:val="00C8239D"/>
    <w:rsid w:val="00C8303F"/>
    <w:rsid w:val="00C8365A"/>
    <w:rsid w:val="00C85154"/>
    <w:rsid w:val="00C85A70"/>
    <w:rsid w:val="00C8623A"/>
    <w:rsid w:val="00C872FC"/>
    <w:rsid w:val="00C876FF"/>
    <w:rsid w:val="00C8797A"/>
    <w:rsid w:val="00C87CA8"/>
    <w:rsid w:val="00C900B8"/>
    <w:rsid w:val="00C90197"/>
    <w:rsid w:val="00C90C71"/>
    <w:rsid w:val="00C90E92"/>
    <w:rsid w:val="00C916A7"/>
    <w:rsid w:val="00C91DD7"/>
    <w:rsid w:val="00C91E41"/>
    <w:rsid w:val="00C91FD1"/>
    <w:rsid w:val="00C925A1"/>
    <w:rsid w:val="00C92850"/>
    <w:rsid w:val="00C92C39"/>
    <w:rsid w:val="00C92D97"/>
    <w:rsid w:val="00C931CF"/>
    <w:rsid w:val="00C938CF"/>
    <w:rsid w:val="00C93B13"/>
    <w:rsid w:val="00C94053"/>
    <w:rsid w:val="00C946F7"/>
    <w:rsid w:val="00C94CEF"/>
    <w:rsid w:val="00C96207"/>
    <w:rsid w:val="00C9624D"/>
    <w:rsid w:val="00C962BC"/>
    <w:rsid w:val="00C969DA"/>
    <w:rsid w:val="00CA040B"/>
    <w:rsid w:val="00CA0527"/>
    <w:rsid w:val="00CA0747"/>
    <w:rsid w:val="00CA0FB9"/>
    <w:rsid w:val="00CA1F50"/>
    <w:rsid w:val="00CA2520"/>
    <w:rsid w:val="00CA29B6"/>
    <w:rsid w:val="00CA2C77"/>
    <w:rsid w:val="00CA2F91"/>
    <w:rsid w:val="00CA323E"/>
    <w:rsid w:val="00CA3C3A"/>
    <w:rsid w:val="00CA3CF4"/>
    <w:rsid w:val="00CA434C"/>
    <w:rsid w:val="00CA444F"/>
    <w:rsid w:val="00CA5245"/>
    <w:rsid w:val="00CA65DE"/>
    <w:rsid w:val="00CA71F4"/>
    <w:rsid w:val="00CA7B09"/>
    <w:rsid w:val="00CA7B84"/>
    <w:rsid w:val="00CB0A4F"/>
    <w:rsid w:val="00CB12A5"/>
    <w:rsid w:val="00CB1540"/>
    <w:rsid w:val="00CB1BF3"/>
    <w:rsid w:val="00CB1CAC"/>
    <w:rsid w:val="00CB267D"/>
    <w:rsid w:val="00CB2B95"/>
    <w:rsid w:val="00CB2F2A"/>
    <w:rsid w:val="00CB3448"/>
    <w:rsid w:val="00CB3C21"/>
    <w:rsid w:val="00CB490C"/>
    <w:rsid w:val="00CB4C08"/>
    <w:rsid w:val="00CB5B1A"/>
    <w:rsid w:val="00CB5B66"/>
    <w:rsid w:val="00CB6B22"/>
    <w:rsid w:val="00CB6C5F"/>
    <w:rsid w:val="00CB6C85"/>
    <w:rsid w:val="00CB6F12"/>
    <w:rsid w:val="00CB7F5F"/>
    <w:rsid w:val="00CC0EFF"/>
    <w:rsid w:val="00CC139D"/>
    <w:rsid w:val="00CC1A8B"/>
    <w:rsid w:val="00CC1B39"/>
    <w:rsid w:val="00CC1BD2"/>
    <w:rsid w:val="00CC1BFA"/>
    <w:rsid w:val="00CC1EDD"/>
    <w:rsid w:val="00CC2BFD"/>
    <w:rsid w:val="00CC2E9F"/>
    <w:rsid w:val="00CC3258"/>
    <w:rsid w:val="00CC35EA"/>
    <w:rsid w:val="00CC3848"/>
    <w:rsid w:val="00CC3C9B"/>
    <w:rsid w:val="00CC5664"/>
    <w:rsid w:val="00CC5868"/>
    <w:rsid w:val="00CC60BE"/>
    <w:rsid w:val="00CC6412"/>
    <w:rsid w:val="00CC6D1B"/>
    <w:rsid w:val="00CC6D5E"/>
    <w:rsid w:val="00CD0200"/>
    <w:rsid w:val="00CD0B98"/>
    <w:rsid w:val="00CD15A5"/>
    <w:rsid w:val="00CD27BB"/>
    <w:rsid w:val="00CD2DF7"/>
    <w:rsid w:val="00CD3A11"/>
    <w:rsid w:val="00CD3BB5"/>
    <w:rsid w:val="00CD3F77"/>
    <w:rsid w:val="00CD5A7F"/>
    <w:rsid w:val="00CD5BDD"/>
    <w:rsid w:val="00CD5D13"/>
    <w:rsid w:val="00CD62D9"/>
    <w:rsid w:val="00CD6ADC"/>
    <w:rsid w:val="00CD6CD8"/>
    <w:rsid w:val="00CD6E79"/>
    <w:rsid w:val="00CD70B7"/>
    <w:rsid w:val="00CD7193"/>
    <w:rsid w:val="00CE051E"/>
    <w:rsid w:val="00CE095D"/>
    <w:rsid w:val="00CE190D"/>
    <w:rsid w:val="00CE1F24"/>
    <w:rsid w:val="00CE2226"/>
    <w:rsid w:val="00CE240E"/>
    <w:rsid w:val="00CE2971"/>
    <w:rsid w:val="00CE3616"/>
    <w:rsid w:val="00CE38C8"/>
    <w:rsid w:val="00CE524F"/>
    <w:rsid w:val="00CE553A"/>
    <w:rsid w:val="00CE58CC"/>
    <w:rsid w:val="00CE5A41"/>
    <w:rsid w:val="00CE5AFE"/>
    <w:rsid w:val="00CE5C45"/>
    <w:rsid w:val="00CE5EEB"/>
    <w:rsid w:val="00CE6274"/>
    <w:rsid w:val="00CE62A4"/>
    <w:rsid w:val="00CE675C"/>
    <w:rsid w:val="00CE680D"/>
    <w:rsid w:val="00CE6FD7"/>
    <w:rsid w:val="00CE715D"/>
    <w:rsid w:val="00CE719C"/>
    <w:rsid w:val="00CE76F7"/>
    <w:rsid w:val="00CE77B6"/>
    <w:rsid w:val="00CE78F5"/>
    <w:rsid w:val="00CF0A08"/>
    <w:rsid w:val="00CF0DE9"/>
    <w:rsid w:val="00CF0F01"/>
    <w:rsid w:val="00CF18A7"/>
    <w:rsid w:val="00CF1B12"/>
    <w:rsid w:val="00CF1C26"/>
    <w:rsid w:val="00CF2096"/>
    <w:rsid w:val="00CF21F5"/>
    <w:rsid w:val="00CF2B8D"/>
    <w:rsid w:val="00CF3A1B"/>
    <w:rsid w:val="00CF3D10"/>
    <w:rsid w:val="00CF3D6A"/>
    <w:rsid w:val="00CF456B"/>
    <w:rsid w:val="00CF4972"/>
    <w:rsid w:val="00CF5138"/>
    <w:rsid w:val="00CF57F1"/>
    <w:rsid w:val="00CF59AD"/>
    <w:rsid w:val="00CF5A22"/>
    <w:rsid w:val="00D00129"/>
    <w:rsid w:val="00D0124D"/>
    <w:rsid w:val="00D023C6"/>
    <w:rsid w:val="00D0262E"/>
    <w:rsid w:val="00D03679"/>
    <w:rsid w:val="00D03A55"/>
    <w:rsid w:val="00D03D5C"/>
    <w:rsid w:val="00D040B9"/>
    <w:rsid w:val="00D0430C"/>
    <w:rsid w:val="00D05307"/>
    <w:rsid w:val="00D05A6D"/>
    <w:rsid w:val="00D05C46"/>
    <w:rsid w:val="00D05E3D"/>
    <w:rsid w:val="00D06139"/>
    <w:rsid w:val="00D06232"/>
    <w:rsid w:val="00D0632A"/>
    <w:rsid w:val="00D0687F"/>
    <w:rsid w:val="00D07BA2"/>
    <w:rsid w:val="00D1030E"/>
    <w:rsid w:val="00D10DCD"/>
    <w:rsid w:val="00D110BD"/>
    <w:rsid w:val="00D12100"/>
    <w:rsid w:val="00D132FB"/>
    <w:rsid w:val="00D13675"/>
    <w:rsid w:val="00D136AA"/>
    <w:rsid w:val="00D136CE"/>
    <w:rsid w:val="00D13F17"/>
    <w:rsid w:val="00D141E1"/>
    <w:rsid w:val="00D15314"/>
    <w:rsid w:val="00D15B48"/>
    <w:rsid w:val="00D1708A"/>
    <w:rsid w:val="00D170B9"/>
    <w:rsid w:val="00D17D6C"/>
    <w:rsid w:val="00D20669"/>
    <w:rsid w:val="00D20790"/>
    <w:rsid w:val="00D20F14"/>
    <w:rsid w:val="00D2155B"/>
    <w:rsid w:val="00D21562"/>
    <w:rsid w:val="00D23092"/>
    <w:rsid w:val="00D239F8"/>
    <w:rsid w:val="00D23D11"/>
    <w:rsid w:val="00D24400"/>
    <w:rsid w:val="00D244B6"/>
    <w:rsid w:val="00D24A6C"/>
    <w:rsid w:val="00D252EE"/>
    <w:rsid w:val="00D253BE"/>
    <w:rsid w:val="00D25A34"/>
    <w:rsid w:val="00D25A7C"/>
    <w:rsid w:val="00D266A4"/>
    <w:rsid w:val="00D26917"/>
    <w:rsid w:val="00D26A54"/>
    <w:rsid w:val="00D27497"/>
    <w:rsid w:val="00D274BF"/>
    <w:rsid w:val="00D2754D"/>
    <w:rsid w:val="00D27B27"/>
    <w:rsid w:val="00D27C01"/>
    <w:rsid w:val="00D301D1"/>
    <w:rsid w:val="00D30536"/>
    <w:rsid w:val="00D307F5"/>
    <w:rsid w:val="00D309F6"/>
    <w:rsid w:val="00D30D5B"/>
    <w:rsid w:val="00D31849"/>
    <w:rsid w:val="00D31B32"/>
    <w:rsid w:val="00D31DFC"/>
    <w:rsid w:val="00D3324B"/>
    <w:rsid w:val="00D3328A"/>
    <w:rsid w:val="00D3333B"/>
    <w:rsid w:val="00D33820"/>
    <w:rsid w:val="00D33BE9"/>
    <w:rsid w:val="00D33D8E"/>
    <w:rsid w:val="00D33F93"/>
    <w:rsid w:val="00D343E2"/>
    <w:rsid w:val="00D34454"/>
    <w:rsid w:val="00D357FF"/>
    <w:rsid w:val="00D36214"/>
    <w:rsid w:val="00D366E4"/>
    <w:rsid w:val="00D36820"/>
    <w:rsid w:val="00D36E8C"/>
    <w:rsid w:val="00D37ECB"/>
    <w:rsid w:val="00D400C0"/>
    <w:rsid w:val="00D40FAF"/>
    <w:rsid w:val="00D410E4"/>
    <w:rsid w:val="00D4217E"/>
    <w:rsid w:val="00D424C7"/>
    <w:rsid w:val="00D429C3"/>
    <w:rsid w:val="00D42D7C"/>
    <w:rsid w:val="00D4381A"/>
    <w:rsid w:val="00D43B2A"/>
    <w:rsid w:val="00D43C42"/>
    <w:rsid w:val="00D43CF1"/>
    <w:rsid w:val="00D43D83"/>
    <w:rsid w:val="00D45829"/>
    <w:rsid w:val="00D45CA0"/>
    <w:rsid w:val="00D45F3F"/>
    <w:rsid w:val="00D466A1"/>
    <w:rsid w:val="00D46B57"/>
    <w:rsid w:val="00D47575"/>
    <w:rsid w:val="00D47F8D"/>
    <w:rsid w:val="00D50B82"/>
    <w:rsid w:val="00D51B01"/>
    <w:rsid w:val="00D51CE2"/>
    <w:rsid w:val="00D52375"/>
    <w:rsid w:val="00D5243B"/>
    <w:rsid w:val="00D52E10"/>
    <w:rsid w:val="00D52F16"/>
    <w:rsid w:val="00D533EC"/>
    <w:rsid w:val="00D549F0"/>
    <w:rsid w:val="00D54BD1"/>
    <w:rsid w:val="00D56A95"/>
    <w:rsid w:val="00D57ED5"/>
    <w:rsid w:val="00D60174"/>
    <w:rsid w:val="00D60688"/>
    <w:rsid w:val="00D6076E"/>
    <w:rsid w:val="00D6189A"/>
    <w:rsid w:val="00D61BAC"/>
    <w:rsid w:val="00D6243C"/>
    <w:rsid w:val="00D6303A"/>
    <w:rsid w:val="00D65B57"/>
    <w:rsid w:val="00D65E60"/>
    <w:rsid w:val="00D70F16"/>
    <w:rsid w:val="00D70F38"/>
    <w:rsid w:val="00D717BD"/>
    <w:rsid w:val="00D72147"/>
    <w:rsid w:val="00D72617"/>
    <w:rsid w:val="00D726DD"/>
    <w:rsid w:val="00D72DE3"/>
    <w:rsid w:val="00D72F57"/>
    <w:rsid w:val="00D73965"/>
    <w:rsid w:val="00D73DBE"/>
    <w:rsid w:val="00D74012"/>
    <w:rsid w:val="00D74E6F"/>
    <w:rsid w:val="00D765F1"/>
    <w:rsid w:val="00D767A9"/>
    <w:rsid w:val="00D76885"/>
    <w:rsid w:val="00D7697A"/>
    <w:rsid w:val="00D769BB"/>
    <w:rsid w:val="00D76A44"/>
    <w:rsid w:val="00D772E4"/>
    <w:rsid w:val="00D8046E"/>
    <w:rsid w:val="00D80695"/>
    <w:rsid w:val="00D80819"/>
    <w:rsid w:val="00D8128B"/>
    <w:rsid w:val="00D815EF"/>
    <w:rsid w:val="00D81949"/>
    <w:rsid w:val="00D81F26"/>
    <w:rsid w:val="00D822E2"/>
    <w:rsid w:val="00D83062"/>
    <w:rsid w:val="00D83AFA"/>
    <w:rsid w:val="00D83D43"/>
    <w:rsid w:val="00D83E71"/>
    <w:rsid w:val="00D843F2"/>
    <w:rsid w:val="00D84730"/>
    <w:rsid w:val="00D853E6"/>
    <w:rsid w:val="00D859C4"/>
    <w:rsid w:val="00D85D84"/>
    <w:rsid w:val="00D8608C"/>
    <w:rsid w:val="00D86231"/>
    <w:rsid w:val="00D879EA"/>
    <w:rsid w:val="00D9052D"/>
    <w:rsid w:val="00D912AB"/>
    <w:rsid w:val="00D91923"/>
    <w:rsid w:val="00D91C23"/>
    <w:rsid w:val="00D91FE4"/>
    <w:rsid w:val="00D9316A"/>
    <w:rsid w:val="00D93753"/>
    <w:rsid w:val="00D93A20"/>
    <w:rsid w:val="00D93E15"/>
    <w:rsid w:val="00D94646"/>
    <w:rsid w:val="00D95E11"/>
    <w:rsid w:val="00D96985"/>
    <w:rsid w:val="00D97FFC"/>
    <w:rsid w:val="00DA15B5"/>
    <w:rsid w:val="00DA17A5"/>
    <w:rsid w:val="00DA214B"/>
    <w:rsid w:val="00DA29C4"/>
    <w:rsid w:val="00DA2D8D"/>
    <w:rsid w:val="00DA3167"/>
    <w:rsid w:val="00DA3456"/>
    <w:rsid w:val="00DA4DC3"/>
    <w:rsid w:val="00DA59AA"/>
    <w:rsid w:val="00DA5CF3"/>
    <w:rsid w:val="00DA618A"/>
    <w:rsid w:val="00DA62EA"/>
    <w:rsid w:val="00DA6564"/>
    <w:rsid w:val="00DA77A5"/>
    <w:rsid w:val="00DB0020"/>
    <w:rsid w:val="00DB00FB"/>
    <w:rsid w:val="00DB0E36"/>
    <w:rsid w:val="00DB1BA0"/>
    <w:rsid w:val="00DB1D4A"/>
    <w:rsid w:val="00DB20B9"/>
    <w:rsid w:val="00DB2CC0"/>
    <w:rsid w:val="00DB3DBF"/>
    <w:rsid w:val="00DB484F"/>
    <w:rsid w:val="00DB4A8C"/>
    <w:rsid w:val="00DB5400"/>
    <w:rsid w:val="00DB5E5D"/>
    <w:rsid w:val="00DB6FD8"/>
    <w:rsid w:val="00DB7654"/>
    <w:rsid w:val="00DB7692"/>
    <w:rsid w:val="00DB785C"/>
    <w:rsid w:val="00DC04F6"/>
    <w:rsid w:val="00DC0621"/>
    <w:rsid w:val="00DC0690"/>
    <w:rsid w:val="00DC19CD"/>
    <w:rsid w:val="00DC1BA6"/>
    <w:rsid w:val="00DC1D65"/>
    <w:rsid w:val="00DC254B"/>
    <w:rsid w:val="00DC26F0"/>
    <w:rsid w:val="00DC2DE7"/>
    <w:rsid w:val="00DC3C57"/>
    <w:rsid w:val="00DC42EA"/>
    <w:rsid w:val="00DC5501"/>
    <w:rsid w:val="00DC5DE4"/>
    <w:rsid w:val="00DC66EE"/>
    <w:rsid w:val="00DC6FCA"/>
    <w:rsid w:val="00DC7154"/>
    <w:rsid w:val="00DC7217"/>
    <w:rsid w:val="00DC7975"/>
    <w:rsid w:val="00DC7C52"/>
    <w:rsid w:val="00DC7E8A"/>
    <w:rsid w:val="00DD008C"/>
    <w:rsid w:val="00DD0F78"/>
    <w:rsid w:val="00DD1564"/>
    <w:rsid w:val="00DD273C"/>
    <w:rsid w:val="00DD3F28"/>
    <w:rsid w:val="00DD41B8"/>
    <w:rsid w:val="00DD4446"/>
    <w:rsid w:val="00DD4537"/>
    <w:rsid w:val="00DD4BCB"/>
    <w:rsid w:val="00DD4E15"/>
    <w:rsid w:val="00DD4F07"/>
    <w:rsid w:val="00DD62F7"/>
    <w:rsid w:val="00DD67B3"/>
    <w:rsid w:val="00DD6A38"/>
    <w:rsid w:val="00DD7351"/>
    <w:rsid w:val="00DE1BBA"/>
    <w:rsid w:val="00DE2304"/>
    <w:rsid w:val="00DE2962"/>
    <w:rsid w:val="00DE298E"/>
    <w:rsid w:val="00DE3138"/>
    <w:rsid w:val="00DE32E0"/>
    <w:rsid w:val="00DE37F8"/>
    <w:rsid w:val="00DE4273"/>
    <w:rsid w:val="00DE42EA"/>
    <w:rsid w:val="00DE43F2"/>
    <w:rsid w:val="00DE4FCB"/>
    <w:rsid w:val="00DE5B9D"/>
    <w:rsid w:val="00DE5D07"/>
    <w:rsid w:val="00DE600E"/>
    <w:rsid w:val="00DE65E1"/>
    <w:rsid w:val="00DE72A7"/>
    <w:rsid w:val="00DE7832"/>
    <w:rsid w:val="00DF177C"/>
    <w:rsid w:val="00DF18FC"/>
    <w:rsid w:val="00DF1E59"/>
    <w:rsid w:val="00DF24A2"/>
    <w:rsid w:val="00DF2F54"/>
    <w:rsid w:val="00DF36EB"/>
    <w:rsid w:val="00DF385A"/>
    <w:rsid w:val="00DF439E"/>
    <w:rsid w:val="00DF4BDA"/>
    <w:rsid w:val="00DF5243"/>
    <w:rsid w:val="00DF5921"/>
    <w:rsid w:val="00DF5BCE"/>
    <w:rsid w:val="00DF5D2B"/>
    <w:rsid w:val="00DF61A0"/>
    <w:rsid w:val="00DF6240"/>
    <w:rsid w:val="00DF6276"/>
    <w:rsid w:val="00DF6341"/>
    <w:rsid w:val="00DF6540"/>
    <w:rsid w:val="00DF760A"/>
    <w:rsid w:val="00DF78B2"/>
    <w:rsid w:val="00E00DDE"/>
    <w:rsid w:val="00E00E8E"/>
    <w:rsid w:val="00E00FA1"/>
    <w:rsid w:val="00E017EB"/>
    <w:rsid w:val="00E01E4F"/>
    <w:rsid w:val="00E02742"/>
    <w:rsid w:val="00E02A6A"/>
    <w:rsid w:val="00E03116"/>
    <w:rsid w:val="00E04474"/>
    <w:rsid w:val="00E04F7A"/>
    <w:rsid w:val="00E05630"/>
    <w:rsid w:val="00E05B27"/>
    <w:rsid w:val="00E066AA"/>
    <w:rsid w:val="00E0687F"/>
    <w:rsid w:val="00E06DBB"/>
    <w:rsid w:val="00E10149"/>
    <w:rsid w:val="00E10A64"/>
    <w:rsid w:val="00E10D4F"/>
    <w:rsid w:val="00E10E3F"/>
    <w:rsid w:val="00E10E98"/>
    <w:rsid w:val="00E11340"/>
    <w:rsid w:val="00E11617"/>
    <w:rsid w:val="00E11DF6"/>
    <w:rsid w:val="00E122A1"/>
    <w:rsid w:val="00E125C0"/>
    <w:rsid w:val="00E146DE"/>
    <w:rsid w:val="00E14FC6"/>
    <w:rsid w:val="00E152EA"/>
    <w:rsid w:val="00E1542E"/>
    <w:rsid w:val="00E15EE9"/>
    <w:rsid w:val="00E16372"/>
    <w:rsid w:val="00E16916"/>
    <w:rsid w:val="00E16AD8"/>
    <w:rsid w:val="00E16F2D"/>
    <w:rsid w:val="00E16F9E"/>
    <w:rsid w:val="00E17595"/>
    <w:rsid w:val="00E17FFA"/>
    <w:rsid w:val="00E204B2"/>
    <w:rsid w:val="00E20E4D"/>
    <w:rsid w:val="00E20ED6"/>
    <w:rsid w:val="00E21358"/>
    <w:rsid w:val="00E21A64"/>
    <w:rsid w:val="00E2221A"/>
    <w:rsid w:val="00E2249B"/>
    <w:rsid w:val="00E22A0D"/>
    <w:rsid w:val="00E22D44"/>
    <w:rsid w:val="00E22F5A"/>
    <w:rsid w:val="00E2315C"/>
    <w:rsid w:val="00E2374D"/>
    <w:rsid w:val="00E23BA8"/>
    <w:rsid w:val="00E244F6"/>
    <w:rsid w:val="00E25603"/>
    <w:rsid w:val="00E258DB"/>
    <w:rsid w:val="00E25B10"/>
    <w:rsid w:val="00E25FB4"/>
    <w:rsid w:val="00E26713"/>
    <w:rsid w:val="00E275B0"/>
    <w:rsid w:val="00E2771E"/>
    <w:rsid w:val="00E279C5"/>
    <w:rsid w:val="00E27FD2"/>
    <w:rsid w:val="00E30927"/>
    <w:rsid w:val="00E311EF"/>
    <w:rsid w:val="00E312C2"/>
    <w:rsid w:val="00E32172"/>
    <w:rsid w:val="00E32180"/>
    <w:rsid w:val="00E32C44"/>
    <w:rsid w:val="00E334BB"/>
    <w:rsid w:val="00E33F16"/>
    <w:rsid w:val="00E33F89"/>
    <w:rsid w:val="00E342CC"/>
    <w:rsid w:val="00E34948"/>
    <w:rsid w:val="00E356C4"/>
    <w:rsid w:val="00E36006"/>
    <w:rsid w:val="00E36433"/>
    <w:rsid w:val="00E37195"/>
    <w:rsid w:val="00E37569"/>
    <w:rsid w:val="00E379C6"/>
    <w:rsid w:val="00E401B2"/>
    <w:rsid w:val="00E4079B"/>
    <w:rsid w:val="00E40A11"/>
    <w:rsid w:val="00E41A3C"/>
    <w:rsid w:val="00E41E30"/>
    <w:rsid w:val="00E421AE"/>
    <w:rsid w:val="00E42606"/>
    <w:rsid w:val="00E42B25"/>
    <w:rsid w:val="00E42E7A"/>
    <w:rsid w:val="00E42F73"/>
    <w:rsid w:val="00E43043"/>
    <w:rsid w:val="00E43D70"/>
    <w:rsid w:val="00E441C0"/>
    <w:rsid w:val="00E4445A"/>
    <w:rsid w:val="00E45A21"/>
    <w:rsid w:val="00E46222"/>
    <w:rsid w:val="00E466F3"/>
    <w:rsid w:val="00E46704"/>
    <w:rsid w:val="00E46CAA"/>
    <w:rsid w:val="00E47B2C"/>
    <w:rsid w:val="00E50BBB"/>
    <w:rsid w:val="00E50E7A"/>
    <w:rsid w:val="00E513E6"/>
    <w:rsid w:val="00E51560"/>
    <w:rsid w:val="00E51821"/>
    <w:rsid w:val="00E526BC"/>
    <w:rsid w:val="00E52C49"/>
    <w:rsid w:val="00E52D3C"/>
    <w:rsid w:val="00E53076"/>
    <w:rsid w:val="00E53FC8"/>
    <w:rsid w:val="00E541DA"/>
    <w:rsid w:val="00E54347"/>
    <w:rsid w:val="00E547F8"/>
    <w:rsid w:val="00E55014"/>
    <w:rsid w:val="00E5517E"/>
    <w:rsid w:val="00E55424"/>
    <w:rsid w:val="00E55915"/>
    <w:rsid w:val="00E55BB5"/>
    <w:rsid w:val="00E55C6B"/>
    <w:rsid w:val="00E607D5"/>
    <w:rsid w:val="00E60DB3"/>
    <w:rsid w:val="00E610C9"/>
    <w:rsid w:val="00E611DF"/>
    <w:rsid w:val="00E6310A"/>
    <w:rsid w:val="00E631A3"/>
    <w:rsid w:val="00E6325B"/>
    <w:rsid w:val="00E63967"/>
    <w:rsid w:val="00E63BFB"/>
    <w:rsid w:val="00E64A2E"/>
    <w:rsid w:val="00E6527F"/>
    <w:rsid w:val="00E65D66"/>
    <w:rsid w:val="00E65E79"/>
    <w:rsid w:val="00E66BA2"/>
    <w:rsid w:val="00E67232"/>
    <w:rsid w:val="00E67416"/>
    <w:rsid w:val="00E674C5"/>
    <w:rsid w:val="00E70363"/>
    <w:rsid w:val="00E7062D"/>
    <w:rsid w:val="00E70DD8"/>
    <w:rsid w:val="00E715DE"/>
    <w:rsid w:val="00E718AE"/>
    <w:rsid w:val="00E718B6"/>
    <w:rsid w:val="00E71987"/>
    <w:rsid w:val="00E71AD4"/>
    <w:rsid w:val="00E71EDA"/>
    <w:rsid w:val="00E71F89"/>
    <w:rsid w:val="00E723BA"/>
    <w:rsid w:val="00E7264C"/>
    <w:rsid w:val="00E72C1F"/>
    <w:rsid w:val="00E73581"/>
    <w:rsid w:val="00E736EE"/>
    <w:rsid w:val="00E74313"/>
    <w:rsid w:val="00E76633"/>
    <w:rsid w:val="00E76672"/>
    <w:rsid w:val="00E768F3"/>
    <w:rsid w:val="00E76FAB"/>
    <w:rsid w:val="00E8061E"/>
    <w:rsid w:val="00E80A1B"/>
    <w:rsid w:val="00E814C4"/>
    <w:rsid w:val="00E81736"/>
    <w:rsid w:val="00E819E9"/>
    <w:rsid w:val="00E833F7"/>
    <w:rsid w:val="00E8369C"/>
    <w:rsid w:val="00E83BDF"/>
    <w:rsid w:val="00E844FF"/>
    <w:rsid w:val="00E847AA"/>
    <w:rsid w:val="00E86CF4"/>
    <w:rsid w:val="00E86FCC"/>
    <w:rsid w:val="00E8705F"/>
    <w:rsid w:val="00E87068"/>
    <w:rsid w:val="00E8799B"/>
    <w:rsid w:val="00E87A1D"/>
    <w:rsid w:val="00E87BAC"/>
    <w:rsid w:val="00E9094A"/>
    <w:rsid w:val="00E91076"/>
    <w:rsid w:val="00E9179A"/>
    <w:rsid w:val="00E91BFB"/>
    <w:rsid w:val="00E91D35"/>
    <w:rsid w:val="00E926A5"/>
    <w:rsid w:val="00E92C6A"/>
    <w:rsid w:val="00E9428E"/>
    <w:rsid w:val="00E94C93"/>
    <w:rsid w:val="00E953BD"/>
    <w:rsid w:val="00E95BAA"/>
    <w:rsid w:val="00E962CC"/>
    <w:rsid w:val="00E969AF"/>
    <w:rsid w:val="00E96FCD"/>
    <w:rsid w:val="00E96FF0"/>
    <w:rsid w:val="00EA04EC"/>
    <w:rsid w:val="00EA05D3"/>
    <w:rsid w:val="00EA0A6D"/>
    <w:rsid w:val="00EA0C5F"/>
    <w:rsid w:val="00EA1447"/>
    <w:rsid w:val="00EA1696"/>
    <w:rsid w:val="00EA1723"/>
    <w:rsid w:val="00EA17C3"/>
    <w:rsid w:val="00EA18DD"/>
    <w:rsid w:val="00EA292F"/>
    <w:rsid w:val="00EA2A0D"/>
    <w:rsid w:val="00EA2A65"/>
    <w:rsid w:val="00EA2CAA"/>
    <w:rsid w:val="00EA2DDA"/>
    <w:rsid w:val="00EA315F"/>
    <w:rsid w:val="00EA333F"/>
    <w:rsid w:val="00EA3482"/>
    <w:rsid w:val="00EA3753"/>
    <w:rsid w:val="00EA3864"/>
    <w:rsid w:val="00EA3B56"/>
    <w:rsid w:val="00EA69E4"/>
    <w:rsid w:val="00EA7530"/>
    <w:rsid w:val="00EA79E1"/>
    <w:rsid w:val="00EA7C50"/>
    <w:rsid w:val="00EA7DA9"/>
    <w:rsid w:val="00EA7F1C"/>
    <w:rsid w:val="00EB0405"/>
    <w:rsid w:val="00EB0890"/>
    <w:rsid w:val="00EB090C"/>
    <w:rsid w:val="00EB0A2A"/>
    <w:rsid w:val="00EB0DDD"/>
    <w:rsid w:val="00EB1017"/>
    <w:rsid w:val="00EB15B6"/>
    <w:rsid w:val="00EB2457"/>
    <w:rsid w:val="00EB2943"/>
    <w:rsid w:val="00EB2F8C"/>
    <w:rsid w:val="00EB3611"/>
    <w:rsid w:val="00EB3D06"/>
    <w:rsid w:val="00EB4405"/>
    <w:rsid w:val="00EB4916"/>
    <w:rsid w:val="00EB6A72"/>
    <w:rsid w:val="00EB6D38"/>
    <w:rsid w:val="00EB7E6F"/>
    <w:rsid w:val="00EC00C9"/>
    <w:rsid w:val="00EC0BD7"/>
    <w:rsid w:val="00EC0D0A"/>
    <w:rsid w:val="00EC0DD9"/>
    <w:rsid w:val="00EC13C6"/>
    <w:rsid w:val="00EC16B3"/>
    <w:rsid w:val="00EC1D6B"/>
    <w:rsid w:val="00EC1F52"/>
    <w:rsid w:val="00EC2649"/>
    <w:rsid w:val="00EC2A05"/>
    <w:rsid w:val="00EC2BA4"/>
    <w:rsid w:val="00EC31ED"/>
    <w:rsid w:val="00EC347B"/>
    <w:rsid w:val="00EC37B6"/>
    <w:rsid w:val="00EC38AB"/>
    <w:rsid w:val="00EC42C8"/>
    <w:rsid w:val="00EC47F8"/>
    <w:rsid w:val="00EC4E21"/>
    <w:rsid w:val="00EC5836"/>
    <w:rsid w:val="00EC5839"/>
    <w:rsid w:val="00EC5900"/>
    <w:rsid w:val="00EC5EE5"/>
    <w:rsid w:val="00EC6755"/>
    <w:rsid w:val="00EC688C"/>
    <w:rsid w:val="00EC69A2"/>
    <w:rsid w:val="00EC6B40"/>
    <w:rsid w:val="00EC7615"/>
    <w:rsid w:val="00EC76DD"/>
    <w:rsid w:val="00EC7E0F"/>
    <w:rsid w:val="00EC7EFC"/>
    <w:rsid w:val="00EC7FEF"/>
    <w:rsid w:val="00ED05B5"/>
    <w:rsid w:val="00ED0936"/>
    <w:rsid w:val="00ED09B7"/>
    <w:rsid w:val="00ED1248"/>
    <w:rsid w:val="00ED12E3"/>
    <w:rsid w:val="00ED155D"/>
    <w:rsid w:val="00ED1F97"/>
    <w:rsid w:val="00ED3F84"/>
    <w:rsid w:val="00ED4453"/>
    <w:rsid w:val="00ED4B04"/>
    <w:rsid w:val="00ED57EA"/>
    <w:rsid w:val="00ED5BD4"/>
    <w:rsid w:val="00ED5F8D"/>
    <w:rsid w:val="00ED68BD"/>
    <w:rsid w:val="00ED6C71"/>
    <w:rsid w:val="00ED6EFE"/>
    <w:rsid w:val="00ED72D7"/>
    <w:rsid w:val="00ED72DD"/>
    <w:rsid w:val="00ED7706"/>
    <w:rsid w:val="00ED7BF4"/>
    <w:rsid w:val="00EE07D3"/>
    <w:rsid w:val="00EE0B29"/>
    <w:rsid w:val="00EE106E"/>
    <w:rsid w:val="00EE114C"/>
    <w:rsid w:val="00EE14D4"/>
    <w:rsid w:val="00EE14E3"/>
    <w:rsid w:val="00EE1996"/>
    <w:rsid w:val="00EE1C01"/>
    <w:rsid w:val="00EE20E8"/>
    <w:rsid w:val="00EE22AF"/>
    <w:rsid w:val="00EE26AC"/>
    <w:rsid w:val="00EE3DF9"/>
    <w:rsid w:val="00EE40EB"/>
    <w:rsid w:val="00EE496B"/>
    <w:rsid w:val="00EE5FF0"/>
    <w:rsid w:val="00EE65B2"/>
    <w:rsid w:val="00EE68DB"/>
    <w:rsid w:val="00EE773C"/>
    <w:rsid w:val="00EF0171"/>
    <w:rsid w:val="00EF01B3"/>
    <w:rsid w:val="00EF01DC"/>
    <w:rsid w:val="00EF09C5"/>
    <w:rsid w:val="00EF0A3E"/>
    <w:rsid w:val="00EF0BF5"/>
    <w:rsid w:val="00EF0C46"/>
    <w:rsid w:val="00EF0EDD"/>
    <w:rsid w:val="00EF18FB"/>
    <w:rsid w:val="00EF1B25"/>
    <w:rsid w:val="00EF1BD7"/>
    <w:rsid w:val="00EF1DA0"/>
    <w:rsid w:val="00EF319D"/>
    <w:rsid w:val="00EF4281"/>
    <w:rsid w:val="00EF4747"/>
    <w:rsid w:val="00EF4BF8"/>
    <w:rsid w:val="00EF719A"/>
    <w:rsid w:val="00EF7AA8"/>
    <w:rsid w:val="00F0086C"/>
    <w:rsid w:val="00F01D16"/>
    <w:rsid w:val="00F0202D"/>
    <w:rsid w:val="00F02253"/>
    <w:rsid w:val="00F033E3"/>
    <w:rsid w:val="00F03C2E"/>
    <w:rsid w:val="00F03E3A"/>
    <w:rsid w:val="00F040F2"/>
    <w:rsid w:val="00F04A66"/>
    <w:rsid w:val="00F04B4B"/>
    <w:rsid w:val="00F0516C"/>
    <w:rsid w:val="00F051CF"/>
    <w:rsid w:val="00F05DA1"/>
    <w:rsid w:val="00F05DCA"/>
    <w:rsid w:val="00F06111"/>
    <w:rsid w:val="00F063C7"/>
    <w:rsid w:val="00F063F7"/>
    <w:rsid w:val="00F067A2"/>
    <w:rsid w:val="00F077FA"/>
    <w:rsid w:val="00F07B9E"/>
    <w:rsid w:val="00F103FA"/>
    <w:rsid w:val="00F10547"/>
    <w:rsid w:val="00F109EC"/>
    <w:rsid w:val="00F10DAA"/>
    <w:rsid w:val="00F1116F"/>
    <w:rsid w:val="00F118E9"/>
    <w:rsid w:val="00F120AD"/>
    <w:rsid w:val="00F122CF"/>
    <w:rsid w:val="00F123C5"/>
    <w:rsid w:val="00F1263A"/>
    <w:rsid w:val="00F132AA"/>
    <w:rsid w:val="00F139C5"/>
    <w:rsid w:val="00F13A1B"/>
    <w:rsid w:val="00F13E2E"/>
    <w:rsid w:val="00F1436C"/>
    <w:rsid w:val="00F14E79"/>
    <w:rsid w:val="00F150A9"/>
    <w:rsid w:val="00F150E7"/>
    <w:rsid w:val="00F15519"/>
    <w:rsid w:val="00F15B77"/>
    <w:rsid w:val="00F15C69"/>
    <w:rsid w:val="00F16ABA"/>
    <w:rsid w:val="00F16DB3"/>
    <w:rsid w:val="00F17501"/>
    <w:rsid w:val="00F21236"/>
    <w:rsid w:val="00F239DF"/>
    <w:rsid w:val="00F2402F"/>
    <w:rsid w:val="00F24507"/>
    <w:rsid w:val="00F246B1"/>
    <w:rsid w:val="00F24837"/>
    <w:rsid w:val="00F2575F"/>
    <w:rsid w:val="00F258DA"/>
    <w:rsid w:val="00F25BE8"/>
    <w:rsid w:val="00F26764"/>
    <w:rsid w:val="00F26A5F"/>
    <w:rsid w:val="00F27565"/>
    <w:rsid w:val="00F27BC8"/>
    <w:rsid w:val="00F303DD"/>
    <w:rsid w:val="00F30F88"/>
    <w:rsid w:val="00F310D4"/>
    <w:rsid w:val="00F311BC"/>
    <w:rsid w:val="00F31615"/>
    <w:rsid w:val="00F3164C"/>
    <w:rsid w:val="00F31D5A"/>
    <w:rsid w:val="00F32042"/>
    <w:rsid w:val="00F32645"/>
    <w:rsid w:val="00F3373E"/>
    <w:rsid w:val="00F33975"/>
    <w:rsid w:val="00F33DE9"/>
    <w:rsid w:val="00F345AD"/>
    <w:rsid w:val="00F34604"/>
    <w:rsid w:val="00F35CEE"/>
    <w:rsid w:val="00F35E6D"/>
    <w:rsid w:val="00F35E7C"/>
    <w:rsid w:val="00F3619A"/>
    <w:rsid w:val="00F3631F"/>
    <w:rsid w:val="00F3638D"/>
    <w:rsid w:val="00F367A0"/>
    <w:rsid w:val="00F369AE"/>
    <w:rsid w:val="00F37269"/>
    <w:rsid w:val="00F37B6D"/>
    <w:rsid w:val="00F40AAA"/>
    <w:rsid w:val="00F40BA7"/>
    <w:rsid w:val="00F40E9E"/>
    <w:rsid w:val="00F40F9D"/>
    <w:rsid w:val="00F41ACD"/>
    <w:rsid w:val="00F41F0F"/>
    <w:rsid w:val="00F41F78"/>
    <w:rsid w:val="00F420EA"/>
    <w:rsid w:val="00F42360"/>
    <w:rsid w:val="00F443F0"/>
    <w:rsid w:val="00F45361"/>
    <w:rsid w:val="00F46CB6"/>
    <w:rsid w:val="00F47367"/>
    <w:rsid w:val="00F4756D"/>
    <w:rsid w:val="00F47DE8"/>
    <w:rsid w:val="00F502A8"/>
    <w:rsid w:val="00F507ED"/>
    <w:rsid w:val="00F50928"/>
    <w:rsid w:val="00F5104C"/>
    <w:rsid w:val="00F51669"/>
    <w:rsid w:val="00F518E0"/>
    <w:rsid w:val="00F51A8E"/>
    <w:rsid w:val="00F51B55"/>
    <w:rsid w:val="00F52594"/>
    <w:rsid w:val="00F52EE6"/>
    <w:rsid w:val="00F53353"/>
    <w:rsid w:val="00F53B1E"/>
    <w:rsid w:val="00F542C1"/>
    <w:rsid w:val="00F543B0"/>
    <w:rsid w:val="00F54923"/>
    <w:rsid w:val="00F54BD7"/>
    <w:rsid w:val="00F550E3"/>
    <w:rsid w:val="00F554AA"/>
    <w:rsid w:val="00F5593D"/>
    <w:rsid w:val="00F55E73"/>
    <w:rsid w:val="00F55EDA"/>
    <w:rsid w:val="00F56A5E"/>
    <w:rsid w:val="00F56C80"/>
    <w:rsid w:val="00F56E8E"/>
    <w:rsid w:val="00F577BB"/>
    <w:rsid w:val="00F57E11"/>
    <w:rsid w:val="00F60092"/>
    <w:rsid w:val="00F611FD"/>
    <w:rsid w:val="00F61C18"/>
    <w:rsid w:val="00F61F85"/>
    <w:rsid w:val="00F62064"/>
    <w:rsid w:val="00F63284"/>
    <w:rsid w:val="00F63DE5"/>
    <w:rsid w:val="00F6455F"/>
    <w:rsid w:val="00F6560D"/>
    <w:rsid w:val="00F65F4B"/>
    <w:rsid w:val="00F6602B"/>
    <w:rsid w:val="00F66E6A"/>
    <w:rsid w:val="00F66F7E"/>
    <w:rsid w:val="00F679FA"/>
    <w:rsid w:val="00F67A69"/>
    <w:rsid w:val="00F67D27"/>
    <w:rsid w:val="00F67DE2"/>
    <w:rsid w:val="00F70BFF"/>
    <w:rsid w:val="00F70C9D"/>
    <w:rsid w:val="00F70E05"/>
    <w:rsid w:val="00F71A57"/>
    <w:rsid w:val="00F720E4"/>
    <w:rsid w:val="00F722F9"/>
    <w:rsid w:val="00F72D17"/>
    <w:rsid w:val="00F73419"/>
    <w:rsid w:val="00F737ED"/>
    <w:rsid w:val="00F73B34"/>
    <w:rsid w:val="00F73E08"/>
    <w:rsid w:val="00F74894"/>
    <w:rsid w:val="00F74CD9"/>
    <w:rsid w:val="00F75A13"/>
    <w:rsid w:val="00F75E61"/>
    <w:rsid w:val="00F75F91"/>
    <w:rsid w:val="00F80947"/>
    <w:rsid w:val="00F80A7B"/>
    <w:rsid w:val="00F80E5D"/>
    <w:rsid w:val="00F81709"/>
    <w:rsid w:val="00F81D96"/>
    <w:rsid w:val="00F81E78"/>
    <w:rsid w:val="00F820C8"/>
    <w:rsid w:val="00F82642"/>
    <w:rsid w:val="00F83164"/>
    <w:rsid w:val="00F83244"/>
    <w:rsid w:val="00F83916"/>
    <w:rsid w:val="00F83B51"/>
    <w:rsid w:val="00F84E1E"/>
    <w:rsid w:val="00F851CE"/>
    <w:rsid w:val="00F85B5D"/>
    <w:rsid w:val="00F85F47"/>
    <w:rsid w:val="00F86921"/>
    <w:rsid w:val="00F86E5B"/>
    <w:rsid w:val="00F87126"/>
    <w:rsid w:val="00F87A2F"/>
    <w:rsid w:val="00F87CF1"/>
    <w:rsid w:val="00F90083"/>
    <w:rsid w:val="00F90487"/>
    <w:rsid w:val="00F90C88"/>
    <w:rsid w:val="00F90CCE"/>
    <w:rsid w:val="00F91219"/>
    <w:rsid w:val="00F91777"/>
    <w:rsid w:val="00F9178D"/>
    <w:rsid w:val="00F92317"/>
    <w:rsid w:val="00F92444"/>
    <w:rsid w:val="00F92C3C"/>
    <w:rsid w:val="00F9393E"/>
    <w:rsid w:val="00F93CE1"/>
    <w:rsid w:val="00F9418D"/>
    <w:rsid w:val="00F94547"/>
    <w:rsid w:val="00F94919"/>
    <w:rsid w:val="00F94DD3"/>
    <w:rsid w:val="00F94E4D"/>
    <w:rsid w:val="00F95760"/>
    <w:rsid w:val="00F95A66"/>
    <w:rsid w:val="00F96047"/>
    <w:rsid w:val="00F96509"/>
    <w:rsid w:val="00F96C1F"/>
    <w:rsid w:val="00F96FD0"/>
    <w:rsid w:val="00F97A78"/>
    <w:rsid w:val="00F97D6C"/>
    <w:rsid w:val="00FA0AC7"/>
    <w:rsid w:val="00FA0B20"/>
    <w:rsid w:val="00FA0F92"/>
    <w:rsid w:val="00FA14AD"/>
    <w:rsid w:val="00FA1A0F"/>
    <w:rsid w:val="00FA2183"/>
    <w:rsid w:val="00FA24E7"/>
    <w:rsid w:val="00FA25B3"/>
    <w:rsid w:val="00FA31DD"/>
    <w:rsid w:val="00FA4905"/>
    <w:rsid w:val="00FA4B23"/>
    <w:rsid w:val="00FA5816"/>
    <w:rsid w:val="00FA5ABA"/>
    <w:rsid w:val="00FA5EE6"/>
    <w:rsid w:val="00FA63A8"/>
    <w:rsid w:val="00FA63E8"/>
    <w:rsid w:val="00FA724A"/>
    <w:rsid w:val="00FA7892"/>
    <w:rsid w:val="00FA7956"/>
    <w:rsid w:val="00FA7F69"/>
    <w:rsid w:val="00FB0636"/>
    <w:rsid w:val="00FB0824"/>
    <w:rsid w:val="00FB1235"/>
    <w:rsid w:val="00FB1E7E"/>
    <w:rsid w:val="00FB2F3F"/>
    <w:rsid w:val="00FB2FCB"/>
    <w:rsid w:val="00FB3922"/>
    <w:rsid w:val="00FB3CC3"/>
    <w:rsid w:val="00FB469C"/>
    <w:rsid w:val="00FB4804"/>
    <w:rsid w:val="00FB4993"/>
    <w:rsid w:val="00FB4C9C"/>
    <w:rsid w:val="00FB6210"/>
    <w:rsid w:val="00FB6425"/>
    <w:rsid w:val="00FB64A7"/>
    <w:rsid w:val="00FB6DA4"/>
    <w:rsid w:val="00FB7C55"/>
    <w:rsid w:val="00FC09FB"/>
    <w:rsid w:val="00FC1074"/>
    <w:rsid w:val="00FC1884"/>
    <w:rsid w:val="00FC1BD9"/>
    <w:rsid w:val="00FC371D"/>
    <w:rsid w:val="00FC3851"/>
    <w:rsid w:val="00FC3C38"/>
    <w:rsid w:val="00FC4226"/>
    <w:rsid w:val="00FC4E74"/>
    <w:rsid w:val="00FC5568"/>
    <w:rsid w:val="00FC5F0B"/>
    <w:rsid w:val="00FC6330"/>
    <w:rsid w:val="00FC7F3F"/>
    <w:rsid w:val="00FD022A"/>
    <w:rsid w:val="00FD028D"/>
    <w:rsid w:val="00FD19F3"/>
    <w:rsid w:val="00FD2100"/>
    <w:rsid w:val="00FD33BD"/>
    <w:rsid w:val="00FD3B9E"/>
    <w:rsid w:val="00FD3E84"/>
    <w:rsid w:val="00FD436C"/>
    <w:rsid w:val="00FD446D"/>
    <w:rsid w:val="00FD4602"/>
    <w:rsid w:val="00FD4649"/>
    <w:rsid w:val="00FD4B8F"/>
    <w:rsid w:val="00FD4CD7"/>
    <w:rsid w:val="00FD4ED3"/>
    <w:rsid w:val="00FD4ED6"/>
    <w:rsid w:val="00FD4F2C"/>
    <w:rsid w:val="00FD53D5"/>
    <w:rsid w:val="00FD562B"/>
    <w:rsid w:val="00FD57C8"/>
    <w:rsid w:val="00FD6394"/>
    <w:rsid w:val="00FD71C4"/>
    <w:rsid w:val="00FD7AFB"/>
    <w:rsid w:val="00FD7E41"/>
    <w:rsid w:val="00FD7F1C"/>
    <w:rsid w:val="00FE00FD"/>
    <w:rsid w:val="00FE0927"/>
    <w:rsid w:val="00FE0C34"/>
    <w:rsid w:val="00FE0E6C"/>
    <w:rsid w:val="00FE0F97"/>
    <w:rsid w:val="00FE14D7"/>
    <w:rsid w:val="00FE1CDC"/>
    <w:rsid w:val="00FE1DE5"/>
    <w:rsid w:val="00FE30C1"/>
    <w:rsid w:val="00FE3E22"/>
    <w:rsid w:val="00FE4397"/>
    <w:rsid w:val="00FE4CFF"/>
    <w:rsid w:val="00FE4E5E"/>
    <w:rsid w:val="00FE4F66"/>
    <w:rsid w:val="00FE5710"/>
    <w:rsid w:val="00FE60CB"/>
    <w:rsid w:val="00FE6B5F"/>
    <w:rsid w:val="00FE70C3"/>
    <w:rsid w:val="00FF017C"/>
    <w:rsid w:val="00FF0D12"/>
    <w:rsid w:val="00FF1A8B"/>
    <w:rsid w:val="00FF21D8"/>
    <w:rsid w:val="00FF2939"/>
    <w:rsid w:val="00FF2AD9"/>
    <w:rsid w:val="00FF2E59"/>
    <w:rsid w:val="00FF359F"/>
    <w:rsid w:val="00FF3DCF"/>
    <w:rsid w:val="00FF429F"/>
    <w:rsid w:val="00FF44DD"/>
    <w:rsid w:val="00FF492C"/>
    <w:rsid w:val="00FF4A21"/>
    <w:rsid w:val="00FF5AA3"/>
    <w:rsid w:val="00FF5AD8"/>
    <w:rsid w:val="00FF6754"/>
    <w:rsid w:val="00FF6D0F"/>
    <w:rsid w:val="00FF71EF"/>
    <w:rsid w:val="00FF74A1"/>
    <w:rsid w:val="0793A8E2"/>
    <w:rsid w:val="07E81964"/>
    <w:rsid w:val="0BEC0AB4"/>
    <w:rsid w:val="0D0B72B0"/>
    <w:rsid w:val="12893FCA"/>
    <w:rsid w:val="176A054E"/>
    <w:rsid w:val="1DA8A0F2"/>
    <w:rsid w:val="1ED901C0"/>
    <w:rsid w:val="23D274EE"/>
    <w:rsid w:val="2502C5A0"/>
    <w:rsid w:val="35755951"/>
    <w:rsid w:val="35FAFA7C"/>
    <w:rsid w:val="44369728"/>
    <w:rsid w:val="466C6249"/>
    <w:rsid w:val="4E8A51F3"/>
    <w:rsid w:val="572C366F"/>
    <w:rsid w:val="58AA09BF"/>
    <w:rsid w:val="5A9D20D4"/>
    <w:rsid w:val="5AC3E9FC"/>
    <w:rsid w:val="5D824F96"/>
    <w:rsid w:val="60F16B62"/>
    <w:rsid w:val="6103B738"/>
    <w:rsid w:val="63090655"/>
    <w:rsid w:val="63F1911A"/>
    <w:rsid w:val="6640A717"/>
    <w:rsid w:val="6B57E039"/>
    <w:rsid w:val="700A09A3"/>
    <w:rsid w:val="7088197F"/>
    <w:rsid w:val="7196DA96"/>
    <w:rsid w:val="7756154A"/>
    <w:rsid w:val="79C0ABCB"/>
    <w:rsid w:val="7DE76EE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63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22778F"/>
    <w:pPr>
      <w:spacing w:after="120"/>
      <w:ind w:left="1134" w:hanging="357"/>
      <w:contextualSpacing w:val="0"/>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22778F"/>
    <w:rPr>
      <w:rFonts w:asciiTheme="minorHAnsi" w:hAnsiTheme="minorHAnsi" w:cs="Arial"/>
      <w:snapToGrid w:val="0"/>
      <w:sz w:val="24"/>
      <w:szCs w:val="24"/>
    </w:rPr>
  </w:style>
  <w:style w:type="paragraph" w:customStyle="1" w:styleId="COMH3">
    <w:name w:val="COM H3"/>
    <w:basedOn w:val="Normal"/>
    <w:next w:val="Normal"/>
    <w:link w:val="COMH3Char"/>
    <w:qFormat/>
    <w:rsid w:val="003B7DFF"/>
    <w:pPr>
      <w:keepNext/>
      <w:spacing w:after="240"/>
      <w:outlineLvl w:val="0"/>
    </w:pPr>
    <w:rPr>
      <w:b/>
      <w:iCs/>
      <w:sz w:val="28"/>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Bullet1,Bullet 1,Section"/>
    <w:next w:val="ListBullet"/>
    <w:link w:val="ListParagraphChar"/>
    <w:uiPriority w:val="34"/>
    <w:qFormat/>
    <w:rsid w:val="003119B3"/>
    <w:pPr>
      <w:numPr>
        <w:numId w:val="3"/>
      </w:numPr>
      <w:contextualSpacing/>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contextualSpacing/>
    </w:p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3119B3"/>
    <w:rPr>
      <w:rFonts w:asciiTheme="minorHAnsi" w:hAnsiTheme="minorHAnsi" w:cs="Arial"/>
      <w:snapToGrid w:val="0"/>
      <w:sz w:val="24"/>
      <w:szCs w:val="24"/>
    </w:rPr>
  </w:style>
  <w:style w:type="table" w:styleId="TableGrid">
    <w:name w:val="Table Grid"/>
    <w:aliases w:val="Summary box,Table Gridbeth,CMA Table Template,ASD Table,Tabellengitternetz 9pt,Source table_,NICE instructions,PBAC table,new style,MSD Table Grid,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3B7DFF"/>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4"/>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1D1005"/>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1D1005"/>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C434C9"/>
    <w:pPr>
      <w:numPr>
        <w:ilvl w:val="1"/>
        <w:numId w:val="1"/>
      </w:numPr>
      <w:spacing w:after="120"/>
      <w:ind w:left="720" w:hanging="720"/>
      <w:contextualSpacing w:val="0"/>
    </w:pPr>
  </w:style>
  <w:style w:type="character" w:customStyle="1" w:styleId="COMexecsumnumberedparaChar">
    <w:name w:val="COM exec sum numbered para Char"/>
    <w:basedOn w:val="ListParagraphChar"/>
    <w:link w:val="COMexecsumnumberedpara"/>
    <w:rsid w:val="00C434C9"/>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paragraph" w:styleId="Header">
    <w:name w:val="header"/>
    <w:basedOn w:val="Normal"/>
    <w:link w:val="HeaderChar"/>
    <w:uiPriority w:val="99"/>
    <w:unhideWhenUsed/>
    <w:qFormat/>
    <w:rsid w:val="00FD19F3"/>
    <w:pPr>
      <w:tabs>
        <w:tab w:val="center" w:pos="4513"/>
        <w:tab w:val="right" w:pos="9026"/>
      </w:tabs>
    </w:pPr>
  </w:style>
  <w:style w:type="character" w:customStyle="1" w:styleId="HeaderChar">
    <w:name w:val="Header Char"/>
    <w:basedOn w:val="DefaultParagraphFont"/>
    <w:link w:val="Header"/>
    <w:uiPriority w:val="99"/>
    <w:rsid w:val="00FD19F3"/>
    <w:rPr>
      <w:rFonts w:ascii="Calibri" w:hAnsi="Calibri" w:cs="Arial"/>
      <w:sz w:val="24"/>
      <w:szCs w:val="24"/>
    </w:rPr>
  </w:style>
  <w:style w:type="paragraph" w:styleId="Footer">
    <w:name w:val="footer"/>
    <w:basedOn w:val="Normal"/>
    <w:link w:val="FooterChar"/>
    <w:uiPriority w:val="99"/>
    <w:unhideWhenUsed/>
    <w:rsid w:val="00FD19F3"/>
    <w:pPr>
      <w:tabs>
        <w:tab w:val="center" w:pos="4513"/>
        <w:tab w:val="right" w:pos="9026"/>
      </w:tabs>
    </w:pPr>
  </w:style>
  <w:style w:type="character" w:customStyle="1" w:styleId="FooterChar">
    <w:name w:val="Footer Char"/>
    <w:basedOn w:val="DefaultParagraphFont"/>
    <w:link w:val="Footer"/>
    <w:uiPriority w:val="99"/>
    <w:rsid w:val="00FD19F3"/>
    <w:rPr>
      <w:rFonts w:ascii="Calibri" w:hAnsi="Calibri" w:cs="Arial"/>
      <w:sz w:val="24"/>
      <w:szCs w:val="24"/>
    </w:rPr>
  </w:style>
  <w:style w:type="character" w:styleId="CommentReference">
    <w:name w:val="annotation reference"/>
    <w:aliases w:val="Table Title,-H18,Annotationmark"/>
    <w:basedOn w:val="DefaultParagraphFont"/>
    <w:uiPriority w:val="99"/>
    <w:unhideWhenUsed/>
    <w:qFormat/>
    <w:rsid w:val="001B34A8"/>
    <w:rPr>
      <w:sz w:val="16"/>
      <w:szCs w:val="16"/>
    </w:rPr>
  </w:style>
  <w:style w:type="paragraph" w:styleId="CommentText">
    <w:name w:val="annotation text"/>
    <w:basedOn w:val="Normal"/>
    <w:link w:val="CommentTextChar"/>
    <w:uiPriority w:val="99"/>
    <w:unhideWhenUsed/>
    <w:rsid w:val="001B34A8"/>
    <w:rPr>
      <w:sz w:val="20"/>
      <w:szCs w:val="20"/>
    </w:rPr>
  </w:style>
  <w:style w:type="character" w:customStyle="1" w:styleId="CommentTextChar">
    <w:name w:val="Comment Text Char"/>
    <w:basedOn w:val="DefaultParagraphFont"/>
    <w:link w:val="CommentText"/>
    <w:uiPriority w:val="99"/>
    <w:rsid w:val="001B34A8"/>
    <w:rPr>
      <w:rFonts w:ascii="Calibri" w:hAnsi="Calibri" w:cs="Arial"/>
    </w:rPr>
  </w:style>
  <w:style w:type="paragraph" w:styleId="CommentSubject">
    <w:name w:val="annotation subject"/>
    <w:basedOn w:val="CommentText"/>
    <w:next w:val="CommentText"/>
    <w:link w:val="CommentSubjectChar"/>
    <w:semiHidden/>
    <w:unhideWhenUsed/>
    <w:rsid w:val="001B34A8"/>
    <w:rPr>
      <w:b/>
      <w:bCs/>
    </w:rPr>
  </w:style>
  <w:style w:type="character" w:customStyle="1" w:styleId="CommentSubjectChar">
    <w:name w:val="Comment Subject Char"/>
    <w:basedOn w:val="CommentTextChar"/>
    <w:link w:val="CommentSubject"/>
    <w:semiHidden/>
    <w:rsid w:val="001B34A8"/>
    <w:rPr>
      <w:rFonts w:ascii="Calibri" w:hAnsi="Calibri" w:cs="Arial"/>
      <w:b/>
      <w:bCs/>
    </w:rPr>
  </w:style>
  <w:style w:type="paragraph" w:customStyle="1" w:styleId="TableHeading">
    <w:name w:val="Table Heading"/>
    <w:basedOn w:val="Normal"/>
    <w:link w:val="TableHeadingChar"/>
    <w:qFormat/>
    <w:rsid w:val="00F518E0"/>
    <w:pPr>
      <w:keepNext/>
      <w:keepLines/>
      <w:spacing w:before="20" w:after="20" w:line="276" w:lineRule="auto"/>
      <w:jc w:val="left"/>
    </w:pPr>
    <w:rPr>
      <w:rFonts w:ascii="Arial Narrow" w:eastAsiaTheme="majorEastAsia" w:hAnsi="Arial Narrow"/>
      <w:b/>
      <w:sz w:val="20"/>
      <w:szCs w:val="20"/>
      <w:lang w:bidi="en-US"/>
    </w:rPr>
  </w:style>
  <w:style w:type="character" w:customStyle="1" w:styleId="TableHeadingChar">
    <w:name w:val="Table Heading Char"/>
    <w:link w:val="TableHeading"/>
    <w:rsid w:val="00F518E0"/>
    <w:rPr>
      <w:rFonts w:ascii="Arial Narrow" w:eastAsiaTheme="majorEastAsia" w:hAnsi="Arial Narrow" w:cs="Arial"/>
      <w:b/>
      <w:lang w:bidi="en-US"/>
    </w:rPr>
  </w:style>
  <w:style w:type="paragraph" w:customStyle="1" w:styleId="TableFooter">
    <w:name w:val="Table Footer"/>
    <w:basedOn w:val="Normal"/>
    <w:link w:val="TableFooterChar"/>
    <w:qFormat/>
    <w:rsid w:val="00F518E0"/>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F518E0"/>
    <w:rPr>
      <w:rFonts w:ascii="Arial Narrow" w:hAnsi="Arial Narrow" w:cs="Arial"/>
      <w:snapToGrid w:val="0"/>
      <w:sz w:val="18"/>
      <w:lang w:eastAsia="en-US"/>
    </w:rPr>
  </w:style>
  <w:style w:type="paragraph" w:customStyle="1" w:styleId="TableText">
    <w:name w:val="Table Text"/>
    <w:link w:val="TableTextChar"/>
    <w:qFormat/>
    <w:rsid w:val="00BD3FC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BD3FCF"/>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FA724A"/>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A724A"/>
    <w:rPr>
      <w:rFonts w:ascii="Arial Narrow" w:hAnsi="Arial Narrow" w:cs="Arial"/>
      <w:snapToGrid w:val="0"/>
      <w:sz w:val="18"/>
      <w:szCs w:val="22"/>
    </w:rPr>
  </w:style>
  <w:style w:type="paragraph" w:customStyle="1" w:styleId="Tableheadingrow">
    <w:name w:val="Table heading row"/>
    <w:uiPriority w:val="99"/>
    <w:qFormat/>
    <w:rsid w:val="00FA724A"/>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FA724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FA724A"/>
    <w:rPr>
      <w:rFonts w:ascii="Arial Narrow" w:eastAsiaTheme="majorEastAsia" w:hAnsi="Arial Narrow" w:cstheme="majorBidi"/>
      <w:b/>
      <w:bCs/>
      <w:szCs w:val="24"/>
    </w:rPr>
  </w:style>
  <w:style w:type="paragraph" w:customStyle="1" w:styleId="Tabletextcentred">
    <w:name w:val="Table text centred"/>
    <w:basedOn w:val="Normal"/>
    <w:link w:val="TabletextcentredChar"/>
    <w:qFormat/>
    <w:rsid w:val="00FA724A"/>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FA724A"/>
    <w:rPr>
      <w:rFonts w:ascii="Arial Narrow" w:hAnsi="Arial Narrow" w:cs="Arial Narrow"/>
      <w:lang w:eastAsia="en-US"/>
    </w:rPr>
  </w:style>
  <w:style w:type="paragraph" w:customStyle="1" w:styleId="V50Instructions">
    <w:name w:val="V5.0 Instructions"/>
    <w:basedOn w:val="Normal"/>
    <w:link w:val="V50InstructionsChar"/>
    <w:qFormat/>
    <w:rsid w:val="00FC3C38"/>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FC3C38"/>
    <w:rPr>
      <w:rFonts w:asciiTheme="minorHAnsi" w:eastAsiaTheme="minorHAnsi" w:hAnsiTheme="minorHAnsi" w:cstheme="minorBidi"/>
      <w:color w:val="4BACC6" w:themeColor="accent5"/>
      <w:sz w:val="24"/>
      <w:szCs w:val="22"/>
      <w:lang w:eastAsia="en-US"/>
    </w:rPr>
  </w:style>
  <w:style w:type="character" w:styleId="Hyperlink">
    <w:name w:val="Hyperlink"/>
    <w:basedOn w:val="DefaultParagraphFont"/>
    <w:uiPriority w:val="99"/>
    <w:unhideWhenUsed/>
    <w:rsid w:val="003868DC"/>
    <w:rPr>
      <w:color w:val="0000FF" w:themeColor="hyperlink"/>
      <w:u w:val="single"/>
    </w:rPr>
  </w:style>
  <w:style w:type="character" w:styleId="UnresolvedMention">
    <w:name w:val="Unresolved Mention"/>
    <w:basedOn w:val="DefaultParagraphFont"/>
    <w:uiPriority w:val="99"/>
    <w:semiHidden/>
    <w:unhideWhenUsed/>
    <w:rsid w:val="003868DC"/>
    <w:rPr>
      <w:color w:val="605E5C"/>
      <w:shd w:val="clear" w:color="auto" w:fill="E1DFDD"/>
    </w:rPr>
  </w:style>
  <w:style w:type="character" w:customStyle="1" w:styleId="PBACTableTextChar">
    <w:name w:val="PBAC Table Text Char"/>
    <w:basedOn w:val="DefaultParagraphFont"/>
    <w:link w:val="PBACTableText"/>
    <w:locked/>
    <w:rsid w:val="00DF439E"/>
    <w:rPr>
      <w:rFonts w:ascii="Arial Narrow" w:hAnsi="Arial Narrow"/>
    </w:rPr>
  </w:style>
  <w:style w:type="paragraph" w:customStyle="1" w:styleId="PBACTableText">
    <w:name w:val="PBAC Table Text"/>
    <w:basedOn w:val="Normal"/>
    <w:link w:val="PBACTableTextChar"/>
    <w:qFormat/>
    <w:rsid w:val="00DF439E"/>
    <w:pPr>
      <w:spacing w:before="40" w:after="40"/>
    </w:pPr>
    <w:rPr>
      <w:rFonts w:ascii="Arial Narrow" w:hAnsi="Arial Narrow" w:cs="Times New Roman"/>
      <w:sz w:val="20"/>
      <w:szCs w:val="20"/>
    </w:rPr>
  </w:style>
  <w:style w:type="paragraph" w:customStyle="1" w:styleId="Tabletext0">
    <w:name w:val="Table text"/>
    <w:basedOn w:val="Normal"/>
    <w:link w:val="TabletextChar0"/>
    <w:uiPriority w:val="99"/>
    <w:qFormat/>
    <w:rsid w:val="00A11481"/>
    <w:pPr>
      <w:jc w:val="left"/>
    </w:pPr>
    <w:rPr>
      <w:rFonts w:ascii="Arial Narrow" w:hAnsi="Arial Narrow" w:cs="Times New Roman"/>
      <w:snapToGrid w:val="0"/>
      <w:sz w:val="20"/>
    </w:rPr>
  </w:style>
  <w:style w:type="character" w:customStyle="1" w:styleId="TabletextChar0">
    <w:name w:val="Table text Char"/>
    <w:link w:val="Tabletext0"/>
    <w:uiPriority w:val="99"/>
    <w:rsid w:val="00A11481"/>
    <w:rPr>
      <w:rFonts w:ascii="Arial Narrow" w:hAnsi="Arial Narrow"/>
      <w:snapToGrid w:val="0"/>
      <w:szCs w:val="24"/>
    </w:rPr>
  </w:style>
  <w:style w:type="character" w:customStyle="1" w:styleId="normaltextrun">
    <w:name w:val="normaltextrun"/>
    <w:basedOn w:val="DefaultParagraphFont"/>
    <w:rsid w:val="008476E8"/>
  </w:style>
  <w:style w:type="character" w:customStyle="1" w:styleId="eop">
    <w:name w:val="eop"/>
    <w:basedOn w:val="DefaultParagraphFont"/>
    <w:rsid w:val="008476E8"/>
  </w:style>
  <w:style w:type="paragraph" w:customStyle="1" w:styleId="paragraph">
    <w:name w:val="paragraph"/>
    <w:basedOn w:val="Normal"/>
    <w:rsid w:val="008476E8"/>
    <w:pPr>
      <w:spacing w:before="100" w:beforeAutospacing="1" w:after="100" w:afterAutospacing="1"/>
      <w:jc w:val="left"/>
    </w:pPr>
    <w:rPr>
      <w:rFonts w:ascii="Times New Roman" w:hAnsi="Times New Roman" w:cs="Times New Roman"/>
    </w:rPr>
  </w:style>
  <w:style w:type="paragraph" w:customStyle="1" w:styleId="Default">
    <w:name w:val="Default"/>
    <w:rsid w:val="003805D6"/>
    <w:pPr>
      <w:autoSpaceDE w:val="0"/>
      <w:autoSpaceDN w:val="0"/>
      <w:adjustRightInd w:val="0"/>
    </w:pPr>
    <w:rPr>
      <w:color w:val="000000"/>
      <w:sz w:val="24"/>
      <w:szCs w:val="24"/>
    </w:rPr>
  </w:style>
  <w:style w:type="paragraph" w:styleId="Caption">
    <w:name w:val="caption"/>
    <w:basedOn w:val="Normal"/>
    <w:next w:val="Normal"/>
    <w:unhideWhenUsed/>
    <w:rsid w:val="009F70BB"/>
    <w:pPr>
      <w:spacing w:after="200"/>
    </w:pPr>
    <w:rPr>
      <w:i/>
      <w:iCs/>
      <w:color w:val="1F497D" w:themeColor="text2"/>
      <w:sz w:val="18"/>
      <w:szCs w:val="18"/>
    </w:rPr>
  </w:style>
  <w:style w:type="paragraph" w:customStyle="1" w:styleId="5-SubSubSubHead">
    <w:name w:val="5-Sub Sub Sub Head"/>
    <w:basedOn w:val="Heading4"/>
    <w:qFormat/>
    <w:rsid w:val="004B5C60"/>
  </w:style>
  <w:style w:type="paragraph" w:customStyle="1" w:styleId="4-SubsectSubhead">
    <w:name w:val="4-Subsect Subhead"/>
    <w:basedOn w:val="Heading3"/>
    <w:next w:val="Normal"/>
    <w:link w:val="4-SubsectSubheadChar"/>
    <w:qFormat/>
    <w:rsid w:val="004B5C60"/>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4B5C60"/>
    <w:rPr>
      <w:rFonts w:asciiTheme="minorHAnsi" w:eastAsiaTheme="majorEastAsia" w:hAnsiTheme="minorHAnsi" w:cstheme="majorBidi"/>
      <w:b/>
      <w:color w:val="000000" w:themeColor="text1"/>
      <w:sz w:val="28"/>
      <w:szCs w:val="28"/>
    </w:rPr>
  </w:style>
  <w:style w:type="paragraph" w:customStyle="1" w:styleId="PBACHeading1">
    <w:name w:val="PBAC Heading 1"/>
    <w:qFormat/>
    <w:rsid w:val="00EA315F"/>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C034AE"/>
    <w:pPr>
      <w:spacing w:after="120"/>
      <w:ind w:left="720"/>
      <w:contextualSpacing/>
    </w:pPr>
    <w:rPr>
      <w:snapToGrid w:val="0"/>
    </w:rPr>
  </w:style>
  <w:style w:type="paragraph" w:customStyle="1" w:styleId="3-SubsectionHeading">
    <w:name w:val="3-Subsection Heading"/>
    <w:basedOn w:val="Heading2"/>
    <w:next w:val="Normal"/>
    <w:link w:val="3-SubsectionHeadingChar"/>
    <w:qFormat/>
    <w:rsid w:val="00463572"/>
    <w:pPr>
      <w:keepNext/>
      <w:spacing w:before="120" w:after="120"/>
      <w:jc w:val="both"/>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463572"/>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MinorOVRHeader">
    <w:name w:val="Minor OVR Header"/>
    <w:basedOn w:val="Header"/>
    <w:link w:val="MinorOVRHeaderChar"/>
    <w:rsid w:val="00990E4F"/>
    <w:pPr>
      <w:keepNext/>
      <w:jc w:val="right"/>
    </w:pPr>
    <w:rPr>
      <w:rFonts w:asciiTheme="minorHAnsi" w:hAnsiTheme="minorHAnsi"/>
    </w:rPr>
  </w:style>
  <w:style w:type="character" w:customStyle="1" w:styleId="MinorOVRHeaderChar">
    <w:name w:val="Minor OVR Header Char"/>
    <w:basedOn w:val="DefaultParagraphFont"/>
    <w:link w:val="MinorOVRHeader"/>
    <w:rsid w:val="00990E4F"/>
    <w:rPr>
      <w:rFonts w:asciiTheme="minorHAnsi" w:hAnsiTheme="minorHAnsi" w:cs="Arial"/>
      <w:sz w:val="24"/>
      <w:szCs w:val="24"/>
    </w:rPr>
  </w:style>
  <w:style w:type="paragraph" w:customStyle="1" w:styleId="2-SectionHeading">
    <w:name w:val="2-Section Heading"/>
    <w:qFormat/>
    <w:rsid w:val="009E7478"/>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qFormat/>
    <w:rsid w:val="009E7478"/>
    <w:pPr>
      <w:numPr>
        <w:numId w:val="0"/>
      </w:numPr>
      <w:spacing w:after="120"/>
      <w:ind w:left="720" w:hanging="720"/>
      <w:contextualSpacing w:val="0"/>
    </w:pPr>
  </w:style>
  <w:style w:type="paragraph" w:styleId="FootnoteText">
    <w:name w:val="footnote text"/>
    <w:basedOn w:val="Normal"/>
    <w:link w:val="FootnoteTextChar"/>
    <w:semiHidden/>
    <w:unhideWhenUsed/>
    <w:rsid w:val="005369F0"/>
    <w:rPr>
      <w:sz w:val="20"/>
      <w:szCs w:val="20"/>
    </w:rPr>
  </w:style>
  <w:style w:type="character" w:customStyle="1" w:styleId="FootnoteTextChar">
    <w:name w:val="Footnote Text Char"/>
    <w:basedOn w:val="DefaultParagraphFont"/>
    <w:link w:val="FootnoteText"/>
    <w:semiHidden/>
    <w:rsid w:val="005369F0"/>
    <w:rPr>
      <w:rFonts w:ascii="Calibri" w:hAnsi="Calibri" w:cs="Arial"/>
    </w:rPr>
  </w:style>
  <w:style w:type="character" w:styleId="FootnoteReference">
    <w:name w:val="footnote reference"/>
    <w:basedOn w:val="DefaultParagraphFont"/>
    <w:semiHidden/>
    <w:unhideWhenUsed/>
    <w:rsid w:val="00536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4617791">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817871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7484822">
      <w:bodyDiv w:val="1"/>
      <w:marLeft w:val="0"/>
      <w:marRight w:val="0"/>
      <w:marTop w:val="0"/>
      <w:marBottom w:val="0"/>
      <w:divBdr>
        <w:top w:val="none" w:sz="0" w:space="0" w:color="auto"/>
        <w:left w:val="none" w:sz="0" w:space="0" w:color="auto"/>
        <w:bottom w:val="none" w:sz="0" w:space="0" w:color="auto"/>
        <w:right w:val="none" w:sz="0" w:space="0" w:color="auto"/>
      </w:divBdr>
    </w:div>
    <w:div w:id="454569216">
      <w:bodyDiv w:val="1"/>
      <w:marLeft w:val="0"/>
      <w:marRight w:val="0"/>
      <w:marTop w:val="0"/>
      <w:marBottom w:val="0"/>
      <w:divBdr>
        <w:top w:val="none" w:sz="0" w:space="0" w:color="auto"/>
        <w:left w:val="none" w:sz="0" w:space="0" w:color="auto"/>
        <w:bottom w:val="none" w:sz="0" w:space="0" w:color="auto"/>
        <w:right w:val="none" w:sz="0" w:space="0" w:color="auto"/>
      </w:divBdr>
      <w:divsChild>
        <w:div w:id="1346515804">
          <w:marLeft w:val="0"/>
          <w:marRight w:val="0"/>
          <w:marTop w:val="0"/>
          <w:marBottom w:val="0"/>
          <w:divBdr>
            <w:top w:val="none" w:sz="0" w:space="0" w:color="auto"/>
            <w:left w:val="none" w:sz="0" w:space="0" w:color="auto"/>
            <w:bottom w:val="none" w:sz="0" w:space="0" w:color="auto"/>
            <w:right w:val="none" w:sz="0" w:space="0" w:color="auto"/>
          </w:divBdr>
        </w:div>
        <w:div w:id="289434952">
          <w:marLeft w:val="0"/>
          <w:marRight w:val="0"/>
          <w:marTop w:val="0"/>
          <w:marBottom w:val="0"/>
          <w:divBdr>
            <w:top w:val="none" w:sz="0" w:space="0" w:color="auto"/>
            <w:left w:val="none" w:sz="0" w:space="0" w:color="auto"/>
            <w:bottom w:val="none" w:sz="0" w:space="0" w:color="auto"/>
            <w:right w:val="none" w:sz="0" w:space="0" w:color="auto"/>
          </w:divBdr>
        </w:div>
      </w:divsChild>
    </w:div>
    <w:div w:id="503977930">
      <w:bodyDiv w:val="1"/>
      <w:marLeft w:val="0"/>
      <w:marRight w:val="0"/>
      <w:marTop w:val="0"/>
      <w:marBottom w:val="0"/>
      <w:divBdr>
        <w:top w:val="none" w:sz="0" w:space="0" w:color="auto"/>
        <w:left w:val="none" w:sz="0" w:space="0" w:color="auto"/>
        <w:bottom w:val="none" w:sz="0" w:space="0" w:color="auto"/>
        <w:right w:val="none" w:sz="0" w:space="0" w:color="auto"/>
      </w:divBdr>
    </w:div>
    <w:div w:id="53072357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3927027">
      <w:bodyDiv w:val="1"/>
      <w:marLeft w:val="0"/>
      <w:marRight w:val="0"/>
      <w:marTop w:val="0"/>
      <w:marBottom w:val="0"/>
      <w:divBdr>
        <w:top w:val="none" w:sz="0" w:space="0" w:color="auto"/>
        <w:left w:val="none" w:sz="0" w:space="0" w:color="auto"/>
        <w:bottom w:val="none" w:sz="0" w:space="0" w:color="auto"/>
        <w:right w:val="none" w:sz="0" w:space="0" w:color="auto"/>
      </w:divBdr>
    </w:div>
    <w:div w:id="966739581">
      <w:bodyDiv w:val="1"/>
      <w:marLeft w:val="0"/>
      <w:marRight w:val="0"/>
      <w:marTop w:val="0"/>
      <w:marBottom w:val="0"/>
      <w:divBdr>
        <w:top w:val="none" w:sz="0" w:space="0" w:color="auto"/>
        <w:left w:val="none" w:sz="0" w:space="0" w:color="auto"/>
        <w:bottom w:val="none" w:sz="0" w:space="0" w:color="auto"/>
        <w:right w:val="none" w:sz="0" w:space="0" w:color="auto"/>
      </w:divBdr>
    </w:div>
    <w:div w:id="1076392432">
      <w:bodyDiv w:val="1"/>
      <w:marLeft w:val="0"/>
      <w:marRight w:val="0"/>
      <w:marTop w:val="0"/>
      <w:marBottom w:val="0"/>
      <w:divBdr>
        <w:top w:val="none" w:sz="0" w:space="0" w:color="auto"/>
        <w:left w:val="none" w:sz="0" w:space="0" w:color="auto"/>
        <w:bottom w:val="none" w:sz="0" w:space="0" w:color="auto"/>
        <w:right w:val="none" w:sz="0" w:space="0" w:color="auto"/>
      </w:divBdr>
    </w:div>
    <w:div w:id="1081367918">
      <w:bodyDiv w:val="1"/>
      <w:marLeft w:val="0"/>
      <w:marRight w:val="0"/>
      <w:marTop w:val="0"/>
      <w:marBottom w:val="0"/>
      <w:divBdr>
        <w:top w:val="none" w:sz="0" w:space="0" w:color="auto"/>
        <w:left w:val="none" w:sz="0" w:space="0" w:color="auto"/>
        <w:bottom w:val="none" w:sz="0" w:space="0" w:color="auto"/>
        <w:right w:val="none" w:sz="0" w:space="0" w:color="auto"/>
      </w:divBdr>
    </w:div>
    <w:div w:id="1160079021">
      <w:bodyDiv w:val="1"/>
      <w:marLeft w:val="0"/>
      <w:marRight w:val="0"/>
      <w:marTop w:val="0"/>
      <w:marBottom w:val="0"/>
      <w:divBdr>
        <w:top w:val="none" w:sz="0" w:space="0" w:color="auto"/>
        <w:left w:val="none" w:sz="0" w:space="0" w:color="auto"/>
        <w:bottom w:val="none" w:sz="0" w:space="0" w:color="auto"/>
        <w:right w:val="none" w:sz="0" w:space="0" w:color="auto"/>
      </w:divBdr>
    </w:div>
    <w:div w:id="116427266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0290032">
      <w:bodyDiv w:val="1"/>
      <w:marLeft w:val="0"/>
      <w:marRight w:val="0"/>
      <w:marTop w:val="0"/>
      <w:marBottom w:val="0"/>
      <w:divBdr>
        <w:top w:val="none" w:sz="0" w:space="0" w:color="auto"/>
        <w:left w:val="none" w:sz="0" w:space="0" w:color="auto"/>
        <w:bottom w:val="none" w:sz="0" w:space="0" w:color="auto"/>
        <w:right w:val="none" w:sz="0" w:space="0" w:color="auto"/>
      </w:divBdr>
    </w:div>
    <w:div w:id="1207258728">
      <w:bodyDiv w:val="1"/>
      <w:marLeft w:val="0"/>
      <w:marRight w:val="0"/>
      <w:marTop w:val="0"/>
      <w:marBottom w:val="0"/>
      <w:divBdr>
        <w:top w:val="none" w:sz="0" w:space="0" w:color="auto"/>
        <w:left w:val="none" w:sz="0" w:space="0" w:color="auto"/>
        <w:bottom w:val="none" w:sz="0" w:space="0" w:color="auto"/>
        <w:right w:val="none" w:sz="0" w:space="0" w:color="auto"/>
      </w:divBdr>
    </w:div>
    <w:div w:id="1207445758">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4631790">
      <w:bodyDiv w:val="1"/>
      <w:marLeft w:val="0"/>
      <w:marRight w:val="0"/>
      <w:marTop w:val="0"/>
      <w:marBottom w:val="0"/>
      <w:divBdr>
        <w:top w:val="none" w:sz="0" w:space="0" w:color="auto"/>
        <w:left w:val="none" w:sz="0" w:space="0" w:color="auto"/>
        <w:bottom w:val="none" w:sz="0" w:space="0" w:color="auto"/>
        <w:right w:val="none" w:sz="0" w:space="0" w:color="auto"/>
      </w:divBdr>
    </w:div>
    <w:div w:id="1461849611">
      <w:bodyDiv w:val="1"/>
      <w:marLeft w:val="0"/>
      <w:marRight w:val="0"/>
      <w:marTop w:val="0"/>
      <w:marBottom w:val="0"/>
      <w:divBdr>
        <w:top w:val="none" w:sz="0" w:space="0" w:color="auto"/>
        <w:left w:val="none" w:sz="0" w:space="0" w:color="auto"/>
        <w:bottom w:val="none" w:sz="0" w:space="0" w:color="auto"/>
        <w:right w:val="none" w:sz="0" w:space="0" w:color="auto"/>
      </w:divBdr>
    </w:div>
    <w:div w:id="1577282837">
      <w:bodyDiv w:val="1"/>
      <w:marLeft w:val="0"/>
      <w:marRight w:val="0"/>
      <w:marTop w:val="0"/>
      <w:marBottom w:val="0"/>
      <w:divBdr>
        <w:top w:val="none" w:sz="0" w:space="0" w:color="auto"/>
        <w:left w:val="none" w:sz="0" w:space="0" w:color="auto"/>
        <w:bottom w:val="none" w:sz="0" w:space="0" w:color="auto"/>
        <w:right w:val="none" w:sz="0" w:space="0" w:color="auto"/>
      </w:divBdr>
    </w:div>
    <w:div w:id="1652825455">
      <w:bodyDiv w:val="1"/>
      <w:marLeft w:val="0"/>
      <w:marRight w:val="0"/>
      <w:marTop w:val="0"/>
      <w:marBottom w:val="0"/>
      <w:divBdr>
        <w:top w:val="none" w:sz="0" w:space="0" w:color="auto"/>
        <w:left w:val="none" w:sz="0" w:space="0" w:color="auto"/>
        <w:bottom w:val="none" w:sz="0" w:space="0" w:color="auto"/>
        <w:right w:val="none" w:sz="0" w:space="0" w:color="auto"/>
      </w:divBdr>
    </w:div>
    <w:div w:id="1670979475">
      <w:bodyDiv w:val="1"/>
      <w:marLeft w:val="0"/>
      <w:marRight w:val="0"/>
      <w:marTop w:val="0"/>
      <w:marBottom w:val="0"/>
      <w:divBdr>
        <w:top w:val="none" w:sz="0" w:space="0" w:color="auto"/>
        <w:left w:val="none" w:sz="0" w:space="0" w:color="auto"/>
        <w:bottom w:val="none" w:sz="0" w:space="0" w:color="auto"/>
        <w:right w:val="none" w:sz="0" w:space="0" w:color="auto"/>
      </w:divBdr>
    </w:div>
    <w:div w:id="1725449329">
      <w:bodyDiv w:val="1"/>
      <w:marLeft w:val="0"/>
      <w:marRight w:val="0"/>
      <w:marTop w:val="0"/>
      <w:marBottom w:val="0"/>
      <w:divBdr>
        <w:top w:val="none" w:sz="0" w:space="0" w:color="auto"/>
        <w:left w:val="none" w:sz="0" w:space="0" w:color="auto"/>
        <w:bottom w:val="none" w:sz="0" w:space="0" w:color="auto"/>
        <w:right w:val="none" w:sz="0" w:space="0" w:color="auto"/>
      </w:divBdr>
    </w:div>
    <w:div w:id="1755977732">
      <w:bodyDiv w:val="1"/>
      <w:marLeft w:val="0"/>
      <w:marRight w:val="0"/>
      <w:marTop w:val="0"/>
      <w:marBottom w:val="0"/>
      <w:divBdr>
        <w:top w:val="none" w:sz="0" w:space="0" w:color="auto"/>
        <w:left w:val="none" w:sz="0" w:space="0" w:color="auto"/>
        <w:bottom w:val="none" w:sz="0" w:space="0" w:color="auto"/>
        <w:right w:val="none" w:sz="0" w:space="0" w:color="auto"/>
      </w:divBdr>
    </w:div>
    <w:div w:id="1787847933">
      <w:bodyDiv w:val="1"/>
      <w:marLeft w:val="0"/>
      <w:marRight w:val="0"/>
      <w:marTop w:val="0"/>
      <w:marBottom w:val="0"/>
      <w:divBdr>
        <w:top w:val="none" w:sz="0" w:space="0" w:color="auto"/>
        <w:left w:val="none" w:sz="0" w:space="0" w:color="auto"/>
        <w:bottom w:val="none" w:sz="0" w:space="0" w:color="auto"/>
        <w:right w:val="none" w:sz="0" w:space="0" w:color="auto"/>
      </w:divBdr>
    </w:div>
    <w:div w:id="1879657246">
      <w:bodyDiv w:val="1"/>
      <w:marLeft w:val="0"/>
      <w:marRight w:val="0"/>
      <w:marTop w:val="0"/>
      <w:marBottom w:val="0"/>
      <w:divBdr>
        <w:top w:val="none" w:sz="0" w:space="0" w:color="auto"/>
        <w:left w:val="none" w:sz="0" w:space="0" w:color="auto"/>
        <w:bottom w:val="none" w:sz="0" w:space="0" w:color="auto"/>
        <w:right w:val="none" w:sz="0" w:space="0" w:color="auto"/>
      </w:divBdr>
    </w:div>
    <w:div w:id="1904365743">
      <w:bodyDiv w:val="1"/>
      <w:marLeft w:val="0"/>
      <w:marRight w:val="0"/>
      <w:marTop w:val="0"/>
      <w:marBottom w:val="0"/>
      <w:divBdr>
        <w:top w:val="none" w:sz="0" w:space="0" w:color="auto"/>
        <w:left w:val="none" w:sz="0" w:space="0" w:color="auto"/>
        <w:bottom w:val="none" w:sz="0" w:space="0" w:color="auto"/>
        <w:right w:val="none" w:sz="0" w:space="0" w:color="auto"/>
      </w:divBdr>
    </w:div>
    <w:div w:id="191470285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4559332">
      <w:bodyDiv w:val="1"/>
      <w:marLeft w:val="0"/>
      <w:marRight w:val="0"/>
      <w:marTop w:val="0"/>
      <w:marBottom w:val="0"/>
      <w:divBdr>
        <w:top w:val="none" w:sz="0" w:space="0" w:color="auto"/>
        <w:left w:val="none" w:sz="0" w:space="0" w:color="auto"/>
        <w:bottom w:val="none" w:sz="0" w:space="0" w:color="auto"/>
        <w:right w:val="none" w:sz="0" w:space="0" w:color="auto"/>
      </w:divBdr>
    </w:div>
    <w:div w:id="1982150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17814</Words>
  <Characters>101545</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2023-06-26T06:26:00Z</dcterms:created>
  <dcterms:modified xsi:type="dcterms:W3CDTF">2023-06-26T06:29:00Z</dcterms:modified>
</cp:coreProperties>
</file>