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7779699C" w:rsidR="00B60939" w:rsidRPr="00A7301A" w:rsidRDefault="008258C5" w:rsidP="004A6040">
      <w:pPr>
        <w:pStyle w:val="COMH1-non-numbered"/>
        <w:rPr>
          <w:sz w:val="36"/>
        </w:rPr>
      </w:pPr>
      <w:bookmarkStart w:id="0" w:name="_Toc124421140"/>
      <w:r w:rsidRPr="00A7301A">
        <w:rPr>
          <w:sz w:val="36"/>
        </w:rPr>
        <w:t>6.10</w:t>
      </w:r>
      <w:r w:rsidR="00163F66" w:rsidRPr="00A7301A">
        <w:rPr>
          <w:sz w:val="36"/>
        </w:rPr>
        <w:tab/>
      </w:r>
      <w:r w:rsidR="00575EE3" w:rsidRPr="00A7301A">
        <w:rPr>
          <w:sz w:val="36"/>
        </w:rPr>
        <w:t>ZANUBRUTINIB</w:t>
      </w:r>
      <w:r w:rsidR="00163F66" w:rsidRPr="00A7301A">
        <w:rPr>
          <w:sz w:val="36"/>
        </w:rPr>
        <w:t>,</w:t>
      </w:r>
      <w:r w:rsidR="00163F66" w:rsidRPr="00A7301A">
        <w:rPr>
          <w:sz w:val="36"/>
        </w:rPr>
        <w:br/>
      </w:r>
      <w:r w:rsidR="001E0947" w:rsidRPr="00A7301A">
        <w:rPr>
          <w:sz w:val="36"/>
        </w:rPr>
        <w:t>Capsule</w:t>
      </w:r>
      <w:r w:rsidR="00B63474" w:rsidRPr="00A7301A">
        <w:rPr>
          <w:sz w:val="36"/>
        </w:rPr>
        <w:t xml:space="preserve"> </w:t>
      </w:r>
      <w:r w:rsidR="001E0947" w:rsidRPr="00A7301A">
        <w:rPr>
          <w:sz w:val="36"/>
        </w:rPr>
        <w:t>80 mg</w:t>
      </w:r>
      <w:r w:rsidR="00163F66" w:rsidRPr="00A7301A">
        <w:rPr>
          <w:sz w:val="36"/>
        </w:rPr>
        <w:t>,</w:t>
      </w:r>
      <w:r w:rsidR="00163F66" w:rsidRPr="00A7301A">
        <w:rPr>
          <w:sz w:val="36"/>
        </w:rPr>
        <w:br/>
      </w:r>
      <w:r w:rsidR="00F639F6" w:rsidRPr="00A7301A">
        <w:rPr>
          <w:sz w:val="36"/>
        </w:rPr>
        <w:t>Brukinsa</w:t>
      </w:r>
      <w:r w:rsidR="00B60939" w:rsidRPr="00A7301A">
        <w:rPr>
          <w:sz w:val="36"/>
          <w:vertAlign w:val="superscript"/>
        </w:rPr>
        <w:t>®</w:t>
      </w:r>
      <w:r w:rsidR="004A6040" w:rsidRPr="00A7301A">
        <w:rPr>
          <w:sz w:val="36"/>
        </w:rPr>
        <w:t>,</w:t>
      </w:r>
      <w:r w:rsidR="004A6040" w:rsidRPr="00A7301A">
        <w:rPr>
          <w:sz w:val="36"/>
        </w:rPr>
        <w:br/>
      </w:r>
      <w:r w:rsidR="005B6E3F" w:rsidRPr="00A7301A">
        <w:rPr>
          <w:sz w:val="36"/>
        </w:rPr>
        <w:t>Bei</w:t>
      </w:r>
      <w:r w:rsidR="007279A7" w:rsidRPr="00A7301A">
        <w:rPr>
          <w:sz w:val="36"/>
        </w:rPr>
        <w:t>g</w:t>
      </w:r>
      <w:r w:rsidR="00E83853" w:rsidRPr="00A7301A">
        <w:rPr>
          <w:sz w:val="36"/>
        </w:rPr>
        <w:t>ene A</w:t>
      </w:r>
      <w:r w:rsidR="007279A7" w:rsidRPr="00A7301A">
        <w:rPr>
          <w:sz w:val="36"/>
        </w:rPr>
        <w:t>us</w:t>
      </w:r>
      <w:r w:rsidR="00E83853" w:rsidRPr="00A7301A">
        <w:rPr>
          <w:sz w:val="36"/>
        </w:rPr>
        <w:t xml:space="preserve"> Pty Ltd</w:t>
      </w:r>
      <w:r w:rsidR="00B60939" w:rsidRPr="00A7301A">
        <w:rPr>
          <w:sz w:val="36"/>
        </w:rPr>
        <w:t>.</w:t>
      </w:r>
      <w:bookmarkEnd w:id="0"/>
      <w:r w:rsidR="00F73E08" w:rsidRPr="00A7301A">
        <w:rPr>
          <w:sz w:val="36"/>
        </w:rPr>
        <w:t xml:space="preserve"> </w:t>
      </w:r>
    </w:p>
    <w:p w14:paraId="11C00795" w14:textId="3DFB6D23" w:rsidR="00B50DB8" w:rsidRPr="00B31282" w:rsidRDefault="00B50DB8" w:rsidP="004A6040">
      <w:pPr>
        <w:pStyle w:val="COMH1numbered"/>
      </w:pPr>
      <w:bookmarkStart w:id="1" w:name="_Toc124421142"/>
      <w:r w:rsidRPr="00B31282">
        <w:t xml:space="preserve">Purpose of </w:t>
      </w:r>
      <w:r w:rsidR="00CD7193" w:rsidRPr="00B31282">
        <w:t>s</w:t>
      </w:r>
      <w:r w:rsidR="00BB3A45" w:rsidRPr="00B31282">
        <w:t>ubmission</w:t>
      </w:r>
      <w:bookmarkEnd w:id="1"/>
    </w:p>
    <w:p w14:paraId="19414AA1" w14:textId="6BFF0F26" w:rsidR="002C2775" w:rsidRPr="00B31282" w:rsidRDefault="007170DA" w:rsidP="004E18E9">
      <w:pPr>
        <w:pStyle w:val="COMexecsumnumberedpara"/>
      </w:pPr>
      <w:r w:rsidRPr="00B31282">
        <w:t xml:space="preserve">The </w:t>
      </w:r>
      <w:r w:rsidR="00454273" w:rsidRPr="00B31282">
        <w:t>Category 2</w:t>
      </w:r>
      <w:r w:rsidR="00F73E08" w:rsidRPr="00B31282">
        <w:t xml:space="preserve"> </w:t>
      </w:r>
      <w:r w:rsidRPr="00B31282">
        <w:t xml:space="preserve">submission requested </w:t>
      </w:r>
      <w:r w:rsidR="00454273" w:rsidRPr="00B31282">
        <w:t xml:space="preserve">a General Schedule Authority Required </w:t>
      </w:r>
      <w:r w:rsidR="008B1757" w:rsidRPr="00B31282">
        <w:t xml:space="preserve">listing for </w:t>
      </w:r>
      <w:r w:rsidR="00454273" w:rsidRPr="00B31282">
        <w:t>zanubrutinib</w:t>
      </w:r>
      <w:r w:rsidR="008B1757" w:rsidRPr="00B31282">
        <w:t xml:space="preserve"> for </w:t>
      </w:r>
      <w:r w:rsidR="0050174E" w:rsidRPr="00B31282">
        <w:t xml:space="preserve">the </w:t>
      </w:r>
      <w:r w:rsidR="008B1757" w:rsidRPr="00B31282">
        <w:t xml:space="preserve">treatment of </w:t>
      </w:r>
      <w:r w:rsidR="00C6586C" w:rsidRPr="00B31282">
        <w:t>patients with relapsed or refractory</w:t>
      </w:r>
      <w:r w:rsidR="00316913">
        <w:t xml:space="preserve"> (R/R)</w:t>
      </w:r>
      <w:r w:rsidR="00C6586C" w:rsidRPr="00B31282">
        <w:t xml:space="preserve"> chronic lymphocytic leukaemia (CLL)/small lymphocytic l</w:t>
      </w:r>
      <w:r w:rsidR="007C0205">
        <w:t>ymphom</w:t>
      </w:r>
      <w:r w:rsidR="00C6586C" w:rsidRPr="00B31282">
        <w:t xml:space="preserve">a (SLL) considered unsuitable for treatment or retreatment with a purine analogue. </w:t>
      </w:r>
    </w:p>
    <w:p w14:paraId="4E9FBCB5" w14:textId="5485975A" w:rsidR="00C2778B" w:rsidRPr="00B31282" w:rsidRDefault="005750C5" w:rsidP="004E18E9">
      <w:pPr>
        <w:pStyle w:val="COMexecsumnumberedpara"/>
      </w:pPr>
      <w:r w:rsidRPr="00B31282">
        <w:t>Listing was requested on the basis of a cost-minimisation</w:t>
      </w:r>
      <w:r w:rsidR="001D71F4" w:rsidRPr="00B31282">
        <w:t xml:space="preserve"> approach</w:t>
      </w:r>
      <w:r w:rsidRPr="00B31282">
        <w:t xml:space="preserve"> </w:t>
      </w:r>
      <w:r w:rsidR="002D7447">
        <w:t xml:space="preserve">(CMA) </w:t>
      </w:r>
      <w:r w:rsidRPr="00B31282">
        <w:t xml:space="preserve">versus </w:t>
      </w:r>
      <w:r w:rsidR="00C6586C" w:rsidRPr="00B31282">
        <w:t>ibrutinib</w:t>
      </w:r>
      <w:r w:rsidRPr="00B31282">
        <w:t xml:space="preserve">. </w:t>
      </w:r>
      <w:r w:rsidR="00BC591F" w:rsidRPr="00B31282">
        <w:rPr>
          <w:color w:val="0066FF"/>
        </w:rPr>
        <w:t xml:space="preserve">  </w:t>
      </w:r>
    </w:p>
    <w:p w14:paraId="3718DE61" w14:textId="0BBDDDBD" w:rsidR="008B1757" w:rsidRPr="00B31282" w:rsidRDefault="00696EF9" w:rsidP="004A6040">
      <w:pPr>
        <w:pStyle w:val="COMtablefigcaption"/>
      </w:pPr>
      <w:r w:rsidRPr="00B31282">
        <w:t xml:space="preserve">Table </w:t>
      </w:r>
      <w:r>
        <w:fldChar w:fldCharType="begin"/>
      </w:r>
      <w:r>
        <w:instrText>SEQ Table \* ARABIC</w:instrText>
      </w:r>
      <w:r>
        <w:fldChar w:fldCharType="separate"/>
      </w:r>
      <w:r w:rsidR="00472981">
        <w:rPr>
          <w:noProof/>
        </w:rPr>
        <w:t>1</w:t>
      </w:r>
      <w:r>
        <w:fldChar w:fldCharType="end"/>
      </w:r>
      <w:r w:rsidRPr="00B31282">
        <w:t>:</w:t>
      </w:r>
      <w:r w:rsidR="00BC591F" w:rsidRPr="00B31282">
        <w:t xml:space="preserve"> </w:t>
      </w:r>
      <w:r w:rsidR="008B1757" w:rsidRPr="00B31282">
        <w:t>Key components of the clinical issue addressed by the submission</w:t>
      </w:r>
      <w:r w:rsidR="007170DA" w:rsidRPr="00B31282">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C6586C" w:rsidRPr="00B31282" w14:paraId="70D2C531" w14:textId="77777777" w:rsidTr="00AF6428">
        <w:tc>
          <w:tcPr>
            <w:tcW w:w="911" w:type="pct"/>
            <w:vAlign w:val="center"/>
          </w:tcPr>
          <w:p w14:paraId="7B2FA3CC" w14:textId="77777777" w:rsidR="00C6586C" w:rsidRPr="00B31282" w:rsidRDefault="00C6586C" w:rsidP="00D12BAD">
            <w:pPr>
              <w:pStyle w:val="COMTableheadingrow"/>
              <w:rPr>
                <w:lang w:val="en-AU"/>
              </w:rPr>
            </w:pPr>
            <w:r w:rsidRPr="00B31282">
              <w:rPr>
                <w:lang w:val="en-AU"/>
              </w:rPr>
              <w:t>Component</w:t>
            </w:r>
          </w:p>
        </w:tc>
        <w:tc>
          <w:tcPr>
            <w:tcW w:w="4089" w:type="pct"/>
            <w:vAlign w:val="center"/>
          </w:tcPr>
          <w:p w14:paraId="6DABBF32" w14:textId="77777777" w:rsidR="00C6586C" w:rsidRPr="00B31282" w:rsidRDefault="00C6586C" w:rsidP="00D12BAD">
            <w:pPr>
              <w:pStyle w:val="COMTableheadingrow"/>
              <w:rPr>
                <w:lang w:val="en-AU"/>
              </w:rPr>
            </w:pPr>
            <w:r w:rsidRPr="00B31282">
              <w:rPr>
                <w:lang w:val="en-AU"/>
              </w:rPr>
              <w:t>Description</w:t>
            </w:r>
          </w:p>
        </w:tc>
      </w:tr>
      <w:tr w:rsidR="00C6586C" w:rsidRPr="00B31282" w14:paraId="090A8FF6" w14:textId="77777777" w:rsidTr="00AF6428">
        <w:tc>
          <w:tcPr>
            <w:tcW w:w="911" w:type="pct"/>
            <w:shd w:val="clear" w:color="auto" w:fill="FFFFFF" w:themeFill="background1"/>
          </w:tcPr>
          <w:p w14:paraId="60E3D585" w14:textId="77777777" w:rsidR="00C6586C" w:rsidRPr="00B31282" w:rsidRDefault="00C6586C" w:rsidP="00D12BAD">
            <w:pPr>
              <w:pStyle w:val="COMTabletext"/>
            </w:pPr>
            <w:r w:rsidRPr="00B31282">
              <w:t xml:space="preserve">Population </w:t>
            </w:r>
          </w:p>
        </w:tc>
        <w:tc>
          <w:tcPr>
            <w:tcW w:w="4089" w:type="pct"/>
            <w:shd w:val="clear" w:color="auto" w:fill="FFFFFF" w:themeFill="background1"/>
          </w:tcPr>
          <w:p w14:paraId="1F833EBD" w14:textId="77777777" w:rsidR="00C6586C" w:rsidRPr="00B31282" w:rsidRDefault="00C6586C" w:rsidP="00D12BAD">
            <w:pPr>
              <w:pStyle w:val="COMTabletext"/>
            </w:pPr>
            <w:r w:rsidRPr="00B31282">
              <w:t>Patients with relapsed or refractory chronic lymphocytic leukaemia (CLL) or small lymphocytic lymphoma (SLL) considered unsuitable for treatment or retreatment with a purine analogue</w:t>
            </w:r>
          </w:p>
        </w:tc>
      </w:tr>
      <w:tr w:rsidR="00C6586C" w:rsidRPr="00B31282" w14:paraId="0DEA4AA1" w14:textId="77777777" w:rsidTr="00AF6428">
        <w:tc>
          <w:tcPr>
            <w:tcW w:w="911" w:type="pct"/>
            <w:shd w:val="clear" w:color="auto" w:fill="FFFFFF" w:themeFill="background1"/>
          </w:tcPr>
          <w:p w14:paraId="754185CA" w14:textId="77777777" w:rsidR="00C6586C" w:rsidRPr="00B31282" w:rsidRDefault="00C6586C" w:rsidP="00D12BAD">
            <w:pPr>
              <w:pStyle w:val="COMTabletext"/>
            </w:pPr>
            <w:r w:rsidRPr="00B31282">
              <w:t xml:space="preserve">Intervention </w:t>
            </w:r>
          </w:p>
        </w:tc>
        <w:tc>
          <w:tcPr>
            <w:tcW w:w="4089" w:type="pct"/>
            <w:shd w:val="clear" w:color="auto" w:fill="FFFFFF" w:themeFill="background1"/>
          </w:tcPr>
          <w:p w14:paraId="6DB683C7" w14:textId="77777777" w:rsidR="00C6586C" w:rsidRPr="00B31282" w:rsidRDefault="00C6586C" w:rsidP="00D12BAD">
            <w:pPr>
              <w:pStyle w:val="COMTabletext"/>
            </w:pPr>
            <w:r w:rsidRPr="00B31282">
              <w:t>Oral zanubrutinib 160 mg twice daily or 320 mg once daily until disease progression or unacceptable toxicity</w:t>
            </w:r>
          </w:p>
        </w:tc>
      </w:tr>
      <w:tr w:rsidR="00C6586C" w:rsidRPr="00B31282" w14:paraId="7CFDFC4C" w14:textId="77777777" w:rsidTr="00AF6428">
        <w:tc>
          <w:tcPr>
            <w:tcW w:w="911" w:type="pct"/>
            <w:shd w:val="clear" w:color="auto" w:fill="FFFFFF" w:themeFill="background1"/>
          </w:tcPr>
          <w:p w14:paraId="703DB42A" w14:textId="77777777" w:rsidR="00C6586C" w:rsidRPr="00B31282" w:rsidRDefault="00C6586C" w:rsidP="00D12BAD">
            <w:pPr>
              <w:pStyle w:val="COMTabletext"/>
            </w:pPr>
            <w:r w:rsidRPr="00B31282">
              <w:t>Comparator</w:t>
            </w:r>
          </w:p>
        </w:tc>
        <w:tc>
          <w:tcPr>
            <w:tcW w:w="4089" w:type="pct"/>
            <w:shd w:val="clear" w:color="auto" w:fill="FFFFFF" w:themeFill="background1"/>
          </w:tcPr>
          <w:p w14:paraId="0A359982" w14:textId="77777777" w:rsidR="00C6586C" w:rsidRPr="00B31282" w:rsidRDefault="00C6586C" w:rsidP="00D12BAD">
            <w:pPr>
              <w:pStyle w:val="COMTabletext"/>
              <w:rPr>
                <w:rStyle w:val="normaltextrun"/>
                <w:color w:val="000000"/>
                <w:szCs w:val="20"/>
                <w:shd w:val="clear" w:color="auto" w:fill="FFFFFF"/>
              </w:rPr>
            </w:pPr>
            <w:r w:rsidRPr="00B31282">
              <w:rPr>
                <w:rStyle w:val="normaltextrun"/>
                <w:color w:val="000000"/>
                <w:szCs w:val="20"/>
                <w:shd w:val="clear" w:color="auto" w:fill="FFFFFF"/>
              </w:rPr>
              <w:t>Oral ibrutinib 420 mg daily until disease progression or unacceptable toxicity</w:t>
            </w:r>
          </w:p>
          <w:p w14:paraId="454ED995" w14:textId="382C3902" w:rsidR="00C6586C" w:rsidRPr="00B31282" w:rsidRDefault="00C6586C" w:rsidP="00D12BAD">
            <w:pPr>
              <w:pStyle w:val="COMTabletext"/>
            </w:pPr>
            <w:r w:rsidRPr="00B31282">
              <w:t>Oral acalabrutinib 100 mg twice daily until disease progression or unacceptable toxicity</w:t>
            </w:r>
          </w:p>
        </w:tc>
      </w:tr>
      <w:tr w:rsidR="00C6586C" w:rsidRPr="00B31282" w14:paraId="26580845" w14:textId="77777777" w:rsidTr="00AF6428">
        <w:tc>
          <w:tcPr>
            <w:tcW w:w="911" w:type="pct"/>
            <w:shd w:val="clear" w:color="auto" w:fill="FFFFFF" w:themeFill="background1"/>
          </w:tcPr>
          <w:p w14:paraId="36C4E147" w14:textId="77777777" w:rsidR="00C6586C" w:rsidRPr="00B31282" w:rsidRDefault="00C6586C" w:rsidP="00D12BAD">
            <w:pPr>
              <w:pStyle w:val="COMTabletext"/>
            </w:pPr>
            <w:r w:rsidRPr="00B31282">
              <w:t>Outcomes</w:t>
            </w:r>
          </w:p>
        </w:tc>
        <w:tc>
          <w:tcPr>
            <w:tcW w:w="4089" w:type="pct"/>
            <w:shd w:val="clear" w:color="auto" w:fill="FFFFFF" w:themeFill="background1"/>
          </w:tcPr>
          <w:p w14:paraId="3A032966" w14:textId="77777777" w:rsidR="00C6586C" w:rsidRPr="00B31282" w:rsidRDefault="00C6586C" w:rsidP="00D12BAD">
            <w:pPr>
              <w:pStyle w:val="COMTabletext"/>
            </w:pPr>
            <w:r w:rsidRPr="00B31282">
              <w:t>Progression-free survival; overall response rate; time to next treatment; overall survival; safety</w:t>
            </w:r>
          </w:p>
        </w:tc>
      </w:tr>
      <w:tr w:rsidR="00C6586C" w:rsidRPr="00B31282" w14:paraId="61A41893" w14:textId="77777777" w:rsidTr="00AF6428">
        <w:tc>
          <w:tcPr>
            <w:tcW w:w="911" w:type="pct"/>
            <w:shd w:val="clear" w:color="auto" w:fill="FFFFFF" w:themeFill="background1"/>
          </w:tcPr>
          <w:p w14:paraId="1A420D38" w14:textId="77777777" w:rsidR="00C6586C" w:rsidRPr="00B31282" w:rsidRDefault="00C6586C" w:rsidP="00D12BAD">
            <w:pPr>
              <w:pStyle w:val="COMTabletext"/>
            </w:pPr>
            <w:r w:rsidRPr="00B31282">
              <w:t xml:space="preserve">Clinical claim </w:t>
            </w:r>
          </w:p>
        </w:tc>
        <w:tc>
          <w:tcPr>
            <w:tcW w:w="4089" w:type="pct"/>
            <w:shd w:val="clear" w:color="auto" w:fill="FFFFFF" w:themeFill="background1"/>
          </w:tcPr>
          <w:p w14:paraId="7301E220" w14:textId="3E563BCF" w:rsidR="00C6586C" w:rsidRPr="00380B09" w:rsidRDefault="00C6586C" w:rsidP="00D12BAD">
            <w:pPr>
              <w:pStyle w:val="TableBullets"/>
              <w:numPr>
                <w:ilvl w:val="0"/>
                <w:numId w:val="0"/>
              </w:numPr>
              <w:rPr>
                <w:rFonts w:ascii="Arial Narrow" w:hAnsi="Arial Narrow"/>
                <w:sz w:val="20"/>
                <w:szCs w:val="20"/>
              </w:rPr>
            </w:pPr>
            <w:r w:rsidRPr="00B31282">
              <w:rPr>
                <w:rStyle w:val="normaltextrun"/>
                <w:rFonts w:ascii="Arial Narrow" w:hAnsi="Arial Narrow"/>
                <w:color w:val="000000"/>
                <w:sz w:val="20"/>
                <w:szCs w:val="20"/>
                <w:shd w:val="clear" w:color="auto" w:fill="FFFFFF"/>
              </w:rPr>
              <w:t>In patients with relapsed or refractory CLL or SLL considered unsuitable for treatment or retreatment with a purine analogue</w:t>
            </w:r>
            <w:r w:rsidRPr="00380B09">
              <w:rPr>
                <w:rStyle w:val="normaltextrun"/>
                <w:rFonts w:ascii="Arial Narrow" w:hAnsi="Arial Narrow"/>
                <w:iCs/>
                <w:color w:val="000000"/>
                <w:sz w:val="20"/>
                <w:szCs w:val="20"/>
                <w:shd w:val="clear" w:color="auto" w:fill="FFFFFF"/>
              </w:rPr>
              <w:t xml:space="preserve">, </w:t>
            </w:r>
            <w:r w:rsidRPr="00B31282">
              <w:rPr>
                <w:rStyle w:val="SmallItalics"/>
                <w:rFonts w:ascii="Arial Narrow" w:hAnsi="Arial Narrow"/>
                <w:i w:val="0"/>
                <w:iCs/>
                <w:szCs w:val="20"/>
              </w:rPr>
              <w:t>zanubrutinib is non</w:t>
            </w:r>
            <w:r w:rsidR="00986692">
              <w:rPr>
                <w:rStyle w:val="SmallItalics"/>
                <w:rFonts w:ascii="Arial Narrow" w:hAnsi="Arial Narrow"/>
                <w:i w:val="0"/>
                <w:iCs/>
                <w:szCs w:val="20"/>
              </w:rPr>
              <w:t>-</w:t>
            </w:r>
            <w:r w:rsidRPr="00B31282">
              <w:rPr>
                <w:rStyle w:val="SmallItalics"/>
                <w:rFonts w:ascii="Arial Narrow" w:hAnsi="Arial Narrow"/>
                <w:i w:val="0"/>
                <w:iCs/>
                <w:szCs w:val="20"/>
              </w:rPr>
              <w:t xml:space="preserve">inferior to ibrutinib </w:t>
            </w:r>
            <w:r w:rsidR="00156736" w:rsidRPr="00B31282">
              <w:rPr>
                <w:rStyle w:val="SmallItalics"/>
                <w:rFonts w:ascii="Arial Narrow" w:hAnsi="Arial Narrow"/>
                <w:i w:val="0"/>
                <w:iCs/>
                <w:szCs w:val="20"/>
              </w:rPr>
              <w:t>in terms of efficacy and</w:t>
            </w:r>
            <w:r w:rsidRPr="00380B09">
              <w:rPr>
                <w:rStyle w:val="SmallItalics"/>
                <w:rFonts w:ascii="Arial Narrow" w:hAnsi="Arial Narrow"/>
                <w:i w:val="0"/>
                <w:szCs w:val="20"/>
              </w:rPr>
              <w:t xml:space="preserve"> </w:t>
            </w:r>
            <w:r w:rsidRPr="00B31282">
              <w:rPr>
                <w:rStyle w:val="SmallItalics"/>
                <w:rFonts w:ascii="Arial Narrow" w:hAnsi="Arial Narrow"/>
                <w:i w:val="0"/>
                <w:iCs/>
                <w:szCs w:val="20"/>
              </w:rPr>
              <w:t xml:space="preserve">safety. </w:t>
            </w:r>
          </w:p>
          <w:p w14:paraId="2A4CDC17" w14:textId="1393C77D" w:rsidR="00C6586C" w:rsidRPr="00B31282" w:rsidRDefault="00C6586C" w:rsidP="00D12BAD">
            <w:pPr>
              <w:pStyle w:val="COMTabletext"/>
            </w:pPr>
            <w:r w:rsidRPr="00B31282">
              <w:rPr>
                <w:szCs w:val="20"/>
              </w:rPr>
              <w:t>Zanubrutinib is non-inferior to acalabrutinib in terms of efficacy and safety</w:t>
            </w:r>
          </w:p>
        </w:tc>
      </w:tr>
    </w:tbl>
    <w:p w14:paraId="6F4F9E69" w14:textId="613BA279" w:rsidR="00C6586C" w:rsidRPr="00B31282" w:rsidRDefault="00C6586C" w:rsidP="00C6586C">
      <w:pPr>
        <w:pStyle w:val="COMTablefooter"/>
      </w:pPr>
      <w:r w:rsidRPr="00B31282">
        <w:t>Source: Table 1-1, p14 of the submission</w:t>
      </w:r>
    </w:p>
    <w:p w14:paraId="6B4AB6C2" w14:textId="7F01D731" w:rsidR="005C25FF" w:rsidRPr="00B31282" w:rsidRDefault="005C25FF" w:rsidP="004A6040">
      <w:pPr>
        <w:pStyle w:val="COMH1numbered"/>
      </w:pPr>
      <w:bookmarkStart w:id="2" w:name="_Toc124421143"/>
      <w:r w:rsidRPr="00B31282">
        <w:t>Background</w:t>
      </w:r>
      <w:bookmarkEnd w:id="2"/>
    </w:p>
    <w:p w14:paraId="2C521D6D" w14:textId="78CF03EE" w:rsidR="005C25FF" w:rsidRPr="002E15E9" w:rsidRDefault="005C25FF" w:rsidP="004A6040">
      <w:pPr>
        <w:pStyle w:val="COMH2-non-numbered"/>
      </w:pPr>
      <w:bookmarkStart w:id="3" w:name="_Toc22897638"/>
      <w:bookmarkStart w:id="4" w:name="_Toc124421144"/>
      <w:r w:rsidRPr="002E15E9">
        <w:t>Registration status</w:t>
      </w:r>
      <w:bookmarkEnd w:id="3"/>
      <w:bookmarkEnd w:id="4"/>
    </w:p>
    <w:p w14:paraId="2D71683D" w14:textId="047BF8AF" w:rsidR="0057226E" w:rsidRPr="002E15E9" w:rsidRDefault="00E15882" w:rsidP="0057226E">
      <w:pPr>
        <w:pStyle w:val="COMexecsumnumberedpara"/>
      </w:pPr>
      <w:r w:rsidRPr="002E15E9">
        <w:t xml:space="preserve">The submission was made under the TGA/PBAC parallel process. </w:t>
      </w:r>
      <w:r w:rsidR="0057226E" w:rsidRPr="002E15E9">
        <w:t xml:space="preserve">An application seeking extension to the currently approved indications for zanubrutinib to include the treatment of adult patients with chronic lymphocytic leukaemia (CLL) or small lymphocytic lymphoma (SLL) was submitted to the TGA on 30 March 2022. </w:t>
      </w:r>
    </w:p>
    <w:p w14:paraId="5374AD55" w14:textId="77777777" w:rsidR="005C25FF" w:rsidRDefault="00E15882" w:rsidP="0057226E">
      <w:pPr>
        <w:pStyle w:val="COMexecsumnumberedpara"/>
      </w:pPr>
      <w:r w:rsidRPr="002310FE">
        <w:t>At the time of evaluation for PBAC consideration,</w:t>
      </w:r>
      <w:r w:rsidRPr="00B31282">
        <w:t xml:space="preserve"> </w:t>
      </w:r>
      <w:r w:rsidR="004B20E8" w:rsidRPr="00B31282">
        <w:t xml:space="preserve">the Round 1 Clinical Evaluation Report was available, as well as the sponsor’s response to the report. The TGA delegate’s overview </w:t>
      </w:r>
      <w:r w:rsidR="002E15E9">
        <w:t>was received in J</w:t>
      </w:r>
      <w:r w:rsidR="004B20E8" w:rsidRPr="00B31282">
        <w:t>anuary 2023</w:t>
      </w:r>
      <w:r w:rsidR="009C3505">
        <w:t>.</w:t>
      </w:r>
      <w:r w:rsidR="004B20E8" w:rsidRPr="00B31282">
        <w:t xml:space="preserve"> </w:t>
      </w:r>
      <w:r w:rsidR="009C3505">
        <w:t xml:space="preserve">The ACM considered that the product has an overall positive benefit-risk profile for the indication: </w:t>
      </w:r>
      <w:r w:rsidR="009C3505" w:rsidRPr="00642777">
        <w:t>‘BRUKINSA is indicated as monotherapy for the treatment of adult patients with chronic lymphocytic leukaemia (CLL) or small lymphocytic lymphoma (SLL).’</w:t>
      </w:r>
    </w:p>
    <w:p w14:paraId="609745F1" w14:textId="77777777" w:rsidR="00A83A87" w:rsidRPr="00C31E62" w:rsidRDefault="00A83A87" w:rsidP="00A83A87">
      <w:pPr>
        <w:pStyle w:val="COMH2-non-numbered"/>
      </w:pPr>
      <w:bookmarkStart w:id="5" w:name="_Toc124179162"/>
      <w:bookmarkStart w:id="6" w:name="_Toc124421145"/>
      <w:r>
        <w:lastRenderedPageBreak/>
        <w:t>Previous PBAC consideration</w:t>
      </w:r>
      <w:bookmarkEnd w:id="5"/>
      <w:bookmarkEnd w:id="6"/>
    </w:p>
    <w:p w14:paraId="7FBC7DF0" w14:textId="77777777" w:rsidR="00965887" w:rsidRDefault="00965887" w:rsidP="00965887">
      <w:pPr>
        <w:pStyle w:val="COMexecsumnumberedpara"/>
      </w:pPr>
      <w:r w:rsidRPr="00986692">
        <w:t>Zanubrutinib is listed on the PBS as a treatment for mantle cell lymphoma and Waldenström’s macroglobulinaemia.</w:t>
      </w:r>
    </w:p>
    <w:p w14:paraId="4C5F927D" w14:textId="2B7A368A" w:rsidR="00986692" w:rsidRDefault="00965887" w:rsidP="00986692">
      <w:pPr>
        <w:pStyle w:val="COMexecsumnumberedpara"/>
      </w:pPr>
      <w:r>
        <w:t xml:space="preserve">A concurrent submission for zanubrutinib </w:t>
      </w:r>
      <w:r w:rsidRPr="00986692">
        <w:t>for the treatment of patients with previously untreated CLL/SLL, who are considered unsuitable for treatment with fludarabine-based chemoimmunotherapy</w:t>
      </w:r>
      <w:r>
        <w:t xml:space="preserve">, </w:t>
      </w:r>
      <w:r w:rsidR="00837B5F">
        <w:t>was</w:t>
      </w:r>
      <w:r>
        <w:t xml:space="preserve"> considered </w:t>
      </w:r>
      <w:r w:rsidR="004D425B">
        <w:t xml:space="preserve">at this same </w:t>
      </w:r>
      <w:r w:rsidR="00986692" w:rsidRPr="00986692">
        <w:t>meeting</w:t>
      </w:r>
      <w:r w:rsidR="004D425B">
        <w:t xml:space="preserve"> (</w:t>
      </w:r>
      <w:r w:rsidR="00D813F2">
        <w:t xml:space="preserve">see published March 2023 PBAC meeting </w:t>
      </w:r>
      <w:r w:rsidR="004D425B">
        <w:t>agenda)</w:t>
      </w:r>
      <w:r w:rsidR="00986692" w:rsidRPr="00986692">
        <w:t>.</w:t>
      </w:r>
    </w:p>
    <w:p w14:paraId="40BC6E08" w14:textId="77777777" w:rsidR="00361F6E" w:rsidRDefault="00442C9F" w:rsidP="00442C9F">
      <w:pPr>
        <w:pStyle w:val="COMexecsumnumberedpara"/>
      </w:pPr>
      <w:r w:rsidRPr="00442C9F">
        <w:t xml:space="preserve">Acalabrutinib (recommended at the March 2020 PBAC meeting); venetoclax (recommended at the November 2018 PBAC meeting); and ibrutinib (recommended subsequent to the November 2016 PBAC meeting) are currently listed on the PBS for patients with relapsed or refractory CLL/SLL considered unsuitable for treatment or retreatment with a purine analogue. </w:t>
      </w:r>
    </w:p>
    <w:p w14:paraId="76E4EF3C" w14:textId="13040F70" w:rsidR="00B60939" w:rsidRPr="00B31282" w:rsidRDefault="00B50DB8" w:rsidP="004E18E9">
      <w:pPr>
        <w:pStyle w:val="COMH1numbered"/>
      </w:pPr>
      <w:bookmarkStart w:id="7" w:name="_Toc107902078"/>
      <w:bookmarkStart w:id="8" w:name="_Toc124421146"/>
      <w:bookmarkEnd w:id="7"/>
      <w:r w:rsidRPr="00B31282">
        <w:t>Requested listing</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1776"/>
        <w:gridCol w:w="812"/>
        <w:gridCol w:w="812"/>
        <w:gridCol w:w="812"/>
        <w:gridCol w:w="1841"/>
      </w:tblGrid>
      <w:tr w:rsidR="008654DD" w:rsidRPr="00B31282" w14:paraId="3A87928E" w14:textId="77777777" w:rsidTr="6213BDFA">
        <w:trPr>
          <w:cantSplit/>
          <w:trHeight w:val="20"/>
        </w:trPr>
        <w:tc>
          <w:tcPr>
            <w:tcW w:w="1644" w:type="pct"/>
            <w:vAlign w:val="center"/>
          </w:tcPr>
          <w:p w14:paraId="5A64DC14" w14:textId="77777777" w:rsidR="008654DD" w:rsidRPr="00B31282" w:rsidRDefault="008654DD" w:rsidP="00700675">
            <w:pPr>
              <w:widowControl w:val="0"/>
              <w:rPr>
                <w:rFonts w:ascii="Arial Narrow" w:hAnsi="Arial Narrow"/>
                <w:b/>
                <w:bCs/>
                <w:sz w:val="20"/>
                <w:szCs w:val="20"/>
              </w:rPr>
            </w:pPr>
            <w:r w:rsidRPr="00B31282">
              <w:rPr>
                <w:rFonts w:ascii="Arial Narrow" w:hAnsi="Arial Narrow"/>
                <w:b/>
                <w:bCs/>
                <w:sz w:val="20"/>
                <w:szCs w:val="20"/>
              </w:rPr>
              <w:t>MEDICINAL PRODUCT</w:t>
            </w:r>
          </w:p>
          <w:p w14:paraId="6A5BE360" w14:textId="77777777" w:rsidR="008654DD" w:rsidRPr="00B31282" w:rsidRDefault="008654DD" w:rsidP="00700675">
            <w:pPr>
              <w:widowControl w:val="0"/>
              <w:rPr>
                <w:rFonts w:ascii="Arial Narrow" w:hAnsi="Arial Narrow"/>
                <w:b/>
                <w:sz w:val="20"/>
                <w:szCs w:val="20"/>
              </w:rPr>
            </w:pPr>
            <w:r w:rsidRPr="00B31282">
              <w:rPr>
                <w:rFonts w:ascii="Arial Narrow" w:hAnsi="Arial Narrow"/>
                <w:b/>
                <w:bCs/>
                <w:sz w:val="20"/>
                <w:szCs w:val="20"/>
              </w:rPr>
              <w:t>medicinal product pack</w:t>
            </w:r>
          </w:p>
        </w:tc>
        <w:tc>
          <w:tcPr>
            <w:tcW w:w="985" w:type="pct"/>
            <w:vAlign w:val="center"/>
          </w:tcPr>
          <w:p w14:paraId="622EBA3B" w14:textId="77777777" w:rsidR="008654DD" w:rsidRPr="00B31282" w:rsidRDefault="008654DD" w:rsidP="00700675">
            <w:pPr>
              <w:pStyle w:val="COMTabletext"/>
              <w:keepNext w:val="0"/>
              <w:widowControl w:val="0"/>
              <w:rPr>
                <w:b/>
                <w:bCs w:val="0"/>
                <w:szCs w:val="20"/>
              </w:rPr>
            </w:pPr>
            <w:r w:rsidRPr="00B31282">
              <w:rPr>
                <w:b/>
                <w:bCs w:val="0"/>
                <w:snapToGrid w:val="0"/>
              </w:rPr>
              <w:t xml:space="preserve">Dispensed Price for Max. Qty </w:t>
            </w:r>
          </w:p>
        </w:tc>
        <w:tc>
          <w:tcPr>
            <w:tcW w:w="450" w:type="pct"/>
            <w:vAlign w:val="center"/>
          </w:tcPr>
          <w:p w14:paraId="35AB59E7" w14:textId="77777777" w:rsidR="008654DD" w:rsidRPr="00B31282" w:rsidRDefault="008654DD" w:rsidP="00700675">
            <w:pPr>
              <w:widowControl w:val="0"/>
              <w:jc w:val="center"/>
              <w:rPr>
                <w:rFonts w:ascii="Arial Narrow" w:hAnsi="Arial Narrow"/>
                <w:b/>
                <w:sz w:val="20"/>
                <w:szCs w:val="20"/>
              </w:rPr>
            </w:pPr>
            <w:r w:rsidRPr="00B31282">
              <w:rPr>
                <w:rFonts w:ascii="Arial Narrow" w:hAnsi="Arial Narrow"/>
                <w:b/>
                <w:sz w:val="20"/>
                <w:szCs w:val="20"/>
              </w:rPr>
              <w:t>Max. qty packs</w:t>
            </w:r>
          </w:p>
        </w:tc>
        <w:tc>
          <w:tcPr>
            <w:tcW w:w="450" w:type="pct"/>
            <w:vAlign w:val="center"/>
          </w:tcPr>
          <w:p w14:paraId="09A4BF0C" w14:textId="77777777" w:rsidR="008654DD" w:rsidRPr="00B31282" w:rsidRDefault="008654DD" w:rsidP="00700675">
            <w:pPr>
              <w:widowControl w:val="0"/>
              <w:jc w:val="center"/>
              <w:rPr>
                <w:rFonts w:ascii="Arial Narrow" w:hAnsi="Arial Narrow"/>
                <w:b/>
                <w:sz w:val="20"/>
                <w:szCs w:val="20"/>
              </w:rPr>
            </w:pPr>
            <w:r w:rsidRPr="00B31282">
              <w:rPr>
                <w:rFonts w:ascii="Arial Narrow" w:hAnsi="Arial Narrow"/>
                <w:b/>
                <w:sz w:val="20"/>
                <w:szCs w:val="20"/>
              </w:rPr>
              <w:t>Max. qty units</w:t>
            </w:r>
          </w:p>
        </w:tc>
        <w:tc>
          <w:tcPr>
            <w:tcW w:w="450" w:type="pct"/>
            <w:vAlign w:val="center"/>
          </w:tcPr>
          <w:p w14:paraId="1041F7D1" w14:textId="77777777" w:rsidR="008654DD" w:rsidRPr="00B31282" w:rsidRDefault="008654DD" w:rsidP="00700675">
            <w:pPr>
              <w:widowControl w:val="0"/>
              <w:jc w:val="center"/>
              <w:rPr>
                <w:rFonts w:ascii="Arial Narrow" w:hAnsi="Arial Narrow"/>
                <w:b/>
                <w:sz w:val="20"/>
                <w:szCs w:val="20"/>
              </w:rPr>
            </w:pPr>
            <w:r w:rsidRPr="00B31282">
              <w:rPr>
                <w:rFonts w:ascii="Arial Narrow" w:hAnsi="Arial Narrow"/>
                <w:b/>
                <w:sz w:val="20"/>
                <w:szCs w:val="20"/>
              </w:rPr>
              <w:t>№.of</w:t>
            </w:r>
          </w:p>
          <w:p w14:paraId="4DCCD934" w14:textId="77777777" w:rsidR="008654DD" w:rsidRPr="00B31282" w:rsidRDefault="008654DD" w:rsidP="00700675">
            <w:pPr>
              <w:widowControl w:val="0"/>
              <w:jc w:val="center"/>
              <w:rPr>
                <w:rFonts w:ascii="Arial Narrow" w:hAnsi="Arial Narrow"/>
                <w:b/>
                <w:sz w:val="20"/>
                <w:szCs w:val="20"/>
              </w:rPr>
            </w:pPr>
            <w:r w:rsidRPr="00B31282">
              <w:rPr>
                <w:rFonts w:ascii="Arial Narrow" w:hAnsi="Arial Narrow"/>
                <w:b/>
                <w:sz w:val="20"/>
                <w:szCs w:val="20"/>
              </w:rPr>
              <w:t>Rpts</w:t>
            </w:r>
          </w:p>
        </w:tc>
        <w:tc>
          <w:tcPr>
            <w:tcW w:w="1021" w:type="pct"/>
            <w:vAlign w:val="center"/>
          </w:tcPr>
          <w:p w14:paraId="46B57648" w14:textId="77777777" w:rsidR="008654DD" w:rsidRPr="00B31282" w:rsidRDefault="008654DD" w:rsidP="00700675">
            <w:pPr>
              <w:widowControl w:val="0"/>
              <w:rPr>
                <w:rFonts w:ascii="Arial Narrow" w:hAnsi="Arial Narrow"/>
                <w:b/>
                <w:sz w:val="20"/>
                <w:szCs w:val="20"/>
              </w:rPr>
            </w:pPr>
            <w:r w:rsidRPr="00B31282">
              <w:rPr>
                <w:rFonts w:ascii="Arial Narrow" w:hAnsi="Arial Narrow"/>
                <w:b/>
                <w:sz w:val="20"/>
                <w:szCs w:val="20"/>
              </w:rPr>
              <w:t>Available brands</w:t>
            </w:r>
          </w:p>
        </w:tc>
      </w:tr>
      <w:tr w:rsidR="008654DD" w:rsidRPr="00B31282" w14:paraId="003D4AEE" w14:textId="77777777" w:rsidTr="00991026">
        <w:trPr>
          <w:cantSplit/>
          <w:trHeight w:val="223"/>
        </w:trPr>
        <w:tc>
          <w:tcPr>
            <w:tcW w:w="5000" w:type="pct"/>
            <w:gridSpan w:val="6"/>
            <w:vAlign w:val="center"/>
          </w:tcPr>
          <w:p w14:paraId="7E0E28B9" w14:textId="77777777" w:rsidR="008654DD" w:rsidRPr="00991026" w:rsidRDefault="008654DD" w:rsidP="00700675">
            <w:pPr>
              <w:pStyle w:val="COMTabletext"/>
              <w:keepNext w:val="0"/>
              <w:widowControl w:val="0"/>
              <w:rPr>
                <w:rFonts w:cs="Arial"/>
                <w:szCs w:val="20"/>
              </w:rPr>
            </w:pPr>
            <w:r w:rsidRPr="00991026">
              <w:rPr>
                <w:smallCaps/>
                <w:szCs w:val="20"/>
              </w:rPr>
              <w:t>Zanubrutinib</w:t>
            </w:r>
            <w:r w:rsidRPr="00991026">
              <w:rPr>
                <w:rFonts w:cs="Arial"/>
                <w:color w:val="0066FF"/>
                <w:szCs w:val="20"/>
              </w:rPr>
              <w:t xml:space="preserve"> </w:t>
            </w:r>
          </w:p>
        </w:tc>
      </w:tr>
      <w:tr w:rsidR="008654DD" w:rsidRPr="00B31282" w14:paraId="312A07AB" w14:textId="77777777" w:rsidTr="00991026">
        <w:trPr>
          <w:cantSplit/>
          <w:trHeight w:val="269"/>
        </w:trPr>
        <w:tc>
          <w:tcPr>
            <w:tcW w:w="1644" w:type="pct"/>
            <w:vAlign w:val="center"/>
          </w:tcPr>
          <w:p w14:paraId="4A703A8B" w14:textId="22F75259" w:rsidR="008654DD" w:rsidRPr="00991026" w:rsidRDefault="00991026" w:rsidP="00700675">
            <w:pPr>
              <w:pStyle w:val="COMTabletext"/>
              <w:keepNext w:val="0"/>
              <w:widowControl w:val="0"/>
              <w:rPr>
                <w:szCs w:val="20"/>
              </w:rPr>
            </w:pPr>
            <w:r>
              <w:rPr>
                <w:szCs w:val="20"/>
              </w:rPr>
              <w:t>z</w:t>
            </w:r>
            <w:r w:rsidR="008654DD" w:rsidRPr="00991026">
              <w:rPr>
                <w:szCs w:val="20"/>
              </w:rPr>
              <w:t>anubrutinib, 80 mg capsule, 120</w:t>
            </w:r>
          </w:p>
        </w:tc>
        <w:tc>
          <w:tcPr>
            <w:tcW w:w="985" w:type="pct"/>
          </w:tcPr>
          <w:p w14:paraId="4E82B52C" w14:textId="77777777" w:rsidR="008654DD" w:rsidRPr="00991026" w:rsidRDefault="008654DD" w:rsidP="00700675">
            <w:pPr>
              <w:pStyle w:val="COMTabletext"/>
              <w:keepNext w:val="0"/>
              <w:widowControl w:val="0"/>
              <w:jc w:val="center"/>
              <w:rPr>
                <w:szCs w:val="20"/>
              </w:rPr>
            </w:pPr>
            <w:r w:rsidRPr="00991026">
              <w:rPr>
                <w:szCs w:val="20"/>
              </w:rPr>
              <w:t>$8,794.57</w:t>
            </w:r>
          </w:p>
          <w:p w14:paraId="076D3693" w14:textId="77777777" w:rsidR="008654DD" w:rsidRPr="00991026" w:rsidRDefault="008654DD" w:rsidP="00700675">
            <w:pPr>
              <w:pStyle w:val="COMTabletext"/>
              <w:keepNext w:val="0"/>
              <w:widowControl w:val="0"/>
              <w:jc w:val="center"/>
              <w:rPr>
                <w:szCs w:val="20"/>
              </w:rPr>
            </w:pPr>
            <w:r w:rsidRPr="00991026">
              <w:rPr>
                <w:szCs w:val="20"/>
              </w:rPr>
              <w:t>$[SPA]</w:t>
            </w:r>
            <w:r w:rsidRPr="00991026">
              <w:rPr>
                <w:szCs w:val="20"/>
                <w:vertAlign w:val="superscript"/>
              </w:rPr>
              <w:t>a</w:t>
            </w:r>
          </w:p>
        </w:tc>
        <w:tc>
          <w:tcPr>
            <w:tcW w:w="450" w:type="pct"/>
            <w:vAlign w:val="center"/>
          </w:tcPr>
          <w:p w14:paraId="03D353DD" w14:textId="77777777" w:rsidR="008654DD" w:rsidRPr="00991026" w:rsidRDefault="008654DD" w:rsidP="00700675">
            <w:pPr>
              <w:widowControl w:val="0"/>
              <w:jc w:val="center"/>
              <w:rPr>
                <w:rFonts w:ascii="Arial Narrow" w:hAnsi="Arial Narrow"/>
                <w:sz w:val="20"/>
                <w:szCs w:val="20"/>
              </w:rPr>
            </w:pPr>
            <w:r w:rsidRPr="00991026">
              <w:rPr>
                <w:rFonts w:ascii="Arial Narrow" w:hAnsi="Arial Narrow"/>
                <w:sz w:val="20"/>
                <w:szCs w:val="20"/>
              </w:rPr>
              <w:t>1</w:t>
            </w:r>
          </w:p>
        </w:tc>
        <w:tc>
          <w:tcPr>
            <w:tcW w:w="450" w:type="pct"/>
            <w:vAlign w:val="center"/>
          </w:tcPr>
          <w:p w14:paraId="5D44EA13" w14:textId="77777777" w:rsidR="008654DD" w:rsidRPr="00991026" w:rsidRDefault="008654DD" w:rsidP="00700675">
            <w:pPr>
              <w:widowControl w:val="0"/>
              <w:jc w:val="center"/>
              <w:rPr>
                <w:rFonts w:ascii="Arial Narrow" w:hAnsi="Arial Narrow"/>
                <w:sz w:val="20"/>
                <w:szCs w:val="20"/>
              </w:rPr>
            </w:pPr>
            <w:r w:rsidRPr="00991026">
              <w:rPr>
                <w:rFonts w:ascii="Arial Narrow" w:hAnsi="Arial Narrow"/>
                <w:sz w:val="20"/>
                <w:szCs w:val="20"/>
              </w:rPr>
              <w:t>120</w:t>
            </w:r>
          </w:p>
        </w:tc>
        <w:tc>
          <w:tcPr>
            <w:tcW w:w="450" w:type="pct"/>
            <w:vAlign w:val="center"/>
          </w:tcPr>
          <w:p w14:paraId="37D4BBDC" w14:textId="77777777" w:rsidR="008654DD" w:rsidRPr="00991026" w:rsidRDefault="008654DD" w:rsidP="00700675">
            <w:pPr>
              <w:widowControl w:val="0"/>
              <w:jc w:val="center"/>
              <w:rPr>
                <w:rFonts w:ascii="Arial Narrow" w:hAnsi="Arial Narrow"/>
                <w:sz w:val="20"/>
                <w:szCs w:val="20"/>
              </w:rPr>
            </w:pPr>
            <w:r w:rsidRPr="00991026">
              <w:rPr>
                <w:rFonts w:ascii="Arial Narrow" w:hAnsi="Arial Narrow"/>
                <w:sz w:val="20"/>
                <w:szCs w:val="20"/>
              </w:rPr>
              <w:t>5</w:t>
            </w:r>
          </w:p>
        </w:tc>
        <w:tc>
          <w:tcPr>
            <w:tcW w:w="1021" w:type="pct"/>
            <w:vAlign w:val="center"/>
          </w:tcPr>
          <w:p w14:paraId="7737C268" w14:textId="77777777" w:rsidR="008654DD" w:rsidRPr="00991026" w:rsidRDefault="008654DD" w:rsidP="00700675">
            <w:pPr>
              <w:widowControl w:val="0"/>
              <w:rPr>
                <w:rFonts w:ascii="Arial Narrow" w:hAnsi="Arial Narrow"/>
                <w:sz w:val="20"/>
                <w:szCs w:val="20"/>
              </w:rPr>
            </w:pPr>
            <w:r w:rsidRPr="00991026">
              <w:rPr>
                <w:rFonts w:ascii="Arial Narrow" w:hAnsi="Arial Narrow"/>
                <w:sz w:val="20"/>
                <w:szCs w:val="20"/>
              </w:rPr>
              <w:t xml:space="preserve">Brukinsa </w:t>
            </w:r>
          </w:p>
        </w:tc>
      </w:tr>
      <w:tr w:rsidR="00985939" w:rsidRPr="00B31282" w14:paraId="175ED1E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7469BC04" w14:textId="77777777" w:rsidR="00985939" w:rsidRPr="00991026" w:rsidRDefault="00985939" w:rsidP="00700675">
            <w:pPr>
              <w:pStyle w:val="COMTabletext"/>
              <w:keepNext w:val="0"/>
              <w:widowControl w:val="0"/>
              <w:rPr>
                <w:szCs w:val="20"/>
              </w:rPr>
            </w:pPr>
            <w:r w:rsidRPr="00991026">
              <w:rPr>
                <w:b/>
                <w:szCs w:val="20"/>
              </w:rPr>
              <w:t xml:space="preserve">Category / Program: </w:t>
            </w:r>
            <w:r w:rsidRPr="00991026">
              <w:rPr>
                <w:szCs w:val="20"/>
              </w:rPr>
              <w:t>General Schedule</w:t>
            </w:r>
          </w:p>
        </w:tc>
      </w:tr>
      <w:tr w:rsidR="00985939" w:rsidRPr="00B31282" w14:paraId="26A19284"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2BA651EC" w14:textId="225CD1A2" w:rsidR="00985939" w:rsidRPr="00B31282" w:rsidRDefault="00985939" w:rsidP="00700675">
            <w:pPr>
              <w:pStyle w:val="COMTabletext"/>
              <w:keepNext w:val="0"/>
              <w:widowControl w:val="0"/>
              <w:rPr>
                <w:b/>
              </w:rPr>
            </w:pPr>
            <w:r w:rsidRPr="00B31282">
              <w:rPr>
                <w:b/>
              </w:rPr>
              <w:t>Prescriber type:</w:t>
            </w:r>
            <w:r w:rsidRPr="00B31282">
              <w:t xml:space="preserve"> </w:t>
            </w:r>
            <w:r w:rsidRPr="00B31282">
              <w:fldChar w:fldCharType="begin">
                <w:ffData>
                  <w:name w:val=""/>
                  <w:enabled/>
                  <w:calcOnExit w:val="0"/>
                  <w:checkBox>
                    <w:sizeAuto/>
                    <w:default w:val="1"/>
                  </w:checkBox>
                </w:ffData>
              </w:fldChar>
            </w:r>
            <w:r w:rsidRPr="00B31282">
              <w:instrText xml:space="preserve"> FORMCHECKBOX </w:instrText>
            </w:r>
            <w:r w:rsidR="00472981">
              <w:fldChar w:fldCharType="separate"/>
            </w:r>
            <w:r w:rsidRPr="00B31282">
              <w:fldChar w:fldCharType="end"/>
            </w:r>
            <w:r w:rsidRPr="00B31282">
              <w:t xml:space="preserve">Medical Practitioners </w:t>
            </w:r>
          </w:p>
        </w:tc>
      </w:tr>
      <w:tr w:rsidR="00985939" w:rsidRPr="00B31282" w14:paraId="59A29BA4"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1F7EAC3E" w14:textId="77777777" w:rsidR="00985939" w:rsidRPr="00B31282" w:rsidRDefault="00985939" w:rsidP="00700675">
            <w:pPr>
              <w:pStyle w:val="COMTabletext"/>
              <w:keepNext w:val="0"/>
              <w:widowControl w:val="0"/>
              <w:rPr>
                <w:b/>
                <w:color w:val="000000" w:themeColor="text1"/>
              </w:rPr>
            </w:pPr>
            <w:r w:rsidRPr="00B31282">
              <w:rPr>
                <w:b/>
                <w:color w:val="000000" w:themeColor="text1"/>
              </w:rPr>
              <w:t xml:space="preserve">Restriction type: </w:t>
            </w:r>
            <w:r w:rsidRPr="00B31282">
              <w:rPr>
                <w:rFonts w:eastAsia="Times New Roman"/>
                <w:color w:val="000000" w:themeColor="text1"/>
              </w:rPr>
              <w:t xml:space="preserve">Authority Required (telephone/online PBS Authorities system) </w:t>
            </w:r>
          </w:p>
        </w:tc>
      </w:tr>
      <w:tr w:rsidR="00985939" w:rsidRPr="00B31282" w14:paraId="19F80FC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E39C99B" w14:textId="77777777" w:rsidR="00985939" w:rsidRPr="00B31282" w:rsidRDefault="00985939" w:rsidP="00700675">
            <w:pPr>
              <w:pStyle w:val="COMTabletext"/>
              <w:keepNext w:val="0"/>
              <w:widowControl w:val="0"/>
              <w:rPr>
                <w:color w:val="000000" w:themeColor="text1"/>
              </w:rPr>
            </w:pPr>
            <w:r w:rsidRPr="00B31282">
              <w:rPr>
                <w:b/>
                <w:color w:val="000000" w:themeColor="text1"/>
              </w:rPr>
              <w:t xml:space="preserve">Episodicity: </w:t>
            </w:r>
            <w:r w:rsidRPr="00B31282">
              <w:rPr>
                <w:bCs w:val="0"/>
                <w:color w:val="000000" w:themeColor="text1"/>
              </w:rPr>
              <w:t>Relapsed or refractory</w:t>
            </w:r>
          </w:p>
        </w:tc>
      </w:tr>
      <w:tr w:rsidR="00985939" w:rsidRPr="00B31282" w14:paraId="0D29A56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C8248A4" w14:textId="77777777" w:rsidR="00985939" w:rsidRPr="00B31282" w:rsidRDefault="00985939" w:rsidP="00700675">
            <w:pPr>
              <w:pStyle w:val="COMTabletext"/>
              <w:keepNext w:val="0"/>
              <w:widowControl w:val="0"/>
              <w:rPr>
                <w:b/>
                <w:color w:val="000000" w:themeColor="text1"/>
              </w:rPr>
            </w:pPr>
            <w:r w:rsidRPr="00B31282">
              <w:rPr>
                <w:b/>
                <w:color w:val="000000" w:themeColor="text1"/>
              </w:rPr>
              <w:t xml:space="preserve">Condition: </w:t>
            </w:r>
            <w:r w:rsidRPr="00B31282">
              <w:rPr>
                <w:bCs w:val="0"/>
                <w:color w:val="000000" w:themeColor="text1"/>
              </w:rPr>
              <w:t>Chronic lymphocytic leukaemia (CLL) or small lymphocytic lymphoma (SLL)</w:t>
            </w:r>
          </w:p>
        </w:tc>
      </w:tr>
      <w:tr w:rsidR="00985939" w:rsidRPr="00B31282" w14:paraId="3135F79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1BA4000" w14:textId="77777777" w:rsidR="00985939" w:rsidRPr="00B31282" w:rsidRDefault="00985939" w:rsidP="00700675">
            <w:pPr>
              <w:pStyle w:val="COMTabletext"/>
              <w:keepNext w:val="0"/>
              <w:widowControl w:val="0"/>
              <w:rPr>
                <w:bCs w:val="0"/>
                <w:color w:val="000000" w:themeColor="text1"/>
              </w:rPr>
            </w:pPr>
            <w:r w:rsidRPr="00B31282">
              <w:rPr>
                <w:b/>
                <w:color w:val="000000" w:themeColor="text1"/>
              </w:rPr>
              <w:t>Indication</w:t>
            </w:r>
            <w:r w:rsidRPr="00B31282">
              <w:rPr>
                <w:bCs w:val="0"/>
                <w:color w:val="000000" w:themeColor="text1"/>
              </w:rPr>
              <w:t>: Relapsed or refractory chronic lymphocytic leukaemia (CLL) or small lymphocytic lymphoma (SLL)</w:t>
            </w:r>
          </w:p>
        </w:tc>
      </w:tr>
      <w:tr w:rsidR="00985939" w:rsidRPr="00B31282" w14:paraId="091889A7"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E6879E0" w14:textId="77777777" w:rsidR="00985939" w:rsidRPr="00B31282" w:rsidRDefault="00985939" w:rsidP="00700675">
            <w:pPr>
              <w:pStyle w:val="COMTabletext"/>
              <w:keepNext w:val="0"/>
              <w:widowControl w:val="0"/>
              <w:rPr>
                <w:b/>
                <w:color w:val="000000" w:themeColor="text1"/>
              </w:rPr>
            </w:pPr>
            <w:r w:rsidRPr="00B31282">
              <w:rPr>
                <w:b/>
                <w:color w:val="000000" w:themeColor="text1"/>
              </w:rPr>
              <w:t>Treatment Phase: Initial treatment</w:t>
            </w:r>
          </w:p>
        </w:tc>
      </w:tr>
      <w:tr w:rsidR="00985939" w:rsidRPr="00B31282" w14:paraId="0B24709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D658823" w14:textId="77777777" w:rsidR="00985939" w:rsidRPr="00B31282" w:rsidRDefault="00985939" w:rsidP="00700675">
            <w:pPr>
              <w:pStyle w:val="COMTabletext"/>
              <w:keepNext w:val="0"/>
              <w:widowControl w:val="0"/>
              <w:rPr>
                <w:color w:val="000000" w:themeColor="text1"/>
              </w:rPr>
            </w:pPr>
            <w:r w:rsidRPr="00B31282">
              <w:rPr>
                <w:b/>
                <w:color w:val="000000" w:themeColor="text1"/>
              </w:rPr>
              <w:t>Clinical criteria:</w:t>
            </w:r>
          </w:p>
        </w:tc>
      </w:tr>
      <w:tr w:rsidR="00985939" w:rsidRPr="00B31282" w14:paraId="77C237A7"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00054CF" w14:textId="77777777" w:rsidR="00985939" w:rsidRPr="00B31282" w:rsidRDefault="00985939" w:rsidP="00700675">
            <w:pPr>
              <w:pStyle w:val="COMTabletext"/>
              <w:keepNext w:val="0"/>
              <w:widowControl w:val="0"/>
              <w:rPr>
                <w:color w:val="000000" w:themeColor="text1"/>
              </w:rPr>
            </w:pPr>
            <w:r w:rsidRPr="00B31282">
              <w:rPr>
                <w:color w:val="000000" w:themeColor="text1"/>
              </w:rPr>
              <w:t>The treatment must be the sole PBS-subsidised therapy for this condition</w:t>
            </w:r>
          </w:p>
        </w:tc>
      </w:tr>
      <w:tr w:rsidR="00985939" w:rsidRPr="00B31282" w14:paraId="0DC7331C"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0DDF32F" w14:textId="77777777" w:rsidR="00985939" w:rsidRPr="00B31282" w:rsidRDefault="00985939" w:rsidP="00700675">
            <w:pPr>
              <w:pStyle w:val="COMTabletext"/>
              <w:keepNext w:val="0"/>
              <w:widowControl w:val="0"/>
              <w:rPr>
                <w:b/>
                <w:bCs w:val="0"/>
                <w:color w:val="000000" w:themeColor="text1"/>
              </w:rPr>
            </w:pPr>
            <w:r w:rsidRPr="00B31282">
              <w:rPr>
                <w:b/>
                <w:bCs w:val="0"/>
                <w:color w:val="000000" w:themeColor="text1"/>
              </w:rPr>
              <w:t>AND</w:t>
            </w:r>
          </w:p>
        </w:tc>
      </w:tr>
      <w:tr w:rsidR="00985939" w:rsidRPr="00B31282" w14:paraId="62A25EF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E007557" w14:textId="77777777" w:rsidR="00985939" w:rsidRPr="00B31282" w:rsidRDefault="00985939" w:rsidP="00700675">
            <w:pPr>
              <w:pStyle w:val="COMTabletext"/>
              <w:keepNext w:val="0"/>
              <w:widowControl w:val="0"/>
              <w:rPr>
                <w:color w:val="000000" w:themeColor="text1"/>
              </w:rPr>
            </w:pPr>
            <w:r w:rsidRPr="00B31282">
              <w:rPr>
                <w:b/>
                <w:color w:val="000000" w:themeColor="text1"/>
              </w:rPr>
              <w:t>Clinical criteria:</w:t>
            </w:r>
          </w:p>
        </w:tc>
      </w:tr>
      <w:tr w:rsidR="00985939" w:rsidRPr="00B31282" w14:paraId="6477625D"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A226488" w14:textId="77777777" w:rsidR="00985939" w:rsidRPr="00B31282" w:rsidRDefault="00985939" w:rsidP="00700675">
            <w:pPr>
              <w:pStyle w:val="COMTabletext"/>
              <w:keepNext w:val="0"/>
              <w:widowControl w:val="0"/>
              <w:rPr>
                <w:color w:val="000000" w:themeColor="text1"/>
              </w:rPr>
            </w:pPr>
            <w:r w:rsidRPr="00B31282">
              <w:rPr>
                <w:color w:val="000000" w:themeColor="text1"/>
              </w:rPr>
              <w:t>The condition must have relapsed or be refractory to at least one prior therapy</w:t>
            </w:r>
          </w:p>
        </w:tc>
      </w:tr>
      <w:tr w:rsidR="00985939" w:rsidRPr="00B31282" w14:paraId="10B4C3D6"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3056306" w14:textId="77777777" w:rsidR="00985939" w:rsidRPr="00B31282" w:rsidRDefault="00985939" w:rsidP="00700675">
            <w:pPr>
              <w:pStyle w:val="COMTabletext"/>
              <w:keepNext w:val="0"/>
              <w:widowControl w:val="0"/>
              <w:rPr>
                <w:b/>
                <w:bCs w:val="0"/>
                <w:color w:val="000000" w:themeColor="text1"/>
              </w:rPr>
            </w:pPr>
            <w:r w:rsidRPr="00B31282">
              <w:rPr>
                <w:b/>
                <w:bCs w:val="0"/>
                <w:color w:val="000000" w:themeColor="text1"/>
              </w:rPr>
              <w:t>AND</w:t>
            </w:r>
          </w:p>
        </w:tc>
      </w:tr>
      <w:tr w:rsidR="00985939" w:rsidRPr="00B31282" w14:paraId="2D9AAC1B"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1C99661" w14:textId="77777777" w:rsidR="00985939" w:rsidRPr="00B31282" w:rsidRDefault="00985939" w:rsidP="00700675">
            <w:pPr>
              <w:pStyle w:val="COMTabletext"/>
              <w:keepNext w:val="0"/>
              <w:widowControl w:val="0"/>
              <w:rPr>
                <w:color w:val="000000" w:themeColor="text1"/>
              </w:rPr>
            </w:pPr>
            <w:r w:rsidRPr="00B31282">
              <w:rPr>
                <w:b/>
                <w:color w:val="000000" w:themeColor="text1"/>
              </w:rPr>
              <w:t>Clinical criteria:</w:t>
            </w:r>
          </w:p>
        </w:tc>
      </w:tr>
      <w:tr w:rsidR="00985939" w:rsidRPr="00B31282" w14:paraId="4210AFE2"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1C94960" w14:textId="77777777" w:rsidR="00985939" w:rsidRPr="00B31282" w:rsidRDefault="00985939" w:rsidP="00700675">
            <w:pPr>
              <w:pStyle w:val="COMTabletext"/>
              <w:keepNext w:val="0"/>
              <w:widowControl w:val="0"/>
              <w:rPr>
                <w:color w:val="000000" w:themeColor="text1"/>
              </w:rPr>
            </w:pPr>
            <w:r w:rsidRPr="00B31282">
              <w:rPr>
                <w:color w:val="000000" w:themeColor="text1"/>
              </w:rPr>
              <w:t>Patient must have a WHO performance status of 0 or 1</w:t>
            </w:r>
          </w:p>
        </w:tc>
      </w:tr>
      <w:tr w:rsidR="00985939" w:rsidRPr="00B31282" w14:paraId="29134E9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53839EF" w14:textId="77777777" w:rsidR="00985939" w:rsidRPr="00B31282" w:rsidRDefault="00985939" w:rsidP="00700675">
            <w:pPr>
              <w:pStyle w:val="COMTabletext"/>
              <w:keepNext w:val="0"/>
              <w:widowControl w:val="0"/>
              <w:rPr>
                <w:b/>
                <w:bCs w:val="0"/>
                <w:color w:val="000000" w:themeColor="text1"/>
              </w:rPr>
            </w:pPr>
            <w:r w:rsidRPr="00B31282">
              <w:rPr>
                <w:b/>
                <w:bCs w:val="0"/>
                <w:color w:val="000000" w:themeColor="text1"/>
              </w:rPr>
              <w:t>AND</w:t>
            </w:r>
          </w:p>
        </w:tc>
      </w:tr>
      <w:tr w:rsidR="00985939" w:rsidRPr="00B31282" w14:paraId="5ECADC47"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4BA6BEA" w14:textId="77777777" w:rsidR="00985939" w:rsidRPr="00B31282" w:rsidRDefault="00985939" w:rsidP="00700675">
            <w:pPr>
              <w:pStyle w:val="COMTabletext"/>
              <w:keepNext w:val="0"/>
              <w:widowControl w:val="0"/>
              <w:rPr>
                <w:color w:val="000000" w:themeColor="text1"/>
              </w:rPr>
            </w:pPr>
            <w:r w:rsidRPr="00B31282">
              <w:rPr>
                <w:b/>
                <w:color w:val="000000" w:themeColor="text1"/>
              </w:rPr>
              <w:t>Clinical criteria:</w:t>
            </w:r>
          </w:p>
        </w:tc>
      </w:tr>
      <w:tr w:rsidR="00985939" w:rsidRPr="00B31282" w14:paraId="47A2FE5B"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717BB1" w14:textId="77777777" w:rsidR="00985939" w:rsidRPr="00B31282" w:rsidRDefault="00985939" w:rsidP="00700675">
            <w:pPr>
              <w:pStyle w:val="COMTabletext"/>
              <w:keepNext w:val="0"/>
              <w:widowControl w:val="0"/>
              <w:rPr>
                <w:color w:val="000000" w:themeColor="text1"/>
              </w:rPr>
            </w:pPr>
            <w:r w:rsidRPr="00B31282">
              <w:rPr>
                <w:color w:val="000000" w:themeColor="text1"/>
              </w:rPr>
              <w:t>Patient must not have previously received PBS-subsidised treatment with this drug for this condition</w:t>
            </w:r>
          </w:p>
        </w:tc>
      </w:tr>
      <w:tr w:rsidR="00985939" w:rsidRPr="00B31282" w14:paraId="79485CA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304C6B8" w14:textId="77777777" w:rsidR="00985939" w:rsidRPr="00B31282" w:rsidRDefault="00985939" w:rsidP="00700675">
            <w:pPr>
              <w:pStyle w:val="COMTabletext"/>
              <w:keepNext w:val="0"/>
              <w:widowControl w:val="0"/>
              <w:rPr>
                <w:b/>
                <w:bCs w:val="0"/>
                <w:color w:val="000000" w:themeColor="text1"/>
              </w:rPr>
            </w:pPr>
            <w:r w:rsidRPr="00B31282">
              <w:rPr>
                <w:b/>
                <w:bCs w:val="0"/>
                <w:color w:val="000000" w:themeColor="text1"/>
              </w:rPr>
              <w:t>AND</w:t>
            </w:r>
          </w:p>
        </w:tc>
      </w:tr>
      <w:tr w:rsidR="00985939" w:rsidRPr="00B31282" w14:paraId="414EB46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681679E2" w14:textId="77777777" w:rsidR="00985939" w:rsidRPr="00B31282" w:rsidRDefault="00985939" w:rsidP="00700675">
            <w:pPr>
              <w:pStyle w:val="COMTabletext"/>
              <w:keepNext w:val="0"/>
              <w:widowControl w:val="0"/>
              <w:rPr>
                <w:color w:val="000000" w:themeColor="text1"/>
              </w:rPr>
            </w:pPr>
            <w:r w:rsidRPr="00B31282">
              <w:rPr>
                <w:b/>
                <w:color w:val="000000" w:themeColor="text1"/>
              </w:rPr>
              <w:t>Clinical criteria:</w:t>
            </w:r>
          </w:p>
        </w:tc>
      </w:tr>
      <w:tr w:rsidR="00985939" w:rsidRPr="00B31282" w14:paraId="0298A02B"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36CDE4B" w14:textId="77777777" w:rsidR="00985939" w:rsidRPr="00B31282" w:rsidRDefault="00985939" w:rsidP="00700675">
            <w:pPr>
              <w:pStyle w:val="COMTabletext"/>
              <w:keepNext w:val="0"/>
              <w:widowControl w:val="0"/>
              <w:rPr>
                <w:color w:val="000000" w:themeColor="text1"/>
              </w:rPr>
            </w:pPr>
            <w:r w:rsidRPr="00B31282">
              <w:rPr>
                <w:color w:val="000000" w:themeColor="text1"/>
              </w:rPr>
              <w:t>Patient must not have received treatment with another Bruton’s tyrosine kinase (BTK) inhibitor for any line of treatment of CLL/SLL (untreated or relapsed/refractory disease); OR</w:t>
            </w:r>
          </w:p>
        </w:tc>
      </w:tr>
      <w:tr w:rsidR="00985939" w:rsidRPr="00B31282" w14:paraId="5E98975A"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4453896" w14:textId="77777777" w:rsidR="00985939" w:rsidRPr="00B31282" w:rsidRDefault="00985939" w:rsidP="00700675">
            <w:pPr>
              <w:pStyle w:val="COMTabletext"/>
              <w:keepNext w:val="0"/>
              <w:widowControl w:val="0"/>
              <w:rPr>
                <w:color w:val="000000" w:themeColor="text1"/>
              </w:rPr>
            </w:pPr>
            <w:r w:rsidRPr="00B31282">
              <w:rPr>
                <w:color w:val="000000" w:themeColor="text1"/>
              </w:rPr>
              <w:t>Patient must have developed intolerance to another Bruton’s tyrosine kinase (BTK) inhibitor of a severity necessitating permanent treatment withdrawal when being treated for relapsed or refractory CLL/SLL</w:t>
            </w:r>
          </w:p>
        </w:tc>
      </w:tr>
      <w:tr w:rsidR="00985939" w:rsidRPr="00B31282" w14:paraId="75C8438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F345C4" w14:textId="731FEAD2" w:rsidR="00985939" w:rsidRPr="00B31282" w:rsidRDefault="00985939" w:rsidP="6213BDFA">
            <w:pPr>
              <w:pStyle w:val="COMTabletext"/>
              <w:keepNext w:val="0"/>
              <w:widowControl w:val="0"/>
              <w:rPr>
                <w:b/>
                <w:color w:val="000000" w:themeColor="text1"/>
              </w:rPr>
            </w:pPr>
            <w:r w:rsidRPr="6213BDFA">
              <w:rPr>
                <w:b/>
                <w:color w:val="000000" w:themeColor="text1"/>
              </w:rPr>
              <w:t>AND</w:t>
            </w:r>
          </w:p>
        </w:tc>
      </w:tr>
      <w:tr w:rsidR="00985939" w:rsidRPr="00B31282" w14:paraId="2A07D21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D344EC" w14:textId="77777777" w:rsidR="00985939" w:rsidRPr="00B31282" w:rsidRDefault="00985939" w:rsidP="00700675">
            <w:pPr>
              <w:pStyle w:val="COMTabletext"/>
              <w:keepNext w:val="0"/>
              <w:widowControl w:val="0"/>
              <w:rPr>
                <w:color w:val="000000" w:themeColor="text1"/>
              </w:rPr>
            </w:pPr>
            <w:r w:rsidRPr="6213BDFA">
              <w:rPr>
                <w:b/>
                <w:color w:val="000000" w:themeColor="text1"/>
              </w:rPr>
              <w:t>Clinical criteria:</w:t>
            </w:r>
          </w:p>
        </w:tc>
      </w:tr>
      <w:tr w:rsidR="00985939" w:rsidRPr="00B31282" w14:paraId="5B206777"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913E40C" w14:textId="77777777" w:rsidR="00985939" w:rsidRPr="00B31282" w:rsidRDefault="00985939" w:rsidP="00700675">
            <w:pPr>
              <w:pStyle w:val="COMTabletext"/>
              <w:keepNext w:val="0"/>
              <w:widowControl w:val="0"/>
              <w:rPr>
                <w:color w:val="000000" w:themeColor="text1"/>
              </w:rPr>
            </w:pPr>
            <w:r w:rsidRPr="6213BDFA">
              <w:rPr>
                <w:color w:val="000000" w:themeColor="text1"/>
              </w:rPr>
              <w:t>Patient must be considered unsuitable for treatment or retreatment with a purine analogue</w:t>
            </w:r>
          </w:p>
        </w:tc>
      </w:tr>
      <w:tr w:rsidR="00985939" w:rsidRPr="00B31282" w14:paraId="02953D0C"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52E2889" w14:textId="77777777" w:rsidR="00985939" w:rsidRPr="00B31282" w:rsidRDefault="00985939" w:rsidP="00700675">
            <w:pPr>
              <w:pStyle w:val="COMTabletext"/>
              <w:keepNext w:val="0"/>
              <w:widowControl w:val="0"/>
              <w:rPr>
                <w:b/>
                <w:color w:val="000000" w:themeColor="text1"/>
              </w:rPr>
            </w:pPr>
            <w:r w:rsidRPr="00B31282">
              <w:rPr>
                <w:b/>
                <w:color w:val="000000" w:themeColor="text1"/>
              </w:rPr>
              <w:t>Prescribing Instructions:</w:t>
            </w:r>
          </w:p>
          <w:p w14:paraId="56D5BD40" w14:textId="77777777" w:rsidR="00985939" w:rsidRPr="00B31282" w:rsidRDefault="00985939" w:rsidP="00700675">
            <w:pPr>
              <w:pStyle w:val="COMTabletext"/>
              <w:keepNext w:val="0"/>
              <w:widowControl w:val="0"/>
              <w:rPr>
                <w:bCs w:val="0"/>
                <w:color w:val="000000" w:themeColor="text1"/>
              </w:rPr>
            </w:pPr>
            <w:r w:rsidRPr="00B31282">
              <w:rPr>
                <w:bCs w:val="0"/>
                <w:color w:val="000000" w:themeColor="text1"/>
              </w:rPr>
              <w:t xml:space="preserve">A patient is considered unsuitable for treatment or retreatment with a purine analogue as demonstrated by at least one of the following: </w:t>
            </w:r>
          </w:p>
          <w:p w14:paraId="60CA23E7" w14:textId="77777777" w:rsidR="00985939" w:rsidRPr="00B31282" w:rsidRDefault="00985939" w:rsidP="00700675">
            <w:pPr>
              <w:pStyle w:val="COMTabletext"/>
              <w:keepNext w:val="0"/>
              <w:widowControl w:val="0"/>
              <w:rPr>
                <w:bCs w:val="0"/>
                <w:color w:val="000000" w:themeColor="text1"/>
              </w:rPr>
            </w:pPr>
            <w:r w:rsidRPr="00B31282">
              <w:rPr>
                <w:bCs w:val="0"/>
                <w:color w:val="000000" w:themeColor="text1"/>
              </w:rPr>
              <w:t xml:space="preserve">a) Failure to respond (stable disease or disease progression on treatment), or a progression-free interval of less than 3 years from treatment with a purine analogue-based therapy and anti-CD20-containing chemoimmunotherapy regimen after at least two cycles; </w:t>
            </w:r>
          </w:p>
          <w:p w14:paraId="45D04516" w14:textId="77777777" w:rsidR="00985939" w:rsidRPr="00B31282" w:rsidRDefault="00985939" w:rsidP="00700675">
            <w:pPr>
              <w:pStyle w:val="COMTabletext"/>
              <w:keepNext w:val="0"/>
              <w:widowControl w:val="0"/>
              <w:rPr>
                <w:bCs w:val="0"/>
                <w:color w:val="000000" w:themeColor="text1"/>
              </w:rPr>
            </w:pPr>
            <w:r w:rsidRPr="00B31282">
              <w:rPr>
                <w:bCs w:val="0"/>
                <w:color w:val="000000" w:themeColor="text1"/>
              </w:rPr>
              <w:t xml:space="preserve">b) Age is 70 years or older; </w:t>
            </w:r>
          </w:p>
          <w:p w14:paraId="61F7339C" w14:textId="77777777" w:rsidR="00985939" w:rsidRPr="00B31282" w:rsidRDefault="00985939" w:rsidP="00700675">
            <w:pPr>
              <w:pStyle w:val="COMTabletext"/>
              <w:keepNext w:val="0"/>
              <w:widowControl w:val="0"/>
              <w:rPr>
                <w:bCs w:val="0"/>
                <w:color w:val="000000" w:themeColor="text1"/>
              </w:rPr>
            </w:pPr>
            <w:r w:rsidRPr="00B31282">
              <w:rPr>
                <w:bCs w:val="0"/>
                <w:color w:val="000000" w:themeColor="text1"/>
              </w:rPr>
              <w:t xml:space="preserve">c) Age is 65 years or older and the presence of comorbidities (Cumulative Illness Rating Scale of 6 or greater, or creatinine clearance of less than 70 mL/min) that might place the patient at an unacceptable risk for treatment related toxicity with purine analogue-based therapy, provided they have received one or more prior treatment including at least two cycles of an alkylating agent-based (or purine analogue-based) anti-CD20 antibody-containing chemoimmunotherapy regimen; </w:t>
            </w:r>
          </w:p>
          <w:p w14:paraId="6383C09C" w14:textId="77777777" w:rsidR="00985939" w:rsidRPr="00B31282" w:rsidRDefault="00985939" w:rsidP="00700675">
            <w:pPr>
              <w:pStyle w:val="COMTabletext"/>
              <w:keepNext w:val="0"/>
              <w:widowControl w:val="0"/>
              <w:rPr>
                <w:bCs w:val="0"/>
                <w:color w:val="000000" w:themeColor="text1"/>
              </w:rPr>
            </w:pPr>
            <w:r w:rsidRPr="00B31282">
              <w:rPr>
                <w:bCs w:val="0"/>
                <w:color w:val="000000" w:themeColor="text1"/>
              </w:rPr>
              <w:t xml:space="preserve">d) History of purine analogue-associated autoimmune anaemia or autoimmune thrombocytopenia; </w:t>
            </w:r>
          </w:p>
          <w:p w14:paraId="508111D0" w14:textId="77777777" w:rsidR="00985939" w:rsidRPr="00B31282" w:rsidRDefault="00985939" w:rsidP="00700675">
            <w:pPr>
              <w:pStyle w:val="COMTabletext"/>
              <w:keepNext w:val="0"/>
              <w:widowControl w:val="0"/>
              <w:rPr>
                <w:color w:val="000000" w:themeColor="text1"/>
              </w:rPr>
            </w:pPr>
            <w:r w:rsidRPr="00B31282">
              <w:rPr>
                <w:bCs w:val="0"/>
                <w:color w:val="000000" w:themeColor="text1"/>
              </w:rPr>
              <w:t>e) Evidence of one or more 17p chromosomal deletions demonstrated by a Medicare Benefits Schedule listed test.</w:t>
            </w:r>
          </w:p>
        </w:tc>
      </w:tr>
      <w:tr w:rsidR="004D425B" w:rsidRPr="00B31282" w14:paraId="4A777322"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112B951" w14:textId="77777777" w:rsidR="004D425B" w:rsidRDefault="004D425B" w:rsidP="00700675">
            <w:pPr>
              <w:pStyle w:val="COMTabletext"/>
              <w:keepNext w:val="0"/>
              <w:widowControl w:val="0"/>
              <w:rPr>
                <w:b/>
                <w:color w:val="000000" w:themeColor="text1"/>
              </w:rPr>
            </w:pPr>
          </w:p>
          <w:p w14:paraId="7A0C71D2" w14:textId="70087F90" w:rsidR="004D425B" w:rsidRPr="00B31282" w:rsidRDefault="004D425B" w:rsidP="00700675">
            <w:pPr>
              <w:pStyle w:val="COMTabletext"/>
              <w:keepNext w:val="0"/>
              <w:widowControl w:val="0"/>
              <w:rPr>
                <w:b/>
                <w:color w:val="000000" w:themeColor="text1"/>
              </w:rPr>
            </w:pPr>
          </w:p>
        </w:tc>
      </w:tr>
      <w:tr w:rsidR="00654802" w:rsidRPr="00B31282" w14:paraId="242F579E"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52193C8" w14:textId="0E2289A0" w:rsidR="00654802" w:rsidRPr="00B31282" w:rsidRDefault="002B62F8" w:rsidP="00700675">
            <w:pPr>
              <w:pStyle w:val="COMTabletext"/>
              <w:keepNext w:val="0"/>
              <w:widowControl w:val="0"/>
              <w:rPr>
                <w:b/>
                <w:color w:val="000000" w:themeColor="text1"/>
              </w:rPr>
            </w:pPr>
            <w:r w:rsidRPr="00B31282">
              <w:rPr>
                <w:b/>
                <w:color w:val="000000" w:themeColor="text1"/>
              </w:rPr>
              <w:t xml:space="preserve">Treatment phase: </w:t>
            </w:r>
            <w:r w:rsidR="00A468C0" w:rsidRPr="00B31282">
              <w:rPr>
                <w:b/>
                <w:color w:val="000000" w:themeColor="text1"/>
              </w:rPr>
              <w:t>Continuing treatment</w:t>
            </w:r>
          </w:p>
        </w:tc>
      </w:tr>
      <w:tr w:rsidR="00A468C0" w:rsidRPr="00B31282" w14:paraId="0110A02E"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2B7D26F" w14:textId="77777777" w:rsidR="00A468C0" w:rsidRPr="00B31282" w:rsidRDefault="00A468C0" w:rsidP="00D12BAD">
            <w:pPr>
              <w:pStyle w:val="COMTabletext"/>
              <w:keepLines/>
              <w:rPr>
                <w:b/>
                <w:color w:val="000000" w:themeColor="text1"/>
              </w:rPr>
            </w:pPr>
            <w:r w:rsidRPr="00B31282">
              <w:rPr>
                <w:b/>
                <w:color w:val="000000" w:themeColor="text1"/>
              </w:rPr>
              <w:t>Clinical criteria:</w:t>
            </w:r>
          </w:p>
        </w:tc>
      </w:tr>
      <w:tr w:rsidR="00A468C0" w:rsidRPr="00B31282" w14:paraId="542F6F4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5DDAC7F" w14:textId="77777777" w:rsidR="00A468C0" w:rsidRPr="00B31282" w:rsidRDefault="00A468C0" w:rsidP="00D12BAD">
            <w:pPr>
              <w:pStyle w:val="COMTabletext"/>
              <w:keepLines/>
              <w:rPr>
                <w:bCs w:val="0"/>
                <w:color w:val="000000" w:themeColor="text1"/>
              </w:rPr>
            </w:pPr>
            <w:r w:rsidRPr="00B31282">
              <w:rPr>
                <w:bCs w:val="0"/>
                <w:color w:val="000000" w:themeColor="text1"/>
              </w:rPr>
              <w:t>The treatment must be the sole PBS-subsidised therapy for this condition</w:t>
            </w:r>
          </w:p>
        </w:tc>
      </w:tr>
      <w:tr w:rsidR="00A468C0" w:rsidRPr="00B31282" w14:paraId="6A3120FD"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ACD1F28" w14:textId="77777777" w:rsidR="00A468C0" w:rsidRPr="00B31282" w:rsidRDefault="00A468C0" w:rsidP="00D12BAD">
            <w:pPr>
              <w:pStyle w:val="COMTabletext"/>
              <w:keepLines/>
              <w:rPr>
                <w:b/>
                <w:color w:val="000000" w:themeColor="text1"/>
              </w:rPr>
            </w:pPr>
            <w:r w:rsidRPr="00B31282">
              <w:rPr>
                <w:b/>
                <w:color w:val="000000" w:themeColor="text1"/>
              </w:rPr>
              <w:t>AND</w:t>
            </w:r>
          </w:p>
        </w:tc>
      </w:tr>
      <w:tr w:rsidR="00A468C0" w:rsidRPr="00B31282" w14:paraId="0D1A3344"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9CB737B" w14:textId="77777777" w:rsidR="00A468C0" w:rsidRPr="00B31282" w:rsidRDefault="00A468C0" w:rsidP="00D12BAD">
            <w:pPr>
              <w:pStyle w:val="COMTabletext"/>
              <w:keepLines/>
              <w:rPr>
                <w:b/>
                <w:color w:val="000000" w:themeColor="text1"/>
              </w:rPr>
            </w:pPr>
            <w:r w:rsidRPr="00B31282">
              <w:rPr>
                <w:b/>
                <w:color w:val="000000" w:themeColor="text1"/>
              </w:rPr>
              <w:t>Clinical criteria:</w:t>
            </w:r>
          </w:p>
        </w:tc>
      </w:tr>
      <w:tr w:rsidR="00A468C0" w:rsidRPr="00B31282" w14:paraId="08EDF8E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12D7BAA" w14:textId="77777777" w:rsidR="00A468C0" w:rsidRPr="00B31282" w:rsidRDefault="00A468C0" w:rsidP="00D12BAD">
            <w:pPr>
              <w:pStyle w:val="COMTabletext"/>
              <w:keepLines/>
              <w:rPr>
                <w:bCs w:val="0"/>
                <w:color w:val="000000" w:themeColor="text1"/>
              </w:rPr>
            </w:pPr>
            <w:r w:rsidRPr="00B31282">
              <w:rPr>
                <w:bCs w:val="0"/>
                <w:color w:val="000000" w:themeColor="text1"/>
              </w:rPr>
              <w:t>Patient must have previously received PBS-subsidised treatment with this drug for this condition</w:t>
            </w:r>
          </w:p>
        </w:tc>
      </w:tr>
      <w:tr w:rsidR="00A468C0" w:rsidRPr="00B31282" w14:paraId="6C4B301B"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C73A9F0" w14:textId="77777777" w:rsidR="00A468C0" w:rsidRPr="00B31282" w:rsidRDefault="00A468C0" w:rsidP="00D12BAD">
            <w:pPr>
              <w:pStyle w:val="COMTabletext"/>
              <w:keepLines/>
              <w:rPr>
                <w:b/>
                <w:color w:val="000000" w:themeColor="text1"/>
              </w:rPr>
            </w:pPr>
            <w:r w:rsidRPr="00B31282">
              <w:rPr>
                <w:b/>
                <w:color w:val="000000" w:themeColor="text1"/>
              </w:rPr>
              <w:t>AND</w:t>
            </w:r>
          </w:p>
        </w:tc>
      </w:tr>
      <w:tr w:rsidR="00A468C0" w:rsidRPr="00B31282" w14:paraId="4E43761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B81666F" w14:textId="77777777" w:rsidR="00A468C0" w:rsidRPr="00B31282" w:rsidRDefault="00A468C0" w:rsidP="00D12BAD">
            <w:pPr>
              <w:pStyle w:val="COMTabletext"/>
              <w:keepLines/>
              <w:rPr>
                <w:b/>
                <w:color w:val="000000" w:themeColor="text1"/>
              </w:rPr>
            </w:pPr>
            <w:r w:rsidRPr="00B31282">
              <w:rPr>
                <w:b/>
                <w:color w:val="000000" w:themeColor="text1"/>
              </w:rPr>
              <w:t>Clinical criteria:</w:t>
            </w:r>
          </w:p>
        </w:tc>
      </w:tr>
      <w:tr w:rsidR="00A468C0" w:rsidRPr="00B31282" w14:paraId="1B7C2F28"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D15E198" w14:textId="77777777" w:rsidR="00A468C0" w:rsidRPr="00B31282" w:rsidRDefault="00A468C0" w:rsidP="00D12BAD">
            <w:pPr>
              <w:pStyle w:val="COMTabletext"/>
              <w:keepLines/>
              <w:rPr>
                <w:bCs w:val="0"/>
                <w:color w:val="000000" w:themeColor="text1"/>
              </w:rPr>
            </w:pPr>
            <w:r w:rsidRPr="00B31282">
              <w:rPr>
                <w:bCs w:val="0"/>
                <w:color w:val="000000" w:themeColor="text1"/>
              </w:rPr>
              <w:t>Patient must not develop disease progression while receiving PBS-subsidised treatment with this drug for this condition</w:t>
            </w:r>
          </w:p>
        </w:tc>
      </w:tr>
      <w:tr w:rsidR="004D425B" w:rsidRPr="00B31282" w14:paraId="4E2B592A"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51BE4C2" w14:textId="77777777" w:rsidR="004D425B" w:rsidRDefault="004D425B" w:rsidP="00D12BAD">
            <w:pPr>
              <w:pStyle w:val="COMTabletext"/>
              <w:keepLines/>
              <w:rPr>
                <w:bCs w:val="0"/>
                <w:color w:val="000000" w:themeColor="text1"/>
              </w:rPr>
            </w:pPr>
          </w:p>
          <w:p w14:paraId="10DECB56" w14:textId="165C1199" w:rsidR="004D425B" w:rsidRPr="00B31282" w:rsidRDefault="004D425B" w:rsidP="00D12BAD">
            <w:pPr>
              <w:pStyle w:val="COMTabletext"/>
              <w:keepLines/>
              <w:rPr>
                <w:bCs w:val="0"/>
                <w:color w:val="000000" w:themeColor="text1"/>
              </w:rPr>
            </w:pPr>
          </w:p>
        </w:tc>
      </w:tr>
      <w:tr w:rsidR="008D76DE" w:rsidRPr="00B31282" w14:paraId="0F8DB466"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9FDFADD" w14:textId="02091B1D" w:rsidR="008D76DE" w:rsidRPr="00B31282" w:rsidRDefault="00181192" w:rsidP="00D12BAD">
            <w:pPr>
              <w:pStyle w:val="COMTabletext"/>
              <w:keepNext w:val="0"/>
              <w:rPr>
                <w:b/>
                <w:bCs w:val="0"/>
                <w:color w:val="000000" w:themeColor="text1"/>
              </w:rPr>
            </w:pPr>
            <w:r w:rsidRPr="00B31282">
              <w:rPr>
                <w:b/>
                <w:bCs w:val="0"/>
                <w:color w:val="000000" w:themeColor="text1"/>
              </w:rPr>
              <w:t xml:space="preserve">Treatment phase: </w:t>
            </w:r>
            <w:r w:rsidR="008D76DE" w:rsidRPr="00B31282">
              <w:rPr>
                <w:b/>
                <w:bCs w:val="0"/>
                <w:color w:val="000000" w:themeColor="text1"/>
              </w:rPr>
              <w:t>Grandfathering treatment</w:t>
            </w:r>
          </w:p>
        </w:tc>
      </w:tr>
      <w:tr w:rsidR="008D76DE" w:rsidRPr="00B31282" w14:paraId="3C7DEBB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A4E64CD" w14:textId="77777777" w:rsidR="008D76DE" w:rsidRPr="00B31282" w:rsidRDefault="008D76DE" w:rsidP="00D12BAD">
            <w:pPr>
              <w:pStyle w:val="COMTabletext"/>
              <w:keepNext w:val="0"/>
              <w:rPr>
                <w:color w:val="000000" w:themeColor="text1"/>
              </w:rPr>
            </w:pPr>
            <w:r w:rsidRPr="00B31282">
              <w:rPr>
                <w:b/>
                <w:color w:val="000000" w:themeColor="text1"/>
              </w:rPr>
              <w:t>Clinical criteria:</w:t>
            </w:r>
          </w:p>
        </w:tc>
      </w:tr>
      <w:tr w:rsidR="008D76DE" w:rsidRPr="00B31282" w14:paraId="313539D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5C8536C" w14:textId="77777777" w:rsidR="008D76DE" w:rsidRPr="00B31282" w:rsidRDefault="008D76DE" w:rsidP="00D12BAD">
            <w:pPr>
              <w:pStyle w:val="COMTabletext"/>
              <w:keepNext w:val="0"/>
              <w:rPr>
                <w:color w:val="000000" w:themeColor="text1"/>
              </w:rPr>
            </w:pPr>
            <w:r w:rsidRPr="00B31282">
              <w:rPr>
                <w:color w:val="000000" w:themeColor="text1"/>
              </w:rPr>
              <w:t>Patient must have previously received non-PBS-subsidised treatment with this drug for relapsed or refractory CLL/SLL prior to 1 Month 2023 [insert listing date here]</w:t>
            </w:r>
          </w:p>
        </w:tc>
      </w:tr>
      <w:tr w:rsidR="008D76DE" w:rsidRPr="00B31282" w14:paraId="7A041893"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F7C9C3" w14:textId="77777777" w:rsidR="008D76DE" w:rsidRPr="00B31282" w:rsidRDefault="008D76DE" w:rsidP="00D12BAD">
            <w:pPr>
              <w:pStyle w:val="COMTabletext"/>
              <w:keepNext w:val="0"/>
              <w:rPr>
                <w:b/>
                <w:bCs w:val="0"/>
                <w:color w:val="000000" w:themeColor="text1"/>
              </w:rPr>
            </w:pPr>
            <w:r w:rsidRPr="00B31282">
              <w:rPr>
                <w:b/>
                <w:bCs w:val="0"/>
                <w:color w:val="000000" w:themeColor="text1"/>
              </w:rPr>
              <w:t>AND</w:t>
            </w:r>
          </w:p>
        </w:tc>
      </w:tr>
      <w:tr w:rsidR="008D76DE" w:rsidRPr="00B31282" w14:paraId="64A59154"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A2FBE56" w14:textId="77777777" w:rsidR="008D76DE" w:rsidRPr="00B31282" w:rsidRDefault="008D76DE" w:rsidP="00D12BAD">
            <w:pPr>
              <w:pStyle w:val="COMTabletext"/>
              <w:keepNext w:val="0"/>
              <w:rPr>
                <w:b/>
                <w:bCs w:val="0"/>
                <w:color w:val="000000" w:themeColor="text1"/>
              </w:rPr>
            </w:pPr>
            <w:r w:rsidRPr="00B31282">
              <w:rPr>
                <w:b/>
                <w:bCs w:val="0"/>
                <w:color w:val="000000" w:themeColor="text1"/>
              </w:rPr>
              <w:t>Clinical criteria:</w:t>
            </w:r>
          </w:p>
        </w:tc>
      </w:tr>
      <w:tr w:rsidR="008D76DE" w:rsidRPr="00B31282" w14:paraId="2C0991F7"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EC5242C" w14:textId="77777777" w:rsidR="008D76DE" w:rsidRPr="00B31282" w:rsidRDefault="008D76DE" w:rsidP="00D12BAD">
            <w:pPr>
              <w:pStyle w:val="COMTabletext"/>
              <w:keepNext w:val="0"/>
              <w:rPr>
                <w:color w:val="000000" w:themeColor="text1"/>
              </w:rPr>
            </w:pPr>
            <w:r w:rsidRPr="00B31282">
              <w:rPr>
                <w:color w:val="000000" w:themeColor="text1"/>
              </w:rPr>
              <w:t>The treatment must be the sole PBS-subsidised therapy for this condition</w:t>
            </w:r>
          </w:p>
        </w:tc>
      </w:tr>
      <w:tr w:rsidR="008D76DE" w:rsidRPr="00B31282" w14:paraId="311768D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6316C61" w14:textId="77777777" w:rsidR="008D76DE" w:rsidRPr="00B31282" w:rsidRDefault="008D76DE" w:rsidP="00D12BAD">
            <w:pPr>
              <w:pStyle w:val="COMTabletext"/>
              <w:keepNext w:val="0"/>
              <w:rPr>
                <w:b/>
                <w:bCs w:val="0"/>
                <w:color w:val="000000" w:themeColor="text1"/>
              </w:rPr>
            </w:pPr>
            <w:r w:rsidRPr="00B31282">
              <w:rPr>
                <w:b/>
                <w:bCs w:val="0"/>
                <w:color w:val="000000" w:themeColor="text1"/>
              </w:rPr>
              <w:t>AND</w:t>
            </w:r>
          </w:p>
        </w:tc>
      </w:tr>
      <w:tr w:rsidR="008D76DE" w:rsidRPr="00B31282" w14:paraId="069ABEBE"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A1D7191" w14:textId="77777777" w:rsidR="008D76DE" w:rsidRPr="00B31282" w:rsidRDefault="008D76DE" w:rsidP="00D12BAD">
            <w:pPr>
              <w:pStyle w:val="COMTabletext"/>
              <w:keepNext w:val="0"/>
              <w:rPr>
                <w:color w:val="000000" w:themeColor="text1"/>
              </w:rPr>
            </w:pPr>
            <w:r w:rsidRPr="00B31282">
              <w:rPr>
                <w:b/>
                <w:color w:val="000000" w:themeColor="text1"/>
              </w:rPr>
              <w:t>Clinical criteria:</w:t>
            </w:r>
          </w:p>
        </w:tc>
      </w:tr>
      <w:tr w:rsidR="008D76DE" w:rsidRPr="00B31282" w14:paraId="433D22E0"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994242F" w14:textId="77777777" w:rsidR="008D76DE" w:rsidRPr="00B31282" w:rsidRDefault="008D76DE" w:rsidP="00D12BAD">
            <w:pPr>
              <w:pStyle w:val="COMTabletext"/>
              <w:keepNext w:val="0"/>
              <w:rPr>
                <w:color w:val="000000" w:themeColor="text1"/>
              </w:rPr>
            </w:pPr>
            <w:r w:rsidRPr="00B31282">
              <w:rPr>
                <w:color w:val="000000" w:themeColor="text1"/>
              </w:rPr>
              <w:t>The condition must have relapsed or be refractory to at least one prior therapy</w:t>
            </w:r>
            <w:r w:rsidRPr="00B31282">
              <w:t xml:space="preserve"> </w:t>
            </w:r>
            <w:r w:rsidRPr="00B31282">
              <w:rPr>
                <w:color w:val="000000" w:themeColor="text1"/>
              </w:rPr>
              <w:t>prior to initiating non-PBS subsidised treatment with this drug for this condition</w:t>
            </w:r>
          </w:p>
        </w:tc>
      </w:tr>
      <w:tr w:rsidR="008D76DE" w:rsidRPr="00B31282" w14:paraId="2719413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B6FB256" w14:textId="77777777" w:rsidR="008D76DE" w:rsidRPr="00B31282" w:rsidRDefault="008D76DE" w:rsidP="00D12BAD">
            <w:pPr>
              <w:pStyle w:val="COMTabletext"/>
              <w:keepNext w:val="0"/>
              <w:rPr>
                <w:b/>
                <w:bCs w:val="0"/>
                <w:color w:val="000000" w:themeColor="text1"/>
              </w:rPr>
            </w:pPr>
            <w:r w:rsidRPr="00B31282">
              <w:rPr>
                <w:b/>
                <w:bCs w:val="0"/>
                <w:color w:val="000000" w:themeColor="text1"/>
              </w:rPr>
              <w:t>AND</w:t>
            </w:r>
          </w:p>
        </w:tc>
      </w:tr>
      <w:tr w:rsidR="008D76DE" w:rsidRPr="00B31282" w14:paraId="12A51A9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EE8C39D" w14:textId="77777777" w:rsidR="008D76DE" w:rsidRPr="00B31282" w:rsidRDefault="008D76DE" w:rsidP="00D12BAD">
            <w:pPr>
              <w:pStyle w:val="COMTabletext"/>
              <w:keepNext w:val="0"/>
              <w:rPr>
                <w:color w:val="000000" w:themeColor="text1"/>
              </w:rPr>
            </w:pPr>
            <w:r w:rsidRPr="00B31282">
              <w:rPr>
                <w:b/>
                <w:color w:val="000000" w:themeColor="text1"/>
              </w:rPr>
              <w:t>Clinical criteria:</w:t>
            </w:r>
          </w:p>
        </w:tc>
      </w:tr>
      <w:tr w:rsidR="008D76DE" w:rsidRPr="00B31282" w14:paraId="1662108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F9709D" w14:textId="77777777" w:rsidR="008D76DE" w:rsidRPr="00B31282" w:rsidRDefault="008D76DE" w:rsidP="00D12BAD">
            <w:pPr>
              <w:pStyle w:val="COMTabletext"/>
              <w:keepNext w:val="0"/>
              <w:rPr>
                <w:color w:val="000000" w:themeColor="text1"/>
              </w:rPr>
            </w:pPr>
            <w:r w:rsidRPr="00B31282">
              <w:rPr>
                <w:color w:val="000000" w:themeColor="text1"/>
              </w:rPr>
              <w:t>Patient must have a WHO performance status of 0 or 1 prior to initiating non-PBS subsidised treatment with this drug for this condition</w:t>
            </w:r>
          </w:p>
        </w:tc>
      </w:tr>
      <w:tr w:rsidR="008D76DE" w:rsidRPr="00B31282" w14:paraId="1F091B4C"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B1FD3B1" w14:textId="77777777" w:rsidR="008D76DE" w:rsidRPr="00B31282" w:rsidRDefault="008D76DE" w:rsidP="00D12BAD">
            <w:pPr>
              <w:pStyle w:val="COMTabletext"/>
              <w:keepNext w:val="0"/>
              <w:rPr>
                <w:b/>
                <w:bCs w:val="0"/>
                <w:color w:val="000000" w:themeColor="text1"/>
              </w:rPr>
            </w:pPr>
            <w:r w:rsidRPr="00B31282">
              <w:rPr>
                <w:b/>
                <w:bCs w:val="0"/>
                <w:color w:val="000000" w:themeColor="text1"/>
              </w:rPr>
              <w:t>AND</w:t>
            </w:r>
          </w:p>
        </w:tc>
      </w:tr>
      <w:tr w:rsidR="008D76DE" w:rsidRPr="00B31282" w14:paraId="460A00BA"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B68FEF6" w14:textId="77777777" w:rsidR="008D76DE" w:rsidRPr="00B31282" w:rsidRDefault="008D76DE" w:rsidP="00D12BAD">
            <w:pPr>
              <w:pStyle w:val="COMTabletext"/>
              <w:keepNext w:val="0"/>
              <w:rPr>
                <w:color w:val="000000" w:themeColor="text1"/>
              </w:rPr>
            </w:pPr>
            <w:r w:rsidRPr="00B31282">
              <w:rPr>
                <w:b/>
                <w:color w:val="000000" w:themeColor="text1"/>
              </w:rPr>
              <w:t>Clinical criteria:</w:t>
            </w:r>
          </w:p>
        </w:tc>
      </w:tr>
      <w:tr w:rsidR="008D76DE" w:rsidRPr="00B31282" w14:paraId="6614ED59"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8CAC5DA" w14:textId="77777777" w:rsidR="008D76DE" w:rsidRPr="00B31282" w:rsidRDefault="008D76DE" w:rsidP="00D12BAD">
            <w:pPr>
              <w:pStyle w:val="COMTabletext"/>
              <w:keepNext w:val="0"/>
              <w:rPr>
                <w:color w:val="000000" w:themeColor="text1"/>
              </w:rPr>
            </w:pPr>
            <w:r w:rsidRPr="00B31282">
              <w:rPr>
                <w:color w:val="000000" w:themeColor="text1"/>
              </w:rPr>
              <w:t>Patient must be considered unsuitable for treatment or retreatment with a purine analogue prior to initiating non-PBS subsidised treatment with this drug for this condition</w:t>
            </w:r>
          </w:p>
        </w:tc>
      </w:tr>
      <w:tr w:rsidR="008D76DE" w:rsidRPr="00B31282" w14:paraId="4403E44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BE24F2A" w14:textId="77777777" w:rsidR="008D76DE" w:rsidRPr="00B31282" w:rsidRDefault="008D76DE" w:rsidP="00D12BAD">
            <w:pPr>
              <w:pStyle w:val="COMTabletext"/>
              <w:keepNext w:val="0"/>
              <w:rPr>
                <w:b/>
                <w:bCs w:val="0"/>
                <w:color w:val="000000" w:themeColor="text1"/>
              </w:rPr>
            </w:pPr>
            <w:r w:rsidRPr="00B31282">
              <w:rPr>
                <w:b/>
                <w:bCs w:val="0"/>
                <w:color w:val="000000" w:themeColor="text1"/>
              </w:rPr>
              <w:t>AND</w:t>
            </w:r>
          </w:p>
        </w:tc>
      </w:tr>
      <w:tr w:rsidR="008D76DE" w:rsidRPr="00B31282" w14:paraId="01E019A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645A93AC" w14:textId="77777777" w:rsidR="008D76DE" w:rsidRPr="00B31282" w:rsidRDefault="008D76DE" w:rsidP="00D12BAD">
            <w:pPr>
              <w:pStyle w:val="COMTabletext"/>
              <w:keepNext w:val="0"/>
              <w:rPr>
                <w:color w:val="000000" w:themeColor="text1"/>
              </w:rPr>
            </w:pPr>
            <w:r w:rsidRPr="00B31282">
              <w:rPr>
                <w:b/>
                <w:color w:val="000000" w:themeColor="text1"/>
              </w:rPr>
              <w:t>Clinical criteria:</w:t>
            </w:r>
          </w:p>
        </w:tc>
      </w:tr>
      <w:tr w:rsidR="008D76DE" w:rsidRPr="00B31282" w14:paraId="5372EB4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D460D25" w14:textId="77777777" w:rsidR="008D76DE" w:rsidRPr="00B31282" w:rsidRDefault="008D76DE" w:rsidP="00D12BAD">
            <w:pPr>
              <w:pStyle w:val="COMTabletext"/>
              <w:keepNext w:val="0"/>
              <w:rPr>
                <w:color w:val="000000" w:themeColor="text1"/>
              </w:rPr>
            </w:pPr>
            <w:r w:rsidRPr="00B31282">
              <w:rPr>
                <w:color w:val="000000" w:themeColor="text1"/>
              </w:rPr>
              <w:t>Patient must not have received treatment with another Bruton’s tyrosine kinase (BTK) inhibitor for any line of treatment of CLL/SLL (untreated or relapsed/refractory disease) prior to initiating non-PBS subsidised treatment with this drug for this condition; OR</w:t>
            </w:r>
          </w:p>
        </w:tc>
      </w:tr>
      <w:tr w:rsidR="008D76DE" w:rsidRPr="00B31282" w14:paraId="026CE827"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AB810E4" w14:textId="77777777" w:rsidR="008D76DE" w:rsidRPr="00B31282" w:rsidRDefault="008D76DE" w:rsidP="00D12BAD">
            <w:pPr>
              <w:pStyle w:val="COMTabletext"/>
              <w:keepNext w:val="0"/>
              <w:rPr>
                <w:color w:val="000000" w:themeColor="text1"/>
              </w:rPr>
            </w:pPr>
            <w:r w:rsidRPr="00B31282">
              <w:rPr>
                <w:color w:val="000000" w:themeColor="text1"/>
              </w:rPr>
              <w:t>Patient must have developed intolerance to another Bruton’s tyrosine kinase (BTK) inhibitor of a severity necessitating permanent treatment withdrawal when being treated for relapsed or refractory CLL/SLL</w:t>
            </w:r>
            <w:r w:rsidRPr="00B31282">
              <w:t xml:space="preserve"> prior to initiating non-PBS subsidised treatment with this drug for this condition</w:t>
            </w:r>
          </w:p>
        </w:tc>
      </w:tr>
      <w:tr w:rsidR="008D76DE" w:rsidRPr="00B31282" w14:paraId="18653195"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712D43F" w14:textId="77777777" w:rsidR="008D76DE" w:rsidRPr="00B31282" w:rsidRDefault="008D76DE" w:rsidP="6213BDFA">
            <w:pPr>
              <w:pStyle w:val="COMTabletext"/>
              <w:keepNext w:val="0"/>
              <w:rPr>
                <w:b/>
                <w:color w:val="000000" w:themeColor="text1"/>
              </w:rPr>
            </w:pPr>
            <w:r w:rsidRPr="6213BDFA">
              <w:rPr>
                <w:b/>
                <w:color w:val="000000" w:themeColor="text1"/>
              </w:rPr>
              <w:t>AND</w:t>
            </w:r>
          </w:p>
        </w:tc>
      </w:tr>
      <w:tr w:rsidR="008D76DE" w:rsidRPr="00B31282" w14:paraId="19B83FB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7D2BF08D" w14:textId="77777777" w:rsidR="008D76DE" w:rsidRPr="00B31282" w:rsidRDefault="008D76DE" w:rsidP="00D12BAD">
            <w:pPr>
              <w:pStyle w:val="COMTabletext"/>
              <w:keepNext w:val="0"/>
              <w:rPr>
                <w:color w:val="000000" w:themeColor="text1"/>
              </w:rPr>
            </w:pPr>
            <w:r w:rsidRPr="6213BDFA">
              <w:rPr>
                <w:b/>
                <w:color w:val="000000" w:themeColor="text1"/>
              </w:rPr>
              <w:t>Clinical criteria:</w:t>
            </w:r>
          </w:p>
        </w:tc>
      </w:tr>
      <w:tr w:rsidR="008D76DE" w:rsidRPr="00B31282" w14:paraId="54163621"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C7232DD" w14:textId="77777777" w:rsidR="008D76DE" w:rsidRPr="00B31282" w:rsidRDefault="008D76DE" w:rsidP="00D12BAD">
            <w:pPr>
              <w:pStyle w:val="COMTabletext"/>
              <w:keepNext w:val="0"/>
              <w:rPr>
                <w:color w:val="000000" w:themeColor="text1"/>
              </w:rPr>
            </w:pPr>
            <w:r w:rsidRPr="6213BDFA">
              <w:rPr>
                <w:color w:val="000000" w:themeColor="text1"/>
              </w:rPr>
              <w:t>Patient must be considered unsuitable for treatment or retreatment with a purine analogue</w:t>
            </w:r>
          </w:p>
        </w:tc>
      </w:tr>
      <w:tr w:rsidR="008D76DE" w:rsidRPr="00B31282" w14:paraId="4BB768CE"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32774C4" w14:textId="77777777" w:rsidR="008D76DE" w:rsidRPr="00B31282" w:rsidRDefault="008D76DE" w:rsidP="00D12BAD">
            <w:pPr>
              <w:pStyle w:val="COMTabletext"/>
              <w:keepNext w:val="0"/>
              <w:rPr>
                <w:color w:val="000000" w:themeColor="text1"/>
              </w:rPr>
            </w:pPr>
            <w:r w:rsidRPr="00B31282">
              <w:rPr>
                <w:b/>
                <w:bCs w:val="0"/>
                <w:color w:val="000000" w:themeColor="text1"/>
              </w:rPr>
              <w:t>AND</w:t>
            </w:r>
          </w:p>
        </w:tc>
      </w:tr>
      <w:tr w:rsidR="008D76DE" w:rsidRPr="00B31282" w14:paraId="6BE1AA58"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tcPr>
          <w:p w14:paraId="563C8C5D" w14:textId="77777777" w:rsidR="008D76DE" w:rsidRPr="00B31282" w:rsidRDefault="008D76DE" w:rsidP="00D12BAD">
            <w:pPr>
              <w:pStyle w:val="COMTabletext"/>
              <w:keepNext w:val="0"/>
              <w:rPr>
                <w:color w:val="000000" w:themeColor="text1"/>
              </w:rPr>
            </w:pPr>
            <w:r w:rsidRPr="00B31282">
              <w:rPr>
                <w:b/>
                <w:color w:val="000000" w:themeColor="text1"/>
              </w:rPr>
              <w:t>Clinical criteria:</w:t>
            </w:r>
          </w:p>
        </w:tc>
      </w:tr>
      <w:tr w:rsidR="008D76DE" w:rsidRPr="00B31282" w14:paraId="76FAC6AF" w14:textId="77777777" w:rsidTr="6213BDF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B50D4A6" w14:textId="77777777" w:rsidR="008D76DE" w:rsidRPr="00B31282" w:rsidRDefault="008D76DE" w:rsidP="00D12BAD">
            <w:pPr>
              <w:pStyle w:val="COMTabletext"/>
              <w:keepNext w:val="0"/>
              <w:rPr>
                <w:color w:val="000000" w:themeColor="text1"/>
              </w:rPr>
            </w:pPr>
            <w:r w:rsidRPr="00B31282">
              <w:rPr>
                <w:color w:val="000000" w:themeColor="text1"/>
              </w:rPr>
              <w:t>Patient must not have developed disease progression while receiving treatment with this drug for this condition</w:t>
            </w:r>
          </w:p>
        </w:tc>
      </w:tr>
    </w:tbl>
    <w:p w14:paraId="22BAEBD6" w14:textId="3BEC4534" w:rsidR="00046D64" w:rsidRPr="00B31282" w:rsidRDefault="00181192" w:rsidP="00181192">
      <w:pPr>
        <w:pStyle w:val="COMTablefooter"/>
      </w:pPr>
      <w:r w:rsidRPr="00B31282">
        <w:rPr>
          <w:vertAlign w:val="superscript"/>
        </w:rPr>
        <w:t>a</w:t>
      </w:r>
      <w:r w:rsidRPr="00B31282">
        <w:t xml:space="preserve"> A special pricing arrangement is known to apply for the nominated comparator which will apply to zanubrutinib.</w:t>
      </w:r>
    </w:p>
    <w:p w14:paraId="0F53DD34" w14:textId="238EA8FF" w:rsidR="00181192" w:rsidRPr="00B31282" w:rsidRDefault="00181192" w:rsidP="00F9393E">
      <w:pPr>
        <w:pStyle w:val="COMexecsumnumberedpara"/>
      </w:pPr>
      <w:r w:rsidRPr="00B31282">
        <w:t>The submission noted that ibrutinib is subject to a special pricing arrangement and requested a special pricing arrangement to match the ibrutinib effective price.</w:t>
      </w:r>
    </w:p>
    <w:p w14:paraId="0CADDC89" w14:textId="3C632C27" w:rsidR="00181192" w:rsidRPr="00B31282" w:rsidRDefault="00181192" w:rsidP="00181192">
      <w:pPr>
        <w:pStyle w:val="COMexecsumnumberedpara"/>
      </w:pPr>
      <w:r w:rsidRPr="00B31282">
        <w:t xml:space="preserve">The requested initial and continuing restrictions are consistent with the existing listings for ibrutinib and acalabrutinib for the treatment of relapsed or refractory CLL/SLL. This includes a criterion permitting use of zanubrutinib among patients who have developed intolerance to another </w:t>
      </w:r>
      <w:r w:rsidR="00CD5459">
        <w:t>Bruton’s tyrosine kinase (</w:t>
      </w:r>
      <w:r w:rsidRPr="00B31282">
        <w:t>BTK</w:t>
      </w:r>
      <w:r w:rsidR="00CD5459">
        <w:t>)</w:t>
      </w:r>
      <w:r w:rsidRPr="00B31282">
        <w:t xml:space="preserve"> inhibitor of a severity necessitating permanent treatment withdrawal. </w:t>
      </w:r>
      <w:r w:rsidRPr="00380B09">
        <w:rPr>
          <w:iCs/>
        </w:rPr>
        <w:t xml:space="preserve">There is currently limited available clinical evidence assessing treatment outcomes among patients with BTK inhibitor intolerance who are subsequently treated with zanubrutinib; prior treatment with any BTK inhibitor was an exclusion criterion in the ALPINE trial. </w:t>
      </w:r>
      <w:r w:rsidR="00A95F02" w:rsidRPr="009F171F">
        <w:rPr>
          <w:iCs/>
        </w:rPr>
        <w:t>The ESC considered it may also be appropriate to allow patients to be retreated with a BTKi if it is preceded by a gap of 12- or 24-months post first-line treatment. The ESC considered that retreatment with a BTKi should only be permitted under the PBS once (i.e</w:t>
      </w:r>
      <w:r w:rsidR="00C13393" w:rsidRPr="009F171F">
        <w:rPr>
          <w:iCs/>
        </w:rPr>
        <w:t>.,</w:t>
      </w:r>
      <w:r w:rsidR="00A95F02" w:rsidRPr="009F171F">
        <w:rPr>
          <w:iCs/>
        </w:rPr>
        <w:t xml:space="preserve"> whether the same agent or another BTKi). The ESC acknowledged that there were no firm data regarding a time-frame for a recurrence-free period after which it would be appropriate to retreat with an agent from the same class, or the clinical outcomes with retreatment.</w:t>
      </w:r>
    </w:p>
    <w:p w14:paraId="593D0908" w14:textId="57FBD92B" w:rsidR="00181192" w:rsidRPr="009F171F" w:rsidRDefault="00181192" w:rsidP="00181192">
      <w:pPr>
        <w:pStyle w:val="COMexecsumnumberedpara"/>
      </w:pPr>
      <w:r w:rsidRPr="00B31282">
        <w:t xml:space="preserve">The proposed criteria specifying suitability for treatment/retreatment with a purine analogue are identical to the criteria included in the restrictions for ibrutinib and acalabrutinib. </w:t>
      </w:r>
      <w:r w:rsidRPr="00380B09">
        <w:rPr>
          <w:iCs/>
        </w:rPr>
        <w:t xml:space="preserve">However, the proposed population is narrower than the population in the ALPINE trial, which did not exclude patients </w:t>
      </w:r>
      <w:r w:rsidR="00316913" w:rsidRPr="00380B09">
        <w:rPr>
          <w:iCs/>
        </w:rPr>
        <w:t>based on</w:t>
      </w:r>
      <w:r w:rsidRPr="00380B09">
        <w:rPr>
          <w:iCs/>
        </w:rPr>
        <w:t xml:space="preserve"> purine analogue suitability.</w:t>
      </w:r>
      <w:r w:rsidRPr="00B31282">
        <w:t xml:space="preserve"> </w:t>
      </w:r>
      <w:r w:rsidR="005E48FC" w:rsidRPr="00380B09">
        <w:rPr>
          <w:iCs/>
        </w:rPr>
        <w:t xml:space="preserve">Given the expert advice from the clinical consultation on 1 December 2022 (as outlined in </w:t>
      </w:r>
      <w:r w:rsidR="00660446" w:rsidRPr="00380B09">
        <w:rPr>
          <w:iCs/>
        </w:rPr>
        <w:t>p</w:t>
      </w:r>
      <w:r w:rsidR="005E48FC" w:rsidRPr="00380B09">
        <w:rPr>
          <w:iCs/>
        </w:rPr>
        <w:t>ara</w:t>
      </w:r>
      <w:r w:rsidR="00660446" w:rsidRPr="00380B09">
        <w:rPr>
          <w:iCs/>
        </w:rPr>
        <w:t>graph</w:t>
      </w:r>
      <w:r w:rsidR="005E48FC" w:rsidRPr="00380B09">
        <w:rPr>
          <w:iCs/>
        </w:rPr>
        <w:t xml:space="preserve"> </w:t>
      </w:r>
      <w:r w:rsidR="00F15F29" w:rsidRPr="00380B09">
        <w:rPr>
          <w:iCs/>
        </w:rPr>
        <w:fldChar w:fldCharType="begin"/>
      </w:r>
      <w:r w:rsidR="00F15F29" w:rsidRPr="00380B09">
        <w:rPr>
          <w:iCs/>
        </w:rPr>
        <w:instrText xml:space="preserve"> REF _Ref124409862 \r \h  \* MERGEFORMAT </w:instrText>
      </w:r>
      <w:r w:rsidR="00F15F29" w:rsidRPr="00380B09">
        <w:rPr>
          <w:iCs/>
        </w:rPr>
      </w:r>
      <w:r w:rsidR="00F15F29" w:rsidRPr="00380B09">
        <w:rPr>
          <w:iCs/>
        </w:rPr>
        <w:fldChar w:fldCharType="separate"/>
      </w:r>
      <w:r w:rsidR="00472981">
        <w:rPr>
          <w:iCs/>
        </w:rPr>
        <w:t>4.7</w:t>
      </w:r>
      <w:r w:rsidR="00F15F29" w:rsidRPr="00380B09">
        <w:rPr>
          <w:iCs/>
        </w:rPr>
        <w:fldChar w:fldCharType="end"/>
      </w:r>
      <w:r w:rsidR="005E48FC" w:rsidRPr="00380B09">
        <w:rPr>
          <w:iCs/>
        </w:rPr>
        <w:t xml:space="preserve">), </w:t>
      </w:r>
      <w:r w:rsidR="005E48FC" w:rsidRPr="009F171F">
        <w:t xml:space="preserve">the </w:t>
      </w:r>
      <w:r w:rsidR="00B876AB" w:rsidRPr="009F171F">
        <w:t>ESC</w:t>
      </w:r>
      <w:r w:rsidR="005E48FC" w:rsidRPr="009F171F">
        <w:t xml:space="preserve"> consider</w:t>
      </w:r>
      <w:r w:rsidR="00B876AB" w:rsidRPr="009F171F">
        <w:t>ed it would be appropriate to remove</w:t>
      </w:r>
      <w:r w:rsidR="005E48FC" w:rsidRPr="009F171F">
        <w:t xml:space="preserve"> the criteria that a patient must be unsuitable for treatment/retreatment with a purine analogue.</w:t>
      </w:r>
      <w:r w:rsidR="00B876AB" w:rsidRPr="009F171F">
        <w:t xml:space="preserve"> The P</w:t>
      </w:r>
      <w:r w:rsidR="00F17D8E" w:rsidRPr="009F171F">
        <w:t>re-Sub-Committee Response (P</w:t>
      </w:r>
      <w:r w:rsidR="00B876AB" w:rsidRPr="009F171F">
        <w:t>SCR</w:t>
      </w:r>
      <w:r w:rsidR="00F17D8E" w:rsidRPr="009F171F">
        <w:t>)</w:t>
      </w:r>
      <w:r w:rsidR="00657E3C">
        <w:t xml:space="preserve"> and pre-PBAC response</w:t>
      </w:r>
      <w:r w:rsidR="00B876AB" w:rsidRPr="009F171F">
        <w:t xml:space="preserve"> stated that the sponsor accepted expanding the proposed restriction so that zanubrutinib would not be restricted to patients considered unsuitable for treatment or retreatment with a purine analogue.</w:t>
      </w:r>
      <w:r w:rsidR="00C26889" w:rsidRPr="00C26889">
        <w:t xml:space="preserve"> </w:t>
      </w:r>
      <w:r w:rsidR="00C26889">
        <w:t xml:space="preserve">The pre-PBAC response suggested </w:t>
      </w:r>
      <w:r w:rsidR="00C26889" w:rsidRPr="00D156F4">
        <w:rPr>
          <w:rFonts w:ascii="Calibri" w:hAnsi="Calibri" w:cs="Calibri"/>
          <w:lang w:val="en-US"/>
        </w:rPr>
        <w:t>that approximately 27-35% of patients may meet the current criteria</w:t>
      </w:r>
      <w:r w:rsidR="00C26889">
        <w:rPr>
          <w:rFonts w:ascii="Calibri" w:hAnsi="Calibri" w:cs="Calibri"/>
          <w:lang w:val="en-US"/>
        </w:rPr>
        <w:t xml:space="preserve"> for treatment or </w:t>
      </w:r>
      <w:r w:rsidR="009739D0">
        <w:rPr>
          <w:rFonts w:ascii="Calibri" w:hAnsi="Calibri" w:cs="Calibri"/>
          <w:lang w:val="en-US"/>
        </w:rPr>
        <w:t>retreatment</w:t>
      </w:r>
      <w:r w:rsidR="00C26889">
        <w:rPr>
          <w:rFonts w:ascii="Calibri" w:hAnsi="Calibri" w:cs="Calibri"/>
          <w:lang w:val="en-US"/>
        </w:rPr>
        <w:t xml:space="preserve"> with a purine analogue</w:t>
      </w:r>
      <w:r w:rsidR="00C26889" w:rsidRPr="00D156F4">
        <w:rPr>
          <w:rFonts w:ascii="Calibri" w:hAnsi="Calibri" w:cs="Calibri"/>
          <w:lang w:val="en-US"/>
        </w:rPr>
        <w:t>, and subsequently may access BTKi treatment.</w:t>
      </w:r>
      <w:r w:rsidR="00A27BDA" w:rsidRPr="00A27BDA">
        <w:rPr>
          <w:lang w:val="en-GB" w:eastAsia="en-US"/>
        </w:rPr>
        <w:t xml:space="preserve"> </w:t>
      </w:r>
      <w:r w:rsidR="00A27BDA">
        <w:rPr>
          <w:lang w:val="en-GB" w:eastAsia="en-US"/>
        </w:rPr>
        <w:t>The PBAC considered that the use of fludarabine-based chemoimmunotherapy in CLL is</w:t>
      </w:r>
      <w:r w:rsidR="00A27BDA" w:rsidRPr="00C614D7">
        <w:rPr>
          <w:lang w:val="en-GB" w:eastAsia="en-US"/>
        </w:rPr>
        <w:t xml:space="preserve"> low and declining </w:t>
      </w:r>
      <w:r w:rsidR="00A27BDA">
        <w:rPr>
          <w:lang w:val="en-GB" w:eastAsia="en-US"/>
        </w:rPr>
        <w:t>and</w:t>
      </w:r>
      <w:r w:rsidR="00A27BDA" w:rsidRPr="00C614D7">
        <w:rPr>
          <w:lang w:val="en-GB" w:eastAsia="en-US"/>
        </w:rPr>
        <w:t xml:space="preserve"> </w:t>
      </w:r>
      <w:r w:rsidR="00A27BDA">
        <w:rPr>
          <w:lang w:val="en-GB" w:eastAsia="en-US"/>
        </w:rPr>
        <w:t>a</w:t>
      </w:r>
      <w:r w:rsidR="00A27BDA" w:rsidRPr="00C614D7">
        <w:rPr>
          <w:lang w:val="en-GB" w:eastAsia="en-US"/>
        </w:rPr>
        <w:t xml:space="preserve">s such, there would be no </w:t>
      </w:r>
      <w:r w:rsidR="00A27BDA">
        <w:rPr>
          <w:lang w:val="en-GB" w:eastAsia="en-US"/>
        </w:rPr>
        <w:t>increase in use</w:t>
      </w:r>
      <w:r w:rsidR="00A27BDA" w:rsidRPr="00C614D7">
        <w:rPr>
          <w:lang w:val="en-GB" w:eastAsia="en-US"/>
        </w:rPr>
        <w:t xml:space="preserve"> associated with the restriction change.</w:t>
      </w:r>
    </w:p>
    <w:p w14:paraId="233E466E" w14:textId="5C0F59F1" w:rsidR="00D00279" w:rsidRDefault="00D00279" w:rsidP="00D00279">
      <w:pPr>
        <w:pStyle w:val="COMexecsumnumberedpara"/>
      </w:pPr>
      <w:r w:rsidRPr="00385A58">
        <w:t>The submission stated that the sponsor intends to commence a compassionate access program in January 2023, which would result in an estimated 50 patients requiring</w:t>
      </w:r>
      <w:r w:rsidR="004D425B">
        <w:t xml:space="preserve"> transitioning to PBS-subsidised supply (i.e.</w:t>
      </w:r>
      <w:r w:rsidR="00D64066">
        <w:t>,</w:t>
      </w:r>
      <w:r w:rsidR="004D425B">
        <w:t xml:space="preserve"> ‘grandfather’ arrangements)</w:t>
      </w:r>
      <w:r w:rsidRPr="00385A58">
        <w:t>.</w:t>
      </w:r>
      <w:r w:rsidR="004D425B">
        <w:t xml:space="preserve"> </w:t>
      </w:r>
      <w:r w:rsidR="00A0528E">
        <w:t xml:space="preserve">The Secretariat advised that the restriction could be simplified to a single restriction, with care taken so as to not inadvertently exclude such ‘grandfather’ patients.  </w:t>
      </w:r>
    </w:p>
    <w:p w14:paraId="53FA4845" w14:textId="7F93DECE" w:rsidR="00A0528E" w:rsidRPr="00A0528E" w:rsidRDefault="00A0528E" w:rsidP="00A0528E">
      <w:pPr>
        <w:pStyle w:val="COMexecsumnumberedpara"/>
        <w:numPr>
          <w:ilvl w:val="0"/>
          <w:numId w:val="0"/>
        </w:numPr>
        <w:ind w:left="720"/>
        <w:rPr>
          <w:i/>
          <w:iCs/>
        </w:rPr>
      </w:pPr>
      <w:r w:rsidRPr="00A0528E">
        <w:rPr>
          <w:i/>
          <w:iCs/>
        </w:rPr>
        <w:t>For more detail on PBAC’s view, see section 7 PBAC outcome.</w:t>
      </w:r>
    </w:p>
    <w:p w14:paraId="7075B85C" w14:textId="62A47B7B" w:rsidR="00B50DB8" w:rsidRPr="00B31282" w:rsidDel="00195452" w:rsidRDefault="00203181" w:rsidP="004E18E9">
      <w:pPr>
        <w:pStyle w:val="COMH1numbered"/>
      </w:pPr>
      <w:bookmarkStart w:id="9" w:name="_Toc124421147"/>
      <w:r w:rsidRPr="00B31282" w:rsidDel="00195452">
        <w:t xml:space="preserve">Population and </w:t>
      </w:r>
      <w:r w:rsidR="008E0D3C" w:rsidRPr="00B31282" w:rsidDel="00195452">
        <w:t>d</w:t>
      </w:r>
      <w:r w:rsidRPr="00B31282" w:rsidDel="00195452">
        <w:t>isease</w:t>
      </w:r>
      <w:bookmarkEnd w:id="9"/>
    </w:p>
    <w:p w14:paraId="6A83C195" w14:textId="0CA9096A" w:rsidR="00955335" w:rsidRPr="00B31282" w:rsidRDefault="00955335" w:rsidP="00A07FB9">
      <w:pPr>
        <w:pStyle w:val="COMexecsumnumberedpara"/>
      </w:pPr>
      <w:r w:rsidRPr="00B31282">
        <w:t xml:space="preserve">CLL is characterised by the progressive accumulation of functionally incompetent B-lymphocytes in the blood, bone marrow, lymph nodes, spleen, and liver. Typical symptoms associated with CLL include swollen lymph nodes, pain, anaemia, infections, increased or unexplained bleeding/bruising, excessive nocturnal sweating, and unintentional weight loss.  </w:t>
      </w:r>
    </w:p>
    <w:p w14:paraId="187F5C46" w14:textId="0F819D12" w:rsidR="00955335" w:rsidRPr="00B31282" w:rsidRDefault="00955335" w:rsidP="00A07FB9">
      <w:pPr>
        <w:pStyle w:val="COMexecsumnumberedpara"/>
      </w:pPr>
      <w:r w:rsidRPr="00B31282">
        <w:t xml:space="preserve">CLL is more common in men than women (65% versus 35%), with a mean age at diagnosis in Australia of 70 years (males 68.8 years, females 71.2 years). The five-year relative survival rate in Australia in 2011-2015 was 82.8% (AIHW, 2019). SLL, another type of B-cell malignancy, is recognised as the same pathological entity as CLL, with a different clinical presentation. In CLL, abnormal lymphocytes are predominantly found in blood, bone marrow and lymphoid tissue, whereas in SLL, abnormal lymphocytes are predominantly located in lymph nodes, bone marrow and other lymphoid tissue. The prognosis and aetiology of CLL and SLL are similar; therefore, the existing approaches to management, as well as treatment considerations are consistent with one another. </w:t>
      </w:r>
    </w:p>
    <w:p w14:paraId="4B9B96F6" w14:textId="0C84DB19" w:rsidR="00955335" w:rsidRPr="00B31282" w:rsidRDefault="00955335" w:rsidP="00A07FB9">
      <w:pPr>
        <w:pStyle w:val="COMexecsumnumberedpara"/>
      </w:pPr>
      <w:r w:rsidRPr="00B31282">
        <w:t>Characteristics associated with a worse prognosis include genetic factors (</w:t>
      </w:r>
      <w:r w:rsidR="001D3CE6">
        <w:t>del</w:t>
      </w:r>
      <w:r w:rsidRPr="00B31282">
        <w:t xml:space="preserve">17p/TP53 mutation, </w:t>
      </w:r>
      <w:r w:rsidR="009476D1">
        <w:t>del</w:t>
      </w:r>
      <w:r w:rsidRPr="00B31282">
        <w:t>11q, unmutated IGHV), biochemical/cell surface markers (serum thymidine kinase, serum β2 microglobulin), and patient characteristics (male sex, older age, worse ECOG performance score). Deletion of the short arm of chromosome 17 (</w:t>
      </w:r>
      <w:r w:rsidR="001D3CE6">
        <w:t>del</w:t>
      </w:r>
      <w:r w:rsidRPr="00B31282">
        <w:t xml:space="preserve">17p) is found in 5-8% of chemotherapy-naïve patients, and is associated with resistance to genotoxic chemotherapies, including conventional chemoimmunotherapy regimens (Hallek, 2015). </w:t>
      </w:r>
    </w:p>
    <w:p w14:paraId="7B7DCD39" w14:textId="2A7F98CE" w:rsidR="00A07FB9" w:rsidRPr="00B31282" w:rsidRDefault="00A07FB9" w:rsidP="00A07FB9">
      <w:pPr>
        <w:pStyle w:val="COMexecsumnumberedpara"/>
      </w:pPr>
      <w:r w:rsidRPr="00B31282">
        <w:t xml:space="preserve">CLL/SLL is generally a slowly progressing cancer, with many patients managed with a ‘watch and wait’ approach until symptoms develop. Despite the effectiveness of first-line treatments in delaying disease progression, in most cases the clinical course of the CLL is characterised by consecutive episodes of disease progression and need for subsequent lines of therapy (Moreno 2020). The choice of therapy depends on </w:t>
      </w:r>
      <w:r w:rsidR="00316913" w:rsidRPr="00B31282">
        <w:t>several</w:t>
      </w:r>
      <w:r w:rsidRPr="00B31282">
        <w:t xml:space="preserve"> factors, including age, comorbidities, and the presence of prognostic genetic mutations. </w:t>
      </w:r>
    </w:p>
    <w:p w14:paraId="7EBF84AE" w14:textId="70BFCD26" w:rsidR="003E4FDC" w:rsidRPr="00B31282" w:rsidRDefault="003E4FDC" w:rsidP="00A07FB9">
      <w:pPr>
        <w:pStyle w:val="COMexecsumnumberedpara"/>
      </w:pPr>
      <w:r w:rsidRPr="00B31282">
        <w:t>Zanubrutinib is a potent, specific, and irreversible Bruton’s tyrosine kinase (BTK) inhibitor. In B cells, BTK signalling results in activation of pathways necessary for B-cell proliferation, trafficking, chemotaxis, and adhesion. Through BTK inhibition, zanubrutinib overcomes the B-cell antigen receptor and chemokine-controlled retention of malignant B-cells in their supportive microenvironments, thereby disrupting the pathogenesis of several B-cell malignancies such as CLL and SLL. </w:t>
      </w:r>
    </w:p>
    <w:p w14:paraId="39DFB860" w14:textId="66F49008" w:rsidR="003E4FDC" w:rsidRDefault="003E4FDC" w:rsidP="00A07FB9">
      <w:pPr>
        <w:pStyle w:val="COMexecsumnumberedpara"/>
      </w:pPr>
      <w:r w:rsidRPr="00B31282">
        <w:t xml:space="preserve">The submission positioned zanubrutinib as an alternative to treatment with other BTK inhibitors (ibrutinib or acalabrutinib) or venetoclax + rituximab for patients who are unsuitable for treatment/retreatment with a purine analogue. </w:t>
      </w:r>
      <w:r w:rsidRPr="00380B09">
        <w:rPr>
          <w:iCs/>
        </w:rPr>
        <w:t xml:space="preserve">This </w:t>
      </w:r>
      <w:r w:rsidR="005A050A" w:rsidRPr="00380B09">
        <w:rPr>
          <w:iCs/>
        </w:rPr>
        <w:t xml:space="preserve">broadly </w:t>
      </w:r>
      <w:r w:rsidRPr="00380B09">
        <w:rPr>
          <w:iCs/>
        </w:rPr>
        <w:t>aligns with the most recent NCCN guidelines</w:t>
      </w:r>
      <w:r w:rsidR="005A050A" w:rsidRPr="00380B09">
        <w:rPr>
          <w:iCs/>
        </w:rPr>
        <w:t xml:space="preserve">, although </w:t>
      </w:r>
      <w:r w:rsidR="002B7636" w:rsidRPr="00380B09">
        <w:rPr>
          <w:iCs/>
        </w:rPr>
        <w:t>eligibility</w:t>
      </w:r>
      <w:r w:rsidR="005A050A" w:rsidRPr="00380B09">
        <w:rPr>
          <w:iCs/>
        </w:rPr>
        <w:t xml:space="preserve"> for treatment is no</w:t>
      </w:r>
      <w:r w:rsidR="002B7636" w:rsidRPr="00380B09">
        <w:rPr>
          <w:iCs/>
        </w:rPr>
        <w:t xml:space="preserve"> longer</w:t>
      </w:r>
      <w:r w:rsidR="005A050A" w:rsidRPr="00380B09">
        <w:rPr>
          <w:iCs/>
        </w:rPr>
        <w:t xml:space="preserve"> defined </w:t>
      </w:r>
      <w:r w:rsidR="002B7636" w:rsidRPr="00380B09">
        <w:rPr>
          <w:iCs/>
        </w:rPr>
        <w:t xml:space="preserve">using suitability for </w:t>
      </w:r>
      <w:r w:rsidR="00DF2681" w:rsidRPr="00380B09">
        <w:rPr>
          <w:iCs/>
        </w:rPr>
        <w:t xml:space="preserve">a </w:t>
      </w:r>
      <w:r w:rsidR="002B7636" w:rsidRPr="00380B09">
        <w:rPr>
          <w:iCs/>
        </w:rPr>
        <w:t xml:space="preserve">purine analogue; rather, the guidelines </w:t>
      </w:r>
      <w:r w:rsidR="00F27487" w:rsidRPr="00380B09">
        <w:rPr>
          <w:iCs/>
        </w:rPr>
        <w:t xml:space="preserve">define suitable patients using a combination of age and comorbidity criteria </w:t>
      </w:r>
      <w:r w:rsidR="002B7636" w:rsidRPr="00380B09">
        <w:rPr>
          <w:iCs/>
        </w:rPr>
        <w:t>(i.e., patients aged ≥65 years; and patients aged &lt;65 years with significant comorbidities or high-risk factors)</w:t>
      </w:r>
      <w:r w:rsidRPr="00380B09">
        <w:rPr>
          <w:iCs/>
        </w:rPr>
        <w:t>.</w:t>
      </w:r>
    </w:p>
    <w:p w14:paraId="156A0D33" w14:textId="51FF2138" w:rsidR="00865E54" w:rsidRDefault="00865E54" w:rsidP="008D5ECD">
      <w:pPr>
        <w:pStyle w:val="COMexecsumnumberedpara"/>
      </w:pPr>
      <w:bookmarkStart w:id="10" w:name="_Ref124409862"/>
      <w:r>
        <w:t xml:space="preserve">The pre-PBAC response noted </w:t>
      </w:r>
      <w:r w:rsidRPr="1BF19018">
        <w:rPr>
          <w:rFonts w:ascii="Calibri" w:hAnsi="Calibri" w:cs="Calibri"/>
          <w:lang w:val="en-US"/>
        </w:rPr>
        <w:t xml:space="preserve">that </w:t>
      </w:r>
      <w:r w:rsidR="009739D0">
        <w:rPr>
          <w:rFonts w:ascii="Calibri" w:hAnsi="Calibri" w:cs="Calibri"/>
          <w:lang w:val="en-US"/>
        </w:rPr>
        <w:t>retreatment</w:t>
      </w:r>
      <w:r w:rsidRPr="1BF19018">
        <w:rPr>
          <w:rFonts w:ascii="Calibri" w:hAnsi="Calibri" w:cs="Calibri"/>
          <w:lang w:val="en-US"/>
        </w:rPr>
        <w:t xml:space="preserve"> with a BTKi or </w:t>
      </w:r>
      <w:r w:rsidR="007B0E78">
        <w:rPr>
          <w:rFonts w:ascii="Calibri" w:hAnsi="Calibri" w:cs="Calibri"/>
          <w:lang w:val="en-US"/>
        </w:rPr>
        <w:t>B-cell lymphoma-2 inhibitor (</w:t>
      </w:r>
      <w:r w:rsidRPr="1BF19018">
        <w:rPr>
          <w:rFonts w:ascii="Calibri" w:hAnsi="Calibri" w:cs="Calibri"/>
          <w:lang w:val="en-US"/>
        </w:rPr>
        <w:t>BCL</w:t>
      </w:r>
      <w:r>
        <w:rPr>
          <w:rFonts w:ascii="Calibri" w:hAnsi="Calibri" w:cs="Calibri"/>
          <w:lang w:val="en-US"/>
        </w:rPr>
        <w:t>-</w:t>
      </w:r>
      <w:r w:rsidRPr="1BF19018">
        <w:rPr>
          <w:rFonts w:ascii="Calibri" w:hAnsi="Calibri" w:cs="Calibri"/>
          <w:lang w:val="en-US"/>
        </w:rPr>
        <w:t>2</w:t>
      </w:r>
      <w:r>
        <w:rPr>
          <w:rFonts w:ascii="Calibri" w:hAnsi="Calibri" w:cs="Calibri"/>
          <w:lang w:val="en-US"/>
        </w:rPr>
        <w:t>i</w:t>
      </w:r>
      <w:r w:rsidR="007B0E78">
        <w:rPr>
          <w:rFonts w:ascii="Calibri" w:hAnsi="Calibri" w:cs="Calibri"/>
          <w:lang w:val="en-US"/>
        </w:rPr>
        <w:t>)</w:t>
      </w:r>
      <w:r w:rsidRPr="1BF19018">
        <w:rPr>
          <w:rFonts w:ascii="Calibri" w:hAnsi="Calibri" w:cs="Calibri"/>
          <w:lang w:val="en-US"/>
        </w:rPr>
        <w:t xml:space="preserve"> was a topic of discussion at the clinical consultation meeting held in December 2022</w:t>
      </w:r>
      <w:r>
        <w:rPr>
          <w:rFonts w:ascii="Calibri" w:hAnsi="Calibri" w:cs="Calibri"/>
          <w:lang w:val="en-US"/>
        </w:rPr>
        <w:t xml:space="preserve"> and stated that the sponsor</w:t>
      </w:r>
      <w:r w:rsidRPr="1BF19018">
        <w:rPr>
          <w:rFonts w:ascii="Calibri" w:hAnsi="Calibri" w:cs="Calibri"/>
          <w:lang w:val="en-US"/>
        </w:rPr>
        <w:t xml:space="preserve"> </w:t>
      </w:r>
      <w:r w:rsidR="006D2857">
        <w:rPr>
          <w:rFonts w:ascii="Calibri" w:hAnsi="Calibri" w:cs="Calibri"/>
          <w:lang w:val="en-US"/>
        </w:rPr>
        <w:t>wa</w:t>
      </w:r>
      <w:r w:rsidRPr="1BF19018">
        <w:rPr>
          <w:rFonts w:ascii="Calibri" w:hAnsi="Calibri" w:cs="Calibri"/>
          <w:lang w:val="en-US"/>
        </w:rPr>
        <w:t xml:space="preserve">s open to clinician and PBAC advice on the proportion of patients that would be retreated, as the reasons for wanting to </w:t>
      </w:r>
      <w:r>
        <w:rPr>
          <w:rFonts w:ascii="Calibri" w:hAnsi="Calibri" w:cs="Calibri"/>
          <w:lang w:val="en-US"/>
        </w:rPr>
        <w:t>use sequential BTKi therapy</w:t>
      </w:r>
      <w:r w:rsidRPr="1BF19018">
        <w:rPr>
          <w:rFonts w:ascii="Calibri" w:hAnsi="Calibri" w:cs="Calibri"/>
          <w:lang w:val="en-US"/>
        </w:rPr>
        <w:t xml:space="preserve"> could vary.  </w:t>
      </w:r>
    </w:p>
    <w:p w14:paraId="51E5AE96" w14:textId="136A63B1" w:rsidR="00B50DB8" w:rsidRPr="00B31282" w:rsidRDefault="00B50DB8" w:rsidP="004E18E9">
      <w:pPr>
        <w:pStyle w:val="COMH1numbered"/>
      </w:pPr>
      <w:bookmarkStart w:id="11" w:name="_Toc124421148"/>
      <w:bookmarkEnd w:id="10"/>
      <w:r w:rsidRPr="00B31282">
        <w:t>Comparator</w:t>
      </w:r>
      <w:bookmarkEnd w:id="11"/>
    </w:p>
    <w:p w14:paraId="5A9FC5DF" w14:textId="28DD168F" w:rsidR="00E564F6" w:rsidRPr="00B31282" w:rsidRDefault="00E564F6" w:rsidP="00F97A94">
      <w:pPr>
        <w:pStyle w:val="COMexecsumnumberedpara"/>
        <w:rPr>
          <w:snapToGrid/>
        </w:rPr>
      </w:pPr>
      <w:r w:rsidRPr="00B31282">
        <w:rPr>
          <w:snapToGrid/>
        </w:rPr>
        <w:t>The submission nominated ibrutinib monotherapy as the main comparator. The main arguments provided in support of this nomination included</w:t>
      </w:r>
      <w:r w:rsidR="000871FE" w:rsidRPr="00B31282">
        <w:rPr>
          <w:snapToGrid/>
        </w:rPr>
        <w:t xml:space="preserve"> that i</w:t>
      </w:r>
      <w:r w:rsidRPr="00B31282">
        <w:rPr>
          <w:snapToGrid/>
        </w:rPr>
        <w:t>brutinib is a pharmacological analogue of zanubrutinib (</w:t>
      </w:r>
      <w:r w:rsidR="007B0E78">
        <w:rPr>
          <w:snapToGrid/>
        </w:rPr>
        <w:t xml:space="preserve">a </w:t>
      </w:r>
      <w:r w:rsidRPr="00B31282">
        <w:rPr>
          <w:snapToGrid/>
        </w:rPr>
        <w:t xml:space="preserve">BTK inhibitor), </w:t>
      </w:r>
      <w:r w:rsidR="000871FE" w:rsidRPr="00B31282">
        <w:rPr>
          <w:snapToGrid/>
        </w:rPr>
        <w:t>which</w:t>
      </w:r>
      <w:r w:rsidRPr="00B31282">
        <w:rPr>
          <w:snapToGrid/>
        </w:rPr>
        <w:t xml:space="preserve"> is currently PBS-listed for the treatment of patients with relapsed/refractory CLL/SLL who are unsuitable for treatment with a purine analogue</w:t>
      </w:r>
      <w:r w:rsidR="000871FE" w:rsidRPr="00B31282">
        <w:rPr>
          <w:snapToGrid/>
        </w:rPr>
        <w:t xml:space="preserve">. Ibrutinib </w:t>
      </w:r>
      <w:r w:rsidRPr="00B31282">
        <w:rPr>
          <w:snapToGrid/>
        </w:rPr>
        <w:t>is currently the most commonly used treatment in the relapsed/refractory CLL setting based on an analysis of PBS usage statistics provided by the sponsor.</w:t>
      </w:r>
      <w:r w:rsidR="00F97A94" w:rsidRPr="00B31282">
        <w:rPr>
          <w:snapToGrid/>
        </w:rPr>
        <w:t xml:space="preserve"> </w:t>
      </w:r>
      <w:r w:rsidRPr="00380B09">
        <w:rPr>
          <w:iCs/>
          <w:snapToGrid/>
        </w:rPr>
        <w:t>Ibrutinib is an appropriate main comparator</w:t>
      </w:r>
      <w:r w:rsidRPr="00B31282">
        <w:rPr>
          <w:snapToGrid/>
        </w:rPr>
        <w:t>.</w:t>
      </w:r>
    </w:p>
    <w:p w14:paraId="173CAF16" w14:textId="7EA4B9BE" w:rsidR="00E564F6" w:rsidRPr="00B31282" w:rsidRDefault="00E564F6" w:rsidP="00F97A94">
      <w:pPr>
        <w:pStyle w:val="COMexecsumnumberedpara"/>
        <w:rPr>
          <w:snapToGrid/>
        </w:rPr>
      </w:pPr>
      <w:r w:rsidRPr="00B31282">
        <w:rPr>
          <w:snapToGrid/>
        </w:rPr>
        <w:t xml:space="preserve">Acalabrutinib is another pharmacological BTK inhibitor analogue that is PBS listed for relapsed/refractory CLL/SLL. The submission nominated acalabrutinib as a supplementary comparator. </w:t>
      </w:r>
      <w:r w:rsidR="00492946">
        <w:rPr>
          <w:snapToGrid/>
        </w:rPr>
        <w:t xml:space="preserve">The PBAC </w:t>
      </w:r>
      <w:r w:rsidR="00090E27">
        <w:rPr>
          <w:snapToGrid/>
        </w:rPr>
        <w:t>considered that this was appropriate.</w:t>
      </w:r>
      <w:r w:rsidRPr="00B31282">
        <w:rPr>
          <w:snapToGrid/>
        </w:rPr>
        <w:t xml:space="preserve"> </w:t>
      </w:r>
    </w:p>
    <w:p w14:paraId="0E15AA73" w14:textId="77777777" w:rsidR="00E564F6" w:rsidRPr="00B31282" w:rsidRDefault="00E564F6" w:rsidP="00E564F6">
      <w:pPr>
        <w:pStyle w:val="COMexecsumnumberedpara"/>
        <w:rPr>
          <w:snapToGrid/>
        </w:rPr>
      </w:pPr>
      <w:r w:rsidRPr="00B31282">
        <w:rPr>
          <w:snapToGrid/>
        </w:rPr>
        <w:t>Other PBS listed treatments used in the relapsed/refractory setting, but which were not considered as relevant comparators, include:</w:t>
      </w:r>
    </w:p>
    <w:p w14:paraId="7038ADE1" w14:textId="43A1AC0F" w:rsidR="00E564F6" w:rsidRPr="00B31282" w:rsidRDefault="3E0912D4" w:rsidP="00F97A94">
      <w:pPr>
        <w:pStyle w:val="COMexecsummbulletlist"/>
      </w:pPr>
      <w:r w:rsidRPr="00B31282">
        <w:rPr>
          <w:snapToGrid/>
        </w:rPr>
        <w:t>Venetoclax plus rituximab. Given the different mechanism of action for this treatment, it is expected that zanubrutinib would be less likely to replace this treatment in practice compared to the BTK inhibitors.</w:t>
      </w:r>
      <w:r w:rsidR="5F65EBF4" w:rsidRPr="00B31282">
        <w:rPr>
          <w:snapToGrid/>
        </w:rPr>
        <w:t xml:space="preserve"> </w:t>
      </w:r>
      <w:r w:rsidR="00DF5B59" w:rsidRPr="009F171F">
        <w:rPr>
          <w:iCs/>
          <w:snapToGrid/>
        </w:rPr>
        <w:t>The ESC considered zanubrutinib</w:t>
      </w:r>
      <w:r w:rsidR="003E22A3" w:rsidRPr="009F171F">
        <w:rPr>
          <w:iCs/>
          <w:snapToGrid/>
        </w:rPr>
        <w:t xml:space="preserve"> would be unlikely to replace venetoclax</w:t>
      </w:r>
      <w:r w:rsidR="003A1F28" w:rsidRPr="009F171F">
        <w:rPr>
          <w:iCs/>
          <w:snapToGrid/>
        </w:rPr>
        <w:t>, with zanubrutinib being used in patients previously treated with venetoclax in the treatment naïve setting, or it would potentially displace venetoclax to a later line therapy.</w:t>
      </w:r>
      <w:r w:rsidR="00DF5B59" w:rsidRPr="009F171F">
        <w:rPr>
          <w:iCs/>
          <w:snapToGrid/>
        </w:rPr>
        <w:t xml:space="preserve"> </w:t>
      </w:r>
    </w:p>
    <w:p w14:paraId="4973821B" w14:textId="0A293DAD" w:rsidR="00E564F6" w:rsidRPr="00B31282" w:rsidRDefault="00E564F6" w:rsidP="00F97A94">
      <w:pPr>
        <w:pStyle w:val="COMexecsummbulletlist"/>
        <w:rPr>
          <w:snapToGrid/>
        </w:rPr>
      </w:pPr>
      <w:r w:rsidRPr="00B31282">
        <w:rPr>
          <w:snapToGrid/>
        </w:rPr>
        <w:t xml:space="preserve">Idelalisib plus rituximab is also PBS-listed in an overlapping population, </w:t>
      </w:r>
      <w:r w:rsidR="007B7C25" w:rsidRPr="00B31282">
        <w:rPr>
          <w:snapToGrid/>
        </w:rPr>
        <w:t>however,</w:t>
      </w:r>
      <w:r w:rsidRPr="00B31282">
        <w:rPr>
          <w:snapToGrid/>
        </w:rPr>
        <w:t xml:space="preserve"> is not widely used in the second line setting due to lower efficacy and higher toxicity. The PBAC previously determined this is not an appropriate comparator in this indication </w:t>
      </w:r>
      <w:bookmarkStart w:id="12" w:name="_Hlk127181232"/>
      <w:r w:rsidRPr="00B31282">
        <w:rPr>
          <w:snapToGrid/>
        </w:rPr>
        <w:t xml:space="preserve">(paragraph 7.5 acalabrutinib </w:t>
      </w:r>
      <w:r w:rsidR="00956688">
        <w:rPr>
          <w:snapToGrid/>
        </w:rPr>
        <w:t>Public Summary Document (</w:t>
      </w:r>
      <w:r w:rsidRPr="00B31282">
        <w:rPr>
          <w:snapToGrid/>
        </w:rPr>
        <w:t>PSD</w:t>
      </w:r>
      <w:r w:rsidR="00956688">
        <w:rPr>
          <w:snapToGrid/>
        </w:rPr>
        <w:t>)</w:t>
      </w:r>
      <w:r w:rsidRPr="00B31282">
        <w:rPr>
          <w:snapToGrid/>
        </w:rPr>
        <w:t>, March 2020 PBAC meeting)</w:t>
      </w:r>
      <w:bookmarkEnd w:id="12"/>
      <w:r w:rsidRPr="00B31282">
        <w:rPr>
          <w:snapToGrid/>
        </w:rPr>
        <w:t>.</w:t>
      </w:r>
    </w:p>
    <w:p w14:paraId="1E5CA968" w14:textId="55D1B2FE" w:rsidR="002E1071" w:rsidRPr="00965AB5" w:rsidRDefault="00AA6BD8" w:rsidP="002E1071">
      <w:pPr>
        <w:pStyle w:val="COMexecsumnumberedpara"/>
        <w:rPr>
          <w:snapToGrid/>
          <w:color w:val="0066FF"/>
        </w:rPr>
      </w:pPr>
      <w:bookmarkStart w:id="13" w:name="_Ref107305379"/>
      <w:r w:rsidRPr="00380B09">
        <w:t xml:space="preserve">In the context of the cost-minimisation approach taken by the submission, a further consideration for PBAC is that, under Section 101(3B) of the </w:t>
      </w:r>
      <w:r w:rsidRPr="00B31282">
        <w:t>National Health Act 1953</w:t>
      </w:r>
      <w:r w:rsidRPr="00380B09">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3"/>
      <w:r w:rsidR="004859E1" w:rsidRPr="00380B09">
        <w:t xml:space="preserve"> </w:t>
      </w:r>
      <w:r w:rsidR="005B4C9C" w:rsidRPr="00380B09">
        <w:t>In this case, the alternative therap</w:t>
      </w:r>
      <w:r w:rsidR="003B442E">
        <w:t>ies</w:t>
      </w:r>
      <w:r w:rsidR="005B4C9C" w:rsidRPr="00380B09">
        <w:t xml:space="preserve"> include acalabrutinib and ibrutinib.</w:t>
      </w:r>
    </w:p>
    <w:p w14:paraId="5D973573" w14:textId="62DE5F45" w:rsidR="00965AB5" w:rsidRPr="00A27BDA" w:rsidRDefault="00965AB5" w:rsidP="00965AB5">
      <w:pPr>
        <w:pStyle w:val="COMexecsumnumberedpara"/>
        <w:numPr>
          <w:ilvl w:val="0"/>
          <w:numId w:val="0"/>
        </w:numPr>
        <w:ind w:left="720"/>
        <w:rPr>
          <w:i/>
          <w:iCs/>
          <w:snapToGrid/>
        </w:rPr>
      </w:pPr>
      <w:bookmarkStart w:id="14" w:name="_Hlk130901258"/>
      <w:r w:rsidRPr="00A27BDA">
        <w:rPr>
          <w:i/>
          <w:iCs/>
          <w:snapToGrid/>
        </w:rPr>
        <w:t>For more detail on PBAC’s view, see section 7 PBAC outcome.</w:t>
      </w:r>
    </w:p>
    <w:p w14:paraId="7F9C27C8" w14:textId="77777777" w:rsidR="00223D5A" w:rsidRPr="00B31282" w:rsidRDefault="00223D5A" w:rsidP="00223D5A">
      <w:pPr>
        <w:pStyle w:val="COMH1numbered"/>
        <w:numPr>
          <w:ilvl w:val="0"/>
          <w:numId w:val="1"/>
        </w:numPr>
      </w:pPr>
      <w:bookmarkStart w:id="15" w:name="_Toc124421149"/>
      <w:bookmarkStart w:id="16" w:name="_Toc22897640"/>
      <w:bookmarkEnd w:id="14"/>
      <w:r w:rsidRPr="00B31282">
        <w:t>Consideration of the evidence</w:t>
      </w:r>
      <w:bookmarkEnd w:id="15"/>
    </w:p>
    <w:p w14:paraId="0FF5621D" w14:textId="77777777" w:rsidR="003A2120" w:rsidRPr="006E1229" w:rsidRDefault="003A2120" w:rsidP="003A2120">
      <w:pPr>
        <w:pStyle w:val="3-SubsectionHeading"/>
        <w:rPr>
          <w:lang w:eastAsia="en-AU"/>
        </w:rPr>
      </w:pPr>
      <w:bookmarkStart w:id="17" w:name="_Toc124421150"/>
      <w:r w:rsidRPr="006E1229">
        <w:rPr>
          <w:lang w:eastAsia="en-AU"/>
        </w:rPr>
        <w:t>Sponsor hearing</w:t>
      </w:r>
    </w:p>
    <w:p w14:paraId="46585AC8" w14:textId="71F63BCB" w:rsidR="003A2120" w:rsidRDefault="003A2120" w:rsidP="003A2120">
      <w:pPr>
        <w:widowControl w:val="0"/>
        <w:numPr>
          <w:ilvl w:val="1"/>
          <w:numId w:val="1"/>
        </w:numPr>
        <w:spacing w:after="120"/>
        <w:ind w:left="720" w:hanging="720"/>
        <w:rPr>
          <w:rFonts w:cs="Calibri"/>
          <w:bCs/>
          <w:snapToGrid w:val="0"/>
        </w:rPr>
      </w:pPr>
      <w:r w:rsidRPr="00F91542">
        <w:rPr>
          <w:rFonts w:cs="Calibri"/>
          <w:bCs/>
          <w:snapToGrid w:val="0"/>
        </w:rPr>
        <w:t>There was no hearing for this item.</w:t>
      </w:r>
    </w:p>
    <w:p w14:paraId="69FE2C77" w14:textId="77777777" w:rsidR="00BA6734" w:rsidRPr="006E1229" w:rsidRDefault="00BA6734" w:rsidP="00BA6734">
      <w:pPr>
        <w:pStyle w:val="3-SubsectionHeading"/>
        <w:rPr>
          <w:lang w:eastAsia="en-AU"/>
        </w:rPr>
      </w:pPr>
      <w:r w:rsidRPr="006E1229">
        <w:rPr>
          <w:lang w:eastAsia="en-AU"/>
        </w:rPr>
        <w:t>Consumer comments</w:t>
      </w:r>
    </w:p>
    <w:p w14:paraId="3AD34E51" w14:textId="2C5297C3" w:rsidR="00BA6734" w:rsidRPr="003B3FCC" w:rsidRDefault="00BA6734" w:rsidP="00D12BAD">
      <w:pPr>
        <w:widowControl w:val="0"/>
        <w:numPr>
          <w:ilvl w:val="1"/>
          <w:numId w:val="1"/>
        </w:numPr>
        <w:spacing w:after="120"/>
        <w:ind w:left="720" w:hanging="720"/>
        <w:rPr>
          <w:rFonts w:asciiTheme="minorHAnsi" w:hAnsiTheme="minorHAnsi"/>
          <w:bCs/>
          <w:snapToGrid w:val="0"/>
        </w:rPr>
      </w:pPr>
      <w:r w:rsidRPr="003B3FCC">
        <w:rPr>
          <w:rFonts w:asciiTheme="minorHAnsi" w:hAnsiTheme="minorHAnsi"/>
          <w:bCs/>
          <w:snapToGrid w:val="0"/>
        </w:rPr>
        <w:t>The PBAC noted and welcomed the input from individuals (</w:t>
      </w:r>
      <w:r w:rsidR="006928E4" w:rsidRPr="003B3FCC">
        <w:rPr>
          <w:rFonts w:asciiTheme="minorHAnsi" w:hAnsiTheme="minorHAnsi"/>
          <w:bCs/>
          <w:snapToGrid w:val="0"/>
        </w:rPr>
        <w:t>1</w:t>
      </w:r>
      <w:r w:rsidRPr="003B3FCC">
        <w:rPr>
          <w:rFonts w:asciiTheme="minorHAnsi" w:hAnsiTheme="minorHAnsi"/>
          <w:bCs/>
          <w:snapToGrid w:val="0"/>
        </w:rPr>
        <w:t>), health care professionals (</w:t>
      </w:r>
      <w:r w:rsidR="00D00279">
        <w:rPr>
          <w:rFonts w:asciiTheme="minorHAnsi" w:hAnsiTheme="minorHAnsi"/>
          <w:bCs/>
          <w:snapToGrid w:val="0"/>
        </w:rPr>
        <w:t>3</w:t>
      </w:r>
      <w:r w:rsidRPr="003B3FCC">
        <w:rPr>
          <w:rFonts w:asciiTheme="minorHAnsi" w:hAnsiTheme="minorHAnsi"/>
          <w:bCs/>
          <w:snapToGrid w:val="0"/>
        </w:rPr>
        <w:t>)</w:t>
      </w:r>
      <w:r w:rsidR="00400982">
        <w:rPr>
          <w:rFonts w:asciiTheme="minorHAnsi" w:hAnsiTheme="minorHAnsi"/>
          <w:bCs/>
          <w:snapToGrid w:val="0"/>
        </w:rPr>
        <w:t>,</w:t>
      </w:r>
      <w:r w:rsidR="00CD4757">
        <w:rPr>
          <w:rFonts w:asciiTheme="minorHAnsi" w:hAnsiTheme="minorHAnsi"/>
          <w:bCs/>
          <w:snapToGrid w:val="0"/>
        </w:rPr>
        <w:t xml:space="preserve"> </w:t>
      </w:r>
      <w:r w:rsidRPr="003B3FCC">
        <w:rPr>
          <w:rFonts w:asciiTheme="minorHAnsi" w:hAnsiTheme="minorHAnsi"/>
          <w:bCs/>
          <w:snapToGrid w:val="0"/>
        </w:rPr>
        <w:t xml:space="preserve">and </w:t>
      </w:r>
      <w:r w:rsidR="005B511D">
        <w:rPr>
          <w:rFonts w:asciiTheme="minorHAnsi" w:hAnsiTheme="minorHAnsi"/>
          <w:bCs/>
          <w:snapToGrid w:val="0"/>
        </w:rPr>
        <w:t xml:space="preserve">from the </w:t>
      </w:r>
      <w:r w:rsidR="00CD4757">
        <w:rPr>
          <w:rFonts w:asciiTheme="minorHAnsi" w:hAnsiTheme="minorHAnsi"/>
          <w:bCs/>
          <w:snapToGrid w:val="0"/>
        </w:rPr>
        <w:t>three</w:t>
      </w:r>
      <w:r w:rsidR="005B511D">
        <w:rPr>
          <w:rFonts w:asciiTheme="minorHAnsi" w:hAnsiTheme="minorHAnsi"/>
          <w:bCs/>
          <w:snapToGrid w:val="0"/>
        </w:rPr>
        <w:t xml:space="preserve"> </w:t>
      </w:r>
      <w:r w:rsidRPr="003B3FCC">
        <w:rPr>
          <w:rFonts w:asciiTheme="minorHAnsi" w:hAnsiTheme="minorHAnsi"/>
          <w:bCs/>
          <w:snapToGrid w:val="0"/>
        </w:rPr>
        <w:t>organisations</w:t>
      </w:r>
      <w:r w:rsidR="00D13C46">
        <w:rPr>
          <w:rFonts w:asciiTheme="minorHAnsi" w:hAnsiTheme="minorHAnsi"/>
          <w:bCs/>
          <w:snapToGrid w:val="0"/>
        </w:rPr>
        <w:t xml:space="preserve">, Haematology Society of Australia and New Zealand, </w:t>
      </w:r>
      <w:r w:rsidR="005B511D">
        <w:rPr>
          <w:rFonts w:asciiTheme="minorHAnsi" w:hAnsiTheme="minorHAnsi"/>
          <w:bCs/>
          <w:snapToGrid w:val="0"/>
        </w:rPr>
        <w:t>Rare Cancers Australia</w:t>
      </w:r>
      <w:r w:rsidR="00D13C46">
        <w:rPr>
          <w:rFonts w:asciiTheme="minorHAnsi" w:hAnsiTheme="minorHAnsi"/>
          <w:bCs/>
          <w:snapToGrid w:val="0"/>
        </w:rPr>
        <w:t>,</w:t>
      </w:r>
      <w:r w:rsidR="005B511D">
        <w:rPr>
          <w:rFonts w:asciiTheme="minorHAnsi" w:hAnsiTheme="minorHAnsi"/>
          <w:bCs/>
          <w:snapToGrid w:val="0"/>
        </w:rPr>
        <w:t xml:space="preserve"> and Lymphoma Australia</w:t>
      </w:r>
      <w:r w:rsidRPr="003B3FCC">
        <w:rPr>
          <w:rFonts w:asciiTheme="minorHAnsi" w:hAnsiTheme="minorHAnsi"/>
          <w:bCs/>
          <w:snapToGrid w:val="0"/>
        </w:rPr>
        <w:t xml:space="preserve"> via the Consumer Comments facility on the PBS website. The </w:t>
      </w:r>
      <w:bookmarkStart w:id="18" w:name="_Hlk130482681"/>
      <w:r w:rsidRPr="003B3FCC">
        <w:rPr>
          <w:rFonts w:asciiTheme="minorHAnsi" w:hAnsiTheme="minorHAnsi"/>
          <w:bCs/>
          <w:snapToGrid w:val="0"/>
        </w:rPr>
        <w:t xml:space="preserve">comments described a range of benefits of treatment with </w:t>
      </w:r>
      <w:r w:rsidR="006928E4" w:rsidRPr="003B3FCC">
        <w:rPr>
          <w:rFonts w:asciiTheme="minorHAnsi" w:hAnsiTheme="minorHAnsi"/>
          <w:bCs/>
          <w:snapToGrid w:val="0"/>
        </w:rPr>
        <w:t>zanubrutinib</w:t>
      </w:r>
      <w:r w:rsidRPr="003B3FCC">
        <w:rPr>
          <w:rFonts w:asciiTheme="minorHAnsi" w:hAnsiTheme="minorHAnsi"/>
          <w:bCs/>
          <w:snapToGrid w:val="0"/>
        </w:rPr>
        <w:t xml:space="preserve"> including fewer side effects, avoidance of </w:t>
      </w:r>
      <w:r w:rsidR="006928E4" w:rsidRPr="003B3FCC">
        <w:rPr>
          <w:rFonts w:asciiTheme="minorHAnsi" w:hAnsiTheme="minorHAnsi"/>
          <w:bCs/>
          <w:snapToGrid w:val="0"/>
        </w:rPr>
        <w:t>hospitalisations and day care admissions, the opportunity for good quality of life and long-lasting remissions</w:t>
      </w:r>
      <w:r w:rsidRPr="003B3FCC">
        <w:rPr>
          <w:rFonts w:asciiTheme="minorHAnsi" w:hAnsiTheme="minorHAnsi"/>
          <w:bCs/>
          <w:snapToGrid w:val="0"/>
        </w:rPr>
        <w:t xml:space="preserve">. </w:t>
      </w:r>
      <w:bookmarkEnd w:id="18"/>
    </w:p>
    <w:p w14:paraId="609C0765" w14:textId="726FC6CF" w:rsidR="00B60939" w:rsidRPr="00B31282" w:rsidRDefault="00B60939" w:rsidP="002E4F02">
      <w:pPr>
        <w:pStyle w:val="COMH2-non-numbered"/>
      </w:pPr>
      <w:r w:rsidRPr="00B31282">
        <w:t>Clinical trials</w:t>
      </w:r>
      <w:bookmarkEnd w:id="16"/>
      <w:bookmarkEnd w:id="17"/>
    </w:p>
    <w:p w14:paraId="385A70E3" w14:textId="1BEDBCC0" w:rsidR="00DF4CFA" w:rsidRPr="00B31282" w:rsidRDefault="00DF4CFA" w:rsidP="00D12BAD">
      <w:pPr>
        <w:pStyle w:val="COMexecsumnumberedpara"/>
        <w:rPr>
          <w:snapToGrid/>
        </w:rPr>
      </w:pPr>
      <w:r w:rsidRPr="00B31282">
        <w:rPr>
          <w:snapToGrid/>
        </w:rPr>
        <w:t>The submission was based on a head-to-head comparison of zanubrutinib versus ibrutinib in relapsed/refractory CLL/SLL (ALPINE).</w:t>
      </w:r>
    </w:p>
    <w:p w14:paraId="17DE34DC" w14:textId="7794E549" w:rsidR="007F1017" w:rsidRPr="00B31282" w:rsidRDefault="00DF4CFA" w:rsidP="00DF4CFA">
      <w:pPr>
        <w:pStyle w:val="COMexecsumnumberedpara"/>
      </w:pPr>
      <w:r w:rsidRPr="00B31282">
        <w:rPr>
          <w:snapToGrid/>
        </w:rPr>
        <w:t xml:space="preserve">An indirect comparison and anchored matching adjusted indirect comparison (MAIC) of zanubrutinib (ALPINE) versus acalabrutinib (ELEVATE-RR; Byrd et al., 2021) via common </w:t>
      </w:r>
      <w:r w:rsidR="001D3918" w:rsidRPr="00B31282">
        <w:rPr>
          <w:snapToGrid/>
        </w:rPr>
        <w:t>reference</w:t>
      </w:r>
      <w:r w:rsidRPr="00B31282">
        <w:rPr>
          <w:snapToGrid/>
        </w:rPr>
        <w:t xml:space="preserve"> ibrutinib</w:t>
      </w:r>
      <w:r w:rsidR="00A9196D" w:rsidRPr="00B31282">
        <w:rPr>
          <w:snapToGrid/>
        </w:rPr>
        <w:t xml:space="preserve"> was included as a supplementary anal</w:t>
      </w:r>
      <w:r w:rsidR="00E528F7" w:rsidRPr="00B31282">
        <w:rPr>
          <w:snapToGrid/>
        </w:rPr>
        <w:t>ysis</w:t>
      </w:r>
      <w:r w:rsidRPr="00B31282">
        <w:rPr>
          <w:snapToGrid/>
        </w:rPr>
        <w:t xml:space="preserve">. </w:t>
      </w:r>
    </w:p>
    <w:p w14:paraId="2B59ABAC" w14:textId="5248EB12" w:rsidR="00862502" w:rsidRPr="00B31282" w:rsidRDefault="00A73134" w:rsidP="002E4F02">
      <w:pPr>
        <w:pStyle w:val="COMexecsumnumberedpara"/>
      </w:pPr>
      <w:r w:rsidRPr="00B31282">
        <w:rPr>
          <w:snapToGrid/>
        </w:rPr>
        <w:t xml:space="preserve">Details of the trials presented in the submission are provided in </w:t>
      </w:r>
      <w:r w:rsidR="00696EF9" w:rsidRPr="00B31282">
        <w:rPr>
          <w:snapToGrid/>
        </w:rPr>
        <w:fldChar w:fldCharType="begin"/>
      </w:r>
      <w:r w:rsidR="00696EF9" w:rsidRPr="00B31282">
        <w:rPr>
          <w:snapToGrid/>
        </w:rPr>
        <w:instrText xml:space="preserve"> REF _Ref104803956 \h </w:instrText>
      </w:r>
      <w:r w:rsidR="00696EF9" w:rsidRPr="00B31282">
        <w:rPr>
          <w:snapToGrid/>
        </w:rPr>
      </w:r>
      <w:r w:rsidR="00696EF9" w:rsidRPr="00B31282">
        <w:rPr>
          <w:snapToGrid/>
        </w:rPr>
        <w:fldChar w:fldCharType="separate"/>
      </w:r>
      <w:r w:rsidR="00472981" w:rsidRPr="00B31282">
        <w:t xml:space="preserve">Table </w:t>
      </w:r>
      <w:r w:rsidR="00472981">
        <w:rPr>
          <w:noProof/>
        </w:rPr>
        <w:t>2</w:t>
      </w:r>
      <w:r w:rsidR="00696EF9" w:rsidRPr="00B31282">
        <w:rPr>
          <w:snapToGrid/>
        </w:rPr>
        <w:fldChar w:fldCharType="end"/>
      </w:r>
      <w:r w:rsidRPr="00B31282">
        <w:rPr>
          <w:snapToGrid/>
        </w:rPr>
        <w:t>.</w:t>
      </w:r>
      <w:r w:rsidR="00BC591F" w:rsidRPr="00B31282">
        <w:rPr>
          <w:snapToGrid/>
        </w:rPr>
        <w:t xml:space="preserve"> </w:t>
      </w:r>
    </w:p>
    <w:p w14:paraId="7DE3A286" w14:textId="434E71E3" w:rsidR="008E0D3C" w:rsidRPr="00B31282" w:rsidRDefault="00696EF9" w:rsidP="002E4F02">
      <w:pPr>
        <w:pStyle w:val="COMtablefigcaption"/>
      </w:pPr>
      <w:bookmarkStart w:id="19" w:name="_Ref104803956"/>
      <w:r w:rsidRPr="00B31282">
        <w:t xml:space="preserve">Table </w:t>
      </w:r>
      <w:r>
        <w:fldChar w:fldCharType="begin"/>
      </w:r>
      <w:r>
        <w:instrText>SEQ Table \* ARABIC</w:instrText>
      </w:r>
      <w:r>
        <w:fldChar w:fldCharType="separate"/>
      </w:r>
      <w:r w:rsidR="00472981">
        <w:rPr>
          <w:noProof/>
        </w:rPr>
        <w:t>2</w:t>
      </w:r>
      <w:r>
        <w:fldChar w:fldCharType="end"/>
      </w:r>
      <w:bookmarkEnd w:id="19"/>
      <w:r w:rsidRPr="00B31282">
        <w:t>:</w:t>
      </w:r>
      <w:r w:rsidR="00BC591F" w:rsidRPr="00B31282">
        <w:t xml:space="preserve"> </w:t>
      </w:r>
      <w:r w:rsidR="008E0D3C" w:rsidRPr="00B31282">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14409A" w:rsidRPr="00B31282" w14:paraId="0E93B837" w14:textId="77777777" w:rsidTr="00EF5349">
        <w:trPr>
          <w:tblHeader/>
        </w:trPr>
        <w:tc>
          <w:tcPr>
            <w:tcW w:w="796" w:type="pct"/>
            <w:vAlign w:val="center"/>
          </w:tcPr>
          <w:p w14:paraId="06DBCBCE" w14:textId="77777777" w:rsidR="0014409A" w:rsidRPr="00B31282" w:rsidRDefault="0014409A" w:rsidP="00D12BAD">
            <w:pPr>
              <w:pStyle w:val="COMTableheadingrow"/>
              <w:rPr>
                <w:lang w:val="en-AU"/>
              </w:rPr>
            </w:pPr>
            <w:r w:rsidRPr="00B31282">
              <w:rPr>
                <w:lang w:val="en-AU"/>
              </w:rPr>
              <w:t>Trial ID</w:t>
            </w:r>
          </w:p>
        </w:tc>
        <w:tc>
          <w:tcPr>
            <w:tcW w:w="3027" w:type="pct"/>
            <w:vAlign w:val="center"/>
          </w:tcPr>
          <w:p w14:paraId="392646AC" w14:textId="77777777" w:rsidR="0014409A" w:rsidRPr="00B31282" w:rsidRDefault="0014409A" w:rsidP="00D12BAD">
            <w:pPr>
              <w:pStyle w:val="COMTableheadingrow"/>
              <w:rPr>
                <w:lang w:val="en-AU"/>
              </w:rPr>
            </w:pPr>
            <w:r w:rsidRPr="00B31282">
              <w:rPr>
                <w:lang w:val="en-AU"/>
              </w:rPr>
              <w:t>Protocol title/ Publication title</w:t>
            </w:r>
          </w:p>
        </w:tc>
        <w:tc>
          <w:tcPr>
            <w:tcW w:w="1177" w:type="pct"/>
            <w:vAlign w:val="center"/>
          </w:tcPr>
          <w:p w14:paraId="0C720E1A" w14:textId="77777777" w:rsidR="0014409A" w:rsidRPr="00B31282" w:rsidRDefault="0014409A" w:rsidP="00D12BAD">
            <w:pPr>
              <w:pStyle w:val="COMTableheadingrow"/>
              <w:rPr>
                <w:lang w:val="en-AU"/>
              </w:rPr>
            </w:pPr>
            <w:r w:rsidRPr="00B31282">
              <w:rPr>
                <w:lang w:val="en-AU"/>
              </w:rPr>
              <w:t>Publication citation</w:t>
            </w:r>
          </w:p>
        </w:tc>
      </w:tr>
      <w:tr w:rsidR="0014409A" w:rsidRPr="00B31282" w14:paraId="581C6A9D" w14:textId="77777777" w:rsidTr="00EF5349">
        <w:tc>
          <w:tcPr>
            <w:tcW w:w="5000" w:type="pct"/>
            <w:gridSpan w:val="3"/>
            <w:vAlign w:val="center"/>
          </w:tcPr>
          <w:p w14:paraId="540ED55E" w14:textId="77777777" w:rsidR="0014409A" w:rsidRPr="00B31282" w:rsidRDefault="0014409A" w:rsidP="00D12BAD">
            <w:pPr>
              <w:pStyle w:val="COMTabletext"/>
              <w:rPr>
                <w:b/>
                <w:bCs w:val="0"/>
              </w:rPr>
            </w:pPr>
            <w:r w:rsidRPr="00B31282">
              <w:rPr>
                <w:b/>
                <w:bCs w:val="0"/>
              </w:rPr>
              <w:t>Zanubrutinib versus ibrutinib</w:t>
            </w:r>
          </w:p>
        </w:tc>
      </w:tr>
      <w:tr w:rsidR="0066445E" w:rsidRPr="00B31282" w14:paraId="3CA01D3B" w14:textId="77777777" w:rsidTr="00EF5349">
        <w:tc>
          <w:tcPr>
            <w:tcW w:w="796" w:type="pct"/>
            <w:vMerge w:val="restart"/>
            <w:vAlign w:val="center"/>
          </w:tcPr>
          <w:p w14:paraId="5532DF5A" w14:textId="77777777" w:rsidR="0066445E" w:rsidRPr="00B31282" w:rsidRDefault="0066445E" w:rsidP="00D12BAD">
            <w:pPr>
              <w:pStyle w:val="COMTabletext"/>
            </w:pPr>
            <w:r w:rsidRPr="00B31282">
              <w:t>ALPINE</w:t>
            </w:r>
          </w:p>
          <w:p w14:paraId="1BAF6321" w14:textId="77777777" w:rsidR="0066445E" w:rsidRPr="00B31282" w:rsidRDefault="0066445E" w:rsidP="00D12BAD">
            <w:pPr>
              <w:pStyle w:val="COMTabletext"/>
            </w:pPr>
            <w:r w:rsidRPr="00B31282">
              <w:t>NCT03734016</w:t>
            </w:r>
          </w:p>
        </w:tc>
        <w:tc>
          <w:tcPr>
            <w:tcW w:w="3027" w:type="pct"/>
            <w:tcBorders>
              <w:bottom w:val="nil"/>
            </w:tcBorders>
          </w:tcPr>
          <w:p w14:paraId="327A9DE4" w14:textId="77777777" w:rsidR="0066445E" w:rsidRPr="00B31282" w:rsidRDefault="0066445E" w:rsidP="00EF5349">
            <w:pPr>
              <w:pStyle w:val="COMTabletext"/>
              <w:rPr>
                <w:szCs w:val="18"/>
              </w:rPr>
            </w:pPr>
            <w:r w:rsidRPr="00B31282">
              <w:rPr>
                <w:szCs w:val="18"/>
              </w:rPr>
              <w:t>A Phase 3, Randomized Study of Zanubrutinib (BGB-3111) Compared with Ibrutinib in Patients with Relapsed/Refractory Chronic Lymphocytic Leukemia or Small Lymphocytic Lymphoma</w:t>
            </w:r>
          </w:p>
        </w:tc>
        <w:tc>
          <w:tcPr>
            <w:tcW w:w="1177" w:type="pct"/>
            <w:tcBorders>
              <w:bottom w:val="nil"/>
            </w:tcBorders>
          </w:tcPr>
          <w:p w14:paraId="2507F072" w14:textId="77777777" w:rsidR="0066445E" w:rsidRPr="00B31282" w:rsidRDefault="0066445E" w:rsidP="00EF5349">
            <w:pPr>
              <w:pStyle w:val="COMTabletext"/>
            </w:pPr>
            <w:r w:rsidRPr="00B31282">
              <w:t>July 2022</w:t>
            </w:r>
          </w:p>
        </w:tc>
      </w:tr>
      <w:tr w:rsidR="0066445E" w:rsidRPr="00B31282" w14:paraId="794A42CC" w14:textId="77777777" w:rsidTr="00EF5349">
        <w:tc>
          <w:tcPr>
            <w:tcW w:w="796" w:type="pct"/>
            <w:vMerge/>
            <w:vAlign w:val="center"/>
          </w:tcPr>
          <w:p w14:paraId="658E35C6" w14:textId="77777777" w:rsidR="0066445E" w:rsidRPr="00B31282" w:rsidRDefault="0066445E" w:rsidP="00D12BAD">
            <w:pPr>
              <w:pStyle w:val="COMTabletext"/>
            </w:pPr>
          </w:p>
        </w:tc>
        <w:tc>
          <w:tcPr>
            <w:tcW w:w="3027" w:type="pct"/>
            <w:tcBorders>
              <w:top w:val="nil"/>
            </w:tcBorders>
          </w:tcPr>
          <w:p w14:paraId="1BB1E8DD" w14:textId="77777777" w:rsidR="0066445E" w:rsidRPr="00B31282" w:rsidRDefault="0066445E" w:rsidP="00EF5349">
            <w:pPr>
              <w:pStyle w:val="COMTabletext"/>
              <w:rPr>
                <w:szCs w:val="18"/>
              </w:rPr>
            </w:pPr>
            <w:r w:rsidRPr="00B31282">
              <w:rPr>
                <w:szCs w:val="18"/>
              </w:rPr>
              <w:t xml:space="preserve">Hillmen P, Brown JR, Eichhorst BF et al. ALPINE: zanubrutinib versus ibrutinib in relapsed/refractory chronic lymphocytic leukemia/small lymphocytic lymphoma. </w:t>
            </w:r>
          </w:p>
        </w:tc>
        <w:tc>
          <w:tcPr>
            <w:tcW w:w="1177" w:type="pct"/>
            <w:tcBorders>
              <w:top w:val="nil"/>
            </w:tcBorders>
          </w:tcPr>
          <w:p w14:paraId="133F2A66" w14:textId="77777777" w:rsidR="0066445E" w:rsidRPr="00B31282" w:rsidRDefault="0066445E" w:rsidP="00EF5349">
            <w:pPr>
              <w:pStyle w:val="COMTabletext"/>
              <w:rPr>
                <w:szCs w:val="18"/>
              </w:rPr>
            </w:pPr>
            <w:r w:rsidRPr="00380B09">
              <w:rPr>
                <w:iCs/>
                <w:szCs w:val="18"/>
              </w:rPr>
              <w:t>Future Oncol</w:t>
            </w:r>
            <w:r w:rsidRPr="00B31282">
              <w:rPr>
                <w:szCs w:val="18"/>
              </w:rPr>
              <w:t xml:space="preserve"> 2020; 16(10): 517-523</w:t>
            </w:r>
          </w:p>
        </w:tc>
      </w:tr>
      <w:tr w:rsidR="0066445E" w:rsidRPr="00B31282" w14:paraId="7967D0F3" w14:textId="77777777" w:rsidTr="00EF5349">
        <w:tc>
          <w:tcPr>
            <w:tcW w:w="796" w:type="pct"/>
            <w:vMerge/>
            <w:vAlign w:val="center"/>
          </w:tcPr>
          <w:p w14:paraId="16C6160B" w14:textId="77777777" w:rsidR="0066445E" w:rsidRPr="00B31282" w:rsidRDefault="0066445E" w:rsidP="00D12BAD">
            <w:pPr>
              <w:pStyle w:val="COMTabletext"/>
            </w:pPr>
          </w:p>
        </w:tc>
        <w:tc>
          <w:tcPr>
            <w:tcW w:w="3027" w:type="pct"/>
            <w:tcBorders>
              <w:top w:val="nil"/>
            </w:tcBorders>
          </w:tcPr>
          <w:p w14:paraId="48487225" w14:textId="6C92D30A" w:rsidR="0066445E" w:rsidRPr="00B31282" w:rsidRDefault="0066445E" w:rsidP="00EF5349">
            <w:pPr>
              <w:pStyle w:val="COMTabletext"/>
              <w:rPr>
                <w:szCs w:val="18"/>
              </w:rPr>
            </w:pPr>
            <w:r>
              <w:rPr>
                <w:szCs w:val="18"/>
              </w:rPr>
              <w:t>Brown JR, Eichhorst BF, Hillmen P et al. Zanubrutinib or ibrutinib in relapsed or refractory chronic lymphocytic leukemia.</w:t>
            </w:r>
            <w:r w:rsidR="00965887" w:rsidRPr="00965887">
              <w:rPr>
                <w:szCs w:val="18"/>
                <w:vertAlign w:val="superscript"/>
              </w:rPr>
              <w:t>a</w:t>
            </w:r>
          </w:p>
        </w:tc>
        <w:tc>
          <w:tcPr>
            <w:tcW w:w="1177" w:type="pct"/>
            <w:tcBorders>
              <w:top w:val="nil"/>
            </w:tcBorders>
          </w:tcPr>
          <w:p w14:paraId="1E4FE097" w14:textId="6D82C7A3" w:rsidR="0066445E" w:rsidRPr="00B31282" w:rsidRDefault="0066445E" w:rsidP="00EF5349">
            <w:pPr>
              <w:pStyle w:val="COMTabletext"/>
              <w:rPr>
                <w:i/>
                <w:iCs/>
                <w:szCs w:val="18"/>
              </w:rPr>
            </w:pPr>
            <w:r w:rsidRPr="00380B09">
              <w:rPr>
                <w:iCs/>
                <w:szCs w:val="18"/>
              </w:rPr>
              <w:t xml:space="preserve">NEJM </w:t>
            </w:r>
            <w:r w:rsidRPr="00965887">
              <w:rPr>
                <w:szCs w:val="18"/>
              </w:rPr>
              <w:t>2022: DOI: 10.1056/NEJMoa2211582</w:t>
            </w:r>
          </w:p>
        </w:tc>
      </w:tr>
      <w:tr w:rsidR="0014409A" w:rsidRPr="00B31282" w14:paraId="21C943B4" w14:textId="77777777" w:rsidTr="00EF5349">
        <w:tc>
          <w:tcPr>
            <w:tcW w:w="5000" w:type="pct"/>
            <w:gridSpan w:val="3"/>
            <w:tcBorders>
              <w:bottom w:val="single" w:sz="4" w:space="0" w:color="auto"/>
            </w:tcBorders>
          </w:tcPr>
          <w:p w14:paraId="5784EEC8" w14:textId="77777777" w:rsidR="0014409A" w:rsidRPr="00B31282" w:rsidRDefault="0014409A" w:rsidP="00EF5349">
            <w:pPr>
              <w:pStyle w:val="COMTabletext"/>
              <w:rPr>
                <w:b/>
                <w:bCs w:val="0"/>
              </w:rPr>
            </w:pPr>
            <w:r w:rsidRPr="00B31282">
              <w:rPr>
                <w:b/>
                <w:bCs w:val="0"/>
              </w:rPr>
              <w:t>Acalabrutinib versus ibrutinib</w:t>
            </w:r>
          </w:p>
        </w:tc>
      </w:tr>
      <w:tr w:rsidR="0014409A" w:rsidRPr="00B31282" w14:paraId="40FDBFC4" w14:textId="77777777" w:rsidTr="00EF5349">
        <w:tc>
          <w:tcPr>
            <w:tcW w:w="796" w:type="pct"/>
            <w:vAlign w:val="center"/>
          </w:tcPr>
          <w:p w14:paraId="41370A16" w14:textId="77777777" w:rsidR="0014409A" w:rsidRPr="00B31282" w:rsidRDefault="0014409A" w:rsidP="00D12BAD">
            <w:pPr>
              <w:pStyle w:val="COMTabletext"/>
            </w:pPr>
            <w:r w:rsidRPr="00B31282">
              <w:t>ELEVATE-RR</w:t>
            </w:r>
          </w:p>
        </w:tc>
        <w:tc>
          <w:tcPr>
            <w:tcW w:w="3027" w:type="pct"/>
          </w:tcPr>
          <w:p w14:paraId="778AC295" w14:textId="77777777" w:rsidR="0014409A" w:rsidRPr="00B31282" w:rsidRDefault="0014409A" w:rsidP="00EF5349">
            <w:pPr>
              <w:pStyle w:val="COMTabletext"/>
            </w:pPr>
            <w:r w:rsidRPr="00B31282">
              <w:t xml:space="preserve">Byrd JC, Hillmen P, Ghia P, et al. Acalabrutinib Versus Ibrutinib in Previously Treated Chronic Lymphocytic Leukemia: Results of the First Randomized Phase III Trial. </w:t>
            </w:r>
          </w:p>
        </w:tc>
        <w:tc>
          <w:tcPr>
            <w:tcW w:w="1177" w:type="pct"/>
          </w:tcPr>
          <w:p w14:paraId="2157D11B" w14:textId="77777777" w:rsidR="0014409A" w:rsidRPr="00B31282" w:rsidRDefault="0014409A" w:rsidP="00EF5349">
            <w:pPr>
              <w:pStyle w:val="COMTabletext"/>
            </w:pPr>
            <w:r w:rsidRPr="00380B09">
              <w:rPr>
                <w:iCs/>
              </w:rPr>
              <w:t>J Clin Oncol</w:t>
            </w:r>
            <w:r w:rsidRPr="00B31282">
              <w:t xml:space="preserve"> 2021; 39(31): 3441-3452</w:t>
            </w:r>
          </w:p>
        </w:tc>
      </w:tr>
    </w:tbl>
    <w:p w14:paraId="51D8173A" w14:textId="0D54648C" w:rsidR="008E0D3C" w:rsidRPr="00965887" w:rsidRDefault="008E0D3C" w:rsidP="00965887">
      <w:pPr>
        <w:pStyle w:val="COMTablefooter"/>
      </w:pPr>
      <w:r w:rsidRPr="00965887">
        <w:t xml:space="preserve">Source: </w:t>
      </w:r>
      <w:r w:rsidR="00E3002A" w:rsidRPr="00965887">
        <w:t>Table 2-3, p39; Table 2-4, p40 of the submission.</w:t>
      </w:r>
    </w:p>
    <w:p w14:paraId="79A206FA" w14:textId="14D202AB" w:rsidR="00965887" w:rsidRPr="00965887" w:rsidRDefault="00965887" w:rsidP="00965887">
      <w:pPr>
        <w:pStyle w:val="COMTablefooter"/>
      </w:pPr>
      <w:r w:rsidRPr="00965887">
        <w:rPr>
          <w:vertAlign w:val="superscript"/>
        </w:rPr>
        <w:t xml:space="preserve">a </w:t>
      </w:r>
      <w:r w:rsidRPr="00965887">
        <w:t xml:space="preserve">Published subsequent to </w:t>
      </w:r>
      <w:r w:rsidR="00491220">
        <w:t xml:space="preserve">lodgement </w:t>
      </w:r>
      <w:r w:rsidRPr="00965887">
        <w:t>of</w:t>
      </w:r>
      <w:r w:rsidR="00491220">
        <w:t xml:space="preserve"> the</w:t>
      </w:r>
      <w:r w:rsidRPr="00965887">
        <w:t xml:space="preserve"> </w:t>
      </w:r>
      <w:r>
        <w:t>zanubrutinib</w:t>
      </w:r>
      <w:r w:rsidRPr="00965887">
        <w:t xml:space="preserve"> </w:t>
      </w:r>
      <w:r w:rsidR="00491220">
        <w:t>submission; i</w:t>
      </w:r>
      <w:r w:rsidRPr="00965887">
        <w:t>dentified during the evaluation</w:t>
      </w:r>
      <w:r w:rsidR="00491220">
        <w:t>.</w:t>
      </w:r>
    </w:p>
    <w:p w14:paraId="1DD06D7D" w14:textId="3BBDA1B4" w:rsidR="007F1017" w:rsidRPr="00B31282" w:rsidRDefault="008F120A" w:rsidP="00EC5836">
      <w:pPr>
        <w:pStyle w:val="COMexecsumnumberedpara"/>
        <w:rPr>
          <w:color w:val="0066FF"/>
        </w:rPr>
      </w:pPr>
      <w:r w:rsidRPr="00B31282">
        <w:t xml:space="preserve">The key features of the </w:t>
      </w:r>
      <w:r w:rsidR="00840D10" w:rsidRPr="00B31282">
        <w:t xml:space="preserve">included </w:t>
      </w:r>
      <w:r w:rsidRPr="00B31282">
        <w:t>trials are summarised in</w:t>
      </w:r>
      <w:r w:rsidR="00D6076E" w:rsidRPr="00B31282">
        <w:t xml:space="preserve"> </w:t>
      </w:r>
      <w:r w:rsidR="00D6076E" w:rsidRPr="00B31282">
        <w:fldChar w:fldCharType="begin"/>
      </w:r>
      <w:r w:rsidR="00D6076E" w:rsidRPr="00B31282">
        <w:instrText xml:space="preserve"> REF _Ref104804098 \h  \* MERGEFORMAT </w:instrText>
      </w:r>
      <w:r w:rsidR="00D6076E" w:rsidRPr="00B31282">
        <w:fldChar w:fldCharType="separate"/>
      </w:r>
      <w:r w:rsidR="00472981" w:rsidRPr="00B31282">
        <w:t xml:space="preserve">Table </w:t>
      </w:r>
      <w:r w:rsidR="00472981">
        <w:t>3</w:t>
      </w:r>
      <w:r w:rsidR="00D6076E" w:rsidRPr="00B31282">
        <w:fldChar w:fldCharType="end"/>
      </w:r>
      <w:r w:rsidRPr="00B31282">
        <w:t>.</w:t>
      </w:r>
    </w:p>
    <w:p w14:paraId="355E2F15" w14:textId="2D3D6770" w:rsidR="007F1017" w:rsidRPr="00B31282" w:rsidRDefault="00696EF9" w:rsidP="00FD4ED6">
      <w:pPr>
        <w:pStyle w:val="COMtablefigcaption"/>
      </w:pPr>
      <w:bookmarkStart w:id="20" w:name="_Ref104804098"/>
      <w:r w:rsidRPr="00B31282">
        <w:t xml:space="preserve">Table </w:t>
      </w:r>
      <w:r>
        <w:fldChar w:fldCharType="begin"/>
      </w:r>
      <w:r>
        <w:instrText>SEQ Table \* ARABIC</w:instrText>
      </w:r>
      <w:r>
        <w:fldChar w:fldCharType="separate"/>
      </w:r>
      <w:r w:rsidR="00472981">
        <w:rPr>
          <w:noProof/>
        </w:rPr>
        <w:t>3</w:t>
      </w:r>
      <w:r>
        <w:fldChar w:fldCharType="end"/>
      </w:r>
      <w:bookmarkEnd w:id="20"/>
      <w:r w:rsidR="00D6076E" w:rsidRPr="00B31282">
        <w:t xml:space="preserve">: </w:t>
      </w:r>
      <w:r w:rsidR="007F1017" w:rsidRPr="00B31282">
        <w:t>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0"/>
        <w:gridCol w:w="330"/>
        <w:gridCol w:w="1766"/>
        <w:gridCol w:w="714"/>
        <w:gridCol w:w="1664"/>
        <w:gridCol w:w="3633"/>
      </w:tblGrid>
      <w:tr w:rsidR="00AF6428" w:rsidRPr="00B31282" w14:paraId="53DD7CC6" w14:textId="77777777" w:rsidTr="00F95714">
        <w:trPr>
          <w:cantSplit/>
          <w:tblHeader/>
        </w:trPr>
        <w:tc>
          <w:tcPr>
            <w:tcW w:w="0" w:type="auto"/>
            <w:shd w:val="clear" w:color="auto" w:fill="auto"/>
            <w:vAlign w:val="center"/>
          </w:tcPr>
          <w:p w14:paraId="794116BC" w14:textId="77777777" w:rsidR="00AF6428" w:rsidRPr="00B31282" w:rsidRDefault="00AF6428" w:rsidP="001E34DF">
            <w:pPr>
              <w:pStyle w:val="COMTableheadingrow"/>
              <w:rPr>
                <w:lang w:val="en-AU"/>
              </w:rPr>
            </w:pPr>
            <w:r w:rsidRPr="00B31282">
              <w:rPr>
                <w:lang w:val="en-AU"/>
              </w:rPr>
              <w:t>Trial</w:t>
            </w:r>
          </w:p>
        </w:tc>
        <w:tc>
          <w:tcPr>
            <w:tcW w:w="0" w:type="auto"/>
            <w:shd w:val="clear" w:color="auto" w:fill="auto"/>
            <w:vAlign w:val="center"/>
          </w:tcPr>
          <w:p w14:paraId="51122FE5" w14:textId="77777777" w:rsidR="00AF6428" w:rsidRPr="00B31282" w:rsidRDefault="00AF6428" w:rsidP="00EC5836">
            <w:pPr>
              <w:pStyle w:val="COMTableheadingrow"/>
              <w:jc w:val="center"/>
              <w:rPr>
                <w:lang w:val="en-AU"/>
              </w:rPr>
            </w:pPr>
            <w:r w:rsidRPr="00B31282">
              <w:rPr>
                <w:lang w:val="en-AU"/>
              </w:rPr>
              <w:t>N</w:t>
            </w:r>
          </w:p>
        </w:tc>
        <w:tc>
          <w:tcPr>
            <w:tcW w:w="0" w:type="auto"/>
            <w:shd w:val="clear" w:color="auto" w:fill="auto"/>
            <w:vAlign w:val="center"/>
          </w:tcPr>
          <w:p w14:paraId="41C438EF" w14:textId="77777777" w:rsidR="00AF6428" w:rsidRPr="00B31282" w:rsidRDefault="00AF6428" w:rsidP="00EC5836">
            <w:pPr>
              <w:pStyle w:val="COMTableheadingrow"/>
              <w:jc w:val="center"/>
              <w:rPr>
                <w:lang w:val="en-AU"/>
              </w:rPr>
            </w:pPr>
            <w:r w:rsidRPr="00B31282">
              <w:rPr>
                <w:lang w:val="en-AU"/>
              </w:rPr>
              <w:t>Design/ duration</w:t>
            </w:r>
          </w:p>
        </w:tc>
        <w:tc>
          <w:tcPr>
            <w:tcW w:w="0" w:type="auto"/>
            <w:shd w:val="clear" w:color="auto" w:fill="auto"/>
            <w:vAlign w:val="center"/>
          </w:tcPr>
          <w:p w14:paraId="1FC91360" w14:textId="77777777" w:rsidR="00AF6428" w:rsidRPr="00B31282" w:rsidRDefault="00AF6428" w:rsidP="00EC5836">
            <w:pPr>
              <w:pStyle w:val="COMTableheadingrow"/>
              <w:jc w:val="center"/>
              <w:rPr>
                <w:lang w:val="en-AU"/>
              </w:rPr>
            </w:pPr>
            <w:r w:rsidRPr="00B31282">
              <w:rPr>
                <w:lang w:val="en-AU"/>
              </w:rPr>
              <w:t>Risk of bias</w:t>
            </w:r>
          </w:p>
        </w:tc>
        <w:tc>
          <w:tcPr>
            <w:tcW w:w="0" w:type="auto"/>
            <w:shd w:val="clear" w:color="auto" w:fill="auto"/>
            <w:vAlign w:val="center"/>
          </w:tcPr>
          <w:p w14:paraId="7FF90896" w14:textId="77777777" w:rsidR="00AF6428" w:rsidRPr="00B31282" w:rsidRDefault="00AF6428" w:rsidP="00EC5836">
            <w:pPr>
              <w:pStyle w:val="COMTableheadingrow"/>
              <w:jc w:val="center"/>
              <w:rPr>
                <w:lang w:val="en-AU"/>
              </w:rPr>
            </w:pPr>
            <w:r w:rsidRPr="00B31282">
              <w:rPr>
                <w:lang w:val="en-AU"/>
              </w:rPr>
              <w:t>Patient population</w:t>
            </w:r>
          </w:p>
        </w:tc>
        <w:tc>
          <w:tcPr>
            <w:tcW w:w="0" w:type="auto"/>
            <w:shd w:val="clear" w:color="auto" w:fill="auto"/>
            <w:vAlign w:val="center"/>
          </w:tcPr>
          <w:p w14:paraId="0FCB63F9" w14:textId="4AE14D64" w:rsidR="00AF6428" w:rsidRPr="00B31282" w:rsidRDefault="00AF6428" w:rsidP="00EC5836">
            <w:pPr>
              <w:pStyle w:val="COMTableheadingrow"/>
              <w:jc w:val="center"/>
              <w:rPr>
                <w:lang w:val="en-AU"/>
              </w:rPr>
            </w:pPr>
            <w:r w:rsidRPr="00B31282">
              <w:rPr>
                <w:lang w:val="en-AU"/>
              </w:rPr>
              <w:t>Outcomes</w:t>
            </w:r>
          </w:p>
        </w:tc>
      </w:tr>
      <w:tr w:rsidR="007F1017" w:rsidRPr="00B31282" w14:paraId="2A03CD4B" w14:textId="77777777" w:rsidTr="00F95714">
        <w:trPr>
          <w:cantSplit/>
        </w:trPr>
        <w:tc>
          <w:tcPr>
            <w:tcW w:w="0" w:type="auto"/>
            <w:gridSpan w:val="6"/>
            <w:shd w:val="clear" w:color="auto" w:fill="auto"/>
            <w:vAlign w:val="center"/>
          </w:tcPr>
          <w:p w14:paraId="73088C85" w14:textId="2F1454CA" w:rsidR="007F1017" w:rsidRPr="00B31282" w:rsidRDefault="00591317" w:rsidP="00EC5836">
            <w:pPr>
              <w:pStyle w:val="COMTableheadingrow"/>
              <w:rPr>
                <w:lang w:val="en-AU"/>
              </w:rPr>
            </w:pPr>
            <w:r w:rsidRPr="00B31282">
              <w:rPr>
                <w:lang w:val="en-AU"/>
              </w:rPr>
              <w:t xml:space="preserve">Zanubrutinib </w:t>
            </w:r>
            <w:r w:rsidR="006206D2" w:rsidRPr="00B31282">
              <w:rPr>
                <w:lang w:val="en-AU"/>
              </w:rPr>
              <w:t>versus ibrutinib</w:t>
            </w:r>
            <w:r w:rsidR="00D11031" w:rsidRPr="00B31282">
              <w:rPr>
                <w:lang w:val="en-AU"/>
              </w:rPr>
              <w:t xml:space="preserve"> </w:t>
            </w:r>
          </w:p>
        </w:tc>
      </w:tr>
      <w:tr w:rsidR="00AF6428" w:rsidRPr="00380B09" w14:paraId="4EE88DCB" w14:textId="77777777" w:rsidTr="00F95714">
        <w:trPr>
          <w:cantSplit/>
        </w:trPr>
        <w:tc>
          <w:tcPr>
            <w:tcW w:w="0" w:type="auto"/>
            <w:shd w:val="clear" w:color="auto" w:fill="auto"/>
            <w:vAlign w:val="center"/>
          </w:tcPr>
          <w:p w14:paraId="6EE77D33" w14:textId="499505B6" w:rsidR="00AF6428" w:rsidRPr="00380B09" w:rsidRDefault="00AF6428" w:rsidP="00EC5836">
            <w:pPr>
              <w:pStyle w:val="COMTabletext"/>
            </w:pPr>
            <w:r w:rsidRPr="00380B09">
              <w:t>ALPINE</w:t>
            </w:r>
          </w:p>
        </w:tc>
        <w:tc>
          <w:tcPr>
            <w:tcW w:w="0" w:type="auto"/>
            <w:shd w:val="clear" w:color="auto" w:fill="auto"/>
            <w:vAlign w:val="center"/>
          </w:tcPr>
          <w:p w14:paraId="41BB0E41" w14:textId="4767B516" w:rsidR="00AF6428" w:rsidRPr="00380B09" w:rsidRDefault="00AF6428" w:rsidP="00EC5836">
            <w:pPr>
              <w:pStyle w:val="COMTabletext"/>
              <w:jc w:val="center"/>
            </w:pPr>
            <w:r w:rsidRPr="00380B09">
              <w:t>652</w:t>
            </w:r>
          </w:p>
        </w:tc>
        <w:tc>
          <w:tcPr>
            <w:tcW w:w="0" w:type="auto"/>
            <w:shd w:val="clear" w:color="auto" w:fill="auto"/>
            <w:vAlign w:val="center"/>
          </w:tcPr>
          <w:p w14:paraId="744D08AC" w14:textId="4EADD4E4" w:rsidR="00AF6428" w:rsidRPr="00380B09" w:rsidRDefault="00AF6428" w:rsidP="00EC5836">
            <w:pPr>
              <w:pStyle w:val="COMTabletext"/>
              <w:jc w:val="center"/>
            </w:pPr>
            <w:r w:rsidRPr="00380B09">
              <w:t xml:space="preserve">Phase 3, R, OL (median duration of follow-up </w:t>
            </w:r>
            <w:r w:rsidR="00AC475A" w:rsidRPr="00380B09">
              <w:t>approx. 25</w:t>
            </w:r>
            <w:r w:rsidRPr="00380B09">
              <w:t xml:space="preserve"> months)</w:t>
            </w:r>
          </w:p>
        </w:tc>
        <w:tc>
          <w:tcPr>
            <w:tcW w:w="0" w:type="auto"/>
            <w:shd w:val="clear" w:color="auto" w:fill="auto"/>
            <w:vAlign w:val="center"/>
          </w:tcPr>
          <w:p w14:paraId="4A529D74" w14:textId="66CE59D2" w:rsidR="00AF6428" w:rsidRPr="00380B09" w:rsidRDefault="00AF6428" w:rsidP="00EC5836">
            <w:pPr>
              <w:pStyle w:val="COMTabletext"/>
              <w:jc w:val="center"/>
            </w:pPr>
            <w:r w:rsidRPr="00380B09">
              <w:t>Unclear</w:t>
            </w:r>
          </w:p>
        </w:tc>
        <w:tc>
          <w:tcPr>
            <w:tcW w:w="0" w:type="auto"/>
            <w:shd w:val="clear" w:color="auto" w:fill="auto"/>
            <w:vAlign w:val="center"/>
          </w:tcPr>
          <w:p w14:paraId="5E6F456D" w14:textId="1F446598" w:rsidR="00AF6428" w:rsidRPr="00380B09" w:rsidRDefault="00AF6428" w:rsidP="00EC5836">
            <w:pPr>
              <w:pStyle w:val="COMTabletext"/>
              <w:jc w:val="center"/>
            </w:pPr>
            <w:r w:rsidRPr="00380B09">
              <w:t>Relapsed/refractory CLL/SLL</w:t>
            </w:r>
          </w:p>
        </w:tc>
        <w:tc>
          <w:tcPr>
            <w:tcW w:w="0" w:type="auto"/>
            <w:shd w:val="clear" w:color="auto" w:fill="auto"/>
            <w:vAlign w:val="center"/>
          </w:tcPr>
          <w:p w14:paraId="6DC76214" w14:textId="2CF55D28" w:rsidR="00AF6428" w:rsidRPr="00380B09" w:rsidRDefault="002837B1" w:rsidP="00EC5836">
            <w:pPr>
              <w:pStyle w:val="COMTabletext"/>
              <w:jc w:val="center"/>
            </w:pPr>
            <w:r w:rsidRPr="00380B09">
              <w:t xml:space="preserve">Overall response rate, progression-free survival, duration of response, time to treatment failure, overall survival, patient-reported </w:t>
            </w:r>
            <w:r w:rsidR="000A1236" w:rsidRPr="00380B09">
              <w:t>outcomes</w:t>
            </w:r>
            <w:r w:rsidRPr="00380B09">
              <w:t xml:space="preserve">, </w:t>
            </w:r>
            <w:r w:rsidR="000A1236" w:rsidRPr="00380B09">
              <w:t>adverse events</w:t>
            </w:r>
          </w:p>
        </w:tc>
      </w:tr>
      <w:tr w:rsidR="006206D2" w:rsidRPr="00B31282" w14:paraId="13A6895C" w14:textId="77777777" w:rsidTr="00F95714">
        <w:trPr>
          <w:cantSplit/>
        </w:trPr>
        <w:tc>
          <w:tcPr>
            <w:tcW w:w="0" w:type="auto"/>
            <w:gridSpan w:val="6"/>
            <w:shd w:val="clear" w:color="auto" w:fill="auto"/>
            <w:vAlign w:val="center"/>
          </w:tcPr>
          <w:p w14:paraId="3175EA34" w14:textId="177F0539" w:rsidR="006206D2" w:rsidRPr="00B31282" w:rsidRDefault="006A0660" w:rsidP="006206D2">
            <w:pPr>
              <w:pStyle w:val="COMTabletext"/>
              <w:rPr>
                <w:b/>
                <w:bCs w:val="0"/>
              </w:rPr>
            </w:pPr>
            <w:r w:rsidRPr="00B31282">
              <w:rPr>
                <w:b/>
                <w:bCs w:val="0"/>
              </w:rPr>
              <w:t>A</w:t>
            </w:r>
            <w:r w:rsidR="006206D2" w:rsidRPr="00B31282">
              <w:rPr>
                <w:b/>
                <w:bCs w:val="0"/>
              </w:rPr>
              <w:t xml:space="preserve">calabrutinib </w:t>
            </w:r>
            <w:r w:rsidR="00D11031" w:rsidRPr="00B31282">
              <w:rPr>
                <w:b/>
                <w:bCs w:val="0"/>
              </w:rPr>
              <w:t>v</w:t>
            </w:r>
            <w:r w:rsidRPr="00B31282">
              <w:rPr>
                <w:b/>
                <w:bCs w:val="0"/>
              </w:rPr>
              <w:t>ersus</w:t>
            </w:r>
            <w:r w:rsidR="00D11031" w:rsidRPr="00B31282">
              <w:rPr>
                <w:b/>
                <w:bCs w:val="0"/>
              </w:rPr>
              <w:t xml:space="preserve"> ibrutinib</w:t>
            </w:r>
          </w:p>
        </w:tc>
      </w:tr>
      <w:tr w:rsidR="00AF6428" w:rsidRPr="00380B09" w14:paraId="6DAFAEAF" w14:textId="77777777" w:rsidTr="00F95714">
        <w:trPr>
          <w:cantSplit/>
        </w:trPr>
        <w:tc>
          <w:tcPr>
            <w:tcW w:w="0" w:type="auto"/>
            <w:shd w:val="clear" w:color="auto" w:fill="auto"/>
            <w:vAlign w:val="center"/>
          </w:tcPr>
          <w:p w14:paraId="76F0584C" w14:textId="26D58D65" w:rsidR="00AF6428" w:rsidRPr="00380B09" w:rsidRDefault="00AF6428" w:rsidP="00EC5836">
            <w:pPr>
              <w:pStyle w:val="COMTabletext"/>
            </w:pPr>
            <w:r w:rsidRPr="00380B09">
              <w:t>ELEVATE-RR</w:t>
            </w:r>
          </w:p>
        </w:tc>
        <w:tc>
          <w:tcPr>
            <w:tcW w:w="0" w:type="auto"/>
            <w:shd w:val="clear" w:color="auto" w:fill="auto"/>
            <w:vAlign w:val="center"/>
          </w:tcPr>
          <w:p w14:paraId="7D785F8E" w14:textId="411D2602" w:rsidR="00AF6428" w:rsidRPr="00380B09" w:rsidRDefault="00AF6428" w:rsidP="00EC5836">
            <w:pPr>
              <w:pStyle w:val="COMTabletext"/>
              <w:jc w:val="center"/>
            </w:pPr>
            <w:r w:rsidRPr="00380B09">
              <w:t>533</w:t>
            </w:r>
          </w:p>
        </w:tc>
        <w:tc>
          <w:tcPr>
            <w:tcW w:w="0" w:type="auto"/>
            <w:shd w:val="clear" w:color="auto" w:fill="auto"/>
            <w:vAlign w:val="center"/>
          </w:tcPr>
          <w:p w14:paraId="4F10C1AA" w14:textId="6F627103" w:rsidR="00AF6428" w:rsidRPr="00380B09" w:rsidRDefault="00AF6428" w:rsidP="00EC5836">
            <w:pPr>
              <w:pStyle w:val="COMTabletext"/>
              <w:jc w:val="center"/>
            </w:pPr>
            <w:r w:rsidRPr="00380B09">
              <w:t>Phase 3, R, OL (median duration of follow-up</w:t>
            </w:r>
            <w:r w:rsidR="00AC475A" w:rsidRPr="00380B09">
              <w:t xml:space="preserve"> approx.</w:t>
            </w:r>
            <w:r w:rsidRPr="00380B09">
              <w:t xml:space="preserve"> </w:t>
            </w:r>
            <w:r w:rsidR="00AC475A" w:rsidRPr="00380B09">
              <w:t>41</w:t>
            </w:r>
            <w:r w:rsidRPr="00380B09">
              <w:t xml:space="preserve"> months)</w:t>
            </w:r>
          </w:p>
        </w:tc>
        <w:tc>
          <w:tcPr>
            <w:tcW w:w="0" w:type="auto"/>
            <w:shd w:val="clear" w:color="auto" w:fill="auto"/>
            <w:vAlign w:val="center"/>
          </w:tcPr>
          <w:p w14:paraId="50E27A90" w14:textId="38EC00E5" w:rsidR="00AF6428" w:rsidRPr="00380B09" w:rsidRDefault="00AF6428" w:rsidP="00EC5836">
            <w:pPr>
              <w:pStyle w:val="COMTabletext"/>
              <w:jc w:val="center"/>
            </w:pPr>
            <w:r w:rsidRPr="00380B09">
              <w:t>Unclear</w:t>
            </w:r>
          </w:p>
        </w:tc>
        <w:tc>
          <w:tcPr>
            <w:tcW w:w="0" w:type="auto"/>
            <w:shd w:val="clear" w:color="auto" w:fill="auto"/>
            <w:vAlign w:val="center"/>
          </w:tcPr>
          <w:p w14:paraId="1B84BE0E" w14:textId="2E7662A2" w:rsidR="00AF6428" w:rsidRPr="00380B09" w:rsidRDefault="00AF6428" w:rsidP="00EC5836">
            <w:pPr>
              <w:pStyle w:val="COMTabletext"/>
              <w:jc w:val="center"/>
            </w:pPr>
            <w:r w:rsidRPr="00380B09">
              <w:t>Relapsed/refractory CLL</w:t>
            </w:r>
          </w:p>
        </w:tc>
        <w:tc>
          <w:tcPr>
            <w:tcW w:w="0" w:type="auto"/>
            <w:shd w:val="clear" w:color="auto" w:fill="auto"/>
            <w:vAlign w:val="center"/>
          </w:tcPr>
          <w:p w14:paraId="4E7BED76" w14:textId="300B547E" w:rsidR="00AF6428" w:rsidRPr="00380B09" w:rsidRDefault="000A1236" w:rsidP="00EC5836">
            <w:pPr>
              <w:pStyle w:val="COMTabletext"/>
              <w:jc w:val="center"/>
            </w:pPr>
            <w:r w:rsidRPr="00380B09">
              <w:t>Overall response rate, progression-free survival, overall survival, adverse events</w:t>
            </w:r>
          </w:p>
        </w:tc>
      </w:tr>
    </w:tbl>
    <w:p w14:paraId="560080D2" w14:textId="45546A81" w:rsidR="00045017" w:rsidRPr="00B31282" w:rsidRDefault="00045017" w:rsidP="00EC5836">
      <w:pPr>
        <w:pStyle w:val="COMTablefooter"/>
      </w:pPr>
      <w:r w:rsidRPr="00B31282">
        <w:t xml:space="preserve">Source: </w:t>
      </w:r>
      <w:r w:rsidR="00840D10" w:rsidRPr="00B31282">
        <w:t>Table 2-8, p50; Table 2-9, p51; Table 2-10, p52; Table 2-11, p53; Table 2-12, p54; Table 2-16, p57; Table 2-21, p103 of the submission</w:t>
      </w:r>
      <w:r w:rsidR="00FB5FC7" w:rsidRPr="00B31282">
        <w:t>.</w:t>
      </w:r>
    </w:p>
    <w:p w14:paraId="1095487C" w14:textId="2EE5EA25" w:rsidR="00620C25" w:rsidRPr="00B31282" w:rsidRDefault="00840D10" w:rsidP="00EC5836">
      <w:pPr>
        <w:pStyle w:val="COMTablefooter"/>
        <w:rPr>
          <w:sz w:val="20"/>
        </w:rPr>
      </w:pPr>
      <w:r w:rsidRPr="00B31282">
        <w:t xml:space="preserve">Abbreviation: </w:t>
      </w:r>
      <w:r w:rsidR="00FB5FC7" w:rsidRPr="00B31282">
        <w:t xml:space="preserve">CLL, chronic lymphocytic leukaemia; </w:t>
      </w:r>
      <w:r w:rsidR="00620C25" w:rsidRPr="00B31282">
        <w:t>O</w:t>
      </w:r>
      <w:r w:rsidRPr="00B31282">
        <w:t>L,</w:t>
      </w:r>
      <w:r w:rsidR="00620C25" w:rsidRPr="00B31282">
        <w:t xml:space="preserve"> open label</w:t>
      </w:r>
      <w:r w:rsidRPr="00B31282">
        <w:t xml:space="preserve">; </w:t>
      </w:r>
      <w:r w:rsidR="00620C25" w:rsidRPr="00B31282">
        <w:t>R</w:t>
      </w:r>
      <w:r w:rsidRPr="00B31282">
        <w:t xml:space="preserve">, </w:t>
      </w:r>
      <w:r w:rsidR="00620C25" w:rsidRPr="00B31282">
        <w:t>randomised</w:t>
      </w:r>
      <w:r w:rsidR="00FB5FC7" w:rsidRPr="00B31282">
        <w:t>; SLL, small lymphocytic lymphoma</w:t>
      </w:r>
      <w:r w:rsidR="00620C25" w:rsidRPr="00B31282">
        <w:t>.</w:t>
      </w:r>
    </w:p>
    <w:p w14:paraId="6F9E62DA" w14:textId="77777777" w:rsidR="002F637C" w:rsidRPr="00380B09" w:rsidRDefault="00FB5FC7" w:rsidP="00EC5836">
      <w:pPr>
        <w:pStyle w:val="COMexecsumnumberedpara"/>
        <w:rPr>
          <w:iCs/>
        </w:rPr>
      </w:pPr>
      <w:r w:rsidRPr="00380B09">
        <w:rPr>
          <w:iCs/>
        </w:rPr>
        <w:t xml:space="preserve">The ALPINE and ELEVATE-RR trials had an unclear risk of bias. As the trials were open label, investigators, patients, and study personnel were not blinded to treatment allocation, which may have influenced the treatment of patients in the trial. Assessments made by study investigators (who were not blinded to treatment allocation) were at high risk of bias. However, each trial also included blinded assessments by an independent review committee. Assessments by the independent review committee were considered to be at a lower risk of bias. </w:t>
      </w:r>
    </w:p>
    <w:p w14:paraId="30703D67" w14:textId="1BBBE009" w:rsidR="00A8054E" w:rsidRPr="00B31282" w:rsidRDefault="00A8054E" w:rsidP="00A8054E">
      <w:pPr>
        <w:pStyle w:val="COMexecsumnumberedpara"/>
      </w:pPr>
      <w:r w:rsidRPr="00B31282">
        <w:t xml:space="preserve">The submission noted that there is no widely accepted minimal clinically important difference for progression-free survival, overall survival, or time to next treatment in this disease area. </w:t>
      </w:r>
    </w:p>
    <w:p w14:paraId="2192C08C" w14:textId="6C206E46" w:rsidR="00A8054E" w:rsidRPr="00B31282" w:rsidRDefault="00A8054E" w:rsidP="00A8054E">
      <w:pPr>
        <w:pStyle w:val="COMexecsumnumberedpara"/>
      </w:pPr>
      <w:r w:rsidRPr="00B31282">
        <w:t>The submission noted that previous PBAC submissions for CLL/SLL treatments have not nominated specific criteria for non-inferiority and, given the small sample sizes of trials in the CLL setting, it can be difficult to conclusively establish non-inferiority, particularly in the absence of head-to-head data. No formal non</w:t>
      </w:r>
      <w:r w:rsidR="00986692">
        <w:t>-</w:t>
      </w:r>
      <w:r w:rsidRPr="00B31282">
        <w:t>inferiority margin was applied in the submission for progression-free survival.</w:t>
      </w:r>
    </w:p>
    <w:p w14:paraId="4A4FE085" w14:textId="1C5613CC" w:rsidR="00B60939" w:rsidRPr="00B31282" w:rsidRDefault="00B60939" w:rsidP="00EC5836">
      <w:pPr>
        <w:pStyle w:val="COMH2-non-numbered"/>
      </w:pPr>
      <w:bookmarkStart w:id="21" w:name="_Toc22897641"/>
      <w:bookmarkStart w:id="22" w:name="_Toc124421151"/>
      <w:r w:rsidRPr="00B31282">
        <w:t>Comparative effectiveness</w:t>
      </w:r>
      <w:bookmarkEnd w:id="21"/>
      <w:bookmarkEnd w:id="22"/>
    </w:p>
    <w:p w14:paraId="53171845" w14:textId="37F9D74C" w:rsidR="00AB09CF" w:rsidRPr="00991026" w:rsidRDefault="00AB09CF" w:rsidP="00991026">
      <w:pPr>
        <w:pStyle w:val="COMH3"/>
        <w:spacing w:after="120"/>
        <w:outlineLvl w:val="2"/>
        <w:rPr>
          <w:sz w:val="24"/>
          <w:szCs w:val="22"/>
        </w:rPr>
      </w:pPr>
      <w:r w:rsidRPr="00991026">
        <w:rPr>
          <w:sz w:val="24"/>
          <w:szCs w:val="22"/>
        </w:rPr>
        <w:t>Head-to-head comparison of zanubrutinib versus ibrutinib</w:t>
      </w:r>
    </w:p>
    <w:p w14:paraId="696ECF35" w14:textId="77777777" w:rsidR="00472981" w:rsidRDefault="00FA33D8">
      <w:pPr>
        <w:jc w:val="left"/>
        <w:rPr>
          <w:rFonts w:ascii="Arial Narrow" w:eastAsiaTheme="majorEastAsia" w:hAnsi="Arial Narrow" w:cstheme="majorBidi"/>
          <w:b/>
          <w:bCs/>
          <w:sz w:val="20"/>
        </w:rPr>
      </w:pPr>
      <w:r w:rsidRPr="00B31282">
        <w:t xml:space="preserve">The result for the primary and secondary outcomes of the ALPINE trial, overall response rate by investigator assessment and independent central review respectively, are summarised </w:t>
      </w:r>
      <w:r w:rsidR="00EF1109" w:rsidRPr="00B31282">
        <w:t xml:space="preserve">in </w:t>
      </w:r>
      <w:r w:rsidR="00EF1109" w:rsidRPr="00B31282">
        <w:fldChar w:fldCharType="begin"/>
      </w:r>
      <w:r w:rsidR="00EF1109" w:rsidRPr="00B31282">
        <w:instrText xml:space="preserve"> REF _Ref121756267 \h </w:instrText>
      </w:r>
      <w:r w:rsidR="00EF1109" w:rsidRPr="00B31282">
        <w:fldChar w:fldCharType="separate"/>
      </w:r>
    </w:p>
    <w:p w14:paraId="0F8AA3EC" w14:textId="125B206C" w:rsidR="00FA33D8" w:rsidRPr="00B31282" w:rsidRDefault="00472981" w:rsidP="00EC5836">
      <w:pPr>
        <w:pStyle w:val="COMexecsumnumberedpara"/>
      </w:pPr>
      <w:r w:rsidRPr="00B31282">
        <w:t xml:space="preserve">Table </w:t>
      </w:r>
      <w:r>
        <w:rPr>
          <w:noProof/>
        </w:rPr>
        <w:t>4</w:t>
      </w:r>
      <w:r w:rsidR="00EF1109" w:rsidRPr="00B31282">
        <w:rPr>
          <w:snapToGrid/>
        </w:rPr>
        <w:fldChar w:fldCharType="end"/>
      </w:r>
      <w:r w:rsidR="00EF1109" w:rsidRPr="00B31282">
        <w:rPr>
          <w:snapToGrid/>
        </w:rPr>
        <w:t xml:space="preserve"> </w:t>
      </w:r>
      <w:r w:rsidR="00FA33D8" w:rsidRPr="00B31282">
        <w:rPr>
          <w:snapToGrid/>
        </w:rPr>
        <w:t>below.</w:t>
      </w:r>
    </w:p>
    <w:p w14:paraId="30062DED" w14:textId="0E1AB054" w:rsidR="0011185F" w:rsidRDefault="0011185F">
      <w:pPr>
        <w:jc w:val="left"/>
        <w:rPr>
          <w:rFonts w:ascii="Arial Narrow" w:eastAsiaTheme="majorEastAsia" w:hAnsi="Arial Narrow" w:cstheme="majorBidi"/>
          <w:b/>
          <w:bCs/>
          <w:sz w:val="20"/>
        </w:rPr>
      </w:pPr>
      <w:bookmarkStart w:id="23" w:name="_Ref121756267"/>
    </w:p>
    <w:p w14:paraId="069D5AB3" w14:textId="50213084" w:rsidR="00FA33D8" w:rsidRPr="00B31282" w:rsidRDefault="00EF1109" w:rsidP="0093286A">
      <w:pPr>
        <w:pStyle w:val="Caption"/>
      </w:pPr>
      <w:r w:rsidRPr="00B31282">
        <w:t xml:space="preserve">Table </w:t>
      </w:r>
      <w:r>
        <w:fldChar w:fldCharType="begin"/>
      </w:r>
      <w:r>
        <w:instrText>SEQ Table \* ARABIC</w:instrText>
      </w:r>
      <w:r>
        <w:fldChar w:fldCharType="separate"/>
      </w:r>
      <w:r w:rsidR="00472981">
        <w:rPr>
          <w:noProof/>
        </w:rPr>
        <w:t>4</w:t>
      </w:r>
      <w:r>
        <w:fldChar w:fldCharType="end"/>
      </w:r>
      <w:bookmarkEnd w:id="23"/>
      <w:r w:rsidR="00FA33D8" w:rsidRPr="00B31282">
        <w:t>: Overall response rate per investigator assessment and independent review committee (ITT analysis set); ALPINE</w:t>
      </w:r>
    </w:p>
    <w:tbl>
      <w:tblPr>
        <w:tblStyle w:val="TableGrid"/>
        <w:tblW w:w="5000" w:type="pct"/>
        <w:tblLook w:val="04A0" w:firstRow="1" w:lastRow="0" w:firstColumn="1" w:lastColumn="0" w:noHBand="0" w:noVBand="1"/>
      </w:tblPr>
      <w:tblGrid>
        <w:gridCol w:w="2385"/>
        <w:gridCol w:w="1658"/>
        <w:gridCol w:w="1658"/>
        <w:gridCol w:w="1657"/>
        <w:gridCol w:w="1659"/>
      </w:tblGrid>
      <w:tr w:rsidR="00FA33D8" w:rsidRPr="00B31282" w14:paraId="4F6917AD" w14:textId="77777777" w:rsidTr="00FA33D8">
        <w:tc>
          <w:tcPr>
            <w:tcW w:w="1322" w:type="pct"/>
          </w:tcPr>
          <w:p w14:paraId="5DAD3402" w14:textId="77777777" w:rsidR="00FA33D8" w:rsidRPr="00B31282" w:rsidRDefault="00FA33D8" w:rsidP="00D12BAD">
            <w:pPr>
              <w:rPr>
                <w:rFonts w:ascii="Arial Narrow" w:hAnsi="Arial Narrow"/>
                <w:sz w:val="20"/>
                <w:szCs w:val="20"/>
              </w:rPr>
            </w:pPr>
          </w:p>
        </w:tc>
        <w:tc>
          <w:tcPr>
            <w:tcW w:w="919" w:type="pct"/>
            <w:vAlign w:val="center"/>
          </w:tcPr>
          <w:p w14:paraId="58B1064B" w14:textId="77777777" w:rsidR="00FA33D8" w:rsidRPr="00B31282" w:rsidRDefault="00FA33D8" w:rsidP="00D12BAD">
            <w:pPr>
              <w:pStyle w:val="COMTabletext"/>
              <w:jc w:val="center"/>
              <w:rPr>
                <w:b/>
                <w:bCs w:val="0"/>
                <w:szCs w:val="20"/>
              </w:rPr>
            </w:pPr>
            <w:r w:rsidRPr="00B31282">
              <w:rPr>
                <w:b/>
                <w:bCs w:val="0"/>
                <w:szCs w:val="20"/>
              </w:rPr>
              <w:t>Zanubrutinib</w:t>
            </w:r>
          </w:p>
          <w:p w14:paraId="1A4B55B9" w14:textId="77777777" w:rsidR="00FA33D8" w:rsidRPr="00B31282" w:rsidRDefault="00FA33D8" w:rsidP="00D12BAD">
            <w:pPr>
              <w:jc w:val="center"/>
              <w:rPr>
                <w:rFonts w:ascii="Arial Narrow" w:hAnsi="Arial Narrow"/>
                <w:sz w:val="20"/>
                <w:szCs w:val="20"/>
              </w:rPr>
            </w:pPr>
            <w:r w:rsidRPr="00B31282">
              <w:rPr>
                <w:rFonts w:ascii="Arial Narrow" w:hAnsi="Arial Narrow"/>
                <w:b/>
                <w:sz w:val="20"/>
                <w:szCs w:val="20"/>
              </w:rPr>
              <w:t>n/N (%)</w:t>
            </w:r>
          </w:p>
        </w:tc>
        <w:tc>
          <w:tcPr>
            <w:tcW w:w="919" w:type="pct"/>
            <w:vAlign w:val="center"/>
          </w:tcPr>
          <w:p w14:paraId="572451F4" w14:textId="77777777" w:rsidR="00FA33D8" w:rsidRPr="00B31282" w:rsidRDefault="00FA33D8" w:rsidP="00D12BAD">
            <w:pPr>
              <w:pStyle w:val="COMTabletext"/>
              <w:jc w:val="center"/>
              <w:rPr>
                <w:b/>
                <w:bCs w:val="0"/>
                <w:szCs w:val="20"/>
              </w:rPr>
            </w:pPr>
            <w:r w:rsidRPr="00B31282">
              <w:rPr>
                <w:b/>
                <w:bCs w:val="0"/>
                <w:szCs w:val="20"/>
              </w:rPr>
              <w:t>Ibrutinib</w:t>
            </w:r>
          </w:p>
          <w:p w14:paraId="2768DCE0" w14:textId="77777777" w:rsidR="00FA33D8" w:rsidRPr="00B31282" w:rsidRDefault="00FA33D8" w:rsidP="00D12BAD">
            <w:pPr>
              <w:jc w:val="center"/>
              <w:rPr>
                <w:rFonts w:ascii="Arial Narrow" w:hAnsi="Arial Narrow"/>
                <w:sz w:val="20"/>
                <w:szCs w:val="20"/>
              </w:rPr>
            </w:pPr>
            <w:r w:rsidRPr="00B31282">
              <w:rPr>
                <w:rFonts w:ascii="Arial Narrow" w:hAnsi="Arial Narrow"/>
                <w:b/>
                <w:sz w:val="20"/>
                <w:szCs w:val="20"/>
              </w:rPr>
              <w:t>n/N (%)</w:t>
            </w:r>
          </w:p>
        </w:tc>
        <w:tc>
          <w:tcPr>
            <w:tcW w:w="919" w:type="pct"/>
            <w:vAlign w:val="center"/>
          </w:tcPr>
          <w:p w14:paraId="7CEE520A" w14:textId="77777777" w:rsidR="00FA33D8" w:rsidRPr="00B31282" w:rsidRDefault="00FA33D8" w:rsidP="00D12BAD">
            <w:pPr>
              <w:jc w:val="center"/>
              <w:rPr>
                <w:rFonts w:ascii="Arial Narrow" w:hAnsi="Arial Narrow"/>
                <w:sz w:val="20"/>
                <w:szCs w:val="20"/>
              </w:rPr>
            </w:pPr>
            <w:r w:rsidRPr="00B31282">
              <w:rPr>
                <w:rFonts w:ascii="Arial Narrow" w:hAnsi="Arial Narrow"/>
                <w:b/>
                <w:sz w:val="20"/>
                <w:szCs w:val="20"/>
              </w:rPr>
              <w:t>Relative risk (95% CI)</w:t>
            </w:r>
          </w:p>
        </w:tc>
        <w:tc>
          <w:tcPr>
            <w:tcW w:w="920" w:type="pct"/>
            <w:vAlign w:val="center"/>
          </w:tcPr>
          <w:p w14:paraId="5DCE5393" w14:textId="77777777" w:rsidR="00FA33D8" w:rsidRPr="00B31282" w:rsidRDefault="00FA33D8" w:rsidP="00D12BAD">
            <w:pPr>
              <w:jc w:val="center"/>
              <w:rPr>
                <w:rFonts w:ascii="Arial Narrow" w:hAnsi="Arial Narrow"/>
                <w:sz w:val="20"/>
                <w:szCs w:val="20"/>
              </w:rPr>
            </w:pPr>
            <w:r w:rsidRPr="00B31282">
              <w:rPr>
                <w:rFonts w:ascii="Arial Narrow" w:hAnsi="Arial Narrow"/>
                <w:b/>
                <w:sz w:val="20"/>
                <w:szCs w:val="20"/>
              </w:rPr>
              <w:t>Risk difference (95% CI)</w:t>
            </w:r>
          </w:p>
        </w:tc>
      </w:tr>
      <w:tr w:rsidR="00FA33D8" w:rsidRPr="00B31282" w14:paraId="7EAFD61D" w14:textId="77777777" w:rsidTr="00FA33D8">
        <w:tc>
          <w:tcPr>
            <w:tcW w:w="1322" w:type="pct"/>
            <w:vAlign w:val="center"/>
          </w:tcPr>
          <w:p w14:paraId="0DBE298F" w14:textId="77777777" w:rsidR="00FA33D8" w:rsidRPr="00B31282" w:rsidRDefault="00FA33D8" w:rsidP="00D12BAD">
            <w:pPr>
              <w:jc w:val="left"/>
              <w:rPr>
                <w:rFonts w:ascii="Arial Narrow" w:hAnsi="Arial Narrow"/>
                <w:bCs/>
                <w:sz w:val="20"/>
                <w:szCs w:val="20"/>
              </w:rPr>
            </w:pPr>
            <w:r w:rsidRPr="00B31282">
              <w:rPr>
                <w:rFonts w:ascii="Arial Narrow" w:hAnsi="Arial Narrow"/>
                <w:bCs/>
                <w:sz w:val="20"/>
                <w:szCs w:val="20"/>
              </w:rPr>
              <w:t>Overall response rate by investigator assessment</w:t>
            </w:r>
          </w:p>
        </w:tc>
        <w:tc>
          <w:tcPr>
            <w:tcW w:w="919" w:type="pct"/>
            <w:vAlign w:val="center"/>
          </w:tcPr>
          <w:p w14:paraId="534D0107"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260/327 (79.5)</w:t>
            </w:r>
          </w:p>
        </w:tc>
        <w:tc>
          <w:tcPr>
            <w:tcW w:w="919" w:type="pct"/>
            <w:vAlign w:val="center"/>
          </w:tcPr>
          <w:p w14:paraId="4C2D5E95"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231/325 (71.1)</w:t>
            </w:r>
          </w:p>
        </w:tc>
        <w:tc>
          <w:tcPr>
            <w:tcW w:w="919" w:type="pct"/>
            <w:vAlign w:val="center"/>
          </w:tcPr>
          <w:p w14:paraId="03924955"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1.12 (1.02, 1.22)*</w:t>
            </w:r>
          </w:p>
        </w:tc>
        <w:tc>
          <w:tcPr>
            <w:tcW w:w="920" w:type="pct"/>
            <w:vAlign w:val="center"/>
          </w:tcPr>
          <w:p w14:paraId="1E13F522"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8.4 (1.6, 15.2)</w:t>
            </w:r>
          </w:p>
        </w:tc>
      </w:tr>
      <w:tr w:rsidR="00FA33D8" w:rsidRPr="00B31282" w14:paraId="4369DE9F" w14:textId="77777777" w:rsidTr="00FA33D8">
        <w:tc>
          <w:tcPr>
            <w:tcW w:w="1322" w:type="pct"/>
            <w:vAlign w:val="center"/>
          </w:tcPr>
          <w:p w14:paraId="3AB622A7" w14:textId="77777777" w:rsidR="00FA33D8" w:rsidRPr="00B31282" w:rsidRDefault="00FA33D8" w:rsidP="00D12BAD">
            <w:pPr>
              <w:jc w:val="left"/>
              <w:rPr>
                <w:rFonts w:ascii="Arial Narrow" w:hAnsi="Arial Narrow"/>
                <w:bCs/>
                <w:sz w:val="20"/>
                <w:szCs w:val="20"/>
              </w:rPr>
            </w:pPr>
            <w:r w:rsidRPr="00B31282">
              <w:rPr>
                <w:rFonts w:ascii="Arial Narrow" w:hAnsi="Arial Narrow"/>
                <w:bCs/>
                <w:sz w:val="20"/>
                <w:szCs w:val="20"/>
              </w:rPr>
              <w:t>Overall response rate by independent central review</w:t>
            </w:r>
          </w:p>
        </w:tc>
        <w:tc>
          <w:tcPr>
            <w:tcW w:w="919" w:type="pct"/>
            <w:vAlign w:val="center"/>
          </w:tcPr>
          <w:p w14:paraId="785C2DEA"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263/327 (80.4)</w:t>
            </w:r>
          </w:p>
        </w:tc>
        <w:tc>
          <w:tcPr>
            <w:tcW w:w="919" w:type="pct"/>
            <w:vAlign w:val="center"/>
          </w:tcPr>
          <w:p w14:paraId="035A74A1"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237/325 (72.9)</w:t>
            </w:r>
          </w:p>
        </w:tc>
        <w:tc>
          <w:tcPr>
            <w:tcW w:w="919" w:type="pct"/>
            <w:vAlign w:val="center"/>
          </w:tcPr>
          <w:p w14:paraId="4038F977"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1.10 (1.01, 1.20)*</w:t>
            </w:r>
          </w:p>
        </w:tc>
        <w:tc>
          <w:tcPr>
            <w:tcW w:w="920" w:type="pct"/>
            <w:vAlign w:val="center"/>
          </w:tcPr>
          <w:p w14:paraId="64C70DD0" w14:textId="77777777" w:rsidR="00FA33D8" w:rsidRPr="00B31282" w:rsidRDefault="00FA33D8" w:rsidP="00D12BAD">
            <w:pPr>
              <w:jc w:val="center"/>
              <w:rPr>
                <w:rFonts w:ascii="Arial Narrow" w:hAnsi="Arial Narrow"/>
                <w:sz w:val="20"/>
                <w:szCs w:val="20"/>
              </w:rPr>
            </w:pPr>
            <w:r w:rsidRPr="00B31282">
              <w:rPr>
                <w:rFonts w:ascii="Arial Narrow" w:hAnsi="Arial Narrow"/>
                <w:sz w:val="20"/>
                <w:szCs w:val="20"/>
              </w:rPr>
              <w:t>7.5 (1.04, 13.97)</w:t>
            </w:r>
          </w:p>
        </w:tc>
      </w:tr>
    </w:tbl>
    <w:p w14:paraId="4F8E4F7B" w14:textId="16AFFAFC" w:rsidR="00FA33D8" w:rsidRPr="00B31282" w:rsidRDefault="00FA33D8" w:rsidP="00FA33D8">
      <w:pPr>
        <w:pStyle w:val="COMTablefooter"/>
      </w:pPr>
      <w:r w:rsidRPr="00B31282">
        <w:t>Source: Table 2-19, p63; Table 2-20, p65 of the submission</w:t>
      </w:r>
    </w:p>
    <w:p w14:paraId="218BF3BB" w14:textId="393F60B8" w:rsidR="00FA33D8" w:rsidRPr="00B31282" w:rsidRDefault="00FA33D8" w:rsidP="00FA33D8">
      <w:pPr>
        <w:pStyle w:val="COMTablefooter"/>
      </w:pPr>
      <w:r w:rsidRPr="00B31282">
        <w:rPr>
          <w:szCs w:val="18"/>
        </w:rPr>
        <w:t>* Noninferiority 1-sided p-value = &lt;</w:t>
      </w:r>
      <w:r w:rsidR="00B31282">
        <w:rPr>
          <w:szCs w:val="18"/>
        </w:rPr>
        <w:t>0</w:t>
      </w:r>
      <w:r w:rsidRPr="00B31282">
        <w:rPr>
          <w:szCs w:val="18"/>
        </w:rPr>
        <w:t>.0001</w:t>
      </w:r>
    </w:p>
    <w:p w14:paraId="4FF5C205" w14:textId="71A35F7F" w:rsidR="00FA33D8" w:rsidRPr="00B31282" w:rsidRDefault="009E1291" w:rsidP="00EC5836">
      <w:pPr>
        <w:pStyle w:val="COMexecsumnumberedpara"/>
      </w:pPr>
      <w:r w:rsidRPr="00B31282">
        <w:t>The overall response rate by investigator assessment was statistically significantly higher for patients in the zanubrutinib arm (79.5% [95% CI: 74.7% to 83.8%]) compared with the ibrutinib arm (71.1% [95% CI: 65.8% to 75.9%]). The submission noted that because non</w:t>
      </w:r>
      <w:r w:rsidR="00986692">
        <w:t>-</w:t>
      </w:r>
      <w:r w:rsidRPr="00B31282">
        <w:t>inferiority and superiority had already been met at the previous interim analysis, p-values for the current analysis are stated to be provided for descriptive purposes only. The interim analysis was not provided with the submission. Results for overall response rate assessed by independent central review were generally consistent with the investigator-assessed overall response rate.</w:t>
      </w:r>
    </w:p>
    <w:p w14:paraId="36E26EB0" w14:textId="2FF151FB" w:rsidR="009E1291" w:rsidRPr="00B31282" w:rsidRDefault="00EF1109" w:rsidP="00EC5836">
      <w:pPr>
        <w:pStyle w:val="COMexecsumnumberedpara"/>
      </w:pPr>
      <w:r w:rsidRPr="00B31282">
        <w:fldChar w:fldCharType="begin"/>
      </w:r>
      <w:r w:rsidRPr="00B31282">
        <w:instrText xml:space="preserve"> REF _Ref121756296 \h </w:instrText>
      </w:r>
      <w:r w:rsidRPr="00B31282">
        <w:fldChar w:fldCharType="separate"/>
      </w:r>
      <w:r w:rsidR="00472981" w:rsidRPr="00B31282">
        <w:t xml:space="preserve">Figure </w:t>
      </w:r>
      <w:r w:rsidR="00472981">
        <w:rPr>
          <w:noProof/>
        </w:rPr>
        <w:t>1</w:t>
      </w:r>
      <w:r w:rsidRPr="00B31282">
        <w:fldChar w:fldCharType="end"/>
      </w:r>
      <w:r w:rsidRPr="00B31282">
        <w:t xml:space="preserve"> </w:t>
      </w:r>
      <w:r w:rsidR="00C55819" w:rsidRPr="00B31282">
        <w:t>presents the Kaplan-Meier plot of independent review committee-assessed progression-free survival for the ALPINE trial.</w:t>
      </w:r>
    </w:p>
    <w:p w14:paraId="30079D89" w14:textId="22B5BDF1" w:rsidR="00C55819" w:rsidRPr="00B31282" w:rsidRDefault="00EF1109" w:rsidP="0093286A">
      <w:pPr>
        <w:pStyle w:val="Caption"/>
      </w:pPr>
      <w:bookmarkStart w:id="24" w:name="_Ref121756296"/>
      <w:r w:rsidRPr="00B31282">
        <w:t xml:space="preserve">Figure </w:t>
      </w:r>
      <w:r>
        <w:fldChar w:fldCharType="begin"/>
      </w:r>
      <w:r>
        <w:instrText>SEQ Figure \* ARABIC</w:instrText>
      </w:r>
      <w:r>
        <w:fldChar w:fldCharType="separate"/>
      </w:r>
      <w:r w:rsidR="00472981">
        <w:rPr>
          <w:noProof/>
        </w:rPr>
        <w:t>1</w:t>
      </w:r>
      <w:r>
        <w:fldChar w:fldCharType="end"/>
      </w:r>
      <w:bookmarkEnd w:id="24"/>
      <w:r w:rsidR="00C55819" w:rsidRPr="00B31282">
        <w:rPr>
          <w:rStyle w:val="normaltextrun"/>
        </w:rPr>
        <w:t>: Kaplan-Meier plot of independent central review-assessed progression-free survival results for the ALPINE trial (ITT analysis set)</w:t>
      </w:r>
      <w:r w:rsidR="00C55819" w:rsidRPr="00B31282">
        <w:rPr>
          <w:rStyle w:val="eop"/>
        </w:rPr>
        <w:t> </w:t>
      </w:r>
    </w:p>
    <w:p w14:paraId="2F3359FA" w14:textId="77777777" w:rsidR="00C55819" w:rsidRPr="00B31282" w:rsidRDefault="00C55819" w:rsidP="00C55819">
      <w:pPr>
        <w:rPr>
          <w:color w:val="3366FF"/>
        </w:rPr>
      </w:pPr>
      <w:r w:rsidRPr="00B31282">
        <w:rPr>
          <w:noProof/>
        </w:rPr>
        <w:drawing>
          <wp:inline distT="0" distB="0" distL="0" distR="0" wp14:anchorId="503C99A1" wp14:editId="316F9E66">
            <wp:extent cx="5732145" cy="4134999"/>
            <wp:effectExtent l="0" t="0" r="1905" b="0"/>
            <wp:docPr id="2" name="Picture 2" descr="Figure 1: Kaplan-Meier plot of independent central review-assessed progression-free survival results for the ALPINE trial (ITT analysis 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plot of independent central review-assessed progression-free survival results for the ALPINE trial (ITT analysis set) "/>
                    <pic:cNvPicPr/>
                  </pic:nvPicPr>
                  <pic:blipFill>
                    <a:blip r:embed="rId8"/>
                    <a:stretch>
                      <a:fillRect/>
                    </a:stretch>
                  </pic:blipFill>
                  <pic:spPr>
                    <a:xfrm>
                      <a:off x="0" y="0"/>
                      <a:ext cx="5732145" cy="4134999"/>
                    </a:xfrm>
                    <a:prstGeom prst="rect">
                      <a:avLst/>
                    </a:prstGeom>
                  </pic:spPr>
                </pic:pic>
              </a:graphicData>
            </a:graphic>
          </wp:inline>
        </w:drawing>
      </w:r>
    </w:p>
    <w:p w14:paraId="600F910D" w14:textId="783C4D37" w:rsidR="00C55819" w:rsidRPr="00B31282" w:rsidRDefault="00C55819" w:rsidP="00C55819">
      <w:pPr>
        <w:pStyle w:val="COMTablefooter"/>
      </w:pPr>
      <w:r w:rsidRPr="00B31282">
        <w:t>Source: Figure 2-9, p67 of the submission</w:t>
      </w:r>
    </w:p>
    <w:p w14:paraId="5B8F395C" w14:textId="0BE4F507" w:rsidR="00C55819" w:rsidRPr="00B31282" w:rsidRDefault="00EF1109" w:rsidP="00EC5836">
      <w:pPr>
        <w:pStyle w:val="COMexecsumnumberedpara"/>
      </w:pPr>
      <w:r w:rsidRPr="00B31282">
        <w:fldChar w:fldCharType="begin"/>
      </w:r>
      <w:r w:rsidRPr="00B31282">
        <w:instrText xml:space="preserve"> REF _Ref121756484 \h </w:instrText>
      </w:r>
      <w:r w:rsidRPr="00B31282">
        <w:fldChar w:fldCharType="separate"/>
      </w:r>
      <w:r w:rsidR="00472981" w:rsidRPr="00B31282">
        <w:t xml:space="preserve">Table </w:t>
      </w:r>
      <w:r w:rsidR="00472981">
        <w:rPr>
          <w:noProof/>
        </w:rPr>
        <w:t>5</w:t>
      </w:r>
      <w:r w:rsidRPr="00B31282">
        <w:fldChar w:fldCharType="end"/>
      </w:r>
      <w:r w:rsidR="00C55819" w:rsidRPr="00B31282">
        <w:t xml:space="preserve"> summarises the results for progression-free survival for the ALPINE trial.</w:t>
      </w:r>
    </w:p>
    <w:p w14:paraId="2C3B47C9" w14:textId="060BF9A3" w:rsidR="00C55819" w:rsidRPr="00B31282" w:rsidRDefault="00EF1109" w:rsidP="0093286A">
      <w:pPr>
        <w:pStyle w:val="Caption"/>
        <w:rPr>
          <w:rFonts w:ascii="Segoe UI" w:hAnsi="Segoe UI"/>
          <w:sz w:val="18"/>
          <w:szCs w:val="18"/>
        </w:rPr>
      </w:pPr>
      <w:bookmarkStart w:id="25" w:name="_Ref121756484"/>
      <w:r w:rsidRPr="00B31282">
        <w:t xml:space="preserve">Table </w:t>
      </w:r>
      <w:r>
        <w:fldChar w:fldCharType="begin"/>
      </w:r>
      <w:r>
        <w:instrText>SEQ Table \* ARABIC</w:instrText>
      </w:r>
      <w:r>
        <w:fldChar w:fldCharType="separate"/>
      </w:r>
      <w:r w:rsidR="00472981">
        <w:rPr>
          <w:noProof/>
        </w:rPr>
        <w:t>5</w:t>
      </w:r>
      <w:r>
        <w:fldChar w:fldCharType="end"/>
      </w:r>
      <w:bookmarkEnd w:id="25"/>
      <w:r w:rsidR="00C55819" w:rsidRPr="00B31282">
        <w:t>: Progression-free survival results for the ALPINE trial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2610"/>
        <w:gridCol w:w="2625"/>
      </w:tblGrid>
      <w:tr w:rsidR="00C55819" w:rsidRPr="00B31282" w14:paraId="4CC3328F"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3DBB77" w14:textId="77777777" w:rsidR="00C55819" w:rsidRPr="00B31282" w:rsidRDefault="00C55819" w:rsidP="00EF1109">
            <w:pPr>
              <w:keepNext/>
              <w:keepLines/>
              <w:textAlignment w:val="baseline"/>
              <w:rPr>
                <w:rFonts w:ascii="Arial Narrow" w:hAnsi="Arial Narrow" w:cs="Segoe UI"/>
                <w:sz w:val="20"/>
                <w:szCs w:val="20"/>
              </w:rPr>
            </w:pPr>
          </w:p>
        </w:tc>
        <w:tc>
          <w:tcPr>
            <w:tcW w:w="2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4DAF14" w14:textId="77777777" w:rsidR="00C55819" w:rsidRPr="00B31282" w:rsidRDefault="00C55819" w:rsidP="00EF1109">
            <w:pPr>
              <w:keepNext/>
              <w:keepLines/>
              <w:jc w:val="center"/>
              <w:textAlignment w:val="baseline"/>
              <w:rPr>
                <w:rFonts w:ascii="Arial Narrow" w:hAnsi="Arial Narrow" w:cs="Times New Roman"/>
                <w:sz w:val="20"/>
                <w:szCs w:val="20"/>
              </w:rPr>
            </w:pPr>
            <w:r w:rsidRPr="00B31282">
              <w:rPr>
                <w:rFonts w:ascii="Arial Narrow" w:hAnsi="Arial Narrow" w:cs="Times New Roman"/>
                <w:b/>
                <w:bCs/>
                <w:sz w:val="20"/>
                <w:szCs w:val="20"/>
              </w:rPr>
              <w:t>Zanubrutinib </w:t>
            </w:r>
            <w:r w:rsidRPr="00B31282">
              <w:rPr>
                <w:rFonts w:ascii="Arial Narrow" w:hAnsi="Arial Narrow" w:cs="Times New Roman"/>
                <w:sz w:val="20"/>
                <w:szCs w:val="20"/>
              </w:rPr>
              <w:t> </w:t>
            </w:r>
          </w:p>
          <w:p w14:paraId="4F426D01"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Times New Roman"/>
                <w:b/>
                <w:bCs/>
                <w:sz w:val="20"/>
                <w:szCs w:val="20"/>
              </w:rPr>
              <w:t>(N=327)</w:t>
            </w:r>
            <w:r w:rsidRPr="00B31282">
              <w:rPr>
                <w:rFonts w:ascii="Arial Narrow" w:hAnsi="Arial Narrow" w:cs="Times New Roman"/>
                <w:sz w:val="20"/>
                <w:szCs w:val="20"/>
              </w:rPr>
              <w:t> </w:t>
            </w:r>
          </w:p>
        </w:tc>
        <w:tc>
          <w:tcPr>
            <w:tcW w:w="26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5C97EE" w14:textId="77777777" w:rsidR="00C55819" w:rsidRPr="00B31282" w:rsidRDefault="00C55819" w:rsidP="00EF1109">
            <w:pPr>
              <w:keepNext/>
              <w:keepLines/>
              <w:jc w:val="center"/>
              <w:textAlignment w:val="baseline"/>
              <w:rPr>
                <w:rFonts w:ascii="Arial Narrow" w:hAnsi="Arial Narrow" w:cs="Times New Roman"/>
                <w:sz w:val="20"/>
                <w:szCs w:val="20"/>
              </w:rPr>
            </w:pPr>
            <w:r w:rsidRPr="00B31282">
              <w:rPr>
                <w:rFonts w:ascii="Arial Narrow" w:hAnsi="Arial Narrow" w:cs="Times New Roman"/>
                <w:b/>
                <w:bCs/>
                <w:sz w:val="20"/>
                <w:szCs w:val="20"/>
              </w:rPr>
              <w:t>Ibrutinib</w:t>
            </w:r>
          </w:p>
          <w:p w14:paraId="753D53C2"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Times New Roman"/>
                <w:b/>
                <w:bCs/>
                <w:sz w:val="20"/>
                <w:szCs w:val="20"/>
              </w:rPr>
              <w:t>(N=325)</w:t>
            </w:r>
            <w:r w:rsidRPr="00B31282">
              <w:rPr>
                <w:rFonts w:ascii="Arial Narrow" w:hAnsi="Arial Narrow" w:cs="Times New Roman"/>
                <w:sz w:val="20"/>
                <w:szCs w:val="20"/>
              </w:rPr>
              <w:t> </w:t>
            </w:r>
          </w:p>
        </w:tc>
      </w:tr>
      <w:tr w:rsidR="00C55819" w:rsidRPr="00B31282" w14:paraId="3F013B71"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77862A"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Median duration of follow-up, months (range) </w:t>
            </w:r>
          </w:p>
        </w:tc>
        <w:tc>
          <w:tcPr>
            <w:tcW w:w="2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6300E1"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22.1 (22.1, 22.2) </w:t>
            </w:r>
          </w:p>
        </w:tc>
        <w:tc>
          <w:tcPr>
            <w:tcW w:w="26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2588E2" w14:textId="7AC2F4D0"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22.1 (22.0, 22.2) </w:t>
            </w:r>
          </w:p>
        </w:tc>
      </w:tr>
      <w:tr w:rsidR="00C55819" w:rsidRPr="00B31282" w14:paraId="430C5BF8" w14:textId="77777777" w:rsidTr="00EF1109">
        <w:tc>
          <w:tcPr>
            <w:tcW w:w="901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D5222C3" w14:textId="77777777" w:rsidR="00C55819" w:rsidRPr="00B31282" w:rsidRDefault="00C55819" w:rsidP="00EF1109">
            <w:pPr>
              <w:keepNext/>
              <w:keepLines/>
              <w:textAlignment w:val="baseline"/>
              <w:rPr>
                <w:rFonts w:ascii="Arial Narrow" w:hAnsi="Arial Narrow" w:cs="Segoe UI"/>
                <w:sz w:val="20"/>
                <w:szCs w:val="20"/>
              </w:rPr>
            </w:pPr>
            <w:r w:rsidRPr="00B31282">
              <w:rPr>
                <w:rFonts w:ascii="Arial Narrow" w:hAnsi="Arial Narrow" w:cs="Segoe UI"/>
                <w:b/>
                <w:bCs/>
                <w:sz w:val="20"/>
                <w:szCs w:val="20"/>
              </w:rPr>
              <w:t>Independent central review-assessed </w:t>
            </w:r>
            <w:r w:rsidRPr="00B31282">
              <w:rPr>
                <w:rFonts w:ascii="Arial Narrow" w:hAnsi="Arial Narrow" w:cs="Segoe UI"/>
                <w:sz w:val="20"/>
                <w:szCs w:val="20"/>
              </w:rPr>
              <w:t> </w:t>
            </w:r>
          </w:p>
        </w:tc>
      </w:tr>
      <w:tr w:rsidR="00C55819" w:rsidRPr="00B31282" w14:paraId="6B7A96D6"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11DB9"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Earliest event total, n (%) </w:t>
            </w:r>
          </w:p>
          <w:p w14:paraId="134E19E0"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Progression, n </w:t>
            </w:r>
          </w:p>
          <w:p w14:paraId="36436DC8"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Death, n </w:t>
            </w:r>
          </w:p>
        </w:tc>
        <w:tc>
          <w:tcPr>
            <w:tcW w:w="2610" w:type="dxa"/>
            <w:tcBorders>
              <w:top w:val="single" w:sz="6" w:space="0" w:color="auto"/>
              <w:left w:val="single" w:sz="6" w:space="0" w:color="auto"/>
              <w:bottom w:val="single" w:sz="6" w:space="0" w:color="auto"/>
              <w:right w:val="single" w:sz="6" w:space="0" w:color="auto"/>
            </w:tcBorders>
            <w:shd w:val="clear" w:color="auto" w:fill="FFFFFF"/>
            <w:vAlign w:val="center"/>
          </w:tcPr>
          <w:p w14:paraId="53D76F77"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60 (18.3)</w:t>
            </w:r>
          </w:p>
          <w:p w14:paraId="0ADC11F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37 (11.3)</w:t>
            </w:r>
          </w:p>
          <w:p w14:paraId="37A9A2CB"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23 (7.0)</w:t>
            </w:r>
          </w:p>
        </w:tc>
        <w:tc>
          <w:tcPr>
            <w:tcW w:w="2625" w:type="dxa"/>
            <w:tcBorders>
              <w:top w:val="single" w:sz="6" w:space="0" w:color="auto"/>
              <w:left w:val="single" w:sz="6" w:space="0" w:color="auto"/>
              <w:bottom w:val="single" w:sz="6" w:space="0" w:color="auto"/>
              <w:right w:val="single" w:sz="6" w:space="0" w:color="auto"/>
            </w:tcBorders>
            <w:shd w:val="clear" w:color="auto" w:fill="FFFFFF"/>
            <w:vAlign w:val="center"/>
          </w:tcPr>
          <w:p w14:paraId="01D727D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87 (26.8)</w:t>
            </w:r>
          </w:p>
          <w:p w14:paraId="361FC0F0"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63 (19.4)</w:t>
            </w:r>
          </w:p>
          <w:p w14:paraId="7B39979F"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24 (7.4)</w:t>
            </w:r>
          </w:p>
        </w:tc>
      </w:tr>
      <w:tr w:rsidR="00C55819" w:rsidRPr="00B31282" w14:paraId="59865CA0"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9751E"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Median PFS, months (95% CI) </w:t>
            </w:r>
          </w:p>
        </w:tc>
        <w:tc>
          <w:tcPr>
            <w:tcW w:w="2610" w:type="dxa"/>
            <w:tcBorders>
              <w:top w:val="single" w:sz="6" w:space="0" w:color="auto"/>
              <w:left w:val="single" w:sz="6" w:space="0" w:color="auto"/>
              <w:bottom w:val="single" w:sz="6" w:space="0" w:color="auto"/>
              <w:right w:val="single" w:sz="6" w:space="0" w:color="auto"/>
            </w:tcBorders>
            <w:shd w:val="clear" w:color="auto" w:fill="FFFFFF"/>
            <w:vAlign w:val="center"/>
          </w:tcPr>
          <w:p w14:paraId="750EF6F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Not reached (NE, NE)</w:t>
            </w:r>
          </w:p>
        </w:tc>
        <w:tc>
          <w:tcPr>
            <w:tcW w:w="2625" w:type="dxa"/>
            <w:tcBorders>
              <w:top w:val="single" w:sz="6" w:space="0" w:color="auto"/>
              <w:left w:val="single" w:sz="6" w:space="0" w:color="auto"/>
              <w:bottom w:val="single" w:sz="6" w:space="0" w:color="auto"/>
              <w:right w:val="single" w:sz="6" w:space="0" w:color="auto"/>
            </w:tcBorders>
            <w:shd w:val="clear" w:color="auto" w:fill="FFFFFF"/>
            <w:vAlign w:val="center"/>
          </w:tcPr>
          <w:p w14:paraId="5A2506E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Not reached (NE, NE)</w:t>
            </w:r>
          </w:p>
        </w:tc>
      </w:tr>
      <w:tr w:rsidR="00C55819" w:rsidRPr="00B31282" w14:paraId="6B42427D"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29C5360"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Within trial HR (95% CI) </w:t>
            </w:r>
          </w:p>
        </w:tc>
        <w:tc>
          <w:tcPr>
            <w:tcW w:w="52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3736E9"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0.61 (0.44, 0.86)</w:t>
            </w:r>
          </w:p>
        </w:tc>
      </w:tr>
      <w:tr w:rsidR="00C55819" w:rsidRPr="00B31282" w14:paraId="6FD01D07"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7FD97F0"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KM estimate of PFS, % (95% CI)</w:t>
            </w:r>
          </w:p>
          <w:p w14:paraId="06BACD00"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- 6 months</w:t>
            </w:r>
          </w:p>
          <w:p w14:paraId="47572150"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- 12 months</w:t>
            </w:r>
          </w:p>
          <w:p w14:paraId="74A5C942"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- 18 months</w:t>
            </w:r>
          </w:p>
          <w:p w14:paraId="1726E8F5"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- 24 months</w:t>
            </w:r>
          </w:p>
          <w:p w14:paraId="4AC3BBC5"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- 30 months</w:t>
            </w:r>
          </w:p>
          <w:p w14:paraId="52075A51"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- 36 months</w:t>
            </w:r>
          </w:p>
          <w:p w14:paraId="7F20C8E3" w14:textId="77777777" w:rsidR="00C55819" w:rsidRPr="00B31282" w:rsidRDefault="00C55819" w:rsidP="00EF1109">
            <w:pPr>
              <w:keepNext/>
              <w:keepLines/>
              <w:jc w:val="left"/>
              <w:textAlignment w:val="baseline"/>
              <w:rPr>
                <w:rFonts w:ascii="Arial Narrow" w:hAnsi="Arial Narrow" w:cs="Segoe UI"/>
                <w:sz w:val="20"/>
                <w:szCs w:val="20"/>
              </w:rPr>
            </w:pPr>
          </w:p>
        </w:tc>
        <w:tc>
          <w:tcPr>
            <w:tcW w:w="2610" w:type="dxa"/>
            <w:tcBorders>
              <w:top w:val="single" w:sz="6" w:space="0" w:color="auto"/>
              <w:left w:val="single" w:sz="6" w:space="0" w:color="auto"/>
              <w:bottom w:val="single" w:sz="6" w:space="0" w:color="auto"/>
              <w:right w:val="single" w:sz="6" w:space="0" w:color="auto"/>
            </w:tcBorders>
            <w:shd w:val="clear" w:color="auto" w:fill="FFFFFF"/>
          </w:tcPr>
          <w:p w14:paraId="27C7A926" w14:textId="77777777" w:rsidR="00C55819" w:rsidRPr="00B31282" w:rsidRDefault="00C55819" w:rsidP="00EF1109">
            <w:pPr>
              <w:keepNext/>
              <w:keepLines/>
              <w:jc w:val="center"/>
              <w:textAlignment w:val="baseline"/>
              <w:rPr>
                <w:rFonts w:ascii="Arial Narrow" w:hAnsi="Arial Narrow" w:cs="Segoe UI"/>
                <w:sz w:val="20"/>
                <w:szCs w:val="20"/>
              </w:rPr>
            </w:pPr>
          </w:p>
          <w:p w14:paraId="31B0D3DF"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95.0 (92.0, 96.9) </w:t>
            </w:r>
          </w:p>
          <w:p w14:paraId="67BCED46"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91.4 (87.8, 94.1) </w:t>
            </w:r>
          </w:p>
          <w:p w14:paraId="55E77969"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82.9 (77.8, 86.9) </w:t>
            </w:r>
          </w:p>
          <w:p w14:paraId="2C2988F6"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77.4 (71.2, 82.4) </w:t>
            </w:r>
          </w:p>
          <w:p w14:paraId="50781AB6"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73.6 (66.2, 79.7) </w:t>
            </w:r>
          </w:p>
          <w:p w14:paraId="2AA58DB0"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NE (NE, NE) </w:t>
            </w:r>
          </w:p>
        </w:tc>
        <w:tc>
          <w:tcPr>
            <w:tcW w:w="2625" w:type="dxa"/>
            <w:tcBorders>
              <w:top w:val="single" w:sz="6" w:space="0" w:color="auto"/>
              <w:left w:val="single" w:sz="6" w:space="0" w:color="auto"/>
              <w:bottom w:val="single" w:sz="6" w:space="0" w:color="auto"/>
              <w:right w:val="single" w:sz="6" w:space="0" w:color="auto"/>
            </w:tcBorders>
            <w:shd w:val="clear" w:color="auto" w:fill="FFFFFF"/>
          </w:tcPr>
          <w:p w14:paraId="2C395D0D" w14:textId="77777777" w:rsidR="00C55819" w:rsidRPr="00B31282" w:rsidRDefault="00C55819" w:rsidP="00EF1109">
            <w:pPr>
              <w:keepNext/>
              <w:keepLines/>
              <w:jc w:val="center"/>
              <w:textAlignment w:val="baseline"/>
              <w:rPr>
                <w:rFonts w:ascii="Arial Narrow" w:hAnsi="Arial Narrow" w:cs="Segoe UI"/>
                <w:sz w:val="20"/>
                <w:szCs w:val="20"/>
              </w:rPr>
            </w:pPr>
          </w:p>
          <w:p w14:paraId="2FB37378"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92.8 (89.3, 95.1)</w:t>
            </w:r>
          </w:p>
          <w:p w14:paraId="1261A1D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84.7 (80.2, 88.3)</w:t>
            </w:r>
          </w:p>
          <w:p w14:paraId="468A16AF"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75.1 (69.5, 79.9)</w:t>
            </w:r>
          </w:p>
          <w:p w14:paraId="3A951B28"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65.8 (58.9, 71.9)</w:t>
            </w:r>
          </w:p>
          <w:p w14:paraId="053F905F"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62.0 (54.1, 68.9)</w:t>
            </w:r>
          </w:p>
          <w:p w14:paraId="729240E2"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NE (NE, NE)</w:t>
            </w:r>
          </w:p>
        </w:tc>
      </w:tr>
      <w:tr w:rsidR="00C55819" w:rsidRPr="00B31282" w14:paraId="1626A5CB" w14:textId="77777777" w:rsidTr="00EF1109">
        <w:tc>
          <w:tcPr>
            <w:tcW w:w="901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F68A5C" w14:textId="77777777" w:rsidR="00C55819" w:rsidRPr="00B31282" w:rsidRDefault="00C55819" w:rsidP="00EF1109">
            <w:pPr>
              <w:keepNext/>
              <w:keepLines/>
              <w:textAlignment w:val="baseline"/>
              <w:rPr>
                <w:rFonts w:ascii="Arial Narrow" w:hAnsi="Arial Narrow" w:cs="Segoe UI"/>
                <w:sz w:val="20"/>
                <w:szCs w:val="20"/>
              </w:rPr>
            </w:pPr>
            <w:r w:rsidRPr="00B31282">
              <w:rPr>
                <w:rFonts w:ascii="Arial Narrow" w:hAnsi="Arial Narrow" w:cs="Segoe UI"/>
                <w:b/>
                <w:bCs/>
                <w:sz w:val="20"/>
                <w:szCs w:val="20"/>
              </w:rPr>
              <w:t>Investigator-assessed</w:t>
            </w:r>
            <w:r w:rsidRPr="00B31282">
              <w:rPr>
                <w:rFonts w:ascii="Arial Narrow" w:hAnsi="Arial Narrow" w:cs="Segoe UI"/>
                <w:sz w:val="20"/>
                <w:szCs w:val="20"/>
              </w:rPr>
              <w:t> </w:t>
            </w:r>
          </w:p>
        </w:tc>
      </w:tr>
      <w:tr w:rsidR="00C55819" w:rsidRPr="00B31282" w14:paraId="7771A7EA"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32354"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Earliest event total, n (%) </w:t>
            </w:r>
          </w:p>
          <w:p w14:paraId="6A5F2B66"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Progression, n </w:t>
            </w:r>
          </w:p>
          <w:p w14:paraId="6010D8BF"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Death, n </w:t>
            </w:r>
          </w:p>
        </w:tc>
        <w:tc>
          <w:tcPr>
            <w:tcW w:w="2610" w:type="dxa"/>
            <w:tcBorders>
              <w:top w:val="single" w:sz="6" w:space="0" w:color="auto"/>
              <w:left w:val="single" w:sz="6" w:space="0" w:color="auto"/>
              <w:bottom w:val="single" w:sz="6" w:space="0" w:color="auto"/>
              <w:right w:val="single" w:sz="6" w:space="0" w:color="auto"/>
            </w:tcBorders>
            <w:shd w:val="clear" w:color="auto" w:fill="FFFFFF"/>
            <w:hideMark/>
          </w:tcPr>
          <w:p w14:paraId="0157F86C"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58 (17.7) </w:t>
            </w:r>
          </w:p>
          <w:p w14:paraId="26E20354"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34 (10.4)</w:t>
            </w:r>
          </w:p>
          <w:p w14:paraId="47A67AEB"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24 (7.3)</w:t>
            </w:r>
          </w:p>
        </w:tc>
        <w:tc>
          <w:tcPr>
            <w:tcW w:w="2625" w:type="dxa"/>
            <w:tcBorders>
              <w:top w:val="single" w:sz="6" w:space="0" w:color="auto"/>
              <w:left w:val="single" w:sz="6" w:space="0" w:color="auto"/>
              <w:bottom w:val="single" w:sz="6" w:space="0" w:color="auto"/>
              <w:right w:val="single" w:sz="6" w:space="0" w:color="auto"/>
            </w:tcBorders>
            <w:shd w:val="clear" w:color="auto" w:fill="FFFFFF"/>
            <w:hideMark/>
          </w:tcPr>
          <w:p w14:paraId="58C660B3"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91 (28.0) </w:t>
            </w:r>
          </w:p>
          <w:p w14:paraId="4D78949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63 (19.4)</w:t>
            </w:r>
          </w:p>
          <w:p w14:paraId="25E90500"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28 (8.6)</w:t>
            </w:r>
          </w:p>
        </w:tc>
      </w:tr>
      <w:tr w:rsidR="00C55819" w:rsidRPr="00B31282" w14:paraId="3A02E3BA"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43B0D2"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Median PFS, months (95% CI) </w:t>
            </w:r>
          </w:p>
        </w:tc>
        <w:tc>
          <w:tcPr>
            <w:tcW w:w="2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E3490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Not reached (29.6, NE) </w:t>
            </w:r>
          </w:p>
        </w:tc>
        <w:tc>
          <w:tcPr>
            <w:tcW w:w="262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7531C3"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Not reached (NE, NE) </w:t>
            </w:r>
          </w:p>
        </w:tc>
      </w:tr>
      <w:tr w:rsidR="00C55819" w:rsidRPr="00B31282" w14:paraId="6D7E74F2"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BE720E7"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Within trial HR (95% CI) </w:t>
            </w:r>
          </w:p>
        </w:tc>
        <w:tc>
          <w:tcPr>
            <w:tcW w:w="52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0CE5F897"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0.55 (0.39, 0.76) </w:t>
            </w:r>
          </w:p>
        </w:tc>
      </w:tr>
      <w:tr w:rsidR="00C55819" w:rsidRPr="00B31282" w14:paraId="4DA74708" w14:textId="77777777" w:rsidTr="00EF1109">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7595BAE"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KM estimate of PFS, % (95% CI)</w:t>
            </w:r>
          </w:p>
          <w:p w14:paraId="2A1EEE1D"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- 6 months</w:t>
            </w:r>
          </w:p>
          <w:p w14:paraId="7FA1A872"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- 12 months</w:t>
            </w:r>
          </w:p>
          <w:p w14:paraId="77C81C6A"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- 18 months</w:t>
            </w:r>
          </w:p>
          <w:p w14:paraId="52F70A37"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- 24 months</w:t>
            </w:r>
          </w:p>
          <w:p w14:paraId="6A4FB59F"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- 30 months</w:t>
            </w:r>
          </w:p>
          <w:p w14:paraId="0EF78635" w14:textId="77777777" w:rsidR="00C55819" w:rsidRPr="00B31282" w:rsidRDefault="00C55819" w:rsidP="00EF1109">
            <w:pPr>
              <w:keepNext/>
              <w:keepLines/>
              <w:jc w:val="left"/>
              <w:textAlignment w:val="baseline"/>
              <w:rPr>
                <w:rFonts w:ascii="Arial Narrow" w:hAnsi="Arial Narrow" w:cs="Segoe UI"/>
                <w:sz w:val="20"/>
                <w:szCs w:val="20"/>
              </w:rPr>
            </w:pPr>
            <w:r w:rsidRPr="00B31282">
              <w:rPr>
                <w:rFonts w:ascii="Arial Narrow" w:hAnsi="Arial Narrow" w:cs="Segoe UI"/>
                <w:sz w:val="20"/>
                <w:szCs w:val="20"/>
              </w:rPr>
              <w:t>- 36 months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14:paraId="48E452E1" w14:textId="77777777" w:rsidR="00C55819" w:rsidRPr="00B31282" w:rsidRDefault="00C55819" w:rsidP="00EF1109">
            <w:pPr>
              <w:keepNext/>
              <w:keepLines/>
              <w:jc w:val="center"/>
              <w:textAlignment w:val="baseline"/>
              <w:rPr>
                <w:rFonts w:ascii="Arial Narrow" w:hAnsi="Arial Narrow" w:cs="Segoe UI"/>
                <w:sz w:val="20"/>
                <w:szCs w:val="20"/>
              </w:rPr>
            </w:pPr>
          </w:p>
          <w:p w14:paraId="7A4C6158"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94.7 (91.6, 96.7) </w:t>
            </w:r>
          </w:p>
          <w:p w14:paraId="5F3F647A"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91.5 (87.8, 94.1) </w:t>
            </w:r>
          </w:p>
          <w:p w14:paraId="1DFE91BC"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84.5 (79.7, 88.2) </w:t>
            </w:r>
          </w:p>
          <w:p w14:paraId="4A29A4F9"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78.4 (72.3, 83.4) </w:t>
            </w:r>
          </w:p>
          <w:p w14:paraId="3AAACFD4"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60.6 (29.5, 81.4) </w:t>
            </w:r>
          </w:p>
          <w:p w14:paraId="45F3DD0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 xml:space="preserve">NE (NE, NE) </w:t>
            </w:r>
          </w:p>
        </w:tc>
        <w:tc>
          <w:tcPr>
            <w:tcW w:w="2625" w:type="dxa"/>
            <w:tcBorders>
              <w:top w:val="single" w:sz="6" w:space="0" w:color="auto"/>
              <w:left w:val="single" w:sz="6" w:space="0" w:color="auto"/>
              <w:bottom w:val="single" w:sz="6" w:space="0" w:color="auto"/>
              <w:right w:val="single" w:sz="6" w:space="0" w:color="auto"/>
            </w:tcBorders>
            <w:shd w:val="clear" w:color="auto" w:fill="FFFFFF"/>
          </w:tcPr>
          <w:p w14:paraId="3772DCF6" w14:textId="77777777" w:rsidR="00C55819" w:rsidRPr="00B31282" w:rsidRDefault="00C55819" w:rsidP="00EF1109">
            <w:pPr>
              <w:keepNext/>
              <w:keepLines/>
              <w:jc w:val="center"/>
              <w:textAlignment w:val="baseline"/>
              <w:rPr>
                <w:rFonts w:ascii="Arial Narrow" w:hAnsi="Arial Narrow" w:cs="Segoe UI"/>
                <w:sz w:val="20"/>
                <w:szCs w:val="20"/>
              </w:rPr>
            </w:pPr>
          </w:p>
          <w:p w14:paraId="4C93A288"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93.4 (90.0, 95.6)</w:t>
            </w:r>
          </w:p>
          <w:p w14:paraId="56CF1B17"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84.5 (79.9, 88.1)</w:t>
            </w:r>
          </w:p>
          <w:p w14:paraId="624F1978"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74.6 (68.9, 79.4)</w:t>
            </w:r>
          </w:p>
          <w:p w14:paraId="0F9101D0"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63.6 (56.5, 69.8)</w:t>
            </w:r>
          </w:p>
          <w:p w14:paraId="48FF4DA5"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60.9 (53.2, 67.8)</w:t>
            </w:r>
          </w:p>
          <w:p w14:paraId="05529EEB" w14:textId="77777777" w:rsidR="00C55819" w:rsidRPr="00B31282" w:rsidRDefault="00C55819" w:rsidP="00EF1109">
            <w:pPr>
              <w:keepNext/>
              <w:keepLines/>
              <w:jc w:val="center"/>
              <w:textAlignment w:val="baseline"/>
              <w:rPr>
                <w:rFonts w:ascii="Arial Narrow" w:hAnsi="Arial Narrow" w:cs="Segoe UI"/>
                <w:sz w:val="20"/>
                <w:szCs w:val="20"/>
              </w:rPr>
            </w:pPr>
            <w:r w:rsidRPr="00B31282">
              <w:rPr>
                <w:rFonts w:ascii="Arial Narrow" w:hAnsi="Arial Narrow" w:cs="Segoe UI"/>
                <w:sz w:val="20"/>
                <w:szCs w:val="20"/>
              </w:rPr>
              <w:t>NE (NE, NE)</w:t>
            </w:r>
          </w:p>
        </w:tc>
      </w:tr>
    </w:tbl>
    <w:p w14:paraId="255CD773" w14:textId="77777777" w:rsidR="00C55819" w:rsidRPr="00B31282" w:rsidRDefault="00C55819" w:rsidP="00C55819">
      <w:pPr>
        <w:pStyle w:val="COMTablefooter"/>
        <w:rPr>
          <w:rFonts w:ascii="Segoe UI" w:hAnsi="Segoe UI"/>
        </w:rPr>
      </w:pPr>
      <w:r w:rsidRPr="00B31282">
        <w:t>Source: Table 2-21, p66 of the submission; Table 14, p86; Table 15, p88 of the ALPINE clinical study report </w:t>
      </w:r>
    </w:p>
    <w:p w14:paraId="2561D800" w14:textId="5D2DBFB1" w:rsidR="00C55819" w:rsidRPr="00B31282" w:rsidRDefault="00C55819" w:rsidP="00EC5836">
      <w:pPr>
        <w:pStyle w:val="COMexecsumnumberedpara"/>
      </w:pPr>
      <w:r w:rsidRPr="00B31282">
        <w:t>As of the data cut-off (01 December 2021), the hazard ratio for progression-free survival assessed by independent central review was 0.61 (95% CI: 0.44 to 0.86) for the zanubrutinib arm compared with the ibrutinib arm. The 24-month event-free rate was 77.4% in the zanubrutinib arm and 65.8% in the ibrutinib arm. The submission noted that the final analysis of progression-free survival has been conducted and a press release reported that zanubrutinib achieved superior progression-free survival versus ibrutinib, as assessed by an independent central review committee and investigator, however the full results (beyond the information provided in the press release) were not available for inclusion in this submission at time of lodgement.</w:t>
      </w:r>
      <w:r w:rsidR="000241A0">
        <w:t xml:space="preserve"> </w:t>
      </w:r>
      <w:r w:rsidR="000241A0" w:rsidRPr="00380B09">
        <w:rPr>
          <w:iCs/>
        </w:rPr>
        <w:t>During the evaluation, the results of the final analysis were published</w:t>
      </w:r>
      <w:r w:rsidR="00410F3E" w:rsidRPr="00380B09">
        <w:rPr>
          <w:iCs/>
        </w:rPr>
        <w:t xml:space="preserve"> </w:t>
      </w:r>
      <w:r w:rsidR="000241A0" w:rsidRPr="00380B09">
        <w:rPr>
          <w:iCs/>
        </w:rPr>
        <w:t>(</w:t>
      </w:r>
      <w:r w:rsidR="00A96B4B" w:rsidRPr="00380B09">
        <w:rPr>
          <w:iCs/>
        </w:rPr>
        <w:t xml:space="preserve">Brown </w:t>
      </w:r>
      <w:r w:rsidR="00812B4F" w:rsidRPr="00380B09">
        <w:rPr>
          <w:iCs/>
        </w:rPr>
        <w:t xml:space="preserve">et al., 2022). </w:t>
      </w:r>
      <w:r w:rsidR="00410F3E" w:rsidRPr="00380B09">
        <w:rPr>
          <w:iCs/>
        </w:rPr>
        <w:t xml:space="preserve">These broadly agreed with results presented in the submission. </w:t>
      </w:r>
      <w:r w:rsidR="00812B4F" w:rsidRPr="00380B09">
        <w:rPr>
          <w:iCs/>
        </w:rPr>
        <w:t xml:space="preserve">Briefly, </w:t>
      </w:r>
      <w:r w:rsidR="0044448E" w:rsidRPr="00380B09">
        <w:rPr>
          <w:iCs/>
        </w:rPr>
        <w:t>a</w:t>
      </w:r>
      <w:r w:rsidR="001C7BD8" w:rsidRPr="00380B09">
        <w:rPr>
          <w:iCs/>
        </w:rPr>
        <w:t xml:space="preserve">t a median follow-up of 29.6 months, zanubrutinib was found to be superior to ibrutinib with respect to </w:t>
      </w:r>
      <w:r w:rsidR="000A59B4" w:rsidRPr="00380B09">
        <w:rPr>
          <w:iCs/>
        </w:rPr>
        <w:t xml:space="preserve">investigator-assessed </w:t>
      </w:r>
      <w:r w:rsidR="001C7BD8" w:rsidRPr="00380B09">
        <w:rPr>
          <w:iCs/>
        </w:rPr>
        <w:t xml:space="preserve">progression-free survival among 652 patients (hazard ratio for disease progression or death, 0.65; 95% CI, 0.49 to 0.86). At 24 months, the investigator-assessed rates of progression-free survival were 78.4% in the zanubrutinib group and 65.9% in the ibrutinib group. Among patients with </w:t>
      </w:r>
      <w:r w:rsidR="00B245E3" w:rsidRPr="00380B09">
        <w:rPr>
          <w:iCs/>
        </w:rPr>
        <w:t>del</w:t>
      </w:r>
      <w:r w:rsidR="001C7BD8" w:rsidRPr="00380B09">
        <w:rPr>
          <w:iCs/>
        </w:rPr>
        <w:t xml:space="preserve">17p, a TP53 mutation, or both, those who received zanubrutinib had longer progression-free survival than those who received ibrutinib (hazard ratio for disease progression or death, 0.53; 95% CI, 0.31 to 0.88). The percentage of patients with an overall response was higher in the zanubrutinib group than in the ibrutinib group. </w:t>
      </w:r>
      <w:r w:rsidR="006A2DAD" w:rsidRPr="00380B09">
        <w:rPr>
          <w:iCs/>
        </w:rPr>
        <w:t>Treatment with zanubrutinib was associated</w:t>
      </w:r>
      <w:r w:rsidR="001C7BD8" w:rsidRPr="00380B09">
        <w:rPr>
          <w:iCs/>
        </w:rPr>
        <w:t xml:space="preserve"> with fewer adverse events leading to treatment discontinuation and fewer cardiac events, including fewer cardiac events leading to treatment discontinuation or death</w:t>
      </w:r>
      <w:r w:rsidR="006A2DAD" w:rsidRPr="00380B09">
        <w:rPr>
          <w:iCs/>
        </w:rPr>
        <w:t>, compared with ibrutini</w:t>
      </w:r>
      <w:r w:rsidR="00EA0A3A" w:rsidRPr="00380B09">
        <w:rPr>
          <w:iCs/>
        </w:rPr>
        <w:t>b</w:t>
      </w:r>
      <w:r w:rsidR="001C7BD8" w:rsidRPr="00380B09">
        <w:rPr>
          <w:iCs/>
        </w:rPr>
        <w:t>.</w:t>
      </w:r>
      <w:r w:rsidR="00D93E9D">
        <w:rPr>
          <w:iCs/>
        </w:rPr>
        <w:t xml:space="preserve"> </w:t>
      </w:r>
      <w:r w:rsidR="00D93E9D" w:rsidRPr="009F171F">
        <w:t>The PSCR stated that given this, the ability to switch BTK inhibitor treatments could be beneficial, particularly for patients experiencing cardiac events.</w:t>
      </w:r>
    </w:p>
    <w:p w14:paraId="333C76B5" w14:textId="18606C25" w:rsidR="00C55819" w:rsidRPr="00B31282" w:rsidRDefault="00EF1109" w:rsidP="006B118A">
      <w:pPr>
        <w:pStyle w:val="COMexecsumnumberedpara"/>
      </w:pPr>
      <w:r w:rsidRPr="00B31282">
        <w:fldChar w:fldCharType="begin"/>
      </w:r>
      <w:r w:rsidRPr="00B31282">
        <w:instrText xml:space="preserve"> REF _Ref121756399 \h </w:instrText>
      </w:r>
      <w:r w:rsidRPr="00B31282">
        <w:fldChar w:fldCharType="separate"/>
      </w:r>
      <w:r w:rsidR="00472981" w:rsidRPr="00B31282">
        <w:t xml:space="preserve">Figure </w:t>
      </w:r>
      <w:r w:rsidR="00472981">
        <w:rPr>
          <w:noProof/>
        </w:rPr>
        <w:t>2</w:t>
      </w:r>
      <w:r w:rsidRPr="00B31282">
        <w:fldChar w:fldCharType="end"/>
      </w:r>
      <w:r w:rsidRPr="00B31282">
        <w:t xml:space="preserve"> </w:t>
      </w:r>
      <w:r w:rsidR="006B118A" w:rsidRPr="00B31282">
        <w:t>presents the Kaplan-Meier plot of overall survival for the ALPINE trial.</w:t>
      </w:r>
    </w:p>
    <w:p w14:paraId="475E49AA" w14:textId="0A6959F5" w:rsidR="00EE0F54" w:rsidRPr="00B31282" w:rsidRDefault="00EF1109" w:rsidP="0093286A">
      <w:pPr>
        <w:pStyle w:val="Caption"/>
      </w:pPr>
      <w:bookmarkStart w:id="26" w:name="_Ref121756399"/>
      <w:r w:rsidRPr="00B31282">
        <w:t xml:space="preserve">Figure </w:t>
      </w:r>
      <w:r>
        <w:fldChar w:fldCharType="begin"/>
      </w:r>
      <w:r>
        <w:instrText>SEQ Figure \* ARABIC</w:instrText>
      </w:r>
      <w:r>
        <w:fldChar w:fldCharType="separate"/>
      </w:r>
      <w:r w:rsidR="00472981">
        <w:rPr>
          <w:noProof/>
        </w:rPr>
        <w:t>2</w:t>
      </w:r>
      <w:r>
        <w:fldChar w:fldCharType="end"/>
      </w:r>
      <w:bookmarkEnd w:id="26"/>
      <w:r w:rsidR="00EE0F54" w:rsidRPr="00B31282">
        <w:t>: Kaplan-Meier plot of overall survival (ITT analysis set)</w:t>
      </w:r>
    </w:p>
    <w:p w14:paraId="073CCE30" w14:textId="77777777" w:rsidR="00EE0F54" w:rsidRPr="00B31282" w:rsidRDefault="00EE0F54" w:rsidP="00EE0F54">
      <w:pPr>
        <w:keepNext/>
      </w:pPr>
      <w:r w:rsidRPr="00B31282">
        <w:rPr>
          <w:noProof/>
        </w:rPr>
        <w:drawing>
          <wp:inline distT="0" distB="0" distL="0" distR="0" wp14:anchorId="276F1334" wp14:editId="494E4918">
            <wp:extent cx="5695950" cy="3831005"/>
            <wp:effectExtent l="0" t="0" r="0" b="0"/>
            <wp:docPr id="5" name="Picture 5" descr="Figure 2: Kaplan-Meier plot of overall survival (ITT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Kaplan-Meier plot of overall survival (ITT analysis set)"/>
                    <pic:cNvPicPr/>
                  </pic:nvPicPr>
                  <pic:blipFill>
                    <a:blip r:embed="rId9"/>
                    <a:stretch>
                      <a:fillRect/>
                    </a:stretch>
                  </pic:blipFill>
                  <pic:spPr>
                    <a:xfrm>
                      <a:off x="0" y="0"/>
                      <a:ext cx="5720949" cy="3847819"/>
                    </a:xfrm>
                    <a:prstGeom prst="rect">
                      <a:avLst/>
                    </a:prstGeom>
                  </pic:spPr>
                </pic:pic>
              </a:graphicData>
            </a:graphic>
          </wp:inline>
        </w:drawing>
      </w:r>
    </w:p>
    <w:p w14:paraId="42BEA93B" w14:textId="3C6B359C" w:rsidR="00EE0F54" w:rsidRPr="00B31282" w:rsidRDefault="00EE0F54" w:rsidP="00EE0F54">
      <w:pPr>
        <w:pStyle w:val="COMTablefooter"/>
        <w:keepNext/>
      </w:pPr>
      <w:r w:rsidRPr="00B31282">
        <w:t>Source: Figure 2-12, p72 of the submission</w:t>
      </w:r>
    </w:p>
    <w:p w14:paraId="106BD0B0" w14:textId="36E1969C" w:rsidR="00EE0F54" w:rsidRPr="00B31282" w:rsidRDefault="00EF1109" w:rsidP="00460C04">
      <w:pPr>
        <w:pStyle w:val="COMexecsumnumberedpara"/>
      </w:pPr>
      <w:r w:rsidRPr="00B31282">
        <w:fldChar w:fldCharType="begin"/>
      </w:r>
      <w:r w:rsidRPr="00B31282">
        <w:instrText xml:space="preserve"> REF _Ref121756436 \h </w:instrText>
      </w:r>
      <w:r w:rsidRPr="00B31282">
        <w:fldChar w:fldCharType="separate"/>
      </w:r>
      <w:r w:rsidR="00472981" w:rsidRPr="00B31282">
        <w:t xml:space="preserve">Table </w:t>
      </w:r>
      <w:r w:rsidR="00472981">
        <w:rPr>
          <w:noProof/>
        </w:rPr>
        <w:t>6</w:t>
      </w:r>
      <w:r w:rsidRPr="00B31282">
        <w:fldChar w:fldCharType="end"/>
      </w:r>
      <w:r w:rsidRPr="00B31282">
        <w:t xml:space="preserve"> </w:t>
      </w:r>
      <w:r w:rsidR="00460C04" w:rsidRPr="00B31282">
        <w:t>summarises the results for overall survival for the ALPINE trial.</w:t>
      </w:r>
    </w:p>
    <w:p w14:paraId="2E76ACDA" w14:textId="6D667282" w:rsidR="00A202E5" w:rsidRPr="00B31282" w:rsidRDefault="00EF1109" w:rsidP="00A7034A">
      <w:pPr>
        <w:pStyle w:val="Caption"/>
        <w:keepLines/>
      </w:pPr>
      <w:bookmarkStart w:id="27" w:name="_Ref121756436"/>
      <w:bookmarkStart w:id="28" w:name="_Ref121756430"/>
      <w:r w:rsidRPr="00B31282">
        <w:t xml:space="preserve">Table </w:t>
      </w:r>
      <w:r>
        <w:fldChar w:fldCharType="begin"/>
      </w:r>
      <w:r>
        <w:instrText>SEQ Table \* ARABIC</w:instrText>
      </w:r>
      <w:r>
        <w:fldChar w:fldCharType="separate"/>
      </w:r>
      <w:r w:rsidR="00472981">
        <w:rPr>
          <w:noProof/>
        </w:rPr>
        <w:t>6</w:t>
      </w:r>
      <w:r>
        <w:fldChar w:fldCharType="end"/>
      </w:r>
      <w:bookmarkEnd w:id="27"/>
      <w:r w:rsidR="00A202E5" w:rsidRPr="00B31282">
        <w:t>: Overall survival (ITT analysis set); ALPINE</w:t>
      </w:r>
      <w:bookmarkEnd w:id="28"/>
    </w:p>
    <w:tbl>
      <w:tblPr>
        <w:tblW w:w="518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4"/>
        <w:gridCol w:w="2345"/>
        <w:gridCol w:w="2345"/>
      </w:tblGrid>
      <w:tr w:rsidR="00A202E5" w:rsidRPr="00B31282" w14:paraId="1FFCF873" w14:textId="77777777" w:rsidTr="00D12BAD">
        <w:tc>
          <w:tcPr>
            <w:tcW w:w="24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D1EE88" w14:textId="77777777" w:rsidR="00A202E5" w:rsidRPr="00B31282" w:rsidRDefault="00A202E5" w:rsidP="00A7034A">
            <w:pPr>
              <w:keepNext/>
              <w:keepLines/>
              <w:jc w:val="left"/>
              <w:rPr>
                <w:rFonts w:ascii="Arial Narrow" w:hAnsi="Arial Narrow" w:cs="Times New Roman"/>
                <w:sz w:val="20"/>
                <w:szCs w:val="20"/>
              </w:rPr>
            </w:pPr>
          </w:p>
        </w:tc>
        <w:tc>
          <w:tcPr>
            <w:tcW w:w="125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B887E3" w14:textId="77777777" w:rsidR="00A202E5" w:rsidRPr="00B31282" w:rsidRDefault="00A202E5" w:rsidP="00A7034A">
            <w:pPr>
              <w:pStyle w:val="COMTabletext"/>
              <w:keepLines/>
              <w:jc w:val="center"/>
              <w:rPr>
                <w:b/>
                <w:bCs w:val="0"/>
                <w:szCs w:val="20"/>
              </w:rPr>
            </w:pPr>
            <w:r w:rsidRPr="00B31282">
              <w:rPr>
                <w:b/>
                <w:bCs w:val="0"/>
                <w:szCs w:val="20"/>
              </w:rPr>
              <w:t>Zanubrutinib</w:t>
            </w:r>
          </w:p>
          <w:p w14:paraId="3341D6F3" w14:textId="77777777" w:rsidR="00A202E5" w:rsidRPr="00B31282" w:rsidRDefault="00A202E5" w:rsidP="00A7034A">
            <w:pPr>
              <w:pStyle w:val="COMTabletext"/>
              <w:keepLines/>
              <w:jc w:val="center"/>
              <w:rPr>
                <w:b/>
                <w:bCs w:val="0"/>
                <w:szCs w:val="20"/>
              </w:rPr>
            </w:pPr>
            <w:r w:rsidRPr="00B31282">
              <w:rPr>
                <w:b/>
                <w:bCs w:val="0"/>
                <w:szCs w:val="20"/>
              </w:rPr>
              <w:t>N = 327</w:t>
            </w:r>
          </w:p>
        </w:tc>
        <w:tc>
          <w:tcPr>
            <w:tcW w:w="125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FE6B0" w14:textId="77777777" w:rsidR="00A202E5" w:rsidRPr="00B31282" w:rsidRDefault="00A202E5" w:rsidP="00A7034A">
            <w:pPr>
              <w:pStyle w:val="COMTabletext"/>
              <w:keepLines/>
              <w:jc w:val="center"/>
              <w:rPr>
                <w:b/>
                <w:bCs w:val="0"/>
                <w:szCs w:val="20"/>
              </w:rPr>
            </w:pPr>
            <w:r w:rsidRPr="00B31282">
              <w:rPr>
                <w:b/>
                <w:bCs w:val="0"/>
                <w:szCs w:val="20"/>
              </w:rPr>
              <w:t>Ibrutinib</w:t>
            </w:r>
          </w:p>
          <w:p w14:paraId="4BA1F9E7" w14:textId="77777777" w:rsidR="00A202E5" w:rsidRPr="00B31282" w:rsidRDefault="00A202E5" w:rsidP="00A7034A">
            <w:pPr>
              <w:pStyle w:val="COMTabletext"/>
              <w:keepLines/>
              <w:jc w:val="center"/>
              <w:rPr>
                <w:b/>
                <w:bCs w:val="0"/>
                <w:szCs w:val="20"/>
              </w:rPr>
            </w:pPr>
            <w:r w:rsidRPr="00B31282">
              <w:rPr>
                <w:b/>
                <w:bCs w:val="0"/>
                <w:szCs w:val="20"/>
              </w:rPr>
              <w:t>N = 325</w:t>
            </w:r>
          </w:p>
        </w:tc>
      </w:tr>
      <w:tr w:rsidR="00A202E5" w:rsidRPr="00B31282" w14:paraId="3456E4A5" w14:textId="77777777" w:rsidTr="00D12BAD">
        <w:tc>
          <w:tcPr>
            <w:tcW w:w="2490" w:type="pct"/>
            <w:tcBorders>
              <w:top w:val="single" w:sz="6" w:space="0" w:color="auto"/>
              <w:left w:val="single" w:sz="6" w:space="0" w:color="auto"/>
              <w:bottom w:val="nil"/>
              <w:right w:val="single" w:sz="6" w:space="0" w:color="auto"/>
            </w:tcBorders>
            <w:shd w:val="clear" w:color="auto" w:fill="auto"/>
          </w:tcPr>
          <w:p w14:paraId="46D40BF9" w14:textId="77777777" w:rsidR="00A202E5" w:rsidRPr="00B31282" w:rsidRDefault="00A202E5" w:rsidP="00A7034A">
            <w:pPr>
              <w:keepNext/>
              <w:keepLines/>
              <w:jc w:val="left"/>
              <w:textAlignment w:val="baseline"/>
              <w:rPr>
                <w:rFonts w:ascii="Arial Narrow" w:hAnsi="Arial Narrow" w:cs="Times New Roman"/>
                <w:sz w:val="20"/>
                <w:szCs w:val="20"/>
              </w:rPr>
            </w:pPr>
            <w:r w:rsidRPr="00B31282">
              <w:rPr>
                <w:rFonts w:ascii="Arial Narrow" w:hAnsi="Arial Narrow" w:cs="Times New Roman"/>
                <w:sz w:val="20"/>
                <w:szCs w:val="20"/>
              </w:rPr>
              <w:t>Follow up time, median months (95% CI)</w:t>
            </w:r>
          </w:p>
        </w:tc>
        <w:tc>
          <w:tcPr>
            <w:tcW w:w="1255" w:type="pct"/>
            <w:tcBorders>
              <w:top w:val="single" w:sz="6" w:space="0" w:color="auto"/>
              <w:left w:val="single" w:sz="6" w:space="0" w:color="auto"/>
              <w:bottom w:val="nil"/>
              <w:right w:val="single" w:sz="6" w:space="0" w:color="auto"/>
            </w:tcBorders>
            <w:shd w:val="clear" w:color="auto" w:fill="auto"/>
            <w:vAlign w:val="center"/>
          </w:tcPr>
          <w:p w14:paraId="4FDC3223" w14:textId="77777777" w:rsidR="00A202E5" w:rsidRPr="00B31282" w:rsidRDefault="00A202E5" w:rsidP="00A7034A">
            <w:pPr>
              <w:pStyle w:val="COMTabletext"/>
              <w:keepLines/>
              <w:jc w:val="center"/>
              <w:rPr>
                <w:szCs w:val="20"/>
              </w:rPr>
            </w:pPr>
            <w:r w:rsidRPr="00B31282">
              <w:rPr>
                <w:szCs w:val="20"/>
              </w:rPr>
              <w:t>24.9 (24.4, 25.5)</w:t>
            </w:r>
          </w:p>
        </w:tc>
        <w:tc>
          <w:tcPr>
            <w:tcW w:w="1255" w:type="pct"/>
            <w:tcBorders>
              <w:top w:val="single" w:sz="6" w:space="0" w:color="auto"/>
              <w:left w:val="single" w:sz="6" w:space="0" w:color="auto"/>
              <w:bottom w:val="nil"/>
              <w:right w:val="single" w:sz="6" w:space="0" w:color="auto"/>
            </w:tcBorders>
            <w:shd w:val="clear" w:color="auto" w:fill="auto"/>
            <w:vAlign w:val="center"/>
          </w:tcPr>
          <w:p w14:paraId="4D7C4B05" w14:textId="77777777" w:rsidR="00A202E5" w:rsidRPr="00B31282" w:rsidRDefault="00A202E5" w:rsidP="00A7034A">
            <w:pPr>
              <w:pStyle w:val="COMTabletext"/>
              <w:keepLines/>
              <w:jc w:val="center"/>
              <w:rPr>
                <w:szCs w:val="20"/>
              </w:rPr>
            </w:pPr>
            <w:r w:rsidRPr="00B31282">
              <w:rPr>
                <w:szCs w:val="20"/>
              </w:rPr>
              <w:t>24.6 (24.2, 25.0)</w:t>
            </w:r>
          </w:p>
        </w:tc>
      </w:tr>
      <w:tr w:rsidR="00A202E5" w:rsidRPr="00B31282" w14:paraId="19ED62E5" w14:textId="77777777" w:rsidTr="00D12BAD">
        <w:tc>
          <w:tcPr>
            <w:tcW w:w="2490" w:type="pct"/>
            <w:tcBorders>
              <w:top w:val="single" w:sz="6" w:space="0" w:color="auto"/>
              <w:left w:val="single" w:sz="6" w:space="0" w:color="auto"/>
              <w:bottom w:val="nil"/>
              <w:right w:val="single" w:sz="6" w:space="0" w:color="auto"/>
            </w:tcBorders>
            <w:shd w:val="clear" w:color="auto" w:fill="auto"/>
            <w:hideMark/>
          </w:tcPr>
          <w:p w14:paraId="048E6204" w14:textId="77777777" w:rsidR="00A202E5" w:rsidRPr="00B31282" w:rsidRDefault="00A202E5" w:rsidP="00A7034A">
            <w:pPr>
              <w:keepNext/>
              <w:keepLines/>
              <w:jc w:val="left"/>
              <w:textAlignment w:val="baseline"/>
              <w:rPr>
                <w:rFonts w:ascii="Arial Narrow" w:hAnsi="Arial Narrow" w:cs="Times New Roman"/>
                <w:sz w:val="20"/>
                <w:szCs w:val="20"/>
              </w:rPr>
            </w:pPr>
            <w:r w:rsidRPr="00B31282">
              <w:rPr>
                <w:rFonts w:ascii="Arial Narrow" w:hAnsi="Arial Narrow" w:cs="Times New Roman"/>
                <w:sz w:val="20"/>
                <w:szCs w:val="20"/>
              </w:rPr>
              <w:t>Events, n (%) </w:t>
            </w:r>
          </w:p>
        </w:tc>
        <w:tc>
          <w:tcPr>
            <w:tcW w:w="1255" w:type="pct"/>
            <w:tcBorders>
              <w:top w:val="single" w:sz="6" w:space="0" w:color="auto"/>
              <w:left w:val="single" w:sz="6" w:space="0" w:color="auto"/>
              <w:bottom w:val="nil"/>
              <w:right w:val="single" w:sz="6" w:space="0" w:color="auto"/>
            </w:tcBorders>
            <w:shd w:val="clear" w:color="auto" w:fill="auto"/>
            <w:vAlign w:val="center"/>
            <w:hideMark/>
          </w:tcPr>
          <w:p w14:paraId="6552DF49" w14:textId="77777777" w:rsidR="00A202E5" w:rsidRPr="00B31282" w:rsidRDefault="00A202E5" w:rsidP="00A7034A">
            <w:pPr>
              <w:pStyle w:val="COMTabletext"/>
              <w:keepLines/>
              <w:jc w:val="center"/>
              <w:rPr>
                <w:szCs w:val="20"/>
              </w:rPr>
            </w:pPr>
            <w:r w:rsidRPr="00B31282">
              <w:rPr>
                <w:szCs w:val="20"/>
              </w:rPr>
              <w:t>33 (10.1)</w:t>
            </w:r>
          </w:p>
        </w:tc>
        <w:tc>
          <w:tcPr>
            <w:tcW w:w="1255" w:type="pct"/>
            <w:tcBorders>
              <w:top w:val="single" w:sz="6" w:space="0" w:color="auto"/>
              <w:left w:val="single" w:sz="6" w:space="0" w:color="auto"/>
              <w:bottom w:val="nil"/>
              <w:right w:val="single" w:sz="6" w:space="0" w:color="auto"/>
            </w:tcBorders>
            <w:shd w:val="clear" w:color="auto" w:fill="auto"/>
            <w:vAlign w:val="center"/>
            <w:hideMark/>
          </w:tcPr>
          <w:p w14:paraId="374CD753" w14:textId="77777777" w:rsidR="00A202E5" w:rsidRPr="00B31282" w:rsidRDefault="00A202E5" w:rsidP="00A7034A">
            <w:pPr>
              <w:pStyle w:val="COMTabletext"/>
              <w:keepLines/>
              <w:jc w:val="center"/>
              <w:rPr>
                <w:szCs w:val="20"/>
              </w:rPr>
            </w:pPr>
            <w:r w:rsidRPr="00B31282">
              <w:rPr>
                <w:szCs w:val="20"/>
              </w:rPr>
              <w:t>40 (12.3)</w:t>
            </w:r>
          </w:p>
        </w:tc>
      </w:tr>
      <w:tr w:rsidR="00A202E5" w:rsidRPr="00B31282" w14:paraId="17B7DEE3" w14:textId="77777777" w:rsidTr="00D12BAD">
        <w:tc>
          <w:tcPr>
            <w:tcW w:w="2490" w:type="pct"/>
            <w:tcBorders>
              <w:top w:val="single" w:sz="6" w:space="0" w:color="auto"/>
              <w:left w:val="single" w:sz="6" w:space="0" w:color="auto"/>
              <w:bottom w:val="single" w:sz="6" w:space="0" w:color="auto"/>
              <w:right w:val="single" w:sz="4" w:space="0" w:color="auto"/>
            </w:tcBorders>
            <w:shd w:val="clear" w:color="auto" w:fill="auto"/>
          </w:tcPr>
          <w:p w14:paraId="42F7B991" w14:textId="77777777" w:rsidR="00A202E5" w:rsidRPr="00B31282" w:rsidRDefault="00A202E5" w:rsidP="00A7034A">
            <w:pPr>
              <w:keepNext/>
              <w:keepLines/>
              <w:jc w:val="left"/>
              <w:textAlignment w:val="baseline"/>
              <w:rPr>
                <w:rFonts w:ascii="Arial Narrow" w:hAnsi="Arial Narrow" w:cs="Times New Roman"/>
                <w:sz w:val="20"/>
                <w:szCs w:val="20"/>
              </w:rPr>
            </w:pPr>
            <w:r w:rsidRPr="00B31282">
              <w:rPr>
                <w:rFonts w:ascii="Arial Narrow" w:hAnsi="Arial Narrow" w:cs="Times New Roman"/>
                <w:sz w:val="20"/>
                <w:szCs w:val="20"/>
              </w:rPr>
              <w:t>Hazard ratio (95% CI)</w:t>
            </w:r>
          </w:p>
        </w:tc>
        <w:tc>
          <w:tcPr>
            <w:tcW w:w="2510" w:type="pct"/>
            <w:gridSpan w:val="2"/>
            <w:tcBorders>
              <w:top w:val="single" w:sz="4" w:space="0" w:color="auto"/>
              <w:left w:val="single" w:sz="4" w:space="0" w:color="auto"/>
              <w:bottom w:val="single" w:sz="4" w:space="0" w:color="auto"/>
              <w:right w:val="single" w:sz="4" w:space="0" w:color="auto"/>
            </w:tcBorders>
            <w:vAlign w:val="center"/>
          </w:tcPr>
          <w:p w14:paraId="3496C95E" w14:textId="77777777" w:rsidR="00A202E5" w:rsidRPr="00B31282" w:rsidRDefault="00A202E5" w:rsidP="00A7034A">
            <w:pPr>
              <w:pStyle w:val="COMTabletext"/>
              <w:keepLines/>
              <w:jc w:val="center"/>
              <w:rPr>
                <w:szCs w:val="20"/>
              </w:rPr>
            </w:pPr>
            <w:r w:rsidRPr="00B31282">
              <w:rPr>
                <w:szCs w:val="20"/>
              </w:rPr>
              <w:t>0.80 (0.50, 1.28)</w:t>
            </w:r>
          </w:p>
        </w:tc>
      </w:tr>
      <w:tr w:rsidR="00A202E5" w:rsidRPr="00B31282" w14:paraId="33DCEE79" w14:textId="77777777" w:rsidTr="00D12BAD">
        <w:tc>
          <w:tcPr>
            <w:tcW w:w="2490" w:type="pct"/>
            <w:tcBorders>
              <w:top w:val="single" w:sz="6" w:space="0" w:color="auto"/>
              <w:left w:val="single" w:sz="6" w:space="0" w:color="auto"/>
              <w:bottom w:val="single" w:sz="4" w:space="0" w:color="auto"/>
              <w:right w:val="single" w:sz="6" w:space="0" w:color="auto"/>
            </w:tcBorders>
            <w:shd w:val="clear" w:color="auto" w:fill="auto"/>
          </w:tcPr>
          <w:p w14:paraId="03EE65BD" w14:textId="77777777" w:rsidR="00A202E5" w:rsidRPr="00B31282" w:rsidRDefault="00A202E5" w:rsidP="00A7034A">
            <w:pPr>
              <w:keepNext/>
              <w:keepLines/>
              <w:jc w:val="left"/>
              <w:textAlignment w:val="baseline"/>
              <w:rPr>
                <w:rFonts w:ascii="Arial Narrow" w:hAnsi="Arial Narrow" w:cs="Times New Roman"/>
                <w:sz w:val="20"/>
                <w:szCs w:val="20"/>
              </w:rPr>
            </w:pPr>
            <w:r w:rsidRPr="00B31282">
              <w:rPr>
                <w:rFonts w:ascii="Arial Narrow" w:hAnsi="Arial Narrow" w:cs="Times New Roman"/>
                <w:sz w:val="20"/>
                <w:szCs w:val="20"/>
              </w:rPr>
              <w:t>Overall survival, median months (95% CI)</w:t>
            </w:r>
          </w:p>
        </w:tc>
        <w:tc>
          <w:tcPr>
            <w:tcW w:w="1255" w:type="pct"/>
            <w:tcBorders>
              <w:top w:val="single" w:sz="4" w:space="0" w:color="auto"/>
              <w:left w:val="single" w:sz="6" w:space="0" w:color="auto"/>
              <w:bottom w:val="single" w:sz="4" w:space="0" w:color="auto"/>
              <w:right w:val="single" w:sz="4" w:space="0" w:color="auto"/>
            </w:tcBorders>
            <w:shd w:val="clear" w:color="auto" w:fill="auto"/>
            <w:vAlign w:val="center"/>
          </w:tcPr>
          <w:p w14:paraId="6BC1AAC5" w14:textId="77777777" w:rsidR="00A202E5" w:rsidRPr="00B31282" w:rsidRDefault="00A202E5" w:rsidP="00A7034A">
            <w:pPr>
              <w:pStyle w:val="COMTabletext"/>
              <w:keepLines/>
              <w:jc w:val="center"/>
              <w:rPr>
                <w:szCs w:val="20"/>
              </w:rPr>
            </w:pPr>
            <w:r w:rsidRPr="00B31282">
              <w:rPr>
                <w:szCs w:val="20"/>
              </w:rPr>
              <w:t>NE (NE, NE)</w:t>
            </w:r>
          </w:p>
        </w:tc>
        <w:tc>
          <w:tcPr>
            <w:tcW w:w="1255" w:type="pct"/>
            <w:tcBorders>
              <w:top w:val="single" w:sz="4" w:space="0" w:color="auto"/>
              <w:left w:val="single" w:sz="4" w:space="0" w:color="auto"/>
              <w:bottom w:val="single" w:sz="4" w:space="0" w:color="auto"/>
              <w:right w:val="single" w:sz="6" w:space="0" w:color="auto"/>
            </w:tcBorders>
            <w:shd w:val="clear" w:color="auto" w:fill="auto"/>
            <w:vAlign w:val="center"/>
          </w:tcPr>
          <w:p w14:paraId="7FC140B9" w14:textId="77777777" w:rsidR="00A202E5" w:rsidRPr="00B31282" w:rsidRDefault="00A202E5" w:rsidP="00A7034A">
            <w:pPr>
              <w:pStyle w:val="COMTabletext"/>
              <w:keepLines/>
              <w:jc w:val="center"/>
              <w:rPr>
                <w:szCs w:val="20"/>
              </w:rPr>
            </w:pPr>
            <w:r w:rsidRPr="00B31282">
              <w:rPr>
                <w:szCs w:val="20"/>
              </w:rPr>
              <w:t>NE (NE, NE)</w:t>
            </w:r>
          </w:p>
        </w:tc>
      </w:tr>
      <w:tr w:rsidR="00A202E5" w:rsidRPr="00B31282" w14:paraId="6B46F180" w14:textId="77777777" w:rsidTr="00D12BAD">
        <w:tc>
          <w:tcPr>
            <w:tcW w:w="2490" w:type="pct"/>
            <w:tcBorders>
              <w:top w:val="single" w:sz="4" w:space="0" w:color="auto"/>
              <w:left w:val="single" w:sz="4" w:space="0" w:color="auto"/>
              <w:bottom w:val="single" w:sz="4" w:space="0" w:color="auto"/>
              <w:right w:val="single" w:sz="4" w:space="0" w:color="auto"/>
            </w:tcBorders>
            <w:shd w:val="clear" w:color="auto" w:fill="auto"/>
            <w:hideMark/>
          </w:tcPr>
          <w:p w14:paraId="3DB555C6" w14:textId="77777777" w:rsidR="00A202E5" w:rsidRPr="00B31282" w:rsidRDefault="00A202E5" w:rsidP="00A7034A">
            <w:pPr>
              <w:pStyle w:val="COMTabletext"/>
              <w:keepLines/>
              <w:rPr>
                <w:szCs w:val="20"/>
              </w:rPr>
            </w:pPr>
            <w:r w:rsidRPr="00B31282">
              <w:rPr>
                <w:szCs w:val="20"/>
              </w:rPr>
              <w:t>Event-free rate at, % (95% CI)</w:t>
            </w:r>
          </w:p>
          <w:p w14:paraId="70A86125" w14:textId="77777777" w:rsidR="00A202E5" w:rsidRPr="00B31282" w:rsidRDefault="00A202E5" w:rsidP="00A7034A">
            <w:pPr>
              <w:pStyle w:val="COMTabletext"/>
              <w:keepLines/>
              <w:rPr>
                <w:szCs w:val="20"/>
              </w:rPr>
            </w:pPr>
            <w:r w:rsidRPr="00B31282">
              <w:rPr>
                <w:szCs w:val="20"/>
              </w:rPr>
              <w:t>- 6 months</w:t>
            </w:r>
          </w:p>
          <w:p w14:paraId="06A3CEF1" w14:textId="77777777" w:rsidR="00A202E5" w:rsidRPr="00B31282" w:rsidRDefault="00A202E5" w:rsidP="00A7034A">
            <w:pPr>
              <w:pStyle w:val="COMTabletext"/>
              <w:keepLines/>
              <w:rPr>
                <w:szCs w:val="20"/>
              </w:rPr>
            </w:pPr>
            <w:r w:rsidRPr="00B31282">
              <w:rPr>
                <w:szCs w:val="20"/>
              </w:rPr>
              <w:t>- 12 months</w:t>
            </w:r>
          </w:p>
          <w:p w14:paraId="5546A8D3" w14:textId="77777777" w:rsidR="00A202E5" w:rsidRPr="00B31282" w:rsidRDefault="00A202E5" w:rsidP="00A7034A">
            <w:pPr>
              <w:pStyle w:val="COMTabletext"/>
              <w:keepLines/>
              <w:rPr>
                <w:szCs w:val="20"/>
              </w:rPr>
            </w:pPr>
            <w:r w:rsidRPr="00B31282">
              <w:rPr>
                <w:szCs w:val="20"/>
              </w:rPr>
              <w:t>- 18 months</w:t>
            </w:r>
          </w:p>
          <w:p w14:paraId="12C7861D" w14:textId="77777777" w:rsidR="00A202E5" w:rsidRPr="00B31282" w:rsidRDefault="00A202E5" w:rsidP="00A7034A">
            <w:pPr>
              <w:pStyle w:val="COMTabletext"/>
              <w:keepLines/>
              <w:rPr>
                <w:szCs w:val="20"/>
              </w:rPr>
            </w:pPr>
            <w:r w:rsidRPr="00B31282">
              <w:rPr>
                <w:szCs w:val="20"/>
              </w:rPr>
              <w:t>- 24 months</w:t>
            </w:r>
          </w:p>
          <w:p w14:paraId="0B70C9C0" w14:textId="77777777" w:rsidR="00A202E5" w:rsidRPr="00B31282" w:rsidRDefault="00A202E5" w:rsidP="00A7034A">
            <w:pPr>
              <w:pStyle w:val="COMTabletext"/>
              <w:keepLines/>
              <w:rPr>
                <w:szCs w:val="20"/>
              </w:rPr>
            </w:pPr>
            <w:r w:rsidRPr="00B31282">
              <w:rPr>
                <w:szCs w:val="20"/>
              </w:rPr>
              <w:t>- 30 months</w:t>
            </w:r>
          </w:p>
          <w:p w14:paraId="00F87B9C" w14:textId="77777777" w:rsidR="00A202E5" w:rsidRPr="00B31282" w:rsidRDefault="00A202E5" w:rsidP="00A7034A">
            <w:pPr>
              <w:pStyle w:val="COMTabletext"/>
              <w:keepLines/>
              <w:rPr>
                <w:rFonts w:cs="Times New Roman"/>
                <w:szCs w:val="20"/>
              </w:rPr>
            </w:pPr>
            <w:r w:rsidRPr="00B31282">
              <w:rPr>
                <w:szCs w:val="20"/>
              </w:rPr>
              <w:t>- 36 months</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57AAAD44" w14:textId="77777777" w:rsidR="00A202E5" w:rsidRPr="00B31282" w:rsidRDefault="00A202E5" w:rsidP="00A7034A">
            <w:pPr>
              <w:pStyle w:val="COMTabletext"/>
              <w:keepLines/>
              <w:jc w:val="center"/>
              <w:rPr>
                <w:szCs w:val="20"/>
              </w:rPr>
            </w:pPr>
          </w:p>
          <w:p w14:paraId="49C6003E" w14:textId="77777777" w:rsidR="00A202E5" w:rsidRPr="00B31282" w:rsidRDefault="00A202E5" w:rsidP="00A7034A">
            <w:pPr>
              <w:pStyle w:val="COMTabletext"/>
              <w:keepLines/>
              <w:jc w:val="center"/>
              <w:rPr>
                <w:szCs w:val="20"/>
              </w:rPr>
            </w:pPr>
            <w:r w:rsidRPr="00B31282">
              <w:rPr>
                <w:szCs w:val="20"/>
              </w:rPr>
              <w:t xml:space="preserve">96.9 (94.3, 98.3) </w:t>
            </w:r>
          </w:p>
          <w:p w14:paraId="4C04171A" w14:textId="77777777" w:rsidR="00A202E5" w:rsidRPr="00B31282" w:rsidRDefault="00A202E5" w:rsidP="00A7034A">
            <w:pPr>
              <w:pStyle w:val="COMTabletext"/>
              <w:keepLines/>
              <w:jc w:val="center"/>
              <w:rPr>
                <w:szCs w:val="20"/>
              </w:rPr>
            </w:pPr>
            <w:r w:rsidRPr="00B31282">
              <w:rPr>
                <w:szCs w:val="20"/>
              </w:rPr>
              <w:t xml:space="preserve">95.0 (92.0, 96.9) </w:t>
            </w:r>
          </w:p>
          <w:p w14:paraId="53F70C59" w14:textId="77777777" w:rsidR="00A202E5" w:rsidRPr="00B31282" w:rsidRDefault="00A202E5" w:rsidP="00A7034A">
            <w:pPr>
              <w:pStyle w:val="COMTabletext"/>
              <w:keepLines/>
              <w:jc w:val="center"/>
              <w:rPr>
                <w:szCs w:val="20"/>
              </w:rPr>
            </w:pPr>
            <w:r w:rsidRPr="00B31282">
              <w:rPr>
                <w:szCs w:val="20"/>
              </w:rPr>
              <w:t xml:space="preserve">90.5 (86.4, 93.3) </w:t>
            </w:r>
          </w:p>
          <w:p w14:paraId="47A18C3F" w14:textId="77777777" w:rsidR="00A202E5" w:rsidRPr="00B31282" w:rsidRDefault="00A202E5" w:rsidP="00A7034A">
            <w:pPr>
              <w:pStyle w:val="COMTabletext"/>
              <w:keepLines/>
              <w:jc w:val="center"/>
              <w:rPr>
                <w:szCs w:val="20"/>
              </w:rPr>
            </w:pPr>
            <w:r w:rsidRPr="00B31282">
              <w:rPr>
                <w:szCs w:val="20"/>
              </w:rPr>
              <w:t xml:space="preserve">88.5 (84.1, 91.8) </w:t>
            </w:r>
          </w:p>
          <w:p w14:paraId="1B8E2588" w14:textId="77777777" w:rsidR="00A202E5" w:rsidRPr="00B31282" w:rsidRDefault="00A202E5" w:rsidP="00A7034A">
            <w:pPr>
              <w:pStyle w:val="COMTabletext"/>
              <w:keepLines/>
              <w:jc w:val="center"/>
              <w:rPr>
                <w:szCs w:val="20"/>
              </w:rPr>
            </w:pPr>
            <w:r w:rsidRPr="00B31282">
              <w:rPr>
                <w:szCs w:val="20"/>
              </w:rPr>
              <w:t xml:space="preserve">87.8 (83.1, 91.3) </w:t>
            </w:r>
          </w:p>
          <w:p w14:paraId="37428150" w14:textId="77777777" w:rsidR="00A202E5" w:rsidRPr="00B31282" w:rsidRDefault="00A202E5" w:rsidP="00A7034A">
            <w:pPr>
              <w:pStyle w:val="COMTabletext"/>
              <w:keepLines/>
              <w:jc w:val="center"/>
              <w:rPr>
                <w:szCs w:val="20"/>
              </w:rPr>
            </w:pPr>
            <w:r w:rsidRPr="00B31282">
              <w:rPr>
                <w:szCs w:val="20"/>
              </w:rPr>
              <w:t xml:space="preserve">NE (NE, NE) </w:t>
            </w:r>
          </w:p>
        </w:tc>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0D67A8AA" w14:textId="77777777" w:rsidR="00A202E5" w:rsidRPr="00B31282" w:rsidRDefault="00A202E5" w:rsidP="00A7034A">
            <w:pPr>
              <w:pStyle w:val="COMTabletext"/>
              <w:keepLines/>
              <w:jc w:val="center"/>
              <w:rPr>
                <w:szCs w:val="20"/>
              </w:rPr>
            </w:pPr>
          </w:p>
          <w:p w14:paraId="5CBE49FD" w14:textId="77777777" w:rsidR="00A202E5" w:rsidRPr="00B31282" w:rsidRDefault="00A202E5" w:rsidP="00A7034A">
            <w:pPr>
              <w:pStyle w:val="COMTabletext"/>
              <w:keepLines/>
              <w:jc w:val="center"/>
              <w:rPr>
                <w:szCs w:val="20"/>
              </w:rPr>
            </w:pPr>
            <w:r w:rsidRPr="00B31282">
              <w:rPr>
                <w:szCs w:val="20"/>
              </w:rPr>
              <w:t>96.0 (93.2, 97.6)</w:t>
            </w:r>
          </w:p>
          <w:p w14:paraId="0B294CA6" w14:textId="77777777" w:rsidR="00A202E5" w:rsidRPr="00B31282" w:rsidRDefault="00A202E5" w:rsidP="00A7034A">
            <w:pPr>
              <w:pStyle w:val="COMTabletext"/>
              <w:keepLines/>
              <w:jc w:val="center"/>
              <w:rPr>
                <w:szCs w:val="20"/>
              </w:rPr>
            </w:pPr>
            <w:r w:rsidRPr="00B31282">
              <w:rPr>
                <w:szCs w:val="20"/>
              </w:rPr>
              <w:t>92.8 (89.4, 95.2)</w:t>
            </w:r>
          </w:p>
          <w:p w14:paraId="4A6E38B2" w14:textId="77777777" w:rsidR="00A202E5" w:rsidRPr="00B31282" w:rsidRDefault="00A202E5" w:rsidP="00A7034A">
            <w:pPr>
              <w:pStyle w:val="COMTabletext"/>
              <w:keepLines/>
              <w:jc w:val="center"/>
              <w:rPr>
                <w:szCs w:val="20"/>
              </w:rPr>
            </w:pPr>
            <w:r w:rsidRPr="00B31282">
              <w:rPr>
                <w:szCs w:val="20"/>
              </w:rPr>
              <w:t>88.9 (84.7, 92.0)</w:t>
            </w:r>
          </w:p>
          <w:p w14:paraId="0181EDF1" w14:textId="77777777" w:rsidR="00A202E5" w:rsidRPr="00B31282" w:rsidRDefault="00A202E5" w:rsidP="00A7034A">
            <w:pPr>
              <w:pStyle w:val="COMTabletext"/>
              <w:keepLines/>
              <w:jc w:val="center"/>
              <w:rPr>
                <w:szCs w:val="20"/>
              </w:rPr>
            </w:pPr>
            <w:r w:rsidRPr="00B31282">
              <w:rPr>
                <w:szCs w:val="20"/>
              </w:rPr>
              <w:t>85.9 (81.0, 89.6)</w:t>
            </w:r>
          </w:p>
          <w:p w14:paraId="7091F1E4" w14:textId="77777777" w:rsidR="00A202E5" w:rsidRPr="00B31282" w:rsidRDefault="00A202E5" w:rsidP="00A7034A">
            <w:pPr>
              <w:pStyle w:val="COMTabletext"/>
              <w:keepLines/>
              <w:jc w:val="center"/>
              <w:rPr>
                <w:szCs w:val="20"/>
              </w:rPr>
            </w:pPr>
            <w:r w:rsidRPr="00B31282">
              <w:rPr>
                <w:szCs w:val="20"/>
              </w:rPr>
              <w:t>85.2 (80.2, 89.0)</w:t>
            </w:r>
          </w:p>
          <w:p w14:paraId="29F9B2A3" w14:textId="0EB5C358" w:rsidR="00A202E5" w:rsidRPr="00B31282" w:rsidRDefault="00A202E5" w:rsidP="00A7034A">
            <w:pPr>
              <w:pStyle w:val="COMexecsumnumberedpara"/>
              <w:keepNext/>
              <w:keepLines/>
              <w:numPr>
                <w:ilvl w:val="0"/>
                <w:numId w:val="0"/>
              </w:numPr>
              <w:spacing w:after="0"/>
              <w:ind w:left="720" w:hanging="720"/>
              <w:jc w:val="center"/>
              <w:rPr>
                <w:rFonts w:ascii="Arial Narrow" w:hAnsi="Arial Narrow"/>
                <w:sz w:val="20"/>
                <w:szCs w:val="20"/>
              </w:rPr>
            </w:pPr>
            <w:r w:rsidRPr="00B31282">
              <w:rPr>
                <w:rFonts w:ascii="Arial Narrow" w:hAnsi="Arial Narrow"/>
                <w:sz w:val="20"/>
                <w:szCs w:val="20"/>
              </w:rPr>
              <w:t>(80.2, 89.0)</w:t>
            </w:r>
          </w:p>
        </w:tc>
      </w:tr>
    </w:tbl>
    <w:p w14:paraId="5BB12E24" w14:textId="77777777" w:rsidR="00A202E5" w:rsidRPr="00B31282" w:rsidRDefault="00A202E5" w:rsidP="00A202E5">
      <w:pPr>
        <w:pStyle w:val="COMTablefooter"/>
      </w:pPr>
      <w:r w:rsidRPr="00B31282">
        <w:t>Source: Table 2-19, p63; Table 2-20, p65 of the submission; Table 19, p96 ALPINE clinical study report</w:t>
      </w:r>
    </w:p>
    <w:p w14:paraId="5A449EED" w14:textId="7C6C2415" w:rsidR="00EE0F54" w:rsidRPr="00B31282" w:rsidRDefault="00A202E5" w:rsidP="00A202E5">
      <w:pPr>
        <w:pStyle w:val="COMTablefooter"/>
      </w:pPr>
      <w:r w:rsidRPr="00B31282">
        <w:t>Abbreviations: CI, confidence interval; NE, not estimable</w:t>
      </w:r>
    </w:p>
    <w:p w14:paraId="12E366B0" w14:textId="7C9D9FF6" w:rsidR="00A202E5" w:rsidRPr="00B31282" w:rsidRDefault="00A202E5" w:rsidP="00460C04">
      <w:pPr>
        <w:pStyle w:val="COMexecsumnumberedpara"/>
      </w:pPr>
      <w:r w:rsidRPr="00B31282">
        <w:t>As of the data cut-off date, there were 33 deaths reported in the zanubrutinib arm (10.1%) and 40 deaths reported in the ibrutinib arm (12.3%) in the ITT analysis set. Median overall survival was not reached in either arm with a median follow-up time of 24.9 months in the zanubrutinib arm and 24.6 months in the ibrutinib arm.</w:t>
      </w:r>
    </w:p>
    <w:p w14:paraId="2E88E8DC" w14:textId="41FCD083" w:rsidR="00A202E5" w:rsidRPr="00B31282" w:rsidRDefault="00A202E5" w:rsidP="00A202E5">
      <w:pPr>
        <w:pStyle w:val="COMexecsumnumberedpara"/>
      </w:pPr>
      <w:r w:rsidRPr="00B31282">
        <w:t>Results for patient-reported outcomes are summarised in Section 11.4.1.10, p98 of the ALPINE clinical study report. The estimated mean treatment difference in the patient-reported outcome endpoints showed generally similar health-related quality of life outcomes in the zanubrutinib-treated patients compared with the ibrutinib-treated patients in both the EORTC QLQ-C30 and the EQ-5D 5-Level.</w:t>
      </w:r>
    </w:p>
    <w:p w14:paraId="1AD811BA" w14:textId="7B4F7928" w:rsidR="00A202E5" w:rsidRPr="00B31282" w:rsidRDefault="1B326DEB" w:rsidP="00A202E5">
      <w:pPr>
        <w:pStyle w:val="COMexecsumnumberedpara"/>
      </w:pPr>
      <w:r w:rsidRPr="00A1256E">
        <w:t>Results of subgroup analys</w:t>
      </w:r>
      <w:r w:rsidR="297643EF" w:rsidRPr="00A1256E">
        <w:t>e</w:t>
      </w:r>
      <w:r w:rsidRPr="00A1256E">
        <w:t>s</w:t>
      </w:r>
      <w:r w:rsidR="297643EF" w:rsidRPr="00A1256E">
        <w:t xml:space="preserve"> for the outcome of overall response rate (both by independent central review, and investigator-assessed)</w:t>
      </w:r>
      <w:r w:rsidRPr="00A1256E">
        <w:t xml:space="preserve"> are presented in </w:t>
      </w:r>
      <w:r w:rsidR="009B53D5" w:rsidRPr="00A1256E">
        <w:t>the main body</w:t>
      </w:r>
      <w:r w:rsidRPr="00A1256E">
        <w:t xml:space="preserve"> of the commentary.</w:t>
      </w:r>
      <w:r>
        <w:t xml:space="preserve"> Results for</w:t>
      </w:r>
      <w:r w:rsidR="55EBD440">
        <w:t xml:space="preserve"> the analysis </w:t>
      </w:r>
      <w:r>
        <w:t xml:space="preserve">of the overall response rate assessed by independent central review </w:t>
      </w:r>
      <w:r w:rsidR="55EBD440">
        <w:t>and</w:t>
      </w:r>
      <w:r>
        <w:t xml:space="preserve"> investigator-assessed overall response rate</w:t>
      </w:r>
      <w:r w:rsidR="55EBD440">
        <w:t xml:space="preserve"> were broadly consistent with one another</w:t>
      </w:r>
      <w:r>
        <w:t>; that is, most comparisons suggested no statistically significant difference between zanubrutinib and ibrutinib. No tests for treatment effect interaction were conducted.</w:t>
      </w:r>
      <w:r w:rsidR="6E05E2E9">
        <w:t xml:space="preserve"> </w:t>
      </w:r>
      <w:r w:rsidR="009B53D5" w:rsidRPr="009F171F">
        <w:rPr>
          <w:iCs/>
        </w:rPr>
        <w:t xml:space="preserve">The </w:t>
      </w:r>
      <w:r w:rsidR="6E05E2E9" w:rsidRPr="009F171F">
        <w:rPr>
          <w:iCs/>
        </w:rPr>
        <w:t>ESC agreed this was consistent with the clinical claim of non-inferior efficacy.</w:t>
      </w:r>
      <w:r w:rsidR="6E05E2E9">
        <w:t xml:space="preserve"> </w:t>
      </w:r>
    </w:p>
    <w:p w14:paraId="718AECA5" w14:textId="77777777" w:rsidR="00EF6AF6" w:rsidRPr="00991026" w:rsidRDefault="00EF6AF6" w:rsidP="00991026">
      <w:pPr>
        <w:pStyle w:val="COMH3"/>
        <w:spacing w:after="120"/>
        <w:outlineLvl w:val="2"/>
        <w:rPr>
          <w:sz w:val="24"/>
          <w:szCs w:val="22"/>
        </w:rPr>
      </w:pPr>
      <w:r w:rsidRPr="00991026">
        <w:rPr>
          <w:sz w:val="24"/>
          <w:szCs w:val="22"/>
        </w:rPr>
        <w:t>Indirect comparison of zanubrutinib versus acalabrutinib</w:t>
      </w:r>
    </w:p>
    <w:p w14:paraId="79A57A7D" w14:textId="77777777" w:rsidR="00EF6AF6" w:rsidRPr="00B31282" w:rsidRDefault="00EF6AF6" w:rsidP="00EF6AF6">
      <w:pPr>
        <w:pStyle w:val="COMexecsumnumberedpara"/>
      </w:pPr>
      <w:r w:rsidRPr="00B31282">
        <w:t>The submission presented Bucher method indirect comparisons for zanubrutinib (ALPINE) versus acalabrutinib (ELEVATE-RR) using the ibrutinib arm of each as the common reference. The submission noted a number of differences between these trials that may affect the transitivity assumption:</w:t>
      </w:r>
    </w:p>
    <w:p w14:paraId="5C58F3B0" w14:textId="1BEE8FA9" w:rsidR="00EF6AF6" w:rsidRPr="00B31282" w:rsidRDefault="00EF6AF6" w:rsidP="00EF6AF6">
      <w:pPr>
        <w:pStyle w:val="COMexecsummbulletlist"/>
      </w:pPr>
      <w:r w:rsidRPr="00B31282">
        <w:t>ELEVATE-RR included more ‘high risk’ patients with del17p and/or del11q (45.1% and 62.3%, respectively), compared with the ALPINE trial (13.8% and 27.8%, respectively). ALPINE included patients after at least one prior line of treatment (median = 1 prior therapy). After a protocol amendment, the recruitment in ELEVATE-RR was limited to patients who had at least 2 prior lines of treatment (median=2 prior lines of therapy). However, some patients with only one prior line of treatment had already been recruited and remained in the trial. Median follow-up in ALPINE was shorter than that in ELEVATE-RR. Immature data for long-term outcomes in ALPINE may lead to increased uncertainty in the relative efficacy estimates (e.g., HR for OS).</w:t>
      </w:r>
    </w:p>
    <w:p w14:paraId="5B897E87" w14:textId="77777777" w:rsidR="00EF6AF6" w:rsidRPr="00B31282" w:rsidRDefault="00EF6AF6" w:rsidP="00EF6AF6">
      <w:pPr>
        <w:pStyle w:val="COMexecsummbulletlist"/>
      </w:pPr>
      <w:r w:rsidRPr="00B31282">
        <w:t xml:space="preserve">ALPINE included patients with SLL (n=4% of zanubrutinib-treated patients), whereas ELEVATE-RR did not. </w:t>
      </w:r>
    </w:p>
    <w:p w14:paraId="44162B66" w14:textId="69F83AD2" w:rsidR="00EF6AF6" w:rsidRPr="00B31282" w:rsidRDefault="00EF6AF6" w:rsidP="00EF6AF6">
      <w:pPr>
        <w:pStyle w:val="COMexecsummbulletlist"/>
      </w:pPr>
      <w:r w:rsidRPr="00B31282">
        <w:t>Imbalances (&gt;5% in proportions) between both active and control arms in ALPINE and ELEVATE-RR were also shown in terms of the following factors: unmutated IGHV, presence of complex karyotype, β2-microglobulin, age, and presence of anaemia.</w:t>
      </w:r>
    </w:p>
    <w:p w14:paraId="218BD168" w14:textId="77777777" w:rsidR="00EF6AF6" w:rsidRPr="00380B09" w:rsidRDefault="00EF6AF6" w:rsidP="00EF6AF6">
      <w:pPr>
        <w:pStyle w:val="COMexecsumnumberedpara"/>
        <w:rPr>
          <w:iCs/>
        </w:rPr>
      </w:pPr>
      <w:r w:rsidRPr="00380B09">
        <w:rPr>
          <w:iCs/>
        </w:rPr>
        <w:t>There were differences in the trial populations between ALPINE and ELEVATE-RR, suggesting that the indirect comparisons may not be appropriate. In particular, ELEVATE-RR recruited a ‘high risk’ population with cytogenetic mutations, who were at increased risk of disease progression compared with ALPINE.</w:t>
      </w:r>
    </w:p>
    <w:p w14:paraId="57734F62" w14:textId="79ABA60C" w:rsidR="00EF6AF6" w:rsidRPr="00B31282" w:rsidRDefault="00EF6AF6" w:rsidP="00A202E5">
      <w:pPr>
        <w:pStyle w:val="COMexecsumnumberedpara"/>
      </w:pPr>
      <w:r w:rsidRPr="00B31282">
        <w:t xml:space="preserve">The results for the indirect comparison between zanubrutinib versus acalabrutinib using ibrutinib treatment arms as a common reference for the outcome of independent central review committee-assessed progression-free survival, are summarised </w:t>
      </w:r>
      <w:r w:rsidR="00460C04" w:rsidRPr="00B31282">
        <w:t>in</w:t>
      </w:r>
      <w:r w:rsidR="001E2613" w:rsidRPr="00B31282">
        <w:t xml:space="preserve"> </w:t>
      </w:r>
      <w:r w:rsidR="001E2613" w:rsidRPr="00B31282">
        <w:fldChar w:fldCharType="begin"/>
      </w:r>
      <w:r w:rsidR="001E2613" w:rsidRPr="00B31282">
        <w:instrText xml:space="preserve"> REF _Ref121756662 \h </w:instrText>
      </w:r>
      <w:r w:rsidR="001E2613" w:rsidRPr="00B31282">
        <w:fldChar w:fldCharType="separate"/>
      </w:r>
      <w:r w:rsidR="00472981" w:rsidRPr="00B31282">
        <w:t xml:space="preserve">Table </w:t>
      </w:r>
      <w:r w:rsidR="00472981">
        <w:rPr>
          <w:noProof/>
        </w:rPr>
        <w:t>7</w:t>
      </w:r>
      <w:r w:rsidR="001E2613" w:rsidRPr="00B31282">
        <w:fldChar w:fldCharType="end"/>
      </w:r>
      <w:r w:rsidRPr="00B31282">
        <w:t>.</w:t>
      </w:r>
    </w:p>
    <w:p w14:paraId="4B340A44" w14:textId="3A46B788" w:rsidR="008548D4" w:rsidRPr="00B31282" w:rsidRDefault="001E2613" w:rsidP="0093286A">
      <w:pPr>
        <w:pStyle w:val="Caption"/>
      </w:pPr>
      <w:bookmarkStart w:id="29" w:name="_Ref121756662"/>
      <w:r w:rsidRPr="00B31282">
        <w:t xml:space="preserve">Table </w:t>
      </w:r>
      <w:r>
        <w:fldChar w:fldCharType="begin"/>
      </w:r>
      <w:r>
        <w:instrText>SEQ Table \* ARABIC</w:instrText>
      </w:r>
      <w:r>
        <w:fldChar w:fldCharType="separate"/>
      </w:r>
      <w:r w:rsidR="00472981">
        <w:rPr>
          <w:noProof/>
        </w:rPr>
        <w:t>7</w:t>
      </w:r>
      <w:r>
        <w:fldChar w:fldCharType="end"/>
      </w:r>
      <w:bookmarkEnd w:id="29"/>
      <w:r w:rsidR="008548D4" w:rsidRPr="00B31282">
        <w:t>: Bucher indirect comparison of independent central review committee-assessed progression-free survival for zanubrutinib versus acalabrutinib</w:t>
      </w:r>
    </w:p>
    <w:tbl>
      <w:tblPr>
        <w:tblW w:w="90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3"/>
        <w:gridCol w:w="1597"/>
        <w:gridCol w:w="1562"/>
        <w:gridCol w:w="1461"/>
        <w:gridCol w:w="1754"/>
        <w:gridCol w:w="1353"/>
      </w:tblGrid>
      <w:tr w:rsidR="008548D4" w:rsidRPr="00B31282" w14:paraId="41B9FFC0" w14:textId="77777777" w:rsidTr="00B71272">
        <w:tc>
          <w:tcPr>
            <w:tcW w:w="12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AA3C7" w14:textId="77777777" w:rsidR="008548D4" w:rsidRPr="00B31282" w:rsidRDefault="008548D4" w:rsidP="00D12BAD">
            <w:pPr>
              <w:jc w:val="left"/>
              <w:textAlignment w:val="baseline"/>
              <w:rPr>
                <w:rFonts w:ascii="Segoe UI" w:hAnsi="Segoe UI" w:cs="Segoe UI"/>
                <w:b/>
                <w:bCs/>
                <w:sz w:val="18"/>
                <w:szCs w:val="18"/>
              </w:rPr>
            </w:pPr>
            <w:r w:rsidRPr="00B31282">
              <w:rPr>
                <w:rFonts w:ascii="Arial Narrow" w:hAnsi="Arial Narrow" w:cs="Segoe UI"/>
                <w:b/>
                <w:bCs/>
                <w:sz w:val="20"/>
                <w:szCs w:val="20"/>
              </w:rPr>
              <w:t>Trial </w:t>
            </w:r>
          </w:p>
        </w:tc>
        <w:tc>
          <w:tcPr>
            <w:tcW w:w="1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E9D14C"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Outcome </w:t>
            </w: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F3FCE"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Zanubrutinib</w:t>
            </w:r>
          </w:p>
        </w:tc>
        <w:tc>
          <w:tcPr>
            <w:tcW w:w="14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F8A98"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Ibrutinib </w:t>
            </w:r>
          </w:p>
        </w:tc>
        <w:tc>
          <w:tcPr>
            <w:tcW w:w="1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4AB02"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Absolute difference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6131A3"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HR (95% CI) </w:t>
            </w:r>
          </w:p>
        </w:tc>
      </w:tr>
      <w:tr w:rsidR="008548D4" w:rsidRPr="00B31282" w14:paraId="13CA57E9" w14:textId="77777777" w:rsidTr="00B71272">
        <w:tc>
          <w:tcPr>
            <w:tcW w:w="127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79531CF"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ALPINE  </w:t>
            </w:r>
          </w:p>
          <w:p w14:paraId="51A4897F"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(22.1 months) </w:t>
            </w:r>
          </w:p>
        </w:tc>
        <w:tc>
          <w:tcPr>
            <w:tcW w:w="1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3C668" w14:textId="165D7AE9" w:rsidR="00843A65" w:rsidRDefault="008548D4" w:rsidP="00D12BAD">
            <w:pPr>
              <w:jc w:val="left"/>
              <w:textAlignment w:val="baseline"/>
              <w:rPr>
                <w:rFonts w:ascii="Arial Narrow" w:hAnsi="Arial Narrow" w:cs="Segoe UI"/>
                <w:sz w:val="20"/>
                <w:szCs w:val="20"/>
              </w:rPr>
            </w:pPr>
            <w:r w:rsidRPr="00B31282">
              <w:rPr>
                <w:rFonts w:ascii="Arial Narrow" w:hAnsi="Arial Narrow" w:cs="Segoe UI"/>
                <w:sz w:val="20"/>
                <w:szCs w:val="20"/>
              </w:rPr>
              <w:t>Progressed</w:t>
            </w:r>
            <w:r w:rsidR="00843A65">
              <w:rPr>
                <w:rFonts w:ascii="Arial Narrow" w:hAnsi="Arial Narrow" w:cs="Segoe UI"/>
                <w:sz w:val="20"/>
                <w:szCs w:val="20"/>
              </w:rPr>
              <w:t>/dead</w:t>
            </w:r>
          </w:p>
          <w:p w14:paraId="303BA8ED" w14:textId="1035289D"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n/N (%)</w:t>
            </w:r>
          </w:p>
        </w:tc>
        <w:tc>
          <w:tcPr>
            <w:tcW w:w="1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C5320" w14:textId="1B4101CE"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60/</w:t>
            </w:r>
            <w:r w:rsidR="007E4F00">
              <w:rPr>
                <w:rFonts w:ascii="Arial Narrow" w:hAnsi="Arial Narrow" w:cs="Segoe UI"/>
                <w:sz w:val="20"/>
                <w:szCs w:val="20"/>
              </w:rPr>
              <w:t>32</w:t>
            </w:r>
            <w:r w:rsidRPr="00B31282">
              <w:rPr>
                <w:rFonts w:ascii="Arial Narrow" w:hAnsi="Arial Narrow" w:cs="Segoe UI"/>
                <w:sz w:val="20"/>
                <w:szCs w:val="20"/>
              </w:rPr>
              <w:t>7 (18.3%)</w:t>
            </w:r>
          </w:p>
        </w:tc>
        <w:tc>
          <w:tcPr>
            <w:tcW w:w="14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DFA51"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87/325 (26.8%)</w:t>
            </w:r>
          </w:p>
        </w:tc>
        <w:tc>
          <w:tcPr>
            <w:tcW w:w="1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8F3D5"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-8.5%</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CEF643"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b/>
                <w:bCs/>
                <w:sz w:val="20"/>
                <w:szCs w:val="20"/>
              </w:rPr>
              <w:t>0.61 (0.44, 0.86)</w:t>
            </w:r>
          </w:p>
        </w:tc>
      </w:tr>
      <w:tr w:rsidR="008548D4" w:rsidRPr="00B31282" w14:paraId="5BCA7108" w14:textId="77777777" w:rsidTr="00B71272">
        <w:tc>
          <w:tcPr>
            <w:tcW w:w="12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9B4AF4" w14:textId="77777777" w:rsidR="008548D4" w:rsidRPr="00B31282" w:rsidRDefault="008548D4" w:rsidP="00D12BAD">
            <w:pPr>
              <w:jc w:val="left"/>
              <w:rPr>
                <w:rFonts w:ascii="Segoe UI" w:hAnsi="Segoe UI" w:cs="Segoe UI"/>
                <w:sz w:val="18"/>
                <w:szCs w:val="18"/>
              </w:rPr>
            </w:pPr>
          </w:p>
        </w:tc>
        <w:tc>
          <w:tcPr>
            <w:tcW w:w="1597" w:type="dxa"/>
            <w:tcBorders>
              <w:top w:val="single" w:sz="6" w:space="0" w:color="auto"/>
              <w:left w:val="single" w:sz="6" w:space="0" w:color="auto"/>
              <w:bottom w:val="double" w:sz="6" w:space="0" w:color="auto"/>
              <w:right w:val="single" w:sz="6" w:space="0" w:color="auto"/>
            </w:tcBorders>
            <w:shd w:val="clear" w:color="auto" w:fill="auto"/>
            <w:vAlign w:val="center"/>
            <w:hideMark/>
          </w:tcPr>
          <w:p w14:paraId="64974D27"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Median PFS, months (95% CI)</w:t>
            </w:r>
          </w:p>
        </w:tc>
        <w:tc>
          <w:tcPr>
            <w:tcW w:w="1562" w:type="dxa"/>
            <w:tcBorders>
              <w:top w:val="single" w:sz="6" w:space="0" w:color="auto"/>
              <w:left w:val="single" w:sz="6" w:space="0" w:color="auto"/>
              <w:bottom w:val="double" w:sz="6" w:space="0" w:color="auto"/>
              <w:right w:val="single" w:sz="6" w:space="0" w:color="auto"/>
            </w:tcBorders>
            <w:shd w:val="clear" w:color="auto" w:fill="auto"/>
            <w:vAlign w:val="center"/>
            <w:hideMark/>
          </w:tcPr>
          <w:p w14:paraId="1B77BB32"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Not reached (NE)</w:t>
            </w:r>
          </w:p>
        </w:tc>
        <w:tc>
          <w:tcPr>
            <w:tcW w:w="1461" w:type="dxa"/>
            <w:tcBorders>
              <w:top w:val="single" w:sz="6" w:space="0" w:color="auto"/>
              <w:left w:val="single" w:sz="6" w:space="0" w:color="auto"/>
              <w:bottom w:val="double" w:sz="6" w:space="0" w:color="auto"/>
              <w:right w:val="single" w:sz="6" w:space="0" w:color="auto"/>
            </w:tcBorders>
            <w:shd w:val="clear" w:color="auto" w:fill="auto"/>
            <w:vAlign w:val="center"/>
            <w:hideMark/>
          </w:tcPr>
          <w:p w14:paraId="5B552176"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Not reached (NE)</w:t>
            </w:r>
          </w:p>
        </w:tc>
        <w:tc>
          <w:tcPr>
            <w:tcW w:w="1754" w:type="dxa"/>
            <w:tcBorders>
              <w:top w:val="single" w:sz="6" w:space="0" w:color="auto"/>
              <w:left w:val="single" w:sz="6" w:space="0" w:color="auto"/>
              <w:bottom w:val="double" w:sz="6" w:space="0" w:color="auto"/>
              <w:right w:val="single" w:sz="6" w:space="0" w:color="auto"/>
            </w:tcBorders>
            <w:shd w:val="clear" w:color="auto" w:fill="auto"/>
            <w:vAlign w:val="center"/>
            <w:hideMark/>
          </w:tcPr>
          <w:p w14:paraId="6BF1A3D3" w14:textId="77777777" w:rsidR="008548D4" w:rsidRPr="00B31282" w:rsidRDefault="008548D4" w:rsidP="00D12BAD">
            <w:pPr>
              <w:pStyle w:val="COMTabletext"/>
              <w:jc w:val="center"/>
            </w:pPr>
            <w:r w:rsidRPr="00B31282">
              <w:t>NE</w:t>
            </w:r>
          </w:p>
        </w:tc>
        <w:tc>
          <w:tcPr>
            <w:tcW w:w="1353" w:type="dxa"/>
            <w:tcBorders>
              <w:top w:val="single" w:sz="6" w:space="0" w:color="auto"/>
              <w:left w:val="single" w:sz="6" w:space="0" w:color="auto"/>
              <w:bottom w:val="double" w:sz="6" w:space="0" w:color="auto"/>
              <w:right w:val="single" w:sz="6" w:space="0" w:color="auto"/>
            </w:tcBorders>
            <w:shd w:val="clear" w:color="auto" w:fill="auto"/>
            <w:vAlign w:val="center"/>
            <w:hideMark/>
          </w:tcPr>
          <w:p w14:paraId="3026CE70" w14:textId="77777777" w:rsidR="008548D4" w:rsidRPr="00B31282" w:rsidRDefault="008548D4" w:rsidP="00D12BAD">
            <w:pPr>
              <w:pStyle w:val="COMTabletext"/>
              <w:jc w:val="center"/>
            </w:pPr>
            <w:r w:rsidRPr="00B31282">
              <w:t>-</w:t>
            </w:r>
          </w:p>
        </w:tc>
      </w:tr>
      <w:tr w:rsidR="008548D4" w:rsidRPr="00B31282" w14:paraId="666013EA" w14:textId="77777777" w:rsidTr="00B71272">
        <w:tc>
          <w:tcPr>
            <w:tcW w:w="1273"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005F31A7" w14:textId="77777777" w:rsidR="008548D4" w:rsidRPr="00B31282" w:rsidRDefault="008548D4" w:rsidP="00D12BAD">
            <w:pPr>
              <w:jc w:val="left"/>
              <w:textAlignment w:val="baseline"/>
              <w:rPr>
                <w:rFonts w:ascii="Segoe UI" w:hAnsi="Segoe UI" w:cs="Segoe UI"/>
                <w:b/>
                <w:bCs/>
                <w:sz w:val="18"/>
                <w:szCs w:val="18"/>
              </w:rPr>
            </w:pPr>
            <w:r w:rsidRPr="00B31282">
              <w:rPr>
                <w:rFonts w:ascii="Arial Narrow" w:hAnsi="Arial Narrow" w:cs="Segoe UI"/>
                <w:b/>
                <w:bCs/>
                <w:sz w:val="20"/>
                <w:szCs w:val="20"/>
              </w:rPr>
              <w:t>Trial </w:t>
            </w:r>
          </w:p>
        </w:tc>
        <w:tc>
          <w:tcPr>
            <w:tcW w:w="1597" w:type="dxa"/>
            <w:tcBorders>
              <w:top w:val="double" w:sz="6" w:space="0" w:color="auto"/>
              <w:left w:val="single" w:sz="6" w:space="0" w:color="auto"/>
              <w:bottom w:val="single" w:sz="6" w:space="0" w:color="auto"/>
              <w:right w:val="single" w:sz="6" w:space="0" w:color="auto"/>
            </w:tcBorders>
            <w:shd w:val="clear" w:color="auto" w:fill="auto"/>
            <w:vAlign w:val="center"/>
            <w:hideMark/>
          </w:tcPr>
          <w:p w14:paraId="5F007CCD"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Outcome </w:t>
            </w:r>
          </w:p>
        </w:tc>
        <w:tc>
          <w:tcPr>
            <w:tcW w:w="1562"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30C0B9F7"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Acalabrutinib </w:t>
            </w:r>
          </w:p>
        </w:tc>
        <w:tc>
          <w:tcPr>
            <w:tcW w:w="1461"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6CAAF366"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Ibrutinib </w:t>
            </w:r>
          </w:p>
        </w:tc>
        <w:tc>
          <w:tcPr>
            <w:tcW w:w="1754"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75487282"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Absolute difference </w:t>
            </w:r>
          </w:p>
        </w:tc>
        <w:tc>
          <w:tcPr>
            <w:tcW w:w="1353"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775DD923"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HR (95% CI) </w:t>
            </w:r>
          </w:p>
        </w:tc>
      </w:tr>
      <w:tr w:rsidR="008548D4" w:rsidRPr="00B31282" w14:paraId="0E0DFFE3" w14:textId="77777777" w:rsidTr="00B71272">
        <w:tc>
          <w:tcPr>
            <w:tcW w:w="127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EE8F01F"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ELEVATE-RR </w:t>
            </w:r>
          </w:p>
          <w:p w14:paraId="19508F42"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(38.4 months) </w:t>
            </w:r>
          </w:p>
        </w:tc>
        <w:tc>
          <w:tcPr>
            <w:tcW w:w="1597"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4ECC5B8" w14:textId="15AC8455" w:rsidR="00843A65" w:rsidRDefault="008548D4" w:rsidP="00D12BAD">
            <w:pPr>
              <w:jc w:val="left"/>
              <w:textAlignment w:val="baseline"/>
              <w:rPr>
                <w:rFonts w:ascii="Arial Narrow" w:hAnsi="Arial Narrow" w:cs="Segoe UI"/>
                <w:sz w:val="20"/>
                <w:szCs w:val="20"/>
              </w:rPr>
            </w:pPr>
            <w:r w:rsidRPr="00B31282">
              <w:rPr>
                <w:rFonts w:ascii="Arial Narrow" w:hAnsi="Arial Narrow" w:cs="Segoe UI"/>
                <w:sz w:val="20"/>
                <w:szCs w:val="20"/>
              </w:rPr>
              <w:t>Progressed</w:t>
            </w:r>
            <w:r w:rsidR="00843A65">
              <w:rPr>
                <w:rFonts w:ascii="Arial Narrow" w:hAnsi="Arial Narrow" w:cs="Segoe UI"/>
                <w:sz w:val="20"/>
                <w:szCs w:val="20"/>
              </w:rPr>
              <w:t>/dead</w:t>
            </w:r>
          </w:p>
          <w:p w14:paraId="4294A115" w14:textId="38C266C1"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n/N (%) </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46EC1"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143/268 (53.4%)</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9D0EE"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136/265 (51.3%)</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2D1A" w14:textId="1B28B3A1"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2.1%</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C14FC"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1.00 (0.79, 1.27)</w:t>
            </w:r>
          </w:p>
        </w:tc>
      </w:tr>
      <w:tr w:rsidR="008548D4" w:rsidRPr="00B31282" w14:paraId="2236A38B" w14:textId="77777777" w:rsidTr="00B71272">
        <w:tc>
          <w:tcPr>
            <w:tcW w:w="127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A1E5027" w14:textId="77777777" w:rsidR="008548D4" w:rsidRPr="00B31282" w:rsidRDefault="008548D4" w:rsidP="00D12BAD">
            <w:pPr>
              <w:jc w:val="left"/>
              <w:rPr>
                <w:rFonts w:ascii="Segoe UI" w:hAnsi="Segoe UI" w:cs="Segoe UI"/>
                <w:sz w:val="18"/>
                <w:szCs w:val="18"/>
              </w:rPr>
            </w:pPr>
          </w:p>
        </w:tc>
        <w:tc>
          <w:tcPr>
            <w:tcW w:w="1597"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7F5B3D9"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Median PFS, months (95% CI) </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150D7"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color w:val="222222"/>
                <w:sz w:val="20"/>
                <w:szCs w:val="20"/>
              </w:rPr>
              <w:t>38.4 (33.0, 38.6)</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72D1B"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color w:val="222222"/>
                <w:sz w:val="20"/>
                <w:szCs w:val="20"/>
              </w:rPr>
              <w:t>38.4 (33.0, 41.6)</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A5F52"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77F98"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Segoe UI"/>
                <w:sz w:val="20"/>
                <w:szCs w:val="20"/>
              </w:rPr>
              <w:t>-</w:t>
            </w:r>
          </w:p>
        </w:tc>
      </w:tr>
      <w:tr w:rsidR="008548D4" w:rsidRPr="00B31282" w14:paraId="7F67CFE4" w14:textId="77777777" w:rsidTr="00B71272">
        <w:tc>
          <w:tcPr>
            <w:tcW w:w="7647"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252CBD40" w14:textId="77777777" w:rsidR="008548D4" w:rsidRPr="00B31282" w:rsidRDefault="008548D4" w:rsidP="00D12BAD">
            <w:pPr>
              <w:jc w:val="right"/>
              <w:textAlignment w:val="baseline"/>
              <w:rPr>
                <w:rFonts w:ascii="Segoe UI" w:hAnsi="Segoe UI" w:cs="Segoe UI"/>
                <w:sz w:val="18"/>
                <w:szCs w:val="18"/>
              </w:rPr>
            </w:pPr>
            <w:r w:rsidRPr="00B31282">
              <w:rPr>
                <w:rFonts w:ascii="Arial Narrow" w:hAnsi="Arial Narrow" w:cs="Segoe UI"/>
                <w:b/>
                <w:bCs/>
                <w:sz w:val="20"/>
                <w:szCs w:val="20"/>
              </w:rPr>
              <w:t>Indirect comparison zanubrutinib (22.1 months) vs. acalabrutinib (38.4 months)</w:t>
            </w:r>
            <w:r w:rsidRPr="00B31282">
              <w:rPr>
                <w:rFonts w:ascii="Arial Narrow" w:hAnsi="Arial Narrow" w:cs="Segoe UI"/>
                <w:sz w:val="20"/>
                <w:szCs w:val="20"/>
              </w:rPr>
              <w:t>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50B1B"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0.61 (0.40, 0.92) </w:t>
            </w:r>
          </w:p>
        </w:tc>
      </w:tr>
    </w:tbl>
    <w:p w14:paraId="4C9F49CD" w14:textId="77F47A9C" w:rsidR="008548D4" w:rsidRPr="00B31282" w:rsidRDefault="008548D4" w:rsidP="008548D4">
      <w:pPr>
        <w:pStyle w:val="COMTablefooter"/>
      </w:pPr>
      <w:r w:rsidRPr="00B31282">
        <w:t>Source: Table 2-36, p88 of the submission</w:t>
      </w:r>
    </w:p>
    <w:p w14:paraId="15DF0D93" w14:textId="77777777" w:rsidR="008548D4" w:rsidRPr="00B31282" w:rsidRDefault="008548D4" w:rsidP="008548D4">
      <w:pPr>
        <w:pStyle w:val="COMTablefooter"/>
      </w:pPr>
      <w:r w:rsidRPr="00B31282">
        <w:t>Abbreviations: HR, hazard ratio; NE, not estimable; PFS, progression-free survival</w:t>
      </w:r>
    </w:p>
    <w:p w14:paraId="79CBD03B" w14:textId="562348C2" w:rsidR="008548D4" w:rsidRPr="00B31282" w:rsidRDefault="008548D4" w:rsidP="00460C04">
      <w:pPr>
        <w:pStyle w:val="COMexecsumnumberedpara"/>
      </w:pPr>
      <w:r w:rsidRPr="00B31282">
        <w:t xml:space="preserve">Based on the results of the indirect comparison, treatment with zanubrutinib was associated with a longer duration of progression-free survival compared to acalabrutinib, a difference which was statistically significant (HR 0.61; 95% CI: 0.40, 0.92). </w:t>
      </w:r>
      <w:r w:rsidRPr="00380B09">
        <w:rPr>
          <w:iCs/>
        </w:rPr>
        <w:t>The results should be interpreted with caution due to differences in trial populations and duration of follow-up</w:t>
      </w:r>
      <w:r w:rsidRPr="00B31282">
        <w:t xml:space="preserve">. </w:t>
      </w:r>
    </w:p>
    <w:p w14:paraId="2A52D89C" w14:textId="07895C41" w:rsidR="008548D4" w:rsidRPr="00B31282" w:rsidRDefault="008548D4" w:rsidP="008548D4">
      <w:pPr>
        <w:pStyle w:val="COMexecsumnumberedpara"/>
      </w:pPr>
      <w:r w:rsidRPr="00B31282">
        <w:t xml:space="preserve">The results for the indirect comparison between zanubrutinib versus acalabrutinib using ibrutinib treatment arms as a common reference for the outcome of overall survival, are summarised </w:t>
      </w:r>
      <w:r w:rsidR="00460C04" w:rsidRPr="00B31282">
        <w:t xml:space="preserve">in </w:t>
      </w:r>
      <w:r w:rsidR="006C28C1" w:rsidRPr="00B31282">
        <w:fldChar w:fldCharType="begin"/>
      </w:r>
      <w:r w:rsidR="006C28C1" w:rsidRPr="00B31282">
        <w:instrText xml:space="preserve"> REF _Ref121756731 \h </w:instrText>
      </w:r>
      <w:r w:rsidR="006C28C1" w:rsidRPr="00B31282">
        <w:fldChar w:fldCharType="separate"/>
      </w:r>
      <w:r w:rsidR="00472981" w:rsidRPr="00B31282">
        <w:t xml:space="preserve">Table </w:t>
      </w:r>
      <w:r w:rsidR="00472981">
        <w:rPr>
          <w:noProof/>
        </w:rPr>
        <w:t>8</w:t>
      </w:r>
      <w:r w:rsidR="006C28C1" w:rsidRPr="00B31282">
        <w:fldChar w:fldCharType="end"/>
      </w:r>
      <w:r w:rsidR="006C28C1" w:rsidRPr="00B31282">
        <w:t>.</w:t>
      </w:r>
    </w:p>
    <w:p w14:paraId="7762EE96" w14:textId="0A10A05B" w:rsidR="008548D4" w:rsidRPr="00B31282" w:rsidRDefault="006C28C1" w:rsidP="0093286A">
      <w:pPr>
        <w:pStyle w:val="Caption"/>
      </w:pPr>
      <w:bookmarkStart w:id="30" w:name="_Ref121756731"/>
      <w:r w:rsidRPr="00B31282">
        <w:t xml:space="preserve">Table </w:t>
      </w:r>
      <w:r>
        <w:fldChar w:fldCharType="begin"/>
      </w:r>
      <w:r>
        <w:instrText>SEQ Table \* ARABIC</w:instrText>
      </w:r>
      <w:r>
        <w:fldChar w:fldCharType="separate"/>
      </w:r>
      <w:r w:rsidR="00472981">
        <w:rPr>
          <w:noProof/>
        </w:rPr>
        <w:t>8</w:t>
      </w:r>
      <w:r>
        <w:fldChar w:fldCharType="end"/>
      </w:r>
      <w:bookmarkEnd w:id="30"/>
      <w:r w:rsidR="008548D4" w:rsidRPr="00B31282">
        <w:t>: Bucher indirect comparison of overall survival for zanubrutinib versus acalabrutinib</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695"/>
        <w:gridCol w:w="1695"/>
        <w:gridCol w:w="1680"/>
        <w:gridCol w:w="1020"/>
        <w:gridCol w:w="1500"/>
      </w:tblGrid>
      <w:tr w:rsidR="008548D4" w:rsidRPr="00B31282" w14:paraId="69CD3BB9" w14:textId="77777777" w:rsidTr="00D12BAD">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67D905" w14:textId="77777777" w:rsidR="008548D4" w:rsidRPr="00B31282" w:rsidRDefault="008548D4" w:rsidP="00D12BAD">
            <w:pPr>
              <w:jc w:val="left"/>
              <w:textAlignment w:val="baseline"/>
              <w:rPr>
                <w:rFonts w:ascii="Segoe UI" w:hAnsi="Segoe UI" w:cs="Segoe UI"/>
                <w:b/>
                <w:bCs/>
                <w:sz w:val="18"/>
                <w:szCs w:val="18"/>
              </w:rPr>
            </w:pPr>
            <w:r w:rsidRPr="00B31282">
              <w:rPr>
                <w:rFonts w:ascii="Arial Narrow" w:hAnsi="Arial Narrow" w:cs="Segoe UI"/>
                <w:b/>
                <w:bCs/>
                <w:sz w:val="20"/>
                <w:szCs w:val="20"/>
              </w:rPr>
              <w:t>Trial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D5748"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Outcome </w:t>
            </w:r>
          </w:p>
        </w:tc>
        <w:tc>
          <w:tcPr>
            <w:tcW w:w="169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50A1D0F"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Zanubrutinib</w:t>
            </w:r>
          </w:p>
        </w:tc>
        <w:tc>
          <w:tcPr>
            <w:tcW w:w="168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00968E4"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Ibrutinib </w:t>
            </w:r>
          </w:p>
        </w:tc>
        <w:tc>
          <w:tcPr>
            <w:tcW w:w="102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409E59F"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Absolute difference </w:t>
            </w:r>
          </w:p>
        </w:tc>
        <w:tc>
          <w:tcPr>
            <w:tcW w:w="150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ABAC2B9"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HR (95% CI) </w:t>
            </w:r>
          </w:p>
        </w:tc>
      </w:tr>
      <w:tr w:rsidR="008548D4" w:rsidRPr="00B31282" w14:paraId="6CB87DAF" w14:textId="77777777" w:rsidTr="00D12BAD">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179269D"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ALPINE  </w:t>
            </w:r>
          </w:p>
          <w:p w14:paraId="1FCB18EC"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(24.9 months) </w:t>
            </w:r>
          </w:p>
        </w:tc>
        <w:tc>
          <w:tcPr>
            <w:tcW w:w="169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D87DEF1"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Events, n/N (%)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09449" w14:textId="77777777" w:rsidR="008548D4" w:rsidRPr="00B31282" w:rsidRDefault="008548D4" w:rsidP="00D12BAD">
            <w:pPr>
              <w:pStyle w:val="COMTabletext"/>
              <w:jc w:val="center"/>
              <w:rPr>
                <w:rFonts w:ascii="Segoe UI" w:hAnsi="Segoe UI" w:cs="Segoe UI"/>
                <w:szCs w:val="18"/>
              </w:rPr>
            </w:pPr>
            <w:r w:rsidRPr="00B31282">
              <w:t>33/327 (10.1%)</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96AE" w14:textId="77777777" w:rsidR="008548D4" w:rsidRPr="00B31282" w:rsidRDefault="008548D4" w:rsidP="00D12BAD">
            <w:pPr>
              <w:pStyle w:val="COMTabletext"/>
              <w:jc w:val="center"/>
              <w:rPr>
                <w:rFonts w:ascii="Segoe UI" w:hAnsi="Segoe UI" w:cs="Segoe UI"/>
                <w:szCs w:val="18"/>
              </w:rPr>
            </w:pPr>
            <w:r w:rsidRPr="00B31282">
              <w:t>40/325 (12.3%)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242E4" w14:textId="77777777" w:rsidR="008548D4" w:rsidRPr="00B31282" w:rsidRDefault="008548D4" w:rsidP="00D12BAD">
            <w:pPr>
              <w:pStyle w:val="COMTabletext"/>
              <w:jc w:val="center"/>
              <w:rPr>
                <w:rFonts w:ascii="Segoe UI" w:hAnsi="Segoe UI" w:cs="Segoe UI"/>
                <w:szCs w:val="18"/>
              </w:rPr>
            </w:pPr>
            <w:r w:rsidRPr="00B31282">
              <w:t>-2.2%</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CE8B6" w14:textId="77777777" w:rsidR="008548D4" w:rsidRPr="00B31282" w:rsidRDefault="008548D4" w:rsidP="00D12BAD">
            <w:pPr>
              <w:pStyle w:val="COMTabletext"/>
              <w:jc w:val="center"/>
              <w:rPr>
                <w:rFonts w:ascii="Segoe UI" w:hAnsi="Segoe UI" w:cs="Segoe UI"/>
                <w:szCs w:val="18"/>
              </w:rPr>
            </w:pPr>
            <w:r w:rsidRPr="00B31282">
              <w:t>0.80 (0.50, 1.28)</w:t>
            </w:r>
          </w:p>
        </w:tc>
      </w:tr>
      <w:tr w:rsidR="008548D4" w:rsidRPr="00B31282" w14:paraId="4F94DE5A" w14:textId="77777777" w:rsidTr="00D12BAD">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BA8E2B" w14:textId="77777777" w:rsidR="008548D4" w:rsidRPr="00B31282" w:rsidRDefault="008548D4" w:rsidP="00D12BAD">
            <w:pPr>
              <w:jc w:val="left"/>
              <w:rPr>
                <w:rFonts w:ascii="Segoe UI" w:hAnsi="Segoe UI" w:cs="Segoe UI"/>
                <w:sz w:val="18"/>
                <w:szCs w:val="18"/>
              </w:rPr>
            </w:pPr>
          </w:p>
        </w:tc>
        <w:tc>
          <w:tcPr>
            <w:tcW w:w="1695" w:type="dxa"/>
            <w:tcBorders>
              <w:top w:val="single" w:sz="6" w:space="0" w:color="auto"/>
              <w:left w:val="single" w:sz="6" w:space="0" w:color="auto"/>
              <w:bottom w:val="double" w:sz="6" w:space="0" w:color="auto"/>
              <w:right w:val="single" w:sz="6" w:space="0" w:color="auto"/>
            </w:tcBorders>
            <w:shd w:val="clear" w:color="auto" w:fill="auto"/>
            <w:vAlign w:val="center"/>
            <w:hideMark/>
          </w:tcPr>
          <w:p w14:paraId="1BED0188"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Median OS, months (95% CI) </w:t>
            </w:r>
          </w:p>
        </w:tc>
        <w:tc>
          <w:tcPr>
            <w:tcW w:w="1695" w:type="dxa"/>
            <w:tcBorders>
              <w:top w:val="single" w:sz="4" w:space="0" w:color="auto"/>
              <w:left w:val="single" w:sz="6" w:space="0" w:color="auto"/>
              <w:bottom w:val="double" w:sz="6" w:space="0" w:color="auto"/>
              <w:right w:val="single" w:sz="6" w:space="0" w:color="auto"/>
            </w:tcBorders>
            <w:shd w:val="clear" w:color="auto" w:fill="auto"/>
            <w:vAlign w:val="center"/>
            <w:hideMark/>
          </w:tcPr>
          <w:p w14:paraId="6E608643"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Not reached (NE) </w:t>
            </w:r>
          </w:p>
        </w:tc>
        <w:tc>
          <w:tcPr>
            <w:tcW w:w="1680" w:type="dxa"/>
            <w:tcBorders>
              <w:top w:val="single" w:sz="4" w:space="0" w:color="auto"/>
              <w:left w:val="single" w:sz="6" w:space="0" w:color="auto"/>
              <w:bottom w:val="double" w:sz="6" w:space="0" w:color="auto"/>
              <w:right w:val="single" w:sz="6" w:space="0" w:color="auto"/>
            </w:tcBorders>
            <w:shd w:val="clear" w:color="auto" w:fill="auto"/>
            <w:vAlign w:val="center"/>
            <w:hideMark/>
          </w:tcPr>
          <w:p w14:paraId="080B999A"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Not reached (NE) </w:t>
            </w:r>
          </w:p>
        </w:tc>
        <w:tc>
          <w:tcPr>
            <w:tcW w:w="1020" w:type="dxa"/>
            <w:tcBorders>
              <w:top w:val="single" w:sz="4" w:space="0" w:color="auto"/>
              <w:left w:val="single" w:sz="6" w:space="0" w:color="auto"/>
              <w:bottom w:val="double" w:sz="6" w:space="0" w:color="auto"/>
              <w:right w:val="single" w:sz="6" w:space="0" w:color="auto"/>
            </w:tcBorders>
            <w:shd w:val="clear" w:color="auto" w:fill="auto"/>
            <w:vAlign w:val="center"/>
            <w:hideMark/>
          </w:tcPr>
          <w:p w14:paraId="401053BB" w14:textId="77777777" w:rsidR="008548D4" w:rsidRPr="00B31282" w:rsidRDefault="008548D4" w:rsidP="00D12BAD">
            <w:pPr>
              <w:jc w:val="center"/>
              <w:textAlignment w:val="baseline"/>
              <w:rPr>
                <w:rFonts w:ascii="Segoe UI" w:hAnsi="Segoe UI" w:cs="Segoe UI"/>
                <w:sz w:val="18"/>
                <w:szCs w:val="18"/>
              </w:rPr>
            </w:pPr>
            <w:r w:rsidRPr="00B31282">
              <w:rPr>
                <w:rFonts w:ascii="Segoe UI" w:hAnsi="Segoe UI" w:cs="Segoe UI"/>
                <w:sz w:val="18"/>
                <w:szCs w:val="18"/>
              </w:rPr>
              <w:t>NE</w:t>
            </w:r>
          </w:p>
        </w:tc>
        <w:tc>
          <w:tcPr>
            <w:tcW w:w="1500" w:type="dxa"/>
            <w:tcBorders>
              <w:top w:val="single" w:sz="4" w:space="0" w:color="auto"/>
              <w:left w:val="single" w:sz="6" w:space="0" w:color="auto"/>
              <w:bottom w:val="double" w:sz="6" w:space="0" w:color="auto"/>
              <w:right w:val="single" w:sz="6" w:space="0" w:color="auto"/>
            </w:tcBorders>
            <w:shd w:val="clear" w:color="auto" w:fill="auto"/>
            <w:vAlign w:val="center"/>
            <w:hideMark/>
          </w:tcPr>
          <w:p w14:paraId="4D68FBE8" w14:textId="77777777" w:rsidR="008548D4" w:rsidRPr="00B31282" w:rsidRDefault="008548D4" w:rsidP="00D12BAD">
            <w:pPr>
              <w:jc w:val="center"/>
              <w:textAlignment w:val="baseline"/>
              <w:rPr>
                <w:rFonts w:ascii="Segoe UI" w:hAnsi="Segoe UI" w:cs="Segoe UI"/>
                <w:sz w:val="18"/>
                <w:szCs w:val="18"/>
              </w:rPr>
            </w:pPr>
            <w:r w:rsidRPr="00B31282">
              <w:rPr>
                <w:rFonts w:ascii="Segoe UI" w:hAnsi="Segoe UI" w:cs="Segoe UI"/>
                <w:sz w:val="18"/>
                <w:szCs w:val="18"/>
              </w:rPr>
              <w:t>-</w:t>
            </w:r>
          </w:p>
        </w:tc>
      </w:tr>
      <w:tr w:rsidR="008548D4" w:rsidRPr="00B31282" w14:paraId="4306EE43" w14:textId="77777777" w:rsidTr="00991026">
        <w:tc>
          <w:tcPr>
            <w:tcW w:w="1410"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1D231231" w14:textId="77777777" w:rsidR="008548D4" w:rsidRPr="00B31282" w:rsidRDefault="008548D4" w:rsidP="00D12BAD">
            <w:pPr>
              <w:jc w:val="left"/>
              <w:textAlignment w:val="baseline"/>
              <w:rPr>
                <w:rFonts w:ascii="Segoe UI" w:hAnsi="Segoe UI" w:cs="Segoe UI"/>
                <w:b/>
                <w:bCs/>
                <w:sz w:val="18"/>
                <w:szCs w:val="18"/>
              </w:rPr>
            </w:pPr>
            <w:r w:rsidRPr="00B31282">
              <w:rPr>
                <w:rFonts w:ascii="Arial Narrow" w:hAnsi="Arial Narrow" w:cs="Segoe UI"/>
                <w:b/>
                <w:bCs/>
                <w:sz w:val="20"/>
                <w:szCs w:val="20"/>
              </w:rPr>
              <w:t>Trial </w:t>
            </w:r>
          </w:p>
        </w:tc>
        <w:tc>
          <w:tcPr>
            <w:tcW w:w="1695"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657DA010"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Outcome </w:t>
            </w:r>
          </w:p>
        </w:tc>
        <w:tc>
          <w:tcPr>
            <w:tcW w:w="1695"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1F7283D8"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Acalabrutinib </w:t>
            </w:r>
          </w:p>
        </w:tc>
        <w:tc>
          <w:tcPr>
            <w:tcW w:w="1680"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0738BCE1"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Ibrutinib </w:t>
            </w:r>
          </w:p>
        </w:tc>
        <w:tc>
          <w:tcPr>
            <w:tcW w:w="1020"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26B2BB30"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Absolute difference </w:t>
            </w:r>
          </w:p>
        </w:tc>
        <w:tc>
          <w:tcPr>
            <w:tcW w:w="1500" w:type="dxa"/>
            <w:tcBorders>
              <w:top w:val="double" w:sz="6" w:space="0" w:color="auto"/>
              <w:left w:val="single" w:sz="6" w:space="0" w:color="auto"/>
              <w:bottom w:val="single" w:sz="4" w:space="0" w:color="auto"/>
              <w:right w:val="single" w:sz="6" w:space="0" w:color="auto"/>
            </w:tcBorders>
            <w:shd w:val="clear" w:color="auto" w:fill="auto"/>
            <w:vAlign w:val="center"/>
            <w:hideMark/>
          </w:tcPr>
          <w:p w14:paraId="31C3E3CD" w14:textId="77777777" w:rsidR="008548D4" w:rsidRPr="00B31282" w:rsidRDefault="008548D4" w:rsidP="00D12BAD">
            <w:pPr>
              <w:jc w:val="center"/>
              <w:textAlignment w:val="baseline"/>
              <w:rPr>
                <w:rFonts w:ascii="Segoe UI" w:hAnsi="Segoe UI" w:cs="Segoe UI"/>
                <w:b/>
                <w:bCs/>
                <w:sz w:val="18"/>
                <w:szCs w:val="18"/>
              </w:rPr>
            </w:pPr>
            <w:r w:rsidRPr="00B31282">
              <w:rPr>
                <w:rFonts w:ascii="Arial Narrow" w:hAnsi="Arial Narrow" w:cs="Segoe UI"/>
                <w:b/>
                <w:bCs/>
                <w:sz w:val="20"/>
                <w:szCs w:val="20"/>
              </w:rPr>
              <w:t>HR (95% CI) </w:t>
            </w:r>
          </w:p>
        </w:tc>
      </w:tr>
      <w:tr w:rsidR="008548D4" w:rsidRPr="00B31282" w14:paraId="1DBBB334" w14:textId="77777777" w:rsidTr="00991026">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F626B"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ELEVATE-RR </w:t>
            </w:r>
          </w:p>
          <w:p w14:paraId="299F9A29"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(40.9 months)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9D0F6"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Events, n/N (%)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264CE"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63/268 (23.5%)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1FAFE"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73/265 (27.5%)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6B90A"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-4.0%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9B83"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theme="minorHAnsi"/>
                <w:sz w:val="20"/>
                <w:szCs w:val="20"/>
              </w:rPr>
              <w:t>0.82 (0.59, 1.15)</w:t>
            </w:r>
          </w:p>
        </w:tc>
      </w:tr>
      <w:tr w:rsidR="008548D4" w:rsidRPr="00B31282" w14:paraId="210E7E80" w14:textId="77777777" w:rsidTr="0099102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697BA" w14:textId="77777777" w:rsidR="008548D4" w:rsidRPr="00B31282" w:rsidRDefault="008548D4" w:rsidP="00D12BAD">
            <w:pPr>
              <w:jc w:val="left"/>
              <w:rPr>
                <w:rFonts w:ascii="Segoe UI" w:hAnsi="Segoe UI" w:cs="Segoe UI"/>
                <w:sz w:val="18"/>
                <w:szCs w:val="18"/>
              </w:rPr>
            </w:pP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784A2" w14:textId="77777777" w:rsidR="008548D4" w:rsidRPr="00B31282" w:rsidRDefault="008548D4" w:rsidP="00D12BAD">
            <w:pPr>
              <w:jc w:val="left"/>
              <w:textAlignment w:val="baseline"/>
              <w:rPr>
                <w:rFonts w:ascii="Segoe UI" w:hAnsi="Segoe UI" w:cs="Segoe UI"/>
                <w:sz w:val="18"/>
                <w:szCs w:val="18"/>
              </w:rPr>
            </w:pPr>
            <w:r w:rsidRPr="00B31282">
              <w:rPr>
                <w:rFonts w:ascii="Arial Narrow" w:hAnsi="Arial Narrow" w:cs="Segoe UI"/>
                <w:sz w:val="20"/>
                <w:szCs w:val="20"/>
              </w:rPr>
              <w:t>Median OS, months (95% CI)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83D14"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Segoe UI"/>
                <w:sz w:val="20"/>
                <w:szCs w:val="20"/>
              </w:rPr>
              <w:t>Not reached (NE)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BF66A" w14:textId="77777777" w:rsidR="008548D4" w:rsidRPr="00B31282" w:rsidRDefault="008548D4" w:rsidP="00D12BAD">
            <w:pPr>
              <w:jc w:val="center"/>
              <w:textAlignment w:val="baseline"/>
              <w:rPr>
                <w:rFonts w:ascii="Arial Narrow" w:hAnsi="Arial Narrow" w:cs="Segoe UI"/>
                <w:sz w:val="20"/>
                <w:szCs w:val="20"/>
              </w:rPr>
            </w:pPr>
            <w:r w:rsidRPr="00B31282">
              <w:rPr>
                <w:rFonts w:ascii="Arial Narrow" w:hAnsi="Arial Narrow" w:cs="Segoe UI"/>
                <w:sz w:val="20"/>
                <w:szCs w:val="20"/>
              </w:rPr>
              <w:t>Not reached (NE)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2BA8" w14:textId="77777777" w:rsidR="008548D4" w:rsidRPr="00B31282" w:rsidRDefault="008548D4" w:rsidP="00D12BAD">
            <w:pPr>
              <w:jc w:val="center"/>
              <w:textAlignment w:val="baseline"/>
              <w:rPr>
                <w:rFonts w:ascii="Arial Narrow" w:hAnsi="Arial Narrow" w:cs="Segoe UI"/>
                <w:sz w:val="20"/>
                <w:szCs w:val="20"/>
              </w:rPr>
            </w:pPr>
            <w:r w:rsidRPr="00B31282">
              <w:rPr>
                <w:rFonts w:ascii="Segoe UI" w:hAnsi="Segoe UI" w:cs="Segoe UI"/>
                <w:sz w:val="18"/>
                <w:szCs w:val="18"/>
              </w:rPr>
              <w:t>NE</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C9C22" w14:textId="77777777" w:rsidR="008548D4" w:rsidRPr="00B31282" w:rsidRDefault="008548D4" w:rsidP="00D12BAD">
            <w:pPr>
              <w:jc w:val="center"/>
              <w:textAlignment w:val="baseline"/>
              <w:rPr>
                <w:rFonts w:ascii="Arial Narrow" w:hAnsi="Arial Narrow" w:cs="Segoe UI"/>
                <w:sz w:val="20"/>
                <w:szCs w:val="20"/>
              </w:rPr>
            </w:pPr>
          </w:p>
        </w:tc>
      </w:tr>
      <w:tr w:rsidR="008548D4" w:rsidRPr="00B31282" w14:paraId="225714CA" w14:textId="77777777" w:rsidTr="00991026">
        <w:tc>
          <w:tcPr>
            <w:tcW w:w="7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17A62D" w14:textId="77777777" w:rsidR="008548D4" w:rsidRPr="00B31282" w:rsidRDefault="008548D4" w:rsidP="00D12BAD">
            <w:pPr>
              <w:jc w:val="right"/>
              <w:textAlignment w:val="baseline"/>
              <w:rPr>
                <w:rFonts w:ascii="Segoe UI" w:hAnsi="Segoe UI" w:cs="Segoe UI"/>
                <w:sz w:val="18"/>
                <w:szCs w:val="18"/>
              </w:rPr>
            </w:pPr>
            <w:r w:rsidRPr="00B31282">
              <w:rPr>
                <w:rFonts w:ascii="Arial Narrow" w:hAnsi="Arial Narrow" w:cs="Segoe UI"/>
                <w:b/>
                <w:bCs/>
                <w:sz w:val="20"/>
                <w:szCs w:val="20"/>
              </w:rPr>
              <w:t>Indirect comparison zanubrutinib (24.9 months) vs. acalabrutinib (40.9 months)</w:t>
            </w:r>
            <w:r w:rsidRPr="00B31282">
              <w:rPr>
                <w:rFonts w:ascii="Arial Narrow" w:hAnsi="Arial Narrow" w:cs="Segoe UI"/>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EF698" w14:textId="77777777" w:rsidR="008548D4" w:rsidRPr="00B31282" w:rsidRDefault="008548D4" w:rsidP="00D12BAD">
            <w:pPr>
              <w:jc w:val="center"/>
              <w:textAlignment w:val="baseline"/>
              <w:rPr>
                <w:rFonts w:ascii="Segoe UI" w:hAnsi="Segoe UI" w:cs="Segoe UI"/>
                <w:sz w:val="18"/>
                <w:szCs w:val="18"/>
              </w:rPr>
            </w:pPr>
            <w:r w:rsidRPr="00B31282">
              <w:rPr>
                <w:rFonts w:ascii="Arial Narrow" w:hAnsi="Arial Narrow" w:cs="Segoe UI"/>
                <w:sz w:val="20"/>
                <w:szCs w:val="20"/>
              </w:rPr>
              <w:t>0.98 (0.55, 1.74) </w:t>
            </w:r>
          </w:p>
        </w:tc>
      </w:tr>
    </w:tbl>
    <w:p w14:paraId="0FD3972D" w14:textId="7910A3CF" w:rsidR="008548D4" w:rsidRPr="00B31282" w:rsidRDefault="008548D4" w:rsidP="008548D4">
      <w:pPr>
        <w:pStyle w:val="COMTablefooter"/>
      </w:pPr>
      <w:r w:rsidRPr="00B31282">
        <w:t>Source: Table 2-37, p89 of the submission</w:t>
      </w:r>
    </w:p>
    <w:p w14:paraId="6AFA5AB5" w14:textId="65051A6C" w:rsidR="008548D4" w:rsidRPr="00B31282" w:rsidRDefault="008548D4" w:rsidP="008548D4">
      <w:pPr>
        <w:pStyle w:val="COMTablefooter"/>
        <w:rPr>
          <w:color w:val="0066FF"/>
        </w:rPr>
      </w:pPr>
      <w:r w:rsidRPr="00B31282">
        <w:t>Abbreviations: HR, hazard ratio; NE, not estimable; PFS, progression-free survival</w:t>
      </w:r>
    </w:p>
    <w:p w14:paraId="200F52CB" w14:textId="08BDFD0E" w:rsidR="008548D4" w:rsidRPr="00B31282" w:rsidRDefault="614C0B76" w:rsidP="00EC5836">
      <w:pPr>
        <w:pStyle w:val="COMexecsumnumberedpara"/>
      </w:pPr>
      <w:r>
        <w:t>Based on the results of the indirect comparison, treatment with zanubrutinib was associated with a similar duration of overall survival compared to acalabrutinib (HR 0.98; 95% CI: 0.55, 1.74). The results should be interpreted with caution due to differences in trial populations and duration of follow-up. The lack of a statistically significant difference may not be sufficient to establish non-inferiority, as the 95% confidence intervals were wide.</w:t>
      </w:r>
      <w:r w:rsidR="616B08DF">
        <w:t xml:space="preserve">  </w:t>
      </w:r>
    </w:p>
    <w:p w14:paraId="01B517BA" w14:textId="77777777" w:rsidR="008548D4" w:rsidRPr="00991026" w:rsidRDefault="008548D4" w:rsidP="00991026">
      <w:pPr>
        <w:pStyle w:val="COMH3"/>
        <w:spacing w:after="120"/>
        <w:rPr>
          <w:sz w:val="24"/>
          <w:szCs w:val="22"/>
        </w:rPr>
      </w:pPr>
      <w:r w:rsidRPr="00991026">
        <w:rPr>
          <w:sz w:val="24"/>
          <w:szCs w:val="22"/>
        </w:rPr>
        <w:t>Matching adjusted indirect comparisons of zanubrutinib versus acalabrutinib</w:t>
      </w:r>
    </w:p>
    <w:p w14:paraId="0F29E1C1" w14:textId="175F1194" w:rsidR="008548D4" w:rsidRPr="00B31282" w:rsidRDefault="008548D4" w:rsidP="008548D4">
      <w:pPr>
        <w:pStyle w:val="COMexecsumnumberedpara"/>
      </w:pPr>
      <w:r w:rsidRPr="00B31282">
        <w:t>The submission presented the results of an anchored MAIC comparing zanubrutinib with acalabrutinib based on individual patient data from the ALPINE trial and published results for the ELEVATE-RR trial. A technical report outlining the methodology used to conduct the MAIC was provided.</w:t>
      </w:r>
    </w:p>
    <w:p w14:paraId="67AAAA78" w14:textId="41685326" w:rsidR="00216177" w:rsidRPr="00380B09" w:rsidRDefault="009B53D5" w:rsidP="008548D4">
      <w:pPr>
        <w:pStyle w:val="COMexecsumnumberedpara"/>
        <w:rPr>
          <w:iCs/>
        </w:rPr>
      </w:pPr>
      <w:r>
        <w:t>T</w:t>
      </w:r>
      <w:r w:rsidR="00B20659" w:rsidRPr="00B31282">
        <w:t xml:space="preserve">o match inclusion criteria for ELEVATE-RR (which recruited high-risk patients only [with </w:t>
      </w:r>
      <w:r w:rsidR="002C4658">
        <w:t>del</w:t>
      </w:r>
      <w:r w:rsidR="00B20659" w:rsidRPr="00B31282">
        <w:t xml:space="preserve">17p or </w:t>
      </w:r>
      <w:r w:rsidR="002C4658">
        <w:t>del</w:t>
      </w:r>
      <w:r w:rsidR="00B20659" w:rsidRPr="00B31282">
        <w:t xml:space="preserve">11q]), the ITT population in the ALPINE study was initially restricted to the subset of high-risk patients prior to matching. The ALPINE study originally randomised 327 and 325 patients in the zanubrutinib and ibrutinib arms, respectively; once restricted to high-risk patients, there were 128 and 123 patients in the zanubrutinib and ibrutinib arm, respectively. </w:t>
      </w:r>
      <w:r w:rsidR="00B20659" w:rsidRPr="00380B09">
        <w:rPr>
          <w:iCs/>
        </w:rPr>
        <w:t xml:space="preserve">The significant numbers of lower-risk patients excluded from the ALPINE trial </w:t>
      </w:r>
      <w:r w:rsidRPr="00380B09">
        <w:rPr>
          <w:iCs/>
        </w:rPr>
        <w:t>to</w:t>
      </w:r>
      <w:r w:rsidR="00B20659" w:rsidRPr="00380B09">
        <w:rPr>
          <w:iCs/>
        </w:rPr>
        <w:t xml:space="preserve"> conduct the MAIC suggests these trials may not be directly comparable. </w:t>
      </w:r>
    </w:p>
    <w:p w14:paraId="719D8BB4" w14:textId="17D08928" w:rsidR="00B20659" w:rsidRPr="00B31282" w:rsidRDefault="00B20659" w:rsidP="008548D4">
      <w:pPr>
        <w:pStyle w:val="COMexecsumnumberedpara"/>
      </w:pPr>
      <w:r w:rsidRPr="00B31282">
        <w:t xml:space="preserve">An unadjusted comparison was conducted between the high-risk subset of ALPINE and the published treatment effect in ELEVATE-RR. The relative treatment effect on investigator-assessed PFS and IRC-assessed PFS was HR=0.66 (95% CI: 0.26, 1.68) and HR=0.75 (95% CI: 0.29, 1.95), respectively. </w:t>
      </w:r>
      <w:r w:rsidRPr="00380B09">
        <w:rPr>
          <w:iCs/>
        </w:rPr>
        <w:t>The confidence intervals were wide, suggesting a high level of uncertainty in these estimates. Further, they are based on populations which remain unbalanced between ALPINE and ELEVATE-RR, and include a break in randomisation for patients included in ALPINE</w:t>
      </w:r>
      <w:r w:rsidRPr="00B31282">
        <w:t>.</w:t>
      </w:r>
    </w:p>
    <w:p w14:paraId="4174F4F4" w14:textId="6FB4039E" w:rsidR="00EB3F39" w:rsidRPr="00B31282" w:rsidRDefault="00EB3F39" w:rsidP="00460C04">
      <w:pPr>
        <w:pStyle w:val="COMexecsumnumberedpara"/>
      </w:pPr>
      <w:r w:rsidRPr="00B31282">
        <w:t xml:space="preserve">There were a number of variables which remained different between the two trials, even after lower risk patients were removed from ALPINE. In particular, there was an imbalance between the studies in terms of the proportion of patients with a TP53 mutation, varying combinations of cytogenic mutations (particularly del17p, no del11q, and mutated TP53), patients with at least 4 previous therapies, patients aged 75 years and over, and patients with an ECOG performance status scale score of 2. </w:t>
      </w:r>
      <w:r w:rsidRPr="00380B09">
        <w:rPr>
          <w:iCs/>
        </w:rPr>
        <w:t>Although not reported in the submission, these may also indicate differences in the complement subgroups (for example, patients with 1, 2, or 3 prior therapies).</w:t>
      </w:r>
      <w:r w:rsidRPr="00B31282">
        <w:t xml:space="preserve"> </w:t>
      </w:r>
    </w:p>
    <w:p w14:paraId="1BF9E885" w14:textId="5DD582F2" w:rsidR="00EB3F39" w:rsidRPr="00B31282" w:rsidRDefault="00EB3F39" w:rsidP="00460C04">
      <w:pPr>
        <w:pStyle w:val="COMexecsumnumberedpara"/>
      </w:pPr>
      <w:r w:rsidRPr="00B31282">
        <w:t xml:space="preserve">Weights for the anchored MAIC were derived after optimisation of the matching model in terms of </w:t>
      </w:r>
      <w:r w:rsidR="00512F68">
        <w:t>effective sample size (</w:t>
      </w:r>
      <w:r w:rsidRPr="00B31282">
        <w:t>ESS</w:t>
      </w:r>
      <w:r w:rsidR="00512F68">
        <w:t>)</w:t>
      </w:r>
      <w:r w:rsidRPr="00B31282">
        <w:t xml:space="preserve"> and the included matching factors. Several sets of matching factors were investigated, starting from the full model including the entire set of available factors, followed by increasingly simplified models in terms of the included matching factors. Since the ELEVATE-RR study included CLL patients only, to preserve homogeneity in the ALPINE population SLL patients were also excluded from the analysis. Binet stage was used as the CLL staging variable, as it was defined in both studies. The matching model using all mutually available effect modifiers and prognostic factors with effect modifier potential resulted in an ESS of 29 and 25 in the zanubrutinib and ibrutinib arms, respectively. </w:t>
      </w:r>
      <w:r w:rsidRPr="00380B09">
        <w:rPr>
          <w:iCs/>
        </w:rPr>
        <w:t>The</w:t>
      </w:r>
      <w:r w:rsidR="00F17D4B" w:rsidRPr="00380B09">
        <w:rPr>
          <w:iCs/>
        </w:rPr>
        <w:t xml:space="preserve"> s</w:t>
      </w:r>
      <w:r w:rsidR="00986692" w:rsidRPr="00380B09">
        <w:rPr>
          <w:iCs/>
        </w:rPr>
        <w:t>mall</w:t>
      </w:r>
      <w:r w:rsidRPr="00380B09">
        <w:rPr>
          <w:iCs/>
        </w:rPr>
        <w:t xml:space="preserve"> ESS suggested poor overlap between the trial populations. The resulting effective sample size was unlikely to be sufficient to reliably compare treatments</w:t>
      </w:r>
      <w:r w:rsidRPr="00B31282">
        <w:t>.</w:t>
      </w:r>
    </w:p>
    <w:p w14:paraId="362A8CBD" w14:textId="70595C77" w:rsidR="00EB3F39" w:rsidRPr="00B31282" w:rsidRDefault="00EB3F39" w:rsidP="00EB3F39">
      <w:pPr>
        <w:pStyle w:val="COMexecsumnumberedpara"/>
      </w:pPr>
      <w:r w:rsidRPr="00B31282">
        <w:t>To increase the ESS, a new model was fit excluding all prognostic factors regardless of effect modifier potential, and including only the effect modifiers considered to be most relevant, that is, IGHV mutation, cytogenetic mutation subgroups (del17p, del11q, and TP53 mutation status), β2-microglobulin, number of prior lines, and Binet stage. This model resulted in an ESS of 71 and 62 in the zanubrutinib and ibrutinib arms, respectively, and is referred to as Model 1</w:t>
      </w:r>
      <w:r w:rsidR="00460C04" w:rsidRPr="00B31282">
        <w:t xml:space="preserve"> (base case)</w:t>
      </w:r>
      <w:r w:rsidRPr="00B31282">
        <w:t xml:space="preserve"> in the submission</w:t>
      </w:r>
      <w:r w:rsidR="00355F9E">
        <w:t>.</w:t>
      </w:r>
      <w:r w:rsidR="00355F9E" w:rsidRPr="00355F9E">
        <w:t xml:space="preserve"> </w:t>
      </w:r>
      <w:r w:rsidR="00355F9E" w:rsidRPr="00380B09">
        <w:rPr>
          <w:iCs/>
        </w:rPr>
        <w:t>Anchored forms of population-adjusted indirect comparisons</w:t>
      </w:r>
      <w:r w:rsidR="00C2736C" w:rsidRPr="00380B09">
        <w:rPr>
          <w:iCs/>
        </w:rPr>
        <w:t xml:space="preserve">, where the evidence is connected by a common </w:t>
      </w:r>
      <w:r w:rsidR="00B71272" w:rsidRPr="00380B09">
        <w:rPr>
          <w:iCs/>
        </w:rPr>
        <w:t>reference</w:t>
      </w:r>
      <w:r w:rsidR="00C2736C" w:rsidRPr="00380B09">
        <w:rPr>
          <w:iCs/>
        </w:rPr>
        <w:t>,</w:t>
      </w:r>
      <w:r w:rsidR="00355F9E" w:rsidRPr="00380B09">
        <w:rPr>
          <w:iCs/>
        </w:rPr>
        <w:t xml:space="preserve"> rely on</w:t>
      </w:r>
      <w:r w:rsidR="00C2736C" w:rsidRPr="00380B09">
        <w:rPr>
          <w:iCs/>
        </w:rPr>
        <w:t xml:space="preserve"> the assumption of</w:t>
      </w:r>
      <w:r w:rsidR="00355F9E" w:rsidRPr="00380B09">
        <w:rPr>
          <w:iCs/>
        </w:rPr>
        <w:t xml:space="preserve"> </w:t>
      </w:r>
      <w:r w:rsidR="00B71272" w:rsidRPr="00380B09">
        <w:rPr>
          <w:iCs/>
        </w:rPr>
        <w:t>‘</w:t>
      </w:r>
      <w:r w:rsidR="00355F9E" w:rsidRPr="00380B09">
        <w:rPr>
          <w:iCs/>
        </w:rPr>
        <w:t>conditional constancy of relative effects</w:t>
      </w:r>
      <w:r w:rsidR="00B71272" w:rsidRPr="00380B09">
        <w:rPr>
          <w:iCs/>
        </w:rPr>
        <w:t>’</w:t>
      </w:r>
      <w:r w:rsidR="00355F9E" w:rsidRPr="00380B09">
        <w:rPr>
          <w:iCs/>
        </w:rPr>
        <w:t>. This means that the relative treatment effects are assumed constant between studies at any given level of the effect modifiers, so there is no imbalance of unobserved effect modifiers between the 2 trial populations</w:t>
      </w:r>
      <w:r w:rsidR="00C2736C" w:rsidRPr="00380B09">
        <w:rPr>
          <w:iCs/>
        </w:rPr>
        <w:t>.</w:t>
      </w:r>
      <w:r w:rsidR="00314A49" w:rsidRPr="00380B09">
        <w:rPr>
          <w:iCs/>
        </w:rPr>
        <w:t xml:space="preserve"> </w:t>
      </w:r>
      <w:r w:rsidR="003373A8" w:rsidRPr="00380B09">
        <w:rPr>
          <w:iCs/>
        </w:rPr>
        <w:t>Between-trial differences in the distribution of prognostic variables that are not effect modifiers do not affect inference, because the within-trial randomi</w:t>
      </w:r>
      <w:r w:rsidR="004A50AD" w:rsidRPr="00380B09">
        <w:rPr>
          <w:iCs/>
        </w:rPr>
        <w:t>s</w:t>
      </w:r>
      <w:r w:rsidR="003373A8" w:rsidRPr="00380B09">
        <w:rPr>
          <w:iCs/>
        </w:rPr>
        <w:t xml:space="preserve">ation means that they </w:t>
      </w:r>
      <w:r w:rsidR="004A50AD" w:rsidRPr="00380B09">
        <w:rPr>
          <w:iCs/>
        </w:rPr>
        <w:t xml:space="preserve">should </w:t>
      </w:r>
      <w:r w:rsidR="003373A8" w:rsidRPr="00380B09">
        <w:rPr>
          <w:iCs/>
        </w:rPr>
        <w:t>not impact on the relative treatment effects (assuming that the sample size is sufficiently large)</w:t>
      </w:r>
      <w:r w:rsidR="00B70F6E" w:rsidRPr="00380B09">
        <w:rPr>
          <w:iCs/>
        </w:rPr>
        <w:t>, however all known treatment effect modifiers should be adjusted for</w:t>
      </w:r>
      <w:r w:rsidR="003373A8" w:rsidRPr="00380B09">
        <w:rPr>
          <w:iCs/>
        </w:rPr>
        <w:t>.</w:t>
      </w:r>
      <w:r w:rsidRPr="00380B09">
        <w:rPr>
          <w:iCs/>
        </w:rPr>
        <w:t xml:space="preserve"> Several potentially important variables</w:t>
      </w:r>
      <w:r w:rsidR="004A50AD" w:rsidRPr="00380B09">
        <w:rPr>
          <w:iCs/>
        </w:rPr>
        <w:t xml:space="preserve">, which were identified as prognostic </w:t>
      </w:r>
      <w:r w:rsidR="001A7984" w:rsidRPr="00380B09">
        <w:rPr>
          <w:iCs/>
        </w:rPr>
        <w:t>factors with effect modifier potential,</w:t>
      </w:r>
      <w:r w:rsidRPr="00380B09">
        <w:rPr>
          <w:iCs/>
        </w:rPr>
        <w:t xml:space="preserve"> were either unavailable or not fit, including complex karyotype (≥3 abnormalities), bulky disease, age, sex</w:t>
      </w:r>
      <w:r w:rsidR="00FB112E" w:rsidRPr="00380B09">
        <w:rPr>
          <w:iCs/>
        </w:rPr>
        <w:t>, and relapsed/refractory status</w:t>
      </w:r>
      <w:r w:rsidRPr="00B31282">
        <w:t>.</w:t>
      </w:r>
    </w:p>
    <w:p w14:paraId="1A8320E4" w14:textId="27F288CD" w:rsidR="008E3DA9" w:rsidRPr="00B31282" w:rsidRDefault="008E3DA9" w:rsidP="00114991">
      <w:pPr>
        <w:pStyle w:val="COMexecsumnumberedpara"/>
      </w:pPr>
      <w:r w:rsidRPr="00B31282">
        <w:t xml:space="preserve">The submission also defined additional models designed to increase the ESS as sensitivity analyses. Model 2 was the same as Model 1 but excluded TP53 mutation as a matching factor. Model 3 was the same as Model 1 but excluded the number of lines of prior therapy as a matching factor. Model 2 resulted in an ESS of 77 each in the zanubrutinib and ibrutinib arms, whilst Model 3 resulted in an ESS of 84 and 63 in the zanubrutinib and ibrutinib arms, respectively. The ESS in all models was relatively low compared with the initial sample size, but </w:t>
      </w:r>
      <w:r w:rsidR="00460C04" w:rsidRPr="00B31282">
        <w:t xml:space="preserve">in the submission </w:t>
      </w:r>
      <w:r w:rsidRPr="00B31282">
        <w:t xml:space="preserve">were considered to be sufficient for conducting an anchored MAIC. </w:t>
      </w:r>
    </w:p>
    <w:p w14:paraId="5873E59A" w14:textId="542EB43F" w:rsidR="00EB3F39" w:rsidRPr="00B31282" w:rsidRDefault="00B81CD7" w:rsidP="008E3DA9">
      <w:pPr>
        <w:pStyle w:val="COMexecsumnumberedpara"/>
      </w:pPr>
      <w:r w:rsidRPr="00B31282">
        <w:fldChar w:fldCharType="begin"/>
      </w:r>
      <w:r w:rsidRPr="00B31282">
        <w:instrText xml:space="preserve"> REF _Ref121756858 \h </w:instrText>
      </w:r>
      <w:r w:rsidRPr="00B31282">
        <w:fldChar w:fldCharType="separate"/>
      </w:r>
      <w:r w:rsidR="00472981" w:rsidRPr="00B31282">
        <w:t xml:space="preserve">Table </w:t>
      </w:r>
      <w:r w:rsidR="00472981">
        <w:rPr>
          <w:noProof/>
        </w:rPr>
        <w:t>9</w:t>
      </w:r>
      <w:r w:rsidRPr="00B31282">
        <w:fldChar w:fldCharType="end"/>
      </w:r>
      <w:r w:rsidRPr="00B31282">
        <w:t xml:space="preserve"> </w:t>
      </w:r>
      <w:r w:rsidR="008E3DA9" w:rsidRPr="00B31282">
        <w:t xml:space="preserve">presents the proportion of patients with treatment effect modifier variables and prognostic factors chosen after matching using Model 1, in the ALPINE and ELEVATE-RR trials. </w:t>
      </w:r>
    </w:p>
    <w:p w14:paraId="0E5AA3BC" w14:textId="22451D4D" w:rsidR="006B6862" w:rsidRPr="00B31282" w:rsidRDefault="00B81CD7" w:rsidP="0093286A">
      <w:pPr>
        <w:pStyle w:val="Caption"/>
        <w:rPr>
          <w:rFonts w:ascii="Segoe UI" w:hAnsi="Segoe UI"/>
          <w:sz w:val="18"/>
          <w:szCs w:val="18"/>
        </w:rPr>
      </w:pPr>
      <w:bookmarkStart w:id="31" w:name="_Ref121756858"/>
      <w:r w:rsidRPr="00B31282">
        <w:t xml:space="preserve">Table </w:t>
      </w:r>
      <w:r>
        <w:fldChar w:fldCharType="begin"/>
      </w:r>
      <w:r>
        <w:instrText>SEQ Table \* ARABIC</w:instrText>
      </w:r>
      <w:r>
        <w:fldChar w:fldCharType="separate"/>
      </w:r>
      <w:r w:rsidR="00472981">
        <w:rPr>
          <w:noProof/>
        </w:rPr>
        <w:t>9</w:t>
      </w:r>
      <w:r>
        <w:fldChar w:fldCharType="end"/>
      </w:r>
      <w:bookmarkEnd w:id="31"/>
      <w:r w:rsidR="006B6862" w:rsidRPr="00B31282">
        <w:t>: Distribution of effect modifiers and prognostic variables after re-weighting of ALPINE for the MAIC of zanubrutinib and acalabrutinib (Model 1)</w:t>
      </w:r>
    </w:p>
    <w:tbl>
      <w:tblPr>
        <w:tblW w:w="8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605"/>
        <w:gridCol w:w="1605"/>
        <w:gridCol w:w="1605"/>
        <w:gridCol w:w="1605"/>
      </w:tblGrid>
      <w:tr w:rsidR="006B6862" w:rsidRPr="00B31282" w14:paraId="47C07F92" w14:textId="77777777" w:rsidTr="00D12BAD">
        <w:trPr>
          <w:trHeight w:val="20"/>
        </w:trPr>
        <w:tc>
          <w:tcPr>
            <w:tcW w:w="2535" w:type="dxa"/>
            <w:vMerge w:val="restart"/>
            <w:tcBorders>
              <w:top w:val="single" w:sz="6" w:space="0" w:color="auto"/>
              <w:left w:val="single" w:sz="6" w:space="0" w:color="auto"/>
              <w:right w:val="single" w:sz="6" w:space="0" w:color="auto"/>
            </w:tcBorders>
            <w:shd w:val="clear" w:color="auto" w:fill="auto"/>
            <w:vAlign w:val="center"/>
            <w:hideMark/>
          </w:tcPr>
          <w:p w14:paraId="46482F33" w14:textId="77777777" w:rsidR="006B6862" w:rsidRPr="00B31282" w:rsidRDefault="006B6862" w:rsidP="002051C5">
            <w:pPr>
              <w:keepNext/>
              <w:keepLines/>
              <w:jc w:val="left"/>
              <w:textAlignment w:val="baseline"/>
              <w:rPr>
                <w:rFonts w:ascii="Arial Narrow" w:hAnsi="Arial Narrow" w:cs="Times New Roman"/>
                <w:sz w:val="20"/>
                <w:szCs w:val="20"/>
              </w:rPr>
            </w:pPr>
            <w:r w:rsidRPr="00B31282">
              <w:rPr>
                <w:rFonts w:ascii="Arial Narrow" w:hAnsi="Arial Narrow" w:cs="Times New Roman"/>
                <w:b/>
                <w:bCs/>
                <w:sz w:val="20"/>
                <w:szCs w:val="20"/>
              </w:rPr>
              <w:t>Effect modifier and prognostic characteristics, %</w:t>
            </w:r>
          </w:p>
        </w:tc>
        <w:tc>
          <w:tcPr>
            <w:tcW w:w="32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479171" w14:textId="77777777" w:rsidR="006B6862" w:rsidRPr="00B31282" w:rsidRDefault="006B6862" w:rsidP="002051C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Active treatment arms</w:t>
            </w:r>
          </w:p>
        </w:tc>
        <w:tc>
          <w:tcPr>
            <w:tcW w:w="32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A374B2" w14:textId="77777777" w:rsidR="006B6862" w:rsidRPr="00B31282" w:rsidRDefault="006B6862" w:rsidP="002051C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Control treatment arms</w:t>
            </w:r>
          </w:p>
        </w:tc>
      </w:tr>
      <w:tr w:rsidR="006B6862" w:rsidRPr="00B31282" w14:paraId="12824EA6" w14:textId="77777777" w:rsidTr="002C3915">
        <w:trPr>
          <w:trHeight w:val="20"/>
        </w:trPr>
        <w:tc>
          <w:tcPr>
            <w:tcW w:w="2535" w:type="dxa"/>
            <w:vMerge/>
            <w:tcBorders>
              <w:left w:val="single" w:sz="6" w:space="0" w:color="auto"/>
              <w:bottom w:val="single" w:sz="6" w:space="0" w:color="auto"/>
              <w:right w:val="single" w:sz="6" w:space="0" w:color="auto"/>
            </w:tcBorders>
            <w:shd w:val="clear" w:color="auto" w:fill="auto"/>
          </w:tcPr>
          <w:p w14:paraId="3EEAD2A4" w14:textId="77777777" w:rsidR="006B6862" w:rsidRPr="00B31282" w:rsidRDefault="006B6862" w:rsidP="002051C5">
            <w:pPr>
              <w:keepNext/>
              <w:keepLines/>
              <w:textAlignment w:val="baseline"/>
              <w:rPr>
                <w:rFonts w:ascii="Arial Narrow" w:hAnsi="Arial Narrow" w:cs="Times New Roman"/>
                <w:sz w:val="20"/>
                <w:szCs w:val="20"/>
              </w:rPr>
            </w:pP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519FA5CF" w14:textId="594A6809"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Acalabrutinib</w:t>
            </w:r>
          </w:p>
          <w:p w14:paraId="74A8D3EE"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ELEVATE-RR</w:t>
            </w:r>
          </w:p>
          <w:p w14:paraId="0BD75A95"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(N = 268)</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5FBAC930"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Re-weighted zanubrutinib</w:t>
            </w:r>
          </w:p>
          <w:p w14:paraId="1BC52615"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ALPINE</w:t>
            </w:r>
          </w:p>
          <w:p w14:paraId="7552BFD4"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(ESS = 71)</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02961DCF"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Ibrutinib</w:t>
            </w:r>
          </w:p>
          <w:p w14:paraId="54022FFE"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ELEVATE-RR</w:t>
            </w:r>
          </w:p>
          <w:p w14:paraId="72F7FA0A"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(N = 265)</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2E404F84"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Re-weighted ibrutinib</w:t>
            </w:r>
          </w:p>
          <w:p w14:paraId="7437346C"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ALPINE</w:t>
            </w:r>
          </w:p>
          <w:p w14:paraId="04E2F94A" w14:textId="77777777" w:rsidR="006B6862" w:rsidRPr="00B31282" w:rsidRDefault="006B6862" w:rsidP="002C3915">
            <w:pPr>
              <w:keepNext/>
              <w:keepLines/>
              <w:jc w:val="center"/>
              <w:textAlignment w:val="baseline"/>
              <w:rPr>
                <w:rFonts w:ascii="Arial Narrow" w:hAnsi="Arial Narrow" w:cs="Times New Roman"/>
                <w:b/>
                <w:bCs/>
                <w:sz w:val="20"/>
                <w:szCs w:val="20"/>
              </w:rPr>
            </w:pPr>
            <w:r w:rsidRPr="00B31282">
              <w:rPr>
                <w:rFonts w:ascii="Arial Narrow" w:hAnsi="Arial Narrow" w:cs="Times New Roman"/>
                <w:b/>
                <w:bCs/>
                <w:sz w:val="20"/>
                <w:szCs w:val="20"/>
              </w:rPr>
              <w:t>(ESS = 62)</w:t>
            </w:r>
          </w:p>
        </w:tc>
      </w:tr>
      <w:tr w:rsidR="006B6862" w:rsidRPr="00B31282" w14:paraId="1D5B17BE"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2C0FE3B6"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IGHV mutation (not mutated)</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789F99CD"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16.7</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1DDC41C4"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16.7</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5D3AC16"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10.6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47D7E17"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10.6</w:t>
            </w:r>
          </w:p>
        </w:tc>
      </w:tr>
      <w:tr w:rsidR="006B6862" w:rsidRPr="00B31282" w14:paraId="6879FA8E"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4AAA9044"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Del17p</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C6D5C0B"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45.3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A70D595"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45.3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5BE88D3"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45.3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6993DC5E"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45.3</w:t>
            </w:r>
          </w:p>
        </w:tc>
      </w:tr>
      <w:tr w:rsidR="006B6862" w:rsidRPr="00B31282" w14:paraId="71FA52F8"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2A8E15D2"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Del11q</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7E7D2E9"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62.6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3930246"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62.6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9CAF1CD"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66.1</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9AB0C0E"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66.1</w:t>
            </w:r>
          </w:p>
        </w:tc>
      </w:tr>
      <w:tr w:rsidR="006B6862" w:rsidRPr="00B31282" w14:paraId="00E9B59B"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2B4DE4CA"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TP53 mutation</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664ED40D"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37.4</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7929D92D"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37.4</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57D871C"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42.3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BB52F70"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42.3</w:t>
            </w:r>
          </w:p>
        </w:tc>
      </w:tr>
      <w:tr w:rsidR="006B6862" w:rsidRPr="00B31282" w14:paraId="3E9BD9C6" w14:textId="77777777" w:rsidTr="002C3915">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20E8AD96" w14:textId="77777777" w:rsidR="006B6862" w:rsidRPr="00B31282" w:rsidRDefault="006B6862" w:rsidP="002C3915">
            <w:pPr>
              <w:keepNext/>
              <w:keepLines/>
              <w:jc w:val="left"/>
              <w:textAlignment w:val="baseline"/>
              <w:rPr>
                <w:rFonts w:ascii="Arial Narrow" w:hAnsi="Arial Narrow" w:cs="Times New Roman"/>
                <w:sz w:val="20"/>
                <w:szCs w:val="20"/>
              </w:rPr>
            </w:pPr>
            <w:r w:rsidRPr="00B31282">
              <w:rPr>
                <w:rFonts w:ascii="Arial Narrow" w:hAnsi="Arial Narrow"/>
                <w:sz w:val="20"/>
                <w:szCs w:val="20"/>
              </w:rPr>
              <w:t>Complex karyotype (≥ 3 abnormalities)</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195828C4" w14:textId="77777777" w:rsidR="006B6862" w:rsidRPr="00B31282" w:rsidRDefault="006B6862" w:rsidP="002C391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46.3</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66209AF0" w14:textId="77777777" w:rsidR="006B6862" w:rsidRPr="00B31282" w:rsidRDefault="006B6862" w:rsidP="002C391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45.4</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0BE4E66F" w14:textId="77777777" w:rsidR="006B6862" w:rsidRPr="00B31282" w:rsidRDefault="006B6862" w:rsidP="002C391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47.2</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center"/>
          </w:tcPr>
          <w:p w14:paraId="6768E812" w14:textId="77777777" w:rsidR="006B6862" w:rsidRPr="00B31282" w:rsidRDefault="006B6862" w:rsidP="002C391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62.8</w:t>
            </w:r>
          </w:p>
        </w:tc>
      </w:tr>
      <w:tr w:rsidR="006B6862" w:rsidRPr="00B31282" w14:paraId="2920F10B"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7BFE5598"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β2-microglobulin (&gt; 3.5 mg/L)</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6726B229"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78.1</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28DB82B"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78.1</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1DF2B54"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80.8</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98E09F7"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80.8</w:t>
            </w:r>
          </w:p>
        </w:tc>
      </w:tr>
      <w:tr w:rsidR="006B6862" w:rsidRPr="00B31282" w14:paraId="1F23AE9F"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6FCC0231"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≥4 prior therapies</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07D11C8"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12.4</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91FE26C"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12.4</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73E2EFD"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10.6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679D7879"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10.6</w:t>
            </w:r>
          </w:p>
        </w:tc>
      </w:tr>
      <w:tr w:rsidR="006B6862" w:rsidRPr="00B31282" w14:paraId="1662EE77"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36EEDC7C" w14:textId="25F05E36" w:rsidR="006B6862" w:rsidRPr="00B31282" w:rsidRDefault="006B6862" w:rsidP="002051C5">
            <w:pPr>
              <w:keepNext/>
              <w:keepLines/>
              <w:textAlignment w:val="baseline"/>
              <w:rPr>
                <w:rFonts w:ascii="Arial Narrow" w:hAnsi="Arial Narrow" w:cs="Times New Roman"/>
                <w:sz w:val="20"/>
                <w:szCs w:val="20"/>
              </w:rPr>
            </w:pPr>
            <w:r w:rsidRPr="00B31282">
              <w:rPr>
                <w:rFonts w:ascii="Arial Narrow" w:hAnsi="Arial Narrow"/>
                <w:sz w:val="20"/>
                <w:szCs w:val="20"/>
              </w:rPr>
              <w:t>Bulky disease, L</w:t>
            </w:r>
            <w:r w:rsidR="00986692" w:rsidRPr="00B31282">
              <w:rPr>
                <w:rFonts w:ascii="Arial Narrow" w:hAnsi="Arial Narrow"/>
                <w:sz w:val="20"/>
                <w:szCs w:val="20"/>
              </w:rPr>
              <w:t>d</w:t>
            </w:r>
            <w:r w:rsidRPr="00B31282">
              <w:rPr>
                <w:rFonts w:ascii="Arial Narrow" w:hAnsi="Arial Narrow"/>
                <w:sz w:val="20"/>
                <w:szCs w:val="20"/>
              </w:rPr>
              <w:t>i ≥ 5 cm</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48D48E8"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47.8</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B32A72D"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52.0</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1443A59"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51.3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17F295E"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56.6</w:t>
            </w:r>
          </w:p>
        </w:tc>
      </w:tr>
      <w:tr w:rsidR="006B6862" w:rsidRPr="00B31282" w14:paraId="66D3E9AB"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6C63139C" w14:textId="77777777" w:rsidR="006B6862" w:rsidRPr="00B31282" w:rsidRDefault="006B6862" w:rsidP="002051C5">
            <w:pPr>
              <w:keepNext/>
              <w:keepLines/>
              <w:textAlignment w:val="baseline"/>
              <w:rPr>
                <w:rFonts w:ascii="Arial Narrow" w:hAnsi="Arial Narrow" w:cs="Times New Roman"/>
                <w:sz w:val="20"/>
                <w:szCs w:val="20"/>
              </w:rPr>
            </w:pPr>
            <w:r w:rsidRPr="00B31282">
              <w:rPr>
                <w:rFonts w:ascii="Arial Narrow" w:hAnsi="Arial Narrow"/>
                <w:sz w:val="20"/>
                <w:szCs w:val="20"/>
              </w:rPr>
              <w:t>Aged ≥ 75 years</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FF43358"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16.4</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662918F"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26.2</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E76E594"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16.2</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252354F"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24.3</w:t>
            </w:r>
          </w:p>
        </w:tc>
      </w:tr>
      <w:tr w:rsidR="006B6862" w:rsidRPr="00B31282" w14:paraId="63F4EE81"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6AB83A62" w14:textId="77777777" w:rsidR="006B6862" w:rsidRPr="00B31282" w:rsidRDefault="006B6862" w:rsidP="002051C5">
            <w:pPr>
              <w:keepNext/>
              <w:keepLines/>
              <w:textAlignment w:val="baseline"/>
              <w:rPr>
                <w:rFonts w:ascii="Arial Narrow" w:hAnsi="Arial Narrow" w:cs="Times New Roman"/>
                <w:sz w:val="20"/>
                <w:szCs w:val="20"/>
              </w:rPr>
            </w:pPr>
            <w:r w:rsidRPr="00B31282">
              <w:rPr>
                <w:rFonts w:ascii="Arial Narrow" w:hAnsi="Arial Narrow" w:cs="Times New Roman"/>
                <w:sz w:val="20"/>
                <w:szCs w:val="20"/>
              </w:rPr>
              <w:t>Sex (male)</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8A4A5B5"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69.0</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1F75DE02"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60.2</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7D2B09F"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73.2</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8CE7896"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63.3</w:t>
            </w:r>
          </w:p>
        </w:tc>
      </w:tr>
      <w:tr w:rsidR="006B6862" w:rsidRPr="00B31282" w14:paraId="6445F106"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466EA6CD" w14:textId="77777777" w:rsidR="006B6862" w:rsidRPr="00B31282" w:rsidRDefault="006B6862" w:rsidP="002051C5">
            <w:pPr>
              <w:keepNext/>
              <w:keepLines/>
              <w:textAlignment w:val="baseline"/>
              <w:rPr>
                <w:rFonts w:ascii="Arial Narrow" w:hAnsi="Arial Narrow" w:cs="Times New Roman"/>
                <w:sz w:val="20"/>
                <w:szCs w:val="20"/>
              </w:rPr>
            </w:pPr>
            <w:r w:rsidRPr="00B31282">
              <w:rPr>
                <w:rFonts w:ascii="Arial Narrow" w:hAnsi="Arial Narrow" w:cs="Times New Roman"/>
                <w:sz w:val="20"/>
                <w:szCs w:val="20"/>
              </w:rPr>
              <w:t>ECOG PS 2</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1E01DB72"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7.5</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84C5724"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2.1</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33B7D8CB"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8.3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F04BFFC"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5.7</w:t>
            </w:r>
          </w:p>
        </w:tc>
      </w:tr>
      <w:tr w:rsidR="006B6862" w:rsidRPr="00B31282" w14:paraId="5ECAA240"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6A3C6225" w14:textId="77777777" w:rsidR="006B6862" w:rsidRPr="00B31282" w:rsidRDefault="006B6862" w:rsidP="002051C5">
            <w:pPr>
              <w:keepNext/>
              <w:keepLines/>
              <w:textAlignment w:val="baseline"/>
              <w:rPr>
                <w:rFonts w:ascii="Arial Narrow" w:hAnsi="Arial Narrow" w:cs="Times New Roman"/>
                <w:b/>
                <w:bCs/>
                <w:sz w:val="20"/>
                <w:szCs w:val="20"/>
              </w:rPr>
            </w:pPr>
            <w:r w:rsidRPr="00B31282">
              <w:rPr>
                <w:rFonts w:ascii="Arial Narrow" w:hAnsi="Arial Narrow"/>
                <w:b/>
                <w:bCs/>
                <w:sz w:val="20"/>
                <w:szCs w:val="20"/>
              </w:rPr>
              <w:t>Binet stage, A vs C</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98E2605"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12.6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4D555BF7"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12.6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EB5FDE0"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11.6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6D970D7" w14:textId="77777777" w:rsidR="006B6862" w:rsidRPr="00B31282" w:rsidRDefault="006B6862" w:rsidP="002051C5">
            <w:pPr>
              <w:keepNext/>
              <w:keepLines/>
              <w:jc w:val="center"/>
              <w:textAlignment w:val="baseline"/>
              <w:rPr>
                <w:rFonts w:ascii="Arial Narrow" w:hAnsi="Arial Narrow" w:cs="Times New Roman"/>
                <w:sz w:val="20"/>
                <w:szCs w:val="20"/>
              </w:rPr>
            </w:pPr>
            <w:r w:rsidRPr="00B31282">
              <w:rPr>
                <w:rFonts w:ascii="Arial Narrow" w:hAnsi="Arial Narrow" w:cs="Times New Roman"/>
                <w:sz w:val="20"/>
                <w:szCs w:val="20"/>
              </w:rPr>
              <w:t>11.6</w:t>
            </w:r>
          </w:p>
        </w:tc>
      </w:tr>
      <w:tr w:rsidR="006B6862" w:rsidRPr="00B31282" w14:paraId="66A5178A" w14:textId="77777777" w:rsidTr="00D12BAD">
        <w:trPr>
          <w:trHeight w:val="20"/>
        </w:trPr>
        <w:tc>
          <w:tcPr>
            <w:tcW w:w="2535" w:type="dxa"/>
            <w:tcBorders>
              <w:top w:val="single" w:sz="6" w:space="0" w:color="auto"/>
              <w:left w:val="single" w:sz="6" w:space="0" w:color="auto"/>
              <w:bottom w:val="single" w:sz="6" w:space="0" w:color="auto"/>
              <w:right w:val="single" w:sz="6" w:space="0" w:color="auto"/>
            </w:tcBorders>
            <w:shd w:val="clear" w:color="auto" w:fill="auto"/>
          </w:tcPr>
          <w:p w14:paraId="1EBF494B" w14:textId="77777777" w:rsidR="006B6862" w:rsidRPr="00B31282" w:rsidRDefault="006B6862" w:rsidP="00D12BAD">
            <w:pPr>
              <w:textAlignment w:val="baseline"/>
              <w:rPr>
                <w:rFonts w:ascii="Arial Narrow" w:hAnsi="Arial Narrow" w:cs="Times New Roman"/>
                <w:b/>
                <w:bCs/>
                <w:sz w:val="20"/>
                <w:szCs w:val="20"/>
              </w:rPr>
            </w:pPr>
            <w:r w:rsidRPr="00B31282">
              <w:rPr>
                <w:rFonts w:ascii="Arial Narrow" w:hAnsi="Arial Narrow"/>
                <w:b/>
                <w:bCs/>
                <w:sz w:val="20"/>
                <w:szCs w:val="20"/>
              </w:rPr>
              <w:t>Binet stage, B vs C</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B6B8622" w14:textId="77777777" w:rsidR="006B6862" w:rsidRPr="00B31282" w:rsidRDefault="006B6862" w:rsidP="00D12BAD">
            <w:pPr>
              <w:jc w:val="center"/>
              <w:textAlignment w:val="baseline"/>
              <w:rPr>
                <w:rFonts w:ascii="Arial Narrow" w:hAnsi="Arial Narrow" w:cs="Times New Roman"/>
                <w:sz w:val="20"/>
                <w:szCs w:val="20"/>
              </w:rPr>
            </w:pPr>
            <w:r w:rsidRPr="00B31282">
              <w:rPr>
                <w:rFonts w:ascii="Arial Narrow" w:hAnsi="Arial Narrow" w:cs="Times New Roman"/>
                <w:sz w:val="20"/>
                <w:szCs w:val="20"/>
              </w:rPr>
              <w:t>45.3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57058F8E" w14:textId="77777777" w:rsidR="006B6862" w:rsidRPr="00B31282" w:rsidRDefault="006B6862" w:rsidP="00D12BAD">
            <w:pPr>
              <w:jc w:val="center"/>
              <w:textAlignment w:val="baseline"/>
              <w:rPr>
                <w:rFonts w:ascii="Arial Narrow" w:hAnsi="Arial Narrow" w:cs="Times New Roman"/>
                <w:sz w:val="20"/>
                <w:szCs w:val="20"/>
              </w:rPr>
            </w:pPr>
            <w:r w:rsidRPr="00B31282">
              <w:rPr>
                <w:rFonts w:ascii="Arial Narrow" w:hAnsi="Arial Narrow" w:cs="Times New Roman"/>
                <w:sz w:val="20"/>
                <w:szCs w:val="20"/>
              </w:rPr>
              <w:t>45.3</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0B612630" w14:textId="77777777" w:rsidR="006B6862" w:rsidRPr="00B31282" w:rsidRDefault="006B6862" w:rsidP="00D12BAD">
            <w:pPr>
              <w:jc w:val="center"/>
              <w:textAlignment w:val="baseline"/>
              <w:rPr>
                <w:rFonts w:ascii="Arial Narrow" w:hAnsi="Arial Narrow" w:cs="Times New Roman"/>
                <w:sz w:val="20"/>
                <w:szCs w:val="20"/>
              </w:rPr>
            </w:pPr>
            <w:r w:rsidRPr="00B31282">
              <w:rPr>
                <w:rFonts w:ascii="Arial Narrow" w:hAnsi="Arial Narrow" w:cs="Times New Roman"/>
                <w:sz w:val="20"/>
                <w:szCs w:val="20"/>
              </w:rPr>
              <w:t>42.6</w:t>
            </w:r>
          </w:p>
        </w:tc>
        <w:tc>
          <w:tcPr>
            <w:tcW w:w="1605" w:type="dxa"/>
            <w:tcBorders>
              <w:top w:val="single" w:sz="6" w:space="0" w:color="auto"/>
              <w:left w:val="single" w:sz="6" w:space="0" w:color="auto"/>
              <w:bottom w:val="single" w:sz="6" w:space="0" w:color="auto"/>
              <w:right w:val="single" w:sz="6" w:space="0" w:color="auto"/>
            </w:tcBorders>
            <w:shd w:val="clear" w:color="auto" w:fill="auto"/>
          </w:tcPr>
          <w:p w14:paraId="2902AC9F" w14:textId="77777777" w:rsidR="006B6862" w:rsidRPr="00B31282" w:rsidRDefault="006B6862" w:rsidP="00D12BAD">
            <w:pPr>
              <w:jc w:val="center"/>
              <w:textAlignment w:val="baseline"/>
              <w:rPr>
                <w:rFonts w:ascii="Arial Narrow" w:hAnsi="Arial Narrow" w:cs="Times New Roman"/>
                <w:sz w:val="20"/>
                <w:szCs w:val="20"/>
              </w:rPr>
            </w:pPr>
            <w:r w:rsidRPr="00B31282">
              <w:rPr>
                <w:rFonts w:ascii="Arial Narrow" w:hAnsi="Arial Narrow" w:cs="Times New Roman"/>
                <w:sz w:val="20"/>
                <w:szCs w:val="20"/>
              </w:rPr>
              <w:t>42.6</w:t>
            </w:r>
          </w:p>
        </w:tc>
      </w:tr>
    </w:tbl>
    <w:p w14:paraId="668509C8" w14:textId="0E694732" w:rsidR="006B6862" w:rsidRPr="00B31282" w:rsidRDefault="006B6862" w:rsidP="00F44191">
      <w:pPr>
        <w:pStyle w:val="COMTablefooter"/>
        <w:rPr>
          <w:rFonts w:ascii="Segoe UI" w:hAnsi="Segoe UI"/>
        </w:rPr>
      </w:pPr>
      <w:r w:rsidRPr="00B31282">
        <w:t>Source: Table 20, p73 Attachment 3 MAIC Technical Appendix. </w:t>
      </w:r>
    </w:p>
    <w:p w14:paraId="18D53924" w14:textId="6D32B119" w:rsidR="006B6862" w:rsidRPr="00B31282" w:rsidRDefault="006B6862" w:rsidP="00F44191">
      <w:pPr>
        <w:pStyle w:val="COMTablefooter"/>
      </w:pPr>
      <w:r w:rsidRPr="00B31282">
        <w:t>Abbreviations: del11q/del13q, deletion of the long arm of chromosome 11/13; del17p, deletion of the short arm of chromosome 17; ECOG PS, Eastern Cooperative Oncology Group Performance Status Scale; IGHV, immunoglobulin heavy chain gene; L</w:t>
      </w:r>
      <w:r w:rsidR="00986692" w:rsidRPr="00B31282">
        <w:t>d</w:t>
      </w:r>
      <w:r w:rsidRPr="00B31282">
        <w:t>i, longest diameter; MAIC, matching adjusted indirect comparison. </w:t>
      </w:r>
    </w:p>
    <w:p w14:paraId="46FDDABE" w14:textId="77777777" w:rsidR="006B6862" w:rsidRPr="00B31282" w:rsidRDefault="006B6862" w:rsidP="00F44191">
      <w:pPr>
        <w:pStyle w:val="COMTablefooter"/>
        <w:rPr>
          <w:rFonts w:ascii="Segoe UI" w:hAnsi="Segoe UI"/>
        </w:rPr>
      </w:pPr>
      <w:r w:rsidRPr="00B31282">
        <w:t xml:space="preserve">Note: Variable names in </w:t>
      </w:r>
      <w:r w:rsidRPr="00B31282">
        <w:rPr>
          <w:b/>
          <w:bCs/>
        </w:rPr>
        <w:t>bold</w:t>
      </w:r>
      <w:r w:rsidRPr="00B31282">
        <w:t xml:space="preserve"> text were those used for matching.</w:t>
      </w:r>
    </w:p>
    <w:p w14:paraId="67EDF8D3" w14:textId="4A4D4A34" w:rsidR="00A122A0" w:rsidRPr="00380B09" w:rsidRDefault="00A122A0" w:rsidP="00114991">
      <w:pPr>
        <w:pStyle w:val="COMexecsumnumberedpara"/>
        <w:rPr>
          <w:iCs/>
        </w:rPr>
      </w:pPr>
      <w:r w:rsidRPr="00B31282">
        <w:t>Post-matching characteristics for variables not chosen for matching were unbalanced after matching.</w:t>
      </w:r>
      <w:r w:rsidRPr="00380B09">
        <w:rPr>
          <w:iCs/>
        </w:rPr>
        <w:t xml:space="preserve"> Due to the interdependence of variables, and different weights applied to each patient, matching of specific characteristics is likely to affect the distribution of other characteristics.</w:t>
      </w:r>
    </w:p>
    <w:p w14:paraId="05E3B04F" w14:textId="15793643" w:rsidR="00A122A0" w:rsidRPr="00B31282" w:rsidRDefault="00F44191" w:rsidP="00A122A0">
      <w:pPr>
        <w:pStyle w:val="COMexecsumnumberedpara"/>
      </w:pPr>
      <w:r w:rsidRPr="00B31282">
        <w:fldChar w:fldCharType="begin"/>
      </w:r>
      <w:r w:rsidRPr="00B31282">
        <w:instrText xml:space="preserve"> REF _Ref121757893 \h </w:instrText>
      </w:r>
      <w:r w:rsidRPr="00B31282">
        <w:fldChar w:fldCharType="separate"/>
      </w:r>
      <w:r w:rsidR="00472981" w:rsidRPr="00B31282">
        <w:t xml:space="preserve">Table </w:t>
      </w:r>
      <w:r w:rsidR="00472981">
        <w:rPr>
          <w:noProof/>
        </w:rPr>
        <w:t>10</w:t>
      </w:r>
      <w:r w:rsidRPr="00B31282">
        <w:fldChar w:fldCharType="end"/>
      </w:r>
      <w:r w:rsidR="00112567" w:rsidRPr="00B31282">
        <w:t xml:space="preserve"> presents the results for the anchored MAIC of investigator-assessed </w:t>
      </w:r>
      <w:r w:rsidR="00A87140" w:rsidRPr="00B31282">
        <w:t xml:space="preserve">and independent review committee-assessed </w:t>
      </w:r>
      <w:r w:rsidR="00112567" w:rsidRPr="00B31282">
        <w:t xml:space="preserve">progression-free survival based on a median follow-up of </w:t>
      </w:r>
      <w:r w:rsidR="00253384" w:rsidRPr="00B31282">
        <w:t>approximately 22.1 months for ALPINE, and approximately 38.4 months for ELEVATE-</w:t>
      </w:r>
      <w:r w:rsidR="00253384" w:rsidRPr="00567BEF">
        <w:t>RR</w:t>
      </w:r>
      <w:r w:rsidR="00112567" w:rsidRPr="00567BEF">
        <w:t xml:space="preserve">.  </w:t>
      </w:r>
    </w:p>
    <w:p w14:paraId="4875CA69" w14:textId="40F9FD0C" w:rsidR="000E49BC" w:rsidRPr="00B31282" w:rsidRDefault="00F44191" w:rsidP="0093286A">
      <w:pPr>
        <w:pStyle w:val="Caption"/>
        <w:rPr>
          <w:rFonts w:ascii="Segoe UI" w:hAnsi="Segoe UI"/>
          <w:sz w:val="18"/>
          <w:szCs w:val="18"/>
        </w:rPr>
      </w:pPr>
      <w:bookmarkStart w:id="32" w:name="_Ref121757893"/>
      <w:r w:rsidRPr="00B31282">
        <w:t xml:space="preserve">Table </w:t>
      </w:r>
      <w:r>
        <w:fldChar w:fldCharType="begin"/>
      </w:r>
      <w:r>
        <w:instrText>SEQ Table \* ARABIC</w:instrText>
      </w:r>
      <w:r>
        <w:fldChar w:fldCharType="separate"/>
      </w:r>
      <w:r w:rsidR="00472981">
        <w:rPr>
          <w:noProof/>
        </w:rPr>
        <w:t>10</w:t>
      </w:r>
      <w:r>
        <w:fldChar w:fldCharType="end"/>
      </w:r>
      <w:bookmarkEnd w:id="32"/>
      <w:r w:rsidR="000E49BC" w:rsidRPr="00B31282">
        <w:t>: Results for the MAIC of investigator-</w:t>
      </w:r>
      <w:r w:rsidR="000E49BC" w:rsidRPr="00F24E43">
        <w:t>assessed</w:t>
      </w:r>
      <w:r w:rsidRPr="00F24E43">
        <w:t xml:space="preserve"> and independent review committee-assessed</w:t>
      </w:r>
      <w:r w:rsidR="000E49BC" w:rsidRPr="00F24E43">
        <w:t xml:space="preserve"> progression</w:t>
      </w:r>
      <w:r w:rsidR="000E49BC" w:rsidRPr="00B31282">
        <w:t xml:space="preserve"> free survival for zanubrutinib versus acalabrutinib</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8"/>
        <w:gridCol w:w="4253"/>
      </w:tblGrid>
      <w:tr w:rsidR="000E49BC" w:rsidRPr="00B31282" w14:paraId="3641F678"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2F61C" w14:textId="77777777" w:rsidR="000E49BC" w:rsidRPr="00B31282" w:rsidRDefault="000E49BC" w:rsidP="002C3915">
            <w:pPr>
              <w:pStyle w:val="COMTabletext"/>
              <w:keepLines/>
              <w:rPr>
                <w:b/>
                <w:bCs w:val="0"/>
              </w:rPr>
            </w:pPr>
            <w:r w:rsidRPr="00B31282">
              <w:rPr>
                <w:b/>
                <w:bCs w:val="0"/>
              </w:rPr>
              <w:t>Model</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087374" w14:textId="77777777" w:rsidR="000E49BC" w:rsidRPr="00B31282" w:rsidRDefault="000E49BC" w:rsidP="002C3915">
            <w:pPr>
              <w:pStyle w:val="COMTabletext"/>
              <w:keepLines/>
              <w:jc w:val="center"/>
            </w:pPr>
            <w:r w:rsidRPr="00B31282">
              <w:rPr>
                <w:b/>
                <w:szCs w:val="20"/>
              </w:rPr>
              <w:t>HR (95% CI)</w:t>
            </w:r>
          </w:p>
        </w:tc>
      </w:tr>
      <w:tr w:rsidR="00F44191" w:rsidRPr="00B31282" w14:paraId="3B464A57" w14:textId="77777777" w:rsidTr="00F44191">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2B82D0" w14:textId="44625D26" w:rsidR="00F44191" w:rsidRPr="00B31282" w:rsidRDefault="00F44191" w:rsidP="002C3915">
            <w:pPr>
              <w:pStyle w:val="COMTabletext"/>
              <w:keepLines/>
              <w:rPr>
                <w:b/>
                <w:szCs w:val="20"/>
              </w:rPr>
            </w:pPr>
            <w:r w:rsidRPr="00B31282">
              <w:rPr>
                <w:b/>
                <w:bCs w:val="0"/>
              </w:rPr>
              <w:t>Investigator-assessed progression free survival</w:t>
            </w:r>
          </w:p>
        </w:tc>
      </w:tr>
      <w:tr w:rsidR="000E49BC" w:rsidRPr="00B31282" w14:paraId="09E410A5"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B991E75" w14:textId="77777777" w:rsidR="000E49BC" w:rsidRPr="00B31282" w:rsidRDefault="000E49BC" w:rsidP="002C3915">
            <w:pPr>
              <w:pStyle w:val="COMTabletext"/>
              <w:keepLines/>
              <w:rPr>
                <w:vertAlign w:val="superscript"/>
              </w:rPr>
            </w:pPr>
            <w:r w:rsidRPr="00B31282">
              <w:rPr>
                <w:szCs w:val="20"/>
              </w:rPr>
              <w:t>Unadjusted high-risk population (N = 251)</w:t>
            </w:r>
            <w:r w:rsidRPr="00B31282">
              <w:rPr>
                <w:szCs w:val="20"/>
                <w:vertAlign w:val="superscript"/>
              </w:rPr>
              <w:t>a</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5C321F35" w14:textId="77777777" w:rsidR="000E49BC" w:rsidRPr="00B31282" w:rsidRDefault="000E49BC" w:rsidP="002C3915">
            <w:pPr>
              <w:pStyle w:val="COMTabletext"/>
              <w:keepLines/>
              <w:jc w:val="center"/>
            </w:pPr>
            <w:r w:rsidRPr="00B31282">
              <w:t>0.66 (0.26, 1.68)</w:t>
            </w:r>
          </w:p>
        </w:tc>
      </w:tr>
      <w:tr w:rsidR="000E49BC" w:rsidRPr="00B31282" w14:paraId="608EE8F6"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5F3BFF" w14:textId="77777777" w:rsidR="000E49BC" w:rsidRPr="00B31282" w:rsidRDefault="000E49BC" w:rsidP="002C3915">
            <w:pPr>
              <w:pStyle w:val="COMTabletext"/>
              <w:keepLines/>
            </w:pPr>
            <w:r w:rsidRPr="00B31282">
              <w:rPr>
                <w:szCs w:val="20"/>
              </w:rPr>
              <w:t>MAIC adjusted: Model 1 (ESS = 133.5)</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8D6601" w14:textId="77777777" w:rsidR="000E49BC" w:rsidRPr="00B31282" w:rsidRDefault="000E49BC" w:rsidP="002C3915">
            <w:pPr>
              <w:pStyle w:val="COMTabletext"/>
              <w:keepLines/>
              <w:jc w:val="center"/>
            </w:pPr>
            <w:r w:rsidRPr="00B31282">
              <w:t>0.65 (0.20, 2.18)</w:t>
            </w:r>
          </w:p>
        </w:tc>
      </w:tr>
      <w:tr w:rsidR="000E49BC" w:rsidRPr="00B31282" w14:paraId="39C56DD7"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tcPr>
          <w:p w14:paraId="658C12D6" w14:textId="77777777" w:rsidR="000E49BC" w:rsidRPr="00B31282" w:rsidRDefault="000E49BC" w:rsidP="002C3915">
            <w:pPr>
              <w:pStyle w:val="COMTabletext"/>
              <w:keepLines/>
              <w:rPr>
                <w:szCs w:val="20"/>
              </w:rPr>
            </w:pPr>
            <w:r w:rsidRPr="00B31282">
              <w:rPr>
                <w:szCs w:val="20"/>
              </w:rPr>
              <w:t>MAIC adjusted: Model 2 (ESS = 154.9)</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49BB840B" w14:textId="150459E1" w:rsidR="000E49BC" w:rsidRPr="00B31282" w:rsidRDefault="000E49BC" w:rsidP="002C3915">
            <w:pPr>
              <w:pStyle w:val="COMTabletext"/>
              <w:keepLines/>
              <w:jc w:val="center"/>
              <w:rPr>
                <w:szCs w:val="20"/>
              </w:rPr>
            </w:pPr>
            <w:r w:rsidRPr="00B31282">
              <w:rPr>
                <w:szCs w:val="20"/>
              </w:rPr>
              <w:t>0.70 (0.22, 2.21)</w:t>
            </w:r>
          </w:p>
        </w:tc>
      </w:tr>
      <w:tr w:rsidR="000E49BC" w:rsidRPr="00B31282" w14:paraId="33109E8F"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tcPr>
          <w:p w14:paraId="6613B4C2" w14:textId="77777777" w:rsidR="000E49BC" w:rsidRPr="00B31282" w:rsidRDefault="000E49BC" w:rsidP="002C3915">
            <w:pPr>
              <w:pStyle w:val="COMTabletext"/>
              <w:keepLines/>
              <w:rPr>
                <w:szCs w:val="20"/>
              </w:rPr>
            </w:pPr>
            <w:r w:rsidRPr="00B31282">
              <w:rPr>
                <w:szCs w:val="20"/>
              </w:rPr>
              <w:t>MAIC adjusted: Model 3 (ESS = 147.2)</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1D0A66A6" w14:textId="22E9097D" w:rsidR="000E49BC" w:rsidRPr="00B31282" w:rsidRDefault="000E49BC" w:rsidP="002C3915">
            <w:pPr>
              <w:pStyle w:val="COMTabletext"/>
              <w:keepLines/>
              <w:jc w:val="center"/>
              <w:rPr>
                <w:szCs w:val="20"/>
              </w:rPr>
            </w:pPr>
            <w:r w:rsidRPr="00B31282">
              <w:rPr>
                <w:szCs w:val="20"/>
              </w:rPr>
              <w:t>0.74 (0.23, 2.42)</w:t>
            </w:r>
          </w:p>
        </w:tc>
      </w:tr>
      <w:tr w:rsidR="00F44191" w:rsidRPr="00B31282" w14:paraId="3189DE5B" w14:textId="77777777" w:rsidTr="00F44191">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0BECD8" w14:textId="652CEF02" w:rsidR="00F44191" w:rsidRPr="00B31282" w:rsidRDefault="00F44191" w:rsidP="002C3915">
            <w:pPr>
              <w:pStyle w:val="COMTabletext"/>
              <w:keepLines/>
              <w:rPr>
                <w:b/>
                <w:bCs w:val="0"/>
                <w:szCs w:val="20"/>
              </w:rPr>
            </w:pPr>
            <w:r w:rsidRPr="00B31282">
              <w:rPr>
                <w:b/>
                <w:bCs w:val="0"/>
                <w:szCs w:val="20"/>
              </w:rPr>
              <w:t>Independent review committee-assessed progression free survival</w:t>
            </w:r>
          </w:p>
        </w:tc>
      </w:tr>
      <w:tr w:rsidR="00F44191" w:rsidRPr="00B31282" w14:paraId="0D221D41"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3C80428" w14:textId="77777777" w:rsidR="00F44191" w:rsidRPr="00B31282" w:rsidRDefault="00F44191" w:rsidP="002C3915">
            <w:pPr>
              <w:pStyle w:val="COMTabletext"/>
              <w:keepLines/>
              <w:rPr>
                <w:vertAlign w:val="superscript"/>
              </w:rPr>
            </w:pPr>
            <w:r w:rsidRPr="00B31282">
              <w:rPr>
                <w:szCs w:val="20"/>
              </w:rPr>
              <w:t>Unadjusted high-risk population (N = 251)</w:t>
            </w:r>
            <w:r w:rsidRPr="00B31282">
              <w:rPr>
                <w:szCs w:val="20"/>
                <w:vertAlign w:val="superscript"/>
              </w:rPr>
              <w:t>a</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1B5453DE" w14:textId="77777777" w:rsidR="00F44191" w:rsidRPr="00B31282" w:rsidRDefault="00F44191" w:rsidP="002C3915">
            <w:pPr>
              <w:pStyle w:val="COMTabletext"/>
              <w:keepLines/>
              <w:jc w:val="center"/>
            </w:pPr>
            <w:r w:rsidRPr="00B31282">
              <w:t>0.75 (0.29, 1.95)</w:t>
            </w:r>
          </w:p>
        </w:tc>
      </w:tr>
      <w:tr w:rsidR="00F44191" w:rsidRPr="00B31282" w14:paraId="15150229"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C90387" w14:textId="77777777" w:rsidR="00F44191" w:rsidRPr="00B31282" w:rsidRDefault="00F44191" w:rsidP="002C3915">
            <w:pPr>
              <w:pStyle w:val="COMTabletext"/>
              <w:keepLines/>
            </w:pPr>
            <w:r w:rsidRPr="00B31282">
              <w:rPr>
                <w:szCs w:val="20"/>
              </w:rPr>
              <w:t>MAIC adjusted: Model 1 (ESS = 133.5)</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9945BB" w14:textId="77777777" w:rsidR="00F44191" w:rsidRPr="00B31282" w:rsidRDefault="00F44191" w:rsidP="002C3915">
            <w:pPr>
              <w:pStyle w:val="COMTabletext"/>
              <w:keepLines/>
              <w:jc w:val="center"/>
            </w:pPr>
            <w:r w:rsidRPr="00B31282">
              <w:t>0.67 (0.22, 2.04)</w:t>
            </w:r>
          </w:p>
        </w:tc>
      </w:tr>
      <w:tr w:rsidR="00F44191" w:rsidRPr="00B31282" w14:paraId="540B4E82"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tcPr>
          <w:p w14:paraId="62008F99" w14:textId="77777777" w:rsidR="00F44191" w:rsidRPr="00B31282" w:rsidRDefault="00F44191" w:rsidP="002C3915">
            <w:pPr>
              <w:pStyle w:val="COMTabletext"/>
              <w:keepLines/>
              <w:rPr>
                <w:szCs w:val="20"/>
              </w:rPr>
            </w:pPr>
            <w:r w:rsidRPr="00B31282">
              <w:rPr>
                <w:szCs w:val="20"/>
              </w:rPr>
              <w:t>MAIC adjusted: Model 2 (ESS = 154.9)</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4A91BCF8" w14:textId="732E7243" w:rsidR="00F44191" w:rsidRPr="00B31282" w:rsidRDefault="00F44191" w:rsidP="002C3915">
            <w:pPr>
              <w:pStyle w:val="COMTabletext"/>
              <w:keepLines/>
              <w:jc w:val="center"/>
              <w:rPr>
                <w:szCs w:val="20"/>
              </w:rPr>
            </w:pPr>
            <w:r w:rsidRPr="00B31282">
              <w:rPr>
                <w:szCs w:val="20"/>
              </w:rPr>
              <w:t>0.90 (0.30, 2.66)</w:t>
            </w:r>
          </w:p>
        </w:tc>
      </w:tr>
      <w:tr w:rsidR="00F44191" w:rsidRPr="00B31282" w14:paraId="282B8F6B"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tcPr>
          <w:p w14:paraId="50CFB7F4" w14:textId="77777777" w:rsidR="00F44191" w:rsidRPr="00B31282" w:rsidRDefault="00F44191" w:rsidP="002C3915">
            <w:pPr>
              <w:pStyle w:val="COMTabletext"/>
              <w:keepLines/>
              <w:rPr>
                <w:szCs w:val="20"/>
              </w:rPr>
            </w:pPr>
            <w:r w:rsidRPr="00B31282">
              <w:rPr>
                <w:szCs w:val="20"/>
              </w:rPr>
              <w:t>MAIC adjusted: Model 3 (ESS = 147.2)</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4BD0E69A" w14:textId="57E2627C" w:rsidR="00F44191" w:rsidRPr="00B31282" w:rsidRDefault="00F44191" w:rsidP="002C3915">
            <w:pPr>
              <w:pStyle w:val="COMTabletext"/>
              <w:keepLines/>
              <w:jc w:val="center"/>
              <w:rPr>
                <w:szCs w:val="20"/>
              </w:rPr>
            </w:pPr>
            <w:r w:rsidRPr="00B31282">
              <w:rPr>
                <w:szCs w:val="20"/>
              </w:rPr>
              <w:t>0.80 (0.27, 2.42)</w:t>
            </w:r>
          </w:p>
        </w:tc>
      </w:tr>
    </w:tbl>
    <w:p w14:paraId="1F9FACE4" w14:textId="4BFB4B6A" w:rsidR="000E49BC" w:rsidRPr="00B31282" w:rsidRDefault="000E49BC" w:rsidP="002C3915">
      <w:pPr>
        <w:pStyle w:val="COMTablefooter"/>
        <w:keepNext/>
        <w:keepLines/>
        <w:rPr>
          <w:rFonts w:ascii="Segoe UI" w:hAnsi="Segoe UI"/>
        </w:rPr>
      </w:pPr>
      <w:r w:rsidRPr="00B31282">
        <w:t>Source: Table 23, p81</w:t>
      </w:r>
      <w:r w:rsidR="00FE1AAD" w:rsidRPr="00B31282">
        <w:t>; Table 24, p87</w:t>
      </w:r>
      <w:r w:rsidRPr="00B31282">
        <w:t xml:space="preserve"> Attachment 3 MAIC Technical Document. </w:t>
      </w:r>
    </w:p>
    <w:p w14:paraId="4BB8719B" w14:textId="6256B074" w:rsidR="000E49BC" w:rsidRPr="00B31282" w:rsidRDefault="000E49BC" w:rsidP="00D45ED8">
      <w:pPr>
        <w:pStyle w:val="COMTablefooter"/>
      </w:pPr>
      <w:r w:rsidRPr="00B31282">
        <w:t xml:space="preserve">Abbreviations: CI, confidence interval; ESS, effective sample size after </w:t>
      </w:r>
      <w:r w:rsidR="00F44191" w:rsidRPr="00B31282">
        <w:t>reweighting</w:t>
      </w:r>
      <w:r w:rsidRPr="00B31282">
        <w:t>; HR, hazard ratio; MAIC, matching adjusted indirect comparison. </w:t>
      </w:r>
    </w:p>
    <w:p w14:paraId="7DEB2BC9" w14:textId="6EB223A0" w:rsidR="000E49BC" w:rsidRPr="00B31282" w:rsidRDefault="000E49BC" w:rsidP="00D45ED8">
      <w:pPr>
        <w:pStyle w:val="COMTablefooter"/>
        <w:rPr>
          <w:rStyle w:val="normaltextrun"/>
          <w:rFonts w:cs="Calibri"/>
          <w:highlight w:val="yellow"/>
        </w:rPr>
      </w:pPr>
      <w:r w:rsidRPr="00B31282">
        <w:rPr>
          <w:vertAlign w:val="superscript"/>
        </w:rPr>
        <w:t>a</w:t>
      </w:r>
      <w:r w:rsidRPr="00B31282">
        <w:t xml:space="preserve"> The </w:t>
      </w:r>
      <w:r w:rsidR="00F44191" w:rsidRPr="00B31282">
        <w:t>unadjusted</w:t>
      </w:r>
      <w:r w:rsidRPr="00B31282">
        <w:t xml:space="preserve"> comparison included only CLL patients with non-missing information for all selected matching factors</w:t>
      </w:r>
      <w:r w:rsidRPr="00B31282">
        <w:rPr>
          <w:highlight w:val="yellow"/>
        </w:rPr>
        <w:t xml:space="preserve"> </w:t>
      </w:r>
    </w:p>
    <w:p w14:paraId="3E5D74F6" w14:textId="494EB961" w:rsidR="000E49BC" w:rsidRPr="00B31282" w:rsidRDefault="000E49BC" w:rsidP="00114991">
      <w:pPr>
        <w:pStyle w:val="COMexecsumnumberedpara"/>
      </w:pPr>
      <w:r w:rsidRPr="00B31282">
        <w:t xml:space="preserve">Prior to </w:t>
      </w:r>
      <w:r w:rsidR="00D63AFD">
        <w:t xml:space="preserve">adjustment of the </w:t>
      </w:r>
      <w:r w:rsidRPr="00B31282">
        <w:t>MAIC (</w:t>
      </w:r>
      <w:r w:rsidR="00C20C16" w:rsidRPr="00B31282">
        <w:t>i.e.,</w:t>
      </w:r>
      <w:r w:rsidRPr="00B31282">
        <w:t xml:space="preserve"> based on an unadjusted comparison</w:t>
      </w:r>
      <w:r w:rsidR="00114991" w:rsidRPr="00B31282">
        <w:t xml:space="preserve"> </w:t>
      </w:r>
      <w:r w:rsidRPr="00B31282">
        <w:t xml:space="preserve">of high-risk patients from ALPINE [zanubrutinib] and patients from ELEVATE-RR [acalabrutinib]), the hazard ratio for progression-free survival favoured zanubrutinib but the difference was not statistically significant. After adjustment, the difference in progression-free survival between zanubrutinib and acalabrutinib remained not statistically significant in </w:t>
      </w:r>
      <w:r w:rsidR="00C20C16" w:rsidRPr="00B31282">
        <w:t>all</w:t>
      </w:r>
      <w:r w:rsidRPr="00B31282">
        <w:t xml:space="preserve"> the matching models. Overall, relative treatment effects generated via MAIC were estimated with large uncertainty. No non-inferiority margin was proposed in the submission.</w:t>
      </w:r>
    </w:p>
    <w:p w14:paraId="3F682A48" w14:textId="2CA50055" w:rsidR="00702AC6" w:rsidRPr="00B31282" w:rsidRDefault="00075AFC" w:rsidP="00D12BAD">
      <w:pPr>
        <w:pStyle w:val="COMexecsumnumberedpara"/>
      </w:pPr>
      <w:r w:rsidRPr="00B31282">
        <w:t>The submission noted that, due to immaturity of overall survival data in the ALPINE population, MAIC results based on the latest data</w:t>
      </w:r>
      <w:r w:rsidR="008D3393">
        <w:t xml:space="preserve"> </w:t>
      </w:r>
      <w:r w:rsidRPr="00B31282">
        <w:t xml:space="preserve">cut were considered as preliminary only, and results should be interpreted with caution. </w:t>
      </w:r>
      <w:r w:rsidR="001F32F0" w:rsidRPr="00B31282">
        <w:fldChar w:fldCharType="begin"/>
      </w:r>
      <w:r w:rsidR="001F32F0" w:rsidRPr="00B31282">
        <w:instrText xml:space="preserve"> REF _Ref121758199 \h </w:instrText>
      </w:r>
      <w:r w:rsidR="001F32F0" w:rsidRPr="00B31282">
        <w:fldChar w:fldCharType="separate"/>
      </w:r>
      <w:r w:rsidR="00472981" w:rsidRPr="00B31282">
        <w:t xml:space="preserve">Table </w:t>
      </w:r>
      <w:r w:rsidR="00472981">
        <w:rPr>
          <w:noProof/>
        </w:rPr>
        <w:t>11</w:t>
      </w:r>
      <w:r w:rsidR="001F32F0" w:rsidRPr="00B31282">
        <w:fldChar w:fldCharType="end"/>
      </w:r>
      <w:r w:rsidR="00702AC6" w:rsidRPr="00B31282">
        <w:t xml:space="preserve"> presents the results for the anchored </w:t>
      </w:r>
      <w:r w:rsidR="00702AC6" w:rsidRPr="00567BEF">
        <w:t xml:space="preserve">MAIC of overall survival based on a median follow-up of </w:t>
      </w:r>
      <w:r w:rsidR="001D2A0A" w:rsidRPr="00567BEF">
        <w:t>approximately 24.9 months for ALPINE, and approximately 40.9 months for ELEVATE-RR</w:t>
      </w:r>
      <w:r w:rsidR="00702AC6" w:rsidRPr="00567BEF">
        <w:t xml:space="preserve">.  </w:t>
      </w:r>
    </w:p>
    <w:p w14:paraId="3A545DBC" w14:textId="46EC6553" w:rsidR="00702AC6" w:rsidRPr="00B31282" w:rsidRDefault="001F32F0" w:rsidP="0093286A">
      <w:pPr>
        <w:pStyle w:val="Caption"/>
        <w:rPr>
          <w:rFonts w:ascii="Segoe UI" w:hAnsi="Segoe UI"/>
          <w:sz w:val="18"/>
          <w:szCs w:val="18"/>
        </w:rPr>
      </w:pPr>
      <w:bookmarkStart w:id="33" w:name="_Ref121758199"/>
      <w:r w:rsidRPr="00B31282">
        <w:t xml:space="preserve">Table </w:t>
      </w:r>
      <w:r>
        <w:fldChar w:fldCharType="begin"/>
      </w:r>
      <w:r>
        <w:instrText>SEQ Table \* ARABIC</w:instrText>
      </w:r>
      <w:r>
        <w:fldChar w:fldCharType="separate"/>
      </w:r>
      <w:r w:rsidR="00472981">
        <w:rPr>
          <w:noProof/>
        </w:rPr>
        <w:t>11</w:t>
      </w:r>
      <w:r>
        <w:fldChar w:fldCharType="end"/>
      </w:r>
      <w:bookmarkEnd w:id="33"/>
      <w:r w:rsidR="00702AC6" w:rsidRPr="00B31282">
        <w:t>: Results for the MAIC of overall survival for zanubrutinib versus acalabrutinib</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8"/>
        <w:gridCol w:w="4253"/>
      </w:tblGrid>
      <w:tr w:rsidR="00702AC6" w:rsidRPr="00B31282" w14:paraId="47ED32A0"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9CBE80" w14:textId="77777777" w:rsidR="00702AC6" w:rsidRPr="00B31282" w:rsidRDefault="00702AC6" w:rsidP="002C3915">
            <w:pPr>
              <w:pStyle w:val="COMTabletext"/>
              <w:keepLines/>
              <w:rPr>
                <w:b/>
                <w:bCs w:val="0"/>
              </w:rPr>
            </w:pPr>
            <w:r w:rsidRPr="00B31282">
              <w:rPr>
                <w:b/>
                <w:bCs w:val="0"/>
              </w:rPr>
              <w:t>Model</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45201A" w14:textId="77777777" w:rsidR="00702AC6" w:rsidRPr="00B31282" w:rsidRDefault="00702AC6" w:rsidP="002C3915">
            <w:pPr>
              <w:pStyle w:val="COMTabletext"/>
              <w:keepLines/>
              <w:jc w:val="center"/>
            </w:pPr>
            <w:r w:rsidRPr="00B31282">
              <w:rPr>
                <w:b/>
                <w:szCs w:val="20"/>
              </w:rPr>
              <w:t>HR (95% CI)</w:t>
            </w:r>
          </w:p>
        </w:tc>
      </w:tr>
      <w:tr w:rsidR="00702AC6" w:rsidRPr="00B31282" w14:paraId="77C16740"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BC1244" w14:textId="77777777" w:rsidR="00702AC6" w:rsidRPr="00B31282" w:rsidRDefault="00702AC6" w:rsidP="002C3915">
            <w:pPr>
              <w:pStyle w:val="COMTabletext"/>
              <w:keepLines/>
              <w:rPr>
                <w:vertAlign w:val="superscript"/>
              </w:rPr>
            </w:pPr>
            <w:r w:rsidRPr="00B31282">
              <w:rPr>
                <w:szCs w:val="20"/>
              </w:rPr>
              <w:t>Unadjusted high-risk population (N = 251)</w:t>
            </w:r>
            <w:r w:rsidRPr="00B31282">
              <w:rPr>
                <w:szCs w:val="20"/>
                <w:vertAlign w:val="superscript"/>
              </w:rPr>
              <w:t>a</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5715BB5B" w14:textId="77777777" w:rsidR="00702AC6" w:rsidRPr="00B31282" w:rsidRDefault="00702AC6" w:rsidP="002C3915">
            <w:pPr>
              <w:pStyle w:val="COMTabletext"/>
              <w:keepLines/>
              <w:jc w:val="center"/>
            </w:pPr>
            <w:r w:rsidRPr="00B31282">
              <w:t>0.76 (0.23, 2.46)</w:t>
            </w:r>
          </w:p>
        </w:tc>
      </w:tr>
      <w:tr w:rsidR="00702AC6" w:rsidRPr="00B31282" w14:paraId="33569A86"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A2F03E" w14:textId="77777777" w:rsidR="00702AC6" w:rsidRPr="00B31282" w:rsidRDefault="00702AC6" w:rsidP="002C3915">
            <w:pPr>
              <w:pStyle w:val="COMTabletext"/>
              <w:keepLines/>
            </w:pPr>
            <w:r w:rsidRPr="00B31282">
              <w:rPr>
                <w:szCs w:val="20"/>
              </w:rPr>
              <w:t>MAIC adjusted: Model 1 (ESS = 133.5)</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E76D3C" w14:textId="77777777" w:rsidR="00702AC6" w:rsidRPr="00B31282" w:rsidRDefault="00702AC6" w:rsidP="002C3915">
            <w:pPr>
              <w:pStyle w:val="COMTabletext"/>
              <w:keepLines/>
              <w:jc w:val="center"/>
            </w:pPr>
            <w:r w:rsidRPr="00B31282">
              <w:t>0.41 (0.10, 1.65)</w:t>
            </w:r>
          </w:p>
        </w:tc>
      </w:tr>
      <w:tr w:rsidR="00702AC6" w:rsidRPr="00B31282" w14:paraId="6965BBE9"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tcPr>
          <w:p w14:paraId="1C72C6BF" w14:textId="77777777" w:rsidR="00702AC6" w:rsidRPr="00B31282" w:rsidRDefault="00702AC6" w:rsidP="002C3915">
            <w:pPr>
              <w:pStyle w:val="COMTabletext"/>
              <w:keepLines/>
              <w:rPr>
                <w:szCs w:val="20"/>
              </w:rPr>
            </w:pPr>
            <w:r w:rsidRPr="00B31282">
              <w:rPr>
                <w:szCs w:val="20"/>
              </w:rPr>
              <w:t>MAIC adjusted: Model 2 (ESS = 154.9)</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7A3F4C79" w14:textId="36060F2D" w:rsidR="00702AC6" w:rsidRPr="00B31282" w:rsidRDefault="00702AC6" w:rsidP="002C3915">
            <w:pPr>
              <w:pStyle w:val="COMTabletext"/>
              <w:keepLines/>
              <w:jc w:val="center"/>
              <w:rPr>
                <w:szCs w:val="20"/>
              </w:rPr>
            </w:pPr>
            <w:r w:rsidRPr="00B31282">
              <w:rPr>
                <w:szCs w:val="20"/>
              </w:rPr>
              <w:t>0.51 (0.13, 1.97)</w:t>
            </w:r>
          </w:p>
        </w:tc>
      </w:tr>
      <w:tr w:rsidR="00702AC6" w:rsidRPr="00B31282" w14:paraId="14D9FE36" w14:textId="77777777" w:rsidTr="00D12BAD">
        <w:tc>
          <w:tcPr>
            <w:tcW w:w="2640" w:type="pct"/>
            <w:tcBorders>
              <w:top w:val="single" w:sz="6" w:space="0" w:color="auto"/>
              <w:left w:val="single" w:sz="6" w:space="0" w:color="auto"/>
              <w:bottom w:val="single" w:sz="6" w:space="0" w:color="auto"/>
              <w:right w:val="single" w:sz="6" w:space="0" w:color="auto"/>
            </w:tcBorders>
            <w:shd w:val="clear" w:color="auto" w:fill="auto"/>
            <w:vAlign w:val="center"/>
          </w:tcPr>
          <w:p w14:paraId="7EE6C084" w14:textId="77777777" w:rsidR="00702AC6" w:rsidRPr="00B31282" w:rsidRDefault="00702AC6" w:rsidP="002C3915">
            <w:pPr>
              <w:pStyle w:val="COMTabletext"/>
              <w:keepLines/>
              <w:rPr>
                <w:szCs w:val="20"/>
              </w:rPr>
            </w:pPr>
            <w:r w:rsidRPr="00B31282">
              <w:rPr>
                <w:szCs w:val="20"/>
              </w:rPr>
              <w:t>MAIC adjusted: Model 3 (ESS = 147.2)</w:t>
            </w:r>
          </w:p>
        </w:tc>
        <w:tc>
          <w:tcPr>
            <w:tcW w:w="2360" w:type="pct"/>
            <w:tcBorders>
              <w:top w:val="single" w:sz="6" w:space="0" w:color="auto"/>
              <w:left w:val="single" w:sz="6" w:space="0" w:color="auto"/>
              <w:bottom w:val="single" w:sz="6" w:space="0" w:color="auto"/>
              <w:right w:val="single" w:sz="6" w:space="0" w:color="auto"/>
            </w:tcBorders>
            <w:shd w:val="clear" w:color="auto" w:fill="auto"/>
            <w:vAlign w:val="center"/>
          </w:tcPr>
          <w:p w14:paraId="75749737" w14:textId="4E4FE2C2" w:rsidR="00702AC6" w:rsidRPr="00B31282" w:rsidRDefault="00702AC6" w:rsidP="002C3915">
            <w:pPr>
              <w:pStyle w:val="COMTabletext"/>
              <w:keepLines/>
              <w:jc w:val="center"/>
              <w:rPr>
                <w:szCs w:val="20"/>
              </w:rPr>
            </w:pPr>
            <w:r w:rsidRPr="00B31282">
              <w:rPr>
                <w:szCs w:val="20"/>
              </w:rPr>
              <w:t>0.46 (0.12, 1.73)</w:t>
            </w:r>
          </w:p>
        </w:tc>
      </w:tr>
    </w:tbl>
    <w:p w14:paraId="09FA2062" w14:textId="61B744F1" w:rsidR="00702AC6" w:rsidRPr="00B31282" w:rsidRDefault="00702AC6" w:rsidP="002C3915">
      <w:pPr>
        <w:pStyle w:val="COMTablefooter"/>
        <w:keepNext/>
        <w:keepLines/>
        <w:rPr>
          <w:rFonts w:ascii="Segoe UI" w:hAnsi="Segoe UI"/>
        </w:rPr>
      </w:pPr>
      <w:r w:rsidRPr="00B31282">
        <w:t>Source: Table 34, p117 Attachment 3 MAIC Technical Document. </w:t>
      </w:r>
    </w:p>
    <w:p w14:paraId="5BB8FD02" w14:textId="77777777" w:rsidR="00702AC6" w:rsidRPr="00B31282" w:rsidRDefault="00702AC6" w:rsidP="002C3915">
      <w:pPr>
        <w:pStyle w:val="COMTablefooter"/>
        <w:keepNext/>
        <w:keepLines/>
      </w:pPr>
      <w:r w:rsidRPr="00B31282">
        <w:t>Abbreviations: CI, confidence interval; ESS, effective sample size after matching; HR, hazard ratio; MAIC, matching adjusted indirect comparison. </w:t>
      </w:r>
    </w:p>
    <w:p w14:paraId="62CF1269" w14:textId="77777777" w:rsidR="00702AC6" w:rsidRPr="00B31282" w:rsidRDefault="00702AC6" w:rsidP="000F2438">
      <w:pPr>
        <w:pStyle w:val="COMTablefooter"/>
        <w:rPr>
          <w:rFonts w:ascii="Segoe UI" w:hAnsi="Segoe UI"/>
          <w:highlight w:val="yellow"/>
        </w:rPr>
      </w:pPr>
      <w:r w:rsidRPr="00B31282">
        <w:rPr>
          <w:vertAlign w:val="superscript"/>
        </w:rPr>
        <w:t>a</w:t>
      </w:r>
      <w:r w:rsidRPr="00B31282">
        <w:t xml:space="preserve"> The unadjusted comparison included only CLL patients with non-missing information for all selected matching factors</w:t>
      </w:r>
      <w:r w:rsidRPr="00B31282">
        <w:rPr>
          <w:highlight w:val="yellow"/>
        </w:rPr>
        <w:t xml:space="preserve"> </w:t>
      </w:r>
    </w:p>
    <w:p w14:paraId="3DB3B120" w14:textId="39D100A9" w:rsidR="00515BA9" w:rsidRPr="00380B09" w:rsidRDefault="00702AC6" w:rsidP="00702AC6">
      <w:pPr>
        <w:pStyle w:val="COMexecsumnumberedpara"/>
        <w:rPr>
          <w:iCs/>
        </w:rPr>
      </w:pPr>
      <w:r w:rsidRPr="00B31282">
        <w:t xml:space="preserve">Prior to </w:t>
      </w:r>
      <w:r w:rsidR="00D63AFD">
        <w:t xml:space="preserve">adjustment of the </w:t>
      </w:r>
      <w:r w:rsidRPr="00B31282">
        <w:t>MAIC (i.e.</w:t>
      </w:r>
      <w:r w:rsidR="00C20C16">
        <w:t>,</w:t>
      </w:r>
      <w:r w:rsidRPr="00B31282">
        <w:t xml:space="preserve"> based on an unadjusted comparison of the high</w:t>
      </w:r>
      <w:r w:rsidR="00C20C16">
        <w:t>-</w:t>
      </w:r>
      <w:r w:rsidRPr="00B31282">
        <w:t>risk population from ALPINE [zanubrutinib] and E</w:t>
      </w:r>
      <w:r w:rsidR="00114991" w:rsidRPr="00B31282">
        <w:t>L</w:t>
      </w:r>
      <w:r w:rsidRPr="00B31282">
        <w:t>EVATE-RR [acalabrutinib]), the hazard ratio for overall survival favoured zanubrutinib but the difference was not statistically significant (HR 0.76; 95% CI: 0.23, 2.46). After adjustment, the difference in overall survival between zanubrutinib and acalabrutinib remained not statistically significant in any of the matching models.</w:t>
      </w:r>
    </w:p>
    <w:p w14:paraId="6529ABF5" w14:textId="22D27908" w:rsidR="00DF6341" w:rsidRPr="00380B09" w:rsidRDefault="1DB7BCCF" w:rsidP="6213BDFA">
      <w:pPr>
        <w:pStyle w:val="COMexecsumnumberedpara"/>
      </w:pPr>
      <w:r>
        <w:t>Overall, relative treatment effects</w:t>
      </w:r>
      <w:r w:rsidR="7EB895E7">
        <w:t xml:space="preserve"> for progression free survival and overall survival</w:t>
      </w:r>
      <w:r>
        <w:t xml:space="preserve"> generated via MAIC were estimated with large uncertainty. The </w:t>
      </w:r>
      <w:r w:rsidR="00CD2460">
        <w:t xml:space="preserve">evaluation considered that the </w:t>
      </w:r>
      <w:r>
        <w:t>lack of a statistically significant difference may not be sufficient to establish non-inferiority, and the 95% confidence intervals are wide.</w:t>
      </w:r>
      <w:r w:rsidR="003B786A">
        <w:t xml:space="preserve"> </w:t>
      </w:r>
      <w:r>
        <w:t>Results should be interpreted with caution due to the low effective sample size in the ALPINE trial after matching, differences in the duration of follow-up between the trials, and differences between the trial populations that were not explicitly adjusted for in the MAIC, including age, sex, bulky disease, complex karyotype, and ECOG performance score.</w:t>
      </w:r>
      <w:r w:rsidR="0900FBC8">
        <w:t xml:space="preserve"> </w:t>
      </w:r>
      <w:r w:rsidR="00C20C16" w:rsidRPr="009F171F">
        <w:rPr>
          <w:iCs/>
        </w:rPr>
        <w:t xml:space="preserve">The </w:t>
      </w:r>
      <w:r w:rsidR="0900FBC8" w:rsidRPr="009F171F">
        <w:rPr>
          <w:iCs/>
        </w:rPr>
        <w:t>ESC considered that</w:t>
      </w:r>
      <w:r w:rsidR="00D63AFD" w:rsidRPr="009F171F">
        <w:rPr>
          <w:iCs/>
        </w:rPr>
        <w:t>,</w:t>
      </w:r>
      <w:r w:rsidR="0900FBC8" w:rsidRPr="009F171F">
        <w:rPr>
          <w:iCs/>
        </w:rPr>
        <w:t xml:space="preserve"> </w:t>
      </w:r>
      <w:r w:rsidR="00D63AFD" w:rsidRPr="009F171F">
        <w:rPr>
          <w:iCs/>
        </w:rPr>
        <w:t xml:space="preserve">on balance, </w:t>
      </w:r>
      <w:r w:rsidR="0900FBC8" w:rsidRPr="009F171F">
        <w:rPr>
          <w:iCs/>
        </w:rPr>
        <w:t xml:space="preserve">the results were sufficient to establish non-inferiority for PFS and OS of zanubrutinib with acalabrutinib. </w:t>
      </w:r>
    </w:p>
    <w:p w14:paraId="1452C351" w14:textId="429DFE5E" w:rsidR="00B60939" w:rsidRDefault="00B60939" w:rsidP="00D86231">
      <w:pPr>
        <w:pStyle w:val="COMH2-non-numbered"/>
      </w:pPr>
      <w:bookmarkStart w:id="34" w:name="_Toc22897642"/>
      <w:bookmarkStart w:id="35" w:name="_Toc124421152"/>
      <w:r w:rsidRPr="00B31282">
        <w:t>Comparative harms</w:t>
      </w:r>
      <w:bookmarkEnd w:id="34"/>
      <w:bookmarkEnd w:id="35"/>
    </w:p>
    <w:p w14:paraId="65EE74C4" w14:textId="77777777" w:rsidR="00AF0D1C" w:rsidRPr="00991026" w:rsidRDefault="00AF0D1C" w:rsidP="00991026">
      <w:pPr>
        <w:pStyle w:val="COMH3"/>
        <w:spacing w:after="120"/>
        <w:outlineLvl w:val="2"/>
        <w:rPr>
          <w:sz w:val="24"/>
          <w:szCs w:val="22"/>
        </w:rPr>
      </w:pPr>
      <w:r w:rsidRPr="00991026">
        <w:rPr>
          <w:sz w:val="24"/>
          <w:szCs w:val="22"/>
        </w:rPr>
        <w:t>Head-to-head comparison of zanubrutinib versus ibrutinib</w:t>
      </w:r>
    </w:p>
    <w:p w14:paraId="3DFC4A62" w14:textId="77C5CA5C" w:rsidR="00702AC6" w:rsidRPr="00B31282" w:rsidRDefault="1DB7BCCF" w:rsidP="00D86231">
      <w:pPr>
        <w:pStyle w:val="COMexecsumnumberedpara"/>
      </w:pPr>
      <w:r>
        <w:t>A summary of treatment-emergent adverse events in the ALPINE trial is presented in</w:t>
      </w:r>
      <w:r w:rsidR="35965909">
        <w:t xml:space="preserve"> </w:t>
      </w:r>
      <w:r w:rsidR="00702AC6">
        <w:fldChar w:fldCharType="begin"/>
      </w:r>
      <w:r w:rsidR="00702AC6">
        <w:instrText xml:space="preserve"> REF _Ref121758453 \h </w:instrText>
      </w:r>
      <w:r w:rsidR="00702AC6">
        <w:fldChar w:fldCharType="separate"/>
      </w:r>
      <w:r w:rsidR="00472981" w:rsidRPr="00B31282">
        <w:t xml:space="preserve">Table </w:t>
      </w:r>
      <w:r w:rsidR="00472981">
        <w:rPr>
          <w:noProof/>
        </w:rPr>
        <w:t>12</w:t>
      </w:r>
      <w:r w:rsidR="00702AC6">
        <w:fldChar w:fldCharType="end"/>
      </w:r>
      <w:r>
        <w:t>.</w:t>
      </w:r>
    </w:p>
    <w:p w14:paraId="1FC5C7CF" w14:textId="22EAAFCF" w:rsidR="00702AC6" w:rsidRPr="00B31282" w:rsidRDefault="002C3915" w:rsidP="0093286A">
      <w:pPr>
        <w:pStyle w:val="Caption"/>
      </w:pPr>
      <w:bookmarkStart w:id="36" w:name="_Ref121758453"/>
      <w:r w:rsidRPr="00B31282">
        <w:t xml:space="preserve">Table </w:t>
      </w:r>
      <w:r>
        <w:fldChar w:fldCharType="begin"/>
      </w:r>
      <w:r>
        <w:instrText>SEQ Table \* ARABIC</w:instrText>
      </w:r>
      <w:r>
        <w:fldChar w:fldCharType="separate"/>
      </w:r>
      <w:r w:rsidR="00472981">
        <w:rPr>
          <w:noProof/>
        </w:rPr>
        <w:t>12</w:t>
      </w:r>
      <w:r>
        <w:fldChar w:fldCharType="end"/>
      </w:r>
      <w:bookmarkEnd w:id="36"/>
      <w:r w:rsidR="00702AC6" w:rsidRPr="00B31282">
        <w:t>: Overall summary of treatment-emergent adverse events in ALPINE (safety analysis set)</w:t>
      </w:r>
    </w:p>
    <w:tbl>
      <w:tblPr>
        <w:tblStyle w:val="TableGrid"/>
        <w:tblW w:w="0" w:type="auto"/>
        <w:tblLook w:val="04A0" w:firstRow="1" w:lastRow="0" w:firstColumn="1" w:lastColumn="0" w:noHBand="0" w:noVBand="1"/>
      </w:tblPr>
      <w:tblGrid>
        <w:gridCol w:w="3005"/>
        <w:gridCol w:w="3006"/>
        <w:gridCol w:w="3006"/>
      </w:tblGrid>
      <w:tr w:rsidR="00702AC6" w:rsidRPr="00B31282" w14:paraId="26129C7A" w14:textId="77777777" w:rsidTr="00D12BAD">
        <w:tc>
          <w:tcPr>
            <w:tcW w:w="3005" w:type="dxa"/>
          </w:tcPr>
          <w:p w14:paraId="018F0E65" w14:textId="77777777" w:rsidR="00702AC6" w:rsidRPr="00B31282" w:rsidRDefault="00702AC6" w:rsidP="00D12BAD">
            <w:pPr>
              <w:pStyle w:val="COMTabletext"/>
            </w:pPr>
          </w:p>
        </w:tc>
        <w:tc>
          <w:tcPr>
            <w:tcW w:w="3006" w:type="dxa"/>
            <w:vAlign w:val="center"/>
          </w:tcPr>
          <w:p w14:paraId="6827FA07" w14:textId="77777777" w:rsidR="00702AC6" w:rsidRPr="00B31282" w:rsidRDefault="00702AC6" w:rsidP="00D12BAD">
            <w:pPr>
              <w:pStyle w:val="COMTabletext"/>
              <w:jc w:val="center"/>
              <w:rPr>
                <w:b/>
                <w:bCs w:val="0"/>
              </w:rPr>
            </w:pPr>
            <w:r w:rsidRPr="00B31282">
              <w:rPr>
                <w:b/>
                <w:bCs w:val="0"/>
              </w:rPr>
              <w:t>Zanubrutinib</w:t>
            </w:r>
          </w:p>
          <w:p w14:paraId="60AFC75E" w14:textId="77777777" w:rsidR="00702AC6" w:rsidRPr="00B31282" w:rsidRDefault="00702AC6" w:rsidP="00D12BAD">
            <w:pPr>
              <w:pStyle w:val="COMTabletext"/>
              <w:jc w:val="center"/>
              <w:rPr>
                <w:b/>
                <w:bCs w:val="0"/>
              </w:rPr>
            </w:pPr>
            <w:r w:rsidRPr="00B31282">
              <w:rPr>
                <w:b/>
                <w:bCs w:val="0"/>
              </w:rPr>
              <w:t>(N = 324)</w:t>
            </w:r>
          </w:p>
          <w:p w14:paraId="52804ADF" w14:textId="77777777" w:rsidR="00702AC6" w:rsidRPr="00B31282" w:rsidRDefault="00702AC6" w:rsidP="00D12BAD">
            <w:pPr>
              <w:pStyle w:val="COMTabletext"/>
              <w:jc w:val="center"/>
              <w:rPr>
                <w:b/>
                <w:bCs w:val="0"/>
              </w:rPr>
            </w:pPr>
            <w:r w:rsidRPr="00B31282">
              <w:rPr>
                <w:b/>
                <w:bCs w:val="0"/>
              </w:rPr>
              <w:t>n (%)</w:t>
            </w:r>
          </w:p>
        </w:tc>
        <w:tc>
          <w:tcPr>
            <w:tcW w:w="3006" w:type="dxa"/>
            <w:vAlign w:val="center"/>
          </w:tcPr>
          <w:p w14:paraId="1EC5322B" w14:textId="77777777" w:rsidR="00702AC6" w:rsidRPr="00B31282" w:rsidRDefault="00702AC6" w:rsidP="00D12BAD">
            <w:pPr>
              <w:pStyle w:val="COMTabletext"/>
              <w:jc w:val="center"/>
              <w:rPr>
                <w:b/>
                <w:bCs w:val="0"/>
              </w:rPr>
            </w:pPr>
            <w:r w:rsidRPr="00B31282">
              <w:rPr>
                <w:b/>
                <w:bCs w:val="0"/>
              </w:rPr>
              <w:t>Ibrutinib</w:t>
            </w:r>
          </w:p>
          <w:p w14:paraId="0E225758" w14:textId="77777777" w:rsidR="00702AC6" w:rsidRPr="00B31282" w:rsidRDefault="00702AC6" w:rsidP="00D12BAD">
            <w:pPr>
              <w:pStyle w:val="COMTabletext"/>
              <w:jc w:val="center"/>
              <w:rPr>
                <w:b/>
                <w:bCs w:val="0"/>
              </w:rPr>
            </w:pPr>
            <w:r w:rsidRPr="00B31282">
              <w:rPr>
                <w:b/>
                <w:bCs w:val="0"/>
              </w:rPr>
              <w:t>(N = 324)</w:t>
            </w:r>
          </w:p>
          <w:p w14:paraId="567D7587" w14:textId="77777777" w:rsidR="00702AC6" w:rsidRPr="00B31282" w:rsidRDefault="00702AC6" w:rsidP="00D12BAD">
            <w:pPr>
              <w:pStyle w:val="COMTabletext"/>
              <w:jc w:val="center"/>
              <w:rPr>
                <w:b/>
                <w:bCs w:val="0"/>
              </w:rPr>
            </w:pPr>
            <w:r w:rsidRPr="00B31282">
              <w:rPr>
                <w:b/>
                <w:bCs w:val="0"/>
              </w:rPr>
              <w:t>n (%)</w:t>
            </w:r>
          </w:p>
        </w:tc>
      </w:tr>
      <w:tr w:rsidR="00702AC6" w:rsidRPr="00B31282" w14:paraId="5458A2AD" w14:textId="77777777" w:rsidTr="00D12BAD">
        <w:tc>
          <w:tcPr>
            <w:tcW w:w="3005" w:type="dxa"/>
          </w:tcPr>
          <w:p w14:paraId="3309C565" w14:textId="77777777" w:rsidR="00702AC6" w:rsidRPr="00B31282" w:rsidRDefault="00702AC6" w:rsidP="00D12BAD">
            <w:pPr>
              <w:pStyle w:val="COMTabletext"/>
            </w:pPr>
            <w:r w:rsidRPr="00B31282">
              <w:t>Patients with at least one treatment-emergent adverse event</w:t>
            </w:r>
          </w:p>
        </w:tc>
        <w:tc>
          <w:tcPr>
            <w:tcW w:w="3006" w:type="dxa"/>
            <w:vAlign w:val="center"/>
          </w:tcPr>
          <w:p w14:paraId="18E67BB3" w14:textId="77777777" w:rsidR="00702AC6" w:rsidRPr="00B31282" w:rsidRDefault="00702AC6" w:rsidP="00D12BAD">
            <w:pPr>
              <w:pStyle w:val="COMTabletext"/>
              <w:jc w:val="center"/>
            </w:pPr>
            <w:r w:rsidRPr="00B31282">
              <w:t>315 (97.2)</w:t>
            </w:r>
          </w:p>
        </w:tc>
        <w:tc>
          <w:tcPr>
            <w:tcW w:w="3006" w:type="dxa"/>
            <w:vAlign w:val="center"/>
          </w:tcPr>
          <w:p w14:paraId="5D244ADB" w14:textId="77777777" w:rsidR="00702AC6" w:rsidRPr="00B31282" w:rsidRDefault="00702AC6" w:rsidP="00D12BAD">
            <w:pPr>
              <w:pStyle w:val="COMTabletext"/>
              <w:jc w:val="center"/>
            </w:pPr>
            <w:r w:rsidRPr="00B31282">
              <w:t>320 (98.8)</w:t>
            </w:r>
          </w:p>
        </w:tc>
      </w:tr>
      <w:tr w:rsidR="00702AC6" w:rsidRPr="00B31282" w14:paraId="67B2B5C4" w14:textId="77777777" w:rsidTr="00D12BAD">
        <w:tc>
          <w:tcPr>
            <w:tcW w:w="3005" w:type="dxa"/>
          </w:tcPr>
          <w:p w14:paraId="6765AEFF" w14:textId="77777777" w:rsidR="00702AC6" w:rsidRPr="00B31282" w:rsidRDefault="00702AC6" w:rsidP="00D12BAD">
            <w:pPr>
              <w:pStyle w:val="COMTabletext"/>
            </w:pPr>
            <w:r w:rsidRPr="00B31282">
              <w:t>Grade 3 or above</w:t>
            </w:r>
          </w:p>
        </w:tc>
        <w:tc>
          <w:tcPr>
            <w:tcW w:w="3006" w:type="dxa"/>
            <w:vAlign w:val="center"/>
          </w:tcPr>
          <w:p w14:paraId="42F758E9" w14:textId="77777777" w:rsidR="00702AC6" w:rsidRPr="00B31282" w:rsidRDefault="00702AC6" w:rsidP="00D12BAD">
            <w:pPr>
              <w:pStyle w:val="COMTabletext"/>
              <w:jc w:val="center"/>
            </w:pPr>
            <w:r w:rsidRPr="00B31282">
              <w:t>192 (59.3)</w:t>
            </w:r>
          </w:p>
        </w:tc>
        <w:tc>
          <w:tcPr>
            <w:tcW w:w="3006" w:type="dxa"/>
            <w:vAlign w:val="center"/>
          </w:tcPr>
          <w:p w14:paraId="261AA82E" w14:textId="77777777" w:rsidR="00702AC6" w:rsidRPr="00B31282" w:rsidRDefault="00702AC6" w:rsidP="00D12BAD">
            <w:pPr>
              <w:pStyle w:val="COMTabletext"/>
              <w:jc w:val="center"/>
            </w:pPr>
            <w:r w:rsidRPr="00B31282">
              <w:t>211 (65.1)</w:t>
            </w:r>
          </w:p>
        </w:tc>
      </w:tr>
      <w:tr w:rsidR="00702AC6" w:rsidRPr="00B31282" w14:paraId="3A8EB028" w14:textId="77777777" w:rsidTr="00D12BAD">
        <w:tc>
          <w:tcPr>
            <w:tcW w:w="3005" w:type="dxa"/>
          </w:tcPr>
          <w:p w14:paraId="4DF3FDDD" w14:textId="77777777" w:rsidR="00702AC6" w:rsidRPr="00B31282" w:rsidRDefault="00702AC6" w:rsidP="00D12BAD">
            <w:pPr>
              <w:pStyle w:val="COMTabletext"/>
            </w:pPr>
            <w:r w:rsidRPr="00B31282">
              <w:t xml:space="preserve">Serious </w:t>
            </w:r>
          </w:p>
        </w:tc>
        <w:tc>
          <w:tcPr>
            <w:tcW w:w="3006" w:type="dxa"/>
            <w:vAlign w:val="center"/>
          </w:tcPr>
          <w:p w14:paraId="245EE313" w14:textId="77777777" w:rsidR="00702AC6" w:rsidRPr="00B31282" w:rsidRDefault="00702AC6" w:rsidP="00D12BAD">
            <w:pPr>
              <w:pStyle w:val="COMTabletext"/>
              <w:jc w:val="center"/>
            </w:pPr>
            <w:r w:rsidRPr="00B31282">
              <w:t>104 (32.1)</w:t>
            </w:r>
          </w:p>
        </w:tc>
        <w:tc>
          <w:tcPr>
            <w:tcW w:w="3006" w:type="dxa"/>
            <w:vAlign w:val="center"/>
          </w:tcPr>
          <w:p w14:paraId="673A16EF" w14:textId="77777777" w:rsidR="00702AC6" w:rsidRPr="00B31282" w:rsidRDefault="00702AC6" w:rsidP="00D12BAD">
            <w:pPr>
              <w:pStyle w:val="COMTabletext"/>
              <w:jc w:val="center"/>
            </w:pPr>
            <w:r w:rsidRPr="00B31282">
              <w:t>141 (43.5)</w:t>
            </w:r>
          </w:p>
        </w:tc>
      </w:tr>
      <w:tr w:rsidR="00702AC6" w:rsidRPr="00B31282" w14:paraId="45BC8863" w14:textId="77777777" w:rsidTr="00D12BAD">
        <w:tc>
          <w:tcPr>
            <w:tcW w:w="3005" w:type="dxa"/>
          </w:tcPr>
          <w:p w14:paraId="0F08C680" w14:textId="77777777" w:rsidR="00702AC6" w:rsidRPr="00B31282" w:rsidRDefault="00702AC6" w:rsidP="00D12BAD">
            <w:pPr>
              <w:pStyle w:val="COMTabletext"/>
            </w:pPr>
            <w:r w:rsidRPr="00B31282">
              <w:t xml:space="preserve">Leading to death </w:t>
            </w:r>
          </w:p>
        </w:tc>
        <w:tc>
          <w:tcPr>
            <w:tcW w:w="3006" w:type="dxa"/>
            <w:vAlign w:val="center"/>
          </w:tcPr>
          <w:p w14:paraId="5EB3D96A" w14:textId="77777777" w:rsidR="00702AC6" w:rsidRPr="00B31282" w:rsidRDefault="00702AC6" w:rsidP="00D12BAD">
            <w:pPr>
              <w:pStyle w:val="COMTabletext"/>
              <w:jc w:val="center"/>
            </w:pPr>
            <w:r w:rsidRPr="00B31282">
              <w:t>24 (7.4)</w:t>
            </w:r>
          </w:p>
        </w:tc>
        <w:tc>
          <w:tcPr>
            <w:tcW w:w="3006" w:type="dxa"/>
            <w:vAlign w:val="center"/>
          </w:tcPr>
          <w:p w14:paraId="34A8AB33" w14:textId="77777777" w:rsidR="00702AC6" w:rsidRPr="00B31282" w:rsidRDefault="00702AC6" w:rsidP="00D12BAD">
            <w:pPr>
              <w:pStyle w:val="COMTabletext"/>
              <w:jc w:val="center"/>
            </w:pPr>
            <w:r w:rsidRPr="00B31282">
              <w:t>29 (9.0)</w:t>
            </w:r>
          </w:p>
        </w:tc>
      </w:tr>
      <w:tr w:rsidR="00702AC6" w:rsidRPr="00B31282" w14:paraId="5D78EB11" w14:textId="77777777" w:rsidTr="00D12BAD">
        <w:tc>
          <w:tcPr>
            <w:tcW w:w="3005" w:type="dxa"/>
          </w:tcPr>
          <w:p w14:paraId="6CC91507" w14:textId="77777777" w:rsidR="00702AC6" w:rsidRPr="00B31282" w:rsidRDefault="00702AC6" w:rsidP="00D12BAD">
            <w:pPr>
              <w:pStyle w:val="COMTabletext"/>
            </w:pPr>
            <w:r w:rsidRPr="00B31282">
              <w:t xml:space="preserve">Leading to treatment discontinuation </w:t>
            </w:r>
          </w:p>
        </w:tc>
        <w:tc>
          <w:tcPr>
            <w:tcW w:w="3006" w:type="dxa"/>
            <w:vAlign w:val="center"/>
          </w:tcPr>
          <w:p w14:paraId="7938B04A" w14:textId="77777777" w:rsidR="00702AC6" w:rsidRPr="00B31282" w:rsidRDefault="00702AC6" w:rsidP="00D12BAD">
            <w:pPr>
              <w:pStyle w:val="COMTabletext"/>
              <w:jc w:val="center"/>
            </w:pPr>
            <w:r w:rsidRPr="00B31282">
              <w:t>42 (13.0)</w:t>
            </w:r>
          </w:p>
        </w:tc>
        <w:tc>
          <w:tcPr>
            <w:tcW w:w="3006" w:type="dxa"/>
            <w:vAlign w:val="center"/>
          </w:tcPr>
          <w:p w14:paraId="0ED005BD" w14:textId="77777777" w:rsidR="00702AC6" w:rsidRPr="00B31282" w:rsidRDefault="00702AC6" w:rsidP="00D12BAD">
            <w:pPr>
              <w:pStyle w:val="COMTabletext"/>
              <w:jc w:val="center"/>
            </w:pPr>
            <w:r w:rsidRPr="00B31282">
              <w:t>57 (17.6)</w:t>
            </w:r>
          </w:p>
        </w:tc>
      </w:tr>
      <w:tr w:rsidR="00702AC6" w:rsidRPr="00B31282" w14:paraId="2F8AE66E" w14:textId="77777777" w:rsidTr="00D12BAD">
        <w:tc>
          <w:tcPr>
            <w:tcW w:w="3005" w:type="dxa"/>
          </w:tcPr>
          <w:p w14:paraId="02DEC8FD" w14:textId="77777777" w:rsidR="00702AC6" w:rsidRPr="00B31282" w:rsidRDefault="00702AC6" w:rsidP="00D12BAD">
            <w:pPr>
              <w:pStyle w:val="COMTabletext"/>
            </w:pPr>
            <w:r w:rsidRPr="00B31282">
              <w:t xml:space="preserve">Leading to dose modification </w:t>
            </w:r>
          </w:p>
        </w:tc>
        <w:tc>
          <w:tcPr>
            <w:tcW w:w="3006" w:type="dxa"/>
            <w:vAlign w:val="center"/>
          </w:tcPr>
          <w:p w14:paraId="37D15546" w14:textId="77777777" w:rsidR="00702AC6" w:rsidRPr="00B31282" w:rsidRDefault="00702AC6" w:rsidP="00D12BAD">
            <w:pPr>
              <w:pStyle w:val="COMTabletext"/>
              <w:jc w:val="center"/>
            </w:pPr>
            <w:r w:rsidRPr="00B31282">
              <w:t>143 (44.1)</w:t>
            </w:r>
          </w:p>
        </w:tc>
        <w:tc>
          <w:tcPr>
            <w:tcW w:w="3006" w:type="dxa"/>
            <w:vAlign w:val="center"/>
          </w:tcPr>
          <w:p w14:paraId="74C11D38" w14:textId="77777777" w:rsidR="00702AC6" w:rsidRPr="00B31282" w:rsidRDefault="00702AC6" w:rsidP="00D12BAD">
            <w:pPr>
              <w:pStyle w:val="COMTabletext"/>
              <w:jc w:val="center"/>
            </w:pPr>
            <w:r w:rsidRPr="00B31282">
              <w:t>181 (55.9)</w:t>
            </w:r>
          </w:p>
        </w:tc>
      </w:tr>
      <w:tr w:rsidR="00702AC6" w:rsidRPr="00B31282" w14:paraId="782965AE" w14:textId="77777777" w:rsidTr="00D12BAD">
        <w:tc>
          <w:tcPr>
            <w:tcW w:w="3005" w:type="dxa"/>
          </w:tcPr>
          <w:p w14:paraId="7EB6D1D0" w14:textId="4886F949" w:rsidR="00702AC6" w:rsidRPr="00B31282" w:rsidRDefault="0047728F" w:rsidP="00D12BAD">
            <w:pPr>
              <w:pStyle w:val="COMTabletext"/>
            </w:pPr>
            <w:r>
              <w:t>-</w:t>
            </w:r>
            <w:r w:rsidR="00702AC6" w:rsidRPr="00B31282">
              <w:t xml:space="preserve"> Leading to dose interruption </w:t>
            </w:r>
          </w:p>
        </w:tc>
        <w:tc>
          <w:tcPr>
            <w:tcW w:w="3006" w:type="dxa"/>
            <w:vAlign w:val="center"/>
          </w:tcPr>
          <w:p w14:paraId="469C202F" w14:textId="77777777" w:rsidR="00702AC6" w:rsidRPr="00B31282" w:rsidRDefault="00702AC6" w:rsidP="00D12BAD">
            <w:pPr>
              <w:pStyle w:val="COMTabletext"/>
              <w:jc w:val="center"/>
            </w:pPr>
            <w:r w:rsidRPr="00B31282">
              <w:t>137 (42.3)</w:t>
            </w:r>
          </w:p>
        </w:tc>
        <w:tc>
          <w:tcPr>
            <w:tcW w:w="3006" w:type="dxa"/>
            <w:vAlign w:val="center"/>
          </w:tcPr>
          <w:p w14:paraId="6E8B7C38" w14:textId="77777777" w:rsidR="00702AC6" w:rsidRPr="00B31282" w:rsidRDefault="00702AC6" w:rsidP="00D12BAD">
            <w:pPr>
              <w:pStyle w:val="COMTabletext"/>
              <w:jc w:val="center"/>
            </w:pPr>
            <w:r w:rsidRPr="00B31282">
              <w:t>175 (54.0)</w:t>
            </w:r>
          </w:p>
        </w:tc>
      </w:tr>
      <w:tr w:rsidR="00702AC6" w:rsidRPr="00B31282" w14:paraId="11B692CA" w14:textId="77777777" w:rsidTr="00D12BAD">
        <w:tc>
          <w:tcPr>
            <w:tcW w:w="3005" w:type="dxa"/>
          </w:tcPr>
          <w:p w14:paraId="672EAF6E" w14:textId="58E7980A" w:rsidR="00702AC6" w:rsidRPr="00B31282" w:rsidRDefault="0047728F" w:rsidP="00D12BAD">
            <w:pPr>
              <w:pStyle w:val="COMTabletext"/>
            </w:pPr>
            <w:r>
              <w:t xml:space="preserve">- </w:t>
            </w:r>
            <w:r w:rsidR="00702AC6" w:rsidRPr="00B31282">
              <w:t xml:space="preserve">Leading to dose reduction </w:t>
            </w:r>
          </w:p>
        </w:tc>
        <w:tc>
          <w:tcPr>
            <w:tcW w:w="3006" w:type="dxa"/>
            <w:vAlign w:val="center"/>
          </w:tcPr>
          <w:p w14:paraId="050D0C78" w14:textId="77777777" w:rsidR="00702AC6" w:rsidRPr="00B31282" w:rsidRDefault="00702AC6" w:rsidP="00D12BAD">
            <w:pPr>
              <w:pStyle w:val="COMTabletext"/>
              <w:jc w:val="center"/>
            </w:pPr>
            <w:r w:rsidRPr="00B31282">
              <w:t>34 (10.5)</w:t>
            </w:r>
          </w:p>
        </w:tc>
        <w:tc>
          <w:tcPr>
            <w:tcW w:w="3006" w:type="dxa"/>
            <w:vAlign w:val="center"/>
          </w:tcPr>
          <w:p w14:paraId="60A41495" w14:textId="77777777" w:rsidR="00702AC6" w:rsidRPr="00B31282" w:rsidRDefault="00702AC6" w:rsidP="00D12BAD">
            <w:pPr>
              <w:pStyle w:val="COMTabletext"/>
              <w:jc w:val="center"/>
            </w:pPr>
            <w:r w:rsidRPr="00B31282">
              <w:t>49 (15.1)</w:t>
            </w:r>
          </w:p>
        </w:tc>
      </w:tr>
      <w:tr w:rsidR="00702AC6" w:rsidRPr="00B31282" w14:paraId="50529DF0" w14:textId="77777777" w:rsidTr="00D12BAD">
        <w:tc>
          <w:tcPr>
            <w:tcW w:w="3005" w:type="dxa"/>
          </w:tcPr>
          <w:p w14:paraId="242A101F" w14:textId="77777777" w:rsidR="00702AC6" w:rsidRPr="00B31282" w:rsidRDefault="00702AC6" w:rsidP="00D12BAD">
            <w:pPr>
              <w:pStyle w:val="COMTabletext"/>
            </w:pPr>
            <w:r w:rsidRPr="00B31282">
              <w:t xml:space="preserve">Treatment-related </w:t>
            </w:r>
          </w:p>
        </w:tc>
        <w:tc>
          <w:tcPr>
            <w:tcW w:w="3006" w:type="dxa"/>
            <w:vAlign w:val="center"/>
          </w:tcPr>
          <w:p w14:paraId="7CB94CB3" w14:textId="77777777" w:rsidR="00702AC6" w:rsidRPr="00B31282" w:rsidRDefault="00702AC6" w:rsidP="00D12BAD">
            <w:pPr>
              <w:pStyle w:val="COMTabletext"/>
              <w:jc w:val="center"/>
            </w:pPr>
            <w:r w:rsidRPr="00B31282">
              <w:t>238 (73.5)</w:t>
            </w:r>
          </w:p>
        </w:tc>
        <w:tc>
          <w:tcPr>
            <w:tcW w:w="3006" w:type="dxa"/>
            <w:vAlign w:val="center"/>
          </w:tcPr>
          <w:p w14:paraId="6BC06E41" w14:textId="77777777" w:rsidR="00702AC6" w:rsidRPr="00B31282" w:rsidRDefault="00702AC6" w:rsidP="00D12BAD">
            <w:pPr>
              <w:pStyle w:val="COMTabletext"/>
              <w:jc w:val="center"/>
            </w:pPr>
            <w:r w:rsidRPr="00B31282">
              <w:t>264 (81.5)</w:t>
            </w:r>
          </w:p>
        </w:tc>
      </w:tr>
      <w:tr w:rsidR="00702AC6" w:rsidRPr="00B31282" w14:paraId="68A8DBDB" w14:textId="77777777" w:rsidTr="00D12BAD">
        <w:tc>
          <w:tcPr>
            <w:tcW w:w="3005" w:type="dxa"/>
          </w:tcPr>
          <w:p w14:paraId="0C81D070" w14:textId="77777777" w:rsidR="00702AC6" w:rsidRPr="00B31282" w:rsidRDefault="00702AC6" w:rsidP="00D12BAD">
            <w:pPr>
              <w:pStyle w:val="COMTabletext"/>
            </w:pPr>
            <w:r w:rsidRPr="00B31282">
              <w:t xml:space="preserve">Treatment-related Grade 3 or above </w:t>
            </w:r>
          </w:p>
        </w:tc>
        <w:tc>
          <w:tcPr>
            <w:tcW w:w="3006" w:type="dxa"/>
            <w:vAlign w:val="center"/>
          </w:tcPr>
          <w:p w14:paraId="6B2620C4" w14:textId="77777777" w:rsidR="00702AC6" w:rsidRPr="00B31282" w:rsidRDefault="00702AC6" w:rsidP="00D12BAD">
            <w:pPr>
              <w:pStyle w:val="COMTabletext"/>
              <w:jc w:val="center"/>
            </w:pPr>
            <w:r w:rsidRPr="00B31282">
              <w:t>104 (32.1)</w:t>
            </w:r>
          </w:p>
        </w:tc>
        <w:tc>
          <w:tcPr>
            <w:tcW w:w="3006" w:type="dxa"/>
            <w:vAlign w:val="center"/>
          </w:tcPr>
          <w:p w14:paraId="30C3F55E" w14:textId="77777777" w:rsidR="00702AC6" w:rsidRPr="00B31282" w:rsidRDefault="00702AC6" w:rsidP="00D12BAD">
            <w:pPr>
              <w:pStyle w:val="COMTabletext"/>
              <w:jc w:val="center"/>
            </w:pPr>
            <w:r w:rsidRPr="00B31282">
              <w:t>128 (39.5)</w:t>
            </w:r>
          </w:p>
        </w:tc>
      </w:tr>
    </w:tbl>
    <w:p w14:paraId="3107500E" w14:textId="4EDCB1E8" w:rsidR="00702AC6" w:rsidRPr="00B31282" w:rsidRDefault="00702AC6" w:rsidP="00702AC6">
      <w:pPr>
        <w:pStyle w:val="COMTablefooter"/>
      </w:pPr>
      <w:r w:rsidRPr="00B31282">
        <w:t>Source: 2-29, p76 of the submission</w:t>
      </w:r>
    </w:p>
    <w:p w14:paraId="65301D29" w14:textId="599D875A" w:rsidR="00702AC6" w:rsidRPr="00B31282" w:rsidRDefault="1DB7BCCF" w:rsidP="00114991">
      <w:pPr>
        <w:pStyle w:val="COMexecsumnumberedpara"/>
      </w:pPr>
      <w:r>
        <w:t>Overall, the proportions of patients who experienced adverse events were comparable between the 2 arms. A lower proportion of patients in the zanubrutinib arm had Grade 3 or higher adverse events, serious adverse events, adverse events leading to death, adverse events leading to treatment discontinuation, adverse events leading to dose modification, and treatment-related adverse events compared with patients in the ibrutinib arm.</w:t>
      </w:r>
    </w:p>
    <w:p w14:paraId="01DB9560" w14:textId="77777777" w:rsidR="00702AC6" w:rsidRPr="00B31282" w:rsidRDefault="1DB7BCCF" w:rsidP="002C3915">
      <w:pPr>
        <w:pStyle w:val="COMexecsumnumberedpara"/>
        <w:spacing w:after="0"/>
      </w:pPr>
      <w:r>
        <w:t>Specific adverse events with an incidence difference ≥ 5% between the treatment arms included:</w:t>
      </w:r>
    </w:p>
    <w:p w14:paraId="5FFE316E" w14:textId="77777777" w:rsidR="00702AC6" w:rsidRPr="00B31282" w:rsidRDefault="00702AC6" w:rsidP="002C3915">
      <w:pPr>
        <w:pStyle w:val="COMexecsummbulletlist"/>
        <w:spacing w:after="0"/>
      </w:pPr>
      <w:r w:rsidRPr="00B31282">
        <w:t>Atrial fibrillation: zanubrutinib 4.0% versus ibrutinib 11.1%</w:t>
      </w:r>
    </w:p>
    <w:p w14:paraId="35BB3396" w14:textId="77777777" w:rsidR="00702AC6" w:rsidRPr="00B31282" w:rsidRDefault="00702AC6" w:rsidP="002C3915">
      <w:pPr>
        <w:pStyle w:val="COMexecsummbulletlist"/>
        <w:spacing w:after="0"/>
      </w:pPr>
      <w:r w:rsidRPr="00B31282">
        <w:t>Diarrhoea: zanubrutinib 13.9% versus ibrutinib 21.9%</w:t>
      </w:r>
    </w:p>
    <w:p w14:paraId="69B6DE2D" w14:textId="77777777" w:rsidR="00702AC6" w:rsidRPr="00B31282" w:rsidRDefault="00702AC6" w:rsidP="002C3915">
      <w:pPr>
        <w:pStyle w:val="COMexecsummbulletlist"/>
        <w:spacing w:after="0"/>
      </w:pPr>
      <w:r w:rsidRPr="00B31282">
        <w:t xml:space="preserve">Muscle spasms: zanubrutinib 2.8% versus ibrutinib 12.3% </w:t>
      </w:r>
    </w:p>
    <w:p w14:paraId="02333B76" w14:textId="428835E5" w:rsidR="00702AC6" w:rsidRPr="00B31282" w:rsidRDefault="00702AC6" w:rsidP="00114991">
      <w:pPr>
        <w:pStyle w:val="COMexecsummbulletlist"/>
      </w:pPr>
      <w:r w:rsidRPr="00B31282">
        <w:t>Upper respiratory tract infection: zanubrutinib 17.9% versus ibrutinib 12.7%</w:t>
      </w:r>
      <w:r w:rsidR="0047728F">
        <w:t>.</w:t>
      </w:r>
    </w:p>
    <w:p w14:paraId="027CD3F8" w14:textId="77777777" w:rsidR="00702AC6" w:rsidRPr="00B31282" w:rsidRDefault="1DB7BCCF" w:rsidP="00DB0A04">
      <w:pPr>
        <w:pStyle w:val="COMexecsumnumberedpara"/>
        <w:spacing w:after="0"/>
      </w:pPr>
      <w:r>
        <w:t>The most common Grade 3 or above adverse events in the zanubrutinib arm and the ibrutinib arm, respectively, included:</w:t>
      </w:r>
    </w:p>
    <w:p w14:paraId="09DC8A1F" w14:textId="77777777" w:rsidR="00702AC6" w:rsidRPr="00B31282" w:rsidRDefault="00702AC6" w:rsidP="00DB0A04">
      <w:pPr>
        <w:pStyle w:val="COMexecsummbulletlist"/>
        <w:spacing w:after="0"/>
      </w:pPr>
      <w:r w:rsidRPr="00B31282">
        <w:t>Neutropenia: 14.2% versus 13.9%</w:t>
      </w:r>
    </w:p>
    <w:p w14:paraId="6CAB7423" w14:textId="77777777" w:rsidR="00702AC6" w:rsidRPr="00B31282" w:rsidRDefault="00702AC6" w:rsidP="00DB0A04">
      <w:pPr>
        <w:pStyle w:val="COMexecsummbulletlist"/>
        <w:spacing w:after="0"/>
      </w:pPr>
      <w:r w:rsidRPr="00B31282">
        <w:t>Hypertension: 12.7% versus 10.2%</w:t>
      </w:r>
    </w:p>
    <w:p w14:paraId="089353BB" w14:textId="77777777" w:rsidR="00702AC6" w:rsidRPr="00B31282" w:rsidRDefault="00702AC6" w:rsidP="00DB0A04">
      <w:pPr>
        <w:pStyle w:val="COMexecsummbulletlist"/>
        <w:spacing w:after="0"/>
      </w:pPr>
      <w:r w:rsidRPr="00B31282">
        <w:t>Decreased neutrophil count: 4.3% versus 4.0%</w:t>
      </w:r>
    </w:p>
    <w:p w14:paraId="16FFD553" w14:textId="77777777" w:rsidR="00702AC6" w:rsidRPr="00B31282" w:rsidRDefault="00702AC6" w:rsidP="00DB0A04">
      <w:pPr>
        <w:pStyle w:val="COMexecsummbulletlist"/>
        <w:spacing w:after="0"/>
      </w:pPr>
      <w:r w:rsidRPr="00B31282">
        <w:t>COVID-19 pneumonia: 4.3% versus 3.1%</w:t>
      </w:r>
    </w:p>
    <w:p w14:paraId="6FA780F4" w14:textId="77777777" w:rsidR="00702AC6" w:rsidRPr="00B31282" w:rsidRDefault="00702AC6" w:rsidP="00DB0A04">
      <w:pPr>
        <w:pStyle w:val="COMexecsummbulletlist"/>
        <w:spacing w:after="0"/>
      </w:pPr>
      <w:r w:rsidRPr="00B31282">
        <w:t xml:space="preserve">COVID-19: 4.0% versus 2.2% </w:t>
      </w:r>
    </w:p>
    <w:p w14:paraId="2AEB47B8" w14:textId="47C097B1" w:rsidR="00702AC6" w:rsidRPr="00B31282" w:rsidRDefault="00702AC6" w:rsidP="00114991">
      <w:pPr>
        <w:pStyle w:val="COMexecsummbulletlist"/>
      </w:pPr>
      <w:r w:rsidRPr="00B31282">
        <w:t>Pneumonia: 4.0% versus 7.4%</w:t>
      </w:r>
      <w:r w:rsidR="0047728F">
        <w:t>.</w:t>
      </w:r>
    </w:p>
    <w:p w14:paraId="1F2B20AF" w14:textId="77777777" w:rsidR="00702AC6" w:rsidRPr="00B31282" w:rsidRDefault="1DB7BCCF" w:rsidP="00702AC6">
      <w:pPr>
        <w:pStyle w:val="COMexecsumnumberedpara"/>
      </w:pPr>
      <w:r>
        <w:t>Treatment-related adverse events that occurred at an incidence difference of ≥ 5% between the 2 arms were diarrhoea (7.4% in the zanubrutinib arm versus 13.6% in the ibrutinib arm), muscle spasms (0.9% versus 8.0%), and atrial fibrillation (2.2% versus 9.3%).</w:t>
      </w:r>
    </w:p>
    <w:p w14:paraId="2FE4F3AD" w14:textId="2933FF0E" w:rsidR="00702AC6" w:rsidRPr="00B31282" w:rsidRDefault="1DB7BCCF" w:rsidP="00D86231">
      <w:pPr>
        <w:pStyle w:val="COMexecsumnumberedpara"/>
      </w:pPr>
      <w:r>
        <w:t>The incidence of adverse events of special interest by category was generally comparable between the zanubrutinib and ibrutinib arms, except for atrial fibrillation and flutter (4.6% in the zanubrutinib arm versus 12.0% in the ibrutinib arm). Other small differences between treatment arms were observed for: neutropenia (26.9% [zanubrutinib] versus 23.8% [ibrutinib]), infections Grade 3 or higher (18.5% versus 22.5%), and thrombocytopenia (11.1% versus 15.1%).</w:t>
      </w:r>
    </w:p>
    <w:p w14:paraId="5AE8AE79" w14:textId="0C311DC7" w:rsidR="00702AC6" w:rsidRPr="00991026" w:rsidRDefault="00702AC6" w:rsidP="00991026">
      <w:pPr>
        <w:pStyle w:val="COMH3"/>
        <w:spacing w:after="120"/>
        <w:outlineLvl w:val="2"/>
        <w:rPr>
          <w:sz w:val="24"/>
          <w:szCs w:val="22"/>
        </w:rPr>
      </w:pPr>
      <w:r w:rsidRPr="00991026">
        <w:rPr>
          <w:sz w:val="24"/>
          <w:szCs w:val="22"/>
        </w:rPr>
        <w:t>Naïve comparison of zanubrutinib versus acalabrutinib</w:t>
      </w:r>
    </w:p>
    <w:p w14:paraId="4ACC8225" w14:textId="1993A1DF" w:rsidR="00702AC6" w:rsidRPr="00B31282" w:rsidRDefault="1DB7BCCF" w:rsidP="00702AC6">
      <w:pPr>
        <w:pStyle w:val="COMexecsumnumberedpara"/>
      </w:pPr>
      <w:r>
        <w:t>The submission included a naïve comparison of adverse events between zanubrutinib and acalabrutinib, based on ALPINE and ELEVATE-RR. Given the different follow up periods of the trials, the submission stated that it would not be reasonable to draw any conclusions on comparative safety profiles based on the raw number of events in the two studies. However, as both studies were direct comparisons with ibrutinib it is possible to comment on a few key differences that likely exist between the adverse event profiles of</w:t>
      </w:r>
      <w:r w:rsidR="326AE503">
        <w:t xml:space="preserve"> </w:t>
      </w:r>
      <w:r>
        <w:t xml:space="preserve">these BTK inhibitors. </w:t>
      </w:r>
      <w:r w:rsidR="00702AC6">
        <w:fldChar w:fldCharType="begin"/>
      </w:r>
      <w:r w:rsidR="00702AC6">
        <w:instrText xml:space="preserve"> REF _Ref121758601 \h </w:instrText>
      </w:r>
      <w:r w:rsidR="00702AC6">
        <w:fldChar w:fldCharType="separate"/>
      </w:r>
      <w:r w:rsidR="00472981" w:rsidRPr="00B31282">
        <w:t xml:space="preserve">Table </w:t>
      </w:r>
      <w:r w:rsidR="00472981">
        <w:rPr>
          <w:noProof/>
        </w:rPr>
        <w:t>13</w:t>
      </w:r>
      <w:r w:rsidR="00702AC6">
        <w:fldChar w:fldCharType="end"/>
      </w:r>
      <w:r>
        <w:t xml:space="preserve"> summarises the most commonly reported adverse events in either study that occurred with a more than 5% difference between the study’s respective treatment arms.</w:t>
      </w:r>
    </w:p>
    <w:p w14:paraId="202DAECB" w14:textId="0D15AE8F" w:rsidR="00702AC6" w:rsidRPr="00B31282" w:rsidRDefault="003B754E" w:rsidP="0093286A">
      <w:pPr>
        <w:pStyle w:val="Caption"/>
        <w:rPr>
          <w:rStyle w:val="normaltextrun"/>
        </w:rPr>
      </w:pPr>
      <w:bookmarkStart w:id="37" w:name="_Ref121758601"/>
      <w:r w:rsidRPr="00B31282">
        <w:t xml:space="preserve">Table </w:t>
      </w:r>
      <w:r>
        <w:fldChar w:fldCharType="begin"/>
      </w:r>
      <w:r>
        <w:instrText>SEQ Table \* ARABIC</w:instrText>
      </w:r>
      <w:r>
        <w:fldChar w:fldCharType="separate"/>
      </w:r>
      <w:r w:rsidR="00472981">
        <w:rPr>
          <w:noProof/>
        </w:rPr>
        <w:t>13</w:t>
      </w:r>
      <w:r>
        <w:fldChar w:fldCharType="end"/>
      </w:r>
      <w:bookmarkEnd w:id="37"/>
      <w:r w:rsidR="00702AC6" w:rsidRPr="00B31282">
        <w:rPr>
          <w:rStyle w:val="normaltextrun"/>
        </w:rPr>
        <w:t xml:space="preserve">: Naïve comparison between ALPINE and ELEVATE-RR for adverse events occurring in ≥10% (any grade) of patients in either treatment arm </w:t>
      </w:r>
    </w:p>
    <w:tbl>
      <w:tblPr>
        <w:tblStyle w:val="TableGrid"/>
        <w:tblW w:w="5000" w:type="pct"/>
        <w:tblLook w:val="04A0" w:firstRow="1" w:lastRow="0" w:firstColumn="1" w:lastColumn="0" w:noHBand="0" w:noVBand="1"/>
      </w:tblPr>
      <w:tblGrid>
        <w:gridCol w:w="3528"/>
        <w:gridCol w:w="1373"/>
        <w:gridCol w:w="1372"/>
        <w:gridCol w:w="1372"/>
        <w:gridCol w:w="1372"/>
      </w:tblGrid>
      <w:tr w:rsidR="00702AC6" w:rsidRPr="00B31282" w14:paraId="53A8BCD6" w14:textId="77777777" w:rsidTr="00D12BAD">
        <w:tc>
          <w:tcPr>
            <w:tcW w:w="1956" w:type="pct"/>
            <w:vMerge w:val="restart"/>
          </w:tcPr>
          <w:p w14:paraId="139767F6" w14:textId="77777777" w:rsidR="00702AC6" w:rsidRPr="00B31282" w:rsidRDefault="00702AC6" w:rsidP="00D12BAD">
            <w:pPr>
              <w:pStyle w:val="COMTabletext"/>
              <w:rPr>
                <w:rStyle w:val="normaltextrun"/>
              </w:rPr>
            </w:pPr>
          </w:p>
        </w:tc>
        <w:tc>
          <w:tcPr>
            <w:tcW w:w="1522" w:type="pct"/>
            <w:gridSpan w:val="2"/>
            <w:vAlign w:val="center"/>
          </w:tcPr>
          <w:p w14:paraId="327BF40D" w14:textId="77777777" w:rsidR="00702AC6" w:rsidRPr="00B31282" w:rsidRDefault="00702AC6" w:rsidP="00D12BAD">
            <w:pPr>
              <w:pStyle w:val="COMTabletext"/>
              <w:jc w:val="center"/>
              <w:rPr>
                <w:rStyle w:val="normaltextrun"/>
                <w:b/>
                <w:bCs w:val="0"/>
              </w:rPr>
            </w:pPr>
            <w:r w:rsidRPr="00B31282">
              <w:rPr>
                <w:rStyle w:val="normaltextrun"/>
                <w:b/>
                <w:bCs w:val="0"/>
              </w:rPr>
              <w:t>ALPINE</w:t>
            </w:r>
          </w:p>
        </w:tc>
        <w:tc>
          <w:tcPr>
            <w:tcW w:w="1522" w:type="pct"/>
            <w:gridSpan w:val="2"/>
            <w:vAlign w:val="center"/>
          </w:tcPr>
          <w:p w14:paraId="584E6C97" w14:textId="77777777" w:rsidR="00702AC6" w:rsidRPr="00B31282" w:rsidRDefault="00702AC6" w:rsidP="00D12BAD">
            <w:pPr>
              <w:pStyle w:val="COMTabletext"/>
              <w:jc w:val="center"/>
              <w:rPr>
                <w:rStyle w:val="normaltextrun"/>
                <w:b/>
                <w:bCs w:val="0"/>
              </w:rPr>
            </w:pPr>
            <w:r w:rsidRPr="00B31282">
              <w:rPr>
                <w:rStyle w:val="normaltextrun"/>
                <w:b/>
                <w:bCs w:val="0"/>
              </w:rPr>
              <w:t>ELEVATE-RR</w:t>
            </w:r>
          </w:p>
        </w:tc>
      </w:tr>
      <w:tr w:rsidR="00702AC6" w:rsidRPr="00B31282" w14:paraId="5E39165E" w14:textId="77777777" w:rsidTr="00D12BAD">
        <w:tc>
          <w:tcPr>
            <w:tcW w:w="1956" w:type="pct"/>
            <w:vMerge/>
          </w:tcPr>
          <w:p w14:paraId="0B6151BC" w14:textId="77777777" w:rsidR="00702AC6" w:rsidRPr="00B31282" w:rsidRDefault="00702AC6" w:rsidP="00D12BAD">
            <w:pPr>
              <w:pStyle w:val="COMTabletext"/>
              <w:rPr>
                <w:rStyle w:val="normaltextrun"/>
              </w:rPr>
            </w:pPr>
          </w:p>
        </w:tc>
        <w:tc>
          <w:tcPr>
            <w:tcW w:w="761" w:type="pct"/>
            <w:shd w:val="clear" w:color="auto" w:fill="auto"/>
            <w:vAlign w:val="center"/>
          </w:tcPr>
          <w:p w14:paraId="2F8953AB" w14:textId="77777777" w:rsidR="00702AC6" w:rsidRPr="00B31282" w:rsidRDefault="00702AC6" w:rsidP="00D12BAD">
            <w:pPr>
              <w:pStyle w:val="COMTabletext"/>
              <w:jc w:val="center"/>
              <w:rPr>
                <w:b/>
                <w:bCs w:val="0"/>
              </w:rPr>
            </w:pPr>
            <w:r w:rsidRPr="00B31282">
              <w:rPr>
                <w:b/>
                <w:bCs w:val="0"/>
              </w:rPr>
              <w:t>Zanubrutinib</w:t>
            </w:r>
          </w:p>
          <w:p w14:paraId="425B8DB4" w14:textId="77777777" w:rsidR="00702AC6" w:rsidRPr="00B31282" w:rsidRDefault="00702AC6" w:rsidP="00D12BAD">
            <w:pPr>
              <w:pStyle w:val="COMTabletext"/>
              <w:jc w:val="center"/>
              <w:rPr>
                <w:b/>
                <w:bCs w:val="0"/>
              </w:rPr>
            </w:pPr>
            <w:r w:rsidRPr="00B31282">
              <w:rPr>
                <w:b/>
                <w:bCs w:val="0"/>
              </w:rPr>
              <w:t>(N = 324)</w:t>
            </w:r>
          </w:p>
          <w:p w14:paraId="4D581046" w14:textId="77777777" w:rsidR="00702AC6" w:rsidRPr="00B31282" w:rsidRDefault="00702AC6" w:rsidP="00D12BAD">
            <w:pPr>
              <w:pStyle w:val="COMTabletext"/>
              <w:jc w:val="center"/>
              <w:rPr>
                <w:rStyle w:val="normaltextrun"/>
                <w:b/>
                <w:bCs w:val="0"/>
              </w:rPr>
            </w:pPr>
            <w:r w:rsidRPr="00B31282">
              <w:rPr>
                <w:b/>
                <w:bCs w:val="0"/>
              </w:rPr>
              <w:t>n (%)</w:t>
            </w:r>
          </w:p>
        </w:tc>
        <w:tc>
          <w:tcPr>
            <w:tcW w:w="761" w:type="pct"/>
            <w:shd w:val="clear" w:color="auto" w:fill="auto"/>
            <w:vAlign w:val="center"/>
          </w:tcPr>
          <w:p w14:paraId="46753E1F" w14:textId="77777777" w:rsidR="00702AC6" w:rsidRPr="00B31282" w:rsidRDefault="00702AC6" w:rsidP="00D12BAD">
            <w:pPr>
              <w:pStyle w:val="COMTabletext"/>
              <w:jc w:val="center"/>
              <w:rPr>
                <w:b/>
                <w:bCs w:val="0"/>
              </w:rPr>
            </w:pPr>
            <w:r w:rsidRPr="00B31282">
              <w:rPr>
                <w:b/>
                <w:bCs w:val="0"/>
              </w:rPr>
              <w:t>Ibrutinib</w:t>
            </w:r>
          </w:p>
          <w:p w14:paraId="1ADD0C4C" w14:textId="77777777" w:rsidR="00702AC6" w:rsidRPr="00B31282" w:rsidRDefault="00702AC6" w:rsidP="00D12BAD">
            <w:pPr>
              <w:pStyle w:val="COMTabletext"/>
              <w:jc w:val="center"/>
              <w:rPr>
                <w:b/>
                <w:bCs w:val="0"/>
              </w:rPr>
            </w:pPr>
            <w:r w:rsidRPr="00B31282">
              <w:rPr>
                <w:b/>
                <w:bCs w:val="0"/>
              </w:rPr>
              <w:t>(N = 324)</w:t>
            </w:r>
          </w:p>
          <w:p w14:paraId="2D2D7BB4" w14:textId="77777777" w:rsidR="00702AC6" w:rsidRPr="00B31282" w:rsidRDefault="00702AC6" w:rsidP="00D12BAD">
            <w:pPr>
              <w:pStyle w:val="COMTabletext"/>
              <w:jc w:val="center"/>
              <w:rPr>
                <w:rStyle w:val="normaltextrun"/>
                <w:b/>
                <w:bCs w:val="0"/>
              </w:rPr>
            </w:pPr>
            <w:r w:rsidRPr="00B31282">
              <w:rPr>
                <w:b/>
                <w:bCs w:val="0"/>
              </w:rPr>
              <w:t>n (%)</w:t>
            </w:r>
          </w:p>
        </w:tc>
        <w:tc>
          <w:tcPr>
            <w:tcW w:w="761" w:type="pct"/>
            <w:shd w:val="clear" w:color="auto" w:fill="auto"/>
            <w:vAlign w:val="center"/>
          </w:tcPr>
          <w:p w14:paraId="44EF75CB" w14:textId="77777777" w:rsidR="00702AC6" w:rsidRPr="00B31282" w:rsidRDefault="00702AC6" w:rsidP="00D12BAD">
            <w:pPr>
              <w:pStyle w:val="COMTabletext"/>
              <w:jc w:val="center"/>
              <w:rPr>
                <w:b/>
                <w:bCs w:val="0"/>
              </w:rPr>
            </w:pPr>
            <w:r w:rsidRPr="00B31282">
              <w:rPr>
                <w:b/>
                <w:bCs w:val="0"/>
              </w:rPr>
              <w:t>Acalabrutinib</w:t>
            </w:r>
          </w:p>
          <w:p w14:paraId="3186B893" w14:textId="77777777" w:rsidR="00702AC6" w:rsidRPr="00B31282" w:rsidRDefault="00702AC6" w:rsidP="00D12BAD">
            <w:pPr>
              <w:pStyle w:val="COMTabletext"/>
              <w:jc w:val="center"/>
              <w:rPr>
                <w:b/>
                <w:bCs w:val="0"/>
              </w:rPr>
            </w:pPr>
            <w:r w:rsidRPr="00B31282">
              <w:rPr>
                <w:b/>
                <w:bCs w:val="0"/>
              </w:rPr>
              <w:t>(N = 266)</w:t>
            </w:r>
          </w:p>
          <w:p w14:paraId="1863B25A" w14:textId="77777777" w:rsidR="00702AC6" w:rsidRPr="00B31282" w:rsidRDefault="00702AC6" w:rsidP="00D12BAD">
            <w:pPr>
              <w:pStyle w:val="COMTabletext"/>
              <w:jc w:val="center"/>
              <w:rPr>
                <w:b/>
                <w:bCs w:val="0"/>
              </w:rPr>
            </w:pPr>
            <w:r w:rsidRPr="00B31282">
              <w:rPr>
                <w:b/>
                <w:bCs w:val="0"/>
              </w:rPr>
              <w:t>n (%)</w:t>
            </w:r>
          </w:p>
        </w:tc>
        <w:tc>
          <w:tcPr>
            <w:tcW w:w="761" w:type="pct"/>
            <w:shd w:val="clear" w:color="auto" w:fill="auto"/>
            <w:vAlign w:val="center"/>
          </w:tcPr>
          <w:p w14:paraId="43BDDD18" w14:textId="77777777" w:rsidR="00702AC6" w:rsidRPr="00B31282" w:rsidRDefault="00702AC6" w:rsidP="00D12BAD">
            <w:pPr>
              <w:pStyle w:val="COMTabletext"/>
              <w:jc w:val="center"/>
              <w:rPr>
                <w:b/>
                <w:bCs w:val="0"/>
              </w:rPr>
            </w:pPr>
            <w:r w:rsidRPr="00B31282">
              <w:rPr>
                <w:b/>
                <w:bCs w:val="0"/>
              </w:rPr>
              <w:t>Ibrutinib</w:t>
            </w:r>
          </w:p>
          <w:p w14:paraId="65D7B69C" w14:textId="77777777" w:rsidR="00702AC6" w:rsidRPr="00B31282" w:rsidRDefault="00702AC6" w:rsidP="00D12BAD">
            <w:pPr>
              <w:pStyle w:val="COMTabletext"/>
              <w:jc w:val="center"/>
              <w:rPr>
                <w:b/>
                <w:bCs w:val="0"/>
              </w:rPr>
            </w:pPr>
            <w:r w:rsidRPr="00B31282">
              <w:rPr>
                <w:b/>
                <w:bCs w:val="0"/>
              </w:rPr>
              <w:t>(N = 263)</w:t>
            </w:r>
          </w:p>
          <w:p w14:paraId="1F857729" w14:textId="77777777" w:rsidR="00702AC6" w:rsidRPr="00B31282" w:rsidRDefault="00702AC6" w:rsidP="00D12BAD">
            <w:pPr>
              <w:pStyle w:val="COMTabletext"/>
              <w:jc w:val="center"/>
              <w:rPr>
                <w:b/>
                <w:bCs w:val="0"/>
              </w:rPr>
            </w:pPr>
            <w:r w:rsidRPr="00B31282">
              <w:rPr>
                <w:b/>
                <w:bCs w:val="0"/>
              </w:rPr>
              <w:t>n (%)</w:t>
            </w:r>
          </w:p>
        </w:tc>
      </w:tr>
      <w:tr w:rsidR="00702AC6" w:rsidRPr="00B31282" w14:paraId="3EBC22B4" w14:textId="77777777" w:rsidTr="00D12BAD">
        <w:tc>
          <w:tcPr>
            <w:tcW w:w="1956" w:type="pct"/>
          </w:tcPr>
          <w:p w14:paraId="4F1BF003" w14:textId="77777777" w:rsidR="00702AC6" w:rsidRPr="00B31282" w:rsidRDefault="00702AC6" w:rsidP="00D12BAD">
            <w:pPr>
              <w:pStyle w:val="COMTabletext"/>
              <w:rPr>
                <w:rStyle w:val="normaltextrun"/>
              </w:rPr>
            </w:pPr>
            <w:r w:rsidRPr="00B31282">
              <w:t xml:space="preserve">Patients with at least one treatment-emergent adverse event </w:t>
            </w:r>
          </w:p>
        </w:tc>
        <w:tc>
          <w:tcPr>
            <w:tcW w:w="761" w:type="pct"/>
            <w:vAlign w:val="center"/>
          </w:tcPr>
          <w:p w14:paraId="7DD37116" w14:textId="77777777" w:rsidR="00702AC6" w:rsidRPr="00B31282" w:rsidRDefault="00702AC6" w:rsidP="00D12BAD">
            <w:pPr>
              <w:pStyle w:val="COMTabletext"/>
              <w:jc w:val="center"/>
              <w:rPr>
                <w:rStyle w:val="normaltextrun"/>
              </w:rPr>
            </w:pPr>
            <w:r w:rsidRPr="00B31282">
              <w:t>315 (97.2)</w:t>
            </w:r>
          </w:p>
        </w:tc>
        <w:tc>
          <w:tcPr>
            <w:tcW w:w="761" w:type="pct"/>
            <w:vAlign w:val="center"/>
          </w:tcPr>
          <w:p w14:paraId="33A65C91" w14:textId="77777777" w:rsidR="00702AC6" w:rsidRPr="00B31282" w:rsidRDefault="00702AC6" w:rsidP="00D12BAD">
            <w:pPr>
              <w:pStyle w:val="COMTabletext"/>
              <w:jc w:val="center"/>
              <w:rPr>
                <w:rStyle w:val="normaltextrun"/>
              </w:rPr>
            </w:pPr>
            <w:r w:rsidRPr="00B31282">
              <w:t>320 (98.8)</w:t>
            </w:r>
          </w:p>
        </w:tc>
        <w:tc>
          <w:tcPr>
            <w:tcW w:w="761" w:type="pct"/>
            <w:vAlign w:val="center"/>
          </w:tcPr>
          <w:p w14:paraId="1039FF05" w14:textId="77777777" w:rsidR="00702AC6" w:rsidRPr="00B31282" w:rsidRDefault="00702AC6" w:rsidP="00D12BAD">
            <w:pPr>
              <w:pStyle w:val="COMTabletext"/>
              <w:jc w:val="center"/>
            </w:pPr>
            <w:r w:rsidRPr="00B31282">
              <w:t>NR</w:t>
            </w:r>
          </w:p>
        </w:tc>
        <w:tc>
          <w:tcPr>
            <w:tcW w:w="761" w:type="pct"/>
            <w:vAlign w:val="center"/>
          </w:tcPr>
          <w:p w14:paraId="1BF91C37" w14:textId="77777777" w:rsidR="00702AC6" w:rsidRPr="00B31282" w:rsidRDefault="00702AC6" w:rsidP="00D12BAD">
            <w:pPr>
              <w:pStyle w:val="COMTabletext"/>
              <w:jc w:val="center"/>
            </w:pPr>
            <w:r w:rsidRPr="00B31282">
              <w:t>NR</w:t>
            </w:r>
          </w:p>
        </w:tc>
      </w:tr>
      <w:tr w:rsidR="00702AC6" w:rsidRPr="00B31282" w14:paraId="5596837B" w14:textId="77777777" w:rsidTr="00D12BAD">
        <w:tc>
          <w:tcPr>
            <w:tcW w:w="1956" w:type="pct"/>
          </w:tcPr>
          <w:p w14:paraId="528C1A1F" w14:textId="77777777" w:rsidR="00702AC6" w:rsidRPr="00B31282" w:rsidRDefault="00702AC6" w:rsidP="00D12BAD">
            <w:pPr>
              <w:pStyle w:val="COMTabletext"/>
              <w:rPr>
                <w:rStyle w:val="normaltextrun"/>
              </w:rPr>
            </w:pPr>
            <w:r w:rsidRPr="00B31282">
              <w:t xml:space="preserve">Atrial fibrillation </w:t>
            </w:r>
          </w:p>
        </w:tc>
        <w:tc>
          <w:tcPr>
            <w:tcW w:w="761" w:type="pct"/>
            <w:vAlign w:val="center"/>
          </w:tcPr>
          <w:p w14:paraId="63D30315" w14:textId="77777777" w:rsidR="00702AC6" w:rsidRPr="00B31282" w:rsidRDefault="00702AC6" w:rsidP="00D12BAD">
            <w:pPr>
              <w:pStyle w:val="COMTabletext"/>
              <w:jc w:val="center"/>
              <w:rPr>
                <w:rStyle w:val="normaltextrun"/>
              </w:rPr>
            </w:pPr>
            <w:r w:rsidRPr="00B31282">
              <w:t>13 (4.0)</w:t>
            </w:r>
          </w:p>
        </w:tc>
        <w:tc>
          <w:tcPr>
            <w:tcW w:w="761" w:type="pct"/>
            <w:vAlign w:val="center"/>
          </w:tcPr>
          <w:p w14:paraId="312A2515" w14:textId="77777777" w:rsidR="00702AC6" w:rsidRPr="00B31282" w:rsidRDefault="00702AC6" w:rsidP="00D12BAD">
            <w:pPr>
              <w:pStyle w:val="COMTabletext"/>
              <w:jc w:val="center"/>
              <w:rPr>
                <w:rStyle w:val="normaltextrun"/>
              </w:rPr>
            </w:pPr>
            <w:r w:rsidRPr="00B31282">
              <w:t>36 (11.1)</w:t>
            </w:r>
          </w:p>
        </w:tc>
        <w:tc>
          <w:tcPr>
            <w:tcW w:w="761" w:type="pct"/>
            <w:vAlign w:val="center"/>
          </w:tcPr>
          <w:p w14:paraId="38DD520C" w14:textId="77777777" w:rsidR="00702AC6" w:rsidRPr="00B31282" w:rsidRDefault="00702AC6" w:rsidP="00D12BAD">
            <w:pPr>
              <w:pStyle w:val="COMTabletext"/>
              <w:jc w:val="center"/>
            </w:pPr>
            <w:r w:rsidRPr="00B31282">
              <w:t>24 (9.0)</w:t>
            </w:r>
          </w:p>
        </w:tc>
        <w:tc>
          <w:tcPr>
            <w:tcW w:w="761" w:type="pct"/>
            <w:vAlign w:val="center"/>
          </w:tcPr>
          <w:p w14:paraId="1DA171C6" w14:textId="77777777" w:rsidR="00702AC6" w:rsidRPr="00B31282" w:rsidRDefault="00702AC6" w:rsidP="00D12BAD">
            <w:pPr>
              <w:pStyle w:val="COMTabletext"/>
              <w:jc w:val="center"/>
            </w:pPr>
            <w:r w:rsidRPr="00B31282">
              <w:t>41 (15.6)</w:t>
            </w:r>
          </w:p>
        </w:tc>
      </w:tr>
      <w:tr w:rsidR="00702AC6" w:rsidRPr="00B31282" w14:paraId="06974DFB" w14:textId="77777777" w:rsidTr="00D12BAD">
        <w:tc>
          <w:tcPr>
            <w:tcW w:w="1956" w:type="pct"/>
          </w:tcPr>
          <w:p w14:paraId="0A3EFBA0" w14:textId="77777777" w:rsidR="00702AC6" w:rsidRPr="00B31282" w:rsidRDefault="00702AC6" w:rsidP="00D12BAD">
            <w:pPr>
              <w:pStyle w:val="COMTabletext"/>
              <w:rPr>
                <w:rStyle w:val="normaltextrun"/>
              </w:rPr>
            </w:pPr>
            <w:r w:rsidRPr="00B31282">
              <w:t xml:space="preserve">Diarrhoea </w:t>
            </w:r>
          </w:p>
        </w:tc>
        <w:tc>
          <w:tcPr>
            <w:tcW w:w="761" w:type="pct"/>
            <w:vAlign w:val="center"/>
          </w:tcPr>
          <w:p w14:paraId="2D47D8DB" w14:textId="77777777" w:rsidR="00702AC6" w:rsidRPr="00B31282" w:rsidRDefault="00702AC6" w:rsidP="00D12BAD">
            <w:pPr>
              <w:pStyle w:val="COMTabletext"/>
              <w:jc w:val="center"/>
              <w:rPr>
                <w:rStyle w:val="normaltextrun"/>
              </w:rPr>
            </w:pPr>
            <w:r w:rsidRPr="00B31282">
              <w:t>45 (13.9)</w:t>
            </w:r>
          </w:p>
        </w:tc>
        <w:tc>
          <w:tcPr>
            <w:tcW w:w="761" w:type="pct"/>
            <w:vAlign w:val="center"/>
          </w:tcPr>
          <w:p w14:paraId="38571816" w14:textId="77777777" w:rsidR="00702AC6" w:rsidRPr="00B31282" w:rsidRDefault="00702AC6" w:rsidP="00D12BAD">
            <w:pPr>
              <w:pStyle w:val="COMTabletext"/>
              <w:jc w:val="center"/>
              <w:rPr>
                <w:rStyle w:val="normaltextrun"/>
              </w:rPr>
            </w:pPr>
            <w:r w:rsidRPr="00B31282">
              <w:t>71 (21.9)</w:t>
            </w:r>
          </w:p>
        </w:tc>
        <w:tc>
          <w:tcPr>
            <w:tcW w:w="761" w:type="pct"/>
            <w:vAlign w:val="center"/>
          </w:tcPr>
          <w:p w14:paraId="0043C542" w14:textId="77777777" w:rsidR="00702AC6" w:rsidRPr="00B31282" w:rsidRDefault="00702AC6" w:rsidP="00D12BAD">
            <w:pPr>
              <w:pStyle w:val="COMTabletext"/>
              <w:jc w:val="center"/>
            </w:pPr>
            <w:r w:rsidRPr="00B31282">
              <w:t>92 (34.6)</w:t>
            </w:r>
          </w:p>
        </w:tc>
        <w:tc>
          <w:tcPr>
            <w:tcW w:w="761" w:type="pct"/>
            <w:vAlign w:val="center"/>
          </w:tcPr>
          <w:p w14:paraId="42F33078" w14:textId="77777777" w:rsidR="00702AC6" w:rsidRPr="00B31282" w:rsidRDefault="00702AC6" w:rsidP="00D12BAD">
            <w:pPr>
              <w:pStyle w:val="COMTabletext"/>
              <w:jc w:val="center"/>
            </w:pPr>
            <w:r w:rsidRPr="00B31282">
              <w:t>121 (46.0)</w:t>
            </w:r>
          </w:p>
        </w:tc>
      </w:tr>
      <w:tr w:rsidR="00702AC6" w:rsidRPr="00B31282" w14:paraId="5EEA0FEE" w14:textId="77777777" w:rsidTr="00D12BAD">
        <w:tc>
          <w:tcPr>
            <w:tcW w:w="1956" w:type="pct"/>
          </w:tcPr>
          <w:p w14:paraId="759744A3" w14:textId="77777777" w:rsidR="00702AC6" w:rsidRPr="00B31282" w:rsidRDefault="00702AC6" w:rsidP="00D12BAD">
            <w:pPr>
              <w:pStyle w:val="COMTabletext"/>
              <w:rPr>
                <w:rStyle w:val="normaltextrun"/>
              </w:rPr>
            </w:pPr>
            <w:r w:rsidRPr="00B31282">
              <w:t xml:space="preserve">Dyspepsia </w:t>
            </w:r>
          </w:p>
        </w:tc>
        <w:tc>
          <w:tcPr>
            <w:tcW w:w="761" w:type="pct"/>
            <w:vAlign w:val="center"/>
          </w:tcPr>
          <w:p w14:paraId="473112BB" w14:textId="77777777" w:rsidR="00702AC6" w:rsidRPr="00B31282" w:rsidRDefault="00702AC6" w:rsidP="00D12BAD">
            <w:pPr>
              <w:pStyle w:val="COMTabletext"/>
              <w:jc w:val="center"/>
              <w:rPr>
                <w:rStyle w:val="normaltextrun"/>
              </w:rPr>
            </w:pPr>
            <w:r w:rsidRPr="00B31282">
              <w:t>17 (5.2)</w:t>
            </w:r>
          </w:p>
        </w:tc>
        <w:tc>
          <w:tcPr>
            <w:tcW w:w="761" w:type="pct"/>
            <w:vAlign w:val="center"/>
          </w:tcPr>
          <w:p w14:paraId="40A870F7" w14:textId="77777777" w:rsidR="00702AC6" w:rsidRPr="00B31282" w:rsidRDefault="00702AC6" w:rsidP="00D12BAD">
            <w:pPr>
              <w:pStyle w:val="COMTabletext"/>
              <w:jc w:val="center"/>
              <w:rPr>
                <w:rStyle w:val="normaltextrun"/>
              </w:rPr>
            </w:pPr>
            <w:r w:rsidRPr="00B31282">
              <w:t>21 (6.5)</w:t>
            </w:r>
          </w:p>
        </w:tc>
        <w:tc>
          <w:tcPr>
            <w:tcW w:w="761" w:type="pct"/>
            <w:vAlign w:val="center"/>
          </w:tcPr>
          <w:p w14:paraId="19029630" w14:textId="77777777" w:rsidR="00702AC6" w:rsidRPr="00B31282" w:rsidRDefault="00702AC6" w:rsidP="00D12BAD">
            <w:pPr>
              <w:pStyle w:val="COMTabletext"/>
              <w:jc w:val="center"/>
            </w:pPr>
            <w:r w:rsidRPr="00B31282">
              <w:t>10 (3.8)</w:t>
            </w:r>
          </w:p>
        </w:tc>
        <w:tc>
          <w:tcPr>
            <w:tcW w:w="761" w:type="pct"/>
            <w:vAlign w:val="center"/>
          </w:tcPr>
          <w:p w14:paraId="13487CD7" w14:textId="77777777" w:rsidR="00702AC6" w:rsidRPr="00B31282" w:rsidRDefault="00702AC6" w:rsidP="00D12BAD">
            <w:pPr>
              <w:pStyle w:val="COMTabletext"/>
              <w:jc w:val="center"/>
            </w:pPr>
            <w:r w:rsidRPr="00B31282">
              <w:t>32 (12.2)</w:t>
            </w:r>
          </w:p>
        </w:tc>
      </w:tr>
      <w:tr w:rsidR="00702AC6" w:rsidRPr="00B31282" w14:paraId="279637FF" w14:textId="77777777" w:rsidTr="00D12BAD">
        <w:tc>
          <w:tcPr>
            <w:tcW w:w="1956" w:type="pct"/>
          </w:tcPr>
          <w:p w14:paraId="547216C5" w14:textId="77777777" w:rsidR="00702AC6" w:rsidRPr="00B31282" w:rsidRDefault="00702AC6" w:rsidP="00D12BAD">
            <w:pPr>
              <w:pStyle w:val="COMTabletext"/>
              <w:rPr>
                <w:rStyle w:val="normaltextrun"/>
              </w:rPr>
            </w:pPr>
            <w:r w:rsidRPr="00B31282">
              <w:t xml:space="preserve">Upper respiratory tract infection </w:t>
            </w:r>
          </w:p>
        </w:tc>
        <w:tc>
          <w:tcPr>
            <w:tcW w:w="761" w:type="pct"/>
            <w:vAlign w:val="center"/>
          </w:tcPr>
          <w:p w14:paraId="37E06054" w14:textId="77777777" w:rsidR="00702AC6" w:rsidRPr="00B31282" w:rsidRDefault="00702AC6" w:rsidP="00D12BAD">
            <w:pPr>
              <w:pStyle w:val="COMTabletext"/>
              <w:jc w:val="center"/>
              <w:rPr>
                <w:rStyle w:val="normaltextrun"/>
              </w:rPr>
            </w:pPr>
            <w:r w:rsidRPr="00B31282">
              <w:t>58 (17.9)</w:t>
            </w:r>
          </w:p>
        </w:tc>
        <w:tc>
          <w:tcPr>
            <w:tcW w:w="761" w:type="pct"/>
            <w:vAlign w:val="center"/>
          </w:tcPr>
          <w:p w14:paraId="35DC4B69" w14:textId="77777777" w:rsidR="00702AC6" w:rsidRPr="00B31282" w:rsidRDefault="00702AC6" w:rsidP="00D12BAD">
            <w:pPr>
              <w:pStyle w:val="COMTabletext"/>
              <w:jc w:val="center"/>
              <w:rPr>
                <w:rStyle w:val="normaltextrun"/>
              </w:rPr>
            </w:pPr>
            <w:r w:rsidRPr="00B31282">
              <w:t>41 (12.7)</w:t>
            </w:r>
          </w:p>
        </w:tc>
        <w:tc>
          <w:tcPr>
            <w:tcW w:w="761" w:type="pct"/>
            <w:vAlign w:val="center"/>
          </w:tcPr>
          <w:p w14:paraId="5F45CD44" w14:textId="77777777" w:rsidR="00702AC6" w:rsidRPr="00B31282" w:rsidRDefault="00702AC6" w:rsidP="00D12BAD">
            <w:pPr>
              <w:pStyle w:val="COMTabletext"/>
              <w:jc w:val="center"/>
            </w:pPr>
            <w:r w:rsidRPr="00B31282">
              <w:t>71 (26.7)</w:t>
            </w:r>
          </w:p>
        </w:tc>
        <w:tc>
          <w:tcPr>
            <w:tcW w:w="761" w:type="pct"/>
            <w:vAlign w:val="center"/>
          </w:tcPr>
          <w:p w14:paraId="13E0868B" w14:textId="77777777" w:rsidR="00702AC6" w:rsidRPr="00B31282" w:rsidRDefault="00702AC6" w:rsidP="00D12BAD">
            <w:pPr>
              <w:pStyle w:val="COMTabletext"/>
              <w:jc w:val="center"/>
            </w:pPr>
            <w:r w:rsidRPr="00B31282">
              <w:t>65 (24.7)</w:t>
            </w:r>
          </w:p>
        </w:tc>
      </w:tr>
      <w:tr w:rsidR="00702AC6" w:rsidRPr="00B31282" w14:paraId="06EBA17A" w14:textId="77777777" w:rsidTr="00D12BAD">
        <w:tc>
          <w:tcPr>
            <w:tcW w:w="1956" w:type="pct"/>
          </w:tcPr>
          <w:p w14:paraId="48EEFFA3" w14:textId="77777777" w:rsidR="00702AC6" w:rsidRPr="00B31282" w:rsidRDefault="00702AC6" w:rsidP="00D12BAD">
            <w:pPr>
              <w:pStyle w:val="COMTabletext"/>
              <w:rPr>
                <w:rStyle w:val="normaltextrun"/>
              </w:rPr>
            </w:pPr>
            <w:r w:rsidRPr="00B31282">
              <w:t xml:space="preserve">Contusion </w:t>
            </w:r>
          </w:p>
        </w:tc>
        <w:tc>
          <w:tcPr>
            <w:tcW w:w="761" w:type="pct"/>
            <w:vAlign w:val="center"/>
          </w:tcPr>
          <w:p w14:paraId="13D1ED6E" w14:textId="77777777" w:rsidR="00702AC6" w:rsidRPr="00B31282" w:rsidRDefault="00702AC6" w:rsidP="00D12BAD">
            <w:pPr>
              <w:pStyle w:val="COMTabletext"/>
              <w:jc w:val="center"/>
              <w:rPr>
                <w:rStyle w:val="normaltextrun"/>
              </w:rPr>
            </w:pPr>
            <w:r w:rsidRPr="00B31282">
              <w:t>43 (13.3)</w:t>
            </w:r>
          </w:p>
        </w:tc>
        <w:tc>
          <w:tcPr>
            <w:tcW w:w="761" w:type="pct"/>
            <w:vAlign w:val="center"/>
          </w:tcPr>
          <w:p w14:paraId="778E46EF" w14:textId="77777777" w:rsidR="00702AC6" w:rsidRPr="00B31282" w:rsidRDefault="00702AC6" w:rsidP="00D12BAD">
            <w:pPr>
              <w:pStyle w:val="COMTabletext"/>
              <w:jc w:val="center"/>
              <w:rPr>
                <w:rStyle w:val="normaltextrun"/>
              </w:rPr>
            </w:pPr>
            <w:r w:rsidRPr="00B31282">
              <w:t>33 (10.2)</w:t>
            </w:r>
          </w:p>
        </w:tc>
        <w:tc>
          <w:tcPr>
            <w:tcW w:w="761" w:type="pct"/>
            <w:vAlign w:val="center"/>
          </w:tcPr>
          <w:p w14:paraId="284444F3" w14:textId="77777777" w:rsidR="00702AC6" w:rsidRPr="00B31282" w:rsidRDefault="00702AC6" w:rsidP="00D12BAD">
            <w:pPr>
              <w:pStyle w:val="COMTabletext"/>
              <w:jc w:val="center"/>
            </w:pPr>
            <w:r w:rsidRPr="00B31282">
              <w:t>31 (11.7)</w:t>
            </w:r>
          </w:p>
        </w:tc>
        <w:tc>
          <w:tcPr>
            <w:tcW w:w="761" w:type="pct"/>
            <w:vAlign w:val="center"/>
          </w:tcPr>
          <w:p w14:paraId="5E15D725" w14:textId="77777777" w:rsidR="00702AC6" w:rsidRPr="00B31282" w:rsidRDefault="00702AC6" w:rsidP="00D12BAD">
            <w:pPr>
              <w:pStyle w:val="COMTabletext"/>
              <w:jc w:val="center"/>
            </w:pPr>
            <w:r w:rsidRPr="00B31282">
              <w:t>48 (18.3)</w:t>
            </w:r>
          </w:p>
        </w:tc>
      </w:tr>
      <w:tr w:rsidR="00702AC6" w:rsidRPr="00B31282" w14:paraId="335D93C7" w14:textId="77777777" w:rsidTr="00D12BAD">
        <w:tc>
          <w:tcPr>
            <w:tcW w:w="1956" w:type="pct"/>
          </w:tcPr>
          <w:p w14:paraId="189E828A" w14:textId="77777777" w:rsidR="00702AC6" w:rsidRPr="00B31282" w:rsidRDefault="00702AC6" w:rsidP="00D12BAD">
            <w:pPr>
              <w:pStyle w:val="COMTabletext"/>
              <w:rPr>
                <w:rStyle w:val="normaltextrun"/>
              </w:rPr>
            </w:pPr>
            <w:r w:rsidRPr="00B31282">
              <w:t xml:space="preserve">Muscle spasms </w:t>
            </w:r>
          </w:p>
        </w:tc>
        <w:tc>
          <w:tcPr>
            <w:tcW w:w="761" w:type="pct"/>
            <w:vAlign w:val="center"/>
          </w:tcPr>
          <w:p w14:paraId="1402AAF9" w14:textId="77777777" w:rsidR="00702AC6" w:rsidRPr="00B31282" w:rsidRDefault="00702AC6" w:rsidP="00D12BAD">
            <w:pPr>
              <w:pStyle w:val="COMTabletext"/>
              <w:jc w:val="center"/>
              <w:rPr>
                <w:rStyle w:val="normaltextrun"/>
              </w:rPr>
            </w:pPr>
            <w:r w:rsidRPr="00B31282">
              <w:t>9 (2.8)</w:t>
            </w:r>
          </w:p>
        </w:tc>
        <w:tc>
          <w:tcPr>
            <w:tcW w:w="761" w:type="pct"/>
            <w:vAlign w:val="center"/>
          </w:tcPr>
          <w:p w14:paraId="4565C6D5" w14:textId="77777777" w:rsidR="00702AC6" w:rsidRPr="00B31282" w:rsidRDefault="00702AC6" w:rsidP="00D12BAD">
            <w:pPr>
              <w:pStyle w:val="COMTabletext"/>
              <w:jc w:val="center"/>
              <w:rPr>
                <w:rStyle w:val="normaltextrun"/>
              </w:rPr>
            </w:pPr>
            <w:r w:rsidRPr="00B31282">
              <w:t>40 (12.3)</w:t>
            </w:r>
          </w:p>
        </w:tc>
        <w:tc>
          <w:tcPr>
            <w:tcW w:w="761" w:type="pct"/>
            <w:vAlign w:val="center"/>
          </w:tcPr>
          <w:p w14:paraId="6C89B1F1" w14:textId="77777777" w:rsidR="00702AC6" w:rsidRPr="00B31282" w:rsidRDefault="00702AC6" w:rsidP="00D12BAD">
            <w:pPr>
              <w:pStyle w:val="COMTabletext"/>
              <w:jc w:val="center"/>
            </w:pPr>
            <w:r w:rsidRPr="00B31282">
              <w:t>16 (6.0)</w:t>
            </w:r>
          </w:p>
        </w:tc>
        <w:tc>
          <w:tcPr>
            <w:tcW w:w="761" w:type="pct"/>
            <w:vAlign w:val="center"/>
          </w:tcPr>
          <w:p w14:paraId="797C5F36" w14:textId="77777777" w:rsidR="00702AC6" w:rsidRPr="00B31282" w:rsidRDefault="00702AC6" w:rsidP="00D12BAD">
            <w:pPr>
              <w:pStyle w:val="COMTabletext"/>
              <w:jc w:val="center"/>
            </w:pPr>
            <w:r w:rsidRPr="00B31282">
              <w:t>35 (13.3)</w:t>
            </w:r>
          </w:p>
        </w:tc>
      </w:tr>
      <w:tr w:rsidR="00702AC6" w:rsidRPr="00B31282" w14:paraId="1BA37B25" w14:textId="77777777" w:rsidTr="00D12BAD">
        <w:tc>
          <w:tcPr>
            <w:tcW w:w="1956" w:type="pct"/>
          </w:tcPr>
          <w:p w14:paraId="27FB0832" w14:textId="77777777" w:rsidR="00702AC6" w:rsidRPr="00B31282" w:rsidRDefault="00702AC6" w:rsidP="00D12BAD">
            <w:pPr>
              <w:pStyle w:val="COMTabletext"/>
              <w:rPr>
                <w:rStyle w:val="normaltextrun"/>
              </w:rPr>
            </w:pPr>
            <w:r w:rsidRPr="00B31282">
              <w:t xml:space="preserve">Back pain </w:t>
            </w:r>
          </w:p>
        </w:tc>
        <w:tc>
          <w:tcPr>
            <w:tcW w:w="761" w:type="pct"/>
            <w:vAlign w:val="center"/>
          </w:tcPr>
          <w:p w14:paraId="647623E7" w14:textId="77777777" w:rsidR="00702AC6" w:rsidRPr="00B31282" w:rsidRDefault="00702AC6" w:rsidP="00D12BAD">
            <w:pPr>
              <w:pStyle w:val="COMTabletext"/>
              <w:jc w:val="center"/>
              <w:rPr>
                <w:rStyle w:val="normaltextrun"/>
              </w:rPr>
            </w:pPr>
            <w:r w:rsidRPr="00B31282">
              <w:t>16 (4.9)</w:t>
            </w:r>
          </w:p>
        </w:tc>
        <w:tc>
          <w:tcPr>
            <w:tcW w:w="761" w:type="pct"/>
            <w:vAlign w:val="center"/>
          </w:tcPr>
          <w:p w14:paraId="234C4889" w14:textId="77777777" w:rsidR="00702AC6" w:rsidRPr="00B31282" w:rsidRDefault="00702AC6" w:rsidP="00D12BAD">
            <w:pPr>
              <w:pStyle w:val="COMTabletext"/>
              <w:jc w:val="center"/>
              <w:rPr>
                <w:rStyle w:val="normaltextrun"/>
              </w:rPr>
            </w:pPr>
            <w:r w:rsidRPr="00B31282">
              <w:t>19 (5.9)</w:t>
            </w:r>
          </w:p>
        </w:tc>
        <w:tc>
          <w:tcPr>
            <w:tcW w:w="761" w:type="pct"/>
            <w:vAlign w:val="center"/>
          </w:tcPr>
          <w:p w14:paraId="40876DA9" w14:textId="77777777" w:rsidR="00702AC6" w:rsidRPr="00B31282" w:rsidRDefault="00702AC6" w:rsidP="00D12BAD">
            <w:pPr>
              <w:pStyle w:val="COMTabletext"/>
              <w:jc w:val="center"/>
            </w:pPr>
            <w:r w:rsidRPr="00B31282">
              <w:t>20 (7.5)</w:t>
            </w:r>
          </w:p>
        </w:tc>
        <w:tc>
          <w:tcPr>
            <w:tcW w:w="761" w:type="pct"/>
            <w:vAlign w:val="center"/>
          </w:tcPr>
          <w:p w14:paraId="2686C796" w14:textId="77777777" w:rsidR="00702AC6" w:rsidRPr="00B31282" w:rsidRDefault="00702AC6" w:rsidP="00D12BAD">
            <w:pPr>
              <w:pStyle w:val="COMTabletext"/>
              <w:jc w:val="center"/>
            </w:pPr>
            <w:r w:rsidRPr="00B31282">
              <w:t>34 (12.9)</w:t>
            </w:r>
          </w:p>
        </w:tc>
      </w:tr>
      <w:tr w:rsidR="00702AC6" w:rsidRPr="00B31282" w14:paraId="1B451CF2" w14:textId="77777777" w:rsidTr="00D12BAD">
        <w:tc>
          <w:tcPr>
            <w:tcW w:w="1956" w:type="pct"/>
          </w:tcPr>
          <w:p w14:paraId="69B7F003" w14:textId="77777777" w:rsidR="00702AC6" w:rsidRPr="00B31282" w:rsidRDefault="00702AC6" w:rsidP="00D12BAD">
            <w:pPr>
              <w:pStyle w:val="COMTabletext"/>
              <w:rPr>
                <w:rStyle w:val="normaltextrun"/>
              </w:rPr>
            </w:pPr>
            <w:r w:rsidRPr="00B31282">
              <w:t xml:space="preserve">Headache </w:t>
            </w:r>
          </w:p>
        </w:tc>
        <w:tc>
          <w:tcPr>
            <w:tcW w:w="761" w:type="pct"/>
            <w:vAlign w:val="center"/>
          </w:tcPr>
          <w:p w14:paraId="507F9E6C" w14:textId="77777777" w:rsidR="00702AC6" w:rsidRPr="00B31282" w:rsidRDefault="00702AC6" w:rsidP="00D12BAD">
            <w:pPr>
              <w:pStyle w:val="COMTabletext"/>
              <w:jc w:val="center"/>
              <w:rPr>
                <w:rStyle w:val="normaltextrun"/>
              </w:rPr>
            </w:pPr>
            <w:r w:rsidRPr="00B31282">
              <w:t>25 (7.7)</w:t>
            </w:r>
          </w:p>
        </w:tc>
        <w:tc>
          <w:tcPr>
            <w:tcW w:w="761" w:type="pct"/>
            <w:vAlign w:val="center"/>
          </w:tcPr>
          <w:p w14:paraId="4AED6E53" w14:textId="77777777" w:rsidR="00702AC6" w:rsidRPr="00B31282" w:rsidRDefault="00702AC6" w:rsidP="00D12BAD">
            <w:pPr>
              <w:pStyle w:val="COMTabletext"/>
              <w:jc w:val="center"/>
              <w:rPr>
                <w:rStyle w:val="normaltextrun"/>
              </w:rPr>
            </w:pPr>
            <w:r w:rsidRPr="00B31282">
              <w:t>30 (9.3)</w:t>
            </w:r>
          </w:p>
        </w:tc>
        <w:tc>
          <w:tcPr>
            <w:tcW w:w="761" w:type="pct"/>
            <w:vAlign w:val="center"/>
          </w:tcPr>
          <w:p w14:paraId="11AE3EDF" w14:textId="77777777" w:rsidR="00702AC6" w:rsidRPr="00B31282" w:rsidRDefault="00702AC6" w:rsidP="00D12BAD">
            <w:pPr>
              <w:pStyle w:val="COMTabletext"/>
              <w:jc w:val="center"/>
            </w:pPr>
            <w:r w:rsidRPr="00B31282">
              <w:t>92 (34.6)</w:t>
            </w:r>
          </w:p>
        </w:tc>
        <w:tc>
          <w:tcPr>
            <w:tcW w:w="761" w:type="pct"/>
            <w:vAlign w:val="center"/>
          </w:tcPr>
          <w:p w14:paraId="64AEA6E2" w14:textId="77777777" w:rsidR="00702AC6" w:rsidRPr="00B31282" w:rsidRDefault="00702AC6" w:rsidP="00D12BAD">
            <w:pPr>
              <w:pStyle w:val="COMTabletext"/>
              <w:jc w:val="center"/>
            </w:pPr>
            <w:r w:rsidRPr="00B31282">
              <w:t>53 (20.2)</w:t>
            </w:r>
          </w:p>
        </w:tc>
      </w:tr>
      <w:tr w:rsidR="00702AC6" w:rsidRPr="00B31282" w14:paraId="26819BF1" w14:textId="77777777" w:rsidTr="00D12BAD">
        <w:tc>
          <w:tcPr>
            <w:tcW w:w="1956" w:type="pct"/>
          </w:tcPr>
          <w:p w14:paraId="45743885" w14:textId="77777777" w:rsidR="00702AC6" w:rsidRPr="00B31282" w:rsidRDefault="00702AC6" w:rsidP="00D12BAD">
            <w:pPr>
              <w:pStyle w:val="COMTabletext"/>
              <w:rPr>
                <w:rStyle w:val="normaltextrun"/>
              </w:rPr>
            </w:pPr>
            <w:r w:rsidRPr="00B31282">
              <w:t xml:space="preserve">Cough </w:t>
            </w:r>
          </w:p>
        </w:tc>
        <w:tc>
          <w:tcPr>
            <w:tcW w:w="761" w:type="pct"/>
            <w:vAlign w:val="center"/>
          </w:tcPr>
          <w:p w14:paraId="16A92088" w14:textId="77777777" w:rsidR="00702AC6" w:rsidRPr="00B31282" w:rsidRDefault="00702AC6" w:rsidP="00D12BAD">
            <w:pPr>
              <w:pStyle w:val="COMTabletext"/>
              <w:jc w:val="center"/>
              <w:rPr>
                <w:rStyle w:val="normaltextrun"/>
              </w:rPr>
            </w:pPr>
            <w:r w:rsidRPr="00B31282">
              <w:t>32 (9.9)</w:t>
            </w:r>
          </w:p>
        </w:tc>
        <w:tc>
          <w:tcPr>
            <w:tcW w:w="761" w:type="pct"/>
            <w:vAlign w:val="center"/>
          </w:tcPr>
          <w:p w14:paraId="7151CF8E" w14:textId="77777777" w:rsidR="00702AC6" w:rsidRPr="00B31282" w:rsidRDefault="00702AC6" w:rsidP="00D12BAD">
            <w:pPr>
              <w:pStyle w:val="COMTabletext"/>
              <w:jc w:val="center"/>
              <w:rPr>
                <w:rStyle w:val="normaltextrun"/>
              </w:rPr>
            </w:pPr>
            <w:r w:rsidRPr="00B31282">
              <w:t>26 (8.0)</w:t>
            </w:r>
          </w:p>
        </w:tc>
        <w:tc>
          <w:tcPr>
            <w:tcW w:w="761" w:type="pct"/>
            <w:vAlign w:val="center"/>
          </w:tcPr>
          <w:p w14:paraId="6A9465BB" w14:textId="77777777" w:rsidR="00702AC6" w:rsidRPr="00B31282" w:rsidRDefault="00702AC6" w:rsidP="00D12BAD">
            <w:pPr>
              <w:pStyle w:val="COMTabletext"/>
              <w:jc w:val="center"/>
            </w:pPr>
            <w:r w:rsidRPr="00B31282">
              <w:t>77 (28.9)</w:t>
            </w:r>
          </w:p>
        </w:tc>
        <w:tc>
          <w:tcPr>
            <w:tcW w:w="761" w:type="pct"/>
            <w:vAlign w:val="center"/>
          </w:tcPr>
          <w:p w14:paraId="5A0FAD8B" w14:textId="77777777" w:rsidR="00702AC6" w:rsidRPr="00B31282" w:rsidRDefault="00702AC6" w:rsidP="00D12BAD">
            <w:pPr>
              <w:pStyle w:val="COMTabletext"/>
              <w:jc w:val="center"/>
            </w:pPr>
            <w:r w:rsidRPr="00B31282">
              <w:t>56 (21.3)</w:t>
            </w:r>
          </w:p>
        </w:tc>
      </w:tr>
      <w:tr w:rsidR="00702AC6" w:rsidRPr="00B31282" w14:paraId="3B678A32" w14:textId="77777777" w:rsidTr="00D12BAD">
        <w:tc>
          <w:tcPr>
            <w:tcW w:w="1956" w:type="pct"/>
          </w:tcPr>
          <w:p w14:paraId="55483C59" w14:textId="77777777" w:rsidR="00702AC6" w:rsidRPr="00B31282" w:rsidRDefault="00702AC6" w:rsidP="00D12BAD">
            <w:pPr>
              <w:pStyle w:val="COMTabletext"/>
              <w:rPr>
                <w:rStyle w:val="normaltextrun"/>
              </w:rPr>
            </w:pPr>
            <w:r w:rsidRPr="00B31282">
              <w:t xml:space="preserve">Hypertension </w:t>
            </w:r>
          </w:p>
        </w:tc>
        <w:tc>
          <w:tcPr>
            <w:tcW w:w="761" w:type="pct"/>
            <w:vAlign w:val="center"/>
          </w:tcPr>
          <w:p w14:paraId="4F400D54" w14:textId="77777777" w:rsidR="00702AC6" w:rsidRPr="00B31282" w:rsidRDefault="00702AC6" w:rsidP="00D12BAD">
            <w:pPr>
              <w:pStyle w:val="COMTabletext"/>
              <w:jc w:val="center"/>
              <w:rPr>
                <w:rStyle w:val="normaltextrun"/>
              </w:rPr>
            </w:pPr>
            <w:r w:rsidRPr="00B31282">
              <w:t>59 (18.2)</w:t>
            </w:r>
          </w:p>
        </w:tc>
        <w:tc>
          <w:tcPr>
            <w:tcW w:w="761" w:type="pct"/>
            <w:vAlign w:val="center"/>
          </w:tcPr>
          <w:p w14:paraId="674C380A" w14:textId="77777777" w:rsidR="00702AC6" w:rsidRPr="00B31282" w:rsidRDefault="00702AC6" w:rsidP="00D12BAD">
            <w:pPr>
              <w:pStyle w:val="COMTabletext"/>
              <w:jc w:val="center"/>
              <w:rPr>
                <w:rStyle w:val="normaltextrun"/>
              </w:rPr>
            </w:pPr>
            <w:r w:rsidRPr="00B31282">
              <w:t>56 (17.3)</w:t>
            </w:r>
          </w:p>
        </w:tc>
        <w:tc>
          <w:tcPr>
            <w:tcW w:w="761" w:type="pct"/>
            <w:vAlign w:val="center"/>
          </w:tcPr>
          <w:p w14:paraId="720EC061" w14:textId="77777777" w:rsidR="00702AC6" w:rsidRPr="00B31282" w:rsidRDefault="00702AC6" w:rsidP="00D12BAD">
            <w:pPr>
              <w:pStyle w:val="COMTabletext"/>
              <w:jc w:val="center"/>
            </w:pPr>
            <w:r w:rsidRPr="00B31282">
              <w:t>23 (8.6)</w:t>
            </w:r>
          </w:p>
        </w:tc>
        <w:tc>
          <w:tcPr>
            <w:tcW w:w="761" w:type="pct"/>
            <w:vAlign w:val="center"/>
          </w:tcPr>
          <w:p w14:paraId="3AF746E5" w14:textId="77777777" w:rsidR="00702AC6" w:rsidRPr="00B31282" w:rsidRDefault="00702AC6" w:rsidP="00D12BAD">
            <w:pPr>
              <w:pStyle w:val="COMTabletext"/>
              <w:jc w:val="center"/>
            </w:pPr>
            <w:r w:rsidRPr="00B31282">
              <w:t>60 (22.8)</w:t>
            </w:r>
          </w:p>
        </w:tc>
      </w:tr>
    </w:tbl>
    <w:p w14:paraId="0E2D7330" w14:textId="03A201C1" w:rsidR="00702AC6" w:rsidRPr="00B31282" w:rsidRDefault="00702AC6" w:rsidP="00702AC6">
      <w:pPr>
        <w:pStyle w:val="COMTablefooter"/>
        <w:rPr>
          <w:rStyle w:val="normaltextrun"/>
        </w:rPr>
      </w:pPr>
      <w:r w:rsidRPr="00B31282">
        <w:rPr>
          <w:rStyle w:val="normaltextrun"/>
        </w:rPr>
        <w:t>Source: Table 2-43, p98 of the submission</w:t>
      </w:r>
    </w:p>
    <w:p w14:paraId="00A8B5CF" w14:textId="77777777" w:rsidR="00702AC6" w:rsidRPr="00B31282" w:rsidRDefault="00702AC6" w:rsidP="00702AC6">
      <w:pPr>
        <w:pStyle w:val="COMTablefooter"/>
      </w:pPr>
      <w:r w:rsidRPr="00B31282">
        <w:t>Abbreviations: NR, not reported</w:t>
      </w:r>
    </w:p>
    <w:p w14:paraId="7E43A741" w14:textId="5E8C2230" w:rsidR="005D26B4" w:rsidRPr="00B31282" w:rsidRDefault="1DB7BCCF" w:rsidP="00D86231">
      <w:pPr>
        <w:pStyle w:val="COMexecsumnumberedpara"/>
      </w:pPr>
      <w:r>
        <w:t>Results were generally consistent with the known adverse event profile of BTK inhibitors. Acalabrutinib and zanubrutinib treatment appear to result in fewer events of atrial fibrillation, diarrhoea and muscle spasms compared with ibrutinib in the relapsed/refractory CLL population.</w:t>
      </w:r>
    </w:p>
    <w:p w14:paraId="04908C7F" w14:textId="0778FA4B" w:rsidR="007F1017" w:rsidRPr="00B31282" w:rsidRDefault="007F1017" w:rsidP="00D86231">
      <w:pPr>
        <w:pStyle w:val="COMH2-non-numbered"/>
      </w:pPr>
      <w:bookmarkStart w:id="38" w:name="_Toc22897643"/>
      <w:bookmarkStart w:id="39" w:name="_Toc124421153"/>
      <w:r w:rsidRPr="00B31282">
        <w:t>Benefits/harms</w:t>
      </w:r>
      <w:bookmarkEnd w:id="38"/>
      <w:bookmarkEnd w:id="39"/>
    </w:p>
    <w:p w14:paraId="3B653B96" w14:textId="4922A4F4" w:rsidR="00FC1884" w:rsidRPr="00380B09" w:rsidRDefault="7CC3999B" w:rsidP="00937F0C">
      <w:pPr>
        <w:pStyle w:val="COMexecsumnumberedpara"/>
        <w:rPr>
          <w:iCs/>
        </w:rPr>
      </w:pPr>
      <w:r w:rsidRPr="6213BDFA">
        <w:rPr>
          <w:snapToGrid/>
        </w:rPr>
        <w:t xml:space="preserve">A benefits and harms table </w:t>
      </w:r>
      <w:r w:rsidR="7EB75D26" w:rsidRPr="6213BDFA">
        <w:rPr>
          <w:snapToGrid/>
        </w:rPr>
        <w:t>wa</w:t>
      </w:r>
      <w:r w:rsidRPr="6213BDFA">
        <w:rPr>
          <w:snapToGrid/>
        </w:rPr>
        <w:t>s not presented as the submission made a claim of non-inferiority.</w:t>
      </w:r>
      <w:r w:rsidR="397CA996" w:rsidRPr="00380B09">
        <w:rPr>
          <w:iCs/>
          <w:snapToGrid/>
        </w:rPr>
        <w:t xml:space="preserve"> </w:t>
      </w:r>
      <w:r w:rsidR="6F548678" w:rsidRPr="00380B09">
        <w:rPr>
          <w:iCs/>
          <w:snapToGrid/>
        </w:rPr>
        <w:t> </w:t>
      </w:r>
    </w:p>
    <w:p w14:paraId="7A1772B6" w14:textId="23BB3145" w:rsidR="00B60939" w:rsidRPr="00B31282" w:rsidRDefault="00B60939" w:rsidP="00E9094A">
      <w:pPr>
        <w:pStyle w:val="COMH2-non-numbered"/>
      </w:pPr>
      <w:bookmarkStart w:id="40" w:name="_Toc22897644"/>
      <w:bookmarkStart w:id="41" w:name="_Toc124421154"/>
      <w:r w:rsidRPr="00B31282">
        <w:t>Clinical claim</w:t>
      </w:r>
      <w:bookmarkEnd w:id="40"/>
      <w:bookmarkEnd w:id="41"/>
    </w:p>
    <w:p w14:paraId="42C796D4" w14:textId="39D99BAA" w:rsidR="00630215" w:rsidRPr="00FF1688" w:rsidRDefault="3C15833C" w:rsidP="00630215">
      <w:pPr>
        <w:pStyle w:val="COMexecsumnumberedpara"/>
        <w:rPr>
          <w:iCs/>
        </w:rPr>
      </w:pPr>
      <w:r>
        <w:t>The submission described zanubrutinib as non-inferior in terms of effectiveness and safety compared to ibrutinib. Th</w:t>
      </w:r>
      <w:r w:rsidR="008C79BB">
        <w:t>e evaluation and the ESC considered this</w:t>
      </w:r>
      <w:r>
        <w:t xml:space="preserve"> was reasonable.</w:t>
      </w:r>
    </w:p>
    <w:p w14:paraId="5866EBAD" w14:textId="6478BB89" w:rsidR="00FF1688" w:rsidRPr="00FF1688" w:rsidRDefault="00FF1688" w:rsidP="00FF1688">
      <w:pPr>
        <w:pStyle w:val="COMexecsumnumberedpara"/>
        <w:rPr>
          <w:iCs/>
        </w:rPr>
      </w:pPr>
      <w:r w:rsidRPr="00FF1688">
        <w:rPr>
          <w:iCs/>
        </w:rPr>
        <w:t xml:space="preserve">The PBAC considered that the </w:t>
      </w:r>
      <w:r w:rsidR="0093753E">
        <w:rPr>
          <w:iCs/>
        </w:rPr>
        <w:t>clinical claims of non-inferior effectiveness and safety for</w:t>
      </w:r>
      <w:r w:rsidRPr="00FF1688">
        <w:rPr>
          <w:iCs/>
        </w:rPr>
        <w:t xml:space="preserve"> zanubrutinib </w:t>
      </w:r>
      <w:r w:rsidR="0093753E">
        <w:rPr>
          <w:iCs/>
        </w:rPr>
        <w:t>versus ibrutinib were</w:t>
      </w:r>
      <w:r w:rsidRPr="00FF1688">
        <w:rPr>
          <w:iCs/>
        </w:rPr>
        <w:t xml:space="preserve"> reasonably supported by the data. </w:t>
      </w:r>
    </w:p>
    <w:p w14:paraId="73D3BEB9" w14:textId="5B48CC9A" w:rsidR="00630215" w:rsidRPr="00211824" w:rsidRDefault="3C15833C" w:rsidP="00630215">
      <w:pPr>
        <w:pStyle w:val="COMexecsumnumberedpara"/>
      </w:pPr>
      <w:r>
        <w:t xml:space="preserve">The submission described zanubrutinib as non-inferior in terms of effectiveness and safety compared to acalabrutinib. </w:t>
      </w:r>
      <w:r w:rsidR="00D726A4" w:rsidRPr="009F171F">
        <w:rPr>
          <w:iCs/>
        </w:rPr>
        <w:t>The ESC, while acknowledging there was a high level of uncertainty, supported the clinical claim that zanubrutinib is non-inferior to acalabrutinib.</w:t>
      </w:r>
    </w:p>
    <w:p w14:paraId="78F31F35" w14:textId="1A0CE6C8" w:rsidR="00211824" w:rsidRDefault="00211824" w:rsidP="00211824">
      <w:pPr>
        <w:pStyle w:val="COMexecsumnumberedpara"/>
      </w:pPr>
      <w:r>
        <w:t xml:space="preserve">The PBAC considered that the </w:t>
      </w:r>
      <w:r w:rsidR="0093753E">
        <w:t xml:space="preserve">clinical </w:t>
      </w:r>
      <w:r>
        <w:t>claim</w:t>
      </w:r>
      <w:r w:rsidR="0093753E">
        <w:t xml:space="preserve">s of non-inferior effectiveness and safety for </w:t>
      </w:r>
      <w:r>
        <w:t xml:space="preserve">zanubrutinib </w:t>
      </w:r>
      <w:r w:rsidR="0093753E">
        <w:t>versus</w:t>
      </w:r>
      <w:r>
        <w:t xml:space="preserve"> acalabrutinib w</w:t>
      </w:r>
      <w:r w:rsidR="0093753E">
        <w:t>ere</w:t>
      </w:r>
      <w:r>
        <w:t xml:space="preserve"> reasonably supported by the data, but with a high level of uncertainty.</w:t>
      </w:r>
    </w:p>
    <w:p w14:paraId="74A1172E" w14:textId="128C170E" w:rsidR="00B60939" w:rsidRPr="00B31282" w:rsidRDefault="00B60939" w:rsidP="00E9094A">
      <w:pPr>
        <w:pStyle w:val="COMH2-non-numbered"/>
      </w:pPr>
      <w:bookmarkStart w:id="42" w:name="_Toc22897645"/>
      <w:bookmarkStart w:id="43" w:name="_Toc124421155"/>
      <w:r w:rsidRPr="00B31282">
        <w:t>Economic analysis</w:t>
      </w:r>
      <w:bookmarkEnd w:id="42"/>
      <w:bookmarkEnd w:id="43"/>
      <w:r w:rsidR="00491B3A" w:rsidRPr="00B31282">
        <w:t xml:space="preserve"> </w:t>
      </w:r>
    </w:p>
    <w:p w14:paraId="53F4667F" w14:textId="14FD5051" w:rsidR="006B7CCD" w:rsidRPr="00B31282" w:rsidRDefault="7CCEC82B" w:rsidP="006B7CCD">
      <w:pPr>
        <w:pStyle w:val="COMexecsumnumberedpara"/>
      </w:pPr>
      <w:r>
        <w:t xml:space="preserve">The submission presented a cost-minimisation approach of zanubrutinib versus ibrutinib based on the claim of non-inferior effectiveness and safety. </w:t>
      </w:r>
    </w:p>
    <w:p w14:paraId="4A0CF775" w14:textId="77777777" w:rsidR="006B7CCD" w:rsidRPr="00B31282" w:rsidRDefault="7CCEC82B" w:rsidP="006B7CCD">
      <w:pPr>
        <w:pStyle w:val="COMexecsumnumberedpara"/>
      </w:pPr>
      <w:r>
        <w:t xml:space="preserve">The submission proposed the following equi-effective doses:  </w:t>
      </w:r>
    </w:p>
    <w:p w14:paraId="28C3299D" w14:textId="77777777" w:rsidR="00266E53" w:rsidRPr="00B31282" w:rsidRDefault="00266E53" w:rsidP="00452A51">
      <w:pPr>
        <w:pStyle w:val="COMexecsummbulletlist"/>
        <w:numPr>
          <w:ilvl w:val="0"/>
          <w:numId w:val="8"/>
        </w:numPr>
      </w:pPr>
      <w:r w:rsidRPr="00B31282">
        <w:t>Zanubrutinib 320 mg once daily or 160 mg twice daily is equi-effective to ibrutinib 420 mg once daily.</w:t>
      </w:r>
    </w:p>
    <w:p w14:paraId="5ADEC6ED" w14:textId="77777777" w:rsidR="003C7CD9" w:rsidRPr="00B31282" w:rsidRDefault="69AE8811" w:rsidP="003C7CD9">
      <w:pPr>
        <w:pStyle w:val="COMexecsumnumberedpara"/>
      </w:pPr>
      <w:r>
        <w:t xml:space="preserve">The equi-effective doses were based on the doses of zanubrutinib and ibrutinib used in the ALPINE trial. These doses were consistent with the doses recommended in the respective Product Information documents. For both zanubrutinib and ibrutinib, treatment is recommended to continue until disease progression or unacceptable toxicity. </w:t>
      </w:r>
    </w:p>
    <w:p w14:paraId="6E7E2342" w14:textId="2F171E7E" w:rsidR="006B7CCD" w:rsidRPr="00B31282" w:rsidRDefault="153E14D6" w:rsidP="006B7CCD">
      <w:pPr>
        <w:pStyle w:val="COMexecsumnumberedpara"/>
      </w:pPr>
      <w:r>
        <w:t>The overall median treatment durations in ALPINE were 23.8</w:t>
      </w:r>
      <w:r w:rsidR="7B85EEC5">
        <w:t>2</w:t>
      </w:r>
      <w:r>
        <w:t xml:space="preserve"> months in the zanubrutinib arm and 17.7</w:t>
      </w:r>
      <w:r w:rsidR="7B85EEC5">
        <w:t>3</w:t>
      </w:r>
      <w:r>
        <w:t xml:space="preserve"> months in the ibrutinib arm at a follow-up time of 22.1 months. The submission acknowledged that the follow-up time of 22.1 months in the ALPINE trial is too short to derive true mean treatment durations for both treatments, but stated that it is expected the actual treatment duration of zanubrutinib would be equal to ibrutinib (and also acalabrutinib) in clinical practice. The cost-minimisation, based on equivalent costs of 30 days of treatment, assume</w:t>
      </w:r>
      <w:r w:rsidR="00EC0B9D">
        <w:t>d</w:t>
      </w:r>
      <w:r>
        <w:t xml:space="preserve"> equivalent treatment duration. </w:t>
      </w:r>
      <w:r w:rsidR="5221A4B2">
        <w:t>The PBAC previously considered that for the indication of relapsed/refractory CLL/SLL, the duration of treatment for acalabrutinib (in the cost minimisation approach) should equal that which was accepted for ibrutinib at the time of its PBS listing (para</w:t>
      </w:r>
      <w:r w:rsidR="006647F2">
        <w:t>graph</w:t>
      </w:r>
      <w:r w:rsidR="5221A4B2">
        <w:t xml:space="preserve"> 7.11, acalabrutinib PSD, March 2020 PBAC meeting).</w:t>
      </w:r>
    </w:p>
    <w:p w14:paraId="573D2940" w14:textId="1DC3354A" w:rsidR="00993B8A" w:rsidRPr="00B31282" w:rsidRDefault="5A88AB04" w:rsidP="006B7CCD">
      <w:pPr>
        <w:pStyle w:val="COMexecsumnumberedpara"/>
      </w:pPr>
      <w:r>
        <w:t>Treatment costs of adverse events that occurred at an incidence difference of ≥ 5% between the 2 arms in the ALPINE trial were included as a supplementary analysis to demonstrate potential cost savings associated with listing zanubrutinib to the healthcare system.</w:t>
      </w:r>
      <w:r w:rsidR="5F0ACD32">
        <w:t xml:space="preserve"> </w:t>
      </w:r>
    </w:p>
    <w:p w14:paraId="32348D51" w14:textId="6AA226AE" w:rsidR="00783B89" w:rsidRPr="00B31282" w:rsidRDefault="5FA62E64" w:rsidP="006B7CCD">
      <w:pPr>
        <w:pStyle w:val="COMexecsumnumberedpara"/>
      </w:pPr>
      <w:r w:rsidRPr="6213BDFA">
        <w:rPr>
          <w:rFonts w:cs="Calibri"/>
          <w:color w:val="000000" w:themeColor="text1"/>
        </w:rPr>
        <w:t>The submission noted that ibrutinib is subject to a special pricing arrangement and requested a special pricing arrangement to match the ibrutinib effective price</w:t>
      </w:r>
      <w:r w:rsidRPr="6213BDFA">
        <w:rPr>
          <w:color w:val="3366FF"/>
        </w:rPr>
        <w:t xml:space="preserve">. </w:t>
      </w:r>
      <w:r w:rsidRPr="6213BDFA">
        <w:rPr>
          <w:rFonts w:cs="Calibri"/>
          <w:color w:val="000000" w:themeColor="text1"/>
        </w:rPr>
        <w:t xml:space="preserve">A cost minimisation based on the effective price of ibrutinib is presented in the Committee-in-Confidence section of the </w:t>
      </w:r>
      <w:r w:rsidR="004F48A3">
        <w:rPr>
          <w:rFonts w:cs="Calibri"/>
          <w:color w:val="000000" w:themeColor="text1"/>
        </w:rPr>
        <w:t>ESC advice</w:t>
      </w:r>
      <w:r w:rsidRPr="6213BDFA">
        <w:rPr>
          <w:rFonts w:cs="Calibri"/>
          <w:color w:val="000000" w:themeColor="text1"/>
        </w:rPr>
        <w:t>. </w:t>
      </w:r>
    </w:p>
    <w:p w14:paraId="79A635C3" w14:textId="62DCB1A3" w:rsidR="009F2B4C" w:rsidRPr="00B31282" w:rsidRDefault="009F2B4C" w:rsidP="006B7CCD">
      <w:pPr>
        <w:pStyle w:val="COMexecsumnumberedpara"/>
      </w:pPr>
      <w:r>
        <w:fldChar w:fldCharType="begin"/>
      </w:r>
      <w:r>
        <w:instrText xml:space="preserve"> REF _Ref121759609 \h </w:instrText>
      </w:r>
      <w:r>
        <w:fldChar w:fldCharType="separate"/>
      </w:r>
      <w:r w:rsidR="00472981" w:rsidRPr="00B31282">
        <w:t xml:space="preserve">Table </w:t>
      </w:r>
      <w:r w:rsidR="00472981">
        <w:rPr>
          <w:noProof/>
        </w:rPr>
        <w:t>14</w:t>
      </w:r>
      <w:r>
        <w:fldChar w:fldCharType="end"/>
      </w:r>
      <w:r w:rsidR="27A459D9">
        <w:t xml:space="preserve"> presents the derivation of the cost-minimised price for zanubrutinib based on the ibrutinib published price.</w:t>
      </w:r>
    </w:p>
    <w:p w14:paraId="60E67127" w14:textId="050872C0" w:rsidR="00783B89" w:rsidRPr="00B31282" w:rsidRDefault="00CF76BB" w:rsidP="0093286A">
      <w:pPr>
        <w:pStyle w:val="Caption"/>
        <w:rPr>
          <w:rFonts w:ascii="Segoe UI" w:hAnsi="Segoe UI"/>
          <w:sz w:val="18"/>
          <w:szCs w:val="18"/>
        </w:rPr>
      </w:pPr>
      <w:bookmarkStart w:id="44" w:name="_Ref121759609"/>
      <w:r w:rsidRPr="00B31282">
        <w:t xml:space="preserve">Table </w:t>
      </w:r>
      <w:r>
        <w:fldChar w:fldCharType="begin"/>
      </w:r>
      <w:r>
        <w:instrText>SEQ Table \* ARABIC</w:instrText>
      </w:r>
      <w:r>
        <w:fldChar w:fldCharType="separate"/>
      </w:r>
      <w:r w:rsidR="00472981">
        <w:rPr>
          <w:noProof/>
        </w:rPr>
        <w:t>14</w:t>
      </w:r>
      <w:r>
        <w:fldChar w:fldCharType="end"/>
      </w:r>
      <w:bookmarkEnd w:id="44"/>
      <w:r w:rsidR="00783B89" w:rsidRPr="00B31282">
        <w:t>: Derivation of the cost-minimised price for zanubrutinib based on the ibrutinib published price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2552"/>
        <w:gridCol w:w="3024"/>
      </w:tblGrid>
      <w:tr w:rsidR="00783B89" w:rsidRPr="00B31282" w14:paraId="007DE2FE" w14:textId="77777777" w:rsidTr="00BD68E6">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FBDAA" w14:textId="77777777" w:rsidR="00783B89" w:rsidRPr="00B31282" w:rsidRDefault="00783B89" w:rsidP="00CF76BB">
            <w:pPr>
              <w:keepNext/>
              <w:keepLines/>
              <w:textAlignment w:val="baseline"/>
              <w:rPr>
                <w:rFonts w:ascii="Times New Roman" w:hAnsi="Times New Roman" w:cs="Times New Roman"/>
              </w:rPr>
            </w:pPr>
            <w:r w:rsidRPr="00B31282">
              <w:rPr>
                <w:rFonts w:ascii="Arial Narrow" w:hAnsi="Arial Narrow" w:cs="Times New Roman"/>
                <w:sz w:val="20"/>
                <w:szCs w:val="20"/>
              </w:rPr>
              <w:t>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BC3BA" w14:textId="77777777" w:rsidR="00783B89" w:rsidRPr="00B31282" w:rsidRDefault="00783B89" w:rsidP="00CF76BB">
            <w:pPr>
              <w:keepNext/>
              <w:keepLines/>
              <w:jc w:val="center"/>
              <w:textAlignment w:val="baseline"/>
              <w:rPr>
                <w:rFonts w:ascii="Times New Roman" w:hAnsi="Times New Roman" w:cs="Times New Roman"/>
              </w:rPr>
            </w:pPr>
            <w:r w:rsidRPr="00B31282">
              <w:rPr>
                <w:rFonts w:ascii="Arial Narrow" w:hAnsi="Arial Narrow" w:cs="Times New Roman"/>
                <w:b/>
                <w:bCs/>
                <w:sz w:val="20"/>
                <w:szCs w:val="20"/>
              </w:rPr>
              <w:t>Ibrutinib</w:t>
            </w:r>
          </w:p>
        </w:tc>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08D6A" w14:textId="77777777" w:rsidR="00783B89" w:rsidRPr="00B31282" w:rsidRDefault="00783B89" w:rsidP="00CF76BB">
            <w:pPr>
              <w:keepNext/>
              <w:keepLines/>
              <w:jc w:val="center"/>
              <w:textAlignment w:val="baseline"/>
              <w:rPr>
                <w:rFonts w:ascii="Times New Roman" w:hAnsi="Times New Roman" w:cs="Times New Roman"/>
              </w:rPr>
            </w:pPr>
            <w:r w:rsidRPr="00B31282">
              <w:rPr>
                <w:rFonts w:ascii="Arial Narrow" w:hAnsi="Arial Narrow" w:cs="Times New Roman"/>
                <w:b/>
                <w:bCs/>
                <w:sz w:val="20"/>
                <w:szCs w:val="20"/>
              </w:rPr>
              <w:t>Zanubrutinib</w:t>
            </w:r>
            <w:r w:rsidRPr="00B31282">
              <w:rPr>
                <w:rFonts w:ascii="Arial Narrow" w:hAnsi="Arial Narrow" w:cs="Times New Roman"/>
                <w:sz w:val="20"/>
                <w:szCs w:val="20"/>
              </w:rPr>
              <w:t> </w:t>
            </w:r>
          </w:p>
        </w:tc>
      </w:tr>
      <w:tr w:rsidR="00783B89" w:rsidRPr="00B31282" w14:paraId="3A23FF6E" w14:textId="77777777" w:rsidTr="00BD68E6">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9E8B0" w14:textId="77777777" w:rsidR="00783B89" w:rsidRPr="00B31282" w:rsidRDefault="00783B89" w:rsidP="00CF76BB">
            <w:pPr>
              <w:keepNext/>
              <w:keepLines/>
              <w:textAlignment w:val="baseline"/>
              <w:rPr>
                <w:rFonts w:ascii="Times New Roman" w:hAnsi="Times New Roman" w:cs="Times New Roman"/>
              </w:rPr>
            </w:pPr>
            <w:r w:rsidRPr="00B31282">
              <w:rPr>
                <w:rFonts w:ascii="Arial Narrow" w:hAnsi="Arial Narrow" w:cs="Times New Roman"/>
                <w:sz w:val="20"/>
                <w:szCs w:val="20"/>
              </w:rPr>
              <w:t>Proposed equi-effective dose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2D832" w14:textId="221331BB" w:rsidR="00783B89" w:rsidRPr="00B31282" w:rsidRDefault="00783B89" w:rsidP="00CF76BB">
            <w:pPr>
              <w:keepNext/>
              <w:keepLines/>
              <w:jc w:val="center"/>
              <w:textAlignment w:val="baseline"/>
              <w:rPr>
                <w:rFonts w:ascii="Times New Roman" w:hAnsi="Times New Roman" w:cs="Times New Roman"/>
              </w:rPr>
            </w:pPr>
            <w:r w:rsidRPr="00B31282">
              <w:rPr>
                <w:rFonts w:ascii="Arial Narrow" w:hAnsi="Arial Narrow" w:cs="Times New Roman"/>
                <w:sz w:val="20"/>
                <w:szCs w:val="20"/>
              </w:rPr>
              <w:t>420 mg daily  </w:t>
            </w:r>
          </w:p>
        </w:tc>
        <w:tc>
          <w:tcPr>
            <w:tcW w:w="30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CFA1E" w14:textId="0F22C09F" w:rsidR="00783B89" w:rsidRPr="00B31282" w:rsidRDefault="00783B89" w:rsidP="00BD68E6">
            <w:pPr>
              <w:keepNext/>
              <w:keepLines/>
              <w:jc w:val="center"/>
              <w:textAlignment w:val="baseline"/>
              <w:rPr>
                <w:rFonts w:ascii="Times New Roman" w:hAnsi="Times New Roman" w:cs="Times New Roman"/>
              </w:rPr>
            </w:pPr>
            <w:r w:rsidRPr="00B31282">
              <w:rPr>
                <w:rFonts w:ascii="Arial Narrow" w:hAnsi="Arial Narrow" w:cs="Times New Roman"/>
                <w:sz w:val="20"/>
                <w:szCs w:val="20"/>
              </w:rPr>
              <w:t>320 mg once daily or 160 mg twice daily</w:t>
            </w:r>
          </w:p>
        </w:tc>
      </w:tr>
      <w:tr w:rsidR="00783B89" w:rsidRPr="00B31282" w14:paraId="1C06FAB9" w14:textId="77777777" w:rsidTr="00BD68E6">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120AF116" w14:textId="77777777" w:rsidR="00783B89" w:rsidRPr="00B31282" w:rsidRDefault="00783B89" w:rsidP="00CF76BB">
            <w:pPr>
              <w:pStyle w:val="COMTabletext"/>
              <w:keepLines/>
            </w:pPr>
            <w:r w:rsidRPr="00B31282">
              <w:t>Pack quantity (30 days treatment)</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48CF8F77" w14:textId="77777777" w:rsidR="00783B89" w:rsidRPr="00B31282" w:rsidRDefault="00783B89" w:rsidP="00CF76BB">
            <w:pPr>
              <w:pStyle w:val="COMTabletext"/>
              <w:keepLines/>
              <w:jc w:val="center"/>
            </w:pPr>
            <w:r w:rsidRPr="00B31282">
              <w:t>90</w:t>
            </w:r>
          </w:p>
        </w:tc>
        <w:tc>
          <w:tcPr>
            <w:tcW w:w="3024" w:type="dxa"/>
            <w:tcBorders>
              <w:top w:val="single" w:sz="6" w:space="0" w:color="auto"/>
              <w:left w:val="single" w:sz="6" w:space="0" w:color="auto"/>
              <w:bottom w:val="single" w:sz="6" w:space="0" w:color="auto"/>
              <w:right w:val="single" w:sz="6" w:space="0" w:color="auto"/>
            </w:tcBorders>
            <w:shd w:val="clear" w:color="auto" w:fill="auto"/>
            <w:vAlign w:val="center"/>
          </w:tcPr>
          <w:p w14:paraId="5DBFA417" w14:textId="77777777" w:rsidR="00783B89" w:rsidRPr="00B31282" w:rsidRDefault="00783B89" w:rsidP="00CF76BB">
            <w:pPr>
              <w:pStyle w:val="COMTabletext"/>
              <w:keepLines/>
              <w:jc w:val="center"/>
            </w:pPr>
            <w:r w:rsidRPr="00B31282">
              <w:t>120</w:t>
            </w:r>
          </w:p>
        </w:tc>
      </w:tr>
      <w:tr w:rsidR="00783B89" w:rsidRPr="00B31282" w14:paraId="3FCF4625" w14:textId="77777777" w:rsidTr="00BD68E6">
        <w:tc>
          <w:tcPr>
            <w:tcW w:w="3394" w:type="dxa"/>
            <w:tcBorders>
              <w:top w:val="single" w:sz="6" w:space="0" w:color="auto"/>
              <w:left w:val="single" w:sz="6" w:space="0" w:color="auto"/>
              <w:bottom w:val="single" w:sz="6" w:space="0" w:color="auto"/>
              <w:right w:val="single" w:sz="6" w:space="0" w:color="auto"/>
            </w:tcBorders>
            <w:shd w:val="clear" w:color="auto" w:fill="auto"/>
            <w:vAlign w:val="center"/>
          </w:tcPr>
          <w:p w14:paraId="52CD420E" w14:textId="77777777" w:rsidR="00783B89" w:rsidRPr="00B31282" w:rsidRDefault="00783B89" w:rsidP="00CF76BB">
            <w:pPr>
              <w:pStyle w:val="COMTabletext"/>
              <w:keepLines/>
              <w:rPr>
                <w:vertAlign w:val="superscript"/>
              </w:rPr>
            </w:pPr>
            <w:r w:rsidRPr="00B31282">
              <w:t>AEMP (published)</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276BEB6E" w14:textId="77777777" w:rsidR="00783B89" w:rsidRPr="00B31282" w:rsidRDefault="00783B89" w:rsidP="00CF76BB">
            <w:pPr>
              <w:pStyle w:val="COMTabletext"/>
              <w:keepLines/>
              <w:jc w:val="center"/>
            </w:pPr>
            <w:r w:rsidRPr="00B31282">
              <w:t>$8,633.29</w:t>
            </w:r>
          </w:p>
        </w:tc>
        <w:tc>
          <w:tcPr>
            <w:tcW w:w="3024" w:type="dxa"/>
            <w:tcBorders>
              <w:top w:val="single" w:sz="6" w:space="0" w:color="auto"/>
              <w:left w:val="single" w:sz="6" w:space="0" w:color="auto"/>
              <w:bottom w:val="single" w:sz="6" w:space="0" w:color="auto"/>
              <w:right w:val="single" w:sz="6" w:space="0" w:color="auto"/>
            </w:tcBorders>
            <w:shd w:val="clear" w:color="auto" w:fill="auto"/>
            <w:vAlign w:val="center"/>
          </w:tcPr>
          <w:p w14:paraId="7233945A" w14:textId="77777777" w:rsidR="00783B89" w:rsidRPr="00B31282" w:rsidRDefault="00783B89" w:rsidP="00CF76BB">
            <w:pPr>
              <w:pStyle w:val="COMTabletext"/>
              <w:keepLines/>
              <w:jc w:val="center"/>
            </w:pPr>
            <w:r w:rsidRPr="00B31282">
              <w:t>$8,633.29</w:t>
            </w:r>
          </w:p>
        </w:tc>
      </w:tr>
    </w:tbl>
    <w:p w14:paraId="78CF14C0" w14:textId="7929EEE0" w:rsidR="00783B89" w:rsidRPr="00B31282" w:rsidRDefault="00783B89" w:rsidP="00CF76BB">
      <w:pPr>
        <w:pStyle w:val="COMTablefooter"/>
        <w:keepNext/>
        <w:keepLines/>
      </w:pPr>
      <w:r w:rsidRPr="00B31282">
        <w:t>Source: Table 3-8, p113 of the submission</w:t>
      </w:r>
    </w:p>
    <w:p w14:paraId="3B5C0C6D" w14:textId="77777777" w:rsidR="00783B89" w:rsidRPr="00B31282" w:rsidRDefault="00783B89" w:rsidP="00783B89">
      <w:pPr>
        <w:pStyle w:val="COMTablefooter"/>
        <w:rPr>
          <w:rFonts w:ascii="Segoe UI" w:hAnsi="Segoe UI"/>
        </w:rPr>
      </w:pPr>
      <w:r w:rsidRPr="00B31282">
        <w:t>Abbreviations: AEMP, approved ex-manufacturer price; DPMQ, dispensed price for maximum quantity. </w:t>
      </w:r>
    </w:p>
    <w:p w14:paraId="57BF8CBD" w14:textId="057A6BAB" w:rsidR="00DE4273" w:rsidRPr="00B31282" w:rsidRDefault="1CA6E2F8" w:rsidP="00783B89">
      <w:pPr>
        <w:pStyle w:val="COMexecsumnumberedpara"/>
      </w:pPr>
      <w:r>
        <w:t>Based on the published price of ibrutinib, the cost-minimised DPMQ for zanubrutinib was $8,794.57.</w:t>
      </w:r>
    </w:p>
    <w:p w14:paraId="7E73ED9A" w14:textId="6588E398" w:rsidR="00502326" w:rsidRDefault="42A244E7" w:rsidP="00783B89">
      <w:pPr>
        <w:pStyle w:val="COMexecsumnumberedpara"/>
      </w:pPr>
      <w:r>
        <w:t>The submission estimated annual savings of $53.79 per patient ($4.42 per month) associated with the different adverse event profiles of zanubrutinib versus ibrutinib</w:t>
      </w:r>
      <w:r w:rsidR="00CD2460">
        <w:t xml:space="preserve"> as a supplementary analysis</w:t>
      </w:r>
      <w:r>
        <w:t xml:space="preserve">. Given the uncertainty associated with adverse event rates in clinical practice compared with the trial setting, the exclusion of adverse event costs from the </w:t>
      </w:r>
      <w:r w:rsidR="00864D4D">
        <w:t xml:space="preserve">base case </w:t>
      </w:r>
      <w:r>
        <w:t>cost-minimisation was appropriate. </w:t>
      </w:r>
    </w:p>
    <w:p w14:paraId="1BA6EA67" w14:textId="69B2E216" w:rsidR="00F62AC9" w:rsidRPr="00F62AC9" w:rsidRDefault="00036E43" w:rsidP="00D12BAD">
      <w:pPr>
        <w:pStyle w:val="COMexecsumnumberedpara"/>
      </w:pPr>
      <w:r>
        <w:t>Based on</w:t>
      </w:r>
      <w:r w:rsidR="316886D1">
        <w:t xml:space="preserve"> the evidence provided, the submission claimed </w:t>
      </w:r>
      <w:r w:rsidR="6E34A3B7">
        <w:t xml:space="preserve">that </w:t>
      </w:r>
      <w:r w:rsidR="46914DC6">
        <w:t xml:space="preserve">zanubrutinib is non-inferior in terms of effectiveness and safety compared to both ibrutinib </w:t>
      </w:r>
      <w:r w:rsidR="4298AED8">
        <w:t xml:space="preserve">and acalabrutinib. </w:t>
      </w:r>
      <w:r w:rsidR="316886D1">
        <w:t>An economic evaluation comparing zanubrutinib with acalabrutinib was not presented</w:t>
      </w:r>
      <w:r w:rsidR="4D10290D">
        <w:t xml:space="preserve"> and e</w:t>
      </w:r>
      <w:r w:rsidR="4298AED8">
        <w:t>qui-effective doses were not provided in the submission</w:t>
      </w:r>
      <w:r w:rsidR="46914DC6">
        <w:t xml:space="preserve">. Based on recommended doses, the equi-effective doses would be zanubrutinib 320 mg once daily or 160 mg twice daily is equi-effective to acalabrutinib 100 mg twice daily, </w:t>
      </w:r>
      <w:r w:rsidR="4298AED8">
        <w:t>if non-inferiority is accepted.</w:t>
      </w:r>
      <w:bookmarkStart w:id="45" w:name="_Toc22897646"/>
    </w:p>
    <w:p w14:paraId="472842D7" w14:textId="7B2A2A55" w:rsidR="00C25D9C" w:rsidRPr="00B31282" w:rsidRDefault="00C25D9C" w:rsidP="00F62AC9">
      <w:pPr>
        <w:pStyle w:val="COMH2-non-numbered"/>
      </w:pPr>
      <w:bookmarkStart w:id="46" w:name="_Toc124421156"/>
      <w:r w:rsidRPr="00B31282">
        <w:t>Drug cost/patient/year</w:t>
      </w:r>
      <w:bookmarkEnd w:id="45"/>
      <w:bookmarkEnd w:id="46"/>
    </w:p>
    <w:p w14:paraId="4C1BD211" w14:textId="0E985005" w:rsidR="00232B10" w:rsidRPr="00B31282" w:rsidRDefault="00CD2460" w:rsidP="00232B10">
      <w:pPr>
        <w:pStyle w:val="COMexecsumnumberedpara"/>
      </w:pPr>
      <w:bookmarkStart w:id="47" w:name="_Ref104805102"/>
      <w:r>
        <w:t>Based on published prices, t</w:t>
      </w:r>
      <w:r w:rsidR="52FF72F4">
        <w:t>he drug cost per patient per year for zanubrutinib is $</w:t>
      </w:r>
      <w:r w:rsidR="02846AB0">
        <w:t>107,073.89</w:t>
      </w:r>
      <w:r w:rsidR="52FF72F4">
        <w:t xml:space="preserve"> (based on the proposed published DPMQ of $</w:t>
      </w:r>
      <w:r w:rsidR="4B255DDE">
        <w:t>8,794.57</w:t>
      </w:r>
      <w:r w:rsidR="52FF72F4">
        <w:t xml:space="preserve"> </w:t>
      </w:r>
      <w:r w:rsidR="55D7C982">
        <w:t>×</w:t>
      </w:r>
      <w:r w:rsidR="52FF72F4">
        <w:t xml:space="preserve"> 12.175 scripts per year). </w:t>
      </w:r>
    </w:p>
    <w:p w14:paraId="67A1F8B4" w14:textId="7797265C" w:rsidR="00232B10" w:rsidRPr="00B31282" w:rsidRDefault="52FF72F4" w:rsidP="00232B10">
      <w:pPr>
        <w:pStyle w:val="COMexecsumnumberedpara"/>
      </w:pPr>
      <w:r>
        <w:t>The drug cost per patient per year for ibrutinib is $</w:t>
      </w:r>
      <w:r w:rsidR="02846AB0">
        <w:t xml:space="preserve">107,073.89 </w:t>
      </w:r>
      <w:r>
        <w:t xml:space="preserve">(based on the published DPMQ of </w:t>
      </w:r>
      <w:r w:rsidR="4B255DDE">
        <w:t xml:space="preserve">$8,794.57 </w:t>
      </w:r>
      <w:r w:rsidR="55D7C982">
        <w:t>×</w:t>
      </w:r>
      <w:r>
        <w:t xml:space="preserve"> 12.175 scripts per year).</w:t>
      </w:r>
    </w:p>
    <w:p w14:paraId="3DBFE151" w14:textId="2DFA3E1E" w:rsidR="00494207" w:rsidRPr="00B31282" w:rsidRDefault="52FF72F4" w:rsidP="00232B10">
      <w:pPr>
        <w:pStyle w:val="COMexecsumnumberedpara"/>
        <w:rPr>
          <w:snapToGrid/>
        </w:rPr>
      </w:pPr>
      <w:r>
        <w:t xml:space="preserve">Treatment adherence and persistence were not explicitly included in the cost minimisation or financial implications, as zanubrutinib was assumed to directly substitute for ibrutinib scripts. </w:t>
      </w:r>
      <w:bookmarkStart w:id="48" w:name="_Hlk107307804"/>
      <w:bookmarkEnd w:id="47"/>
    </w:p>
    <w:p w14:paraId="742DC3E9" w14:textId="362F1264" w:rsidR="00254490" w:rsidRPr="00B31282" w:rsidRDefault="7C6C700F" w:rsidP="00232B10">
      <w:pPr>
        <w:pStyle w:val="COMexecsumnumberedpara"/>
        <w:rPr>
          <w:snapToGrid/>
        </w:rPr>
      </w:pPr>
      <w:r w:rsidRPr="00B31282">
        <w:rPr>
          <w:snapToGrid/>
        </w:rPr>
        <w:t>The effective price of ibrutinib for relapsed/refractory CLL/SLL is unknown to the sponsor, however the submission noted that the sponsor would be willing to adopt the effective price for ibrutinib.</w:t>
      </w:r>
    </w:p>
    <w:p w14:paraId="268768EF" w14:textId="3626F292" w:rsidR="00B60939" w:rsidRPr="00B31282" w:rsidRDefault="00B60939" w:rsidP="002B05A1">
      <w:pPr>
        <w:pStyle w:val="COMH2-non-numbered"/>
      </w:pPr>
      <w:bookmarkStart w:id="49" w:name="_Toc22897647"/>
      <w:bookmarkStart w:id="50" w:name="_Toc124421157"/>
      <w:bookmarkEnd w:id="48"/>
      <w:r w:rsidRPr="00B31282">
        <w:t>Estimated PBS usage &amp; financial implications</w:t>
      </w:r>
      <w:bookmarkEnd w:id="49"/>
      <w:bookmarkEnd w:id="50"/>
    </w:p>
    <w:p w14:paraId="2BB1BDAB" w14:textId="5CFA366A" w:rsidR="002D359C" w:rsidRPr="00783786" w:rsidRDefault="7957BE76" w:rsidP="002B05A1">
      <w:pPr>
        <w:pStyle w:val="COMexecsumnumberedpara"/>
        <w:rPr>
          <w:color w:val="0066FF"/>
        </w:rPr>
      </w:pPr>
      <w:r>
        <w:t xml:space="preserve">This submission </w:t>
      </w:r>
      <w:r w:rsidR="6D85CE62">
        <w:t>was not</w:t>
      </w:r>
      <w:r>
        <w:t xml:space="preserve"> considered by DUSC. The submission used a market-share approach to estimate the utilisation and financial impacts associated with the PBS listing of zanubrutinib. The sources of data used in the financial estimates are presented in </w:t>
      </w:r>
      <w:r w:rsidR="002D359C">
        <w:fldChar w:fldCharType="begin"/>
      </w:r>
      <w:r w:rsidR="002D359C">
        <w:instrText xml:space="preserve"> REF _Ref121764724 \h </w:instrText>
      </w:r>
      <w:r w:rsidR="002D359C">
        <w:fldChar w:fldCharType="separate"/>
      </w:r>
      <w:r w:rsidR="00472981">
        <w:t xml:space="preserve">Table </w:t>
      </w:r>
      <w:r w:rsidR="00472981">
        <w:rPr>
          <w:noProof/>
        </w:rPr>
        <w:t>15</w:t>
      </w:r>
      <w:r w:rsidR="002D359C">
        <w:fldChar w:fldCharType="end"/>
      </w:r>
      <w:r w:rsidR="51834CDC">
        <w:t xml:space="preserve"> </w:t>
      </w:r>
      <w:r>
        <w:t xml:space="preserve">below. </w:t>
      </w:r>
    </w:p>
    <w:p w14:paraId="7CE57D40" w14:textId="68A65969" w:rsidR="002D359C" w:rsidRPr="00B31282" w:rsidRDefault="00783786" w:rsidP="0093286A">
      <w:pPr>
        <w:pStyle w:val="Caption"/>
      </w:pPr>
      <w:bookmarkStart w:id="51" w:name="_Ref121764724"/>
      <w:r>
        <w:t xml:space="preserve">Table </w:t>
      </w:r>
      <w:r>
        <w:fldChar w:fldCharType="begin"/>
      </w:r>
      <w:r>
        <w:instrText>SEQ Table \* ARABIC</w:instrText>
      </w:r>
      <w:r>
        <w:fldChar w:fldCharType="separate"/>
      </w:r>
      <w:r w:rsidR="00472981">
        <w:rPr>
          <w:noProof/>
        </w:rPr>
        <w:t>15</w:t>
      </w:r>
      <w:r>
        <w:fldChar w:fldCharType="end"/>
      </w:r>
      <w:bookmarkEnd w:id="51"/>
      <w:r w:rsidR="002D359C" w:rsidRPr="00B31282">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4366"/>
        <w:gridCol w:w="2976"/>
      </w:tblGrid>
      <w:tr w:rsidR="004625C6" w:rsidRPr="00B31282" w14:paraId="3A781AF4" w14:textId="77777777" w:rsidTr="009C4936">
        <w:tc>
          <w:tcPr>
            <w:tcW w:w="1838" w:type="dxa"/>
            <w:vAlign w:val="center"/>
          </w:tcPr>
          <w:p w14:paraId="0B030CAB" w14:textId="77777777" w:rsidR="004625C6" w:rsidRPr="00B31282" w:rsidRDefault="004625C6" w:rsidP="00783786">
            <w:pPr>
              <w:pStyle w:val="COMTableheadingrow"/>
              <w:keepLines/>
              <w:widowControl w:val="0"/>
              <w:suppressLineNumbers/>
              <w:suppressAutoHyphens/>
              <w:jc w:val="center"/>
              <w:rPr>
                <w:lang w:val="en-AU"/>
              </w:rPr>
            </w:pPr>
            <w:r w:rsidRPr="00B31282">
              <w:rPr>
                <w:lang w:val="en-AU"/>
              </w:rPr>
              <w:t>Data</w:t>
            </w:r>
          </w:p>
        </w:tc>
        <w:tc>
          <w:tcPr>
            <w:tcW w:w="4366" w:type="dxa"/>
            <w:vAlign w:val="center"/>
          </w:tcPr>
          <w:p w14:paraId="03ECB7E0" w14:textId="0AEE2B30" w:rsidR="004625C6" w:rsidRPr="00B31282" w:rsidRDefault="004625C6" w:rsidP="00783786">
            <w:pPr>
              <w:pStyle w:val="COMTableheadingrow"/>
              <w:keepLines/>
              <w:widowControl w:val="0"/>
              <w:suppressLineNumbers/>
              <w:suppressAutoHyphens/>
              <w:jc w:val="center"/>
              <w:rPr>
                <w:lang w:val="en-AU"/>
              </w:rPr>
            </w:pPr>
            <w:r>
              <w:rPr>
                <w:lang w:val="en-AU"/>
              </w:rPr>
              <w:t>Value applied and s</w:t>
            </w:r>
            <w:r w:rsidRPr="00B31282">
              <w:rPr>
                <w:lang w:val="en-AU"/>
              </w:rPr>
              <w:t>ource</w:t>
            </w:r>
          </w:p>
        </w:tc>
        <w:tc>
          <w:tcPr>
            <w:tcW w:w="2976" w:type="dxa"/>
            <w:vAlign w:val="center"/>
          </w:tcPr>
          <w:p w14:paraId="2B56C2B3" w14:textId="77777777" w:rsidR="004625C6" w:rsidRPr="00B31282" w:rsidRDefault="004625C6" w:rsidP="00783786">
            <w:pPr>
              <w:pStyle w:val="COMTableheadingrow"/>
              <w:keepLines/>
              <w:widowControl w:val="0"/>
              <w:suppressLineNumbers/>
              <w:suppressAutoHyphens/>
              <w:jc w:val="center"/>
              <w:rPr>
                <w:lang w:val="en-AU"/>
              </w:rPr>
            </w:pPr>
            <w:r w:rsidRPr="00B31282">
              <w:rPr>
                <w:lang w:val="en-AU"/>
              </w:rPr>
              <w:t>Comment</w:t>
            </w:r>
          </w:p>
        </w:tc>
      </w:tr>
      <w:tr w:rsidR="004625C6" w:rsidRPr="00B31282" w14:paraId="57E1CC30" w14:textId="77777777" w:rsidTr="009C4936">
        <w:tc>
          <w:tcPr>
            <w:tcW w:w="1838" w:type="dxa"/>
            <w:vAlign w:val="center"/>
          </w:tcPr>
          <w:p w14:paraId="3D779DB2" w14:textId="77777777" w:rsidR="004625C6" w:rsidRPr="00B31282" w:rsidRDefault="004625C6" w:rsidP="00783786">
            <w:pPr>
              <w:pStyle w:val="COMTabletext"/>
              <w:keepLines/>
              <w:widowControl w:val="0"/>
              <w:suppressLineNumbers/>
              <w:suppressAutoHyphens/>
            </w:pPr>
            <w:r w:rsidRPr="00B31282">
              <w:t xml:space="preserve">Current utilisation of therapies among patients with relapsed or refractory CLL/SLL </w:t>
            </w:r>
          </w:p>
        </w:tc>
        <w:tc>
          <w:tcPr>
            <w:tcW w:w="4366" w:type="dxa"/>
            <w:vAlign w:val="center"/>
          </w:tcPr>
          <w:p w14:paraId="2895DB5E" w14:textId="6CA1F1F1" w:rsidR="004625C6" w:rsidRPr="00B31282" w:rsidRDefault="004625C6" w:rsidP="00323745">
            <w:pPr>
              <w:pStyle w:val="COMTabletext"/>
              <w:keepLines/>
              <w:widowControl w:val="0"/>
              <w:suppressLineNumbers/>
              <w:suppressAutoHyphens/>
            </w:pPr>
            <w:r>
              <w:t>22,799 (all); 13,734 (ibrutinib)</w:t>
            </w:r>
            <w:r w:rsidR="009C4936">
              <w:t>.</w:t>
            </w:r>
            <w:r w:rsidR="00323745">
              <w:t xml:space="preserve"> </w:t>
            </w:r>
            <w:r w:rsidRPr="00B31282">
              <w:t xml:space="preserve">PBS statistics; Script data for ibrutinib, venetoclax, acalabrutinib, and idelalisib from June 2021 to July 2022. </w:t>
            </w:r>
          </w:p>
        </w:tc>
        <w:tc>
          <w:tcPr>
            <w:tcW w:w="2976" w:type="dxa"/>
            <w:vAlign w:val="center"/>
          </w:tcPr>
          <w:p w14:paraId="180D78D9" w14:textId="77777777" w:rsidR="004625C6" w:rsidRPr="00B31282" w:rsidRDefault="004625C6" w:rsidP="00783786">
            <w:pPr>
              <w:pStyle w:val="COMTabletext"/>
              <w:keepLines/>
              <w:widowControl w:val="0"/>
              <w:suppressLineNumbers/>
              <w:suppressAutoHyphens/>
            </w:pPr>
            <w:r w:rsidRPr="00380B09">
              <w:rPr>
                <w:iCs/>
              </w:rPr>
              <w:t>PBS-listed chemoimmunotherapy combinations (such as chlorambucil plus rituximab) were not included in the analysis, which may not be reasonable</w:t>
            </w:r>
            <w:r w:rsidRPr="00B31282">
              <w:t xml:space="preserve">. </w:t>
            </w:r>
          </w:p>
        </w:tc>
      </w:tr>
      <w:tr w:rsidR="009C4936" w:rsidRPr="00380B09" w14:paraId="251D724A" w14:textId="77777777" w:rsidTr="009C4936">
        <w:tc>
          <w:tcPr>
            <w:tcW w:w="1838" w:type="dxa"/>
            <w:vAlign w:val="center"/>
          </w:tcPr>
          <w:p w14:paraId="0C631F7D" w14:textId="77777777" w:rsidR="009C4936" w:rsidRPr="00380B09" w:rsidRDefault="009C4936" w:rsidP="00783786">
            <w:pPr>
              <w:pStyle w:val="COMTabletext"/>
              <w:keepLines/>
              <w:widowControl w:val="0"/>
              <w:suppressLineNumbers/>
              <w:suppressAutoHyphens/>
            </w:pPr>
            <w:r w:rsidRPr="00380B09">
              <w:t xml:space="preserve">Annual growth in relapsed or refractory CLL/SLL scripts  </w:t>
            </w:r>
          </w:p>
        </w:tc>
        <w:tc>
          <w:tcPr>
            <w:tcW w:w="4366" w:type="dxa"/>
            <w:vAlign w:val="center"/>
          </w:tcPr>
          <w:p w14:paraId="280BC9FE" w14:textId="4ACD5AA0" w:rsidR="009C4936" w:rsidRPr="00380B09" w:rsidRDefault="009C4936" w:rsidP="00323745">
            <w:pPr>
              <w:pStyle w:val="COMTabletext"/>
              <w:keepLines/>
              <w:widowControl w:val="0"/>
              <w:suppressLineNumbers/>
              <w:suppressAutoHyphens/>
            </w:pPr>
            <w:r w:rsidRPr="00380B09">
              <w:t>5.21% per year.</w:t>
            </w:r>
            <w:r w:rsidR="00323745" w:rsidRPr="00380B09">
              <w:t xml:space="preserve"> </w:t>
            </w:r>
            <w:r w:rsidRPr="00380B09">
              <w:t>Acalabrutinib relapsed/refractory CLL/SLL Public Summary Document, March 2020. Originally based on the AIHW ‘Cancer in Australia 2014’ report. Derived based on the mean annual growth in the 5-year CLL prevalence rate from 2009 (4,146) to 2012 (4,828).</w:t>
            </w:r>
          </w:p>
        </w:tc>
        <w:tc>
          <w:tcPr>
            <w:tcW w:w="2976" w:type="dxa"/>
            <w:vAlign w:val="center"/>
          </w:tcPr>
          <w:p w14:paraId="6750E2E6" w14:textId="5FD255B5" w:rsidR="009C4936" w:rsidRPr="00380B09" w:rsidRDefault="009C4936" w:rsidP="00783786">
            <w:pPr>
              <w:pStyle w:val="COMTabletext"/>
              <w:keepLines/>
              <w:widowControl w:val="0"/>
              <w:suppressLineNumbers/>
              <w:suppressAutoHyphens/>
              <w:rPr>
                <w:iCs/>
              </w:rPr>
            </w:pPr>
            <w:r w:rsidRPr="00380B09">
              <w:rPr>
                <w:iCs/>
              </w:rPr>
              <w:t>The estimate of annual growth in the prevalence of CLL/SLL is relatively old</w:t>
            </w:r>
            <w:r w:rsidR="00323745" w:rsidRPr="00380B09">
              <w:rPr>
                <w:iCs/>
              </w:rPr>
              <w:t xml:space="preserve"> </w:t>
            </w:r>
            <w:r w:rsidRPr="00380B09">
              <w:rPr>
                <w:iCs/>
              </w:rPr>
              <w:t>and may not reflect current values</w:t>
            </w:r>
            <w:r w:rsidR="0063303C" w:rsidRPr="00380B09">
              <w:rPr>
                <w:iCs/>
              </w:rPr>
              <w:t>, which may be higher than those proposed</w:t>
            </w:r>
            <w:r w:rsidRPr="00380B09">
              <w:rPr>
                <w:iCs/>
              </w:rPr>
              <w:t xml:space="preserve">. </w:t>
            </w:r>
          </w:p>
        </w:tc>
      </w:tr>
      <w:tr w:rsidR="00184442" w:rsidRPr="00380B09" w14:paraId="0A08B1CC" w14:textId="77777777" w:rsidTr="00D12BAD">
        <w:tc>
          <w:tcPr>
            <w:tcW w:w="1838" w:type="dxa"/>
            <w:vAlign w:val="center"/>
          </w:tcPr>
          <w:p w14:paraId="75B64776" w14:textId="77777777" w:rsidR="00184442" w:rsidRPr="00380B09" w:rsidRDefault="00184442" w:rsidP="00783786">
            <w:pPr>
              <w:pStyle w:val="COMTabletext"/>
              <w:keepLines/>
              <w:widowControl w:val="0"/>
              <w:suppressLineNumbers/>
              <w:suppressAutoHyphens/>
            </w:pPr>
          </w:p>
          <w:p w14:paraId="6CE07E1D" w14:textId="77777777" w:rsidR="00184442" w:rsidRPr="00380B09" w:rsidRDefault="00184442" w:rsidP="00783786">
            <w:pPr>
              <w:pStyle w:val="COMTabletext"/>
              <w:keepLines/>
              <w:widowControl w:val="0"/>
              <w:suppressLineNumbers/>
              <w:suppressAutoHyphens/>
            </w:pPr>
            <w:r w:rsidRPr="00380B09">
              <w:t xml:space="preserve">Ibrutinib CLL/SLL scripts per year   </w:t>
            </w:r>
          </w:p>
          <w:p w14:paraId="7B530F4D" w14:textId="77777777" w:rsidR="00184442" w:rsidRPr="00380B09" w:rsidRDefault="00184442" w:rsidP="00783786">
            <w:pPr>
              <w:pStyle w:val="COMTabletext"/>
              <w:keepLines/>
              <w:widowControl w:val="0"/>
              <w:suppressLineNumbers/>
              <w:suppressAutoHyphens/>
            </w:pPr>
          </w:p>
        </w:tc>
        <w:tc>
          <w:tcPr>
            <w:tcW w:w="4366" w:type="dxa"/>
            <w:vAlign w:val="center"/>
          </w:tcPr>
          <w:p w14:paraId="3D6197BF" w14:textId="053F09DD" w:rsidR="00184442" w:rsidRPr="00380B09" w:rsidRDefault="00184442" w:rsidP="00783786">
            <w:pPr>
              <w:pStyle w:val="COMTabletext"/>
              <w:keepLines/>
              <w:widowControl w:val="0"/>
              <w:suppressLineNumbers/>
              <w:suppressAutoHyphens/>
            </w:pPr>
            <w:r w:rsidRPr="00380B09">
              <w:t xml:space="preserve">14,450 in Year 1, increasing to 18,627 in Year 6. Estimated current utilisation of 13,734 ibrutinib scripts per year extrapolated based on assumed annual growth in relapsed/refractory CLL/SLL scripts of 5.21%. </w:t>
            </w:r>
          </w:p>
        </w:tc>
        <w:tc>
          <w:tcPr>
            <w:tcW w:w="2976" w:type="dxa"/>
            <w:vAlign w:val="center"/>
          </w:tcPr>
          <w:p w14:paraId="6407605D" w14:textId="23628338" w:rsidR="00184442" w:rsidRPr="00041702" w:rsidRDefault="00184442" w:rsidP="00783786">
            <w:pPr>
              <w:pStyle w:val="COMTabletext"/>
              <w:keepLines/>
              <w:widowControl w:val="0"/>
              <w:suppressLineNumbers/>
              <w:suppressAutoHyphens/>
              <w:rPr>
                <w:iCs/>
              </w:rPr>
            </w:pPr>
            <w:r w:rsidRPr="00380B09">
              <w:rPr>
                <w:iCs/>
              </w:rPr>
              <w:t xml:space="preserve">There may be potential for zanubrutinib to substitute for other therapies </w:t>
            </w:r>
            <w:r w:rsidR="00B11474">
              <w:rPr>
                <w:iCs/>
              </w:rPr>
              <w:t>particularly</w:t>
            </w:r>
            <w:r w:rsidRPr="00380B09">
              <w:rPr>
                <w:iCs/>
              </w:rPr>
              <w:t xml:space="preserve"> acalabrutinib.</w:t>
            </w:r>
            <w:r w:rsidR="00BD7934">
              <w:rPr>
                <w:iCs/>
              </w:rPr>
              <w:t xml:space="preserve"> </w:t>
            </w:r>
            <w:r w:rsidR="00BD7934" w:rsidRPr="009F171F">
              <w:t>The ESC noted there were 3,9</w:t>
            </w:r>
            <w:r w:rsidR="00041702" w:rsidRPr="009F171F">
              <w:t>28 scripts dispensed for acalabrutinib from June 2021 to July 2022.</w:t>
            </w:r>
            <w:r w:rsidR="00041702" w:rsidRPr="009F171F">
              <w:rPr>
                <w:vertAlign w:val="superscript"/>
              </w:rPr>
              <w:t>a</w:t>
            </w:r>
          </w:p>
        </w:tc>
      </w:tr>
      <w:tr w:rsidR="00CE5910" w:rsidRPr="00B31282" w14:paraId="2B3C813E" w14:textId="77777777" w:rsidTr="00D12BAD">
        <w:tc>
          <w:tcPr>
            <w:tcW w:w="1838" w:type="dxa"/>
            <w:vAlign w:val="center"/>
          </w:tcPr>
          <w:p w14:paraId="723748EA" w14:textId="691D8585" w:rsidR="00CE5910" w:rsidRPr="00B31282" w:rsidRDefault="00CE5910" w:rsidP="00783786">
            <w:pPr>
              <w:pStyle w:val="COMTabletext"/>
              <w:keepLines/>
              <w:widowControl w:val="0"/>
              <w:suppressLineNumbers/>
              <w:suppressAutoHyphens/>
            </w:pPr>
            <w:r w:rsidRPr="00B31282">
              <w:t xml:space="preserve">Proportion of </w:t>
            </w:r>
            <w:r w:rsidR="003A290C">
              <w:t>ibrutinib scripts</w:t>
            </w:r>
            <w:r w:rsidRPr="00B31282">
              <w:t xml:space="preserve"> displaced by </w:t>
            </w:r>
            <w:r w:rsidR="003A290C">
              <w:t>zanubrutinib</w:t>
            </w:r>
            <w:r w:rsidRPr="00B31282">
              <w:t xml:space="preserve"> </w:t>
            </w:r>
          </w:p>
          <w:p w14:paraId="4D628727" w14:textId="77777777" w:rsidR="00CE5910" w:rsidRPr="00B31282" w:rsidRDefault="00CE5910" w:rsidP="00783786">
            <w:pPr>
              <w:pStyle w:val="COMTabletext"/>
              <w:keepLines/>
              <w:widowControl w:val="0"/>
              <w:suppressLineNumbers/>
              <w:suppressAutoHyphens/>
            </w:pPr>
          </w:p>
        </w:tc>
        <w:tc>
          <w:tcPr>
            <w:tcW w:w="4366" w:type="dxa"/>
            <w:vAlign w:val="center"/>
          </w:tcPr>
          <w:p w14:paraId="57E7B909" w14:textId="53207629" w:rsidR="00CE5910" w:rsidRDefault="00CE5910" w:rsidP="00783786">
            <w:pPr>
              <w:pStyle w:val="COMTabletext"/>
              <w:keepLines/>
              <w:widowControl w:val="0"/>
              <w:suppressLineNumbers/>
              <w:suppressAutoHyphens/>
            </w:pPr>
            <w:r>
              <w:t>5% in Year 1, increasing to 15% in Year 6.</w:t>
            </w:r>
            <w:r w:rsidRPr="00B31282">
              <w:t xml:space="preserve"> </w:t>
            </w:r>
            <w:r w:rsidR="00FB5239">
              <w:t>The a</w:t>
            </w:r>
            <w:r w:rsidRPr="00B31282">
              <w:t>calabrutinib relapsed/refractory CLL/SLL Public Summary Document, March 2020</w:t>
            </w:r>
            <w:r w:rsidR="00FB5239">
              <w:t xml:space="preserve"> stated that t</w:t>
            </w:r>
            <w:r w:rsidRPr="00B31282">
              <w:t xml:space="preserve">he ESC considered that ibrutinib displacement was likely to be in the range of 10% to 30%; the current submission assumed an uptake rate </w:t>
            </w:r>
            <w:r w:rsidR="00FB5239">
              <w:t>half that.</w:t>
            </w:r>
          </w:p>
        </w:tc>
        <w:tc>
          <w:tcPr>
            <w:tcW w:w="2976" w:type="dxa"/>
            <w:vAlign w:val="center"/>
          </w:tcPr>
          <w:p w14:paraId="6FB26E40" w14:textId="5CF7CACA" w:rsidR="00CE5910" w:rsidRPr="00B31282" w:rsidRDefault="00CE5910" w:rsidP="00783786">
            <w:pPr>
              <w:pStyle w:val="COMTabletext"/>
              <w:keepLines/>
              <w:widowControl w:val="0"/>
              <w:suppressLineNumbers/>
              <w:suppressAutoHyphens/>
              <w:rPr>
                <w:i/>
                <w:iCs/>
              </w:rPr>
            </w:pPr>
            <w:r w:rsidRPr="00380B09">
              <w:rPr>
                <w:iCs/>
              </w:rPr>
              <w:t>Th</w:t>
            </w:r>
            <w:r w:rsidR="00EC0B9D">
              <w:rPr>
                <w:iCs/>
              </w:rPr>
              <w:t>e evaluation</w:t>
            </w:r>
            <w:r w:rsidRPr="00380B09">
              <w:rPr>
                <w:iCs/>
              </w:rPr>
              <w:t xml:space="preserve"> considered</w:t>
            </w:r>
            <w:r w:rsidR="00EC0B9D">
              <w:rPr>
                <w:iCs/>
              </w:rPr>
              <w:t xml:space="preserve"> this was </w:t>
            </w:r>
            <w:r w:rsidRPr="00380B09">
              <w:rPr>
                <w:iCs/>
              </w:rPr>
              <w:t xml:space="preserve">uncertain, as it is unclear whether clinicians would </w:t>
            </w:r>
            <w:r w:rsidR="0031571A" w:rsidRPr="00380B09">
              <w:rPr>
                <w:iCs/>
              </w:rPr>
              <w:t xml:space="preserve">be more likely to </w:t>
            </w:r>
            <w:r w:rsidRPr="00380B09">
              <w:rPr>
                <w:iCs/>
              </w:rPr>
              <w:t xml:space="preserve">initiate relapsed/refractory patients on zanubrutinib based on the claimed safety advantages and place in guidelines, or </w:t>
            </w:r>
            <w:r w:rsidR="0031571A" w:rsidRPr="00380B09">
              <w:rPr>
                <w:iCs/>
              </w:rPr>
              <w:t>to use</w:t>
            </w:r>
            <w:r w:rsidRPr="00380B09">
              <w:rPr>
                <w:iCs/>
              </w:rPr>
              <w:t xml:space="preserve"> alternatives (acalabrutinib or ibrutinib) given the longer duration of clinical trial data and likely greater clinical experience</w:t>
            </w:r>
            <w:r w:rsidRPr="00B31282">
              <w:t xml:space="preserve">. </w:t>
            </w:r>
            <w:r w:rsidR="00FC73CC">
              <w:t>The PBAC considered that zanubrutinib would replace ibrutinib, rather than displace it.</w:t>
            </w:r>
          </w:p>
        </w:tc>
      </w:tr>
      <w:tr w:rsidR="00CE5910" w:rsidRPr="00B31282" w14:paraId="423CFAEF" w14:textId="77777777" w:rsidTr="00D12BAD">
        <w:tc>
          <w:tcPr>
            <w:tcW w:w="1838" w:type="dxa"/>
            <w:vAlign w:val="center"/>
          </w:tcPr>
          <w:p w14:paraId="0A9982B4" w14:textId="77777777" w:rsidR="00CE5910" w:rsidRPr="00B31282" w:rsidRDefault="00CE5910" w:rsidP="00783786">
            <w:pPr>
              <w:pStyle w:val="COMTabletext"/>
              <w:keepLines/>
              <w:widowControl w:val="0"/>
              <w:suppressLineNumbers/>
              <w:suppressAutoHyphens/>
            </w:pPr>
            <w:r w:rsidRPr="00B31282">
              <w:t>Grandfathered patients</w:t>
            </w:r>
          </w:p>
        </w:tc>
        <w:tc>
          <w:tcPr>
            <w:tcW w:w="4366" w:type="dxa"/>
            <w:vAlign w:val="center"/>
          </w:tcPr>
          <w:p w14:paraId="033BB1D5" w14:textId="743FF6A1" w:rsidR="00CE5910" w:rsidRPr="00B31282" w:rsidRDefault="003926A4" w:rsidP="00783786">
            <w:pPr>
              <w:pStyle w:val="COMTabletext"/>
              <w:keepLines/>
              <w:widowControl w:val="0"/>
              <w:suppressLineNumbers/>
              <w:suppressAutoHyphens/>
            </w:pPr>
            <w:r w:rsidRPr="003926A4">
              <w:rPr>
                <w:color w:val="000000"/>
                <w:spacing w:val="29"/>
                <w:shd w:val="solid" w:color="000000" w:fill="000000"/>
                <w:fitText w:val="547" w:id="-1233424384"/>
                <w14:textFill>
                  <w14:solidFill>
                    <w14:srgbClr w14:val="000000">
                      <w14:alpha w14:val="100000"/>
                    </w14:srgbClr>
                  </w14:solidFill>
                </w14:textFill>
              </w:rPr>
              <w:t>|||||||</w:t>
            </w:r>
            <w:r w:rsidRPr="003926A4">
              <w:rPr>
                <w:color w:val="000000"/>
                <w:shd w:val="solid" w:color="000000" w:fill="000000"/>
                <w:fitText w:val="547" w:id="-1233424384"/>
                <w14:textFill>
                  <w14:solidFill>
                    <w14:srgbClr w14:val="000000">
                      <w14:alpha w14:val="100000"/>
                    </w14:srgbClr>
                  </w14:solidFill>
                </w14:textFill>
              </w:rPr>
              <w:t>|</w:t>
            </w:r>
            <w:r w:rsidR="00117A55" w:rsidRPr="00117A55">
              <w:rPr>
                <w:vertAlign w:val="superscript"/>
              </w:rPr>
              <w:t>1</w:t>
            </w:r>
            <w:r w:rsidR="00CE5910">
              <w:t xml:space="preserve">. </w:t>
            </w:r>
            <w:r w:rsidR="00CE5910" w:rsidRPr="00B31282">
              <w:t>Sponsor assumption</w:t>
            </w:r>
            <w:r w:rsidR="00F25DE4">
              <w:t>, b</w:t>
            </w:r>
            <w:r w:rsidR="00F25DE4" w:rsidRPr="00B31282">
              <w:t>ased on the number of patients expected to enter the sponsor’s early access program</w:t>
            </w:r>
            <w:r w:rsidR="00F25DE4" w:rsidRPr="00380B09">
              <w:rPr>
                <w:iCs/>
              </w:rPr>
              <w:t>.</w:t>
            </w:r>
          </w:p>
        </w:tc>
        <w:tc>
          <w:tcPr>
            <w:tcW w:w="2976" w:type="dxa"/>
            <w:vAlign w:val="center"/>
          </w:tcPr>
          <w:p w14:paraId="2421DD8C" w14:textId="7BFE48BD" w:rsidR="00CE5910" w:rsidRPr="00B31282" w:rsidRDefault="00CE5910" w:rsidP="00783786">
            <w:pPr>
              <w:pStyle w:val="COMTabletext"/>
              <w:keepLines/>
              <w:widowControl w:val="0"/>
              <w:suppressLineNumbers/>
              <w:suppressAutoHyphens/>
            </w:pPr>
            <w:r w:rsidRPr="00380B09">
              <w:rPr>
                <w:iCs/>
              </w:rPr>
              <w:t>The submission stated that the program is expected to commence in January 2023, therefore, grandfathered patients are likely to be included in the market share estimates of prevalent patients and may have been double counted in the submission.</w:t>
            </w:r>
            <w:r w:rsidR="00D60CF0">
              <w:t xml:space="preserve"> The PBAC considered the grandfathered patients would already be accounted for given the </w:t>
            </w:r>
            <w:r w:rsidR="00C779C9">
              <w:t>market share</w:t>
            </w:r>
            <w:r w:rsidR="00D60CF0">
              <w:t xml:space="preserve"> approach used.</w:t>
            </w:r>
          </w:p>
        </w:tc>
      </w:tr>
    </w:tbl>
    <w:p w14:paraId="552259CA" w14:textId="268E2D20" w:rsidR="002D359C" w:rsidRPr="00B31282" w:rsidRDefault="002D359C" w:rsidP="00CE5910">
      <w:pPr>
        <w:pStyle w:val="COMTablefooter"/>
        <w:rPr>
          <w:rFonts w:ascii="Segoe UI" w:hAnsi="Segoe UI"/>
        </w:rPr>
      </w:pPr>
      <w:r w:rsidRPr="00B31282">
        <w:rPr>
          <w:rStyle w:val="normaltextrun"/>
          <w:rFonts w:cs="Segoe UI"/>
          <w:szCs w:val="18"/>
        </w:rPr>
        <w:t>Source: Table 4-2, p116; Table 4-4, p117; Table 4-6, p118; Table 4-7, p118; Table 4-8, p119 of the submission; ‘Section 4 _RR’ Excel workbook.  </w:t>
      </w:r>
      <w:r w:rsidRPr="00B31282">
        <w:rPr>
          <w:rStyle w:val="eop"/>
          <w:rFonts w:cs="Segoe UI"/>
          <w:szCs w:val="18"/>
        </w:rPr>
        <w:t> </w:t>
      </w:r>
    </w:p>
    <w:p w14:paraId="21DB860F" w14:textId="07FCE91E" w:rsidR="002D359C" w:rsidRDefault="002D359C" w:rsidP="00041702">
      <w:pPr>
        <w:pStyle w:val="COMTablefooter"/>
        <w:spacing w:after="0"/>
        <w:rPr>
          <w:rStyle w:val="normaltextrun"/>
          <w:rFonts w:cs="Segoe UI"/>
          <w:szCs w:val="18"/>
        </w:rPr>
      </w:pPr>
      <w:r w:rsidRPr="00B31282">
        <w:rPr>
          <w:rStyle w:val="normaltextrun"/>
          <w:rFonts w:cs="Segoe UI"/>
          <w:szCs w:val="18"/>
        </w:rPr>
        <w:t>Abbreviations: CLL, chronic lymphocytic leukaemia; DPMQ, dispensed price for maximum quantity; SLL, small lymphocytic lymphoma</w:t>
      </w:r>
    </w:p>
    <w:p w14:paraId="0C87D940" w14:textId="0BBE149F" w:rsidR="00041702" w:rsidRDefault="00041702" w:rsidP="00117A55">
      <w:pPr>
        <w:rPr>
          <w:rStyle w:val="normaltextrun"/>
          <w:rFonts w:ascii="Arial Narrow" w:hAnsi="Arial Narrow" w:cs="Segoe UI"/>
          <w:iCs/>
          <w:snapToGrid w:val="0"/>
          <w:sz w:val="18"/>
          <w:szCs w:val="18"/>
        </w:rPr>
      </w:pPr>
      <w:r w:rsidRPr="009F171F">
        <w:rPr>
          <w:rStyle w:val="normaltextrun"/>
          <w:rFonts w:ascii="Arial Narrow" w:hAnsi="Arial Narrow" w:cs="Segoe UI"/>
          <w:iCs/>
          <w:snapToGrid w:val="0"/>
          <w:sz w:val="18"/>
          <w:szCs w:val="18"/>
          <w:vertAlign w:val="superscript"/>
        </w:rPr>
        <w:t>a</w:t>
      </w:r>
      <w:r w:rsidRPr="009F171F">
        <w:rPr>
          <w:rStyle w:val="normaltextrun"/>
          <w:rFonts w:ascii="Arial Narrow" w:hAnsi="Arial Narrow" w:cs="Segoe UI"/>
          <w:iCs/>
          <w:snapToGrid w:val="0"/>
          <w:sz w:val="18"/>
          <w:szCs w:val="18"/>
        </w:rPr>
        <w:t xml:space="preserve"> Worksheet ‘CLL_scripts2021-22’ of the submission’s financial estimates spreadsheet (PBS item code 12117R).</w:t>
      </w:r>
    </w:p>
    <w:p w14:paraId="7622F0F3" w14:textId="77777777" w:rsidR="00117A55" w:rsidRDefault="00117A55" w:rsidP="00117A55">
      <w:pPr>
        <w:rPr>
          <w:rFonts w:ascii="Arial Narrow" w:hAnsi="Arial Narrow"/>
          <w:i/>
          <w:sz w:val="18"/>
          <w:szCs w:val="18"/>
        </w:rPr>
      </w:pPr>
      <w:r>
        <w:rPr>
          <w:rFonts w:ascii="Arial Narrow" w:hAnsi="Arial Narrow"/>
          <w:i/>
          <w:sz w:val="18"/>
          <w:szCs w:val="18"/>
        </w:rPr>
        <w:t xml:space="preserve">The redacted values correspond to the following ranges: </w:t>
      </w:r>
    </w:p>
    <w:p w14:paraId="1629D9A0" w14:textId="5C375905" w:rsidR="00117A55" w:rsidRPr="00117A55" w:rsidRDefault="00117A55" w:rsidP="00117A55">
      <w:pPr>
        <w:spacing w:after="120"/>
        <w:rPr>
          <w:rStyle w:val="normaltextrun"/>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117A55">
        <w:rPr>
          <w:rFonts w:ascii="Arial Narrow" w:hAnsi="Arial Narrow"/>
          <w:i/>
          <w:sz w:val="18"/>
          <w:szCs w:val="18"/>
        </w:rPr>
        <w:t>&lt; 500</w:t>
      </w:r>
    </w:p>
    <w:p w14:paraId="34A0326D" w14:textId="2E5DE0FA" w:rsidR="002D359C" w:rsidRPr="00380B09" w:rsidRDefault="00F25DE4" w:rsidP="002B05A1">
      <w:pPr>
        <w:pStyle w:val="COMexecsumnumberedpara"/>
        <w:rPr>
          <w:iCs/>
        </w:rPr>
      </w:pPr>
      <w:r>
        <w:fldChar w:fldCharType="begin"/>
      </w:r>
      <w:r>
        <w:instrText xml:space="preserve"> REF _Ref121764849 \h </w:instrText>
      </w:r>
      <w:r>
        <w:fldChar w:fldCharType="separate"/>
      </w:r>
      <w:r w:rsidR="00472981" w:rsidRPr="00B31282">
        <w:t xml:space="preserve">Table </w:t>
      </w:r>
      <w:r w:rsidR="00472981">
        <w:rPr>
          <w:noProof/>
        </w:rPr>
        <w:t>16</w:t>
      </w:r>
      <w:r>
        <w:fldChar w:fldCharType="end"/>
      </w:r>
      <w:r w:rsidR="1D0D988E">
        <w:t xml:space="preserve"> </w:t>
      </w:r>
      <w:r w:rsidR="73217004">
        <w:t xml:space="preserve">presents the estimated financial implications </w:t>
      </w:r>
      <w:r w:rsidR="2491AD39">
        <w:t>to the PBS/RPBS</w:t>
      </w:r>
      <w:r w:rsidR="73217004">
        <w:t xml:space="preserve"> of listing acalabrutinib, based on the cost-minimised price of </w:t>
      </w:r>
      <w:r w:rsidR="7286F8C0">
        <w:t>zanu</w:t>
      </w:r>
      <w:r w:rsidR="73217004">
        <w:t>brutinib (DPMQ $8,</w:t>
      </w:r>
      <w:r w:rsidR="71AF178B">
        <w:t>794.57</w:t>
      </w:r>
      <w:r w:rsidR="73217004">
        <w:t>) and the published price of ibrutinib (DPMQ $</w:t>
      </w:r>
      <w:r w:rsidR="71AF178B">
        <w:t>8,794.57</w:t>
      </w:r>
      <w:r w:rsidR="73217004">
        <w:t xml:space="preserve">). </w:t>
      </w:r>
    </w:p>
    <w:p w14:paraId="56538EDC" w14:textId="2424BAFA" w:rsidR="000D5545" w:rsidRPr="00B31282" w:rsidRDefault="000D5545" w:rsidP="0093286A">
      <w:pPr>
        <w:pStyle w:val="Caption"/>
      </w:pPr>
      <w:bookmarkStart w:id="52" w:name="_Ref121764849"/>
      <w:r w:rsidRPr="00B31282">
        <w:t xml:space="preserve">Table </w:t>
      </w:r>
      <w:r>
        <w:fldChar w:fldCharType="begin"/>
      </w:r>
      <w:r>
        <w:instrText>SEQ Table \* ARABIC</w:instrText>
      </w:r>
      <w:r>
        <w:fldChar w:fldCharType="separate"/>
      </w:r>
      <w:r w:rsidR="00472981">
        <w:rPr>
          <w:noProof/>
        </w:rPr>
        <w:t>16</w:t>
      </w:r>
      <w:r>
        <w:fldChar w:fldCharType="end"/>
      </w:r>
      <w:bookmarkEnd w:id="52"/>
      <w:r w:rsidR="00D3304B" w:rsidRPr="00B31282">
        <w:t>:</w:t>
      </w:r>
      <w:r w:rsidRPr="00B31282">
        <w:t xml:space="preserve"> Estimated use and financial impact of zanubrutinib to the </w:t>
      </w:r>
      <w:r w:rsidR="00A829FC">
        <w:t>PBS/RPBS</w:t>
      </w:r>
      <w:r w:rsidRPr="00B31282">
        <w:t xml:space="preserve">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053"/>
        <w:gridCol w:w="1055"/>
        <w:gridCol w:w="1055"/>
        <w:gridCol w:w="1053"/>
        <w:gridCol w:w="1055"/>
        <w:gridCol w:w="1057"/>
      </w:tblGrid>
      <w:tr w:rsidR="000D5545" w:rsidRPr="00B31282" w14:paraId="52985740" w14:textId="77777777" w:rsidTr="00A25B6B">
        <w:tc>
          <w:tcPr>
            <w:tcW w:w="1491" w:type="pct"/>
          </w:tcPr>
          <w:p w14:paraId="5E9C6BCE" w14:textId="77777777" w:rsidR="000D5545" w:rsidRPr="00B31282" w:rsidRDefault="000D5545" w:rsidP="00F25DE4">
            <w:pPr>
              <w:keepNext/>
              <w:keepLines/>
              <w:rPr>
                <w:rFonts w:ascii="Arial Narrow" w:hAnsi="Arial Narrow"/>
                <w:color w:val="3366FF"/>
                <w:sz w:val="20"/>
                <w:szCs w:val="20"/>
              </w:rPr>
            </w:pPr>
          </w:p>
        </w:tc>
        <w:tc>
          <w:tcPr>
            <w:tcW w:w="584" w:type="pct"/>
            <w:tcBorders>
              <w:bottom w:val="nil"/>
            </w:tcBorders>
            <w:shd w:val="clear" w:color="auto" w:fill="auto"/>
            <w:vAlign w:val="center"/>
          </w:tcPr>
          <w:p w14:paraId="31E0AE87" w14:textId="77777777" w:rsidR="000D5545" w:rsidRPr="00B31282" w:rsidRDefault="000D5545" w:rsidP="00F25DE4">
            <w:pPr>
              <w:pStyle w:val="COMtablefigcaption"/>
              <w:keepLines/>
              <w:jc w:val="center"/>
              <w:rPr>
                <w:szCs w:val="20"/>
              </w:rPr>
            </w:pPr>
            <w:r w:rsidRPr="00B31282">
              <w:rPr>
                <w:szCs w:val="20"/>
              </w:rPr>
              <w:t>Year 1</w:t>
            </w:r>
          </w:p>
        </w:tc>
        <w:tc>
          <w:tcPr>
            <w:tcW w:w="585" w:type="pct"/>
            <w:tcBorders>
              <w:bottom w:val="nil"/>
            </w:tcBorders>
            <w:shd w:val="clear" w:color="auto" w:fill="auto"/>
            <w:vAlign w:val="center"/>
          </w:tcPr>
          <w:p w14:paraId="13945214" w14:textId="77777777" w:rsidR="000D5545" w:rsidRPr="00B31282" w:rsidRDefault="000D5545" w:rsidP="00F25DE4">
            <w:pPr>
              <w:pStyle w:val="COMtablefigcaption"/>
              <w:keepLines/>
              <w:jc w:val="center"/>
              <w:rPr>
                <w:szCs w:val="20"/>
              </w:rPr>
            </w:pPr>
            <w:r w:rsidRPr="00B31282">
              <w:rPr>
                <w:szCs w:val="20"/>
              </w:rPr>
              <w:t>Year 2</w:t>
            </w:r>
          </w:p>
        </w:tc>
        <w:tc>
          <w:tcPr>
            <w:tcW w:w="585" w:type="pct"/>
            <w:tcBorders>
              <w:bottom w:val="nil"/>
            </w:tcBorders>
            <w:shd w:val="clear" w:color="auto" w:fill="auto"/>
            <w:vAlign w:val="center"/>
          </w:tcPr>
          <w:p w14:paraId="3C1D855C" w14:textId="77777777" w:rsidR="000D5545" w:rsidRPr="00B31282" w:rsidRDefault="000D5545" w:rsidP="00F25DE4">
            <w:pPr>
              <w:pStyle w:val="COMtablefigcaption"/>
              <w:keepLines/>
              <w:jc w:val="center"/>
              <w:rPr>
                <w:szCs w:val="20"/>
              </w:rPr>
            </w:pPr>
            <w:r w:rsidRPr="00B31282">
              <w:rPr>
                <w:szCs w:val="20"/>
              </w:rPr>
              <w:t>Year 3</w:t>
            </w:r>
          </w:p>
        </w:tc>
        <w:tc>
          <w:tcPr>
            <w:tcW w:w="584" w:type="pct"/>
            <w:tcBorders>
              <w:bottom w:val="nil"/>
            </w:tcBorders>
            <w:shd w:val="clear" w:color="auto" w:fill="auto"/>
            <w:vAlign w:val="center"/>
          </w:tcPr>
          <w:p w14:paraId="5391E7D2" w14:textId="77777777" w:rsidR="000D5545" w:rsidRPr="00B31282" w:rsidRDefault="000D5545" w:rsidP="00F25DE4">
            <w:pPr>
              <w:pStyle w:val="COMtablefigcaption"/>
              <w:keepLines/>
              <w:jc w:val="center"/>
              <w:rPr>
                <w:szCs w:val="20"/>
              </w:rPr>
            </w:pPr>
            <w:r w:rsidRPr="00B31282">
              <w:rPr>
                <w:szCs w:val="20"/>
              </w:rPr>
              <w:t>Year 4</w:t>
            </w:r>
          </w:p>
        </w:tc>
        <w:tc>
          <w:tcPr>
            <w:tcW w:w="585" w:type="pct"/>
            <w:tcBorders>
              <w:bottom w:val="nil"/>
            </w:tcBorders>
            <w:shd w:val="clear" w:color="auto" w:fill="auto"/>
            <w:vAlign w:val="center"/>
          </w:tcPr>
          <w:p w14:paraId="1F77557B" w14:textId="77777777" w:rsidR="000D5545" w:rsidRPr="00B31282" w:rsidRDefault="000D5545" w:rsidP="00F25DE4">
            <w:pPr>
              <w:pStyle w:val="COMtablefigcaption"/>
              <w:keepLines/>
              <w:jc w:val="center"/>
              <w:rPr>
                <w:szCs w:val="20"/>
              </w:rPr>
            </w:pPr>
            <w:r w:rsidRPr="00B31282">
              <w:rPr>
                <w:szCs w:val="20"/>
              </w:rPr>
              <w:t>Year 5</w:t>
            </w:r>
          </w:p>
        </w:tc>
        <w:tc>
          <w:tcPr>
            <w:tcW w:w="586" w:type="pct"/>
            <w:tcBorders>
              <w:bottom w:val="nil"/>
            </w:tcBorders>
            <w:shd w:val="clear" w:color="auto" w:fill="auto"/>
            <w:vAlign w:val="center"/>
          </w:tcPr>
          <w:p w14:paraId="401722A1" w14:textId="77777777" w:rsidR="000D5545" w:rsidRPr="00B31282" w:rsidRDefault="000D5545" w:rsidP="00F25DE4">
            <w:pPr>
              <w:pStyle w:val="COMtablefigcaption"/>
              <w:keepLines/>
              <w:jc w:val="center"/>
              <w:rPr>
                <w:szCs w:val="20"/>
              </w:rPr>
            </w:pPr>
            <w:r w:rsidRPr="00B31282">
              <w:rPr>
                <w:szCs w:val="20"/>
              </w:rPr>
              <w:t>Year 6</w:t>
            </w:r>
          </w:p>
        </w:tc>
      </w:tr>
      <w:tr w:rsidR="00103931" w:rsidRPr="00B31282" w14:paraId="265929DD" w14:textId="77777777" w:rsidTr="00D12BAD">
        <w:tc>
          <w:tcPr>
            <w:tcW w:w="1491" w:type="pct"/>
            <w:tcBorders>
              <w:top w:val="single" w:sz="4" w:space="0" w:color="auto"/>
            </w:tcBorders>
          </w:tcPr>
          <w:p w14:paraId="12D6C5A8" w14:textId="5C1B279D" w:rsidR="00103931" w:rsidRPr="00B31282" w:rsidRDefault="00103931" w:rsidP="00F25DE4">
            <w:pPr>
              <w:pStyle w:val="COMTabletext"/>
              <w:keepLines/>
              <w:rPr>
                <w:szCs w:val="20"/>
              </w:rPr>
            </w:pPr>
            <w:r w:rsidRPr="00B31282">
              <w:t>Total estimated ibrutinib scripts</w:t>
            </w:r>
          </w:p>
        </w:tc>
        <w:tc>
          <w:tcPr>
            <w:tcW w:w="584" w:type="pct"/>
            <w:tcBorders>
              <w:top w:val="single" w:sz="4" w:space="0" w:color="auto"/>
            </w:tcBorders>
            <w:vAlign w:val="center"/>
          </w:tcPr>
          <w:p w14:paraId="546967C4" w14:textId="0D795657" w:rsidR="00103931" w:rsidRPr="004E699A" w:rsidRDefault="003926A4" w:rsidP="00F25DE4">
            <w:pPr>
              <w:pStyle w:val="COMTabletext"/>
              <w:keepLines/>
              <w:jc w:val="center"/>
              <w:rPr>
                <w:szCs w:val="20"/>
                <w:highlight w:val="darkGray"/>
              </w:rPr>
            </w:pPr>
            <w:r w:rsidRPr="003926A4">
              <w:rPr>
                <w:color w:val="000000"/>
                <w:spacing w:val="67"/>
                <w:shd w:val="solid" w:color="000000" w:fill="000000"/>
                <w:fitText w:val="401" w:id="-1233424383"/>
                <w14:textFill>
                  <w14:solidFill>
                    <w14:srgbClr w14:val="000000">
                      <w14:alpha w14:val="100000"/>
                    </w14:srgbClr>
                  </w14:solidFill>
                </w14:textFill>
              </w:rPr>
              <w:t>|||</w:t>
            </w:r>
            <w:r w:rsidRPr="003926A4">
              <w:rPr>
                <w:color w:val="000000"/>
                <w:spacing w:val="27"/>
                <w:shd w:val="solid" w:color="000000" w:fill="000000"/>
                <w:fitText w:val="401" w:id="-1233424383"/>
                <w14:textFill>
                  <w14:solidFill>
                    <w14:srgbClr w14:val="000000">
                      <w14:alpha w14:val="100000"/>
                    </w14:srgbClr>
                  </w14:solidFill>
                </w14:textFill>
              </w:rPr>
              <w:t>|</w:t>
            </w:r>
            <w:r w:rsidR="004E699A" w:rsidRPr="004E699A">
              <w:rPr>
                <w:iCs/>
                <w:sz w:val="18"/>
                <w:szCs w:val="18"/>
                <w:vertAlign w:val="superscript"/>
              </w:rPr>
              <w:t>7</w:t>
            </w:r>
          </w:p>
        </w:tc>
        <w:tc>
          <w:tcPr>
            <w:tcW w:w="585" w:type="pct"/>
            <w:tcBorders>
              <w:top w:val="single" w:sz="4" w:space="0" w:color="auto"/>
            </w:tcBorders>
            <w:vAlign w:val="center"/>
          </w:tcPr>
          <w:p w14:paraId="6ABEAAB5" w14:textId="4784E08F" w:rsidR="00103931" w:rsidRPr="004E699A" w:rsidRDefault="003926A4" w:rsidP="00F25DE4">
            <w:pPr>
              <w:pStyle w:val="COMTabletext"/>
              <w:keepLines/>
              <w:jc w:val="center"/>
              <w:rPr>
                <w:szCs w:val="20"/>
                <w:highlight w:val="darkGray"/>
              </w:rPr>
            </w:pPr>
            <w:r w:rsidRPr="003926A4">
              <w:rPr>
                <w:color w:val="000000"/>
                <w:spacing w:val="67"/>
                <w:shd w:val="solid" w:color="000000" w:fill="000000"/>
                <w:fitText w:val="401" w:id="-1233424382"/>
                <w14:textFill>
                  <w14:solidFill>
                    <w14:srgbClr w14:val="000000">
                      <w14:alpha w14:val="100000"/>
                    </w14:srgbClr>
                  </w14:solidFill>
                </w14:textFill>
              </w:rPr>
              <w:t>|||</w:t>
            </w:r>
            <w:r w:rsidRPr="003926A4">
              <w:rPr>
                <w:color w:val="000000"/>
                <w:spacing w:val="27"/>
                <w:shd w:val="solid" w:color="000000" w:fill="000000"/>
                <w:fitText w:val="401" w:id="-1233424382"/>
                <w14:textFill>
                  <w14:solidFill>
                    <w14:srgbClr w14:val="000000">
                      <w14:alpha w14:val="100000"/>
                    </w14:srgbClr>
                  </w14:solidFill>
                </w14:textFill>
              </w:rPr>
              <w:t>|</w:t>
            </w:r>
            <w:r w:rsidR="004E699A" w:rsidRPr="004E699A">
              <w:rPr>
                <w:iCs/>
                <w:sz w:val="18"/>
                <w:szCs w:val="18"/>
                <w:vertAlign w:val="superscript"/>
              </w:rPr>
              <w:t>7</w:t>
            </w:r>
          </w:p>
        </w:tc>
        <w:tc>
          <w:tcPr>
            <w:tcW w:w="585" w:type="pct"/>
            <w:tcBorders>
              <w:top w:val="single" w:sz="4" w:space="0" w:color="auto"/>
            </w:tcBorders>
            <w:vAlign w:val="center"/>
          </w:tcPr>
          <w:p w14:paraId="2FA7E029" w14:textId="0349763D" w:rsidR="00103931" w:rsidRPr="004E699A" w:rsidRDefault="003926A4" w:rsidP="00F25DE4">
            <w:pPr>
              <w:pStyle w:val="COMTabletext"/>
              <w:keepLines/>
              <w:jc w:val="center"/>
              <w:rPr>
                <w:szCs w:val="20"/>
                <w:highlight w:val="darkGray"/>
              </w:rPr>
            </w:pPr>
            <w:r w:rsidRPr="003926A4">
              <w:rPr>
                <w:color w:val="000000"/>
                <w:spacing w:val="67"/>
                <w:shd w:val="solid" w:color="000000" w:fill="000000"/>
                <w:fitText w:val="401" w:id="-1233424381"/>
                <w14:textFill>
                  <w14:solidFill>
                    <w14:srgbClr w14:val="000000">
                      <w14:alpha w14:val="100000"/>
                    </w14:srgbClr>
                  </w14:solidFill>
                </w14:textFill>
              </w:rPr>
              <w:t>|||</w:t>
            </w:r>
            <w:r w:rsidRPr="003926A4">
              <w:rPr>
                <w:color w:val="000000"/>
                <w:spacing w:val="27"/>
                <w:shd w:val="solid" w:color="000000" w:fill="000000"/>
                <w:fitText w:val="401" w:id="-1233424381"/>
                <w14:textFill>
                  <w14:solidFill>
                    <w14:srgbClr w14:val="000000">
                      <w14:alpha w14:val="100000"/>
                    </w14:srgbClr>
                  </w14:solidFill>
                </w14:textFill>
              </w:rPr>
              <w:t>|</w:t>
            </w:r>
            <w:r w:rsidR="004E699A" w:rsidRPr="004E699A">
              <w:rPr>
                <w:iCs/>
                <w:sz w:val="18"/>
                <w:szCs w:val="18"/>
                <w:vertAlign w:val="superscript"/>
              </w:rPr>
              <w:t>7</w:t>
            </w:r>
          </w:p>
        </w:tc>
        <w:tc>
          <w:tcPr>
            <w:tcW w:w="584" w:type="pct"/>
            <w:tcBorders>
              <w:top w:val="single" w:sz="4" w:space="0" w:color="auto"/>
            </w:tcBorders>
            <w:vAlign w:val="center"/>
          </w:tcPr>
          <w:p w14:paraId="564F48C7" w14:textId="77AD1941" w:rsidR="00103931" w:rsidRPr="004E699A" w:rsidRDefault="003926A4" w:rsidP="00F25DE4">
            <w:pPr>
              <w:pStyle w:val="COMTabletext"/>
              <w:keepLines/>
              <w:jc w:val="center"/>
              <w:rPr>
                <w:szCs w:val="20"/>
                <w:highlight w:val="darkGray"/>
              </w:rPr>
            </w:pPr>
            <w:r w:rsidRPr="003926A4">
              <w:rPr>
                <w:color w:val="000000"/>
                <w:spacing w:val="67"/>
                <w:shd w:val="solid" w:color="000000" w:fill="000000"/>
                <w:fitText w:val="401" w:id="-1233424380"/>
                <w14:textFill>
                  <w14:solidFill>
                    <w14:srgbClr w14:val="000000">
                      <w14:alpha w14:val="100000"/>
                    </w14:srgbClr>
                  </w14:solidFill>
                </w14:textFill>
              </w:rPr>
              <w:t>|||</w:t>
            </w:r>
            <w:r w:rsidRPr="003926A4">
              <w:rPr>
                <w:color w:val="000000"/>
                <w:spacing w:val="27"/>
                <w:shd w:val="solid" w:color="000000" w:fill="000000"/>
                <w:fitText w:val="401" w:id="-1233424380"/>
                <w14:textFill>
                  <w14:solidFill>
                    <w14:srgbClr w14:val="000000">
                      <w14:alpha w14:val="100000"/>
                    </w14:srgbClr>
                  </w14:solidFill>
                </w14:textFill>
              </w:rPr>
              <w:t>|</w:t>
            </w:r>
            <w:r w:rsidR="004E699A" w:rsidRPr="004E699A">
              <w:rPr>
                <w:iCs/>
                <w:sz w:val="18"/>
                <w:szCs w:val="18"/>
                <w:vertAlign w:val="superscript"/>
              </w:rPr>
              <w:t>7</w:t>
            </w:r>
          </w:p>
        </w:tc>
        <w:tc>
          <w:tcPr>
            <w:tcW w:w="585" w:type="pct"/>
            <w:tcBorders>
              <w:top w:val="single" w:sz="4" w:space="0" w:color="auto"/>
            </w:tcBorders>
            <w:vAlign w:val="center"/>
          </w:tcPr>
          <w:p w14:paraId="3AA7E9DD" w14:textId="6EA782EF" w:rsidR="00103931" w:rsidRPr="004E699A" w:rsidRDefault="003926A4" w:rsidP="00F25DE4">
            <w:pPr>
              <w:pStyle w:val="COMTabletext"/>
              <w:keepLines/>
              <w:jc w:val="center"/>
              <w:rPr>
                <w:szCs w:val="20"/>
                <w:highlight w:val="darkGray"/>
              </w:rPr>
            </w:pPr>
            <w:r w:rsidRPr="003926A4">
              <w:rPr>
                <w:color w:val="000000"/>
                <w:spacing w:val="67"/>
                <w:shd w:val="solid" w:color="000000" w:fill="000000"/>
                <w:fitText w:val="401" w:id="-1233424379"/>
                <w14:textFill>
                  <w14:solidFill>
                    <w14:srgbClr w14:val="000000">
                      <w14:alpha w14:val="100000"/>
                    </w14:srgbClr>
                  </w14:solidFill>
                </w14:textFill>
              </w:rPr>
              <w:t>|||</w:t>
            </w:r>
            <w:r w:rsidRPr="003926A4">
              <w:rPr>
                <w:color w:val="000000"/>
                <w:spacing w:val="27"/>
                <w:shd w:val="solid" w:color="000000" w:fill="000000"/>
                <w:fitText w:val="401" w:id="-1233424379"/>
                <w14:textFill>
                  <w14:solidFill>
                    <w14:srgbClr w14:val="000000">
                      <w14:alpha w14:val="100000"/>
                    </w14:srgbClr>
                  </w14:solidFill>
                </w14:textFill>
              </w:rPr>
              <w:t>|</w:t>
            </w:r>
            <w:r w:rsidR="004E699A" w:rsidRPr="004E699A">
              <w:rPr>
                <w:iCs/>
                <w:sz w:val="18"/>
                <w:szCs w:val="18"/>
                <w:vertAlign w:val="superscript"/>
              </w:rPr>
              <w:t>7</w:t>
            </w:r>
          </w:p>
        </w:tc>
        <w:tc>
          <w:tcPr>
            <w:tcW w:w="586" w:type="pct"/>
            <w:tcBorders>
              <w:top w:val="single" w:sz="4" w:space="0" w:color="auto"/>
            </w:tcBorders>
            <w:vAlign w:val="center"/>
          </w:tcPr>
          <w:p w14:paraId="56C38885" w14:textId="20C8D52D" w:rsidR="00103931" w:rsidRPr="004E699A" w:rsidRDefault="003926A4" w:rsidP="00F25DE4">
            <w:pPr>
              <w:pStyle w:val="COMTabletext"/>
              <w:keepLines/>
              <w:jc w:val="center"/>
              <w:rPr>
                <w:szCs w:val="20"/>
                <w:highlight w:val="darkGray"/>
              </w:rPr>
            </w:pPr>
            <w:r w:rsidRPr="003926A4">
              <w:rPr>
                <w:color w:val="000000"/>
                <w:spacing w:val="67"/>
                <w:shd w:val="solid" w:color="000000" w:fill="000000"/>
                <w:fitText w:val="401" w:id="-1233424378"/>
                <w14:textFill>
                  <w14:solidFill>
                    <w14:srgbClr w14:val="000000">
                      <w14:alpha w14:val="100000"/>
                    </w14:srgbClr>
                  </w14:solidFill>
                </w14:textFill>
              </w:rPr>
              <w:t>|||</w:t>
            </w:r>
            <w:r w:rsidRPr="003926A4">
              <w:rPr>
                <w:color w:val="000000"/>
                <w:spacing w:val="27"/>
                <w:shd w:val="solid" w:color="000000" w:fill="000000"/>
                <w:fitText w:val="401" w:id="-1233424378"/>
                <w14:textFill>
                  <w14:solidFill>
                    <w14:srgbClr w14:val="000000">
                      <w14:alpha w14:val="100000"/>
                    </w14:srgbClr>
                  </w14:solidFill>
                </w14:textFill>
              </w:rPr>
              <w:t>|</w:t>
            </w:r>
            <w:r w:rsidR="004E699A" w:rsidRPr="004E699A">
              <w:rPr>
                <w:iCs/>
                <w:sz w:val="18"/>
                <w:szCs w:val="18"/>
                <w:vertAlign w:val="superscript"/>
              </w:rPr>
              <w:t>7</w:t>
            </w:r>
          </w:p>
        </w:tc>
      </w:tr>
      <w:tr w:rsidR="00103931" w:rsidRPr="00B31282" w14:paraId="70301EAC" w14:textId="77777777" w:rsidTr="00D12BAD">
        <w:tc>
          <w:tcPr>
            <w:tcW w:w="1491" w:type="pct"/>
            <w:tcBorders>
              <w:top w:val="single" w:sz="4" w:space="0" w:color="auto"/>
            </w:tcBorders>
          </w:tcPr>
          <w:p w14:paraId="216B88ED" w14:textId="49DC756C" w:rsidR="00103931" w:rsidRPr="00B31282" w:rsidRDefault="00103931" w:rsidP="00F25DE4">
            <w:pPr>
              <w:pStyle w:val="COMTabletext"/>
              <w:keepLines/>
              <w:rPr>
                <w:szCs w:val="20"/>
              </w:rPr>
            </w:pPr>
            <w:r w:rsidRPr="00B31282">
              <w:t>Proportion of ibrutinib scripts displaced by zanubrutinib</w:t>
            </w:r>
          </w:p>
        </w:tc>
        <w:tc>
          <w:tcPr>
            <w:tcW w:w="584" w:type="pct"/>
            <w:tcBorders>
              <w:top w:val="single" w:sz="4" w:space="0" w:color="auto"/>
            </w:tcBorders>
            <w:vAlign w:val="center"/>
          </w:tcPr>
          <w:p w14:paraId="3570BEAC" w14:textId="299198D6" w:rsidR="00103931" w:rsidRPr="00B31282" w:rsidRDefault="00103931" w:rsidP="00F25DE4">
            <w:pPr>
              <w:pStyle w:val="COMTabletext"/>
              <w:keepLines/>
              <w:jc w:val="center"/>
              <w:rPr>
                <w:szCs w:val="20"/>
              </w:rPr>
            </w:pPr>
            <w:r w:rsidRPr="00B31282">
              <w:t>5%</w:t>
            </w:r>
          </w:p>
        </w:tc>
        <w:tc>
          <w:tcPr>
            <w:tcW w:w="585" w:type="pct"/>
            <w:tcBorders>
              <w:top w:val="single" w:sz="4" w:space="0" w:color="auto"/>
            </w:tcBorders>
            <w:vAlign w:val="center"/>
          </w:tcPr>
          <w:p w14:paraId="414F940B" w14:textId="51A11319" w:rsidR="00103931" w:rsidRPr="00B31282" w:rsidRDefault="00103931" w:rsidP="00F25DE4">
            <w:pPr>
              <w:pStyle w:val="COMTabletext"/>
              <w:keepLines/>
              <w:jc w:val="center"/>
              <w:rPr>
                <w:szCs w:val="20"/>
              </w:rPr>
            </w:pPr>
            <w:r w:rsidRPr="00B31282">
              <w:t>10%</w:t>
            </w:r>
          </w:p>
        </w:tc>
        <w:tc>
          <w:tcPr>
            <w:tcW w:w="585" w:type="pct"/>
            <w:tcBorders>
              <w:top w:val="single" w:sz="4" w:space="0" w:color="auto"/>
            </w:tcBorders>
            <w:vAlign w:val="center"/>
          </w:tcPr>
          <w:p w14:paraId="24EF2F62" w14:textId="2B667941" w:rsidR="00103931" w:rsidRPr="00B31282" w:rsidRDefault="00103931" w:rsidP="00F25DE4">
            <w:pPr>
              <w:pStyle w:val="COMTabletext"/>
              <w:keepLines/>
              <w:jc w:val="center"/>
              <w:rPr>
                <w:szCs w:val="20"/>
              </w:rPr>
            </w:pPr>
            <w:r w:rsidRPr="00B31282">
              <w:t>10%</w:t>
            </w:r>
          </w:p>
        </w:tc>
        <w:tc>
          <w:tcPr>
            <w:tcW w:w="584" w:type="pct"/>
            <w:tcBorders>
              <w:top w:val="single" w:sz="4" w:space="0" w:color="auto"/>
            </w:tcBorders>
            <w:vAlign w:val="center"/>
          </w:tcPr>
          <w:p w14:paraId="06F97DB9" w14:textId="15467DEB" w:rsidR="00103931" w:rsidRPr="00B31282" w:rsidRDefault="00103931" w:rsidP="00F25DE4">
            <w:pPr>
              <w:pStyle w:val="COMTabletext"/>
              <w:keepLines/>
              <w:jc w:val="center"/>
              <w:rPr>
                <w:szCs w:val="20"/>
              </w:rPr>
            </w:pPr>
            <w:r w:rsidRPr="00B31282">
              <w:t>15%</w:t>
            </w:r>
          </w:p>
        </w:tc>
        <w:tc>
          <w:tcPr>
            <w:tcW w:w="585" w:type="pct"/>
            <w:tcBorders>
              <w:top w:val="single" w:sz="4" w:space="0" w:color="auto"/>
            </w:tcBorders>
            <w:vAlign w:val="center"/>
          </w:tcPr>
          <w:p w14:paraId="2C58E1BF" w14:textId="4C5968E7" w:rsidR="00103931" w:rsidRPr="00B31282" w:rsidRDefault="00103931" w:rsidP="00F25DE4">
            <w:pPr>
              <w:pStyle w:val="COMTabletext"/>
              <w:keepLines/>
              <w:jc w:val="center"/>
              <w:rPr>
                <w:szCs w:val="20"/>
              </w:rPr>
            </w:pPr>
            <w:r w:rsidRPr="00B31282">
              <w:t>15%</w:t>
            </w:r>
          </w:p>
        </w:tc>
        <w:tc>
          <w:tcPr>
            <w:tcW w:w="586" w:type="pct"/>
            <w:tcBorders>
              <w:top w:val="single" w:sz="4" w:space="0" w:color="auto"/>
            </w:tcBorders>
            <w:vAlign w:val="center"/>
          </w:tcPr>
          <w:p w14:paraId="68D9376C" w14:textId="1D1A392A" w:rsidR="00103931" w:rsidRPr="00B31282" w:rsidRDefault="00103931" w:rsidP="00F25DE4">
            <w:pPr>
              <w:pStyle w:val="COMTabletext"/>
              <w:keepLines/>
              <w:jc w:val="center"/>
              <w:rPr>
                <w:szCs w:val="20"/>
              </w:rPr>
            </w:pPr>
            <w:r w:rsidRPr="00B31282">
              <w:t>15%</w:t>
            </w:r>
          </w:p>
        </w:tc>
      </w:tr>
      <w:tr w:rsidR="00103931" w:rsidRPr="00B31282" w14:paraId="2823EAD2" w14:textId="77777777" w:rsidTr="00D12BAD">
        <w:tc>
          <w:tcPr>
            <w:tcW w:w="1491" w:type="pct"/>
            <w:tcBorders>
              <w:top w:val="single" w:sz="4" w:space="0" w:color="auto"/>
              <w:bottom w:val="single" w:sz="4" w:space="0" w:color="auto"/>
            </w:tcBorders>
          </w:tcPr>
          <w:p w14:paraId="65090B94" w14:textId="120FD288" w:rsidR="00103931" w:rsidRPr="00B31282" w:rsidRDefault="00103931" w:rsidP="00F25DE4">
            <w:pPr>
              <w:pStyle w:val="COMTabletext"/>
              <w:keepLines/>
              <w:rPr>
                <w:szCs w:val="20"/>
              </w:rPr>
            </w:pPr>
            <w:r w:rsidRPr="00B31282">
              <w:t>PBS/RPBS scripts</w:t>
            </w:r>
          </w:p>
        </w:tc>
        <w:tc>
          <w:tcPr>
            <w:tcW w:w="584" w:type="pct"/>
            <w:tcBorders>
              <w:top w:val="single" w:sz="4" w:space="0" w:color="auto"/>
              <w:bottom w:val="single" w:sz="4" w:space="0" w:color="auto"/>
            </w:tcBorders>
            <w:vAlign w:val="center"/>
          </w:tcPr>
          <w:p w14:paraId="270E0D20" w14:textId="778818B9" w:rsidR="00103931"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77"/>
                <w14:textFill>
                  <w14:solidFill>
                    <w14:srgbClr w14:val="000000">
                      <w14:alpha w14:val="100000"/>
                    </w14:srgbClr>
                  </w14:solidFill>
                </w14:textFill>
              </w:rPr>
              <w:t>|||</w:t>
            </w:r>
            <w:r w:rsidRPr="003926A4">
              <w:rPr>
                <w:color w:val="000000"/>
                <w:spacing w:val="3"/>
                <w:shd w:val="solid" w:color="000000" w:fill="000000"/>
                <w:fitText w:val="410" w:id="-1233424377"/>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bottom w:val="single" w:sz="4" w:space="0" w:color="auto"/>
            </w:tcBorders>
            <w:vAlign w:val="center"/>
          </w:tcPr>
          <w:p w14:paraId="611A4EBA" w14:textId="6401BAFB" w:rsidR="001039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6"/>
                <w14:textFill>
                  <w14:solidFill>
                    <w14:srgbClr w14:val="000000">
                      <w14:alpha w14:val="100000"/>
                    </w14:srgbClr>
                  </w14:solidFill>
                </w14:textFill>
              </w:rPr>
              <w:t>|||</w:t>
            </w:r>
            <w:r w:rsidRPr="003926A4">
              <w:rPr>
                <w:color w:val="000000"/>
                <w:spacing w:val="27"/>
                <w:shd w:val="solid" w:color="000000" w:fill="000000"/>
                <w:fitText w:val="401" w:id="-1233424376"/>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bottom w:val="single" w:sz="4" w:space="0" w:color="auto"/>
            </w:tcBorders>
            <w:vAlign w:val="center"/>
          </w:tcPr>
          <w:p w14:paraId="494B280F" w14:textId="2FCB36CE" w:rsidR="001039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5"/>
                <w14:textFill>
                  <w14:solidFill>
                    <w14:srgbClr w14:val="000000">
                      <w14:alpha w14:val="100000"/>
                    </w14:srgbClr>
                  </w14:solidFill>
                </w14:textFill>
              </w:rPr>
              <w:t>|||</w:t>
            </w:r>
            <w:r w:rsidRPr="003926A4">
              <w:rPr>
                <w:color w:val="000000"/>
                <w:spacing w:val="27"/>
                <w:shd w:val="solid" w:color="000000" w:fill="000000"/>
                <w:fitText w:val="401" w:id="-1233424375"/>
                <w14:textFill>
                  <w14:solidFill>
                    <w14:srgbClr w14:val="000000">
                      <w14:alpha w14:val="100000"/>
                    </w14:srgbClr>
                  </w14:solidFill>
                </w14:textFill>
              </w:rPr>
              <w:t>|</w:t>
            </w:r>
            <w:r w:rsidR="00117A55" w:rsidRPr="00117A55">
              <w:rPr>
                <w:vertAlign w:val="superscript"/>
              </w:rPr>
              <w:t>1</w:t>
            </w:r>
          </w:p>
        </w:tc>
        <w:tc>
          <w:tcPr>
            <w:tcW w:w="584" w:type="pct"/>
            <w:tcBorders>
              <w:top w:val="single" w:sz="4" w:space="0" w:color="auto"/>
              <w:bottom w:val="single" w:sz="4" w:space="0" w:color="auto"/>
            </w:tcBorders>
            <w:vAlign w:val="center"/>
          </w:tcPr>
          <w:p w14:paraId="634CB644" w14:textId="50BEE8CA" w:rsidR="00103931"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74"/>
                <w14:textFill>
                  <w14:solidFill>
                    <w14:srgbClr w14:val="000000">
                      <w14:alpha w14:val="100000"/>
                    </w14:srgbClr>
                  </w14:solidFill>
                </w14:textFill>
              </w:rPr>
              <w:t>|||</w:t>
            </w:r>
            <w:r w:rsidRPr="003926A4">
              <w:rPr>
                <w:color w:val="000000"/>
                <w:spacing w:val="3"/>
                <w:shd w:val="solid" w:color="000000" w:fill="000000"/>
                <w:fitText w:val="410" w:id="-1233424374"/>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bottom w:val="single" w:sz="4" w:space="0" w:color="auto"/>
            </w:tcBorders>
            <w:vAlign w:val="center"/>
          </w:tcPr>
          <w:p w14:paraId="10F94159" w14:textId="0695841F" w:rsidR="001039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3"/>
                <w14:textFill>
                  <w14:solidFill>
                    <w14:srgbClr w14:val="000000">
                      <w14:alpha w14:val="100000"/>
                    </w14:srgbClr>
                  </w14:solidFill>
                </w14:textFill>
              </w:rPr>
              <w:t>|||</w:t>
            </w:r>
            <w:r w:rsidRPr="003926A4">
              <w:rPr>
                <w:color w:val="000000"/>
                <w:spacing w:val="27"/>
                <w:shd w:val="solid" w:color="000000" w:fill="000000"/>
                <w:fitText w:val="401" w:id="-1233424373"/>
                <w14:textFill>
                  <w14:solidFill>
                    <w14:srgbClr w14:val="000000">
                      <w14:alpha w14:val="100000"/>
                    </w14:srgbClr>
                  </w14:solidFill>
                </w14:textFill>
              </w:rPr>
              <w:t>|</w:t>
            </w:r>
            <w:r w:rsidR="00117A55" w:rsidRPr="00117A55">
              <w:rPr>
                <w:vertAlign w:val="superscript"/>
              </w:rPr>
              <w:t>1</w:t>
            </w:r>
          </w:p>
        </w:tc>
        <w:tc>
          <w:tcPr>
            <w:tcW w:w="586" w:type="pct"/>
            <w:tcBorders>
              <w:top w:val="single" w:sz="4" w:space="0" w:color="auto"/>
              <w:bottom w:val="single" w:sz="4" w:space="0" w:color="auto"/>
            </w:tcBorders>
            <w:vAlign w:val="center"/>
          </w:tcPr>
          <w:p w14:paraId="454CA35C" w14:textId="1ED9518F" w:rsidR="001039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2"/>
                <w14:textFill>
                  <w14:solidFill>
                    <w14:srgbClr w14:val="000000">
                      <w14:alpha w14:val="100000"/>
                    </w14:srgbClr>
                  </w14:solidFill>
                </w14:textFill>
              </w:rPr>
              <w:t>|||</w:t>
            </w:r>
            <w:r w:rsidRPr="003926A4">
              <w:rPr>
                <w:color w:val="000000"/>
                <w:spacing w:val="27"/>
                <w:shd w:val="solid" w:color="000000" w:fill="000000"/>
                <w:fitText w:val="401" w:id="-1233424372"/>
                <w14:textFill>
                  <w14:solidFill>
                    <w14:srgbClr w14:val="000000">
                      <w14:alpha w14:val="100000"/>
                    </w14:srgbClr>
                  </w14:solidFill>
                </w14:textFill>
              </w:rPr>
              <w:t>|</w:t>
            </w:r>
            <w:r w:rsidR="00117A55" w:rsidRPr="00117A55">
              <w:rPr>
                <w:vertAlign w:val="superscript"/>
              </w:rPr>
              <w:t>1</w:t>
            </w:r>
          </w:p>
        </w:tc>
      </w:tr>
      <w:tr w:rsidR="00027FF1" w:rsidRPr="00B31282" w14:paraId="3D699502" w14:textId="77777777" w:rsidTr="00D12BAD">
        <w:tc>
          <w:tcPr>
            <w:tcW w:w="1491" w:type="pct"/>
            <w:tcBorders>
              <w:top w:val="single" w:sz="4" w:space="0" w:color="auto"/>
              <w:bottom w:val="single" w:sz="4" w:space="0" w:color="auto"/>
            </w:tcBorders>
          </w:tcPr>
          <w:p w14:paraId="5C7AB754" w14:textId="6D8B9583" w:rsidR="00027FF1" w:rsidRPr="00B31282" w:rsidRDefault="00027FF1" w:rsidP="00027FF1">
            <w:pPr>
              <w:pStyle w:val="COMTabletext"/>
              <w:keepLines/>
            </w:pPr>
            <w:r>
              <w:t>PBS/RPBS scripts for 50 grandfathered patients</w:t>
            </w:r>
          </w:p>
        </w:tc>
        <w:tc>
          <w:tcPr>
            <w:tcW w:w="584" w:type="pct"/>
            <w:tcBorders>
              <w:top w:val="single" w:sz="4" w:space="0" w:color="auto"/>
              <w:bottom w:val="single" w:sz="4" w:space="0" w:color="auto"/>
            </w:tcBorders>
            <w:vAlign w:val="center"/>
          </w:tcPr>
          <w:p w14:paraId="6AD80727" w14:textId="51DD3838" w:rsidR="00027FF1" w:rsidRPr="00117A55" w:rsidRDefault="003926A4" w:rsidP="00027FF1">
            <w:pPr>
              <w:pStyle w:val="COMTabletext"/>
              <w:keepLines/>
              <w:jc w:val="center"/>
              <w:rPr>
                <w:highlight w:val="darkGray"/>
              </w:rPr>
            </w:pPr>
            <w:r w:rsidRPr="003926A4">
              <w:rPr>
                <w:color w:val="000000"/>
                <w:spacing w:val="79"/>
                <w:shd w:val="solid" w:color="000000" w:fill="000000"/>
                <w:fitText w:val="410" w:id="-1233424371"/>
                <w14:textFill>
                  <w14:solidFill>
                    <w14:srgbClr w14:val="000000">
                      <w14:alpha w14:val="100000"/>
                    </w14:srgbClr>
                  </w14:solidFill>
                </w14:textFill>
              </w:rPr>
              <w:t>|||</w:t>
            </w:r>
            <w:r w:rsidRPr="003926A4">
              <w:rPr>
                <w:color w:val="000000"/>
                <w:spacing w:val="3"/>
                <w:shd w:val="solid" w:color="000000" w:fill="000000"/>
                <w:fitText w:val="410" w:id="-1233424371"/>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bottom w:val="single" w:sz="4" w:space="0" w:color="auto"/>
            </w:tcBorders>
            <w:vAlign w:val="center"/>
          </w:tcPr>
          <w:p w14:paraId="7C9743BF" w14:textId="420C85AA" w:rsidR="00027FF1" w:rsidRPr="00117A55" w:rsidRDefault="003926A4" w:rsidP="00027FF1">
            <w:pPr>
              <w:pStyle w:val="COMTabletext"/>
              <w:keepLines/>
              <w:jc w:val="center"/>
              <w:rPr>
                <w:highlight w:val="darkGray"/>
              </w:rPr>
            </w:pPr>
            <w:r w:rsidRPr="003926A4">
              <w:rPr>
                <w:color w:val="000000"/>
                <w:spacing w:val="67"/>
                <w:shd w:val="solid" w:color="000000" w:fill="000000"/>
                <w:fitText w:val="401" w:id="-1233424370"/>
                <w14:textFill>
                  <w14:solidFill>
                    <w14:srgbClr w14:val="000000">
                      <w14:alpha w14:val="100000"/>
                    </w14:srgbClr>
                  </w14:solidFill>
                </w14:textFill>
              </w:rPr>
              <w:t>|||</w:t>
            </w:r>
            <w:r w:rsidRPr="003926A4">
              <w:rPr>
                <w:color w:val="000000"/>
                <w:spacing w:val="27"/>
                <w:shd w:val="solid" w:color="000000" w:fill="000000"/>
                <w:fitText w:val="401" w:id="-1233424370"/>
                <w14:textFill>
                  <w14:solidFill>
                    <w14:srgbClr w14:val="000000">
                      <w14:alpha w14:val="100000"/>
                    </w14:srgbClr>
                  </w14:solidFill>
                </w14:textFill>
              </w:rPr>
              <w:t>|</w:t>
            </w:r>
            <w:r w:rsidR="00BB029F">
              <w:rPr>
                <w:vertAlign w:val="superscript"/>
              </w:rPr>
              <w:t>5</w:t>
            </w:r>
          </w:p>
        </w:tc>
        <w:tc>
          <w:tcPr>
            <w:tcW w:w="585" w:type="pct"/>
            <w:tcBorders>
              <w:top w:val="single" w:sz="4" w:space="0" w:color="auto"/>
              <w:bottom w:val="single" w:sz="4" w:space="0" w:color="auto"/>
            </w:tcBorders>
            <w:vAlign w:val="center"/>
          </w:tcPr>
          <w:p w14:paraId="520EFBD5" w14:textId="7C04320B" w:rsidR="00027FF1" w:rsidRPr="00117A55" w:rsidRDefault="003926A4" w:rsidP="00027FF1">
            <w:pPr>
              <w:pStyle w:val="COMTabletext"/>
              <w:keepLines/>
              <w:jc w:val="center"/>
              <w:rPr>
                <w:highlight w:val="darkGray"/>
              </w:rPr>
            </w:pPr>
            <w:r w:rsidRPr="003926A4">
              <w:rPr>
                <w:color w:val="000000"/>
                <w:spacing w:val="67"/>
                <w:shd w:val="solid" w:color="000000" w:fill="000000"/>
                <w:fitText w:val="401" w:id="-1233424369"/>
                <w14:textFill>
                  <w14:solidFill>
                    <w14:srgbClr w14:val="000000">
                      <w14:alpha w14:val="100000"/>
                    </w14:srgbClr>
                  </w14:solidFill>
                </w14:textFill>
              </w:rPr>
              <w:t>|||</w:t>
            </w:r>
            <w:r w:rsidRPr="003926A4">
              <w:rPr>
                <w:color w:val="000000"/>
                <w:spacing w:val="27"/>
                <w:shd w:val="solid" w:color="000000" w:fill="000000"/>
                <w:fitText w:val="401" w:id="-1233424369"/>
                <w14:textFill>
                  <w14:solidFill>
                    <w14:srgbClr w14:val="000000">
                      <w14:alpha w14:val="100000"/>
                    </w14:srgbClr>
                  </w14:solidFill>
                </w14:textFill>
              </w:rPr>
              <w:t>|</w:t>
            </w:r>
            <w:r w:rsidR="00BB029F">
              <w:rPr>
                <w:vertAlign w:val="superscript"/>
              </w:rPr>
              <w:t>5</w:t>
            </w:r>
          </w:p>
        </w:tc>
        <w:tc>
          <w:tcPr>
            <w:tcW w:w="584" w:type="pct"/>
            <w:tcBorders>
              <w:top w:val="single" w:sz="4" w:space="0" w:color="auto"/>
              <w:bottom w:val="single" w:sz="4" w:space="0" w:color="auto"/>
            </w:tcBorders>
            <w:vAlign w:val="center"/>
          </w:tcPr>
          <w:p w14:paraId="23E0078D" w14:textId="5A7AEE08" w:rsidR="00027FF1" w:rsidRPr="00117A55" w:rsidRDefault="003926A4" w:rsidP="00027FF1">
            <w:pPr>
              <w:pStyle w:val="COMTabletext"/>
              <w:keepLines/>
              <w:jc w:val="center"/>
              <w:rPr>
                <w:highlight w:val="darkGray"/>
              </w:rPr>
            </w:pPr>
            <w:r w:rsidRPr="003926A4">
              <w:rPr>
                <w:color w:val="000000"/>
                <w:spacing w:val="79"/>
                <w:shd w:val="solid" w:color="000000" w:fill="000000"/>
                <w:fitText w:val="410" w:id="-1233424368"/>
                <w14:textFill>
                  <w14:solidFill>
                    <w14:srgbClr w14:val="000000">
                      <w14:alpha w14:val="100000"/>
                    </w14:srgbClr>
                  </w14:solidFill>
                </w14:textFill>
              </w:rPr>
              <w:t>|||</w:t>
            </w:r>
            <w:r w:rsidRPr="003926A4">
              <w:rPr>
                <w:color w:val="000000"/>
                <w:spacing w:val="3"/>
                <w:shd w:val="solid" w:color="000000" w:fill="000000"/>
                <w:fitText w:val="410" w:id="-1233424368"/>
                <w14:textFill>
                  <w14:solidFill>
                    <w14:srgbClr w14:val="000000">
                      <w14:alpha w14:val="100000"/>
                    </w14:srgbClr>
                  </w14:solidFill>
                </w14:textFill>
              </w:rPr>
              <w:t>|</w:t>
            </w:r>
            <w:r w:rsidR="00BB029F">
              <w:rPr>
                <w:vertAlign w:val="superscript"/>
              </w:rPr>
              <w:t>5</w:t>
            </w:r>
          </w:p>
        </w:tc>
        <w:tc>
          <w:tcPr>
            <w:tcW w:w="585" w:type="pct"/>
            <w:tcBorders>
              <w:top w:val="single" w:sz="4" w:space="0" w:color="auto"/>
              <w:bottom w:val="single" w:sz="4" w:space="0" w:color="auto"/>
            </w:tcBorders>
            <w:vAlign w:val="center"/>
          </w:tcPr>
          <w:p w14:paraId="648E78A6" w14:textId="6F966EC8" w:rsidR="00027FF1" w:rsidRPr="00117A55" w:rsidRDefault="003926A4" w:rsidP="00027FF1">
            <w:pPr>
              <w:pStyle w:val="COMTabletext"/>
              <w:keepLines/>
              <w:jc w:val="center"/>
              <w:rPr>
                <w:highlight w:val="darkGray"/>
              </w:rPr>
            </w:pPr>
            <w:r w:rsidRPr="003926A4">
              <w:rPr>
                <w:color w:val="000000"/>
                <w:spacing w:val="67"/>
                <w:shd w:val="solid" w:color="000000" w:fill="000000"/>
                <w:fitText w:val="401" w:id="-1233424384"/>
                <w14:textFill>
                  <w14:solidFill>
                    <w14:srgbClr w14:val="000000">
                      <w14:alpha w14:val="100000"/>
                    </w14:srgbClr>
                  </w14:solidFill>
                </w14:textFill>
              </w:rPr>
              <w:t>|||</w:t>
            </w:r>
            <w:r w:rsidRPr="003926A4">
              <w:rPr>
                <w:color w:val="000000"/>
                <w:spacing w:val="27"/>
                <w:shd w:val="solid" w:color="000000" w:fill="000000"/>
                <w:fitText w:val="401" w:id="-1233424384"/>
                <w14:textFill>
                  <w14:solidFill>
                    <w14:srgbClr w14:val="000000">
                      <w14:alpha w14:val="100000"/>
                    </w14:srgbClr>
                  </w14:solidFill>
                </w14:textFill>
              </w:rPr>
              <w:t>|</w:t>
            </w:r>
            <w:r w:rsidR="00BB029F">
              <w:rPr>
                <w:vertAlign w:val="superscript"/>
              </w:rPr>
              <w:t>5</w:t>
            </w:r>
          </w:p>
        </w:tc>
        <w:tc>
          <w:tcPr>
            <w:tcW w:w="586" w:type="pct"/>
            <w:tcBorders>
              <w:top w:val="single" w:sz="4" w:space="0" w:color="auto"/>
              <w:bottom w:val="single" w:sz="4" w:space="0" w:color="auto"/>
            </w:tcBorders>
            <w:vAlign w:val="center"/>
          </w:tcPr>
          <w:p w14:paraId="48B75CA2" w14:textId="2B52D770" w:rsidR="00027FF1" w:rsidRPr="00117A55" w:rsidRDefault="003926A4" w:rsidP="00027FF1">
            <w:pPr>
              <w:pStyle w:val="COMTabletext"/>
              <w:keepLines/>
              <w:jc w:val="center"/>
              <w:rPr>
                <w:highlight w:val="darkGray"/>
              </w:rPr>
            </w:pPr>
            <w:r w:rsidRPr="003926A4">
              <w:rPr>
                <w:color w:val="000000"/>
                <w:spacing w:val="67"/>
                <w:shd w:val="solid" w:color="000000" w:fill="000000"/>
                <w:fitText w:val="401" w:id="-1233424383"/>
                <w14:textFill>
                  <w14:solidFill>
                    <w14:srgbClr w14:val="000000">
                      <w14:alpha w14:val="100000"/>
                    </w14:srgbClr>
                  </w14:solidFill>
                </w14:textFill>
              </w:rPr>
              <w:t>|||</w:t>
            </w:r>
            <w:r w:rsidRPr="003926A4">
              <w:rPr>
                <w:color w:val="000000"/>
                <w:spacing w:val="27"/>
                <w:shd w:val="solid" w:color="000000" w:fill="000000"/>
                <w:fitText w:val="401" w:id="-1233424383"/>
                <w14:textFill>
                  <w14:solidFill>
                    <w14:srgbClr w14:val="000000">
                      <w14:alpha w14:val="100000"/>
                    </w14:srgbClr>
                  </w14:solidFill>
                </w14:textFill>
              </w:rPr>
              <w:t>|</w:t>
            </w:r>
            <w:r w:rsidR="00BB029F">
              <w:rPr>
                <w:vertAlign w:val="superscript"/>
              </w:rPr>
              <w:t>5</w:t>
            </w:r>
          </w:p>
        </w:tc>
      </w:tr>
      <w:tr w:rsidR="00103931" w:rsidRPr="00B31282" w14:paraId="41AE5053" w14:textId="77777777" w:rsidTr="00A25B6B">
        <w:tc>
          <w:tcPr>
            <w:tcW w:w="1491" w:type="pct"/>
            <w:tcBorders>
              <w:bottom w:val="single" w:sz="4" w:space="0" w:color="auto"/>
            </w:tcBorders>
            <w:shd w:val="clear" w:color="auto" w:fill="FFFFFF" w:themeFill="background1"/>
            <w:vAlign w:val="center"/>
          </w:tcPr>
          <w:p w14:paraId="66E4B926" w14:textId="73D36A8B" w:rsidR="00103931" w:rsidRPr="00B31282" w:rsidRDefault="00103931" w:rsidP="00F25DE4">
            <w:pPr>
              <w:pStyle w:val="COMTabletext"/>
              <w:keepLines/>
              <w:rPr>
                <w:szCs w:val="20"/>
              </w:rPr>
            </w:pPr>
            <w:r w:rsidRPr="00B31282">
              <w:rPr>
                <w:szCs w:val="20"/>
              </w:rPr>
              <w:t>Total zanubrutinib scripts</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F9FC2AA" w14:textId="5B8EF101" w:rsidR="00103931" w:rsidRPr="00117A55" w:rsidRDefault="003926A4" w:rsidP="00F25DE4">
            <w:pPr>
              <w:pStyle w:val="COMTabletext"/>
              <w:keepLines/>
              <w:jc w:val="center"/>
              <w:rPr>
                <w:szCs w:val="20"/>
                <w:highlight w:val="darkGray"/>
              </w:rPr>
            </w:pPr>
            <w:r w:rsidRPr="003926A4">
              <w:rPr>
                <w:color w:val="000000"/>
                <w:spacing w:val="79"/>
                <w:szCs w:val="20"/>
                <w:shd w:val="solid" w:color="000000" w:fill="000000"/>
                <w:fitText w:val="410" w:id="-1233424382"/>
                <w14:textFill>
                  <w14:solidFill>
                    <w14:srgbClr w14:val="000000">
                      <w14:alpha w14:val="100000"/>
                    </w14:srgbClr>
                  </w14:solidFill>
                </w14:textFill>
              </w:rPr>
              <w:t>|||</w:t>
            </w:r>
            <w:r w:rsidRPr="003926A4">
              <w:rPr>
                <w:color w:val="000000"/>
                <w:spacing w:val="3"/>
                <w:szCs w:val="20"/>
                <w:shd w:val="solid" w:color="000000" w:fill="000000"/>
                <w:fitText w:val="410" w:id="-1233424382"/>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left w:val="nil"/>
              <w:bottom w:val="single" w:sz="4" w:space="0" w:color="auto"/>
              <w:right w:val="single" w:sz="4" w:space="0" w:color="auto"/>
            </w:tcBorders>
            <w:shd w:val="clear" w:color="auto" w:fill="auto"/>
            <w:vAlign w:val="center"/>
          </w:tcPr>
          <w:p w14:paraId="5EFBF395" w14:textId="3DEDDA99" w:rsidR="00103931" w:rsidRPr="00117A55" w:rsidRDefault="003926A4" w:rsidP="00F25DE4">
            <w:pPr>
              <w:pStyle w:val="COMTabletext"/>
              <w:keepLines/>
              <w:jc w:val="center"/>
              <w:rPr>
                <w:szCs w:val="20"/>
                <w:highlight w:val="darkGray"/>
              </w:rPr>
            </w:pPr>
            <w:r w:rsidRPr="003926A4">
              <w:rPr>
                <w:color w:val="000000"/>
                <w:spacing w:val="67"/>
                <w:szCs w:val="20"/>
                <w:shd w:val="solid" w:color="000000" w:fill="000000"/>
                <w:fitText w:val="401" w:id="-1233424381"/>
                <w14:textFill>
                  <w14:solidFill>
                    <w14:srgbClr w14:val="000000">
                      <w14:alpha w14:val="100000"/>
                    </w14:srgbClr>
                  </w14:solidFill>
                </w14:textFill>
              </w:rPr>
              <w:t>|||</w:t>
            </w:r>
            <w:r w:rsidRPr="003926A4">
              <w:rPr>
                <w:color w:val="000000"/>
                <w:spacing w:val="27"/>
                <w:szCs w:val="20"/>
                <w:shd w:val="solid" w:color="000000" w:fill="000000"/>
                <w:fitText w:val="401" w:id="-1233424381"/>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left w:val="nil"/>
              <w:bottom w:val="single" w:sz="4" w:space="0" w:color="auto"/>
              <w:right w:val="single" w:sz="4" w:space="0" w:color="auto"/>
            </w:tcBorders>
            <w:shd w:val="clear" w:color="auto" w:fill="auto"/>
            <w:vAlign w:val="center"/>
          </w:tcPr>
          <w:p w14:paraId="02BC96D7" w14:textId="38B4A57B" w:rsidR="00103931" w:rsidRPr="00117A55" w:rsidRDefault="003926A4" w:rsidP="00F25DE4">
            <w:pPr>
              <w:pStyle w:val="COMTabletext"/>
              <w:keepLines/>
              <w:jc w:val="center"/>
              <w:rPr>
                <w:szCs w:val="20"/>
                <w:highlight w:val="darkGray"/>
              </w:rPr>
            </w:pPr>
            <w:r w:rsidRPr="003926A4">
              <w:rPr>
                <w:color w:val="000000"/>
                <w:spacing w:val="67"/>
                <w:szCs w:val="20"/>
                <w:shd w:val="solid" w:color="000000" w:fill="000000"/>
                <w:fitText w:val="401" w:id="-1233424380"/>
                <w14:textFill>
                  <w14:solidFill>
                    <w14:srgbClr w14:val="000000">
                      <w14:alpha w14:val="100000"/>
                    </w14:srgbClr>
                  </w14:solidFill>
                </w14:textFill>
              </w:rPr>
              <w:t>|||</w:t>
            </w:r>
            <w:r w:rsidRPr="003926A4">
              <w:rPr>
                <w:color w:val="000000"/>
                <w:spacing w:val="27"/>
                <w:szCs w:val="20"/>
                <w:shd w:val="solid" w:color="000000" w:fill="000000"/>
                <w:fitText w:val="401" w:id="-1233424380"/>
                <w14:textFill>
                  <w14:solidFill>
                    <w14:srgbClr w14:val="000000">
                      <w14:alpha w14:val="100000"/>
                    </w14:srgbClr>
                  </w14:solidFill>
                </w14:textFill>
              </w:rPr>
              <w:t>|</w:t>
            </w:r>
            <w:r w:rsidR="00117A55" w:rsidRPr="00117A55">
              <w:rPr>
                <w:vertAlign w:val="superscript"/>
              </w:rPr>
              <w:t>1</w:t>
            </w:r>
          </w:p>
        </w:tc>
        <w:tc>
          <w:tcPr>
            <w:tcW w:w="584" w:type="pct"/>
            <w:tcBorders>
              <w:top w:val="single" w:sz="4" w:space="0" w:color="auto"/>
              <w:left w:val="nil"/>
              <w:bottom w:val="single" w:sz="4" w:space="0" w:color="auto"/>
              <w:right w:val="single" w:sz="4" w:space="0" w:color="auto"/>
            </w:tcBorders>
            <w:shd w:val="clear" w:color="auto" w:fill="auto"/>
            <w:vAlign w:val="center"/>
          </w:tcPr>
          <w:p w14:paraId="17F36550" w14:textId="02F2C1C0" w:rsidR="00103931" w:rsidRPr="00117A55" w:rsidRDefault="003926A4" w:rsidP="00F25DE4">
            <w:pPr>
              <w:pStyle w:val="COMTabletext"/>
              <w:keepLines/>
              <w:jc w:val="center"/>
              <w:rPr>
                <w:szCs w:val="20"/>
                <w:highlight w:val="darkGray"/>
              </w:rPr>
            </w:pPr>
            <w:r w:rsidRPr="003926A4">
              <w:rPr>
                <w:color w:val="000000"/>
                <w:spacing w:val="79"/>
                <w:szCs w:val="20"/>
                <w:shd w:val="solid" w:color="000000" w:fill="000000"/>
                <w:fitText w:val="410" w:id="-1233424379"/>
                <w14:textFill>
                  <w14:solidFill>
                    <w14:srgbClr w14:val="000000">
                      <w14:alpha w14:val="100000"/>
                    </w14:srgbClr>
                  </w14:solidFill>
                </w14:textFill>
              </w:rPr>
              <w:t>|||</w:t>
            </w:r>
            <w:r w:rsidRPr="003926A4">
              <w:rPr>
                <w:color w:val="000000"/>
                <w:spacing w:val="3"/>
                <w:szCs w:val="20"/>
                <w:shd w:val="solid" w:color="000000" w:fill="000000"/>
                <w:fitText w:val="410" w:id="-1233424379"/>
                <w14:textFill>
                  <w14:solidFill>
                    <w14:srgbClr w14:val="000000">
                      <w14:alpha w14:val="100000"/>
                    </w14:srgbClr>
                  </w14:solidFill>
                </w14:textFill>
              </w:rPr>
              <w:t>|</w:t>
            </w:r>
            <w:r w:rsidR="00117A55" w:rsidRPr="00117A55">
              <w:rPr>
                <w:vertAlign w:val="superscript"/>
              </w:rPr>
              <w:t>1</w:t>
            </w:r>
          </w:p>
        </w:tc>
        <w:tc>
          <w:tcPr>
            <w:tcW w:w="585" w:type="pct"/>
            <w:tcBorders>
              <w:top w:val="single" w:sz="4" w:space="0" w:color="auto"/>
              <w:left w:val="nil"/>
              <w:bottom w:val="single" w:sz="4" w:space="0" w:color="auto"/>
              <w:right w:val="single" w:sz="4" w:space="0" w:color="auto"/>
            </w:tcBorders>
            <w:shd w:val="clear" w:color="auto" w:fill="auto"/>
            <w:vAlign w:val="center"/>
          </w:tcPr>
          <w:p w14:paraId="6F82722C" w14:textId="1240AE70" w:rsidR="00103931" w:rsidRPr="00117A55" w:rsidRDefault="003926A4" w:rsidP="00F25DE4">
            <w:pPr>
              <w:pStyle w:val="COMTabletext"/>
              <w:keepLines/>
              <w:jc w:val="center"/>
              <w:rPr>
                <w:szCs w:val="20"/>
                <w:highlight w:val="darkGray"/>
              </w:rPr>
            </w:pPr>
            <w:r w:rsidRPr="003926A4">
              <w:rPr>
                <w:color w:val="000000"/>
                <w:spacing w:val="67"/>
                <w:szCs w:val="20"/>
                <w:shd w:val="solid" w:color="000000" w:fill="000000"/>
                <w:fitText w:val="401" w:id="-1233424378"/>
                <w14:textFill>
                  <w14:solidFill>
                    <w14:srgbClr w14:val="000000">
                      <w14:alpha w14:val="100000"/>
                    </w14:srgbClr>
                  </w14:solidFill>
                </w14:textFill>
              </w:rPr>
              <w:t>|||</w:t>
            </w:r>
            <w:r w:rsidRPr="003926A4">
              <w:rPr>
                <w:color w:val="000000"/>
                <w:spacing w:val="27"/>
                <w:szCs w:val="20"/>
                <w:shd w:val="solid" w:color="000000" w:fill="000000"/>
                <w:fitText w:val="401" w:id="-1233424378"/>
                <w14:textFill>
                  <w14:solidFill>
                    <w14:srgbClr w14:val="000000">
                      <w14:alpha w14:val="100000"/>
                    </w14:srgbClr>
                  </w14:solidFill>
                </w14:textFill>
              </w:rPr>
              <w:t>|</w:t>
            </w:r>
            <w:r w:rsidR="00117A55" w:rsidRPr="00117A55">
              <w:rPr>
                <w:vertAlign w:val="superscript"/>
              </w:rPr>
              <w:t>1</w:t>
            </w:r>
          </w:p>
        </w:tc>
        <w:tc>
          <w:tcPr>
            <w:tcW w:w="586" w:type="pct"/>
            <w:tcBorders>
              <w:top w:val="single" w:sz="4" w:space="0" w:color="auto"/>
              <w:left w:val="nil"/>
              <w:bottom w:val="single" w:sz="4" w:space="0" w:color="auto"/>
              <w:right w:val="single" w:sz="4" w:space="0" w:color="auto"/>
            </w:tcBorders>
            <w:shd w:val="clear" w:color="auto" w:fill="auto"/>
            <w:vAlign w:val="center"/>
          </w:tcPr>
          <w:p w14:paraId="7A62F718" w14:textId="4E9AC35A" w:rsidR="00103931" w:rsidRPr="00117A55" w:rsidRDefault="003926A4" w:rsidP="00F25DE4">
            <w:pPr>
              <w:pStyle w:val="COMTabletext"/>
              <w:keepLines/>
              <w:jc w:val="center"/>
              <w:rPr>
                <w:szCs w:val="20"/>
                <w:highlight w:val="darkGray"/>
              </w:rPr>
            </w:pPr>
            <w:r w:rsidRPr="003926A4">
              <w:rPr>
                <w:color w:val="000000"/>
                <w:spacing w:val="67"/>
                <w:szCs w:val="20"/>
                <w:shd w:val="solid" w:color="000000" w:fill="000000"/>
                <w:fitText w:val="401" w:id="-1233424377"/>
                <w14:textFill>
                  <w14:solidFill>
                    <w14:srgbClr w14:val="000000">
                      <w14:alpha w14:val="100000"/>
                    </w14:srgbClr>
                  </w14:solidFill>
                </w14:textFill>
              </w:rPr>
              <w:t>|||</w:t>
            </w:r>
            <w:r w:rsidRPr="003926A4">
              <w:rPr>
                <w:color w:val="000000"/>
                <w:spacing w:val="27"/>
                <w:szCs w:val="20"/>
                <w:shd w:val="solid" w:color="000000" w:fill="000000"/>
                <w:fitText w:val="401" w:id="-1233424377"/>
                <w14:textFill>
                  <w14:solidFill>
                    <w14:srgbClr w14:val="000000">
                      <w14:alpha w14:val="100000"/>
                    </w14:srgbClr>
                  </w14:solidFill>
                </w14:textFill>
              </w:rPr>
              <w:t>|</w:t>
            </w:r>
            <w:r w:rsidR="00117A55" w:rsidRPr="00117A55">
              <w:rPr>
                <w:vertAlign w:val="superscript"/>
              </w:rPr>
              <w:t>1</w:t>
            </w:r>
          </w:p>
        </w:tc>
      </w:tr>
      <w:tr w:rsidR="00E171C6" w:rsidRPr="00B31282" w14:paraId="4E2D4279" w14:textId="77777777" w:rsidTr="00D12BAD">
        <w:tc>
          <w:tcPr>
            <w:tcW w:w="1491" w:type="pct"/>
            <w:tcBorders>
              <w:top w:val="single" w:sz="4" w:space="0" w:color="auto"/>
              <w:bottom w:val="single" w:sz="4" w:space="0" w:color="auto"/>
              <w:right w:val="single" w:sz="4" w:space="0" w:color="auto"/>
            </w:tcBorders>
          </w:tcPr>
          <w:p w14:paraId="574C5CB0" w14:textId="77777777" w:rsidR="00E171C6" w:rsidRPr="00B31282" w:rsidRDefault="00E171C6" w:rsidP="00F25DE4">
            <w:pPr>
              <w:pStyle w:val="COMTabletext"/>
              <w:keepLines/>
              <w:rPr>
                <w:szCs w:val="20"/>
              </w:rPr>
            </w:pPr>
            <w:r w:rsidRPr="00B31282">
              <w:rPr>
                <w:szCs w:val="20"/>
              </w:rPr>
              <w:t xml:space="preserve">PBS/RPBS cost </w:t>
            </w:r>
          </w:p>
        </w:tc>
        <w:tc>
          <w:tcPr>
            <w:tcW w:w="584" w:type="pct"/>
            <w:tcBorders>
              <w:top w:val="single" w:sz="4" w:space="0" w:color="auto"/>
              <w:left w:val="nil"/>
              <w:bottom w:val="single" w:sz="4" w:space="0" w:color="auto"/>
              <w:right w:val="single" w:sz="4" w:space="0" w:color="auto"/>
            </w:tcBorders>
            <w:shd w:val="clear" w:color="auto" w:fill="auto"/>
            <w:vAlign w:val="center"/>
          </w:tcPr>
          <w:p w14:paraId="278CB24B" w14:textId="090921F0" w:rsidR="00E171C6"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76"/>
                <w14:textFill>
                  <w14:solidFill>
                    <w14:srgbClr w14:val="000000">
                      <w14:alpha w14:val="100000"/>
                    </w14:srgbClr>
                  </w14:solidFill>
                </w14:textFill>
              </w:rPr>
              <w:t>|||</w:t>
            </w:r>
            <w:r w:rsidRPr="003926A4">
              <w:rPr>
                <w:color w:val="000000"/>
                <w:spacing w:val="3"/>
                <w:shd w:val="solid" w:color="000000" w:fill="000000"/>
                <w:fitText w:val="410" w:id="-1233424376"/>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BA09F5E" w14:textId="391F4A8D"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5"/>
                <w14:textFill>
                  <w14:solidFill>
                    <w14:srgbClr w14:val="000000">
                      <w14:alpha w14:val="100000"/>
                    </w14:srgbClr>
                  </w14:solidFill>
                </w14:textFill>
              </w:rPr>
              <w:t>|||</w:t>
            </w:r>
            <w:r w:rsidRPr="003926A4">
              <w:rPr>
                <w:color w:val="000000"/>
                <w:spacing w:val="27"/>
                <w:shd w:val="solid" w:color="000000" w:fill="000000"/>
                <w:fitText w:val="401" w:id="-1233424375"/>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C0EB4DC" w14:textId="4E1CAF9D"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4"/>
                <w14:textFill>
                  <w14:solidFill>
                    <w14:srgbClr w14:val="000000">
                      <w14:alpha w14:val="100000"/>
                    </w14:srgbClr>
                  </w14:solidFill>
                </w14:textFill>
              </w:rPr>
              <w:t>|||</w:t>
            </w:r>
            <w:r w:rsidRPr="003926A4">
              <w:rPr>
                <w:color w:val="000000"/>
                <w:spacing w:val="27"/>
                <w:shd w:val="solid" w:color="000000" w:fill="000000"/>
                <w:fitText w:val="401" w:id="-1233424374"/>
                <w14:textFill>
                  <w14:solidFill>
                    <w14:srgbClr w14:val="000000">
                      <w14:alpha w14:val="100000"/>
                    </w14:srgbClr>
                  </w14:solidFill>
                </w14:textFill>
              </w:rPr>
              <w:t>|</w:t>
            </w:r>
            <w:r w:rsidR="00117A55">
              <w:rPr>
                <w:vertAlign w:val="superscript"/>
              </w:rPr>
              <w:t>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B3D425A" w14:textId="2E91942F" w:rsidR="00E171C6"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73"/>
                <w14:textFill>
                  <w14:solidFill>
                    <w14:srgbClr w14:val="000000">
                      <w14:alpha w14:val="100000"/>
                    </w14:srgbClr>
                  </w14:solidFill>
                </w14:textFill>
              </w:rPr>
              <w:t>|||</w:t>
            </w:r>
            <w:r w:rsidRPr="003926A4">
              <w:rPr>
                <w:color w:val="000000"/>
                <w:spacing w:val="3"/>
                <w:shd w:val="solid" w:color="000000" w:fill="000000"/>
                <w:fitText w:val="410" w:id="-1233424373"/>
                <w14:textFill>
                  <w14:solidFill>
                    <w14:srgbClr w14:val="000000">
                      <w14:alpha w14:val="100000"/>
                    </w14:srgbClr>
                  </w14:solidFill>
                </w14:textFill>
              </w:rPr>
              <w:t>|</w:t>
            </w:r>
            <w:r w:rsidR="00BB029F">
              <w:rPr>
                <w:vertAlign w:val="superscript"/>
              </w:rPr>
              <w:t>6</w:t>
            </w:r>
          </w:p>
        </w:tc>
        <w:tc>
          <w:tcPr>
            <w:tcW w:w="585" w:type="pct"/>
            <w:tcBorders>
              <w:top w:val="single" w:sz="4" w:space="0" w:color="auto"/>
              <w:left w:val="single" w:sz="4" w:space="0" w:color="auto"/>
              <w:bottom w:val="single" w:sz="4" w:space="0" w:color="auto"/>
              <w:right w:val="nil"/>
            </w:tcBorders>
            <w:shd w:val="clear" w:color="auto" w:fill="auto"/>
            <w:vAlign w:val="center"/>
          </w:tcPr>
          <w:p w14:paraId="182735CA" w14:textId="5CF342BD"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2"/>
                <w14:textFill>
                  <w14:solidFill>
                    <w14:srgbClr w14:val="000000">
                      <w14:alpha w14:val="100000"/>
                    </w14:srgbClr>
                  </w14:solidFill>
                </w14:textFill>
              </w:rPr>
              <w:t>|||</w:t>
            </w:r>
            <w:r w:rsidRPr="003926A4">
              <w:rPr>
                <w:color w:val="000000"/>
                <w:spacing w:val="27"/>
                <w:shd w:val="solid" w:color="000000" w:fill="000000"/>
                <w:fitText w:val="401" w:id="-1233424372"/>
                <w14:textFill>
                  <w14:solidFill>
                    <w14:srgbClr w14:val="000000">
                      <w14:alpha w14:val="100000"/>
                    </w14:srgbClr>
                  </w14:solidFill>
                </w14:textFill>
              </w:rPr>
              <w:t>|</w:t>
            </w:r>
            <w:r w:rsidR="00BB029F">
              <w:rPr>
                <w:vertAlign w:val="superscript"/>
              </w:rPr>
              <w:t>6</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3347379D" w14:textId="2F7AEBEF"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1"/>
                <w14:textFill>
                  <w14:solidFill>
                    <w14:srgbClr w14:val="000000">
                      <w14:alpha w14:val="100000"/>
                    </w14:srgbClr>
                  </w14:solidFill>
                </w14:textFill>
              </w:rPr>
              <w:t>|||</w:t>
            </w:r>
            <w:r w:rsidRPr="003926A4">
              <w:rPr>
                <w:color w:val="000000"/>
                <w:spacing w:val="27"/>
                <w:shd w:val="solid" w:color="000000" w:fill="000000"/>
                <w:fitText w:val="401" w:id="-1233424371"/>
                <w14:textFill>
                  <w14:solidFill>
                    <w14:srgbClr w14:val="000000">
                      <w14:alpha w14:val="100000"/>
                    </w14:srgbClr>
                  </w14:solidFill>
                </w14:textFill>
              </w:rPr>
              <w:t>|</w:t>
            </w:r>
            <w:r w:rsidR="00BB029F">
              <w:rPr>
                <w:vertAlign w:val="superscript"/>
              </w:rPr>
              <w:t>6</w:t>
            </w:r>
          </w:p>
        </w:tc>
      </w:tr>
      <w:tr w:rsidR="00E171C6" w:rsidRPr="00B31282" w14:paraId="2BF7FE94" w14:textId="77777777" w:rsidTr="00D12BAD">
        <w:tc>
          <w:tcPr>
            <w:tcW w:w="1491" w:type="pct"/>
            <w:tcBorders>
              <w:top w:val="single" w:sz="4" w:space="0" w:color="auto"/>
              <w:bottom w:val="single" w:sz="4" w:space="0" w:color="auto"/>
              <w:right w:val="single" w:sz="4" w:space="0" w:color="auto"/>
            </w:tcBorders>
          </w:tcPr>
          <w:p w14:paraId="395BFDE4" w14:textId="77777777" w:rsidR="00E171C6" w:rsidRPr="00B31282" w:rsidRDefault="00E171C6" w:rsidP="00F25DE4">
            <w:pPr>
              <w:pStyle w:val="COMTabletext"/>
              <w:keepLines/>
              <w:rPr>
                <w:szCs w:val="20"/>
              </w:rPr>
            </w:pPr>
            <w:r w:rsidRPr="00B31282">
              <w:rPr>
                <w:szCs w:val="20"/>
              </w:rPr>
              <w:t xml:space="preserve">Patient copayments </w:t>
            </w:r>
          </w:p>
        </w:tc>
        <w:tc>
          <w:tcPr>
            <w:tcW w:w="584" w:type="pct"/>
            <w:tcBorders>
              <w:top w:val="single" w:sz="4" w:space="0" w:color="auto"/>
              <w:left w:val="nil"/>
              <w:bottom w:val="single" w:sz="4" w:space="0" w:color="auto"/>
              <w:right w:val="single" w:sz="4" w:space="0" w:color="auto"/>
            </w:tcBorders>
            <w:shd w:val="clear" w:color="auto" w:fill="auto"/>
            <w:vAlign w:val="center"/>
          </w:tcPr>
          <w:p w14:paraId="1927D6D1" w14:textId="4F6E5A89" w:rsidR="00E171C6"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70"/>
                <w14:textFill>
                  <w14:solidFill>
                    <w14:srgbClr w14:val="000000">
                      <w14:alpha w14:val="100000"/>
                    </w14:srgbClr>
                  </w14:solidFill>
                </w14:textFill>
              </w:rPr>
              <w:t>|||</w:t>
            </w:r>
            <w:r w:rsidRPr="003926A4">
              <w:rPr>
                <w:color w:val="000000"/>
                <w:spacing w:val="3"/>
                <w:shd w:val="solid" w:color="000000" w:fill="000000"/>
                <w:fitText w:val="410" w:id="-1233424370"/>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868D23D" w14:textId="64A94C66"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69"/>
                <w14:textFill>
                  <w14:solidFill>
                    <w14:srgbClr w14:val="000000">
                      <w14:alpha w14:val="100000"/>
                    </w14:srgbClr>
                  </w14:solidFill>
                </w14:textFill>
              </w:rPr>
              <w:t>|||</w:t>
            </w:r>
            <w:r w:rsidRPr="003926A4">
              <w:rPr>
                <w:color w:val="000000"/>
                <w:spacing w:val="27"/>
                <w:shd w:val="solid" w:color="000000" w:fill="000000"/>
                <w:fitText w:val="401" w:id="-1233424369"/>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8563E7B" w14:textId="4D463D7A"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68"/>
                <w14:textFill>
                  <w14:solidFill>
                    <w14:srgbClr w14:val="000000">
                      <w14:alpha w14:val="100000"/>
                    </w14:srgbClr>
                  </w14:solidFill>
                </w14:textFill>
              </w:rPr>
              <w:t>|||</w:t>
            </w:r>
            <w:r w:rsidRPr="003926A4">
              <w:rPr>
                <w:color w:val="000000"/>
                <w:spacing w:val="27"/>
                <w:shd w:val="solid" w:color="000000" w:fill="000000"/>
                <w:fitText w:val="401" w:id="-1233424368"/>
                <w14:textFill>
                  <w14:solidFill>
                    <w14:srgbClr w14:val="000000">
                      <w14:alpha w14:val="100000"/>
                    </w14:srgbClr>
                  </w14:solidFill>
                </w14:textFill>
              </w:rPr>
              <w:t>|</w:t>
            </w:r>
            <w:r w:rsidR="00117A55">
              <w:rPr>
                <w:vertAlign w:val="superscript"/>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FA7EA18" w14:textId="20AD541E" w:rsidR="00E171C6"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84"/>
                <w14:textFill>
                  <w14:solidFill>
                    <w14:srgbClr w14:val="000000">
                      <w14:alpha w14:val="100000"/>
                    </w14:srgbClr>
                  </w14:solidFill>
                </w14:textFill>
              </w:rPr>
              <w:t>|||</w:t>
            </w:r>
            <w:r w:rsidRPr="003926A4">
              <w:rPr>
                <w:color w:val="000000"/>
                <w:spacing w:val="3"/>
                <w:shd w:val="solid" w:color="000000" w:fill="000000"/>
                <w:fitText w:val="410" w:id="-1233424384"/>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nil"/>
            </w:tcBorders>
            <w:shd w:val="clear" w:color="auto" w:fill="auto"/>
            <w:vAlign w:val="center"/>
          </w:tcPr>
          <w:p w14:paraId="67CC8CC2" w14:textId="379BEE0D"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83"/>
                <w14:textFill>
                  <w14:solidFill>
                    <w14:srgbClr w14:val="000000">
                      <w14:alpha w14:val="100000"/>
                    </w14:srgbClr>
                  </w14:solidFill>
                </w14:textFill>
              </w:rPr>
              <w:t>|||</w:t>
            </w:r>
            <w:r w:rsidRPr="003926A4">
              <w:rPr>
                <w:color w:val="000000"/>
                <w:spacing w:val="27"/>
                <w:shd w:val="solid" w:color="000000" w:fill="000000"/>
                <w:fitText w:val="401" w:id="-1233424383"/>
                <w14:textFill>
                  <w14:solidFill>
                    <w14:srgbClr w14:val="000000">
                      <w14:alpha w14:val="100000"/>
                    </w14:srgbClr>
                  </w14:solidFill>
                </w14:textFill>
              </w:rPr>
              <w:t>|</w:t>
            </w:r>
            <w:r w:rsidR="00117A55">
              <w:rPr>
                <w:vertAlign w:val="superscript"/>
              </w:rPr>
              <w:t>3</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D40DA00" w14:textId="578057F2" w:rsidR="00E171C6"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82"/>
                <w14:textFill>
                  <w14:solidFill>
                    <w14:srgbClr w14:val="000000">
                      <w14:alpha w14:val="100000"/>
                    </w14:srgbClr>
                  </w14:solidFill>
                </w14:textFill>
              </w:rPr>
              <w:t>|||</w:t>
            </w:r>
            <w:r w:rsidRPr="003926A4">
              <w:rPr>
                <w:color w:val="000000"/>
                <w:spacing w:val="27"/>
                <w:shd w:val="solid" w:color="000000" w:fill="000000"/>
                <w:fitText w:val="401" w:id="-1233424382"/>
                <w14:textFill>
                  <w14:solidFill>
                    <w14:srgbClr w14:val="000000">
                      <w14:alpha w14:val="100000"/>
                    </w14:srgbClr>
                  </w14:solidFill>
                </w14:textFill>
              </w:rPr>
              <w:t>|</w:t>
            </w:r>
            <w:r w:rsidR="00117A55">
              <w:rPr>
                <w:vertAlign w:val="superscript"/>
              </w:rPr>
              <w:t>3</w:t>
            </w:r>
          </w:p>
        </w:tc>
      </w:tr>
      <w:tr w:rsidR="00E171C6" w:rsidRPr="00B31282" w14:paraId="2D8BBC6D" w14:textId="77777777" w:rsidTr="00D12BAD">
        <w:tc>
          <w:tcPr>
            <w:tcW w:w="1491" w:type="pct"/>
            <w:tcBorders>
              <w:top w:val="single" w:sz="4" w:space="0" w:color="auto"/>
              <w:bottom w:val="single" w:sz="4" w:space="0" w:color="auto"/>
              <w:right w:val="single" w:sz="4" w:space="0" w:color="auto"/>
            </w:tcBorders>
          </w:tcPr>
          <w:p w14:paraId="63EE3FAB" w14:textId="77777777" w:rsidR="00E171C6" w:rsidRPr="00B31282" w:rsidRDefault="00E171C6" w:rsidP="00F25DE4">
            <w:pPr>
              <w:pStyle w:val="COMTabletext"/>
              <w:keepLines/>
              <w:rPr>
                <w:szCs w:val="20"/>
              </w:rPr>
            </w:pPr>
            <w:r w:rsidRPr="00B31282">
              <w:rPr>
                <w:szCs w:val="20"/>
              </w:rPr>
              <w:t xml:space="preserve">Net PBS/RPBS cost </w:t>
            </w:r>
          </w:p>
        </w:tc>
        <w:tc>
          <w:tcPr>
            <w:tcW w:w="584" w:type="pct"/>
            <w:tcBorders>
              <w:top w:val="single" w:sz="4" w:space="0" w:color="auto"/>
              <w:left w:val="nil"/>
              <w:bottom w:val="single" w:sz="4" w:space="0" w:color="auto"/>
              <w:right w:val="single" w:sz="4" w:space="0" w:color="auto"/>
            </w:tcBorders>
            <w:shd w:val="clear" w:color="auto" w:fill="auto"/>
            <w:vAlign w:val="center"/>
          </w:tcPr>
          <w:p w14:paraId="460D5D09" w14:textId="211F02E0" w:rsidR="00E171C6" w:rsidRPr="00117A55" w:rsidRDefault="003926A4" w:rsidP="00F25DE4">
            <w:pPr>
              <w:pStyle w:val="COMTabletext"/>
              <w:keepLines/>
              <w:jc w:val="center"/>
              <w:rPr>
                <w:szCs w:val="20"/>
                <w:highlight w:val="darkGray"/>
              </w:rPr>
            </w:pPr>
            <w:r w:rsidRPr="003926A4">
              <w:rPr>
                <w:b/>
                <w:bCs w:val="0"/>
                <w:color w:val="000000"/>
                <w:spacing w:val="41"/>
                <w:shd w:val="solid" w:color="000000" w:fill="000000"/>
                <w:fitText w:val="483" w:id="-1233424381"/>
                <w14:textFill>
                  <w14:solidFill>
                    <w14:srgbClr w14:val="000000">
                      <w14:alpha w14:val="100000"/>
                    </w14:srgbClr>
                  </w14:solidFill>
                </w14:textFill>
              </w:rPr>
              <w:t>|||||</w:t>
            </w:r>
            <w:r w:rsidRPr="003926A4">
              <w:rPr>
                <w:b/>
                <w:bCs w:val="0"/>
                <w:color w:val="000000"/>
                <w:spacing w:val="3"/>
                <w:shd w:val="solid" w:color="000000" w:fill="000000"/>
                <w:fitText w:val="483" w:id="-1233424381"/>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09B6FAEA" w14:textId="704B53AA" w:rsidR="00E171C6" w:rsidRPr="00117A55" w:rsidRDefault="003926A4" w:rsidP="00F25DE4">
            <w:pPr>
              <w:pStyle w:val="COMTabletext"/>
              <w:keepLines/>
              <w:jc w:val="center"/>
              <w:rPr>
                <w:szCs w:val="20"/>
                <w:highlight w:val="darkGray"/>
              </w:rPr>
            </w:pPr>
            <w:r w:rsidRPr="003926A4">
              <w:rPr>
                <w:b/>
                <w:bCs w:val="0"/>
                <w:color w:val="000000"/>
                <w:spacing w:val="39"/>
                <w:shd w:val="solid" w:color="000000" w:fill="000000"/>
                <w:fitText w:val="474" w:id="-1233424380"/>
                <w14:textFill>
                  <w14:solidFill>
                    <w14:srgbClr w14:val="000000">
                      <w14:alpha w14:val="100000"/>
                    </w14:srgbClr>
                  </w14:solidFill>
                </w14:textFill>
              </w:rPr>
              <w:t>|||||</w:t>
            </w:r>
            <w:r w:rsidRPr="003926A4">
              <w:rPr>
                <w:b/>
                <w:bCs w:val="0"/>
                <w:color w:val="000000"/>
                <w:spacing w:val="4"/>
                <w:shd w:val="solid" w:color="000000" w:fill="000000"/>
                <w:fitText w:val="474" w:id="-1233424380"/>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4BC491EA" w14:textId="005AE380" w:rsidR="00E171C6" w:rsidRPr="00117A55" w:rsidRDefault="003926A4" w:rsidP="00F25DE4">
            <w:pPr>
              <w:pStyle w:val="COMTabletext"/>
              <w:keepLines/>
              <w:jc w:val="center"/>
              <w:rPr>
                <w:szCs w:val="20"/>
                <w:highlight w:val="darkGray"/>
              </w:rPr>
            </w:pPr>
            <w:r w:rsidRPr="003926A4">
              <w:rPr>
                <w:b/>
                <w:bCs w:val="0"/>
                <w:color w:val="000000"/>
                <w:spacing w:val="39"/>
                <w:shd w:val="solid" w:color="000000" w:fill="000000"/>
                <w:fitText w:val="474" w:id="-1233424379"/>
                <w14:textFill>
                  <w14:solidFill>
                    <w14:srgbClr w14:val="000000">
                      <w14:alpha w14:val="100000"/>
                    </w14:srgbClr>
                  </w14:solidFill>
                </w14:textFill>
              </w:rPr>
              <w:t>|||||</w:t>
            </w:r>
            <w:r w:rsidRPr="003926A4">
              <w:rPr>
                <w:b/>
                <w:bCs w:val="0"/>
                <w:color w:val="000000"/>
                <w:spacing w:val="4"/>
                <w:shd w:val="solid" w:color="000000" w:fill="000000"/>
                <w:fitText w:val="474" w:id="-1233424379"/>
                <w14:textFill>
                  <w14:solidFill>
                    <w14:srgbClr w14:val="000000">
                      <w14:alpha w14:val="100000"/>
                    </w14:srgbClr>
                  </w14:solidFill>
                </w14:textFill>
              </w:rPr>
              <w:t>|</w:t>
            </w:r>
            <w:r w:rsidR="00117A55">
              <w:rPr>
                <w:vertAlign w:val="superscript"/>
              </w:rPr>
              <w:t>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F1E8C9B" w14:textId="4AF36A5D" w:rsidR="00E171C6" w:rsidRPr="00117A55" w:rsidRDefault="003926A4" w:rsidP="00F25DE4">
            <w:pPr>
              <w:pStyle w:val="COMTabletext"/>
              <w:keepLines/>
              <w:jc w:val="center"/>
              <w:rPr>
                <w:szCs w:val="20"/>
                <w:highlight w:val="darkGray"/>
              </w:rPr>
            </w:pPr>
            <w:r w:rsidRPr="003926A4">
              <w:rPr>
                <w:b/>
                <w:bCs w:val="0"/>
                <w:color w:val="000000"/>
                <w:spacing w:val="41"/>
                <w:shd w:val="solid" w:color="000000" w:fill="000000"/>
                <w:fitText w:val="483" w:id="-1233424378"/>
                <w14:textFill>
                  <w14:solidFill>
                    <w14:srgbClr w14:val="000000">
                      <w14:alpha w14:val="100000"/>
                    </w14:srgbClr>
                  </w14:solidFill>
                </w14:textFill>
              </w:rPr>
              <w:t>|||||</w:t>
            </w:r>
            <w:r w:rsidRPr="003926A4">
              <w:rPr>
                <w:b/>
                <w:bCs w:val="0"/>
                <w:color w:val="000000"/>
                <w:spacing w:val="3"/>
                <w:shd w:val="solid" w:color="000000" w:fill="000000"/>
                <w:fitText w:val="483" w:id="-1233424378"/>
                <w14:textFill>
                  <w14:solidFill>
                    <w14:srgbClr w14:val="000000">
                      <w14:alpha w14:val="100000"/>
                    </w14:srgbClr>
                  </w14:solidFill>
                </w14:textFill>
              </w:rPr>
              <w:t>|</w:t>
            </w:r>
            <w:r w:rsidR="00BB029F">
              <w:rPr>
                <w:vertAlign w:val="superscript"/>
              </w:rPr>
              <w:t>6</w:t>
            </w:r>
          </w:p>
        </w:tc>
        <w:tc>
          <w:tcPr>
            <w:tcW w:w="585" w:type="pct"/>
            <w:tcBorders>
              <w:top w:val="single" w:sz="4" w:space="0" w:color="auto"/>
              <w:left w:val="single" w:sz="4" w:space="0" w:color="auto"/>
              <w:bottom w:val="single" w:sz="4" w:space="0" w:color="auto"/>
              <w:right w:val="nil"/>
            </w:tcBorders>
            <w:shd w:val="clear" w:color="auto" w:fill="auto"/>
            <w:vAlign w:val="center"/>
          </w:tcPr>
          <w:p w14:paraId="620504E7" w14:textId="4B749DEB" w:rsidR="00E171C6" w:rsidRPr="00117A55" w:rsidRDefault="003926A4" w:rsidP="00F25DE4">
            <w:pPr>
              <w:pStyle w:val="COMTabletext"/>
              <w:keepLines/>
              <w:jc w:val="center"/>
              <w:rPr>
                <w:szCs w:val="20"/>
                <w:highlight w:val="darkGray"/>
              </w:rPr>
            </w:pPr>
            <w:r w:rsidRPr="003926A4">
              <w:rPr>
                <w:b/>
                <w:bCs w:val="0"/>
                <w:color w:val="000000"/>
                <w:spacing w:val="39"/>
                <w:shd w:val="solid" w:color="000000" w:fill="000000"/>
                <w:fitText w:val="474" w:id="-1233424377"/>
                <w14:textFill>
                  <w14:solidFill>
                    <w14:srgbClr w14:val="000000">
                      <w14:alpha w14:val="100000"/>
                    </w14:srgbClr>
                  </w14:solidFill>
                </w14:textFill>
              </w:rPr>
              <w:t>|||||</w:t>
            </w:r>
            <w:r w:rsidRPr="003926A4">
              <w:rPr>
                <w:b/>
                <w:bCs w:val="0"/>
                <w:color w:val="000000"/>
                <w:spacing w:val="4"/>
                <w:shd w:val="solid" w:color="000000" w:fill="000000"/>
                <w:fitText w:val="474" w:id="-1233424377"/>
                <w14:textFill>
                  <w14:solidFill>
                    <w14:srgbClr w14:val="000000">
                      <w14:alpha w14:val="100000"/>
                    </w14:srgbClr>
                  </w14:solidFill>
                </w14:textFill>
              </w:rPr>
              <w:t>|</w:t>
            </w:r>
            <w:r w:rsidR="00BB029F">
              <w:rPr>
                <w:vertAlign w:val="superscript"/>
              </w:rPr>
              <w:t>6</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599EFA6" w14:textId="238B0E84" w:rsidR="00E171C6" w:rsidRPr="00117A55" w:rsidRDefault="003926A4" w:rsidP="00F25DE4">
            <w:pPr>
              <w:pStyle w:val="COMTabletext"/>
              <w:keepLines/>
              <w:jc w:val="center"/>
              <w:rPr>
                <w:szCs w:val="20"/>
                <w:highlight w:val="darkGray"/>
              </w:rPr>
            </w:pPr>
            <w:r w:rsidRPr="003926A4">
              <w:rPr>
                <w:b/>
                <w:bCs w:val="0"/>
                <w:color w:val="000000"/>
                <w:spacing w:val="39"/>
                <w:shd w:val="solid" w:color="000000" w:fill="000000"/>
                <w:fitText w:val="474" w:id="-1233424376"/>
                <w14:textFill>
                  <w14:solidFill>
                    <w14:srgbClr w14:val="000000">
                      <w14:alpha w14:val="100000"/>
                    </w14:srgbClr>
                  </w14:solidFill>
                </w14:textFill>
              </w:rPr>
              <w:t>|||||</w:t>
            </w:r>
            <w:r w:rsidRPr="003926A4">
              <w:rPr>
                <w:b/>
                <w:bCs w:val="0"/>
                <w:color w:val="000000"/>
                <w:spacing w:val="4"/>
                <w:shd w:val="solid" w:color="000000" w:fill="000000"/>
                <w:fitText w:val="474" w:id="-1233424376"/>
                <w14:textFill>
                  <w14:solidFill>
                    <w14:srgbClr w14:val="000000">
                      <w14:alpha w14:val="100000"/>
                    </w14:srgbClr>
                  </w14:solidFill>
                </w14:textFill>
              </w:rPr>
              <w:t>|</w:t>
            </w:r>
            <w:r w:rsidR="00BB029F">
              <w:rPr>
                <w:vertAlign w:val="superscript"/>
              </w:rPr>
              <w:t>6</w:t>
            </w:r>
          </w:p>
        </w:tc>
      </w:tr>
      <w:tr w:rsidR="00E171C6" w:rsidRPr="00B31282" w14:paraId="76CA70AC" w14:textId="77777777" w:rsidTr="00D12BAD">
        <w:tc>
          <w:tcPr>
            <w:tcW w:w="5000" w:type="pct"/>
            <w:gridSpan w:val="7"/>
            <w:tcBorders>
              <w:top w:val="single" w:sz="4" w:space="0" w:color="auto"/>
              <w:bottom w:val="single" w:sz="4" w:space="0" w:color="auto"/>
              <w:right w:val="single" w:sz="4" w:space="0" w:color="auto"/>
            </w:tcBorders>
          </w:tcPr>
          <w:p w14:paraId="64C864A8" w14:textId="77777777" w:rsidR="00E171C6" w:rsidRPr="00B31282" w:rsidRDefault="00E171C6" w:rsidP="00F25DE4">
            <w:pPr>
              <w:pStyle w:val="COMTabletext"/>
              <w:keepLines/>
              <w:rPr>
                <w:b/>
                <w:bCs w:val="0"/>
                <w:szCs w:val="20"/>
              </w:rPr>
            </w:pPr>
            <w:r w:rsidRPr="00B31282">
              <w:rPr>
                <w:b/>
                <w:bCs w:val="0"/>
                <w:szCs w:val="20"/>
              </w:rPr>
              <w:t>Reduction in cost of ibrutinib with listing of zanubrutinib</w:t>
            </w:r>
          </w:p>
        </w:tc>
      </w:tr>
      <w:tr w:rsidR="00E171C6" w:rsidRPr="00B31282" w14:paraId="1DCAF905" w14:textId="77777777" w:rsidTr="00A25B6B">
        <w:tc>
          <w:tcPr>
            <w:tcW w:w="1491" w:type="pct"/>
            <w:tcBorders>
              <w:bottom w:val="single" w:sz="4" w:space="0" w:color="auto"/>
            </w:tcBorders>
            <w:shd w:val="clear" w:color="auto" w:fill="auto"/>
            <w:vAlign w:val="center"/>
          </w:tcPr>
          <w:p w14:paraId="4F51690D" w14:textId="77777777" w:rsidR="00E171C6" w:rsidRPr="00B31282" w:rsidRDefault="00E171C6" w:rsidP="00F25DE4">
            <w:pPr>
              <w:pStyle w:val="COMTabletext"/>
              <w:keepLines/>
              <w:rPr>
                <w:b/>
                <w:bCs w:val="0"/>
                <w:szCs w:val="20"/>
              </w:rPr>
            </w:pPr>
            <w:r w:rsidRPr="00B31282">
              <w:rPr>
                <w:szCs w:val="20"/>
              </w:rPr>
              <w:t>Ibrutinib scripts replaced</w:t>
            </w:r>
          </w:p>
        </w:tc>
        <w:tc>
          <w:tcPr>
            <w:tcW w:w="584" w:type="pct"/>
            <w:tcBorders>
              <w:bottom w:val="single" w:sz="4" w:space="0" w:color="auto"/>
            </w:tcBorders>
            <w:shd w:val="clear" w:color="auto" w:fill="auto"/>
            <w:vAlign w:val="center"/>
          </w:tcPr>
          <w:p w14:paraId="0137E73A" w14:textId="0F4487F3" w:rsidR="00E171C6" w:rsidRPr="00117A55" w:rsidRDefault="00E171C6" w:rsidP="00F25DE4">
            <w:pPr>
              <w:pStyle w:val="COMTabletext"/>
              <w:keepLines/>
              <w:jc w:val="center"/>
              <w:rPr>
                <w:szCs w:val="20"/>
                <w:highlight w:val="darkGray"/>
              </w:rPr>
            </w:pPr>
            <w:r w:rsidRPr="00117A55">
              <w:rPr>
                <w:szCs w:val="20"/>
              </w:rPr>
              <w:t>-</w:t>
            </w:r>
            <w:r w:rsidR="003926A4" w:rsidRPr="003926A4">
              <w:rPr>
                <w:color w:val="000000"/>
                <w:spacing w:val="27"/>
                <w:szCs w:val="20"/>
                <w:shd w:val="solid" w:color="000000" w:fill="000000"/>
                <w:fitText w:val="438" w:id="-1233424375"/>
                <w14:textFill>
                  <w14:solidFill>
                    <w14:srgbClr w14:val="000000">
                      <w14:alpha w14:val="100000"/>
                    </w14:srgbClr>
                  </w14:solidFill>
                </w14:textFill>
              </w:rPr>
              <w:t>|||||</w:t>
            </w:r>
            <w:r w:rsidR="003926A4" w:rsidRPr="003926A4">
              <w:rPr>
                <w:color w:val="000000"/>
                <w:spacing w:val="54"/>
                <w:szCs w:val="20"/>
                <w:shd w:val="solid" w:color="000000" w:fill="000000"/>
                <w:fitText w:val="438" w:id="-1233424375"/>
                <w14:textFill>
                  <w14:solidFill>
                    <w14:srgbClr w14:val="000000">
                      <w14:alpha w14:val="100000"/>
                    </w14:srgbClr>
                  </w14:solidFill>
                </w14:textFill>
              </w:rPr>
              <w:t>|</w:t>
            </w:r>
            <w:r w:rsidR="00117A55" w:rsidRPr="00117A55">
              <w:rPr>
                <w:vertAlign w:val="superscript"/>
              </w:rPr>
              <w:t>1</w:t>
            </w:r>
          </w:p>
        </w:tc>
        <w:tc>
          <w:tcPr>
            <w:tcW w:w="585" w:type="pct"/>
            <w:tcBorders>
              <w:bottom w:val="single" w:sz="4" w:space="0" w:color="auto"/>
            </w:tcBorders>
            <w:shd w:val="clear" w:color="auto" w:fill="auto"/>
            <w:vAlign w:val="center"/>
          </w:tcPr>
          <w:p w14:paraId="58AE44D5" w14:textId="60DEF67D" w:rsidR="00E171C6" w:rsidRPr="00117A55" w:rsidRDefault="00E171C6" w:rsidP="00F25DE4">
            <w:pPr>
              <w:pStyle w:val="COMTabletext"/>
              <w:keepLines/>
              <w:jc w:val="center"/>
              <w:rPr>
                <w:szCs w:val="20"/>
                <w:highlight w:val="darkGray"/>
              </w:rPr>
            </w:pPr>
            <w:r w:rsidRPr="00117A55">
              <w:rPr>
                <w:szCs w:val="20"/>
              </w:rPr>
              <w:t>-</w:t>
            </w:r>
            <w:r w:rsidR="003926A4" w:rsidRPr="003926A4">
              <w:rPr>
                <w:color w:val="000000"/>
                <w:spacing w:val="27"/>
                <w:szCs w:val="20"/>
                <w:shd w:val="solid" w:color="000000" w:fill="000000"/>
                <w:fitText w:val="428" w:id="-1233424374"/>
                <w14:textFill>
                  <w14:solidFill>
                    <w14:srgbClr w14:val="000000">
                      <w14:alpha w14:val="100000"/>
                    </w14:srgbClr>
                  </w14:solidFill>
                </w14:textFill>
              </w:rPr>
              <w:t>|||||</w:t>
            </w:r>
            <w:r w:rsidR="003926A4" w:rsidRPr="003926A4">
              <w:rPr>
                <w:color w:val="000000"/>
                <w:spacing w:val="40"/>
                <w:szCs w:val="20"/>
                <w:shd w:val="solid" w:color="000000" w:fill="000000"/>
                <w:fitText w:val="428" w:id="-1233424374"/>
                <w14:textFill>
                  <w14:solidFill>
                    <w14:srgbClr w14:val="000000">
                      <w14:alpha w14:val="100000"/>
                    </w14:srgbClr>
                  </w14:solidFill>
                </w14:textFill>
              </w:rPr>
              <w:t>|</w:t>
            </w:r>
            <w:r w:rsidR="00117A55" w:rsidRPr="00117A55">
              <w:rPr>
                <w:vertAlign w:val="superscript"/>
              </w:rPr>
              <w:t>1</w:t>
            </w:r>
          </w:p>
        </w:tc>
        <w:tc>
          <w:tcPr>
            <w:tcW w:w="585" w:type="pct"/>
            <w:tcBorders>
              <w:bottom w:val="single" w:sz="4" w:space="0" w:color="auto"/>
            </w:tcBorders>
            <w:shd w:val="clear" w:color="auto" w:fill="auto"/>
            <w:vAlign w:val="center"/>
          </w:tcPr>
          <w:p w14:paraId="30937207" w14:textId="4DD6153C" w:rsidR="00E171C6" w:rsidRPr="00117A55" w:rsidRDefault="00E171C6" w:rsidP="00F25DE4">
            <w:pPr>
              <w:pStyle w:val="COMTabletext"/>
              <w:keepLines/>
              <w:jc w:val="center"/>
              <w:rPr>
                <w:szCs w:val="20"/>
                <w:highlight w:val="darkGray"/>
              </w:rPr>
            </w:pPr>
            <w:r w:rsidRPr="00117A55">
              <w:rPr>
                <w:szCs w:val="20"/>
              </w:rPr>
              <w:t>-</w:t>
            </w:r>
            <w:r w:rsidR="003926A4" w:rsidRPr="003926A4">
              <w:rPr>
                <w:color w:val="000000"/>
                <w:spacing w:val="27"/>
                <w:szCs w:val="20"/>
                <w:shd w:val="solid" w:color="000000" w:fill="000000"/>
                <w:fitText w:val="428" w:id="-1233424373"/>
                <w14:textFill>
                  <w14:solidFill>
                    <w14:srgbClr w14:val="000000">
                      <w14:alpha w14:val="100000"/>
                    </w14:srgbClr>
                  </w14:solidFill>
                </w14:textFill>
              </w:rPr>
              <w:t>|||||</w:t>
            </w:r>
            <w:r w:rsidR="003926A4" w:rsidRPr="003926A4">
              <w:rPr>
                <w:color w:val="000000"/>
                <w:spacing w:val="40"/>
                <w:szCs w:val="20"/>
                <w:shd w:val="solid" w:color="000000" w:fill="000000"/>
                <w:fitText w:val="428" w:id="-1233424373"/>
                <w14:textFill>
                  <w14:solidFill>
                    <w14:srgbClr w14:val="000000">
                      <w14:alpha w14:val="100000"/>
                    </w14:srgbClr>
                  </w14:solidFill>
                </w14:textFill>
              </w:rPr>
              <w:t>|</w:t>
            </w:r>
            <w:r w:rsidR="00117A55" w:rsidRPr="00117A55">
              <w:rPr>
                <w:vertAlign w:val="superscript"/>
              </w:rPr>
              <w:t>1</w:t>
            </w:r>
          </w:p>
        </w:tc>
        <w:tc>
          <w:tcPr>
            <w:tcW w:w="584" w:type="pct"/>
            <w:tcBorders>
              <w:bottom w:val="single" w:sz="4" w:space="0" w:color="auto"/>
            </w:tcBorders>
            <w:shd w:val="clear" w:color="auto" w:fill="auto"/>
            <w:vAlign w:val="center"/>
          </w:tcPr>
          <w:p w14:paraId="238A42E6" w14:textId="3799357F" w:rsidR="00E171C6" w:rsidRPr="00117A55" w:rsidRDefault="00E171C6" w:rsidP="00F25DE4">
            <w:pPr>
              <w:pStyle w:val="COMTabletext"/>
              <w:keepLines/>
              <w:jc w:val="center"/>
              <w:rPr>
                <w:szCs w:val="20"/>
                <w:highlight w:val="darkGray"/>
              </w:rPr>
            </w:pPr>
            <w:r w:rsidRPr="00117A55">
              <w:rPr>
                <w:szCs w:val="20"/>
              </w:rPr>
              <w:t>-</w:t>
            </w:r>
            <w:r w:rsidR="003926A4" w:rsidRPr="003926A4">
              <w:rPr>
                <w:color w:val="000000"/>
                <w:spacing w:val="27"/>
                <w:szCs w:val="20"/>
                <w:shd w:val="solid" w:color="000000" w:fill="000000"/>
                <w:fitText w:val="437" w:id="-1233424372"/>
                <w14:textFill>
                  <w14:solidFill>
                    <w14:srgbClr w14:val="000000">
                      <w14:alpha w14:val="100000"/>
                    </w14:srgbClr>
                  </w14:solidFill>
                </w14:textFill>
              </w:rPr>
              <w:t>|||||</w:t>
            </w:r>
            <w:r w:rsidR="003926A4" w:rsidRPr="003926A4">
              <w:rPr>
                <w:color w:val="000000"/>
                <w:spacing w:val="54"/>
                <w:szCs w:val="20"/>
                <w:shd w:val="solid" w:color="000000" w:fill="000000"/>
                <w:fitText w:val="437" w:id="-1233424372"/>
                <w14:textFill>
                  <w14:solidFill>
                    <w14:srgbClr w14:val="000000">
                      <w14:alpha w14:val="100000"/>
                    </w14:srgbClr>
                  </w14:solidFill>
                </w14:textFill>
              </w:rPr>
              <w:t>|</w:t>
            </w:r>
            <w:r w:rsidR="00117A55" w:rsidRPr="00117A55">
              <w:rPr>
                <w:vertAlign w:val="superscript"/>
              </w:rPr>
              <w:t>1</w:t>
            </w:r>
          </w:p>
        </w:tc>
        <w:tc>
          <w:tcPr>
            <w:tcW w:w="585" w:type="pct"/>
            <w:tcBorders>
              <w:bottom w:val="single" w:sz="4" w:space="0" w:color="auto"/>
            </w:tcBorders>
            <w:shd w:val="clear" w:color="auto" w:fill="auto"/>
            <w:vAlign w:val="center"/>
          </w:tcPr>
          <w:p w14:paraId="0A35288E" w14:textId="66DBBE19" w:rsidR="00E171C6" w:rsidRPr="00117A55" w:rsidRDefault="00E171C6" w:rsidP="00F25DE4">
            <w:pPr>
              <w:pStyle w:val="COMTabletext"/>
              <w:keepLines/>
              <w:jc w:val="center"/>
              <w:rPr>
                <w:szCs w:val="20"/>
                <w:highlight w:val="darkGray"/>
              </w:rPr>
            </w:pPr>
            <w:r w:rsidRPr="00117A55">
              <w:rPr>
                <w:szCs w:val="20"/>
              </w:rPr>
              <w:t>-</w:t>
            </w:r>
            <w:r w:rsidR="003926A4" w:rsidRPr="003926A4">
              <w:rPr>
                <w:color w:val="000000"/>
                <w:spacing w:val="27"/>
                <w:szCs w:val="20"/>
                <w:shd w:val="solid" w:color="000000" w:fill="000000"/>
                <w:fitText w:val="429" w:id="-1233424371"/>
                <w14:textFill>
                  <w14:solidFill>
                    <w14:srgbClr w14:val="000000">
                      <w14:alpha w14:val="100000"/>
                    </w14:srgbClr>
                  </w14:solidFill>
                </w14:textFill>
              </w:rPr>
              <w:t>|||||</w:t>
            </w:r>
            <w:r w:rsidR="003926A4" w:rsidRPr="003926A4">
              <w:rPr>
                <w:color w:val="000000"/>
                <w:spacing w:val="40"/>
                <w:szCs w:val="20"/>
                <w:shd w:val="solid" w:color="000000" w:fill="000000"/>
                <w:fitText w:val="429" w:id="-1233424371"/>
                <w14:textFill>
                  <w14:solidFill>
                    <w14:srgbClr w14:val="000000">
                      <w14:alpha w14:val="100000"/>
                    </w14:srgbClr>
                  </w14:solidFill>
                </w14:textFill>
              </w:rPr>
              <w:t>|</w:t>
            </w:r>
            <w:r w:rsidR="00117A55" w:rsidRPr="00117A55">
              <w:rPr>
                <w:vertAlign w:val="superscript"/>
              </w:rPr>
              <w:t>1</w:t>
            </w:r>
          </w:p>
        </w:tc>
        <w:tc>
          <w:tcPr>
            <w:tcW w:w="586" w:type="pct"/>
            <w:tcBorders>
              <w:bottom w:val="single" w:sz="4" w:space="0" w:color="auto"/>
            </w:tcBorders>
            <w:shd w:val="clear" w:color="auto" w:fill="auto"/>
            <w:vAlign w:val="center"/>
          </w:tcPr>
          <w:p w14:paraId="34618F80" w14:textId="26F74525" w:rsidR="00E171C6" w:rsidRPr="00117A55" w:rsidRDefault="00E171C6" w:rsidP="00F25DE4">
            <w:pPr>
              <w:pStyle w:val="COMTabletext"/>
              <w:keepLines/>
              <w:jc w:val="center"/>
              <w:rPr>
                <w:szCs w:val="20"/>
                <w:highlight w:val="darkGray"/>
              </w:rPr>
            </w:pPr>
            <w:r w:rsidRPr="00117A55">
              <w:rPr>
                <w:szCs w:val="20"/>
              </w:rPr>
              <w:t>-</w:t>
            </w:r>
            <w:r w:rsidR="003926A4" w:rsidRPr="003926A4">
              <w:rPr>
                <w:color w:val="000000"/>
                <w:spacing w:val="27"/>
                <w:szCs w:val="20"/>
                <w:shd w:val="solid" w:color="000000" w:fill="000000"/>
                <w:fitText w:val="429" w:id="-1233424370"/>
                <w14:textFill>
                  <w14:solidFill>
                    <w14:srgbClr w14:val="000000">
                      <w14:alpha w14:val="100000"/>
                    </w14:srgbClr>
                  </w14:solidFill>
                </w14:textFill>
              </w:rPr>
              <w:t>|||||</w:t>
            </w:r>
            <w:r w:rsidR="003926A4" w:rsidRPr="003926A4">
              <w:rPr>
                <w:color w:val="000000"/>
                <w:spacing w:val="40"/>
                <w:szCs w:val="20"/>
                <w:shd w:val="solid" w:color="000000" w:fill="000000"/>
                <w:fitText w:val="429" w:id="-1233424370"/>
                <w14:textFill>
                  <w14:solidFill>
                    <w14:srgbClr w14:val="000000">
                      <w14:alpha w14:val="100000"/>
                    </w14:srgbClr>
                  </w14:solidFill>
                </w14:textFill>
              </w:rPr>
              <w:t>|</w:t>
            </w:r>
            <w:r w:rsidR="00117A55" w:rsidRPr="00117A55">
              <w:rPr>
                <w:vertAlign w:val="superscript"/>
              </w:rPr>
              <w:t>1</w:t>
            </w:r>
          </w:p>
        </w:tc>
      </w:tr>
      <w:tr w:rsidR="00313331" w:rsidRPr="00B31282" w14:paraId="6C6441EC" w14:textId="77777777" w:rsidTr="00D12BAD">
        <w:tc>
          <w:tcPr>
            <w:tcW w:w="1491" w:type="pct"/>
            <w:tcBorders>
              <w:top w:val="single" w:sz="4" w:space="0" w:color="auto"/>
              <w:bottom w:val="single" w:sz="4" w:space="0" w:color="auto"/>
              <w:right w:val="single" w:sz="4" w:space="0" w:color="auto"/>
            </w:tcBorders>
          </w:tcPr>
          <w:p w14:paraId="0EBFEE4A" w14:textId="77777777" w:rsidR="00313331" w:rsidRPr="00B31282" w:rsidRDefault="00313331" w:rsidP="00F25DE4">
            <w:pPr>
              <w:pStyle w:val="COMTabletext"/>
              <w:keepLines/>
              <w:rPr>
                <w:b/>
                <w:bCs w:val="0"/>
                <w:szCs w:val="20"/>
              </w:rPr>
            </w:pPr>
            <w:r w:rsidRPr="00B31282">
              <w:rPr>
                <w:szCs w:val="20"/>
              </w:rPr>
              <w:t xml:space="preserve">PBS/RPBS cost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4254C92" w14:textId="774D864C" w:rsidR="00313331"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69"/>
                <w14:textFill>
                  <w14:solidFill>
                    <w14:srgbClr w14:val="000000">
                      <w14:alpha w14:val="100000"/>
                    </w14:srgbClr>
                  </w14:solidFill>
                </w14:textFill>
              </w:rPr>
              <w:t>|||</w:t>
            </w:r>
            <w:r w:rsidRPr="003926A4">
              <w:rPr>
                <w:color w:val="000000"/>
                <w:spacing w:val="3"/>
                <w:shd w:val="solid" w:color="000000" w:fill="000000"/>
                <w:fitText w:val="410" w:id="-1233424369"/>
                <w14:textFill>
                  <w14:solidFill>
                    <w14:srgbClr w14:val="000000">
                      <w14:alpha w14:val="100000"/>
                    </w14:srgbClr>
                  </w14:solidFill>
                </w14:textFill>
              </w:rPr>
              <w:t>|</w:t>
            </w:r>
            <w:r w:rsidR="00BB029F">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5F76603" w14:textId="54737858"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68"/>
                <w14:textFill>
                  <w14:solidFill>
                    <w14:srgbClr w14:val="000000">
                      <w14:alpha w14:val="100000"/>
                    </w14:srgbClr>
                  </w14:solidFill>
                </w14:textFill>
              </w:rPr>
              <w:t>|||</w:t>
            </w:r>
            <w:r w:rsidRPr="003926A4">
              <w:rPr>
                <w:color w:val="000000"/>
                <w:spacing w:val="27"/>
                <w:shd w:val="solid" w:color="000000" w:fill="000000"/>
                <w:fitText w:val="401" w:id="-1233424368"/>
                <w14:textFill>
                  <w14:solidFill>
                    <w14:srgbClr w14:val="000000">
                      <w14:alpha w14:val="100000"/>
                    </w14:srgbClr>
                  </w14:solidFill>
                </w14:textFill>
              </w:rPr>
              <w:t>|</w:t>
            </w:r>
            <w:r w:rsidR="00BB029F">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0F116D5D" w14:textId="6C1D699B"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84"/>
                <w14:textFill>
                  <w14:solidFill>
                    <w14:srgbClr w14:val="000000">
                      <w14:alpha w14:val="100000"/>
                    </w14:srgbClr>
                  </w14:solidFill>
                </w14:textFill>
              </w:rPr>
              <w:t>|||</w:t>
            </w:r>
            <w:r w:rsidRPr="003926A4">
              <w:rPr>
                <w:color w:val="000000"/>
                <w:spacing w:val="27"/>
                <w:shd w:val="solid" w:color="000000" w:fill="000000"/>
                <w:fitText w:val="401" w:id="-1233424384"/>
                <w14:textFill>
                  <w14:solidFill>
                    <w14:srgbClr w14:val="000000">
                      <w14:alpha w14:val="100000"/>
                    </w14:srgbClr>
                  </w14:solidFill>
                </w14:textFill>
              </w:rPr>
              <w:t>|</w:t>
            </w:r>
            <w:r w:rsidR="00BB029F">
              <w:rPr>
                <w:vertAlign w:val="superscript"/>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A9D4E52" w14:textId="50290201" w:rsidR="00313331"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83"/>
                <w14:textFill>
                  <w14:solidFill>
                    <w14:srgbClr w14:val="000000">
                      <w14:alpha w14:val="100000"/>
                    </w14:srgbClr>
                  </w14:solidFill>
                </w14:textFill>
              </w:rPr>
              <w:t>|||</w:t>
            </w:r>
            <w:r w:rsidRPr="003926A4">
              <w:rPr>
                <w:color w:val="000000"/>
                <w:spacing w:val="3"/>
                <w:shd w:val="solid" w:color="000000" w:fill="000000"/>
                <w:fitText w:val="410" w:id="-1233424383"/>
                <w14:textFill>
                  <w14:solidFill>
                    <w14:srgbClr w14:val="000000">
                      <w14:alpha w14:val="100000"/>
                    </w14:srgbClr>
                  </w14:solidFill>
                </w14:textFill>
              </w:rPr>
              <w:t>|</w:t>
            </w:r>
            <w:r w:rsidR="00BB029F">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FD268D7" w14:textId="5DF56411"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82"/>
                <w14:textFill>
                  <w14:solidFill>
                    <w14:srgbClr w14:val="000000">
                      <w14:alpha w14:val="100000"/>
                    </w14:srgbClr>
                  </w14:solidFill>
                </w14:textFill>
              </w:rPr>
              <w:t>|||</w:t>
            </w:r>
            <w:r w:rsidRPr="003926A4">
              <w:rPr>
                <w:color w:val="000000"/>
                <w:spacing w:val="27"/>
                <w:shd w:val="solid" w:color="000000" w:fill="000000"/>
                <w:fitText w:val="401" w:id="-1233424382"/>
                <w14:textFill>
                  <w14:solidFill>
                    <w14:srgbClr w14:val="000000">
                      <w14:alpha w14:val="100000"/>
                    </w14:srgbClr>
                  </w14:solidFill>
                </w14:textFill>
              </w:rPr>
              <w:t>|</w:t>
            </w:r>
            <w:r w:rsidR="00BB029F">
              <w:rPr>
                <w:vertAlign w:val="superscript"/>
              </w:rPr>
              <w:t>3</w:t>
            </w:r>
          </w:p>
        </w:tc>
        <w:tc>
          <w:tcPr>
            <w:tcW w:w="586" w:type="pct"/>
            <w:tcBorders>
              <w:top w:val="single" w:sz="4" w:space="0" w:color="auto"/>
              <w:left w:val="single" w:sz="4" w:space="0" w:color="auto"/>
              <w:bottom w:val="single" w:sz="4" w:space="0" w:color="auto"/>
            </w:tcBorders>
            <w:vAlign w:val="center"/>
          </w:tcPr>
          <w:p w14:paraId="760D0420" w14:textId="459465ED"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81"/>
                <w14:textFill>
                  <w14:solidFill>
                    <w14:srgbClr w14:val="000000">
                      <w14:alpha w14:val="100000"/>
                    </w14:srgbClr>
                  </w14:solidFill>
                </w14:textFill>
              </w:rPr>
              <w:t>|||</w:t>
            </w:r>
            <w:r w:rsidRPr="003926A4">
              <w:rPr>
                <w:color w:val="000000"/>
                <w:spacing w:val="27"/>
                <w:shd w:val="solid" w:color="000000" w:fill="000000"/>
                <w:fitText w:val="401" w:id="-1233424381"/>
                <w14:textFill>
                  <w14:solidFill>
                    <w14:srgbClr w14:val="000000">
                      <w14:alpha w14:val="100000"/>
                    </w14:srgbClr>
                  </w14:solidFill>
                </w14:textFill>
              </w:rPr>
              <w:t>|</w:t>
            </w:r>
            <w:r w:rsidR="00BB029F">
              <w:rPr>
                <w:vertAlign w:val="superscript"/>
              </w:rPr>
              <w:t>3</w:t>
            </w:r>
          </w:p>
        </w:tc>
      </w:tr>
      <w:tr w:rsidR="00313331" w:rsidRPr="00B31282" w14:paraId="7BF36689" w14:textId="77777777" w:rsidTr="00D12BAD">
        <w:tc>
          <w:tcPr>
            <w:tcW w:w="1491" w:type="pct"/>
            <w:tcBorders>
              <w:top w:val="single" w:sz="4" w:space="0" w:color="auto"/>
              <w:bottom w:val="single" w:sz="4" w:space="0" w:color="auto"/>
              <w:right w:val="single" w:sz="4" w:space="0" w:color="auto"/>
            </w:tcBorders>
          </w:tcPr>
          <w:p w14:paraId="5D41F624" w14:textId="77777777" w:rsidR="00313331" w:rsidRPr="00B31282" w:rsidRDefault="00313331" w:rsidP="00F25DE4">
            <w:pPr>
              <w:pStyle w:val="COMTabletext"/>
              <w:keepLines/>
              <w:rPr>
                <w:b/>
                <w:bCs w:val="0"/>
                <w:szCs w:val="20"/>
              </w:rPr>
            </w:pPr>
            <w:r w:rsidRPr="00B31282">
              <w:rPr>
                <w:szCs w:val="20"/>
              </w:rPr>
              <w:t xml:space="preserve">Patient copayments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8CA336" w14:textId="7907720E" w:rsidR="00313331"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80"/>
                <w14:textFill>
                  <w14:solidFill>
                    <w14:srgbClr w14:val="000000">
                      <w14:alpha w14:val="100000"/>
                    </w14:srgbClr>
                  </w14:solidFill>
                </w14:textFill>
              </w:rPr>
              <w:t>|||</w:t>
            </w:r>
            <w:r w:rsidRPr="003926A4">
              <w:rPr>
                <w:color w:val="000000"/>
                <w:spacing w:val="3"/>
                <w:shd w:val="solid" w:color="000000" w:fill="000000"/>
                <w:fitText w:val="410" w:id="-1233424380"/>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C5E2A2F" w14:textId="217C1EE9"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9"/>
                <w14:textFill>
                  <w14:solidFill>
                    <w14:srgbClr w14:val="000000">
                      <w14:alpha w14:val="100000"/>
                    </w14:srgbClr>
                  </w14:solidFill>
                </w14:textFill>
              </w:rPr>
              <w:t>|||</w:t>
            </w:r>
            <w:r w:rsidRPr="003926A4">
              <w:rPr>
                <w:color w:val="000000"/>
                <w:spacing w:val="27"/>
                <w:shd w:val="solid" w:color="000000" w:fill="000000"/>
                <w:fitText w:val="401" w:id="-1233424379"/>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384FF33" w14:textId="0F84B450"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8"/>
                <w14:textFill>
                  <w14:solidFill>
                    <w14:srgbClr w14:val="000000">
                      <w14:alpha w14:val="100000"/>
                    </w14:srgbClr>
                  </w14:solidFill>
                </w14:textFill>
              </w:rPr>
              <w:t>|||</w:t>
            </w:r>
            <w:r w:rsidRPr="003926A4">
              <w:rPr>
                <w:color w:val="000000"/>
                <w:spacing w:val="27"/>
                <w:shd w:val="solid" w:color="000000" w:fill="000000"/>
                <w:fitText w:val="401" w:id="-1233424378"/>
                <w14:textFill>
                  <w14:solidFill>
                    <w14:srgbClr w14:val="000000">
                      <w14:alpha w14:val="100000"/>
                    </w14:srgbClr>
                  </w14:solidFill>
                </w14:textFill>
              </w:rPr>
              <w:t>|</w:t>
            </w:r>
            <w:r w:rsidR="00BB029F">
              <w:rPr>
                <w:vertAlign w:val="superscript"/>
              </w:rPr>
              <w:t>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03F353A" w14:textId="36846974" w:rsidR="00313331" w:rsidRPr="00117A55" w:rsidRDefault="003926A4" w:rsidP="00F25DE4">
            <w:pPr>
              <w:pStyle w:val="COMTabletext"/>
              <w:keepLines/>
              <w:jc w:val="center"/>
              <w:rPr>
                <w:szCs w:val="20"/>
                <w:highlight w:val="darkGray"/>
              </w:rPr>
            </w:pPr>
            <w:r w:rsidRPr="003926A4">
              <w:rPr>
                <w:color w:val="000000"/>
                <w:spacing w:val="79"/>
                <w:shd w:val="solid" w:color="000000" w:fill="000000"/>
                <w:fitText w:val="410" w:id="-1233424377"/>
                <w14:textFill>
                  <w14:solidFill>
                    <w14:srgbClr w14:val="000000">
                      <w14:alpha w14:val="100000"/>
                    </w14:srgbClr>
                  </w14:solidFill>
                </w14:textFill>
              </w:rPr>
              <w:t>|||</w:t>
            </w:r>
            <w:r w:rsidRPr="003926A4">
              <w:rPr>
                <w:color w:val="000000"/>
                <w:spacing w:val="3"/>
                <w:shd w:val="solid" w:color="000000" w:fill="000000"/>
                <w:fitText w:val="410" w:id="-1233424377"/>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3E9A28D" w14:textId="522BDDA4"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6"/>
                <w14:textFill>
                  <w14:solidFill>
                    <w14:srgbClr w14:val="000000">
                      <w14:alpha w14:val="100000"/>
                    </w14:srgbClr>
                  </w14:solidFill>
                </w14:textFill>
              </w:rPr>
              <w:t>|||</w:t>
            </w:r>
            <w:r w:rsidRPr="003926A4">
              <w:rPr>
                <w:color w:val="000000"/>
                <w:spacing w:val="27"/>
                <w:shd w:val="solid" w:color="000000" w:fill="000000"/>
                <w:fitText w:val="401" w:id="-1233424376"/>
                <w14:textFill>
                  <w14:solidFill>
                    <w14:srgbClr w14:val="000000">
                      <w14:alpha w14:val="100000"/>
                    </w14:srgbClr>
                  </w14:solidFill>
                </w14:textFill>
              </w:rPr>
              <w:t>|</w:t>
            </w:r>
            <w:r w:rsidR="00BB029F">
              <w:rPr>
                <w:vertAlign w:val="superscript"/>
              </w:rPr>
              <w:t>4</w:t>
            </w:r>
          </w:p>
        </w:tc>
        <w:tc>
          <w:tcPr>
            <w:tcW w:w="586" w:type="pct"/>
            <w:tcBorders>
              <w:top w:val="single" w:sz="4" w:space="0" w:color="auto"/>
              <w:left w:val="single" w:sz="4" w:space="0" w:color="auto"/>
              <w:bottom w:val="single" w:sz="4" w:space="0" w:color="auto"/>
            </w:tcBorders>
            <w:shd w:val="clear" w:color="auto" w:fill="auto"/>
            <w:vAlign w:val="center"/>
          </w:tcPr>
          <w:p w14:paraId="050DC2B6" w14:textId="79934F85" w:rsidR="00313331" w:rsidRPr="00117A55" w:rsidRDefault="003926A4" w:rsidP="00F25DE4">
            <w:pPr>
              <w:pStyle w:val="COMTabletext"/>
              <w:keepLines/>
              <w:jc w:val="center"/>
              <w:rPr>
                <w:szCs w:val="20"/>
                <w:highlight w:val="darkGray"/>
              </w:rPr>
            </w:pPr>
            <w:r w:rsidRPr="003926A4">
              <w:rPr>
                <w:color w:val="000000"/>
                <w:spacing w:val="67"/>
                <w:shd w:val="solid" w:color="000000" w:fill="000000"/>
                <w:fitText w:val="401" w:id="-1233424375"/>
                <w14:textFill>
                  <w14:solidFill>
                    <w14:srgbClr w14:val="000000">
                      <w14:alpha w14:val="100000"/>
                    </w14:srgbClr>
                  </w14:solidFill>
                </w14:textFill>
              </w:rPr>
              <w:t>|||</w:t>
            </w:r>
            <w:r w:rsidRPr="003926A4">
              <w:rPr>
                <w:color w:val="000000"/>
                <w:spacing w:val="27"/>
                <w:shd w:val="solid" w:color="000000" w:fill="000000"/>
                <w:fitText w:val="401" w:id="-1233424375"/>
                <w14:textFill>
                  <w14:solidFill>
                    <w14:srgbClr w14:val="000000">
                      <w14:alpha w14:val="100000"/>
                    </w14:srgbClr>
                  </w14:solidFill>
                </w14:textFill>
              </w:rPr>
              <w:t>|</w:t>
            </w:r>
            <w:r w:rsidR="00BB029F">
              <w:rPr>
                <w:vertAlign w:val="superscript"/>
              </w:rPr>
              <w:t>4</w:t>
            </w:r>
          </w:p>
        </w:tc>
      </w:tr>
      <w:tr w:rsidR="00313331" w:rsidRPr="00B31282" w14:paraId="305CCCFD" w14:textId="77777777" w:rsidTr="00D12BAD">
        <w:tc>
          <w:tcPr>
            <w:tcW w:w="1491" w:type="pct"/>
            <w:tcBorders>
              <w:top w:val="single" w:sz="4" w:space="0" w:color="auto"/>
              <w:bottom w:val="single" w:sz="4" w:space="0" w:color="auto"/>
              <w:right w:val="single" w:sz="4" w:space="0" w:color="auto"/>
            </w:tcBorders>
          </w:tcPr>
          <w:p w14:paraId="43B17E6D" w14:textId="77777777" w:rsidR="00313331" w:rsidRPr="00B31282" w:rsidRDefault="00313331" w:rsidP="00F25DE4">
            <w:pPr>
              <w:pStyle w:val="COMTabletext"/>
              <w:keepLines/>
              <w:rPr>
                <w:szCs w:val="20"/>
              </w:rPr>
            </w:pPr>
            <w:r w:rsidRPr="00B31282">
              <w:rPr>
                <w:szCs w:val="20"/>
              </w:rPr>
              <w:t xml:space="preserve">Net PBS/RPBS cost </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B4BF3CB" w14:textId="3D1C29B9" w:rsidR="00313331" w:rsidRPr="00117A55" w:rsidRDefault="003926A4" w:rsidP="00F25DE4">
            <w:pPr>
              <w:pStyle w:val="COMTabletext"/>
              <w:keepLines/>
              <w:jc w:val="center"/>
              <w:rPr>
                <w:b/>
                <w:bCs w:val="0"/>
                <w:szCs w:val="20"/>
                <w:highlight w:val="darkGray"/>
              </w:rPr>
            </w:pPr>
            <w:r w:rsidRPr="003926A4">
              <w:rPr>
                <w:b/>
                <w:bCs w:val="0"/>
                <w:color w:val="000000"/>
                <w:spacing w:val="41"/>
                <w:shd w:val="solid" w:color="000000" w:fill="000000"/>
                <w:fitText w:val="483" w:id="-1233424374"/>
                <w14:textFill>
                  <w14:solidFill>
                    <w14:srgbClr w14:val="000000">
                      <w14:alpha w14:val="100000"/>
                    </w14:srgbClr>
                  </w14:solidFill>
                </w14:textFill>
              </w:rPr>
              <w:t>|||||</w:t>
            </w:r>
            <w:r w:rsidRPr="003926A4">
              <w:rPr>
                <w:b/>
                <w:bCs w:val="0"/>
                <w:color w:val="000000"/>
                <w:spacing w:val="2"/>
                <w:shd w:val="solid" w:color="000000" w:fill="000000"/>
                <w:fitText w:val="483" w:id="-1233424374"/>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BD45E34" w14:textId="2A633760" w:rsidR="00313331" w:rsidRPr="00117A55" w:rsidRDefault="003926A4" w:rsidP="00F25DE4">
            <w:pPr>
              <w:pStyle w:val="COMTabletext"/>
              <w:keepLines/>
              <w:jc w:val="center"/>
              <w:rPr>
                <w:b/>
                <w:bCs w:val="0"/>
                <w:szCs w:val="20"/>
                <w:highlight w:val="darkGray"/>
              </w:rPr>
            </w:pPr>
            <w:r w:rsidRPr="003926A4">
              <w:rPr>
                <w:b/>
                <w:bCs w:val="0"/>
                <w:color w:val="000000"/>
                <w:spacing w:val="39"/>
                <w:shd w:val="solid" w:color="000000" w:fill="000000"/>
                <w:fitText w:val="474" w:id="-1233424373"/>
                <w14:textFill>
                  <w14:solidFill>
                    <w14:srgbClr w14:val="000000">
                      <w14:alpha w14:val="100000"/>
                    </w14:srgbClr>
                  </w14:solidFill>
                </w14:textFill>
              </w:rPr>
              <w:t>|||||</w:t>
            </w:r>
            <w:r w:rsidRPr="003926A4">
              <w:rPr>
                <w:b/>
                <w:bCs w:val="0"/>
                <w:color w:val="000000"/>
                <w:spacing w:val="3"/>
                <w:shd w:val="solid" w:color="000000" w:fill="000000"/>
                <w:fitText w:val="474" w:id="-1233424373"/>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1D2ED838" w14:textId="5D1B113B" w:rsidR="00313331" w:rsidRPr="00117A55" w:rsidRDefault="003926A4" w:rsidP="00F25DE4">
            <w:pPr>
              <w:pStyle w:val="COMTabletext"/>
              <w:keepLines/>
              <w:jc w:val="center"/>
              <w:rPr>
                <w:b/>
                <w:bCs w:val="0"/>
                <w:szCs w:val="20"/>
                <w:highlight w:val="darkGray"/>
              </w:rPr>
            </w:pPr>
            <w:r w:rsidRPr="003926A4">
              <w:rPr>
                <w:b/>
                <w:bCs w:val="0"/>
                <w:color w:val="000000"/>
                <w:spacing w:val="39"/>
                <w:shd w:val="solid" w:color="000000" w:fill="000000"/>
                <w:fitText w:val="474" w:id="-1233424372"/>
                <w14:textFill>
                  <w14:solidFill>
                    <w14:srgbClr w14:val="000000">
                      <w14:alpha w14:val="100000"/>
                    </w14:srgbClr>
                  </w14:solidFill>
                </w14:textFill>
              </w:rPr>
              <w:t>|||||</w:t>
            </w:r>
            <w:r w:rsidRPr="003926A4">
              <w:rPr>
                <w:b/>
                <w:bCs w:val="0"/>
                <w:color w:val="000000"/>
                <w:spacing w:val="3"/>
                <w:shd w:val="solid" w:color="000000" w:fill="000000"/>
                <w:fitText w:val="474" w:id="-1233424372"/>
                <w14:textFill>
                  <w14:solidFill>
                    <w14:srgbClr w14:val="000000">
                      <w14:alpha w14:val="100000"/>
                    </w14:srgbClr>
                  </w14:solidFill>
                </w14:textFill>
              </w:rPr>
              <w:t>|</w:t>
            </w:r>
            <w:r w:rsidR="00117A55">
              <w:rPr>
                <w:vertAlign w:val="superscript"/>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929A267" w14:textId="596175E8" w:rsidR="00313331" w:rsidRPr="00117A55" w:rsidRDefault="003926A4" w:rsidP="00F25DE4">
            <w:pPr>
              <w:pStyle w:val="COMTabletext"/>
              <w:keepLines/>
              <w:jc w:val="center"/>
              <w:rPr>
                <w:b/>
                <w:bCs w:val="0"/>
                <w:szCs w:val="20"/>
                <w:highlight w:val="darkGray"/>
              </w:rPr>
            </w:pPr>
            <w:r w:rsidRPr="003926A4">
              <w:rPr>
                <w:b/>
                <w:bCs w:val="0"/>
                <w:color w:val="000000"/>
                <w:spacing w:val="41"/>
                <w:shd w:val="solid" w:color="000000" w:fill="000000"/>
                <w:fitText w:val="483" w:id="-1233424371"/>
                <w14:textFill>
                  <w14:solidFill>
                    <w14:srgbClr w14:val="000000">
                      <w14:alpha w14:val="100000"/>
                    </w14:srgbClr>
                  </w14:solidFill>
                </w14:textFill>
              </w:rPr>
              <w:t>|||||</w:t>
            </w:r>
            <w:r w:rsidRPr="003926A4">
              <w:rPr>
                <w:b/>
                <w:bCs w:val="0"/>
                <w:color w:val="000000"/>
                <w:spacing w:val="2"/>
                <w:shd w:val="solid" w:color="000000" w:fill="000000"/>
                <w:fitText w:val="483" w:id="-1233424371"/>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D481CE3" w14:textId="3A22A636" w:rsidR="00313331" w:rsidRPr="00117A55" w:rsidRDefault="003926A4" w:rsidP="00F25DE4">
            <w:pPr>
              <w:pStyle w:val="COMTabletext"/>
              <w:keepLines/>
              <w:jc w:val="center"/>
              <w:rPr>
                <w:b/>
                <w:bCs w:val="0"/>
                <w:szCs w:val="20"/>
                <w:highlight w:val="darkGray"/>
              </w:rPr>
            </w:pPr>
            <w:r w:rsidRPr="003926A4">
              <w:rPr>
                <w:b/>
                <w:bCs w:val="0"/>
                <w:color w:val="000000"/>
                <w:spacing w:val="39"/>
                <w:shd w:val="solid" w:color="000000" w:fill="000000"/>
                <w:fitText w:val="474" w:id="-1233424370"/>
                <w14:textFill>
                  <w14:solidFill>
                    <w14:srgbClr w14:val="000000">
                      <w14:alpha w14:val="100000"/>
                    </w14:srgbClr>
                  </w14:solidFill>
                </w14:textFill>
              </w:rPr>
              <w:t>|||||</w:t>
            </w:r>
            <w:r w:rsidRPr="003926A4">
              <w:rPr>
                <w:b/>
                <w:bCs w:val="0"/>
                <w:color w:val="000000"/>
                <w:spacing w:val="3"/>
                <w:shd w:val="solid" w:color="000000" w:fill="000000"/>
                <w:fitText w:val="474" w:id="-1233424370"/>
                <w14:textFill>
                  <w14:solidFill>
                    <w14:srgbClr w14:val="000000">
                      <w14:alpha w14:val="100000"/>
                    </w14:srgbClr>
                  </w14:solidFill>
                </w14:textFill>
              </w:rPr>
              <w:t>|</w:t>
            </w:r>
            <w:r w:rsidR="00117A55">
              <w:rPr>
                <w:vertAlign w:val="superscript"/>
              </w:rPr>
              <w:t>3</w:t>
            </w:r>
          </w:p>
        </w:tc>
        <w:tc>
          <w:tcPr>
            <w:tcW w:w="586" w:type="pct"/>
            <w:tcBorders>
              <w:top w:val="single" w:sz="4" w:space="0" w:color="auto"/>
              <w:left w:val="single" w:sz="4" w:space="0" w:color="auto"/>
              <w:bottom w:val="single" w:sz="4" w:space="0" w:color="auto"/>
            </w:tcBorders>
            <w:shd w:val="clear" w:color="auto" w:fill="auto"/>
            <w:vAlign w:val="center"/>
          </w:tcPr>
          <w:p w14:paraId="128917A5" w14:textId="5642A919" w:rsidR="00313331" w:rsidRPr="00117A55" w:rsidRDefault="003926A4" w:rsidP="00F25DE4">
            <w:pPr>
              <w:pStyle w:val="COMTabletext"/>
              <w:keepLines/>
              <w:jc w:val="center"/>
              <w:rPr>
                <w:b/>
                <w:bCs w:val="0"/>
                <w:szCs w:val="20"/>
                <w:highlight w:val="darkGray"/>
              </w:rPr>
            </w:pPr>
            <w:r w:rsidRPr="003926A4">
              <w:rPr>
                <w:b/>
                <w:bCs w:val="0"/>
                <w:color w:val="000000"/>
                <w:spacing w:val="39"/>
                <w:shd w:val="solid" w:color="000000" w:fill="000000"/>
                <w:fitText w:val="474" w:id="-1233424369"/>
                <w14:textFill>
                  <w14:solidFill>
                    <w14:srgbClr w14:val="000000">
                      <w14:alpha w14:val="100000"/>
                    </w14:srgbClr>
                  </w14:solidFill>
                </w14:textFill>
              </w:rPr>
              <w:t>|||||</w:t>
            </w:r>
            <w:r w:rsidRPr="003926A4">
              <w:rPr>
                <w:b/>
                <w:bCs w:val="0"/>
                <w:color w:val="000000"/>
                <w:spacing w:val="3"/>
                <w:shd w:val="solid" w:color="000000" w:fill="000000"/>
                <w:fitText w:val="474" w:id="-1233424369"/>
                <w14:textFill>
                  <w14:solidFill>
                    <w14:srgbClr w14:val="000000">
                      <w14:alpha w14:val="100000"/>
                    </w14:srgbClr>
                  </w14:solidFill>
                </w14:textFill>
              </w:rPr>
              <w:t>|</w:t>
            </w:r>
            <w:r w:rsidR="00117A55">
              <w:rPr>
                <w:vertAlign w:val="superscript"/>
              </w:rPr>
              <w:t>3</w:t>
            </w:r>
          </w:p>
        </w:tc>
      </w:tr>
      <w:tr w:rsidR="00313331" w:rsidRPr="00B31282" w14:paraId="34412338" w14:textId="77777777" w:rsidTr="00D12BAD">
        <w:tc>
          <w:tcPr>
            <w:tcW w:w="5000" w:type="pct"/>
            <w:gridSpan w:val="7"/>
            <w:tcBorders>
              <w:top w:val="single" w:sz="4" w:space="0" w:color="auto"/>
              <w:bottom w:val="single" w:sz="4" w:space="0" w:color="auto"/>
              <w:right w:val="single" w:sz="4" w:space="0" w:color="auto"/>
            </w:tcBorders>
          </w:tcPr>
          <w:p w14:paraId="7330DAA7" w14:textId="77777777" w:rsidR="00313331" w:rsidRPr="00B31282" w:rsidRDefault="00313331" w:rsidP="00F25DE4">
            <w:pPr>
              <w:pStyle w:val="COMTabletext"/>
              <w:keepLines/>
              <w:rPr>
                <w:b/>
                <w:bCs w:val="0"/>
                <w:szCs w:val="20"/>
              </w:rPr>
            </w:pPr>
            <w:r w:rsidRPr="00B31282">
              <w:rPr>
                <w:b/>
                <w:bCs w:val="0"/>
                <w:szCs w:val="20"/>
              </w:rPr>
              <w:t>Net cost of listing zanubrutinib on the PBS</w:t>
            </w:r>
          </w:p>
        </w:tc>
      </w:tr>
      <w:tr w:rsidR="00313331" w:rsidRPr="00B31282" w14:paraId="4FF00C4D" w14:textId="77777777" w:rsidTr="00D12BAD">
        <w:tc>
          <w:tcPr>
            <w:tcW w:w="5000" w:type="pct"/>
            <w:gridSpan w:val="7"/>
            <w:tcBorders>
              <w:bottom w:val="single" w:sz="4" w:space="0" w:color="auto"/>
              <w:right w:val="single" w:sz="4" w:space="0" w:color="auto"/>
            </w:tcBorders>
            <w:shd w:val="clear" w:color="auto" w:fill="auto"/>
            <w:vAlign w:val="center"/>
          </w:tcPr>
          <w:p w14:paraId="41F0DA35" w14:textId="77777777" w:rsidR="00313331" w:rsidRPr="00B31282" w:rsidRDefault="00313331" w:rsidP="00F25DE4">
            <w:pPr>
              <w:pStyle w:val="COMTabletext"/>
              <w:keepLines/>
              <w:rPr>
                <w:szCs w:val="20"/>
              </w:rPr>
            </w:pPr>
            <w:r w:rsidRPr="00B31282">
              <w:rPr>
                <w:b/>
                <w:bCs w:val="0"/>
                <w:szCs w:val="20"/>
              </w:rPr>
              <w:t>Including grandfathered patients</w:t>
            </w:r>
          </w:p>
        </w:tc>
      </w:tr>
      <w:tr w:rsidR="00191675" w:rsidRPr="00B31282" w14:paraId="6887697A" w14:textId="77777777" w:rsidTr="00D12BAD">
        <w:tc>
          <w:tcPr>
            <w:tcW w:w="1491" w:type="pct"/>
            <w:tcBorders>
              <w:top w:val="single" w:sz="4" w:space="0" w:color="auto"/>
              <w:bottom w:val="single" w:sz="4" w:space="0" w:color="auto"/>
              <w:right w:val="single" w:sz="4" w:space="0" w:color="auto"/>
            </w:tcBorders>
          </w:tcPr>
          <w:p w14:paraId="4714D923" w14:textId="77777777" w:rsidR="00191675" w:rsidRPr="00B31282" w:rsidRDefault="00191675" w:rsidP="00191675">
            <w:pPr>
              <w:pStyle w:val="COMTabletext"/>
              <w:keepLines/>
              <w:rPr>
                <w:b/>
                <w:bCs w:val="0"/>
                <w:szCs w:val="20"/>
              </w:rPr>
            </w:pPr>
            <w:r w:rsidRPr="00B31282">
              <w:rPr>
                <w:szCs w:val="20"/>
              </w:rPr>
              <w:t>Total cost of zanubrutinib</w:t>
            </w:r>
          </w:p>
        </w:tc>
        <w:tc>
          <w:tcPr>
            <w:tcW w:w="584" w:type="pct"/>
            <w:tcBorders>
              <w:top w:val="single" w:sz="4" w:space="0" w:color="auto"/>
              <w:left w:val="nil"/>
              <w:bottom w:val="single" w:sz="4" w:space="0" w:color="auto"/>
              <w:right w:val="single" w:sz="4" w:space="0" w:color="auto"/>
            </w:tcBorders>
            <w:shd w:val="clear" w:color="auto" w:fill="auto"/>
            <w:vAlign w:val="center"/>
          </w:tcPr>
          <w:p w14:paraId="05DAF487" w14:textId="67959561" w:rsidR="00191675" w:rsidRPr="00117A55" w:rsidRDefault="003926A4" w:rsidP="00191675">
            <w:pPr>
              <w:pStyle w:val="COMTabletext"/>
              <w:keepLines/>
              <w:jc w:val="center"/>
              <w:rPr>
                <w:szCs w:val="20"/>
                <w:highlight w:val="darkGray"/>
              </w:rPr>
            </w:pPr>
            <w:r w:rsidRPr="003926A4">
              <w:rPr>
                <w:color w:val="000000"/>
                <w:spacing w:val="79"/>
                <w:shd w:val="solid" w:color="000000" w:fill="000000"/>
                <w:fitText w:val="410" w:id="-1233424368"/>
                <w14:textFill>
                  <w14:solidFill>
                    <w14:srgbClr w14:val="000000">
                      <w14:alpha w14:val="100000"/>
                    </w14:srgbClr>
                  </w14:solidFill>
                </w14:textFill>
              </w:rPr>
              <w:t>|||</w:t>
            </w:r>
            <w:r w:rsidRPr="003926A4">
              <w:rPr>
                <w:color w:val="000000"/>
                <w:spacing w:val="3"/>
                <w:shd w:val="solid" w:color="000000" w:fill="000000"/>
                <w:fitText w:val="410" w:id="-1233424368"/>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BE3863B" w14:textId="183FE16D"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84"/>
                <w14:textFill>
                  <w14:solidFill>
                    <w14:srgbClr w14:val="000000">
                      <w14:alpha w14:val="100000"/>
                    </w14:srgbClr>
                  </w14:solidFill>
                </w14:textFill>
              </w:rPr>
              <w:t>|||</w:t>
            </w:r>
            <w:r w:rsidRPr="003926A4">
              <w:rPr>
                <w:color w:val="000000"/>
                <w:spacing w:val="27"/>
                <w:shd w:val="solid" w:color="000000" w:fill="000000"/>
                <w:fitText w:val="401" w:id="-1233424384"/>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2A15F33" w14:textId="361404C2"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83"/>
                <w14:textFill>
                  <w14:solidFill>
                    <w14:srgbClr w14:val="000000">
                      <w14:alpha w14:val="100000"/>
                    </w14:srgbClr>
                  </w14:solidFill>
                </w14:textFill>
              </w:rPr>
              <w:t>|||</w:t>
            </w:r>
            <w:r w:rsidRPr="003926A4">
              <w:rPr>
                <w:color w:val="000000"/>
                <w:spacing w:val="27"/>
                <w:shd w:val="solid" w:color="000000" w:fill="000000"/>
                <w:fitText w:val="401" w:id="-1233424383"/>
                <w14:textFill>
                  <w14:solidFill>
                    <w14:srgbClr w14:val="000000">
                      <w14:alpha w14:val="100000"/>
                    </w14:srgbClr>
                  </w14:solidFill>
                </w14:textFill>
              </w:rPr>
              <w:t>|</w:t>
            </w:r>
            <w:r w:rsidR="00117A55">
              <w:rPr>
                <w:vertAlign w:val="superscript"/>
              </w:rPr>
              <w:t>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3CDF23C" w14:textId="795CEB74" w:rsidR="00191675" w:rsidRPr="00117A55" w:rsidRDefault="003926A4" w:rsidP="00191675">
            <w:pPr>
              <w:pStyle w:val="COMTabletext"/>
              <w:keepLines/>
              <w:jc w:val="center"/>
              <w:rPr>
                <w:szCs w:val="20"/>
                <w:highlight w:val="darkGray"/>
              </w:rPr>
            </w:pPr>
            <w:r w:rsidRPr="003926A4">
              <w:rPr>
                <w:color w:val="000000"/>
                <w:spacing w:val="79"/>
                <w:shd w:val="solid" w:color="000000" w:fill="000000"/>
                <w:fitText w:val="410" w:id="-1233424382"/>
                <w14:textFill>
                  <w14:solidFill>
                    <w14:srgbClr w14:val="000000">
                      <w14:alpha w14:val="100000"/>
                    </w14:srgbClr>
                  </w14:solidFill>
                </w14:textFill>
              </w:rPr>
              <w:t>|||</w:t>
            </w:r>
            <w:r w:rsidRPr="003926A4">
              <w:rPr>
                <w:color w:val="000000"/>
                <w:spacing w:val="3"/>
                <w:shd w:val="solid" w:color="000000" w:fill="000000"/>
                <w:fitText w:val="410" w:id="-1233424382"/>
                <w14:textFill>
                  <w14:solidFill>
                    <w14:srgbClr w14:val="000000">
                      <w14:alpha w14:val="100000"/>
                    </w14:srgbClr>
                  </w14:solidFill>
                </w14:textFill>
              </w:rPr>
              <w:t>|</w:t>
            </w:r>
            <w:r w:rsidR="00BB029F">
              <w:rPr>
                <w:vertAlign w:val="superscript"/>
              </w:rPr>
              <w:t>6</w:t>
            </w:r>
          </w:p>
        </w:tc>
        <w:tc>
          <w:tcPr>
            <w:tcW w:w="585" w:type="pct"/>
            <w:tcBorders>
              <w:top w:val="single" w:sz="4" w:space="0" w:color="auto"/>
              <w:left w:val="single" w:sz="4" w:space="0" w:color="auto"/>
              <w:bottom w:val="single" w:sz="4" w:space="0" w:color="auto"/>
              <w:right w:val="nil"/>
            </w:tcBorders>
            <w:shd w:val="clear" w:color="auto" w:fill="auto"/>
            <w:vAlign w:val="center"/>
          </w:tcPr>
          <w:p w14:paraId="2ED29EF2" w14:textId="03FE2373"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81"/>
                <w14:textFill>
                  <w14:solidFill>
                    <w14:srgbClr w14:val="000000">
                      <w14:alpha w14:val="100000"/>
                    </w14:srgbClr>
                  </w14:solidFill>
                </w14:textFill>
              </w:rPr>
              <w:t>|||</w:t>
            </w:r>
            <w:r w:rsidRPr="003926A4">
              <w:rPr>
                <w:color w:val="000000"/>
                <w:spacing w:val="27"/>
                <w:shd w:val="solid" w:color="000000" w:fill="000000"/>
                <w:fitText w:val="401" w:id="-1233424381"/>
                <w14:textFill>
                  <w14:solidFill>
                    <w14:srgbClr w14:val="000000">
                      <w14:alpha w14:val="100000"/>
                    </w14:srgbClr>
                  </w14:solidFill>
                </w14:textFill>
              </w:rPr>
              <w:t>|</w:t>
            </w:r>
            <w:r w:rsidR="00BB029F">
              <w:rPr>
                <w:vertAlign w:val="superscript"/>
              </w:rPr>
              <w:t>6</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12877C3" w14:textId="125155E5"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80"/>
                <w14:textFill>
                  <w14:solidFill>
                    <w14:srgbClr w14:val="000000">
                      <w14:alpha w14:val="100000"/>
                    </w14:srgbClr>
                  </w14:solidFill>
                </w14:textFill>
              </w:rPr>
              <w:t>|||</w:t>
            </w:r>
            <w:r w:rsidRPr="003926A4">
              <w:rPr>
                <w:color w:val="000000"/>
                <w:spacing w:val="27"/>
                <w:shd w:val="solid" w:color="000000" w:fill="000000"/>
                <w:fitText w:val="401" w:id="-1233424380"/>
                <w14:textFill>
                  <w14:solidFill>
                    <w14:srgbClr w14:val="000000">
                      <w14:alpha w14:val="100000"/>
                    </w14:srgbClr>
                  </w14:solidFill>
                </w14:textFill>
              </w:rPr>
              <w:t>|</w:t>
            </w:r>
            <w:r w:rsidR="00BB029F">
              <w:rPr>
                <w:vertAlign w:val="superscript"/>
              </w:rPr>
              <w:t>6</w:t>
            </w:r>
          </w:p>
        </w:tc>
      </w:tr>
      <w:tr w:rsidR="00191675" w:rsidRPr="00B31282" w14:paraId="3D6D4D38" w14:textId="77777777" w:rsidTr="00A25B6B">
        <w:tc>
          <w:tcPr>
            <w:tcW w:w="1491" w:type="pct"/>
            <w:tcBorders>
              <w:top w:val="single" w:sz="4" w:space="0" w:color="auto"/>
              <w:bottom w:val="single" w:sz="4" w:space="0" w:color="auto"/>
              <w:right w:val="single" w:sz="4" w:space="0" w:color="auto"/>
            </w:tcBorders>
          </w:tcPr>
          <w:p w14:paraId="2DE64DE8" w14:textId="77777777" w:rsidR="00191675" w:rsidRPr="00B31282" w:rsidRDefault="00191675" w:rsidP="00191675">
            <w:pPr>
              <w:pStyle w:val="COMTabletext"/>
              <w:keepLines/>
              <w:rPr>
                <w:b/>
                <w:bCs w:val="0"/>
                <w:szCs w:val="20"/>
              </w:rPr>
            </w:pPr>
            <w:r w:rsidRPr="00B31282">
              <w:rPr>
                <w:szCs w:val="20"/>
              </w:rPr>
              <w:t>Net savings from displaced ibrutinib</w:t>
            </w:r>
          </w:p>
        </w:tc>
        <w:tc>
          <w:tcPr>
            <w:tcW w:w="584" w:type="pct"/>
            <w:tcBorders>
              <w:top w:val="single" w:sz="4" w:space="0" w:color="auto"/>
              <w:left w:val="nil"/>
              <w:bottom w:val="single" w:sz="4" w:space="0" w:color="auto"/>
              <w:right w:val="single" w:sz="4" w:space="0" w:color="auto"/>
            </w:tcBorders>
            <w:shd w:val="clear" w:color="auto" w:fill="auto"/>
            <w:vAlign w:val="center"/>
          </w:tcPr>
          <w:p w14:paraId="774775ED" w14:textId="3408164B" w:rsidR="00191675" w:rsidRPr="00117A55" w:rsidRDefault="003926A4" w:rsidP="00191675">
            <w:pPr>
              <w:pStyle w:val="COMTabletext"/>
              <w:keepLines/>
              <w:jc w:val="center"/>
              <w:rPr>
                <w:szCs w:val="20"/>
                <w:highlight w:val="darkGray"/>
              </w:rPr>
            </w:pPr>
            <w:r w:rsidRPr="003926A4">
              <w:rPr>
                <w:color w:val="000000"/>
                <w:spacing w:val="79"/>
                <w:shd w:val="solid" w:color="000000" w:fill="000000"/>
                <w:fitText w:val="410" w:id="-1233424379"/>
                <w14:textFill>
                  <w14:solidFill>
                    <w14:srgbClr w14:val="000000">
                      <w14:alpha w14:val="100000"/>
                    </w14:srgbClr>
                  </w14:solidFill>
                </w14:textFill>
              </w:rPr>
              <w:t>|||</w:t>
            </w:r>
            <w:r w:rsidRPr="003926A4">
              <w:rPr>
                <w:color w:val="000000"/>
                <w:spacing w:val="3"/>
                <w:shd w:val="solid" w:color="000000" w:fill="000000"/>
                <w:fitText w:val="410" w:id="-1233424379"/>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0B83EB3A" w14:textId="54227FF6"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78"/>
                <w14:textFill>
                  <w14:solidFill>
                    <w14:srgbClr w14:val="000000">
                      <w14:alpha w14:val="100000"/>
                    </w14:srgbClr>
                  </w14:solidFill>
                </w14:textFill>
              </w:rPr>
              <w:t>|||</w:t>
            </w:r>
            <w:r w:rsidRPr="003926A4">
              <w:rPr>
                <w:color w:val="000000"/>
                <w:spacing w:val="27"/>
                <w:shd w:val="solid" w:color="000000" w:fill="000000"/>
                <w:fitText w:val="401" w:id="-1233424378"/>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EE3D9B9" w14:textId="524E69E2"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77"/>
                <w14:textFill>
                  <w14:solidFill>
                    <w14:srgbClr w14:val="000000">
                      <w14:alpha w14:val="100000"/>
                    </w14:srgbClr>
                  </w14:solidFill>
                </w14:textFill>
              </w:rPr>
              <w:t>|||</w:t>
            </w:r>
            <w:r w:rsidRPr="003926A4">
              <w:rPr>
                <w:color w:val="000000"/>
                <w:spacing w:val="27"/>
                <w:shd w:val="solid" w:color="000000" w:fill="000000"/>
                <w:fitText w:val="401" w:id="-1233424377"/>
                <w14:textFill>
                  <w14:solidFill>
                    <w14:srgbClr w14:val="000000">
                      <w14:alpha w14:val="100000"/>
                    </w14:srgbClr>
                  </w14:solidFill>
                </w14:textFill>
              </w:rPr>
              <w:t>|</w:t>
            </w:r>
            <w:r w:rsidR="00117A55">
              <w:rPr>
                <w:vertAlign w:val="superscript"/>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6247D40" w14:textId="12FD1EB9" w:rsidR="00191675" w:rsidRPr="00117A55" w:rsidRDefault="003926A4" w:rsidP="00191675">
            <w:pPr>
              <w:pStyle w:val="COMTabletext"/>
              <w:keepLines/>
              <w:jc w:val="center"/>
              <w:rPr>
                <w:szCs w:val="20"/>
                <w:highlight w:val="darkGray"/>
              </w:rPr>
            </w:pPr>
            <w:r w:rsidRPr="003926A4">
              <w:rPr>
                <w:color w:val="000000"/>
                <w:spacing w:val="79"/>
                <w:shd w:val="solid" w:color="000000" w:fill="000000"/>
                <w:fitText w:val="410" w:id="-1233424376"/>
                <w14:textFill>
                  <w14:solidFill>
                    <w14:srgbClr w14:val="000000">
                      <w14:alpha w14:val="100000"/>
                    </w14:srgbClr>
                  </w14:solidFill>
                </w14:textFill>
              </w:rPr>
              <w:t>|||</w:t>
            </w:r>
            <w:r w:rsidRPr="003926A4">
              <w:rPr>
                <w:color w:val="000000"/>
                <w:spacing w:val="3"/>
                <w:shd w:val="solid" w:color="000000" w:fill="000000"/>
                <w:fitText w:val="410" w:id="-1233424376"/>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0E5E16F" w14:textId="01BA132E"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375"/>
                <w14:textFill>
                  <w14:solidFill>
                    <w14:srgbClr w14:val="000000">
                      <w14:alpha w14:val="100000"/>
                    </w14:srgbClr>
                  </w14:solidFill>
                </w14:textFill>
              </w:rPr>
              <w:t>|||</w:t>
            </w:r>
            <w:r w:rsidRPr="003926A4">
              <w:rPr>
                <w:color w:val="000000"/>
                <w:spacing w:val="27"/>
                <w:shd w:val="solid" w:color="000000" w:fill="000000"/>
                <w:fitText w:val="401" w:id="-1233424375"/>
                <w14:textFill>
                  <w14:solidFill>
                    <w14:srgbClr w14:val="000000">
                      <w14:alpha w14:val="100000"/>
                    </w14:srgbClr>
                  </w14:solidFill>
                </w14:textFill>
              </w:rPr>
              <w:t>|</w:t>
            </w:r>
            <w:r w:rsidR="00117A55">
              <w:rPr>
                <w:vertAlign w:val="superscript"/>
              </w:rPr>
              <w:t>3</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E06295B" w14:textId="1C6BAC5A"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128"/>
                <w14:textFill>
                  <w14:solidFill>
                    <w14:srgbClr w14:val="000000">
                      <w14:alpha w14:val="100000"/>
                    </w14:srgbClr>
                  </w14:solidFill>
                </w14:textFill>
              </w:rPr>
              <w:t>|||</w:t>
            </w:r>
            <w:r w:rsidRPr="003926A4">
              <w:rPr>
                <w:color w:val="000000"/>
                <w:spacing w:val="27"/>
                <w:shd w:val="solid" w:color="000000" w:fill="000000"/>
                <w:fitText w:val="401" w:id="-1233424128"/>
                <w14:textFill>
                  <w14:solidFill>
                    <w14:srgbClr w14:val="000000">
                      <w14:alpha w14:val="100000"/>
                    </w14:srgbClr>
                  </w14:solidFill>
                </w14:textFill>
              </w:rPr>
              <w:t>|</w:t>
            </w:r>
            <w:r w:rsidR="00117A55">
              <w:rPr>
                <w:vertAlign w:val="superscript"/>
              </w:rPr>
              <w:t>3</w:t>
            </w:r>
          </w:p>
        </w:tc>
      </w:tr>
      <w:tr w:rsidR="00191675" w:rsidRPr="00B31282" w14:paraId="794085D0" w14:textId="77777777" w:rsidTr="00A25B6B">
        <w:tc>
          <w:tcPr>
            <w:tcW w:w="1491" w:type="pct"/>
            <w:tcBorders>
              <w:top w:val="single" w:sz="4" w:space="0" w:color="auto"/>
              <w:bottom w:val="single" w:sz="4" w:space="0" w:color="auto"/>
              <w:right w:val="single" w:sz="4" w:space="0" w:color="auto"/>
            </w:tcBorders>
          </w:tcPr>
          <w:p w14:paraId="253829EC" w14:textId="77777777" w:rsidR="00191675" w:rsidRPr="00B31282" w:rsidRDefault="00191675" w:rsidP="00191675">
            <w:pPr>
              <w:pStyle w:val="COMTabletext"/>
              <w:keepLines/>
              <w:rPr>
                <w:b/>
                <w:bCs w:val="0"/>
                <w:szCs w:val="20"/>
              </w:rPr>
            </w:pPr>
            <w:r w:rsidRPr="00B31282">
              <w:rPr>
                <w:szCs w:val="20"/>
              </w:rPr>
              <w:t>Net cost to PBS/RPBS</w:t>
            </w:r>
          </w:p>
        </w:tc>
        <w:tc>
          <w:tcPr>
            <w:tcW w:w="584" w:type="pct"/>
            <w:tcBorders>
              <w:top w:val="single" w:sz="4" w:space="0" w:color="auto"/>
              <w:left w:val="nil"/>
              <w:bottom w:val="single" w:sz="4" w:space="0" w:color="auto"/>
              <w:right w:val="single" w:sz="4" w:space="0" w:color="auto"/>
            </w:tcBorders>
            <w:shd w:val="clear" w:color="auto" w:fill="auto"/>
            <w:vAlign w:val="center"/>
          </w:tcPr>
          <w:p w14:paraId="76AD0EA2" w14:textId="74971539" w:rsidR="00191675" w:rsidRPr="00117A55" w:rsidRDefault="003926A4" w:rsidP="00191675">
            <w:pPr>
              <w:pStyle w:val="COMTabletext"/>
              <w:keepLines/>
              <w:jc w:val="center"/>
              <w:rPr>
                <w:b/>
                <w:bCs w:val="0"/>
                <w:szCs w:val="20"/>
                <w:highlight w:val="darkGray"/>
              </w:rPr>
            </w:pPr>
            <w:r w:rsidRPr="003926A4">
              <w:rPr>
                <w:b/>
                <w:bCs w:val="0"/>
                <w:color w:val="000000"/>
                <w:spacing w:val="41"/>
                <w:szCs w:val="20"/>
                <w:shd w:val="solid" w:color="000000" w:fill="000000"/>
                <w:fitText w:val="483" w:id="-1233424127"/>
                <w14:textFill>
                  <w14:solidFill>
                    <w14:srgbClr w14:val="000000">
                      <w14:alpha w14:val="100000"/>
                    </w14:srgbClr>
                  </w14:solidFill>
                </w14:textFill>
              </w:rPr>
              <w:t>|||||</w:t>
            </w:r>
            <w:r w:rsidRPr="003926A4">
              <w:rPr>
                <w:b/>
                <w:bCs w:val="0"/>
                <w:color w:val="000000"/>
                <w:spacing w:val="2"/>
                <w:szCs w:val="20"/>
                <w:shd w:val="solid" w:color="000000" w:fill="000000"/>
                <w:fitText w:val="483" w:id="-1233424127"/>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8175D20" w14:textId="2BB2C61A" w:rsidR="00191675" w:rsidRPr="00117A55" w:rsidRDefault="00191675" w:rsidP="00191675">
            <w:pPr>
              <w:pStyle w:val="COMTabletext"/>
              <w:keepLines/>
              <w:jc w:val="center"/>
              <w:rPr>
                <w:b/>
                <w:bCs w:val="0"/>
                <w:szCs w:val="20"/>
                <w:highlight w:val="darkGray"/>
              </w:rPr>
            </w:pPr>
            <w:r w:rsidRPr="00117A55">
              <w:rPr>
                <w:b/>
                <w:bCs w:val="0"/>
                <w:highlight w:val="darkGray"/>
              </w:rPr>
              <w:t>$0</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35C93A0" w14:textId="64556A3B"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6"/>
                <w14:textFill>
                  <w14:solidFill>
                    <w14:srgbClr w14:val="000000">
                      <w14:alpha w14:val="100000"/>
                    </w14:srgbClr>
                  </w14:solidFill>
                </w14:textFill>
              </w:rPr>
              <w:t>|||||</w:t>
            </w:r>
            <w:r w:rsidRPr="003926A4">
              <w:rPr>
                <w:b/>
                <w:bCs w:val="0"/>
                <w:color w:val="000000"/>
                <w:spacing w:val="3"/>
                <w:shd w:val="solid" w:color="000000" w:fill="000000"/>
                <w:fitText w:val="474" w:id="-1233424126"/>
                <w14:textFill>
                  <w14:solidFill>
                    <w14:srgbClr w14:val="000000">
                      <w14:alpha w14:val="100000"/>
                    </w14:srgbClr>
                  </w14:solidFill>
                </w14:textFill>
              </w:rPr>
              <w:t>|</w:t>
            </w:r>
            <w:r w:rsidR="00BB029F">
              <w:rPr>
                <w:vertAlign w:val="superscript"/>
              </w:rPr>
              <w:t>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1985CC1" w14:textId="67DBD7A8" w:rsidR="00191675" w:rsidRPr="00117A55" w:rsidRDefault="003926A4" w:rsidP="00191675">
            <w:pPr>
              <w:pStyle w:val="COMTabletext"/>
              <w:keepLines/>
              <w:jc w:val="center"/>
              <w:rPr>
                <w:b/>
                <w:bCs w:val="0"/>
                <w:szCs w:val="20"/>
                <w:highlight w:val="darkGray"/>
              </w:rPr>
            </w:pPr>
            <w:r w:rsidRPr="003926A4">
              <w:rPr>
                <w:b/>
                <w:bCs w:val="0"/>
                <w:color w:val="000000"/>
                <w:spacing w:val="41"/>
                <w:shd w:val="solid" w:color="000000" w:fill="000000"/>
                <w:fitText w:val="483" w:id="-1233424125"/>
                <w14:textFill>
                  <w14:solidFill>
                    <w14:srgbClr w14:val="000000">
                      <w14:alpha w14:val="100000"/>
                    </w14:srgbClr>
                  </w14:solidFill>
                </w14:textFill>
              </w:rPr>
              <w:t>|||||</w:t>
            </w:r>
            <w:r w:rsidRPr="003926A4">
              <w:rPr>
                <w:b/>
                <w:bCs w:val="0"/>
                <w:color w:val="000000"/>
                <w:spacing w:val="2"/>
                <w:shd w:val="solid" w:color="000000" w:fill="000000"/>
                <w:fitText w:val="483" w:id="-1233424125"/>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D2B4D13" w14:textId="17596CF8"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4"/>
                <w14:textFill>
                  <w14:solidFill>
                    <w14:srgbClr w14:val="000000">
                      <w14:alpha w14:val="100000"/>
                    </w14:srgbClr>
                  </w14:solidFill>
                </w14:textFill>
              </w:rPr>
              <w:t>|||||</w:t>
            </w:r>
            <w:r w:rsidRPr="003926A4">
              <w:rPr>
                <w:b/>
                <w:bCs w:val="0"/>
                <w:color w:val="000000"/>
                <w:spacing w:val="3"/>
                <w:shd w:val="solid" w:color="000000" w:fill="000000"/>
                <w:fitText w:val="474" w:id="-1233424124"/>
                <w14:textFill>
                  <w14:solidFill>
                    <w14:srgbClr w14:val="000000">
                      <w14:alpha w14:val="100000"/>
                    </w14:srgbClr>
                  </w14:solidFill>
                </w14:textFill>
              </w:rPr>
              <w:t>|</w:t>
            </w:r>
            <w:r w:rsidR="00BB029F">
              <w:rPr>
                <w:vertAlign w:val="superscript"/>
              </w:rPr>
              <w:t>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0138C093" w14:textId="1AF240DF"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3"/>
                <w14:textFill>
                  <w14:solidFill>
                    <w14:srgbClr w14:val="000000">
                      <w14:alpha w14:val="100000"/>
                    </w14:srgbClr>
                  </w14:solidFill>
                </w14:textFill>
              </w:rPr>
              <w:t>|||||</w:t>
            </w:r>
            <w:r w:rsidRPr="003926A4">
              <w:rPr>
                <w:b/>
                <w:bCs w:val="0"/>
                <w:color w:val="000000"/>
                <w:spacing w:val="3"/>
                <w:shd w:val="solid" w:color="000000" w:fill="000000"/>
                <w:fitText w:val="474" w:id="-1233424123"/>
                <w14:textFill>
                  <w14:solidFill>
                    <w14:srgbClr w14:val="000000">
                      <w14:alpha w14:val="100000"/>
                    </w14:srgbClr>
                  </w14:solidFill>
                </w14:textFill>
              </w:rPr>
              <w:t>|</w:t>
            </w:r>
            <w:r w:rsidR="00BB029F">
              <w:rPr>
                <w:vertAlign w:val="superscript"/>
              </w:rPr>
              <w:t>4</w:t>
            </w:r>
          </w:p>
        </w:tc>
      </w:tr>
      <w:tr w:rsidR="00191675" w:rsidRPr="00B31282" w14:paraId="1B34941D" w14:textId="77777777" w:rsidTr="00D12BAD">
        <w:tc>
          <w:tcPr>
            <w:tcW w:w="5000" w:type="pct"/>
            <w:gridSpan w:val="7"/>
            <w:tcBorders>
              <w:top w:val="single" w:sz="4" w:space="0" w:color="auto"/>
              <w:bottom w:val="single" w:sz="4" w:space="0" w:color="auto"/>
              <w:right w:val="single" w:sz="4" w:space="0" w:color="auto"/>
            </w:tcBorders>
          </w:tcPr>
          <w:p w14:paraId="3B5A8888" w14:textId="77777777" w:rsidR="00191675" w:rsidRPr="00B31282" w:rsidRDefault="00191675" w:rsidP="00191675">
            <w:pPr>
              <w:pStyle w:val="COMTabletext"/>
              <w:keepLines/>
              <w:rPr>
                <w:szCs w:val="20"/>
              </w:rPr>
            </w:pPr>
            <w:r w:rsidRPr="00B31282">
              <w:rPr>
                <w:b/>
                <w:bCs w:val="0"/>
                <w:szCs w:val="20"/>
              </w:rPr>
              <w:t>Not including grandfathered patients</w:t>
            </w:r>
          </w:p>
        </w:tc>
      </w:tr>
      <w:tr w:rsidR="00191675" w:rsidRPr="00B31282" w14:paraId="1C7C4409" w14:textId="77777777" w:rsidTr="00A25B6B">
        <w:tc>
          <w:tcPr>
            <w:tcW w:w="1491" w:type="pct"/>
            <w:tcBorders>
              <w:top w:val="single" w:sz="4" w:space="0" w:color="auto"/>
              <w:bottom w:val="single" w:sz="4" w:space="0" w:color="auto"/>
              <w:right w:val="single" w:sz="4" w:space="0" w:color="auto"/>
            </w:tcBorders>
          </w:tcPr>
          <w:p w14:paraId="4B22D3AF" w14:textId="77777777" w:rsidR="00191675" w:rsidRPr="00B31282" w:rsidRDefault="00191675" w:rsidP="00191675">
            <w:pPr>
              <w:pStyle w:val="COMTabletext"/>
              <w:keepLines/>
              <w:rPr>
                <w:b/>
                <w:bCs w:val="0"/>
                <w:szCs w:val="20"/>
              </w:rPr>
            </w:pPr>
            <w:r w:rsidRPr="00B31282">
              <w:rPr>
                <w:szCs w:val="20"/>
              </w:rPr>
              <w:t>Total cost of zanubrutinib</w:t>
            </w:r>
          </w:p>
        </w:tc>
        <w:tc>
          <w:tcPr>
            <w:tcW w:w="584" w:type="pct"/>
            <w:tcBorders>
              <w:top w:val="single" w:sz="4" w:space="0" w:color="auto"/>
              <w:left w:val="nil"/>
              <w:bottom w:val="single" w:sz="4" w:space="0" w:color="auto"/>
              <w:right w:val="single" w:sz="4" w:space="0" w:color="auto"/>
            </w:tcBorders>
            <w:shd w:val="clear" w:color="auto" w:fill="auto"/>
            <w:vAlign w:val="center"/>
          </w:tcPr>
          <w:p w14:paraId="121FAE6E" w14:textId="3B6D7A8E" w:rsidR="00191675" w:rsidRPr="00117A55" w:rsidRDefault="003926A4" w:rsidP="00191675">
            <w:pPr>
              <w:pStyle w:val="COMTabletext"/>
              <w:keepLines/>
              <w:jc w:val="center"/>
              <w:rPr>
                <w:szCs w:val="20"/>
                <w:highlight w:val="darkGray"/>
              </w:rPr>
            </w:pPr>
            <w:r w:rsidRPr="003926A4">
              <w:rPr>
                <w:color w:val="000000"/>
                <w:spacing w:val="79"/>
                <w:shd w:val="solid" w:color="000000" w:fill="000000"/>
                <w:fitText w:val="410" w:id="-1233424122"/>
                <w14:textFill>
                  <w14:solidFill>
                    <w14:srgbClr w14:val="000000">
                      <w14:alpha w14:val="100000"/>
                    </w14:srgbClr>
                  </w14:solidFill>
                </w14:textFill>
              </w:rPr>
              <w:t>|||</w:t>
            </w:r>
            <w:r w:rsidRPr="003926A4">
              <w:rPr>
                <w:color w:val="000000"/>
                <w:spacing w:val="3"/>
                <w:shd w:val="solid" w:color="000000" w:fill="000000"/>
                <w:fitText w:val="410" w:id="-1233424122"/>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4735ADF" w14:textId="219109C4"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121"/>
                <w14:textFill>
                  <w14:solidFill>
                    <w14:srgbClr w14:val="000000">
                      <w14:alpha w14:val="100000"/>
                    </w14:srgbClr>
                  </w14:solidFill>
                </w14:textFill>
              </w:rPr>
              <w:t>|||</w:t>
            </w:r>
            <w:r w:rsidRPr="003926A4">
              <w:rPr>
                <w:color w:val="000000"/>
                <w:spacing w:val="27"/>
                <w:shd w:val="solid" w:color="000000" w:fill="000000"/>
                <w:fitText w:val="401" w:id="-1233424121"/>
                <w14:textFill>
                  <w14:solidFill>
                    <w14:srgbClr w14:val="000000">
                      <w14:alpha w14:val="100000"/>
                    </w14:srgbClr>
                  </w14:solidFill>
                </w14:textFill>
              </w:rPr>
              <w:t>|</w:t>
            </w:r>
            <w:r w:rsidR="00117A55">
              <w:rPr>
                <w:vertAlign w:val="superscript"/>
              </w:rPr>
              <w:t>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871FD98" w14:textId="34B9D19B"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120"/>
                <w14:textFill>
                  <w14:solidFill>
                    <w14:srgbClr w14:val="000000">
                      <w14:alpha w14:val="100000"/>
                    </w14:srgbClr>
                  </w14:solidFill>
                </w14:textFill>
              </w:rPr>
              <w:t>|||</w:t>
            </w:r>
            <w:r w:rsidRPr="003926A4">
              <w:rPr>
                <w:color w:val="000000"/>
                <w:spacing w:val="27"/>
                <w:shd w:val="solid" w:color="000000" w:fill="000000"/>
                <w:fitText w:val="401" w:id="-1233424120"/>
                <w14:textFill>
                  <w14:solidFill>
                    <w14:srgbClr w14:val="000000">
                      <w14:alpha w14:val="100000"/>
                    </w14:srgbClr>
                  </w14:solidFill>
                </w14:textFill>
              </w:rPr>
              <w:t>|</w:t>
            </w:r>
            <w:r w:rsidR="00117A55">
              <w:rPr>
                <w:vertAlign w:val="superscript"/>
              </w:rPr>
              <w:t>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81A8F3B" w14:textId="1C8478C5" w:rsidR="00191675" w:rsidRPr="00117A55" w:rsidRDefault="003926A4" w:rsidP="00191675">
            <w:pPr>
              <w:pStyle w:val="COMTabletext"/>
              <w:keepLines/>
              <w:jc w:val="center"/>
              <w:rPr>
                <w:szCs w:val="20"/>
                <w:highlight w:val="darkGray"/>
              </w:rPr>
            </w:pPr>
            <w:r w:rsidRPr="003926A4">
              <w:rPr>
                <w:color w:val="000000"/>
                <w:spacing w:val="79"/>
                <w:shd w:val="solid" w:color="000000" w:fill="000000"/>
                <w:fitText w:val="410" w:id="-1233424119"/>
                <w14:textFill>
                  <w14:solidFill>
                    <w14:srgbClr w14:val="000000">
                      <w14:alpha w14:val="100000"/>
                    </w14:srgbClr>
                  </w14:solidFill>
                </w14:textFill>
              </w:rPr>
              <w:t>|||</w:t>
            </w:r>
            <w:r w:rsidRPr="003926A4">
              <w:rPr>
                <w:color w:val="000000"/>
                <w:spacing w:val="3"/>
                <w:shd w:val="solid" w:color="000000" w:fill="000000"/>
                <w:fitText w:val="410" w:id="-1233424119"/>
                <w14:textFill>
                  <w14:solidFill>
                    <w14:srgbClr w14:val="000000">
                      <w14:alpha w14:val="100000"/>
                    </w14:srgbClr>
                  </w14:solidFill>
                </w14:textFill>
              </w:rPr>
              <w:t>|</w:t>
            </w:r>
            <w:r w:rsidR="00BB029F">
              <w:rPr>
                <w:vertAlign w:val="superscript"/>
              </w:rPr>
              <w:t>6</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7DF58A32" w14:textId="01444F1A"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118"/>
                <w14:textFill>
                  <w14:solidFill>
                    <w14:srgbClr w14:val="000000">
                      <w14:alpha w14:val="100000"/>
                    </w14:srgbClr>
                  </w14:solidFill>
                </w14:textFill>
              </w:rPr>
              <w:t>|||</w:t>
            </w:r>
            <w:r w:rsidRPr="003926A4">
              <w:rPr>
                <w:color w:val="000000"/>
                <w:spacing w:val="27"/>
                <w:shd w:val="solid" w:color="000000" w:fill="000000"/>
                <w:fitText w:val="401" w:id="-1233424118"/>
                <w14:textFill>
                  <w14:solidFill>
                    <w14:srgbClr w14:val="000000">
                      <w14:alpha w14:val="100000"/>
                    </w14:srgbClr>
                  </w14:solidFill>
                </w14:textFill>
              </w:rPr>
              <w:t>|</w:t>
            </w:r>
            <w:r w:rsidR="00BB029F">
              <w:rPr>
                <w:vertAlign w:val="superscript"/>
              </w:rPr>
              <w:t>6</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4FC3901B" w14:textId="3BF1321A" w:rsidR="00191675" w:rsidRPr="00117A55" w:rsidRDefault="003926A4" w:rsidP="00191675">
            <w:pPr>
              <w:pStyle w:val="COMTabletext"/>
              <w:keepLines/>
              <w:jc w:val="center"/>
              <w:rPr>
                <w:szCs w:val="20"/>
                <w:highlight w:val="darkGray"/>
              </w:rPr>
            </w:pPr>
            <w:r w:rsidRPr="003926A4">
              <w:rPr>
                <w:color w:val="000000"/>
                <w:spacing w:val="67"/>
                <w:shd w:val="solid" w:color="000000" w:fill="000000"/>
                <w:fitText w:val="401" w:id="-1233424117"/>
                <w14:textFill>
                  <w14:solidFill>
                    <w14:srgbClr w14:val="000000">
                      <w14:alpha w14:val="100000"/>
                    </w14:srgbClr>
                  </w14:solidFill>
                </w14:textFill>
              </w:rPr>
              <w:t>|||</w:t>
            </w:r>
            <w:r w:rsidRPr="003926A4">
              <w:rPr>
                <w:color w:val="000000"/>
                <w:spacing w:val="27"/>
                <w:shd w:val="solid" w:color="000000" w:fill="000000"/>
                <w:fitText w:val="401" w:id="-1233424117"/>
                <w14:textFill>
                  <w14:solidFill>
                    <w14:srgbClr w14:val="000000">
                      <w14:alpha w14:val="100000"/>
                    </w14:srgbClr>
                  </w14:solidFill>
                </w14:textFill>
              </w:rPr>
              <w:t>|</w:t>
            </w:r>
            <w:r w:rsidR="00BB029F">
              <w:rPr>
                <w:vertAlign w:val="superscript"/>
              </w:rPr>
              <w:t>6</w:t>
            </w:r>
          </w:p>
        </w:tc>
      </w:tr>
      <w:tr w:rsidR="00703867" w:rsidRPr="00B31282" w14:paraId="085BBECA" w14:textId="77777777" w:rsidTr="00A25B6B">
        <w:tc>
          <w:tcPr>
            <w:tcW w:w="1491" w:type="pct"/>
            <w:tcBorders>
              <w:top w:val="single" w:sz="4" w:space="0" w:color="auto"/>
              <w:bottom w:val="single" w:sz="4" w:space="0" w:color="auto"/>
              <w:right w:val="single" w:sz="4" w:space="0" w:color="auto"/>
            </w:tcBorders>
          </w:tcPr>
          <w:p w14:paraId="664ADA25" w14:textId="77777777" w:rsidR="00703867" w:rsidRPr="00B31282" w:rsidRDefault="00703867" w:rsidP="00703867">
            <w:pPr>
              <w:pStyle w:val="COMTabletext"/>
              <w:keepLines/>
              <w:rPr>
                <w:b/>
                <w:bCs w:val="0"/>
                <w:szCs w:val="20"/>
              </w:rPr>
            </w:pPr>
            <w:r w:rsidRPr="00B31282">
              <w:rPr>
                <w:szCs w:val="20"/>
              </w:rPr>
              <w:t>Net savings from displaced ibrutinib</w:t>
            </w:r>
          </w:p>
        </w:tc>
        <w:tc>
          <w:tcPr>
            <w:tcW w:w="584" w:type="pct"/>
            <w:tcBorders>
              <w:top w:val="single" w:sz="4" w:space="0" w:color="auto"/>
              <w:left w:val="nil"/>
              <w:bottom w:val="single" w:sz="4" w:space="0" w:color="auto"/>
              <w:right w:val="single" w:sz="4" w:space="0" w:color="auto"/>
            </w:tcBorders>
            <w:shd w:val="clear" w:color="auto" w:fill="auto"/>
            <w:vAlign w:val="center"/>
          </w:tcPr>
          <w:p w14:paraId="609FA537" w14:textId="0A1A37FA" w:rsidR="00703867" w:rsidRPr="00117A55" w:rsidRDefault="003926A4" w:rsidP="00703867">
            <w:pPr>
              <w:pStyle w:val="COMTabletext"/>
              <w:keepLines/>
              <w:jc w:val="center"/>
              <w:rPr>
                <w:szCs w:val="20"/>
                <w:highlight w:val="darkGray"/>
              </w:rPr>
            </w:pPr>
            <w:r w:rsidRPr="003926A4">
              <w:rPr>
                <w:color w:val="000000"/>
                <w:spacing w:val="79"/>
                <w:shd w:val="solid" w:color="000000" w:fill="000000"/>
                <w:fitText w:val="410" w:id="-1233424116"/>
                <w14:textFill>
                  <w14:solidFill>
                    <w14:srgbClr w14:val="000000">
                      <w14:alpha w14:val="100000"/>
                    </w14:srgbClr>
                  </w14:solidFill>
                </w14:textFill>
              </w:rPr>
              <w:t>|||</w:t>
            </w:r>
            <w:r w:rsidRPr="003926A4">
              <w:rPr>
                <w:color w:val="000000"/>
                <w:spacing w:val="3"/>
                <w:shd w:val="solid" w:color="000000" w:fill="000000"/>
                <w:fitText w:val="410" w:id="-1233424116"/>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7921EC5" w14:textId="30EF74F0" w:rsidR="00703867" w:rsidRPr="00117A55" w:rsidRDefault="003926A4" w:rsidP="00703867">
            <w:pPr>
              <w:pStyle w:val="COMTabletext"/>
              <w:keepLines/>
              <w:jc w:val="center"/>
              <w:rPr>
                <w:szCs w:val="20"/>
                <w:highlight w:val="darkGray"/>
              </w:rPr>
            </w:pPr>
            <w:r w:rsidRPr="003926A4">
              <w:rPr>
                <w:color w:val="000000"/>
                <w:spacing w:val="67"/>
                <w:shd w:val="solid" w:color="000000" w:fill="000000"/>
                <w:fitText w:val="401" w:id="-1233424115"/>
                <w14:textFill>
                  <w14:solidFill>
                    <w14:srgbClr w14:val="000000">
                      <w14:alpha w14:val="100000"/>
                    </w14:srgbClr>
                  </w14:solidFill>
                </w14:textFill>
              </w:rPr>
              <w:t>|||</w:t>
            </w:r>
            <w:r w:rsidRPr="003926A4">
              <w:rPr>
                <w:color w:val="000000"/>
                <w:spacing w:val="27"/>
                <w:shd w:val="solid" w:color="000000" w:fill="000000"/>
                <w:fitText w:val="401" w:id="-1233424115"/>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BB36C11" w14:textId="0E841209" w:rsidR="00703867" w:rsidRPr="00117A55" w:rsidRDefault="003926A4" w:rsidP="00703867">
            <w:pPr>
              <w:pStyle w:val="COMTabletext"/>
              <w:keepLines/>
              <w:jc w:val="center"/>
              <w:rPr>
                <w:szCs w:val="20"/>
                <w:highlight w:val="darkGray"/>
              </w:rPr>
            </w:pPr>
            <w:r w:rsidRPr="003926A4">
              <w:rPr>
                <w:color w:val="000000"/>
                <w:spacing w:val="67"/>
                <w:shd w:val="solid" w:color="000000" w:fill="000000"/>
                <w:fitText w:val="401" w:id="-1233424114"/>
                <w14:textFill>
                  <w14:solidFill>
                    <w14:srgbClr w14:val="000000">
                      <w14:alpha w14:val="100000"/>
                    </w14:srgbClr>
                  </w14:solidFill>
                </w14:textFill>
              </w:rPr>
              <w:t>|||</w:t>
            </w:r>
            <w:r w:rsidRPr="003926A4">
              <w:rPr>
                <w:color w:val="000000"/>
                <w:spacing w:val="27"/>
                <w:shd w:val="solid" w:color="000000" w:fill="000000"/>
                <w:fitText w:val="401" w:id="-1233424114"/>
                <w14:textFill>
                  <w14:solidFill>
                    <w14:srgbClr w14:val="000000">
                      <w14:alpha w14:val="100000"/>
                    </w14:srgbClr>
                  </w14:solidFill>
                </w14:textFill>
              </w:rPr>
              <w:t>|</w:t>
            </w:r>
            <w:r w:rsidR="00117A55">
              <w:rPr>
                <w:vertAlign w:val="superscript"/>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D45B5B8" w14:textId="7441ABD9" w:rsidR="00703867" w:rsidRPr="00117A55" w:rsidRDefault="003926A4" w:rsidP="00703867">
            <w:pPr>
              <w:pStyle w:val="COMTabletext"/>
              <w:keepLines/>
              <w:jc w:val="center"/>
              <w:rPr>
                <w:szCs w:val="20"/>
                <w:highlight w:val="darkGray"/>
              </w:rPr>
            </w:pPr>
            <w:r w:rsidRPr="003926A4">
              <w:rPr>
                <w:color w:val="000000"/>
                <w:spacing w:val="79"/>
                <w:shd w:val="solid" w:color="000000" w:fill="000000"/>
                <w:fitText w:val="410" w:id="-1233424113"/>
                <w14:textFill>
                  <w14:solidFill>
                    <w14:srgbClr w14:val="000000">
                      <w14:alpha w14:val="100000"/>
                    </w14:srgbClr>
                  </w14:solidFill>
                </w14:textFill>
              </w:rPr>
              <w:t>|||</w:t>
            </w:r>
            <w:r w:rsidRPr="003926A4">
              <w:rPr>
                <w:color w:val="000000"/>
                <w:spacing w:val="3"/>
                <w:shd w:val="solid" w:color="000000" w:fill="000000"/>
                <w:fitText w:val="410" w:id="-1233424113"/>
                <w14:textFill>
                  <w14:solidFill>
                    <w14:srgbClr w14:val="000000">
                      <w14:alpha w14:val="100000"/>
                    </w14:srgbClr>
                  </w14:solidFill>
                </w14:textFill>
              </w:rPr>
              <w:t>|</w:t>
            </w:r>
            <w:r w:rsidR="00117A55">
              <w:rPr>
                <w:vertAlign w:val="superscript"/>
              </w:rPr>
              <w:t>3</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6594343" w14:textId="7110DBD7" w:rsidR="00703867" w:rsidRPr="00117A55" w:rsidRDefault="003926A4" w:rsidP="00703867">
            <w:pPr>
              <w:pStyle w:val="COMTabletext"/>
              <w:keepLines/>
              <w:jc w:val="center"/>
              <w:rPr>
                <w:szCs w:val="20"/>
                <w:highlight w:val="darkGray"/>
              </w:rPr>
            </w:pPr>
            <w:r w:rsidRPr="003926A4">
              <w:rPr>
                <w:color w:val="000000"/>
                <w:spacing w:val="67"/>
                <w:shd w:val="solid" w:color="000000" w:fill="000000"/>
                <w:fitText w:val="401" w:id="-1233424112"/>
                <w14:textFill>
                  <w14:solidFill>
                    <w14:srgbClr w14:val="000000">
                      <w14:alpha w14:val="100000"/>
                    </w14:srgbClr>
                  </w14:solidFill>
                </w14:textFill>
              </w:rPr>
              <w:t>|||</w:t>
            </w:r>
            <w:r w:rsidRPr="003926A4">
              <w:rPr>
                <w:color w:val="000000"/>
                <w:spacing w:val="27"/>
                <w:shd w:val="solid" w:color="000000" w:fill="000000"/>
                <w:fitText w:val="401" w:id="-1233424112"/>
                <w14:textFill>
                  <w14:solidFill>
                    <w14:srgbClr w14:val="000000">
                      <w14:alpha w14:val="100000"/>
                    </w14:srgbClr>
                  </w14:solidFill>
                </w14:textFill>
              </w:rPr>
              <w:t>|</w:t>
            </w:r>
            <w:r w:rsidR="00117A55">
              <w:rPr>
                <w:vertAlign w:val="superscript"/>
              </w:rPr>
              <w:t>3</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39763F00" w14:textId="32892FE5" w:rsidR="00703867" w:rsidRPr="00117A55" w:rsidRDefault="003926A4" w:rsidP="00703867">
            <w:pPr>
              <w:pStyle w:val="COMTabletext"/>
              <w:keepLines/>
              <w:jc w:val="center"/>
              <w:rPr>
                <w:szCs w:val="20"/>
                <w:highlight w:val="darkGray"/>
              </w:rPr>
            </w:pPr>
            <w:r w:rsidRPr="003926A4">
              <w:rPr>
                <w:color w:val="000000"/>
                <w:spacing w:val="67"/>
                <w:shd w:val="solid" w:color="000000" w:fill="000000"/>
                <w:fitText w:val="401" w:id="-1233424128"/>
                <w14:textFill>
                  <w14:solidFill>
                    <w14:srgbClr w14:val="000000">
                      <w14:alpha w14:val="100000"/>
                    </w14:srgbClr>
                  </w14:solidFill>
                </w14:textFill>
              </w:rPr>
              <w:t>|||</w:t>
            </w:r>
            <w:r w:rsidRPr="003926A4">
              <w:rPr>
                <w:color w:val="000000"/>
                <w:spacing w:val="27"/>
                <w:shd w:val="solid" w:color="000000" w:fill="000000"/>
                <w:fitText w:val="401" w:id="-1233424128"/>
                <w14:textFill>
                  <w14:solidFill>
                    <w14:srgbClr w14:val="000000">
                      <w14:alpha w14:val="100000"/>
                    </w14:srgbClr>
                  </w14:solidFill>
                </w14:textFill>
              </w:rPr>
              <w:t>|</w:t>
            </w:r>
            <w:r w:rsidR="00117A55">
              <w:rPr>
                <w:vertAlign w:val="superscript"/>
              </w:rPr>
              <w:t>3</w:t>
            </w:r>
          </w:p>
        </w:tc>
      </w:tr>
      <w:tr w:rsidR="00191675" w:rsidRPr="00B31282" w14:paraId="4D81F51F" w14:textId="77777777" w:rsidTr="00A25B6B">
        <w:tc>
          <w:tcPr>
            <w:tcW w:w="1491" w:type="pct"/>
            <w:tcBorders>
              <w:top w:val="single" w:sz="4" w:space="0" w:color="auto"/>
              <w:bottom w:val="single" w:sz="4" w:space="0" w:color="auto"/>
              <w:right w:val="single" w:sz="4" w:space="0" w:color="auto"/>
            </w:tcBorders>
          </w:tcPr>
          <w:p w14:paraId="42B3126A" w14:textId="77777777" w:rsidR="00191675" w:rsidRPr="00B31282" w:rsidRDefault="00191675" w:rsidP="00191675">
            <w:pPr>
              <w:pStyle w:val="COMTabletext"/>
              <w:keepLines/>
              <w:rPr>
                <w:b/>
                <w:bCs w:val="0"/>
                <w:szCs w:val="20"/>
              </w:rPr>
            </w:pPr>
            <w:r w:rsidRPr="00B31282">
              <w:rPr>
                <w:szCs w:val="20"/>
              </w:rPr>
              <w:t>Net cost to PBS/RPBS</w:t>
            </w:r>
          </w:p>
        </w:tc>
        <w:tc>
          <w:tcPr>
            <w:tcW w:w="584" w:type="pct"/>
            <w:tcBorders>
              <w:top w:val="single" w:sz="4" w:space="0" w:color="auto"/>
              <w:left w:val="nil"/>
              <w:bottom w:val="single" w:sz="4" w:space="0" w:color="auto"/>
              <w:right w:val="single" w:sz="4" w:space="0" w:color="auto"/>
            </w:tcBorders>
            <w:shd w:val="clear" w:color="auto" w:fill="auto"/>
            <w:vAlign w:val="center"/>
          </w:tcPr>
          <w:p w14:paraId="6AD64DD6" w14:textId="49D7C797" w:rsidR="00191675" w:rsidRPr="00117A55" w:rsidRDefault="003926A4" w:rsidP="00191675">
            <w:pPr>
              <w:pStyle w:val="COMTabletext"/>
              <w:keepLines/>
              <w:jc w:val="center"/>
              <w:rPr>
                <w:b/>
                <w:bCs w:val="0"/>
                <w:szCs w:val="20"/>
                <w:highlight w:val="darkGray"/>
              </w:rPr>
            </w:pPr>
            <w:r w:rsidRPr="003926A4">
              <w:rPr>
                <w:b/>
                <w:bCs w:val="0"/>
                <w:color w:val="000000"/>
                <w:spacing w:val="41"/>
                <w:shd w:val="solid" w:color="000000" w:fill="000000"/>
                <w:fitText w:val="483" w:id="-1233424127"/>
                <w14:textFill>
                  <w14:solidFill>
                    <w14:srgbClr w14:val="000000">
                      <w14:alpha w14:val="100000"/>
                    </w14:srgbClr>
                  </w14:solidFill>
                </w14:textFill>
              </w:rPr>
              <w:t>|||||</w:t>
            </w:r>
            <w:r w:rsidRPr="003926A4">
              <w:rPr>
                <w:b/>
                <w:bCs w:val="0"/>
                <w:color w:val="000000"/>
                <w:spacing w:val="2"/>
                <w:shd w:val="solid" w:color="000000" w:fill="000000"/>
                <w:fitText w:val="483" w:id="-1233424127"/>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A750912" w14:textId="203D827F"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6"/>
                <w14:textFill>
                  <w14:solidFill>
                    <w14:srgbClr w14:val="000000">
                      <w14:alpha w14:val="100000"/>
                    </w14:srgbClr>
                  </w14:solidFill>
                </w14:textFill>
              </w:rPr>
              <w:t>|||||</w:t>
            </w:r>
            <w:r w:rsidRPr="003926A4">
              <w:rPr>
                <w:b/>
                <w:bCs w:val="0"/>
                <w:color w:val="000000"/>
                <w:spacing w:val="3"/>
                <w:shd w:val="solid" w:color="000000" w:fill="000000"/>
                <w:fitText w:val="474" w:id="-1233424126"/>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6E9DAF8" w14:textId="1E61D886"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5"/>
                <w14:textFill>
                  <w14:solidFill>
                    <w14:srgbClr w14:val="000000">
                      <w14:alpha w14:val="100000"/>
                    </w14:srgbClr>
                  </w14:solidFill>
                </w14:textFill>
              </w:rPr>
              <w:t>|||||</w:t>
            </w:r>
            <w:r w:rsidRPr="003926A4">
              <w:rPr>
                <w:b/>
                <w:bCs w:val="0"/>
                <w:color w:val="000000"/>
                <w:spacing w:val="3"/>
                <w:shd w:val="solid" w:color="000000" w:fill="000000"/>
                <w:fitText w:val="474" w:id="-1233424125"/>
                <w14:textFill>
                  <w14:solidFill>
                    <w14:srgbClr w14:val="000000">
                      <w14:alpha w14:val="100000"/>
                    </w14:srgbClr>
                  </w14:solidFill>
                </w14:textFill>
              </w:rPr>
              <w:t>|</w:t>
            </w:r>
            <w:r w:rsidR="00BB029F">
              <w:rPr>
                <w:vertAlign w:val="superscript"/>
              </w:rPr>
              <w:t>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482375B" w14:textId="4C872D5C" w:rsidR="00191675" w:rsidRPr="00117A55" w:rsidRDefault="003926A4" w:rsidP="00191675">
            <w:pPr>
              <w:pStyle w:val="COMTabletext"/>
              <w:keepLines/>
              <w:jc w:val="center"/>
              <w:rPr>
                <w:b/>
                <w:bCs w:val="0"/>
                <w:szCs w:val="20"/>
                <w:highlight w:val="darkGray"/>
              </w:rPr>
            </w:pPr>
            <w:r w:rsidRPr="003926A4">
              <w:rPr>
                <w:b/>
                <w:bCs w:val="0"/>
                <w:color w:val="000000"/>
                <w:spacing w:val="41"/>
                <w:shd w:val="solid" w:color="000000" w:fill="000000"/>
                <w:fitText w:val="483" w:id="-1233424124"/>
                <w14:textFill>
                  <w14:solidFill>
                    <w14:srgbClr w14:val="000000">
                      <w14:alpha w14:val="100000"/>
                    </w14:srgbClr>
                  </w14:solidFill>
                </w14:textFill>
              </w:rPr>
              <w:t>|||||</w:t>
            </w:r>
            <w:r w:rsidRPr="003926A4">
              <w:rPr>
                <w:b/>
                <w:bCs w:val="0"/>
                <w:color w:val="000000"/>
                <w:spacing w:val="2"/>
                <w:shd w:val="solid" w:color="000000" w:fill="000000"/>
                <w:fitText w:val="483" w:id="-1233424124"/>
                <w14:textFill>
                  <w14:solidFill>
                    <w14:srgbClr w14:val="000000">
                      <w14:alpha w14:val="100000"/>
                    </w14:srgbClr>
                  </w14:solidFill>
                </w14:textFill>
              </w:rPr>
              <w:t>|</w:t>
            </w:r>
            <w:r w:rsidR="00BB029F">
              <w:rPr>
                <w:vertAlign w:val="superscript"/>
              </w:rPr>
              <w:t>4</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292810A" w14:textId="20871581"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3"/>
                <w14:textFill>
                  <w14:solidFill>
                    <w14:srgbClr w14:val="000000">
                      <w14:alpha w14:val="100000"/>
                    </w14:srgbClr>
                  </w14:solidFill>
                </w14:textFill>
              </w:rPr>
              <w:t>|||||</w:t>
            </w:r>
            <w:r w:rsidRPr="003926A4">
              <w:rPr>
                <w:b/>
                <w:bCs w:val="0"/>
                <w:color w:val="000000"/>
                <w:spacing w:val="3"/>
                <w:shd w:val="solid" w:color="000000" w:fill="000000"/>
                <w:fitText w:val="474" w:id="-1233424123"/>
                <w14:textFill>
                  <w14:solidFill>
                    <w14:srgbClr w14:val="000000">
                      <w14:alpha w14:val="100000"/>
                    </w14:srgbClr>
                  </w14:solidFill>
                </w14:textFill>
              </w:rPr>
              <w:t>|</w:t>
            </w:r>
            <w:r w:rsidR="00BB029F">
              <w:rPr>
                <w:vertAlign w:val="superscript"/>
              </w:rPr>
              <w:t>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96D3473" w14:textId="4A93D92E" w:rsidR="00191675" w:rsidRPr="00117A55" w:rsidRDefault="003926A4" w:rsidP="00191675">
            <w:pPr>
              <w:pStyle w:val="COMTabletext"/>
              <w:keepLines/>
              <w:jc w:val="center"/>
              <w:rPr>
                <w:b/>
                <w:bCs w:val="0"/>
                <w:szCs w:val="20"/>
                <w:highlight w:val="darkGray"/>
              </w:rPr>
            </w:pPr>
            <w:r w:rsidRPr="003926A4">
              <w:rPr>
                <w:b/>
                <w:bCs w:val="0"/>
                <w:color w:val="000000"/>
                <w:spacing w:val="39"/>
                <w:shd w:val="solid" w:color="000000" w:fill="000000"/>
                <w:fitText w:val="474" w:id="-1233424122"/>
                <w14:textFill>
                  <w14:solidFill>
                    <w14:srgbClr w14:val="000000">
                      <w14:alpha w14:val="100000"/>
                    </w14:srgbClr>
                  </w14:solidFill>
                </w14:textFill>
              </w:rPr>
              <w:t>|||||</w:t>
            </w:r>
            <w:r w:rsidRPr="003926A4">
              <w:rPr>
                <w:b/>
                <w:bCs w:val="0"/>
                <w:color w:val="000000"/>
                <w:spacing w:val="3"/>
                <w:shd w:val="solid" w:color="000000" w:fill="000000"/>
                <w:fitText w:val="474" w:id="-1233424122"/>
                <w14:textFill>
                  <w14:solidFill>
                    <w14:srgbClr w14:val="000000">
                      <w14:alpha w14:val="100000"/>
                    </w14:srgbClr>
                  </w14:solidFill>
                </w14:textFill>
              </w:rPr>
              <w:t>|</w:t>
            </w:r>
            <w:r w:rsidR="00BB029F">
              <w:rPr>
                <w:vertAlign w:val="superscript"/>
              </w:rPr>
              <w:t>4</w:t>
            </w:r>
          </w:p>
        </w:tc>
      </w:tr>
    </w:tbl>
    <w:p w14:paraId="006487EE" w14:textId="48584F24" w:rsidR="00FB174E" w:rsidRPr="00B31282" w:rsidRDefault="000D5545" w:rsidP="00F25DE4">
      <w:pPr>
        <w:pStyle w:val="COMTablefooter"/>
        <w:keepNext/>
        <w:keepLines/>
        <w:rPr>
          <w:rStyle w:val="normaltextrun"/>
          <w:rFonts w:cs="Segoe UI"/>
          <w:szCs w:val="18"/>
        </w:rPr>
      </w:pPr>
      <w:r w:rsidRPr="00B31282">
        <w:rPr>
          <w:rStyle w:val="normaltextrun"/>
          <w:rFonts w:cs="Segoe UI"/>
          <w:szCs w:val="18"/>
        </w:rPr>
        <w:t xml:space="preserve">Source: </w:t>
      </w:r>
      <w:r w:rsidR="00FB174E" w:rsidRPr="00B31282">
        <w:rPr>
          <w:rStyle w:val="normaltextrun"/>
          <w:rFonts w:cs="Segoe UI"/>
          <w:szCs w:val="18"/>
        </w:rPr>
        <w:t xml:space="preserve">Source: Table 4-2, p116; Table 4-4, p117; Table 4-6, p118; Table 4-7, p118; Table 4-8, p119; Table 4-10, p120; Table 4-11, p121 of the submission; ‘Section 4 _RR’ Excel workbook.   </w:t>
      </w:r>
    </w:p>
    <w:p w14:paraId="0CEBC82B" w14:textId="77777777" w:rsidR="00117A55" w:rsidRDefault="00FB174E" w:rsidP="00117A55">
      <w:pPr>
        <w:pStyle w:val="COMTablefooter"/>
        <w:spacing w:after="0"/>
        <w:rPr>
          <w:rStyle w:val="normaltextrun"/>
          <w:rFonts w:cs="Segoe UI"/>
          <w:szCs w:val="18"/>
        </w:rPr>
      </w:pPr>
      <w:r w:rsidRPr="00B31282">
        <w:rPr>
          <w:rStyle w:val="normaltextrun"/>
          <w:rFonts w:cs="Segoe UI"/>
          <w:szCs w:val="18"/>
        </w:rPr>
        <w:t xml:space="preserve">Abbreviations: CLL, chronic lymphocytic leukaemia; DPMQ, dispensed price for maximum quantity; SLL, small lymphocytic </w:t>
      </w:r>
      <w:r w:rsidR="000D5545" w:rsidRPr="00B31282">
        <w:rPr>
          <w:rStyle w:val="normaltextrun"/>
          <w:rFonts w:cs="Segoe UI"/>
          <w:szCs w:val="18"/>
        </w:rPr>
        <w:t>lymphoma</w:t>
      </w:r>
    </w:p>
    <w:p w14:paraId="5E703619" w14:textId="77777777" w:rsidR="00117A55" w:rsidRDefault="00117A55" w:rsidP="00117A55">
      <w:pPr>
        <w:rPr>
          <w:rFonts w:ascii="Arial Narrow" w:hAnsi="Arial Narrow"/>
          <w:i/>
          <w:sz w:val="18"/>
          <w:szCs w:val="18"/>
        </w:rPr>
      </w:pPr>
      <w:r>
        <w:rPr>
          <w:rFonts w:ascii="Arial Narrow" w:hAnsi="Arial Narrow"/>
          <w:i/>
          <w:sz w:val="18"/>
          <w:szCs w:val="18"/>
        </w:rPr>
        <w:t xml:space="preserve">The redacted values correspond to the following ranges: </w:t>
      </w:r>
    </w:p>
    <w:p w14:paraId="11D8374D" w14:textId="180FA1D4" w:rsidR="00117A55" w:rsidRDefault="00117A55" w:rsidP="00117A55">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w:t>
      </w:r>
      <w:r w:rsidRPr="00117A55">
        <w:rPr>
          <w:rFonts w:ascii="Arial Narrow" w:hAnsi="Arial Narrow"/>
          <w:i/>
          <w:sz w:val="18"/>
          <w:szCs w:val="18"/>
        </w:rPr>
        <w:t>500 to &lt; 5,000</w:t>
      </w:r>
      <w:r>
        <w:rPr>
          <w:rFonts w:ascii="Arial Narrow" w:hAnsi="Arial Narrow"/>
          <w:i/>
          <w:sz w:val="18"/>
          <w:szCs w:val="18"/>
        </w:rPr>
        <w:t xml:space="preserve"> </w:t>
      </w:r>
    </w:p>
    <w:p w14:paraId="2ECE2CC3" w14:textId="13A12CE2" w:rsidR="00117A55" w:rsidRDefault="00117A55" w:rsidP="00117A55">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w:t>
      </w:r>
      <w:r w:rsidRPr="00117A55">
        <w:rPr>
          <w:rFonts w:ascii="Arial Narrow" w:hAnsi="Arial Narrow"/>
          <w:i/>
          <w:sz w:val="18"/>
          <w:szCs w:val="18"/>
        </w:rPr>
        <w:t>$10 million to &lt; $20 million</w:t>
      </w:r>
    </w:p>
    <w:p w14:paraId="3697F9A0" w14:textId="6F10645D" w:rsidR="00117A55" w:rsidRDefault="00117A55" w:rsidP="00117A55">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117A55">
        <w:rPr>
          <w:rFonts w:ascii="Arial Narrow" w:hAnsi="Arial Narrow"/>
          <w:i/>
          <w:sz w:val="18"/>
          <w:szCs w:val="18"/>
        </w:rPr>
        <w:t>net cost saving</w:t>
      </w:r>
      <w:r>
        <w:rPr>
          <w:rFonts w:ascii="Arial Narrow" w:hAnsi="Arial Narrow"/>
          <w:i/>
          <w:sz w:val="18"/>
          <w:szCs w:val="18"/>
        </w:rPr>
        <w:t xml:space="preserve"> </w:t>
      </w:r>
    </w:p>
    <w:p w14:paraId="7F503F38" w14:textId="5F827A1F" w:rsidR="00117A55" w:rsidRDefault="00117A55" w:rsidP="00117A55">
      <w:pPr>
        <w:rPr>
          <w:rFonts w:ascii="Arial Narrow" w:hAnsi="Arial Narrow"/>
          <w:i/>
          <w:sz w:val="18"/>
          <w:szCs w:val="18"/>
        </w:rPr>
      </w:pPr>
      <w:r>
        <w:rPr>
          <w:rFonts w:ascii="Arial Narrow" w:hAnsi="Arial Narrow"/>
          <w:i/>
          <w:sz w:val="18"/>
          <w:szCs w:val="18"/>
          <w:vertAlign w:val="superscript"/>
        </w:rPr>
        <w:t>4</w:t>
      </w:r>
      <w:r w:rsidR="00BB029F">
        <w:rPr>
          <w:rFonts w:ascii="Arial Narrow" w:hAnsi="Arial Narrow"/>
          <w:i/>
          <w:sz w:val="18"/>
          <w:szCs w:val="18"/>
        </w:rPr>
        <w:t xml:space="preserve"> </w:t>
      </w:r>
      <w:r w:rsidR="00BB029F" w:rsidRPr="00BB029F">
        <w:rPr>
          <w:rFonts w:ascii="Arial Narrow" w:hAnsi="Arial Narrow"/>
          <w:i/>
          <w:sz w:val="18"/>
          <w:szCs w:val="18"/>
        </w:rPr>
        <w:t>$0 to &lt; $10 million</w:t>
      </w:r>
      <w:r>
        <w:rPr>
          <w:rFonts w:ascii="Arial Narrow" w:hAnsi="Arial Narrow"/>
          <w:i/>
          <w:sz w:val="18"/>
          <w:szCs w:val="18"/>
        </w:rPr>
        <w:t xml:space="preserve"> </w:t>
      </w:r>
    </w:p>
    <w:p w14:paraId="44964E37" w14:textId="67C25E48" w:rsidR="00117A55" w:rsidRDefault="00117A55" w:rsidP="00117A5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BB029F" w:rsidRPr="00BB029F">
        <w:rPr>
          <w:rFonts w:ascii="Arial Narrow" w:hAnsi="Arial Narrow"/>
          <w:i/>
          <w:sz w:val="18"/>
          <w:szCs w:val="18"/>
        </w:rPr>
        <w:t>&lt; 500</w:t>
      </w:r>
    </w:p>
    <w:p w14:paraId="55436C05" w14:textId="4AC5E8F0" w:rsidR="00117A55" w:rsidRPr="003C718F" w:rsidRDefault="00117A55" w:rsidP="003C718F">
      <w:pPr>
        <w:pStyle w:val="COMTablefooter"/>
        <w:spacing w:after="0"/>
        <w:rPr>
          <w:rStyle w:val="normaltextrun"/>
          <w:rFonts w:cs="Segoe UI"/>
          <w:i/>
          <w:iCs/>
        </w:rPr>
      </w:pPr>
      <w:r w:rsidRPr="003C718F">
        <w:rPr>
          <w:rStyle w:val="normaltextrun"/>
          <w:rFonts w:cs="Segoe UI"/>
          <w:i/>
          <w:iCs/>
          <w:vertAlign w:val="superscript"/>
        </w:rPr>
        <w:t>6</w:t>
      </w:r>
      <w:r w:rsidRPr="003C718F">
        <w:rPr>
          <w:rStyle w:val="normaltextrun"/>
          <w:rFonts w:cs="Segoe UI"/>
          <w:i/>
          <w:iCs/>
        </w:rPr>
        <w:t xml:space="preserve"> </w:t>
      </w:r>
      <w:r w:rsidR="00BB029F" w:rsidRPr="003C718F">
        <w:rPr>
          <w:rStyle w:val="normaltextrun"/>
          <w:rFonts w:cs="Segoe UI"/>
          <w:i/>
          <w:iCs/>
        </w:rPr>
        <w:t>$20 million to &lt; $30 million</w:t>
      </w:r>
    </w:p>
    <w:p w14:paraId="25862E29" w14:textId="76EA7425" w:rsidR="004E699A" w:rsidRPr="003C718F" w:rsidRDefault="004E699A" w:rsidP="003C718F">
      <w:pPr>
        <w:pStyle w:val="COMTablefooter"/>
        <w:spacing w:after="0"/>
        <w:rPr>
          <w:rStyle w:val="normaltextrun"/>
          <w:rFonts w:cs="Segoe UI"/>
          <w:i/>
          <w:iCs/>
        </w:rPr>
      </w:pPr>
      <w:r w:rsidRPr="003C718F">
        <w:rPr>
          <w:rStyle w:val="normaltextrun"/>
          <w:rFonts w:cs="Segoe UI"/>
          <w:i/>
          <w:iCs/>
          <w:vertAlign w:val="superscript"/>
        </w:rPr>
        <w:t>7</w:t>
      </w:r>
      <w:r w:rsidRPr="003C718F">
        <w:rPr>
          <w:rStyle w:val="normaltextrun"/>
          <w:rFonts w:cs="Segoe UI"/>
          <w:i/>
          <w:iCs/>
        </w:rPr>
        <w:t xml:space="preserve"> 10,000 to &lt; 20,000</w:t>
      </w:r>
    </w:p>
    <w:p w14:paraId="2C135ABE" w14:textId="0E594216" w:rsidR="00015913" w:rsidRPr="00B31282" w:rsidRDefault="73217004" w:rsidP="00504027">
      <w:pPr>
        <w:pStyle w:val="COMexecsumnumberedpara"/>
      </w:pPr>
      <w:r>
        <w:t xml:space="preserve">The estimated net cost to the PBS/RPBS for zanubrutinib in relapsed/refractory CLL/SLL patients is </w:t>
      </w:r>
      <w:r w:rsidR="00504027" w:rsidRPr="00504027">
        <w:t>$10 million to &lt; $20 million</w:t>
      </w:r>
      <w:r w:rsidR="00504027">
        <w:t xml:space="preserve"> </w:t>
      </w:r>
      <w:r>
        <w:t xml:space="preserve">in Year 1, with no costs in Years 2-6, a total of </w:t>
      </w:r>
      <w:r w:rsidR="00504027" w:rsidRPr="00504027">
        <w:t>$10 million to &lt; $20 million</w:t>
      </w:r>
      <w:r w:rsidR="00504027">
        <w:t xml:space="preserve"> </w:t>
      </w:r>
      <w:r>
        <w:t xml:space="preserve">over the first 6 years of listing. The cost to the PBS/RPBS in Year 1 is due to grandfathered patients. When grandfathered patients are removed, assuming market share only, the result is cost neutral. Grandfathered patients are likely to already be included in the </w:t>
      </w:r>
      <w:r w:rsidR="00C779C9">
        <w:t xml:space="preserve">market share </w:t>
      </w:r>
      <w:r>
        <w:t>estimates.</w:t>
      </w:r>
    </w:p>
    <w:p w14:paraId="0C761A0A" w14:textId="373EF5DA" w:rsidR="00931DD0" w:rsidRPr="00380B09" w:rsidRDefault="00BADADA" w:rsidP="002B05A1">
      <w:pPr>
        <w:pStyle w:val="COMexecsumnumberedpara"/>
        <w:rPr>
          <w:iCs/>
        </w:rPr>
      </w:pPr>
      <w:r>
        <w:t>The utilisation/financial estimates were considered uncertain due to the following issues:</w:t>
      </w:r>
    </w:p>
    <w:p w14:paraId="29DD37A4" w14:textId="0EEF0E84" w:rsidR="004408C3" w:rsidRPr="00380B09" w:rsidRDefault="004408C3" w:rsidP="002A063E">
      <w:pPr>
        <w:pStyle w:val="COMexecsummbulletlist"/>
        <w:rPr>
          <w:iCs/>
        </w:rPr>
      </w:pPr>
      <w:r w:rsidRPr="00380B09">
        <w:rPr>
          <w:iCs/>
        </w:rPr>
        <w:t>Treatment regimens, and the associated market share for medicines for CLL/SLL are rapidly changing</w:t>
      </w:r>
      <w:r w:rsidR="00B11474">
        <w:rPr>
          <w:iCs/>
        </w:rPr>
        <w:t>, for example t</w:t>
      </w:r>
      <w:r w:rsidRPr="00380B09">
        <w:rPr>
          <w:iCs/>
        </w:rPr>
        <w:t xml:space="preserve">here is a concurrent submission for zanubrutinib </w:t>
      </w:r>
      <w:r w:rsidR="00D60CF0">
        <w:rPr>
          <w:iCs/>
        </w:rPr>
        <w:t>that was</w:t>
      </w:r>
      <w:r w:rsidRPr="00380B09">
        <w:rPr>
          <w:iCs/>
        </w:rPr>
        <w:t xml:space="preserve"> considered in March 2023 for the first-line treatment of CLL/SLL. Use of BTK inhibitors in the first-line (treatment naïve) setting is likely to result in a reduction in use of BTK inhibitors in the relapsed/refractory setting, which will have flo</w:t>
      </w:r>
      <w:r w:rsidR="0031571A" w:rsidRPr="00380B09">
        <w:rPr>
          <w:iCs/>
        </w:rPr>
        <w:t>w</w:t>
      </w:r>
      <w:r w:rsidR="00986692" w:rsidRPr="00380B09">
        <w:rPr>
          <w:iCs/>
        </w:rPr>
        <w:t>–</w:t>
      </w:r>
      <w:r w:rsidRPr="00380B09">
        <w:rPr>
          <w:iCs/>
        </w:rPr>
        <w:t>on effects to the estimates presented in the submission</w:t>
      </w:r>
      <w:r w:rsidR="002A063E" w:rsidRPr="00380B09">
        <w:rPr>
          <w:iCs/>
        </w:rPr>
        <w:t>.</w:t>
      </w:r>
      <w:r w:rsidRPr="00380B09">
        <w:rPr>
          <w:iCs/>
        </w:rPr>
        <w:t xml:space="preserve"> </w:t>
      </w:r>
      <w:r w:rsidR="003F6AC3" w:rsidRPr="009F171F">
        <w:t>If retreatment with a BTKi is permitted, th</w:t>
      </w:r>
      <w:r w:rsidR="001C4123" w:rsidRPr="009F171F">
        <w:t>e ESC considered that th</w:t>
      </w:r>
      <w:r w:rsidR="003F6AC3" w:rsidRPr="009F171F">
        <w:t xml:space="preserve">is </w:t>
      </w:r>
      <w:r w:rsidR="00B11474" w:rsidRPr="009F171F">
        <w:t>may also impact</w:t>
      </w:r>
      <w:r w:rsidR="003F6AC3" w:rsidRPr="009F171F">
        <w:t xml:space="preserve"> utilisation. </w:t>
      </w:r>
    </w:p>
    <w:p w14:paraId="0E6A2EF6" w14:textId="711DC761" w:rsidR="00892DB7" w:rsidRPr="00380B09" w:rsidRDefault="008E0BE9" w:rsidP="00F53332">
      <w:pPr>
        <w:pStyle w:val="COMexecsummbulletlist"/>
      </w:pPr>
      <w:r w:rsidRPr="00380B09">
        <w:t xml:space="preserve">Zanubrutinib was assumed to substitute only for ibrutinib, and the submission used ibrutinib script numbers to estimate </w:t>
      </w:r>
      <w:r w:rsidR="003C509E" w:rsidRPr="00380B09">
        <w:t>use of zanubrutinib</w:t>
      </w:r>
      <w:r w:rsidR="007D305B" w:rsidRPr="00380B09">
        <w:t>, assuming</w:t>
      </w:r>
      <w:r w:rsidR="00F53332">
        <w:t xml:space="preserve"> an ibrutinib </w:t>
      </w:r>
      <w:r w:rsidR="006C599E">
        <w:t>dis</w:t>
      </w:r>
      <w:r w:rsidR="00F53332">
        <w:t>placement rate of</w:t>
      </w:r>
      <w:r w:rsidR="007D305B" w:rsidRPr="00380B09">
        <w:t xml:space="preserve"> </w:t>
      </w:r>
      <w:r w:rsidR="00F53332" w:rsidRPr="00F53332">
        <w:t>5% in Year 1, increasing to 15% in Year 6</w:t>
      </w:r>
      <w:r w:rsidR="00F53332">
        <w:t>. This was half</w:t>
      </w:r>
      <w:r w:rsidR="007D305B" w:rsidRPr="00380B09">
        <w:t xml:space="preserve"> the rate </w:t>
      </w:r>
      <w:r w:rsidR="00F53332">
        <w:t xml:space="preserve">that the ESC had considered would be likely for </w:t>
      </w:r>
      <w:r w:rsidR="00F53332" w:rsidRPr="00F53332">
        <w:rPr>
          <w:iCs/>
        </w:rPr>
        <w:t xml:space="preserve">acalabrutinib </w:t>
      </w:r>
      <w:r w:rsidR="00F53332">
        <w:rPr>
          <w:iCs/>
        </w:rPr>
        <w:t xml:space="preserve">in </w:t>
      </w:r>
      <w:r w:rsidR="00F53332" w:rsidRPr="00F53332">
        <w:rPr>
          <w:iCs/>
        </w:rPr>
        <w:t>relapsed/refractory CLL/SLL</w:t>
      </w:r>
      <w:r w:rsidR="00F53332">
        <w:t xml:space="preserve"> (paragraph 6.95, acalabrutinib </w:t>
      </w:r>
      <w:r w:rsidR="00956688">
        <w:rPr>
          <w:iCs/>
        </w:rPr>
        <w:t>PSD</w:t>
      </w:r>
      <w:r w:rsidR="00F53332" w:rsidRPr="00F53332">
        <w:rPr>
          <w:iCs/>
        </w:rPr>
        <w:t>, March 2020</w:t>
      </w:r>
      <w:r w:rsidR="00F53332">
        <w:rPr>
          <w:iCs/>
        </w:rPr>
        <w:t>)</w:t>
      </w:r>
      <w:r w:rsidR="003C509E" w:rsidRPr="00380B09">
        <w:t xml:space="preserve">. </w:t>
      </w:r>
      <w:r w:rsidR="006C599E">
        <w:t xml:space="preserve">The PBAC considered that zanubrutinib would replace ibrutinib rather than displace it. </w:t>
      </w:r>
      <w:r w:rsidR="000F0591">
        <w:t xml:space="preserve">The evaluation </w:t>
      </w:r>
      <w:r w:rsidR="000F0591" w:rsidRPr="009F171F">
        <w:t>and the ESC considered</w:t>
      </w:r>
      <w:r w:rsidR="000F0591">
        <w:t xml:space="preserve"> </w:t>
      </w:r>
      <w:r w:rsidR="000F0591" w:rsidRPr="009F171F">
        <w:t>that i</w:t>
      </w:r>
      <w:r w:rsidR="003C509E" w:rsidRPr="009F171F">
        <w:t xml:space="preserve">t </w:t>
      </w:r>
      <w:r w:rsidR="00B11474" w:rsidRPr="009F171F">
        <w:t xml:space="preserve">would </w:t>
      </w:r>
      <w:r w:rsidR="003C509E" w:rsidRPr="00380B09">
        <w:t>have been appropriate for both ibrutinib and acalabrutinib script numbers to be used to determine</w:t>
      </w:r>
      <w:r w:rsidR="007D305B" w:rsidRPr="00380B09">
        <w:t xml:space="preserve"> use of zanubrutinib, given that zanubrutinib </w:t>
      </w:r>
      <w:r w:rsidR="00CB46A2" w:rsidRPr="00380B09">
        <w:t>may substitute for both ibrutinib and acalabrutinib.</w:t>
      </w:r>
      <w:r w:rsidR="00892DB7" w:rsidRPr="00380B09">
        <w:t xml:space="preserve"> </w:t>
      </w:r>
      <w:r w:rsidR="00D0564E" w:rsidRPr="009F171F">
        <w:rPr>
          <w:iCs/>
        </w:rPr>
        <w:t xml:space="preserve">The ESC considered that patients currently treated with ibrutinib (or acalabrutinib) would be unlikely to switch to zanubrutinib, but new incident patients </w:t>
      </w:r>
      <w:r w:rsidR="00041702" w:rsidRPr="009F171F">
        <w:rPr>
          <w:iCs/>
        </w:rPr>
        <w:t xml:space="preserve">commencing a BTKi </w:t>
      </w:r>
      <w:r w:rsidR="00D0564E" w:rsidRPr="009F171F">
        <w:rPr>
          <w:iCs/>
        </w:rPr>
        <w:t xml:space="preserve">would likely </w:t>
      </w:r>
      <w:r w:rsidR="00041702" w:rsidRPr="009F171F">
        <w:rPr>
          <w:iCs/>
        </w:rPr>
        <w:t>receive</w:t>
      </w:r>
      <w:r w:rsidR="00D0564E" w:rsidRPr="009F171F">
        <w:rPr>
          <w:iCs/>
        </w:rPr>
        <w:t xml:space="preserve"> either acalabrutinib or zanubrutinib (potentially in a 50%:50% ratio, depending on clinician preference), given the adverse event profile of ibrutinib. Due to the large pool of prevalent patients already being treated with ibrutinib or acalabrutinib, the ESC considered that utilisation of zanubrutinib in the R/R setting may be low initially before increasing.</w:t>
      </w:r>
      <w:r w:rsidR="00560DAA" w:rsidRPr="00560DAA">
        <w:rPr>
          <w:rFonts w:ascii="Calibri" w:hAnsi="Calibri" w:cs="Calibri"/>
          <w:lang w:val="en-US"/>
        </w:rPr>
        <w:t xml:space="preserve"> </w:t>
      </w:r>
      <w:r w:rsidR="00560DAA">
        <w:rPr>
          <w:rFonts w:ascii="Calibri" w:hAnsi="Calibri" w:cs="Calibri"/>
          <w:lang w:val="en-US"/>
        </w:rPr>
        <w:t xml:space="preserve">In the pre-PBAC response, the sponsor </w:t>
      </w:r>
      <w:r w:rsidR="00560DAA" w:rsidRPr="00D156F4">
        <w:rPr>
          <w:rFonts w:ascii="Calibri" w:hAnsi="Calibri" w:cs="Calibri"/>
          <w:lang w:val="en-US"/>
        </w:rPr>
        <w:t>concur</w:t>
      </w:r>
      <w:r w:rsidR="00560DAA">
        <w:rPr>
          <w:rFonts w:ascii="Calibri" w:hAnsi="Calibri" w:cs="Calibri"/>
          <w:lang w:val="en-US"/>
        </w:rPr>
        <w:t>red</w:t>
      </w:r>
      <w:r w:rsidR="00560DAA" w:rsidRPr="00D156F4">
        <w:rPr>
          <w:rFonts w:ascii="Calibri" w:hAnsi="Calibri" w:cs="Calibri"/>
          <w:lang w:val="en-US"/>
        </w:rPr>
        <w:t xml:space="preserve"> with ESC, and note</w:t>
      </w:r>
      <w:r w:rsidR="00560DAA">
        <w:rPr>
          <w:rFonts w:ascii="Calibri" w:hAnsi="Calibri" w:cs="Calibri"/>
          <w:lang w:val="en-US"/>
        </w:rPr>
        <w:t>d</w:t>
      </w:r>
      <w:r w:rsidR="00560DAA" w:rsidRPr="00D156F4">
        <w:rPr>
          <w:rFonts w:ascii="Calibri" w:hAnsi="Calibri" w:cs="Calibri"/>
          <w:lang w:val="en-US"/>
        </w:rPr>
        <w:t xml:space="preserve"> that the relatively recent listing of acalabrutinib may have complicated any estimated market share adoption. </w:t>
      </w:r>
      <w:r w:rsidR="00560DAA">
        <w:rPr>
          <w:rFonts w:ascii="Calibri" w:hAnsi="Calibri" w:cs="Calibri"/>
          <w:lang w:val="en-US"/>
        </w:rPr>
        <w:t>The pre-PBAC response further considered that</w:t>
      </w:r>
      <w:r w:rsidR="00560DAA" w:rsidRPr="00D156F4">
        <w:rPr>
          <w:rFonts w:ascii="Calibri" w:hAnsi="Calibri" w:cs="Calibri"/>
          <w:lang w:val="en-US"/>
        </w:rPr>
        <w:t xml:space="preserve">, based on the cost-minimisation approach adopted for the submission that an additional layer of assumptions would </w:t>
      </w:r>
      <w:r w:rsidR="00560DAA">
        <w:rPr>
          <w:rFonts w:ascii="Calibri" w:hAnsi="Calibri" w:cs="Calibri"/>
          <w:lang w:val="en-US"/>
        </w:rPr>
        <w:t xml:space="preserve">be unlikely to </w:t>
      </w:r>
      <w:r w:rsidR="00560DAA" w:rsidRPr="00D156F4">
        <w:rPr>
          <w:rFonts w:ascii="Calibri" w:hAnsi="Calibri" w:cs="Calibri"/>
          <w:lang w:val="en-US"/>
        </w:rPr>
        <w:t>materially impact the financial estimates and overall cost to Government.</w:t>
      </w:r>
    </w:p>
    <w:p w14:paraId="1B691C63" w14:textId="5F0D2FE8" w:rsidR="006A016F" w:rsidRDefault="00053B4E" w:rsidP="002A063E">
      <w:pPr>
        <w:pStyle w:val="COMexecsummbulletlist"/>
      </w:pPr>
      <w:r w:rsidRPr="00B31282">
        <w:t xml:space="preserve">The submission stated that there was minimal uncertainty in the estimates due to the </w:t>
      </w:r>
      <w:r w:rsidR="000F0591">
        <w:t>CMA presented</w:t>
      </w:r>
      <w:r w:rsidRPr="00B31282">
        <w:t xml:space="preserve">, and </w:t>
      </w:r>
      <w:r w:rsidR="000F0591">
        <w:t xml:space="preserve">the </w:t>
      </w:r>
      <w:r w:rsidRPr="00B31282">
        <w:t xml:space="preserve">market share approach to the financial estimates, and therefore, no inputs were tested in the sensitivity analysis. </w:t>
      </w:r>
      <w:r w:rsidRPr="00380B09">
        <w:rPr>
          <w:iCs/>
        </w:rPr>
        <w:t xml:space="preserve">The </w:t>
      </w:r>
      <w:r w:rsidR="000F0591">
        <w:rPr>
          <w:iCs/>
        </w:rPr>
        <w:t xml:space="preserve">evaluation stated the </w:t>
      </w:r>
      <w:r w:rsidRPr="00380B09">
        <w:rPr>
          <w:iCs/>
        </w:rPr>
        <w:t>impact of listing zanubrutinib will be cost-neutral if it substitutes only for ibrutinib or acalabrutinib (which was previously cost-minimised against ibrutinib). However, if zanubrutinib substitutes for other listed medicines</w:t>
      </w:r>
      <w:r w:rsidR="00A53744" w:rsidRPr="00380B09">
        <w:rPr>
          <w:iCs/>
        </w:rPr>
        <w:t xml:space="preserve"> </w:t>
      </w:r>
      <w:r w:rsidRPr="00380B09">
        <w:rPr>
          <w:iCs/>
        </w:rPr>
        <w:t>there may be additional costs associated with listing</w:t>
      </w:r>
      <w:r w:rsidRPr="00B31282">
        <w:t>.</w:t>
      </w:r>
    </w:p>
    <w:p w14:paraId="6015A395" w14:textId="2EDB6A4E" w:rsidR="00576972" w:rsidRPr="00B31282" w:rsidRDefault="00576972" w:rsidP="00606FBA">
      <w:pPr>
        <w:pStyle w:val="COMH2-non-numbered"/>
      </w:pPr>
      <w:bookmarkStart w:id="53" w:name="_Toc22897649"/>
      <w:bookmarkStart w:id="54" w:name="_Toc124421159"/>
      <w:r w:rsidRPr="00B31282">
        <w:t>Financial Management – Risk Sharing Arrangements</w:t>
      </w:r>
      <w:bookmarkEnd w:id="53"/>
      <w:bookmarkEnd w:id="54"/>
    </w:p>
    <w:p w14:paraId="6790B610" w14:textId="4960B80D" w:rsidR="00FD673B" w:rsidRDefault="00FD673B" w:rsidP="00FD673B">
      <w:pPr>
        <w:pStyle w:val="COMexecsumnumberedpara"/>
      </w:pPr>
      <w:r>
        <w:t xml:space="preserve">In terms of the existing RSA, in its March 2020 consideration of acalabrutinib, </w:t>
      </w:r>
      <w:r w:rsidR="00D0564E">
        <w:t>‘</w:t>
      </w:r>
      <w:r>
        <w:t>the PBAC noted that a two-tier RSA is in place for R/R CLL/SLL that encompasses both ibrutinib and venetoclax. The PBAC recommended that acalabrutinib join the current arrangement and considered that no changes to the subsidisation caps would be appropriate.’ (para</w:t>
      </w:r>
      <w:r w:rsidR="006647F2">
        <w:t>graph</w:t>
      </w:r>
      <w:r>
        <w:t xml:space="preserve"> 7.13, acalabrutinib PSD, March 2020 PBAC Meeting). </w:t>
      </w:r>
    </w:p>
    <w:p w14:paraId="7192DC69" w14:textId="07B31384" w:rsidR="009A68A4" w:rsidRPr="00B31282" w:rsidRDefault="04B5C070" w:rsidP="009A68A4">
      <w:pPr>
        <w:pStyle w:val="COMexecsumnumberedpara"/>
      </w:pPr>
      <w:r>
        <w:t>The submission noted that the Department may wish to combine caps on zanubrutinib in the treatment naïve and relapsed/refractory settings to manage expenditure related to sequencing of BTKi/BCL</w:t>
      </w:r>
      <w:r w:rsidR="007B0E78">
        <w:t>-</w:t>
      </w:r>
      <w:r>
        <w:t>2</w:t>
      </w:r>
      <w:r w:rsidR="007B0E78">
        <w:t>i</w:t>
      </w:r>
      <w:r>
        <w:t xml:space="preserve"> treatments. The submission proposed a combined RSA across the treatment naïve and relapsed refractory settings, and noted that a combined cap may include the following:</w:t>
      </w:r>
    </w:p>
    <w:p w14:paraId="2A1E9C49" w14:textId="387BE8BA" w:rsidR="009A68A4" w:rsidRPr="00B31282" w:rsidRDefault="009A68A4" w:rsidP="002A063E">
      <w:pPr>
        <w:pStyle w:val="COMexecsummbulletlist"/>
      </w:pPr>
      <w:r w:rsidRPr="00B31282">
        <w:t>A weighted price for zanubrutinib across the treatment naïve and relapsed/refractory settings, with weightings based on prescription volume of BTK inhibitor/BCL</w:t>
      </w:r>
      <w:r w:rsidR="007B0E78">
        <w:t>-</w:t>
      </w:r>
      <w:r w:rsidRPr="00B31282">
        <w:t>2</w:t>
      </w:r>
      <w:r w:rsidR="007B0E78">
        <w:t>i</w:t>
      </w:r>
      <w:r w:rsidRPr="00B31282">
        <w:t xml:space="preserve"> agents in each setting.</w:t>
      </w:r>
    </w:p>
    <w:p w14:paraId="735E64F9" w14:textId="77777777" w:rsidR="009A68A4" w:rsidRPr="00B31282" w:rsidRDefault="009A68A4" w:rsidP="002A063E">
      <w:pPr>
        <w:pStyle w:val="COMexecsummbulletlist"/>
      </w:pPr>
      <w:r w:rsidRPr="00B31282">
        <w:t xml:space="preserve">Utilisation in the relapsed/refractory setting would be combined with utilisation in the treatment naïve setting based on the estimates provided in each financial model, and expenditure calculated based on the weighted price.  </w:t>
      </w:r>
    </w:p>
    <w:p w14:paraId="0754971A" w14:textId="028FAF99" w:rsidR="009A68A4" w:rsidRPr="00B31282" w:rsidRDefault="009A68A4" w:rsidP="002A063E">
      <w:pPr>
        <w:pStyle w:val="COMexecsummbulletlist"/>
      </w:pPr>
      <w:r w:rsidRPr="00B31282">
        <w:t xml:space="preserve">Any use beyond the proposed annual subsidisation caps would result in the application of a </w:t>
      </w:r>
      <w:r w:rsidR="003926A4" w:rsidRPr="00472981">
        <w:rPr>
          <w:color w:val="000000"/>
          <w:w w:val="15"/>
          <w:shd w:val="solid" w:color="000000" w:fill="000000"/>
          <w:fitText w:val="-20" w:id="-1233424121"/>
          <w14:textFill>
            <w14:solidFill>
              <w14:srgbClr w14:val="000000">
                <w14:alpha w14:val="100000"/>
              </w14:srgbClr>
            </w14:solidFill>
          </w14:textFill>
        </w:rPr>
        <w:t xml:space="preserve">|  </w:t>
      </w:r>
      <w:r w:rsidR="003926A4" w:rsidRPr="00472981">
        <w:rPr>
          <w:color w:val="000000"/>
          <w:spacing w:val="-69"/>
          <w:w w:val="15"/>
          <w:shd w:val="solid" w:color="000000" w:fill="000000"/>
          <w:fitText w:val="-20" w:id="-1233424121"/>
          <w14:textFill>
            <w14:solidFill>
              <w14:srgbClr w14:val="000000">
                <w14:alpha w14:val="100000"/>
              </w14:srgbClr>
            </w14:solidFill>
          </w14:textFill>
        </w:rPr>
        <w:t>|</w:t>
      </w:r>
      <w:r w:rsidRPr="00B31282">
        <w:t>% rebate.</w:t>
      </w:r>
    </w:p>
    <w:p w14:paraId="3D006F92" w14:textId="5EBDAF0F" w:rsidR="008F2EA3" w:rsidRPr="009F171F" w:rsidRDefault="008F2EA3" w:rsidP="009A68A4">
      <w:pPr>
        <w:pStyle w:val="COMexecsumnumberedpara"/>
        <w:rPr>
          <w:iCs/>
        </w:rPr>
      </w:pPr>
      <w:r w:rsidRPr="009F171F">
        <w:rPr>
          <w:iCs/>
        </w:rPr>
        <w:t xml:space="preserve">The PSCR stated that there is a strong financial rationale for a combined RSA across the treatment naïve and relapsed and refractory CLL/SLL settings to manage uncertainty in uptake and erosion between the settings, and potentially lead to cost savings over </w:t>
      </w:r>
      <w:r w:rsidR="00D0564E" w:rsidRPr="009F171F">
        <w:rPr>
          <w:iCs/>
        </w:rPr>
        <w:t xml:space="preserve">the </w:t>
      </w:r>
      <w:r w:rsidRPr="009F171F">
        <w:rPr>
          <w:iCs/>
        </w:rPr>
        <w:t xml:space="preserve">5-year </w:t>
      </w:r>
      <w:r w:rsidR="00D0564E" w:rsidRPr="009F171F">
        <w:rPr>
          <w:iCs/>
        </w:rPr>
        <w:t xml:space="preserve">RSA </w:t>
      </w:r>
      <w:r w:rsidRPr="009F171F">
        <w:rPr>
          <w:iCs/>
        </w:rPr>
        <w:t>Deed period.</w:t>
      </w:r>
      <w:r w:rsidR="00FC61FD">
        <w:rPr>
          <w:iCs/>
        </w:rPr>
        <w:t xml:space="preserve"> The pre-PBAC confirmed this was the preferred approach.</w:t>
      </w:r>
    </w:p>
    <w:p w14:paraId="0BD916FC" w14:textId="04E721FB" w:rsidR="00A246D2" w:rsidRDefault="04B5C070" w:rsidP="009A68A4">
      <w:pPr>
        <w:pStyle w:val="COMexecsumnumberedpara"/>
      </w:pPr>
      <w:r>
        <w:t>The submission acknowledged that, given the changing BTK inhibitor/BCL</w:t>
      </w:r>
      <w:r w:rsidR="007B0E78">
        <w:t>-</w:t>
      </w:r>
      <w:r>
        <w:t>2</w:t>
      </w:r>
      <w:r w:rsidR="007B0E78">
        <w:t>i</w:t>
      </w:r>
      <w:r>
        <w:t xml:space="preserve"> landscape, agents from both BTKi and BCL</w:t>
      </w:r>
      <w:r w:rsidR="007B0E78">
        <w:t>-</w:t>
      </w:r>
      <w:r>
        <w:t>2</w:t>
      </w:r>
      <w:r w:rsidR="007B0E78">
        <w:t>i</w:t>
      </w:r>
      <w:r>
        <w:t xml:space="preserve"> classes may join the combined RSA in future. If a shared RSA is recommended, </w:t>
      </w:r>
      <w:r w:rsidR="004D425B">
        <w:t xml:space="preserve">it was noted that </w:t>
      </w:r>
      <w:r>
        <w:t>separate PBS item codes in the treatment naïve and relapsed</w:t>
      </w:r>
      <w:r w:rsidR="005E3C44">
        <w:t>/</w:t>
      </w:r>
      <w:r>
        <w:t>refractory</w:t>
      </w:r>
      <w:r w:rsidR="005E3C44">
        <w:t xml:space="preserve"> </w:t>
      </w:r>
      <w:r w:rsidR="004D425B">
        <w:t>indications</w:t>
      </w:r>
      <w:r>
        <w:t xml:space="preserve"> </w:t>
      </w:r>
      <w:r w:rsidR="004D425B">
        <w:t xml:space="preserve">would be required </w:t>
      </w:r>
      <w:r>
        <w:t xml:space="preserve">to enable </w:t>
      </w:r>
      <w:r w:rsidR="004D425B">
        <w:t xml:space="preserve">easier </w:t>
      </w:r>
      <w:r>
        <w:t>utilisation tracking in each line of therapy</w:t>
      </w:r>
      <w:r w:rsidR="004D425B">
        <w:t xml:space="preserve"> at the expense of PBS readability</w:t>
      </w:r>
      <w:r>
        <w:t>.</w:t>
      </w:r>
      <w:r w:rsidR="00FB04BC" w:rsidRPr="009F171F">
        <w:rPr>
          <w:iCs/>
        </w:rPr>
        <w:t xml:space="preserve"> </w:t>
      </w:r>
    </w:p>
    <w:p w14:paraId="75A66565" w14:textId="5E115282" w:rsidR="00A246D2" w:rsidRPr="00A1256E" w:rsidRDefault="00A246D2" w:rsidP="009A68A4">
      <w:pPr>
        <w:pStyle w:val="COMexecsumnumberedpara"/>
      </w:pPr>
      <w:r w:rsidRPr="009F171F">
        <w:rPr>
          <w:iCs/>
        </w:rPr>
        <w:t>The ESC noted that if there are separate PBS item codes for the two treatment</w:t>
      </w:r>
      <w:r w:rsidR="005E3C44">
        <w:rPr>
          <w:iCs/>
        </w:rPr>
        <w:t xml:space="preserve"> </w:t>
      </w:r>
      <w:r w:rsidR="004D425B">
        <w:rPr>
          <w:iCs/>
        </w:rPr>
        <w:t>indications</w:t>
      </w:r>
      <w:r w:rsidR="00FD673B" w:rsidRPr="009F171F">
        <w:rPr>
          <w:iCs/>
        </w:rPr>
        <w:t>,</w:t>
      </w:r>
      <w:r w:rsidRPr="009F171F">
        <w:rPr>
          <w:iCs/>
        </w:rPr>
        <w:t xml:space="preserve"> </w:t>
      </w:r>
      <w:r w:rsidR="00FD673B" w:rsidRPr="009F171F">
        <w:rPr>
          <w:iCs/>
        </w:rPr>
        <w:t>then</w:t>
      </w:r>
      <w:r w:rsidRPr="009F171F">
        <w:rPr>
          <w:iCs/>
        </w:rPr>
        <w:t xml:space="preserve"> separate SPAs could be applied</w:t>
      </w:r>
      <w:r w:rsidR="00191E26" w:rsidRPr="009F171F">
        <w:rPr>
          <w:iCs/>
        </w:rPr>
        <w:t>,</w:t>
      </w:r>
      <w:r w:rsidRPr="009F171F">
        <w:rPr>
          <w:iCs/>
        </w:rPr>
        <w:t xml:space="preserve"> and a weighted price would not be required. The ESC further noted </w:t>
      </w:r>
      <w:r w:rsidR="00553876" w:rsidRPr="009F171F">
        <w:rPr>
          <w:iCs/>
        </w:rPr>
        <w:t>that</w:t>
      </w:r>
      <w:r w:rsidR="00FD673B" w:rsidRPr="009F171F">
        <w:rPr>
          <w:iCs/>
        </w:rPr>
        <w:t>,</w:t>
      </w:r>
      <w:r w:rsidR="00553876" w:rsidRPr="009F171F">
        <w:rPr>
          <w:iCs/>
        </w:rPr>
        <w:t xml:space="preserve"> if recommended</w:t>
      </w:r>
      <w:r w:rsidR="00FD673B" w:rsidRPr="009F171F">
        <w:rPr>
          <w:iCs/>
        </w:rPr>
        <w:t>,</w:t>
      </w:r>
      <w:r w:rsidR="00553876" w:rsidRPr="009F171F">
        <w:rPr>
          <w:iCs/>
        </w:rPr>
        <w:t xml:space="preserve"> </w:t>
      </w:r>
      <w:r w:rsidRPr="009F171F">
        <w:rPr>
          <w:iCs/>
        </w:rPr>
        <w:t xml:space="preserve">it would be appropriate for zanubrutinib to </w:t>
      </w:r>
      <w:r w:rsidR="00553876" w:rsidRPr="009F171F">
        <w:rPr>
          <w:iCs/>
        </w:rPr>
        <w:t xml:space="preserve">join the current RSA in place for relapsed/refractory CLL/SLL so that the cost per patient in the relapsed/refractory </w:t>
      </w:r>
      <w:r w:rsidR="00072F9B">
        <w:rPr>
          <w:iCs/>
        </w:rPr>
        <w:t>indication</w:t>
      </w:r>
      <w:r w:rsidR="00553876" w:rsidRPr="009F171F">
        <w:rPr>
          <w:iCs/>
        </w:rPr>
        <w:t xml:space="preserve"> </w:t>
      </w:r>
      <w:r w:rsidR="00FD673B" w:rsidRPr="009F171F">
        <w:rPr>
          <w:iCs/>
        </w:rPr>
        <w:t xml:space="preserve">for zanubrutinib </w:t>
      </w:r>
      <w:r w:rsidR="00553876" w:rsidRPr="009F171F">
        <w:rPr>
          <w:iCs/>
        </w:rPr>
        <w:t>is equivalent</w:t>
      </w:r>
      <w:r w:rsidR="00FD673B" w:rsidRPr="009F171F">
        <w:rPr>
          <w:iCs/>
        </w:rPr>
        <w:t xml:space="preserve"> to that for the other therapies</w:t>
      </w:r>
      <w:r w:rsidR="00553876" w:rsidRPr="009F171F">
        <w:rPr>
          <w:iCs/>
        </w:rPr>
        <w:t>. The ESC noted</w:t>
      </w:r>
      <w:r w:rsidR="00763440" w:rsidRPr="009F171F">
        <w:rPr>
          <w:iCs/>
        </w:rPr>
        <w:t xml:space="preserve"> that</w:t>
      </w:r>
      <w:r w:rsidR="00553876" w:rsidRPr="009F171F">
        <w:rPr>
          <w:iCs/>
        </w:rPr>
        <w:t xml:space="preserve"> </w:t>
      </w:r>
      <w:r w:rsidR="00FD673B" w:rsidRPr="009F171F">
        <w:rPr>
          <w:iCs/>
        </w:rPr>
        <w:t>if zanubrutinib</w:t>
      </w:r>
      <w:r w:rsidR="00763440" w:rsidRPr="009F171F">
        <w:rPr>
          <w:iCs/>
        </w:rPr>
        <w:t xml:space="preserve"> use in treatment naïve </w:t>
      </w:r>
      <w:r w:rsidR="00072F9B">
        <w:rPr>
          <w:iCs/>
        </w:rPr>
        <w:t>patients</w:t>
      </w:r>
      <w:r w:rsidR="005E3C44">
        <w:rPr>
          <w:iCs/>
        </w:rPr>
        <w:t xml:space="preserve"> </w:t>
      </w:r>
      <w:r w:rsidR="00763440" w:rsidRPr="009F171F">
        <w:rPr>
          <w:iCs/>
        </w:rPr>
        <w:t>was to be included in</w:t>
      </w:r>
      <w:r w:rsidR="00FD673B" w:rsidRPr="009F171F">
        <w:rPr>
          <w:iCs/>
        </w:rPr>
        <w:t xml:space="preserve"> </w:t>
      </w:r>
      <w:r w:rsidR="00553876" w:rsidRPr="009F171F">
        <w:rPr>
          <w:iCs/>
        </w:rPr>
        <w:t xml:space="preserve">the current </w:t>
      </w:r>
      <w:r w:rsidR="00763440" w:rsidRPr="009F171F">
        <w:rPr>
          <w:iCs/>
        </w:rPr>
        <w:t xml:space="preserve">RSA, then the </w:t>
      </w:r>
      <w:r w:rsidR="00553876" w:rsidRPr="009F171F">
        <w:rPr>
          <w:iCs/>
        </w:rPr>
        <w:t xml:space="preserve">subsidisation caps would need to be increased </w:t>
      </w:r>
      <w:r w:rsidR="00763440" w:rsidRPr="009F171F">
        <w:rPr>
          <w:iCs/>
        </w:rPr>
        <w:t>to account for this use</w:t>
      </w:r>
      <w:r w:rsidR="00553876" w:rsidRPr="009F171F">
        <w:rPr>
          <w:iCs/>
        </w:rPr>
        <w:t>.</w:t>
      </w:r>
    </w:p>
    <w:p w14:paraId="3332D760" w14:textId="146A2F0C" w:rsidR="00262A06" w:rsidRPr="00471B91" w:rsidRDefault="00532661" w:rsidP="00D04B86">
      <w:pPr>
        <w:pStyle w:val="COMexecsumnumberedpara"/>
      </w:pPr>
      <w:r w:rsidRPr="009F171F">
        <w:rPr>
          <w:iCs/>
        </w:rPr>
        <w:t xml:space="preserve">The ESC noted an alternative approach would be for a single </w:t>
      </w:r>
      <w:r w:rsidR="00D04B86" w:rsidRPr="009F171F">
        <w:rPr>
          <w:iCs/>
        </w:rPr>
        <w:t xml:space="preserve">line agnostic </w:t>
      </w:r>
      <w:r w:rsidRPr="009F171F">
        <w:rPr>
          <w:iCs/>
        </w:rPr>
        <w:t xml:space="preserve">listing for zanubrutinib </w:t>
      </w:r>
      <w:r w:rsidR="00072F9B">
        <w:rPr>
          <w:iCs/>
        </w:rPr>
        <w:t>(</w:t>
      </w:r>
      <w:r w:rsidR="00D04B86" w:rsidRPr="009F171F">
        <w:rPr>
          <w:iCs/>
        </w:rPr>
        <w:t>i.e</w:t>
      </w:r>
      <w:r w:rsidR="005E3C44">
        <w:rPr>
          <w:iCs/>
        </w:rPr>
        <w:t>.</w:t>
      </w:r>
      <w:r w:rsidR="00AA6C9D" w:rsidRPr="009F171F">
        <w:rPr>
          <w:iCs/>
        </w:rPr>
        <w:t>,</w:t>
      </w:r>
      <w:r w:rsidR="00D04B86" w:rsidRPr="009F171F">
        <w:rPr>
          <w:iCs/>
        </w:rPr>
        <w:t xml:space="preserve"> a listing for the</w:t>
      </w:r>
      <w:r w:rsidRPr="009F171F">
        <w:rPr>
          <w:iCs/>
        </w:rPr>
        <w:t xml:space="preserve"> ‘treatment of CLL/SLL’</w:t>
      </w:r>
      <w:r w:rsidR="00072F9B">
        <w:rPr>
          <w:iCs/>
        </w:rPr>
        <w:t>, but with a criterion with at least 2 parameters for: (i) treatment -naïve disease, (ii) relapsed/refractory disease)</w:t>
      </w:r>
      <w:r w:rsidRPr="009F171F">
        <w:rPr>
          <w:iCs/>
        </w:rPr>
        <w:t xml:space="preserve">. In this situation a weighted price for zanubrutinib across the two settings would be required, and the options would be for </w:t>
      </w:r>
      <w:r w:rsidR="00D04B86" w:rsidRPr="009F171F">
        <w:rPr>
          <w:iCs/>
        </w:rPr>
        <w:t xml:space="preserve">(i) </w:t>
      </w:r>
      <w:r w:rsidRPr="009F171F">
        <w:rPr>
          <w:iCs/>
        </w:rPr>
        <w:t xml:space="preserve">zanubrutinib to have a separate RSA or </w:t>
      </w:r>
      <w:r w:rsidR="00D04B86" w:rsidRPr="009F171F">
        <w:rPr>
          <w:iCs/>
        </w:rPr>
        <w:t>(ii)</w:t>
      </w:r>
      <w:r w:rsidRPr="009F171F">
        <w:rPr>
          <w:iCs/>
        </w:rPr>
        <w:t xml:space="preserve"> zanubrutinib to join the RSA for in place for relapsed/refractory CLL/SLL. The ESC noted</w:t>
      </w:r>
      <w:r w:rsidR="00D04B86" w:rsidRPr="009F171F">
        <w:rPr>
          <w:iCs/>
        </w:rPr>
        <w:t xml:space="preserve"> that</w:t>
      </w:r>
      <w:r w:rsidRPr="009F171F">
        <w:rPr>
          <w:iCs/>
        </w:rPr>
        <w:t xml:space="preserve"> if zanubrutinib does not join the current RSA, the</w:t>
      </w:r>
      <w:r w:rsidR="00D04B86" w:rsidRPr="009F171F">
        <w:rPr>
          <w:iCs/>
        </w:rPr>
        <w:t>n</w:t>
      </w:r>
      <w:r w:rsidRPr="009F171F">
        <w:rPr>
          <w:iCs/>
        </w:rPr>
        <w:t xml:space="preserve"> price for zanubrutinib in relapsed/refractory </w:t>
      </w:r>
      <w:r w:rsidR="00072F9B">
        <w:rPr>
          <w:iCs/>
        </w:rPr>
        <w:t xml:space="preserve">disease </w:t>
      </w:r>
      <w:r w:rsidRPr="009F171F">
        <w:rPr>
          <w:iCs/>
        </w:rPr>
        <w:t xml:space="preserve">should be based on the cost per patient that was considered cost-effective for ibrutinib at the time of its listing. </w:t>
      </w:r>
      <w:r w:rsidR="00FD673B" w:rsidRPr="009F171F">
        <w:rPr>
          <w:iCs/>
        </w:rPr>
        <w:t>For this scenario</w:t>
      </w:r>
      <w:r w:rsidR="00CC7BAD" w:rsidRPr="009F171F">
        <w:rPr>
          <w:iCs/>
        </w:rPr>
        <w:t xml:space="preserve"> </w:t>
      </w:r>
      <w:r w:rsidR="00FA2BD1" w:rsidRPr="009F171F">
        <w:rPr>
          <w:iCs/>
        </w:rPr>
        <w:t xml:space="preserve">the ESC </w:t>
      </w:r>
      <w:r w:rsidR="00CC7BAD" w:rsidRPr="009F171F">
        <w:rPr>
          <w:iCs/>
        </w:rPr>
        <w:t xml:space="preserve">requested </w:t>
      </w:r>
      <w:r w:rsidR="00FD673B" w:rsidRPr="009F171F">
        <w:rPr>
          <w:iCs/>
        </w:rPr>
        <w:t xml:space="preserve">estimates of </w:t>
      </w:r>
      <w:r w:rsidR="00763440" w:rsidRPr="009F171F">
        <w:rPr>
          <w:iCs/>
        </w:rPr>
        <w:t xml:space="preserve">the </w:t>
      </w:r>
      <w:r w:rsidR="00FA2BD1" w:rsidRPr="009F171F">
        <w:rPr>
          <w:iCs/>
        </w:rPr>
        <w:t>weight</w:t>
      </w:r>
      <w:r w:rsidR="00FD673B" w:rsidRPr="009F171F">
        <w:rPr>
          <w:iCs/>
        </w:rPr>
        <w:t xml:space="preserve">s for calculating a single price for use across both </w:t>
      </w:r>
      <w:r w:rsidR="00072F9B">
        <w:rPr>
          <w:iCs/>
        </w:rPr>
        <w:t xml:space="preserve">indications </w:t>
      </w:r>
      <w:r w:rsidR="00FD673B" w:rsidRPr="009F171F">
        <w:rPr>
          <w:iCs/>
        </w:rPr>
        <w:t>be provided</w:t>
      </w:r>
      <w:r w:rsidR="00FA2BD1" w:rsidRPr="009F171F">
        <w:rPr>
          <w:iCs/>
        </w:rPr>
        <w:t xml:space="preserve"> </w:t>
      </w:r>
      <w:r w:rsidR="00CC7BAD" w:rsidRPr="009F171F">
        <w:rPr>
          <w:iCs/>
        </w:rPr>
        <w:t xml:space="preserve">in the pre-PBAC response. </w:t>
      </w:r>
    </w:p>
    <w:p w14:paraId="0A11AC5C" w14:textId="24A41F74" w:rsidR="00471B91" w:rsidRPr="00361F6E" w:rsidRDefault="00471B91" w:rsidP="00D04B86">
      <w:pPr>
        <w:pStyle w:val="COMexecsumnumberedpara"/>
      </w:pPr>
      <w:r>
        <w:t xml:space="preserve">The pre-PBAC response suggested that these weights should be based on the estimated use of zanubrutinib in treatment naïve </w:t>
      </w:r>
      <w:r w:rsidR="00072F9B">
        <w:t xml:space="preserve">disease </w:t>
      </w:r>
      <w:r>
        <w:t xml:space="preserve">compared to the estimated use for the entire BTKi therapies in relapsed/refractory </w:t>
      </w:r>
      <w:r w:rsidR="00072F9B">
        <w:t>disease</w:t>
      </w:r>
      <w:r>
        <w:t>. The weightings provided in the pre-PBAC response could not be replicated.</w:t>
      </w:r>
    </w:p>
    <w:p w14:paraId="2C5C3887" w14:textId="4EDA70E0" w:rsidR="00361F6E" w:rsidRDefault="00361F6E" w:rsidP="00361F6E">
      <w:pPr>
        <w:pStyle w:val="COMexecsumnumberedpara"/>
        <w:numPr>
          <w:ilvl w:val="0"/>
          <w:numId w:val="0"/>
        </w:numPr>
        <w:ind w:left="720"/>
        <w:rPr>
          <w:i/>
          <w:iCs/>
        </w:rPr>
      </w:pPr>
      <w:bookmarkStart w:id="55" w:name="_Hlk130453659"/>
      <w:r w:rsidRPr="00361F6E">
        <w:rPr>
          <w:i/>
          <w:iCs/>
        </w:rPr>
        <w:t>For more detail on PBAC’s view, see section 7 PBAC outcome.</w:t>
      </w:r>
    </w:p>
    <w:p w14:paraId="584478E6" w14:textId="77777777" w:rsidR="004C7723" w:rsidRPr="00452A51" w:rsidRDefault="004C7723" w:rsidP="00452A51">
      <w:pPr>
        <w:pStyle w:val="COMH1numbered"/>
        <w:numPr>
          <w:ilvl w:val="0"/>
          <w:numId w:val="1"/>
        </w:numPr>
      </w:pPr>
      <w:bookmarkStart w:id="56" w:name="_Hlk76381249"/>
      <w:bookmarkStart w:id="57" w:name="_Hlk76377955"/>
      <w:bookmarkEnd w:id="55"/>
      <w:r w:rsidRPr="004C7723">
        <w:t>PBAC Outcome</w:t>
      </w:r>
    </w:p>
    <w:p w14:paraId="00A262C1" w14:textId="6F013D8C" w:rsidR="004C7723" w:rsidRPr="004C7723" w:rsidRDefault="00285122" w:rsidP="00285122">
      <w:pPr>
        <w:widowControl w:val="0"/>
        <w:numPr>
          <w:ilvl w:val="1"/>
          <w:numId w:val="1"/>
        </w:numPr>
        <w:spacing w:after="120"/>
        <w:ind w:left="720" w:hanging="720"/>
        <w:rPr>
          <w:rFonts w:asciiTheme="minorHAnsi" w:hAnsiTheme="minorHAnsi"/>
          <w:snapToGrid w:val="0"/>
          <w:lang w:val="en-GB" w:eastAsia="en-US"/>
        </w:rPr>
      </w:pPr>
      <w:r>
        <w:rPr>
          <w:snapToGrid w:val="0"/>
          <w:lang w:val="en-GB" w:eastAsia="en-US"/>
        </w:rPr>
        <w:t xml:space="preserve">The </w:t>
      </w:r>
      <w:r w:rsidRPr="00A00967">
        <w:rPr>
          <w:snapToGrid w:val="0"/>
          <w:lang w:val="en-GB" w:eastAsia="en-US"/>
        </w:rPr>
        <w:t xml:space="preserve">PBAC recommended </w:t>
      </w:r>
      <w:r w:rsidR="004E39C8">
        <w:rPr>
          <w:snapToGrid w:val="0"/>
          <w:lang w:val="en-GB" w:eastAsia="en-US"/>
        </w:rPr>
        <w:t xml:space="preserve">extending the listing of zanubrutinib to include the treatment of </w:t>
      </w:r>
      <w:r>
        <w:rPr>
          <w:snapToGrid w:val="0"/>
          <w:lang w:val="en-GB" w:eastAsia="en-US"/>
        </w:rPr>
        <w:t xml:space="preserve">relapsed or refractory </w:t>
      </w:r>
      <w:r w:rsidR="001F5FA6">
        <w:rPr>
          <w:snapToGrid w:val="0"/>
          <w:lang w:val="en-GB" w:eastAsia="en-US"/>
        </w:rPr>
        <w:t>chronic lymphocytic leukaemia (</w:t>
      </w:r>
      <w:r>
        <w:rPr>
          <w:snapToGrid w:val="0"/>
          <w:lang w:val="en-GB" w:eastAsia="en-US"/>
        </w:rPr>
        <w:t>CLL</w:t>
      </w:r>
      <w:r w:rsidR="001F5FA6">
        <w:rPr>
          <w:snapToGrid w:val="0"/>
          <w:lang w:val="en-GB" w:eastAsia="en-US"/>
        </w:rPr>
        <w:t>)</w:t>
      </w:r>
      <w:r>
        <w:rPr>
          <w:snapToGrid w:val="0"/>
          <w:lang w:val="en-GB" w:eastAsia="en-US"/>
        </w:rPr>
        <w:t xml:space="preserve"> or </w:t>
      </w:r>
      <w:r w:rsidR="001F5FA6">
        <w:rPr>
          <w:snapToGrid w:val="0"/>
          <w:lang w:val="en-GB" w:eastAsia="en-US"/>
        </w:rPr>
        <w:t>small lymphocytic l</w:t>
      </w:r>
      <w:r w:rsidR="007C0205">
        <w:rPr>
          <w:snapToGrid w:val="0"/>
          <w:lang w:val="en-GB" w:eastAsia="en-US"/>
        </w:rPr>
        <w:t>ymphoma</w:t>
      </w:r>
      <w:r w:rsidR="001F5FA6">
        <w:rPr>
          <w:snapToGrid w:val="0"/>
          <w:lang w:val="en-GB" w:eastAsia="en-US"/>
        </w:rPr>
        <w:t xml:space="preserve"> (</w:t>
      </w:r>
      <w:r>
        <w:rPr>
          <w:snapToGrid w:val="0"/>
          <w:lang w:val="en-GB" w:eastAsia="en-US"/>
        </w:rPr>
        <w:t>SLL</w:t>
      </w:r>
      <w:r w:rsidR="001F5FA6">
        <w:rPr>
          <w:snapToGrid w:val="0"/>
          <w:lang w:val="en-GB" w:eastAsia="en-US"/>
        </w:rPr>
        <w:t>)</w:t>
      </w:r>
      <w:r>
        <w:rPr>
          <w:snapToGrid w:val="0"/>
          <w:lang w:val="en-GB" w:eastAsia="en-US"/>
        </w:rPr>
        <w:t xml:space="preserve">. </w:t>
      </w:r>
      <w:r w:rsidR="001F5FA6" w:rsidRPr="00D73723">
        <w:t>The PBAC’s recommendation for listing was based on, among other matters, its a</w:t>
      </w:r>
      <w:r w:rsidR="001F5FA6">
        <w:t xml:space="preserve">ssessment, as described above, </w:t>
      </w:r>
      <w:r w:rsidR="001F5FA6" w:rsidRPr="00D73723">
        <w:t>that the cost-effectiveness of</w:t>
      </w:r>
      <w:r w:rsidR="001F5FA6">
        <w:t xml:space="preserve"> zanubrutinib would be a</w:t>
      </w:r>
      <w:r w:rsidR="001F5FA6" w:rsidRPr="00D73723">
        <w:t>cceptable if it were cost-minimi</w:t>
      </w:r>
      <w:r w:rsidR="001F5FA6">
        <w:t>sed</w:t>
      </w:r>
      <w:r w:rsidR="002912DA">
        <w:t xml:space="preserve"> to the least costly alternative of</w:t>
      </w:r>
      <w:r w:rsidR="001F5FA6">
        <w:t xml:space="preserve"> </w:t>
      </w:r>
      <w:r>
        <w:rPr>
          <w:rFonts w:asciiTheme="minorHAnsi" w:hAnsiTheme="minorHAnsi"/>
          <w:snapToGrid w:val="0"/>
          <w:lang w:val="en-GB" w:eastAsia="en-US"/>
        </w:rPr>
        <w:t>ibrutinib</w:t>
      </w:r>
      <w:r w:rsidR="002912DA">
        <w:rPr>
          <w:rFonts w:asciiTheme="minorHAnsi" w:hAnsiTheme="minorHAnsi"/>
          <w:snapToGrid w:val="0"/>
          <w:lang w:val="en-GB" w:eastAsia="en-US"/>
        </w:rPr>
        <w:t xml:space="preserve"> and acalabrutinib</w:t>
      </w:r>
      <w:r>
        <w:rPr>
          <w:rFonts w:asciiTheme="minorHAnsi" w:hAnsiTheme="minorHAnsi"/>
          <w:snapToGrid w:val="0"/>
          <w:lang w:val="en-GB" w:eastAsia="en-US"/>
        </w:rPr>
        <w:t xml:space="preserve">. </w:t>
      </w:r>
      <w:r w:rsidR="00207C43" w:rsidRPr="009F171F">
        <w:rPr>
          <w:iCs/>
        </w:rPr>
        <w:t xml:space="preserve">The </w:t>
      </w:r>
      <w:r w:rsidR="00207C43">
        <w:rPr>
          <w:iCs/>
        </w:rPr>
        <w:t>PBAC</w:t>
      </w:r>
      <w:r w:rsidR="00207C43" w:rsidRPr="009F171F">
        <w:rPr>
          <w:iCs/>
        </w:rPr>
        <w:t xml:space="preserve"> noted that</w:t>
      </w:r>
      <w:r w:rsidR="00207C43">
        <w:rPr>
          <w:iCs/>
        </w:rPr>
        <w:t xml:space="preserve"> in order for the </w:t>
      </w:r>
      <w:r w:rsidR="00207C43" w:rsidRPr="009F171F">
        <w:rPr>
          <w:iCs/>
        </w:rPr>
        <w:t xml:space="preserve">cost per patient </w:t>
      </w:r>
      <w:r w:rsidR="00207C43">
        <w:rPr>
          <w:iCs/>
        </w:rPr>
        <w:t xml:space="preserve">for zanubrutinib </w:t>
      </w:r>
      <w:r w:rsidR="00207C43" w:rsidRPr="009F171F">
        <w:rPr>
          <w:iCs/>
        </w:rPr>
        <w:t xml:space="preserve">in relapsed/refractory </w:t>
      </w:r>
      <w:r w:rsidR="00072F9B">
        <w:rPr>
          <w:iCs/>
        </w:rPr>
        <w:t xml:space="preserve">disease </w:t>
      </w:r>
      <w:r w:rsidR="00207C43">
        <w:rPr>
          <w:iCs/>
        </w:rPr>
        <w:t>to be</w:t>
      </w:r>
      <w:r w:rsidR="00207C43" w:rsidRPr="009F171F">
        <w:rPr>
          <w:iCs/>
        </w:rPr>
        <w:t xml:space="preserve"> equivalent to that for the </w:t>
      </w:r>
      <w:r w:rsidR="00356F97">
        <w:rPr>
          <w:iCs/>
        </w:rPr>
        <w:t>alternative</w:t>
      </w:r>
      <w:r w:rsidR="00207C43" w:rsidRPr="009F171F">
        <w:rPr>
          <w:iCs/>
        </w:rPr>
        <w:t xml:space="preserve"> therapies it would be appropriate for zanubrutinib to join the current RSA in place for relapsed/refractory CLL/SLL.</w:t>
      </w:r>
    </w:p>
    <w:p w14:paraId="384A75D2" w14:textId="38E0ACCE" w:rsidR="00285122" w:rsidRDefault="00285122" w:rsidP="00FC7142">
      <w:pPr>
        <w:widowControl w:val="0"/>
        <w:numPr>
          <w:ilvl w:val="1"/>
          <w:numId w:val="1"/>
        </w:numPr>
        <w:spacing w:after="120"/>
        <w:ind w:left="720" w:hanging="720"/>
        <w:rPr>
          <w:rFonts w:asciiTheme="minorHAnsi" w:hAnsiTheme="minorHAnsi"/>
          <w:snapToGrid w:val="0"/>
          <w:lang w:val="en-GB" w:eastAsia="en-US"/>
        </w:rPr>
      </w:pPr>
      <w:r w:rsidRPr="00247450">
        <w:rPr>
          <w:lang w:val="en-GB" w:eastAsia="en-US"/>
        </w:rPr>
        <w:t>The PBAC noted the input from individuals, health professionals and organisations</w:t>
      </w:r>
      <w:r w:rsidR="00FC73CC">
        <w:rPr>
          <w:lang w:val="en-GB" w:eastAsia="en-US"/>
        </w:rPr>
        <w:t>.</w:t>
      </w:r>
      <w:r w:rsidRPr="00247450">
        <w:rPr>
          <w:lang w:val="en-GB" w:eastAsia="en-US"/>
        </w:rPr>
        <w:t xml:space="preserve"> </w:t>
      </w:r>
      <w:r w:rsidR="003A515D">
        <w:rPr>
          <w:lang w:val="en-GB" w:eastAsia="en-US"/>
        </w:rPr>
        <w:t xml:space="preserve">The PBAC noted the consumer </w:t>
      </w:r>
      <w:r w:rsidR="003A515D" w:rsidRPr="003A515D">
        <w:rPr>
          <w:lang w:val="en-GB" w:eastAsia="en-US"/>
        </w:rPr>
        <w:t>comments described a range of benefits of treatment with zanubrutinib including fewer side effects, avoidance of hospitalisations and day care admissions, the opportunity for good quality of life and long-lasting remissions.</w:t>
      </w:r>
    </w:p>
    <w:p w14:paraId="730CE64C" w14:textId="520A8282" w:rsidR="00677C6E" w:rsidRDefault="00D0032A" w:rsidP="00677C6E">
      <w:pPr>
        <w:pStyle w:val="COMexecsumnumberedpara"/>
        <w:rPr>
          <w:lang w:val="en-GB" w:eastAsia="en-US"/>
        </w:rPr>
      </w:pPr>
      <w:r>
        <w:rPr>
          <w:lang w:val="en-GB" w:eastAsia="en-US"/>
        </w:rPr>
        <w:t xml:space="preserve">The PBAC noted that zanubrutinib </w:t>
      </w:r>
      <w:r w:rsidR="00DA18D5">
        <w:rPr>
          <w:lang w:val="en-GB" w:eastAsia="en-US"/>
        </w:rPr>
        <w:t xml:space="preserve">had also been recommended at the March 2023 </w:t>
      </w:r>
      <w:r>
        <w:rPr>
          <w:lang w:val="en-GB" w:eastAsia="en-US"/>
        </w:rPr>
        <w:t xml:space="preserve">PBAC meeting for treatment naïve CLL/SLL. The PBAC recalled that in relation to that consideration, that </w:t>
      </w:r>
      <w:r w:rsidR="00677C6E">
        <w:rPr>
          <w:lang w:val="en-GB" w:eastAsia="en-US"/>
        </w:rPr>
        <w:t>c</w:t>
      </w:r>
      <w:r w:rsidR="00677C6E" w:rsidRPr="00FE3E22">
        <w:rPr>
          <w:lang w:val="en-GB" w:eastAsia="en-US"/>
        </w:rPr>
        <w:t>onsumer comments</w:t>
      </w:r>
      <w:r>
        <w:rPr>
          <w:lang w:val="en-GB" w:eastAsia="en-US"/>
        </w:rPr>
        <w:t xml:space="preserve"> received</w:t>
      </w:r>
      <w:r w:rsidR="00677C6E" w:rsidRPr="00FE3E22">
        <w:rPr>
          <w:lang w:val="en-GB" w:eastAsia="en-US"/>
        </w:rPr>
        <w:t xml:space="preserve"> </w:t>
      </w:r>
      <w:r>
        <w:rPr>
          <w:lang w:val="en-GB" w:eastAsia="en-US"/>
        </w:rPr>
        <w:t>had detailed</w:t>
      </w:r>
      <w:r w:rsidR="00677C6E" w:rsidRPr="00FE3E22">
        <w:rPr>
          <w:lang w:val="en-GB" w:eastAsia="en-US"/>
        </w:rPr>
        <w:t xml:space="preserve"> the difficulty of the ‘watch and wait’ approach for asymptomatic patients</w:t>
      </w:r>
      <w:r w:rsidR="00677C6E">
        <w:rPr>
          <w:lang w:val="en-GB" w:eastAsia="en-US"/>
        </w:rPr>
        <w:t>. The PBAC recalled that it had</w:t>
      </w:r>
      <w:r w:rsidR="00677C6E" w:rsidRPr="00FE3E22">
        <w:rPr>
          <w:lang w:val="en-GB" w:eastAsia="en-US"/>
        </w:rPr>
        <w:t xml:space="preserve"> considered that </w:t>
      </w:r>
      <w:r w:rsidR="00677C6E">
        <w:rPr>
          <w:lang w:val="en-GB" w:eastAsia="en-US"/>
        </w:rPr>
        <w:t>to</w:t>
      </w:r>
      <w:r w:rsidR="00677C6E" w:rsidRPr="00FE3E22">
        <w:rPr>
          <w:lang w:val="en-GB" w:eastAsia="en-US"/>
        </w:rPr>
        <w:t xml:space="preserve"> restrict the potential for use</w:t>
      </w:r>
      <w:r w:rsidR="00072F9B">
        <w:rPr>
          <w:lang w:val="en-GB" w:eastAsia="en-US"/>
        </w:rPr>
        <w:t xml:space="preserve"> where the consensus is to ‘watch and wait’</w:t>
      </w:r>
      <w:r w:rsidR="00677C6E" w:rsidRPr="00FE3E22">
        <w:rPr>
          <w:lang w:val="en-GB" w:eastAsia="en-US"/>
        </w:rPr>
        <w:t xml:space="preserve">, that it would be appropriate to include the </w:t>
      </w:r>
      <w:r w:rsidR="00A36E84">
        <w:rPr>
          <w:lang w:val="en-GB" w:eastAsia="en-US"/>
        </w:rPr>
        <w:t>International Workshop on CLL (</w:t>
      </w:r>
      <w:r w:rsidR="00677C6E" w:rsidRPr="00FE3E22">
        <w:rPr>
          <w:lang w:val="en-GB" w:eastAsia="en-US"/>
        </w:rPr>
        <w:t>iwCLL</w:t>
      </w:r>
      <w:r w:rsidR="00A36E84">
        <w:rPr>
          <w:lang w:val="en-GB" w:eastAsia="en-US"/>
        </w:rPr>
        <w:t xml:space="preserve">) </w:t>
      </w:r>
      <w:r w:rsidR="001F5FA6">
        <w:rPr>
          <w:lang w:val="en-GB" w:eastAsia="en-US"/>
        </w:rPr>
        <w:t>criteria</w:t>
      </w:r>
      <w:r w:rsidR="00677C6E" w:rsidRPr="00FE3E22">
        <w:rPr>
          <w:lang w:val="en-GB" w:eastAsia="en-US"/>
        </w:rPr>
        <w:t xml:space="preserve"> for </w:t>
      </w:r>
      <w:r w:rsidR="001F5FA6">
        <w:rPr>
          <w:lang w:val="en-GB" w:eastAsia="en-US"/>
        </w:rPr>
        <w:t xml:space="preserve">commencing </w:t>
      </w:r>
      <w:r w:rsidR="00677C6E" w:rsidRPr="00FE3E22">
        <w:rPr>
          <w:lang w:val="en-GB" w:eastAsia="en-US"/>
        </w:rPr>
        <w:t xml:space="preserve">treatment </w:t>
      </w:r>
      <w:r w:rsidR="00DA32E4">
        <w:rPr>
          <w:lang w:val="en-GB" w:eastAsia="en-US"/>
        </w:rPr>
        <w:t>(latest version</w:t>
      </w:r>
      <w:r w:rsidR="00A95683">
        <w:rPr>
          <w:lang w:val="en-GB" w:eastAsia="en-US"/>
        </w:rPr>
        <w:t>, which was Hallek 2018 at the time of PBAC consideration</w:t>
      </w:r>
      <w:r w:rsidR="00DA32E4">
        <w:rPr>
          <w:lang w:val="en-GB" w:eastAsia="en-US"/>
        </w:rPr>
        <w:t xml:space="preserve">) </w:t>
      </w:r>
      <w:r w:rsidR="00677C6E" w:rsidRPr="00FE3E22">
        <w:rPr>
          <w:lang w:val="en-GB" w:eastAsia="en-US"/>
        </w:rPr>
        <w:t>in the restriction for zanubrutinib, and to flow this change onto the restrictions for all treatments for CLL/SLL in both the treatment naïve and the relapsed/refractory</w:t>
      </w:r>
      <w:r w:rsidR="00D55059">
        <w:rPr>
          <w:lang w:val="en-GB" w:eastAsia="en-US"/>
        </w:rPr>
        <w:t xml:space="preserve"> </w:t>
      </w:r>
      <w:r w:rsidR="00072F9B">
        <w:rPr>
          <w:lang w:val="en-GB" w:eastAsia="en-US"/>
        </w:rPr>
        <w:t>indications</w:t>
      </w:r>
      <w:r w:rsidR="00677C6E" w:rsidRPr="00FE3E22">
        <w:rPr>
          <w:lang w:val="en-GB" w:eastAsia="en-US"/>
        </w:rPr>
        <w:t xml:space="preserve">. </w:t>
      </w:r>
      <w:r>
        <w:rPr>
          <w:lang w:val="en-GB" w:eastAsia="en-US"/>
        </w:rPr>
        <w:t>The PBAC confirmed that this change should be flowed-on</w:t>
      </w:r>
      <w:r w:rsidR="00965FE6">
        <w:rPr>
          <w:lang w:val="en-GB" w:eastAsia="en-US"/>
        </w:rPr>
        <w:t xml:space="preserve"> </w:t>
      </w:r>
      <w:r>
        <w:rPr>
          <w:lang w:val="en-GB" w:eastAsia="en-US"/>
        </w:rPr>
        <w:t>to zanubrutinib in relapsed/refractory CLL/SLL</w:t>
      </w:r>
      <w:r w:rsidR="00D55059">
        <w:rPr>
          <w:lang w:val="en-GB" w:eastAsia="en-US"/>
        </w:rPr>
        <w:t xml:space="preserve"> </w:t>
      </w:r>
      <w:r w:rsidR="00072F9B">
        <w:rPr>
          <w:lang w:val="en-GB" w:eastAsia="en-US"/>
        </w:rPr>
        <w:t>disease</w:t>
      </w:r>
      <w:r>
        <w:rPr>
          <w:lang w:val="en-GB" w:eastAsia="en-US"/>
        </w:rPr>
        <w:t>.</w:t>
      </w:r>
      <w:r w:rsidR="00677C6E" w:rsidRPr="00FE3E22">
        <w:rPr>
          <w:lang w:val="en-GB" w:eastAsia="en-US"/>
        </w:rPr>
        <w:t xml:space="preserve"> </w:t>
      </w:r>
    </w:p>
    <w:p w14:paraId="522A9EE0" w14:textId="655391BA" w:rsidR="00677C6E" w:rsidRDefault="00677C6E" w:rsidP="00D12BAD">
      <w:pPr>
        <w:pStyle w:val="COMexecsumnumberedpara"/>
        <w:rPr>
          <w:lang w:val="en-GB" w:eastAsia="en-US"/>
        </w:rPr>
      </w:pPr>
      <w:r w:rsidRPr="00B07F0C">
        <w:rPr>
          <w:lang w:val="en-GB" w:eastAsia="en-US"/>
        </w:rPr>
        <w:t xml:space="preserve">The PBAC noted that the restrictions for ibrutinib, acalabrutinib, and venetoclax plus rituximab in relapsed/refractory CLL/SLL </w:t>
      </w:r>
      <w:r w:rsidR="002C3CAC">
        <w:rPr>
          <w:lang w:val="en-GB" w:eastAsia="en-US"/>
        </w:rPr>
        <w:t xml:space="preserve">disease </w:t>
      </w:r>
      <w:r w:rsidRPr="00B07F0C">
        <w:rPr>
          <w:lang w:val="en-GB" w:eastAsia="en-US"/>
        </w:rPr>
        <w:t xml:space="preserve">require patients to be inappropriate for a purine analogue. The PBAC </w:t>
      </w:r>
      <w:r w:rsidR="00B07F0C" w:rsidRPr="00B07F0C">
        <w:rPr>
          <w:lang w:val="en-GB" w:eastAsia="en-US"/>
        </w:rPr>
        <w:t>recalled that</w:t>
      </w:r>
      <w:r w:rsidRPr="00B07F0C">
        <w:rPr>
          <w:lang w:val="en-GB" w:eastAsia="en-US"/>
        </w:rPr>
        <w:t xml:space="preserve"> based on advice received at the clinical consultation </w:t>
      </w:r>
      <w:r w:rsidR="00B07F0C" w:rsidRPr="00B07F0C">
        <w:rPr>
          <w:lang w:val="en-GB" w:eastAsia="en-US"/>
        </w:rPr>
        <w:t>on 1</w:t>
      </w:r>
      <w:r w:rsidRPr="00B07F0C">
        <w:rPr>
          <w:lang w:val="en-GB" w:eastAsia="en-US"/>
        </w:rPr>
        <w:t xml:space="preserve"> December 2022, </w:t>
      </w:r>
      <w:r w:rsidR="00620BD2">
        <w:rPr>
          <w:lang w:val="en-GB" w:eastAsia="en-US"/>
        </w:rPr>
        <w:t xml:space="preserve">that </w:t>
      </w:r>
      <w:r w:rsidR="00B07F0C" w:rsidRPr="00B07F0C">
        <w:rPr>
          <w:lang w:val="en-GB" w:eastAsia="en-US"/>
        </w:rPr>
        <w:t>it had considered that the</w:t>
      </w:r>
      <w:r w:rsidR="00B07F0C" w:rsidRPr="00996920">
        <w:t xml:space="preserve"> requirement for patients to be considered unsuitable for treatment or </w:t>
      </w:r>
      <w:r w:rsidR="009739D0">
        <w:t>retreatment</w:t>
      </w:r>
      <w:r w:rsidR="00B07F0C" w:rsidRPr="00996920">
        <w:t xml:space="preserve"> with a purine analogue should be removed from the restrictions for all PBS listed drugs for CLL/SLL in the relapsed or refractory setting.</w:t>
      </w:r>
      <w:r w:rsidR="00B07F0C">
        <w:t xml:space="preserve"> The PBAC further considered that th</w:t>
      </w:r>
      <w:r w:rsidR="00620BD2">
        <w:t>is change should be flowed on</w:t>
      </w:r>
      <w:r w:rsidR="00197514">
        <w:t xml:space="preserve"> </w:t>
      </w:r>
      <w:r w:rsidR="00620BD2">
        <w:t xml:space="preserve">to zanubrutinib. </w:t>
      </w:r>
    </w:p>
    <w:p w14:paraId="04AEA484" w14:textId="676A0F38" w:rsidR="00B07F0C" w:rsidRDefault="00620BD2" w:rsidP="00D12BAD">
      <w:pPr>
        <w:pStyle w:val="COMexecsumnumberedpara"/>
        <w:rPr>
          <w:lang w:val="en-GB" w:eastAsia="en-US"/>
        </w:rPr>
      </w:pPr>
      <w:r>
        <w:rPr>
          <w:lang w:val="en-GB" w:eastAsia="en-US"/>
        </w:rPr>
        <w:t>T</w:t>
      </w:r>
      <w:r w:rsidR="00B07F0C">
        <w:rPr>
          <w:lang w:val="en-GB" w:eastAsia="en-US"/>
        </w:rPr>
        <w:t xml:space="preserve">he PBAC considered that the requirement for </w:t>
      </w:r>
      <w:r w:rsidR="002E0E5B">
        <w:rPr>
          <w:lang w:val="en-GB" w:eastAsia="en-US"/>
        </w:rPr>
        <w:t xml:space="preserve">patients to have </w:t>
      </w:r>
      <w:r w:rsidR="00B07F0C">
        <w:rPr>
          <w:lang w:val="en-GB" w:eastAsia="en-US"/>
        </w:rPr>
        <w:t xml:space="preserve">a WHO </w:t>
      </w:r>
      <w:r w:rsidR="008270CD">
        <w:rPr>
          <w:lang w:val="en-GB" w:eastAsia="en-US"/>
        </w:rPr>
        <w:t xml:space="preserve">performance </w:t>
      </w:r>
      <w:r w:rsidR="00B07F0C">
        <w:rPr>
          <w:lang w:val="en-GB" w:eastAsia="en-US"/>
        </w:rPr>
        <w:t xml:space="preserve">status of 0 or 1 </w:t>
      </w:r>
      <w:r w:rsidR="008270CD">
        <w:rPr>
          <w:lang w:val="en-GB" w:eastAsia="en-US"/>
        </w:rPr>
        <w:t xml:space="preserve">was not crucial, and </w:t>
      </w:r>
      <w:r w:rsidR="002E0E5B">
        <w:rPr>
          <w:lang w:val="en-GB" w:eastAsia="en-US"/>
        </w:rPr>
        <w:t xml:space="preserve">that this requirement </w:t>
      </w:r>
      <w:r w:rsidR="008270CD">
        <w:rPr>
          <w:lang w:val="en-GB" w:eastAsia="en-US"/>
        </w:rPr>
        <w:t>could</w:t>
      </w:r>
      <w:r w:rsidR="00B07F0C">
        <w:rPr>
          <w:lang w:val="en-GB" w:eastAsia="en-US"/>
        </w:rPr>
        <w:t xml:space="preserve"> be removed from the requested restriction.</w:t>
      </w:r>
      <w:r w:rsidR="00197514">
        <w:rPr>
          <w:lang w:val="en-GB" w:eastAsia="en-US"/>
        </w:rPr>
        <w:t xml:space="preserve"> The PBAC further considered that this change should be flowed on to other therapies for CLL/SLL.</w:t>
      </w:r>
    </w:p>
    <w:p w14:paraId="28609D54" w14:textId="2BCDE8FB" w:rsidR="00A20093" w:rsidRDefault="00A20093" w:rsidP="00A20093">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considered that it would not be appropriate to allow patients to be retreated with a </w:t>
      </w:r>
      <w:r w:rsidRPr="002809FE">
        <w:rPr>
          <w:iCs/>
        </w:rPr>
        <w:t>Bruton’s tyrosine kinase inhibitor (BTKi)</w:t>
      </w:r>
      <w:r>
        <w:rPr>
          <w:iCs/>
        </w:rPr>
        <w:t xml:space="preserve"> </w:t>
      </w:r>
      <w:r w:rsidR="002C3CAC">
        <w:rPr>
          <w:iCs/>
        </w:rPr>
        <w:t xml:space="preserve">for </w:t>
      </w:r>
      <w:r>
        <w:rPr>
          <w:iCs/>
        </w:rPr>
        <w:t xml:space="preserve">relapsed/refractory </w:t>
      </w:r>
      <w:r w:rsidR="002C3CAC">
        <w:rPr>
          <w:iCs/>
        </w:rPr>
        <w:t>disease</w:t>
      </w:r>
      <w:r w:rsidRPr="002809FE">
        <w:rPr>
          <w:iCs/>
        </w:rPr>
        <w:t xml:space="preserve"> </w:t>
      </w:r>
      <w:r>
        <w:rPr>
          <w:rFonts w:asciiTheme="minorHAnsi" w:hAnsiTheme="minorHAnsi"/>
          <w:snapToGrid w:val="0"/>
          <w:lang w:val="en-GB" w:eastAsia="en-US"/>
        </w:rPr>
        <w:t>if they progressed with</w:t>
      </w:r>
      <w:r w:rsidR="002C3CAC">
        <w:rPr>
          <w:rFonts w:asciiTheme="minorHAnsi" w:hAnsiTheme="minorHAnsi"/>
          <w:snapToGrid w:val="0"/>
          <w:lang w:val="en-GB" w:eastAsia="en-US"/>
        </w:rPr>
        <w:t xml:space="preserve"> the same drug at any stage of the disease</w:t>
      </w:r>
      <w:r>
        <w:rPr>
          <w:rFonts w:asciiTheme="minorHAnsi" w:hAnsiTheme="minorHAnsi"/>
          <w:snapToGrid w:val="0"/>
          <w:lang w:val="en-GB" w:eastAsia="en-US"/>
        </w:rPr>
        <w:t>. The PBAC considered, consistent with the PBS BTKi listings in the relapsed/refractory setting, it would be appropriate to allow patients who develop intolerance to zanubrutinib of a severity necessitating permanent treatment withdrawal to be treated with an alternative BTKi.</w:t>
      </w:r>
    </w:p>
    <w:p w14:paraId="67E3E5D7" w14:textId="73366C57" w:rsidR="007E2BDA" w:rsidRPr="004D4C09" w:rsidRDefault="007E2BDA" w:rsidP="007E2BDA">
      <w:pPr>
        <w:pStyle w:val="COMexecsumnumberedpara"/>
        <w:widowControl w:val="0"/>
        <w:rPr>
          <w:lang w:val="en-GB" w:eastAsia="en-US"/>
        </w:rPr>
      </w:pPr>
      <w:r w:rsidRPr="004D4C09">
        <w:rPr>
          <w:lang w:val="en-GB" w:eastAsia="en-US"/>
        </w:rPr>
        <w:t xml:space="preserve">The </w:t>
      </w:r>
      <w:r>
        <w:t xml:space="preserve">concurrent submission for zanubrutinib monotherapy for the treatment of treatment naive CLL/SLL was also recommended at the March 2023 PBAC meeting. </w:t>
      </w:r>
      <w:r w:rsidRPr="004D4C09">
        <w:rPr>
          <w:lang w:val="en-GB" w:eastAsia="en-US"/>
        </w:rPr>
        <w:t xml:space="preserve">The PBAC </w:t>
      </w:r>
      <w:r w:rsidR="002C3CAC">
        <w:rPr>
          <w:lang w:val="en-GB" w:eastAsia="en-US"/>
        </w:rPr>
        <w:t xml:space="preserve">noted advice from the Department </w:t>
      </w:r>
      <w:r w:rsidRPr="004D4C09">
        <w:rPr>
          <w:lang w:val="en-GB" w:eastAsia="en-US"/>
        </w:rPr>
        <w:t xml:space="preserve">that separate </w:t>
      </w:r>
      <w:r w:rsidR="002C3CAC">
        <w:rPr>
          <w:lang w:val="en-GB" w:eastAsia="en-US"/>
        </w:rPr>
        <w:t>PBS item codes for</w:t>
      </w:r>
      <w:r w:rsidRPr="004D4C09">
        <w:rPr>
          <w:lang w:val="en-GB" w:eastAsia="en-US"/>
        </w:rPr>
        <w:t xml:space="preserve"> treatment naïve </w:t>
      </w:r>
      <w:r w:rsidR="002C3CAC">
        <w:rPr>
          <w:lang w:val="en-GB" w:eastAsia="en-US"/>
        </w:rPr>
        <w:t xml:space="preserve">disease </w:t>
      </w:r>
      <w:r w:rsidRPr="004D4C09">
        <w:rPr>
          <w:lang w:val="en-GB" w:eastAsia="en-US"/>
        </w:rPr>
        <w:t xml:space="preserve">and relapsed/refractory </w:t>
      </w:r>
      <w:r w:rsidR="002C3CAC">
        <w:rPr>
          <w:lang w:val="en-GB" w:eastAsia="en-US"/>
        </w:rPr>
        <w:t xml:space="preserve">disease would allow easier administration of any RSA caps.  </w:t>
      </w:r>
    </w:p>
    <w:p w14:paraId="0CAE6B57" w14:textId="772A6B43" w:rsidR="004C7723" w:rsidRPr="004C7723" w:rsidRDefault="009739D0" w:rsidP="009739D0">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w:t>
      </w:r>
      <w:r w:rsidR="00090E27">
        <w:rPr>
          <w:rFonts w:asciiTheme="minorHAnsi" w:hAnsiTheme="minorHAnsi"/>
          <w:snapToGrid w:val="0"/>
          <w:lang w:val="en-GB" w:eastAsia="en-US"/>
        </w:rPr>
        <w:t xml:space="preserve">considered that </w:t>
      </w:r>
      <w:r w:rsidR="00A55D64">
        <w:rPr>
          <w:rFonts w:asciiTheme="minorHAnsi" w:hAnsiTheme="minorHAnsi"/>
          <w:snapToGrid w:val="0"/>
          <w:lang w:val="en-GB" w:eastAsia="en-US"/>
        </w:rPr>
        <w:t>submission</w:t>
      </w:r>
      <w:r w:rsidR="00090E27">
        <w:rPr>
          <w:rFonts w:asciiTheme="minorHAnsi" w:hAnsiTheme="minorHAnsi"/>
          <w:snapToGrid w:val="0"/>
          <w:lang w:val="en-GB" w:eastAsia="en-US"/>
        </w:rPr>
        <w:t>’s nomination of</w:t>
      </w:r>
      <w:r>
        <w:rPr>
          <w:rFonts w:asciiTheme="minorHAnsi" w:hAnsiTheme="minorHAnsi"/>
          <w:snapToGrid w:val="0"/>
          <w:lang w:val="en-GB" w:eastAsia="en-US"/>
        </w:rPr>
        <w:t xml:space="preserve"> </w:t>
      </w:r>
      <w:r w:rsidR="00A55D64">
        <w:rPr>
          <w:rFonts w:asciiTheme="minorHAnsi" w:hAnsiTheme="minorHAnsi"/>
          <w:snapToGrid w:val="0"/>
          <w:lang w:val="en-GB" w:eastAsia="en-US"/>
        </w:rPr>
        <w:t xml:space="preserve">ibrutinib as the </w:t>
      </w:r>
      <w:r>
        <w:rPr>
          <w:rFonts w:asciiTheme="minorHAnsi" w:hAnsiTheme="minorHAnsi"/>
          <w:snapToGrid w:val="0"/>
          <w:lang w:val="en-GB" w:eastAsia="en-US"/>
        </w:rPr>
        <w:t xml:space="preserve">main comparator </w:t>
      </w:r>
      <w:r w:rsidR="00090E27">
        <w:rPr>
          <w:rFonts w:asciiTheme="minorHAnsi" w:hAnsiTheme="minorHAnsi"/>
          <w:snapToGrid w:val="0"/>
          <w:lang w:val="en-GB" w:eastAsia="en-US"/>
        </w:rPr>
        <w:t xml:space="preserve">was appropriate. The PBAC noted that </w:t>
      </w:r>
      <w:r w:rsidR="00A55D64">
        <w:rPr>
          <w:rFonts w:asciiTheme="minorHAnsi" w:hAnsiTheme="minorHAnsi"/>
          <w:snapToGrid w:val="0"/>
          <w:lang w:val="en-GB" w:eastAsia="en-US"/>
        </w:rPr>
        <w:t xml:space="preserve">acalabrutinib </w:t>
      </w:r>
      <w:r w:rsidR="00090E27">
        <w:rPr>
          <w:rFonts w:asciiTheme="minorHAnsi" w:hAnsiTheme="minorHAnsi"/>
          <w:snapToGrid w:val="0"/>
          <w:lang w:val="en-GB" w:eastAsia="en-US"/>
        </w:rPr>
        <w:t xml:space="preserve">was appropriately nominated </w:t>
      </w:r>
      <w:r w:rsidR="00A55D64">
        <w:rPr>
          <w:rFonts w:asciiTheme="minorHAnsi" w:hAnsiTheme="minorHAnsi"/>
          <w:snapToGrid w:val="0"/>
          <w:lang w:val="en-GB" w:eastAsia="en-US"/>
        </w:rPr>
        <w:t>as a</w:t>
      </w:r>
      <w:r w:rsidR="00C568B0">
        <w:rPr>
          <w:rFonts w:asciiTheme="minorHAnsi" w:hAnsiTheme="minorHAnsi"/>
          <w:snapToGrid w:val="0"/>
          <w:lang w:val="en-GB" w:eastAsia="en-US"/>
        </w:rPr>
        <w:t xml:space="preserve"> supplementary comparator</w:t>
      </w:r>
      <w:r>
        <w:rPr>
          <w:rFonts w:asciiTheme="minorHAnsi" w:hAnsiTheme="minorHAnsi"/>
          <w:snapToGrid w:val="0"/>
          <w:lang w:val="en-GB" w:eastAsia="en-US"/>
        </w:rPr>
        <w:t>.</w:t>
      </w:r>
    </w:p>
    <w:p w14:paraId="19104D0F" w14:textId="5416D2B1" w:rsidR="00285122" w:rsidRPr="009739D0" w:rsidRDefault="00285122" w:rsidP="00D12BAD">
      <w:pPr>
        <w:pStyle w:val="COMexecsumnumberedpara"/>
        <w:rPr>
          <w:lang w:val="en-GB" w:eastAsia="en-US"/>
        </w:rPr>
      </w:pPr>
      <w:r w:rsidRPr="009739D0">
        <w:rPr>
          <w:lang w:val="en-GB" w:eastAsia="en-US"/>
        </w:rPr>
        <w:t xml:space="preserve">The </w:t>
      </w:r>
      <w:r w:rsidR="009739D0" w:rsidRPr="009739D0">
        <w:rPr>
          <w:lang w:val="en-GB" w:eastAsia="en-US"/>
        </w:rPr>
        <w:t xml:space="preserve">PBAC noted that the </w:t>
      </w:r>
      <w:r w:rsidRPr="009739D0">
        <w:rPr>
          <w:lang w:val="en-GB" w:eastAsia="en-US"/>
        </w:rPr>
        <w:t>submission was based on a head-to-head comparison of zanubrutinib versus ibrutinib in relapsed/refractory CLL/SLL (ALPINE)</w:t>
      </w:r>
      <w:r w:rsidR="009739D0" w:rsidRPr="009739D0">
        <w:rPr>
          <w:lang w:val="en-GB" w:eastAsia="en-US"/>
        </w:rPr>
        <w:t xml:space="preserve">, and </w:t>
      </w:r>
      <w:r w:rsidR="00C568B0">
        <w:rPr>
          <w:lang w:val="en-GB" w:eastAsia="en-US"/>
        </w:rPr>
        <w:t xml:space="preserve">that </w:t>
      </w:r>
      <w:r w:rsidR="009739D0" w:rsidRPr="009739D0">
        <w:rPr>
          <w:lang w:val="en-GB" w:eastAsia="en-US"/>
        </w:rPr>
        <w:t>a</w:t>
      </w:r>
      <w:r w:rsidRPr="009739D0">
        <w:rPr>
          <w:lang w:val="en-GB" w:eastAsia="en-US"/>
        </w:rPr>
        <w:t>n indirect comparison and anchored matching</w:t>
      </w:r>
      <w:r w:rsidR="00F61E73">
        <w:rPr>
          <w:lang w:val="en-GB" w:eastAsia="en-US"/>
        </w:rPr>
        <w:t>-</w:t>
      </w:r>
      <w:r w:rsidRPr="009739D0">
        <w:rPr>
          <w:lang w:val="en-GB" w:eastAsia="en-US"/>
        </w:rPr>
        <w:t xml:space="preserve">adjusted indirect comparison (MAIC) of zanubrutinib (ALPINE) versus acalabrutinib (ELEVATE-RR) </w:t>
      </w:r>
      <w:r w:rsidR="00C568B0">
        <w:rPr>
          <w:lang w:val="en-GB" w:eastAsia="en-US"/>
        </w:rPr>
        <w:t xml:space="preserve">was also presented as a supplementary analysis </w:t>
      </w:r>
      <w:r w:rsidRPr="009739D0">
        <w:rPr>
          <w:lang w:val="en-GB" w:eastAsia="en-US"/>
        </w:rPr>
        <w:t xml:space="preserve">via </w:t>
      </w:r>
      <w:r w:rsidR="009739D0">
        <w:rPr>
          <w:lang w:val="en-GB" w:eastAsia="en-US"/>
        </w:rPr>
        <w:t xml:space="preserve">the </w:t>
      </w:r>
      <w:r w:rsidRPr="009739D0">
        <w:rPr>
          <w:lang w:val="en-GB" w:eastAsia="en-US"/>
        </w:rPr>
        <w:t xml:space="preserve">common reference </w:t>
      </w:r>
      <w:r w:rsidR="009739D0">
        <w:rPr>
          <w:lang w:val="en-GB" w:eastAsia="en-US"/>
        </w:rPr>
        <w:t xml:space="preserve">of </w:t>
      </w:r>
      <w:r w:rsidRPr="009739D0">
        <w:rPr>
          <w:lang w:val="en-GB" w:eastAsia="en-US"/>
        </w:rPr>
        <w:t>ibrutinib</w:t>
      </w:r>
      <w:r w:rsidR="00C568B0">
        <w:rPr>
          <w:lang w:val="en-GB" w:eastAsia="en-US"/>
        </w:rPr>
        <w:t>.</w:t>
      </w:r>
    </w:p>
    <w:p w14:paraId="6E915CDE" w14:textId="0E099238" w:rsidR="00EE68A2" w:rsidRPr="00EE68A2" w:rsidRDefault="0098449E" w:rsidP="00D12BAD">
      <w:pPr>
        <w:widowControl w:val="0"/>
        <w:numPr>
          <w:ilvl w:val="1"/>
          <w:numId w:val="1"/>
        </w:numPr>
        <w:spacing w:after="120"/>
        <w:ind w:left="720" w:hanging="720"/>
        <w:rPr>
          <w:rFonts w:asciiTheme="minorHAnsi" w:hAnsiTheme="minorHAnsi"/>
          <w:snapToGrid w:val="0"/>
          <w:lang w:val="en-GB" w:eastAsia="en-US"/>
        </w:rPr>
      </w:pPr>
      <w:r w:rsidRPr="00FB5751">
        <w:rPr>
          <w:rFonts w:asciiTheme="minorHAnsi" w:hAnsiTheme="minorHAnsi"/>
          <w:snapToGrid w:val="0"/>
          <w:lang w:val="en-GB" w:eastAsia="en-US"/>
        </w:rPr>
        <w:t>The PBAC noted that based on a median treatment duration of 23.8</w:t>
      </w:r>
      <w:r w:rsidR="00C71B0E">
        <w:rPr>
          <w:rFonts w:asciiTheme="minorHAnsi" w:hAnsiTheme="minorHAnsi"/>
          <w:snapToGrid w:val="0"/>
          <w:lang w:val="en-GB" w:eastAsia="en-US"/>
        </w:rPr>
        <w:t>2</w:t>
      </w:r>
      <w:r w:rsidRPr="00FB5751">
        <w:rPr>
          <w:rFonts w:asciiTheme="minorHAnsi" w:hAnsiTheme="minorHAnsi"/>
          <w:snapToGrid w:val="0"/>
          <w:lang w:val="en-GB" w:eastAsia="en-US"/>
        </w:rPr>
        <w:t xml:space="preserve"> months for </w:t>
      </w:r>
      <w:r w:rsidR="00C71B0E">
        <w:rPr>
          <w:rFonts w:asciiTheme="minorHAnsi" w:hAnsiTheme="minorHAnsi"/>
          <w:snapToGrid w:val="0"/>
          <w:lang w:val="en-GB" w:eastAsia="en-US"/>
        </w:rPr>
        <w:t xml:space="preserve">patients in the </w:t>
      </w:r>
      <w:r w:rsidRPr="00FB5751">
        <w:rPr>
          <w:rFonts w:asciiTheme="minorHAnsi" w:hAnsiTheme="minorHAnsi"/>
          <w:snapToGrid w:val="0"/>
          <w:lang w:val="en-GB" w:eastAsia="en-US"/>
        </w:rPr>
        <w:t xml:space="preserve">zanubrutinib </w:t>
      </w:r>
      <w:r w:rsidR="00C71B0E">
        <w:rPr>
          <w:rFonts w:asciiTheme="minorHAnsi" w:hAnsiTheme="minorHAnsi"/>
          <w:snapToGrid w:val="0"/>
          <w:lang w:val="en-GB" w:eastAsia="en-US"/>
        </w:rPr>
        <w:t xml:space="preserve">arm </w:t>
      </w:r>
      <w:r w:rsidRPr="00FB5751">
        <w:rPr>
          <w:rFonts w:asciiTheme="minorHAnsi" w:hAnsiTheme="minorHAnsi"/>
          <w:snapToGrid w:val="0"/>
          <w:lang w:val="en-GB" w:eastAsia="en-US"/>
        </w:rPr>
        <w:t xml:space="preserve">and </w:t>
      </w:r>
      <w:r w:rsidR="00C71B0E">
        <w:rPr>
          <w:rFonts w:asciiTheme="minorHAnsi" w:hAnsiTheme="minorHAnsi"/>
          <w:snapToGrid w:val="0"/>
          <w:lang w:val="en-GB" w:eastAsia="en-US"/>
        </w:rPr>
        <w:t>17.73</w:t>
      </w:r>
      <w:r w:rsidRPr="00FB5751">
        <w:rPr>
          <w:rFonts w:asciiTheme="minorHAnsi" w:hAnsiTheme="minorHAnsi"/>
          <w:snapToGrid w:val="0"/>
          <w:lang w:val="en-GB" w:eastAsia="en-US"/>
        </w:rPr>
        <w:t xml:space="preserve"> months for </w:t>
      </w:r>
      <w:r w:rsidR="00C71B0E">
        <w:rPr>
          <w:rFonts w:asciiTheme="minorHAnsi" w:hAnsiTheme="minorHAnsi"/>
          <w:snapToGrid w:val="0"/>
          <w:lang w:val="en-GB" w:eastAsia="en-US"/>
        </w:rPr>
        <w:t xml:space="preserve">patients in the </w:t>
      </w:r>
      <w:r w:rsidRPr="00FB5751">
        <w:rPr>
          <w:rFonts w:asciiTheme="minorHAnsi" w:hAnsiTheme="minorHAnsi"/>
          <w:snapToGrid w:val="0"/>
          <w:lang w:val="en-GB" w:eastAsia="en-US"/>
        </w:rPr>
        <w:t>ibrutinib</w:t>
      </w:r>
      <w:r w:rsidR="00C247A7">
        <w:rPr>
          <w:rFonts w:asciiTheme="minorHAnsi" w:hAnsiTheme="minorHAnsi"/>
          <w:snapToGrid w:val="0"/>
          <w:lang w:val="en-GB" w:eastAsia="en-US"/>
        </w:rPr>
        <w:t xml:space="preserve"> </w:t>
      </w:r>
      <w:r w:rsidR="00C71B0E">
        <w:rPr>
          <w:rFonts w:asciiTheme="minorHAnsi" w:hAnsiTheme="minorHAnsi"/>
          <w:snapToGrid w:val="0"/>
          <w:lang w:val="en-GB" w:eastAsia="en-US"/>
        </w:rPr>
        <w:t>arm, with a follow-up time of 22.1 months</w:t>
      </w:r>
      <w:r w:rsidRPr="00FB5751">
        <w:rPr>
          <w:rFonts w:asciiTheme="minorHAnsi" w:hAnsiTheme="minorHAnsi"/>
          <w:snapToGrid w:val="0"/>
          <w:lang w:val="en-GB" w:eastAsia="en-US"/>
        </w:rPr>
        <w:t xml:space="preserve"> in the ALPINE trial, the </w:t>
      </w:r>
      <w:r w:rsidRPr="00B31282">
        <w:t>overall response rate by investigator assessment was statistically significantly higher for patients in the zanubrutinib arm compared with the ibrutinib arm</w:t>
      </w:r>
      <w:r>
        <w:t xml:space="preserve">, that </w:t>
      </w:r>
      <w:r w:rsidR="00746636">
        <w:t>progression free survival (</w:t>
      </w:r>
      <w:r>
        <w:t>PFS</w:t>
      </w:r>
      <w:r w:rsidR="00746636">
        <w:t>)</w:t>
      </w:r>
      <w:r>
        <w:t xml:space="preserve"> was numerically higher for zanubrutinib than ibrutinib, there was no difference in overall survival, and that health-related quality of life was similar. </w:t>
      </w:r>
    </w:p>
    <w:p w14:paraId="2BB8E434" w14:textId="64831266" w:rsidR="00EE68A2" w:rsidRPr="00EE68A2" w:rsidRDefault="00FB5751" w:rsidP="00D12BAD">
      <w:pPr>
        <w:widowControl w:val="0"/>
        <w:numPr>
          <w:ilvl w:val="1"/>
          <w:numId w:val="1"/>
        </w:numPr>
        <w:spacing w:after="120"/>
        <w:ind w:left="720" w:hanging="720"/>
        <w:rPr>
          <w:rFonts w:asciiTheme="minorHAnsi" w:hAnsiTheme="minorHAnsi"/>
          <w:snapToGrid w:val="0"/>
          <w:lang w:val="en-GB" w:eastAsia="en-US"/>
        </w:rPr>
      </w:pPr>
      <w:r>
        <w:t xml:space="preserve">The PBAC noted that </w:t>
      </w:r>
      <w:r w:rsidR="00746636">
        <w:t>treatment emergent adverse events (</w:t>
      </w:r>
      <w:r>
        <w:t>TEAEs</w:t>
      </w:r>
      <w:r w:rsidR="00746636">
        <w:t>)</w:t>
      </w:r>
      <w:r>
        <w:t xml:space="preserve"> of Grade 3 or above, </w:t>
      </w:r>
      <w:r w:rsidR="00466862">
        <w:t>s</w:t>
      </w:r>
      <w:r>
        <w:t xml:space="preserve">erious TEAEs, </w:t>
      </w:r>
      <w:r w:rsidR="00886ABB">
        <w:t xml:space="preserve">and </w:t>
      </w:r>
      <w:r>
        <w:t>treatment-related adverse events</w:t>
      </w:r>
      <w:r w:rsidR="00886ABB">
        <w:t xml:space="preserve">, </w:t>
      </w:r>
      <w:r>
        <w:t xml:space="preserve">were numerically lower in patients treated with zanubrutinib compared to ibrutinib. </w:t>
      </w:r>
    </w:p>
    <w:p w14:paraId="17BE682E" w14:textId="121613F4" w:rsidR="00EE68A2" w:rsidRDefault="0098449E" w:rsidP="00D12BAD">
      <w:pPr>
        <w:widowControl w:val="0"/>
        <w:numPr>
          <w:ilvl w:val="1"/>
          <w:numId w:val="1"/>
        </w:numPr>
        <w:spacing w:after="120"/>
        <w:ind w:left="720" w:hanging="720"/>
        <w:rPr>
          <w:rFonts w:asciiTheme="minorHAnsi" w:hAnsiTheme="minorHAnsi"/>
          <w:snapToGrid w:val="0"/>
          <w:lang w:val="en-GB" w:eastAsia="en-US"/>
        </w:rPr>
      </w:pPr>
      <w:r w:rsidRPr="00886ABB">
        <w:rPr>
          <w:rFonts w:asciiTheme="minorHAnsi" w:hAnsiTheme="minorHAnsi"/>
          <w:snapToGrid w:val="0"/>
          <w:lang w:val="en-GB" w:eastAsia="en-US"/>
        </w:rPr>
        <w:t xml:space="preserve">The PBAC noted the transitivity issues associated with the </w:t>
      </w:r>
      <w:r w:rsidR="00DE5EC9">
        <w:rPr>
          <w:rFonts w:asciiTheme="minorHAnsi" w:hAnsiTheme="minorHAnsi"/>
          <w:snapToGrid w:val="0"/>
          <w:lang w:val="en-GB" w:eastAsia="en-US"/>
        </w:rPr>
        <w:t xml:space="preserve">Bucher method </w:t>
      </w:r>
      <w:r w:rsidRPr="00886ABB">
        <w:rPr>
          <w:rFonts w:asciiTheme="minorHAnsi" w:hAnsiTheme="minorHAnsi"/>
          <w:snapToGrid w:val="0"/>
          <w:lang w:val="en-GB" w:eastAsia="en-US"/>
        </w:rPr>
        <w:t>indirect treatment comparison of zanubrutinib to acalabrutinib</w:t>
      </w:r>
      <w:r w:rsidR="006826B7" w:rsidRPr="00886ABB">
        <w:rPr>
          <w:rFonts w:asciiTheme="minorHAnsi" w:hAnsiTheme="minorHAnsi"/>
          <w:snapToGrid w:val="0"/>
          <w:lang w:val="en-GB" w:eastAsia="en-US"/>
        </w:rPr>
        <w:t>, that the MAIC was based on individual patient data from the ALPINE trial and published data from the ELEVATE-RR trial, that selected high risk patients only were selected from the ALPINE trial</w:t>
      </w:r>
      <w:r w:rsidR="00F56EEC" w:rsidRPr="00886ABB">
        <w:rPr>
          <w:rFonts w:asciiTheme="minorHAnsi" w:hAnsiTheme="minorHAnsi"/>
          <w:snapToGrid w:val="0"/>
          <w:lang w:val="en-GB" w:eastAsia="en-US"/>
        </w:rPr>
        <w:t xml:space="preserve"> and that there was no statistically significant difference in PFS between zanubrutinib and acalabrutinib in the matching models. </w:t>
      </w:r>
      <w:r w:rsidR="000D6F50">
        <w:rPr>
          <w:rFonts w:asciiTheme="minorHAnsi" w:hAnsiTheme="minorHAnsi"/>
          <w:snapToGrid w:val="0"/>
          <w:lang w:val="en-GB" w:eastAsia="en-US"/>
        </w:rPr>
        <w:t xml:space="preserve">The PBAC noted that while there was a large degree of uncertainty based on these issues, that ESC had considered the evidence sufficient to establish non-inferiority of zanubrutinib compared to acalabrutinib for the outcomes of PFS and </w:t>
      </w:r>
      <w:r w:rsidR="00746636">
        <w:rPr>
          <w:rFonts w:asciiTheme="minorHAnsi" w:hAnsiTheme="minorHAnsi"/>
          <w:snapToGrid w:val="0"/>
          <w:lang w:val="en-GB" w:eastAsia="en-US"/>
        </w:rPr>
        <w:t>overall survival</w:t>
      </w:r>
      <w:r w:rsidR="000D6F50">
        <w:rPr>
          <w:rFonts w:asciiTheme="minorHAnsi" w:hAnsiTheme="minorHAnsi"/>
          <w:snapToGrid w:val="0"/>
          <w:lang w:val="en-GB" w:eastAsia="en-US"/>
        </w:rPr>
        <w:t>.</w:t>
      </w:r>
    </w:p>
    <w:p w14:paraId="67BD5B5D" w14:textId="6ED24D0A" w:rsidR="00EE68A2" w:rsidRDefault="00886ABB" w:rsidP="00D12BAD">
      <w:pPr>
        <w:widowControl w:val="0"/>
        <w:numPr>
          <w:ilvl w:val="1"/>
          <w:numId w:val="1"/>
        </w:numPr>
        <w:spacing w:after="120"/>
        <w:ind w:left="720" w:hanging="720"/>
        <w:rPr>
          <w:rFonts w:asciiTheme="minorHAnsi" w:hAnsiTheme="minorHAnsi"/>
          <w:snapToGrid w:val="0"/>
          <w:lang w:val="en-GB" w:eastAsia="en-US"/>
        </w:rPr>
      </w:pPr>
      <w:r w:rsidRPr="00886ABB">
        <w:rPr>
          <w:rFonts w:asciiTheme="minorHAnsi" w:hAnsiTheme="minorHAnsi"/>
          <w:snapToGrid w:val="0"/>
          <w:lang w:val="en-GB" w:eastAsia="en-US"/>
        </w:rPr>
        <w:t xml:space="preserve">The PBAC noted that </w:t>
      </w:r>
      <w:r w:rsidR="000D6F50">
        <w:rPr>
          <w:rFonts w:asciiTheme="minorHAnsi" w:hAnsiTheme="minorHAnsi"/>
          <w:snapToGrid w:val="0"/>
          <w:lang w:val="en-GB" w:eastAsia="en-US"/>
        </w:rPr>
        <w:t xml:space="preserve">the adverse events of atrial fibrillation, diarrhoea and muscle spasms appeared to be lower in patients treated with </w:t>
      </w:r>
      <w:r w:rsidRPr="00886ABB">
        <w:rPr>
          <w:rFonts w:asciiTheme="minorHAnsi" w:hAnsiTheme="minorHAnsi"/>
          <w:snapToGrid w:val="0"/>
          <w:lang w:val="en-GB" w:eastAsia="en-US"/>
        </w:rPr>
        <w:t xml:space="preserve">both zanubrutinib and acalabrutinib </w:t>
      </w:r>
      <w:r w:rsidR="000D6F50">
        <w:rPr>
          <w:rFonts w:asciiTheme="minorHAnsi" w:hAnsiTheme="minorHAnsi"/>
          <w:snapToGrid w:val="0"/>
          <w:lang w:val="en-GB" w:eastAsia="en-US"/>
        </w:rPr>
        <w:t xml:space="preserve">than in patients treated with </w:t>
      </w:r>
      <w:r w:rsidRPr="00886ABB">
        <w:rPr>
          <w:rFonts w:asciiTheme="minorHAnsi" w:hAnsiTheme="minorHAnsi"/>
          <w:snapToGrid w:val="0"/>
          <w:lang w:val="en-GB" w:eastAsia="en-US"/>
        </w:rPr>
        <w:t xml:space="preserve">ibrutinib. </w:t>
      </w:r>
    </w:p>
    <w:p w14:paraId="6A2B8745" w14:textId="6CEC499D" w:rsidR="000D6F50" w:rsidRPr="000D6F50" w:rsidRDefault="000D6F50" w:rsidP="000D6F50">
      <w:pPr>
        <w:pStyle w:val="COMexecsumnumberedpara"/>
        <w:rPr>
          <w:lang w:val="en-GB" w:eastAsia="en-US"/>
        </w:rPr>
      </w:pPr>
      <w:bookmarkStart w:id="58" w:name="_Hlk130482572"/>
      <w:r w:rsidRPr="000D6F50">
        <w:rPr>
          <w:lang w:val="en-GB" w:eastAsia="en-US"/>
        </w:rPr>
        <w:t xml:space="preserve">The PBAC considered that the </w:t>
      </w:r>
      <w:r w:rsidR="00160556">
        <w:rPr>
          <w:lang w:val="en-GB" w:eastAsia="en-US"/>
        </w:rPr>
        <w:t>clinical claims</w:t>
      </w:r>
      <w:r w:rsidR="00E60437">
        <w:rPr>
          <w:lang w:val="en-GB" w:eastAsia="en-US"/>
        </w:rPr>
        <w:t xml:space="preserve"> </w:t>
      </w:r>
      <w:r w:rsidR="00160556">
        <w:rPr>
          <w:lang w:val="en-GB" w:eastAsia="en-US"/>
        </w:rPr>
        <w:t>of non-inferior effectiveness and safety of</w:t>
      </w:r>
      <w:r w:rsidRPr="000D6F50">
        <w:rPr>
          <w:lang w:val="en-GB" w:eastAsia="en-US"/>
        </w:rPr>
        <w:t xml:space="preserve"> zanubrutinib</w:t>
      </w:r>
      <w:r w:rsidR="00160556">
        <w:rPr>
          <w:lang w:val="en-GB" w:eastAsia="en-US"/>
        </w:rPr>
        <w:t xml:space="preserve"> versus</w:t>
      </w:r>
      <w:r w:rsidRPr="000D6F50">
        <w:rPr>
          <w:lang w:val="en-GB" w:eastAsia="en-US"/>
        </w:rPr>
        <w:t xml:space="preserve"> ibrutinib w</w:t>
      </w:r>
      <w:r w:rsidR="00160556">
        <w:rPr>
          <w:lang w:val="en-GB" w:eastAsia="en-US"/>
        </w:rPr>
        <w:t>ere</w:t>
      </w:r>
      <w:r w:rsidRPr="000D6F50">
        <w:rPr>
          <w:lang w:val="en-GB" w:eastAsia="en-US"/>
        </w:rPr>
        <w:t xml:space="preserve"> reasonably supported by the data. </w:t>
      </w:r>
    </w:p>
    <w:p w14:paraId="0400F120" w14:textId="6E62346E" w:rsidR="00B85692" w:rsidRPr="00886ABB" w:rsidRDefault="00B85692" w:rsidP="00D12BAD">
      <w:pPr>
        <w:widowControl w:val="0"/>
        <w:numPr>
          <w:ilvl w:val="1"/>
          <w:numId w:val="1"/>
        </w:numPr>
        <w:spacing w:after="120"/>
        <w:ind w:left="720" w:hanging="720"/>
        <w:rPr>
          <w:rFonts w:asciiTheme="minorHAnsi" w:hAnsiTheme="minorHAnsi"/>
          <w:snapToGrid w:val="0"/>
          <w:lang w:val="en-GB" w:eastAsia="en-US"/>
        </w:rPr>
      </w:pPr>
      <w:r w:rsidRPr="00886ABB">
        <w:rPr>
          <w:rFonts w:asciiTheme="minorHAnsi" w:hAnsiTheme="minorHAnsi"/>
          <w:snapToGrid w:val="0"/>
          <w:lang w:val="en-GB" w:eastAsia="en-US"/>
        </w:rPr>
        <w:t xml:space="preserve">The PBAC considered that the </w:t>
      </w:r>
      <w:r w:rsidR="00160556">
        <w:rPr>
          <w:rFonts w:asciiTheme="minorHAnsi" w:hAnsiTheme="minorHAnsi"/>
          <w:snapToGrid w:val="0"/>
          <w:lang w:val="en-GB" w:eastAsia="en-US"/>
        </w:rPr>
        <w:t>clinical claims of non-inferior effectiveness and safety for zanubrutinib versus</w:t>
      </w:r>
      <w:r w:rsidRPr="00886ABB">
        <w:rPr>
          <w:rFonts w:asciiTheme="minorHAnsi" w:hAnsiTheme="minorHAnsi"/>
          <w:snapToGrid w:val="0"/>
          <w:lang w:val="en-GB" w:eastAsia="en-US"/>
        </w:rPr>
        <w:t xml:space="preserve"> acalabrutinib w</w:t>
      </w:r>
      <w:r w:rsidR="00160556">
        <w:rPr>
          <w:rFonts w:asciiTheme="minorHAnsi" w:hAnsiTheme="minorHAnsi"/>
          <w:snapToGrid w:val="0"/>
          <w:lang w:val="en-GB" w:eastAsia="en-US"/>
        </w:rPr>
        <w:t>ere</w:t>
      </w:r>
      <w:r w:rsidRPr="00886ABB">
        <w:rPr>
          <w:rFonts w:asciiTheme="minorHAnsi" w:hAnsiTheme="minorHAnsi"/>
          <w:snapToGrid w:val="0"/>
          <w:lang w:val="en-GB" w:eastAsia="en-US"/>
        </w:rPr>
        <w:t xml:space="preserve"> reasonably supported by the data, but with a high level of uncertainty.</w:t>
      </w:r>
    </w:p>
    <w:bookmarkEnd w:id="58"/>
    <w:p w14:paraId="443D8853" w14:textId="203B2CC0" w:rsidR="00896604" w:rsidRPr="00896604" w:rsidRDefault="00896604" w:rsidP="00896604">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noted that the submission had presented a </w:t>
      </w:r>
      <w:r w:rsidR="00746636">
        <w:rPr>
          <w:rFonts w:asciiTheme="minorHAnsi" w:hAnsiTheme="minorHAnsi"/>
          <w:snapToGrid w:val="0"/>
          <w:lang w:val="en-GB" w:eastAsia="en-US"/>
        </w:rPr>
        <w:t>cost-minimisation approach (</w:t>
      </w:r>
      <w:r>
        <w:rPr>
          <w:rFonts w:asciiTheme="minorHAnsi" w:hAnsiTheme="minorHAnsi"/>
          <w:snapToGrid w:val="0"/>
          <w:lang w:val="en-GB" w:eastAsia="en-US"/>
        </w:rPr>
        <w:t>CMA</w:t>
      </w:r>
      <w:r w:rsidR="00746636">
        <w:rPr>
          <w:rFonts w:asciiTheme="minorHAnsi" w:hAnsiTheme="minorHAnsi"/>
          <w:snapToGrid w:val="0"/>
          <w:lang w:val="en-GB" w:eastAsia="en-US"/>
        </w:rPr>
        <w:t>)</w:t>
      </w:r>
      <w:r>
        <w:rPr>
          <w:rFonts w:asciiTheme="minorHAnsi" w:hAnsiTheme="minorHAnsi"/>
          <w:snapToGrid w:val="0"/>
          <w:lang w:val="en-GB" w:eastAsia="en-US"/>
        </w:rPr>
        <w:t xml:space="preserve"> of zanubrutinib to ibrutinib with the proposed equi-effective doses of zanubrutinib 320 mg </w:t>
      </w:r>
      <w:r w:rsidR="00682B02">
        <w:rPr>
          <w:rFonts w:asciiTheme="minorHAnsi" w:hAnsiTheme="minorHAnsi"/>
          <w:snapToGrid w:val="0"/>
          <w:lang w:val="en-GB" w:eastAsia="en-US"/>
        </w:rPr>
        <w:t xml:space="preserve">once </w:t>
      </w:r>
      <w:r>
        <w:rPr>
          <w:rFonts w:asciiTheme="minorHAnsi" w:hAnsiTheme="minorHAnsi"/>
          <w:snapToGrid w:val="0"/>
          <w:lang w:val="en-GB" w:eastAsia="en-US"/>
        </w:rPr>
        <w:t>daily (or 160 mg twice daily) = ibrutinib 420 mg</w:t>
      </w:r>
      <w:r w:rsidR="001B1C06">
        <w:rPr>
          <w:rFonts w:asciiTheme="minorHAnsi" w:hAnsiTheme="minorHAnsi"/>
          <w:snapToGrid w:val="0"/>
          <w:lang w:val="en-GB" w:eastAsia="en-US"/>
        </w:rPr>
        <w:t xml:space="preserve"> </w:t>
      </w:r>
      <w:r w:rsidR="00682B02">
        <w:rPr>
          <w:rFonts w:asciiTheme="minorHAnsi" w:hAnsiTheme="minorHAnsi"/>
          <w:snapToGrid w:val="0"/>
          <w:lang w:val="en-GB" w:eastAsia="en-US"/>
        </w:rPr>
        <w:t xml:space="preserve">once </w:t>
      </w:r>
      <w:r w:rsidR="001B1C06">
        <w:rPr>
          <w:rFonts w:asciiTheme="minorHAnsi" w:hAnsiTheme="minorHAnsi"/>
          <w:snapToGrid w:val="0"/>
          <w:lang w:val="en-GB" w:eastAsia="en-US"/>
        </w:rPr>
        <w:t>daily</w:t>
      </w:r>
      <w:r>
        <w:rPr>
          <w:rFonts w:asciiTheme="minorHAnsi" w:hAnsiTheme="minorHAnsi"/>
          <w:snapToGrid w:val="0"/>
          <w:lang w:val="en-GB" w:eastAsia="en-US"/>
        </w:rPr>
        <w:t xml:space="preserve">, that since follow-up in the trial was insufficient to derive true mean treatment durations the CMA was based on equivalent durations of treatment, and that the cost of </w:t>
      </w:r>
      <w:r w:rsidR="00E60437">
        <w:rPr>
          <w:rFonts w:asciiTheme="minorHAnsi" w:hAnsiTheme="minorHAnsi"/>
          <w:snapToGrid w:val="0"/>
          <w:lang w:val="en-GB" w:eastAsia="en-US"/>
        </w:rPr>
        <w:t xml:space="preserve">treating </w:t>
      </w:r>
      <w:r>
        <w:rPr>
          <w:rFonts w:asciiTheme="minorHAnsi" w:hAnsiTheme="minorHAnsi"/>
          <w:snapToGrid w:val="0"/>
          <w:lang w:val="en-GB" w:eastAsia="en-US"/>
        </w:rPr>
        <w:t xml:space="preserve">adverse events had been excluded from the CMA. </w:t>
      </w:r>
      <w:r w:rsidRPr="00896604">
        <w:rPr>
          <w:rFonts w:asciiTheme="minorHAnsi" w:hAnsiTheme="minorHAnsi"/>
          <w:snapToGrid w:val="0"/>
          <w:lang w:val="en-GB" w:eastAsia="en-US"/>
        </w:rPr>
        <w:t>The PBAC noted that the sponsor had agreed to match the effective price for ibrutinib.</w:t>
      </w:r>
    </w:p>
    <w:p w14:paraId="09D0DA97" w14:textId="56480BD0" w:rsidR="00896604" w:rsidRDefault="00896604" w:rsidP="00896604">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 xml:space="preserve">The PBAC considered that the submission’s approach to the CMA and the proposed equi-effective doses were appropriate. </w:t>
      </w:r>
    </w:p>
    <w:p w14:paraId="4141B21C" w14:textId="6A3FB540" w:rsidR="00732694" w:rsidRPr="00732694" w:rsidRDefault="00A503A1" w:rsidP="00896604">
      <w:pPr>
        <w:widowControl w:val="0"/>
        <w:numPr>
          <w:ilvl w:val="1"/>
          <w:numId w:val="1"/>
        </w:numPr>
        <w:spacing w:after="120"/>
        <w:ind w:left="720" w:hanging="720"/>
        <w:rPr>
          <w:rFonts w:asciiTheme="minorHAnsi" w:hAnsiTheme="minorHAnsi"/>
          <w:snapToGrid w:val="0"/>
          <w:lang w:val="en-GB" w:eastAsia="en-US"/>
        </w:rPr>
      </w:pPr>
      <w:r>
        <w:t>The PBAC noted equi-effective doses for zanubrutinib and acalabrutinib were not provided in the submission. The PBAC considered it would be reasonable to use the recommended doses (zanubrutinib 320 mg once daily or 160 mg twice daily and acalabrutinib 100 mg twice daily</w:t>
      </w:r>
      <w:r w:rsidR="00732694">
        <w:t>) and</w:t>
      </w:r>
      <w:r>
        <w:t xml:space="preserve"> </w:t>
      </w:r>
      <w:r w:rsidR="00732694">
        <w:t>based on the CMA as outlined in paragraph 7.16, the cost of zanubrutinib should be no more than for acalabrutinib.</w:t>
      </w:r>
    </w:p>
    <w:p w14:paraId="20BA633D" w14:textId="07330B68" w:rsidR="009F6B69" w:rsidRDefault="009F6B69" w:rsidP="00D12BAD">
      <w:pPr>
        <w:widowControl w:val="0"/>
        <w:numPr>
          <w:ilvl w:val="1"/>
          <w:numId w:val="1"/>
        </w:numPr>
        <w:spacing w:after="120"/>
        <w:ind w:left="720" w:hanging="720"/>
        <w:rPr>
          <w:rFonts w:asciiTheme="minorHAnsi" w:hAnsiTheme="minorHAnsi"/>
          <w:snapToGrid w:val="0"/>
          <w:lang w:val="en-GB" w:eastAsia="en-US"/>
        </w:rPr>
      </w:pPr>
      <w:r w:rsidRPr="002E5FB2">
        <w:rPr>
          <w:rFonts w:asciiTheme="minorHAnsi" w:hAnsiTheme="minorHAnsi"/>
          <w:snapToGrid w:val="0"/>
          <w:lang w:val="en-GB" w:eastAsia="en-US"/>
        </w:rPr>
        <w:t xml:space="preserve">The PBAC noted that the submission had used a market share approach to derive the expected utilisation and the cost to the PBS/RPBS over 6 years and considered that this was appropriate. </w:t>
      </w:r>
      <w:r w:rsidR="002E5FB2" w:rsidRPr="002E5FB2">
        <w:rPr>
          <w:rFonts w:asciiTheme="minorHAnsi" w:hAnsiTheme="minorHAnsi"/>
          <w:snapToGrid w:val="0"/>
          <w:lang w:val="en-GB" w:eastAsia="en-US"/>
        </w:rPr>
        <w:t xml:space="preserve">The PBAC noted that the submission had assumed that zanubrutinib would </w:t>
      </w:r>
      <w:r w:rsidR="00FC73CC">
        <w:rPr>
          <w:rFonts w:asciiTheme="minorHAnsi" w:hAnsiTheme="minorHAnsi"/>
          <w:snapToGrid w:val="0"/>
          <w:lang w:val="en-GB" w:eastAsia="en-US"/>
        </w:rPr>
        <w:t>re</w:t>
      </w:r>
      <w:r w:rsidR="002E5FB2" w:rsidRPr="002E5FB2">
        <w:rPr>
          <w:rFonts w:asciiTheme="minorHAnsi" w:hAnsiTheme="minorHAnsi"/>
          <w:snapToGrid w:val="0"/>
          <w:lang w:val="en-GB" w:eastAsia="en-US"/>
        </w:rPr>
        <w:t xml:space="preserve">place 5% of ibrutinib scrips in Year 1 of listing, increasing to </w:t>
      </w:r>
      <w:r w:rsidR="00FC73CC">
        <w:rPr>
          <w:rFonts w:asciiTheme="minorHAnsi" w:hAnsiTheme="minorHAnsi"/>
          <w:snapToGrid w:val="0"/>
          <w:lang w:val="en-GB" w:eastAsia="en-US"/>
        </w:rPr>
        <w:t>re</w:t>
      </w:r>
      <w:r w:rsidR="002E5FB2" w:rsidRPr="002E5FB2">
        <w:rPr>
          <w:rFonts w:asciiTheme="minorHAnsi" w:hAnsiTheme="minorHAnsi"/>
          <w:snapToGrid w:val="0"/>
          <w:lang w:val="en-GB" w:eastAsia="en-US"/>
        </w:rPr>
        <w:t xml:space="preserve">placement of 15% of ibrutinib scripts in Year 6, but considered this estimate to be uncertain. </w:t>
      </w:r>
      <w:r w:rsidRPr="002E5FB2">
        <w:rPr>
          <w:rFonts w:asciiTheme="minorHAnsi" w:hAnsiTheme="minorHAnsi"/>
          <w:snapToGrid w:val="0"/>
          <w:lang w:val="en-GB" w:eastAsia="en-US"/>
        </w:rPr>
        <w:t xml:space="preserve">The PBAC noted the submission had estimated script numbers for ibrutinib for the treatment of relapsed and refractory CLL/SLL and assumed that current utilisation would grow by 5.21% per year. </w:t>
      </w:r>
      <w:r w:rsidR="002E5FB2" w:rsidRPr="002E5FB2">
        <w:rPr>
          <w:rFonts w:asciiTheme="minorHAnsi" w:hAnsiTheme="minorHAnsi"/>
          <w:snapToGrid w:val="0"/>
          <w:lang w:val="en-GB" w:eastAsia="en-US"/>
        </w:rPr>
        <w:t>However, t</w:t>
      </w:r>
      <w:r w:rsidRPr="002E5FB2">
        <w:rPr>
          <w:rFonts w:asciiTheme="minorHAnsi" w:hAnsiTheme="minorHAnsi"/>
          <w:snapToGrid w:val="0"/>
          <w:lang w:val="en-GB" w:eastAsia="en-US"/>
        </w:rPr>
        <w:t>he PBAC considered that based on the acalabrutinib script numbers in 2021 versus 2020 that growth in script numbers could be higher at 7.9%</w:t>
      </w:r>
      <w:r w:rsidR="002E5FB2">
        <w:rPr>
          <w:rFonts w:asciiTheme="minorHAnsi" w:hAnsiTheme="minorHAnsi"/>
          <w:snapToGrid w:val="0"/>
          <w:lang w:val="en-GB" w:eastAsia="en-US"/>
        </w:rPr>
        <w:t>, and therefore that zanubrutinib script numbers could be higher than estimated</w:t>
      </w:r>
      <w:r w:rsidRPr="002E5FB2">
        <w:rPr>
          <w:rFonts w:asciiTheme="minorHAnsi" w:hAnsiTheme="minorHAnsi"/>
          <w:snapToGrid w:val="0"/>
          <w:lang w:val="en-GB" w:eastAsia="en-US"/>
        </w:rPr>
        <w:t xml:space="preserve">. </w:t>
      </w:r>
      <w:r w:rsidR="002E5FB2" w:rsidRPr="002E5FB2">
        <w:rPr>
          <w:rFonts w:asciiTheme="minorHAnsi" w:hAnsiTheme="minorHAnsi"/>
          <w:snapToGrid w:val="0"/>
          <w:lang w:val="en-GB" w:eastAsia="en-US"/>
        </w:rPr>
        <w:t xml:space="preserve">The PBAC considered that zanubrutinib </w:t>
      </w:r>
      <w:r w:rsidR="00896585">
        <w:rPr>
          <w:rFonts w:asciiTheme="minorHAnsi" w:hAnsiTheme="minorHAnsi"/>
          <w:snapToGrid w:val="0"/>
          <w:lang w:val="en-GB" w:eastAsia="en-US"/>
        </w:rPr>
        <w:t>would</w:t>
      </w:r>
      <w:r w:rsidR="002E5FB2" w:rsidRPr="002E5FB2">
        <w:rPr>
          <w:rFonts w:asciiTheme="minorHAnsi" w:hAnsiTheme="minorHAnsi"/>
          <w:snapToGrid w:val="0"/>
          <w:lang w:val="en-GB" w:eastAsia="en-US"/>
        </w:rPr>
        <w:t xml:space="preserve"> also substitute for acalabrutinib, and on th</w:t>
      </w:r>
      <w:r w:rsidR="002E5FB2">
        <w:rPr>
          <w:rFonts w:asciiTheme="minorHAnsi" w:hAnsiTheme="minorHAnsi"/>
          <w:snapToGrid w:val="0"/>
          <w:lang w:val="en-GB" w:eastAsia="en-US"/>
        </w:rPr>
        <w:t>at basis</w:t>
      </w:r>
      <w:r w:rsidR="002E5FB2" w:rsidRPr="002E5FB2">
        <w:rPr>
          <w:rFonts w:asciiTheme="minorHAnsi" w:hAnsiTheme="minorHAnsi"/>
          <w:snapToGrid w:val="0"/>
          <w:lang w:val="en-GB" w:eastAsia="en-US"/>
        </w:rPr>
        <w:t xml:space="preserve">, that script numbers for zanubrutinib might </w:t>
      </w:r>
      <w:r w:rsidR="002E5FB2">
        <w:rPr>
          <w:rFonts w:asciiTheme="minorHAnsi" w:hAnsiTheme="minorHAnsi"/>
          <w:snapToGrid w:val="0"/>
          <w:lang w:val="en-GB" w:eastAsia="en-US"/>
        </w:rPr>
        <w:t xml:space="preserve">also </w:t>
      </w:r>
      <w:r w:rsidR="002E5FB2" w:rsidRPr="002E5FB2">
        <w:rPr>
          <w:rFonts w:asciiTheme="minorHAnsi" w:hAnsiTheme="minorHAnsi"/>
          <w:snapToGrid w:val="0"/>
          <w:lang w:val="en-GB" w:eastAsia="en-US"/>
        </w:rPr>
        <w:t>be higher than estimated.</w:t>
      </w:r>
    </w:p>
    <w:p w14:paraId="6EAEDA3E" w14:textId="56A581BF" w:rsidR="002B69CA" w:rsidRPr="002B69CA" w:rsidRDefault="002B69CA" w:rsidP="002B69CA">
      <w:pPr>
        <w:pStyle w:val="COMexecsumnumberedpara"/>
        <w:rPr>
          <w:rFonts w:ascii="Calibri" w:hAnsi="Calibri"/>
          <w:snapToGrid/>
        </w:rPr>
      </w:pPr>
      <w:r w:rsidRPr="002B69CA">
        <w:rPr>
          <w:rFonts w:ascii="Calibri" w:hAnsi="Calibri"/>
          <w:snapToGrid/>
        </w:rPr>
        <w:t>The PBAC noted that zanubrutinib for treatment naïve CLL/SLL was recommended at this same meeting and considered that use of zanubrutinib in treatment naïve disease would likely reduce use of BTK inhibitors, including zanubrutinib, in relapsed/refractory disease.</w:t>
      </w:r>
    </w:p>
    <w:p w14:paraId="2FAEB8C7" w14:textId="48211C3C" w:rsidR="003B442E" w:rsidRPr="009F1D63" w:rsidRDefault="009F1D63" w:rsidP="009F1D63">
      <w:pPr>
        <w:pStyle w:val="COMexecsumnumberedpara"/>
        <w:rPr>
          <w:rFonts w:ascii="Calibri" w:hAnsi="Calibri"/>
          <w:snapToGrid/>
        </w:rPr>
      </w:pPr>
      <w:r w:rsidRPr="009F1D63">
        <w:rPr>
          <w:rFonts w:ascii="Calibri" w:hAnsi="Calibri"/>
          <w:snapToGrid/>
        </w:rPr>
        <w:t xml:space="preserve">The PBAC noted that the financial estimates assumed that approximately 50 patients would be grandfathered from the sponsor’s compassionate access program, and that zanubrutinib was not expected to grow the market. </w:t>
      </w:r>
      <w:r w:rsidR="003B442E">
        <w:t xml:space="preserve">The PBAC considered the grandfathered patients would already be accounted for given the </w:t>
      </w:r>
      <w:r w:rsidR="00E60437">
        <w:t xml:space="preserve">market share </w:t>
      </w:r>
      <w:r w:rsidR="003B442E">
        <w:t>approach used and should not be accounted for separately.</w:t>
      </w:r>
    </w:p>
    <w:p w14:paraId="78FEA218" w14:textId="5DFB14E8" w:rsidR="000D528C" w:rsidRDefault="000D528C" w:rsidP="005431A6">
      <w:pPr>
        <w:pStyle w:val="COMexecsumnumberedpara"/>
        <w:rPr>
          <w:lang w:val="en-GB" w:eastAsia="en-US"/>
        </w:rPr>
      </w:pPr>
      <w:r>
        <w:rPr>
          <w:lang w:val="en-GB" w:eastAsia="en-US"/>
        </w:rPr>
        <w:t>The PBAC noted that in the pre-PBAC response it was estimated that patient numbers, and therefore script numbers would increase by approximately 30% due to the removal of the requirement for patients to be ‘inappropriate for fludarabine-based chemoimmunotherapy’. However, the PBAC considered that the use of fludarabine-based chemoimmunotherapy in CLL is</w:t>
      </w:r>
      <w:r w:rsidRPr="00C614D7">
        <w:rPr>
          <w:lang w:val="en-GB" w:eastAsia="en-US"/>
        </w:rPr>
        <w:t xml:space="preserve"> low and declining </w:t>
      </w:r>
      <w:r>
        <w:rPr>
          <w:lang w:val="en-GB" w:eastAsia="en-US"/>
        </w:rPr>
        <w:t>and</w:t>
      </w:r>
      <w:r w:rsidRPr="00C614D7">
        <w:rPr>
          <w:lang w:val="en-GB" w:eastAsia="en-US"/>
        </w:rPr>
        <w:t xml:space="preserve"> </w:t>
      </w:r>
      <w:r>
        <w:rPr>
          <w:lang w:val="en-GB" w:eastAsia="en-US"/>
        </w:rPr>
        <w:t>a</w:t>
      </w:r>
      <w:r w:rsidRPr="00C614D7">
        <w:rPr>
          <w:lang w:val="en-GB" w:eastAsia="en-US"/>
        </w:rPr>
        <w:t xml:space="preserve">s such, there would be no </w:t>
      </w:r>
      <w:r>
        <w:rPr>
          <w:lang w:val="en-GB" w:eastAsia="en-US"/>
        </w:rPr>
        <w:t>increase in use</w:t>
      </w:r>
      <w:r w:rsidRPr="00C614D7">
        <w:rPr>
          <w:lang w:val="en-GB" w:eastAsia="en-US"/>
        </w:rPr>
        <w:t xml:space="preserve"> associated with the restriction change.</w:t>
      </w:r>
    </w:p>
    <w:p w14:paraId="045DFF7F" w14:textId="144F4347" w:rsidR="00247500" w:rsidRDefault="00247500" w:rsidP="005431A6">
      <w:pPr>
        <w:pStyle w:val="COMexecsumnumberedpara"/>
        <w:rPr>
          <w:lang w:val="en-GB" w:eastAsia="en-US"/>
        </w:rPr>
      </w:pPr>
      <w:r>
        <w:rPr>
          <w:lang w:val="en-GB" w:eastAsia="en-US"/>
        </w:rPr>
        <w:t xml:space="preserve">In terms of the estimated financial impact, the PBAC considered that </w:t>
      </w:r>
      <w:r w:rsidR="00E60437">
        <w:rPr>
          <w:lang w:val="en-GB" w:eastAsia="en-US"/>
        </w:rPr>
        <w:t xml:space="preserve">as </w:t>
      </w:r>
      <w:r>
        <w:rPr>
          <w:lang w:val="en-GB" w:eastAsia="en-US"/>
        </w:rPr>
        <w:t xml:space="preserve">zanubrutinib would </w:t>
      </w:r>
      <w:r w:rsidR="00E60437">
        <w:rPr>
          <w:lang w:val="en-GB" w:eastAsia="en-US"/>
        </w:rPr>
        <w:t xml:space="preserve">substitute for </w:t>
      </w:r>
      <w:r>
        <w:rPr>
          <w:lang w:val="en-GB" w:eastAsia="en-US"/>
        </w:rPr>
        <w:t>ibrutinib</w:t>
      </w:r>
      <w:r w:rsidR="00E60437">
        <w:rPr>
          <w:lang w:val="en-GB" w:eastAsia="en-US"/>
        </w:rPr>
        <w:t xml:space="preserve"> and acalabrutinib, and given listing is on a cost-minimisation basis, </w:t>
      </w:r>
      <w:r w:rsidR="00FF1EBD">
        <w:rPr>
          <w:lang w:val="en-GB" w:eastAsia="en-US"/>
        </w:rPr>
        <w:t>there would be no additional cost to the PBS/RPBS</w:t>
      </w:r>
      <w:r>
        <w:rPr>
          <w:lang w:val="en-GB" w:eastAsia="en-US"/>
        </w:rPr>
        <w:t>.</w:t>
      </w:r>
    </w:p>
    <w:p w14:paraId="0EEDE896" w14:textId="66C7C6E9" w:rsidR="00C2708B" w:rsidRDefault="006C4B9B" w:rsidP="00206282">
      <w:pPr>
        <w:pStyle w:val="COMexecsumnumberedpara"/>
        <w:rPr>
          <w:lang w:val="en-GB" w:eastAsia="en-US"/>
        </w:rPr>
      </w:pPr>
      <w:r w:rsidRPr="009F171F">
        <w:rPr>
          <w:iCs/>
        </w:rPr>
        <w:t xml:space="preserve">The </w:t>
      </w:r>
      <w:r>
        <w:rPr>
          <w:iCs/>
        </w:rPr>
        <w:t>PBAC</w:t>
      </w:r>
      <w:r w:rsidRPr="009F171F">
        <w:rPr>
          <w:iCs/>
        </w:rPr>
        <w:t xml:space="preserve"> noted that</w:t>
      </w:r>
      <w:r>
        <w:rPr>
          <w:iCs/>
        </w:rPr>
        <w:t xml:space="preserve"> in order for the </w:t>
      </w:r>
      <w:r w:rsidRPr="009F171F">
        <w:rPr>
          <w:iCs/>
        </w:rPr>
        <w:t xml:space="preserve">cost per patient </w:t>
      </w:r>
      <w:r>
        <w:rPr>
          <w:iCs/>
        </w:rPr>
        <w:t xml:space="preserve">for zanubrutinib </w:t>
      </w:r>
      <w:r w:rsidRPr="009F171F">
        <w:rPr>
          <w:iCs/>
        </w:rPr>
        <w:t xml:space="preserve">in relapsed/refractory </w:t>
      </w:r>
      <w:r w:rsidR="00575C7E">
        <w:rPr>
          <w:iCs/>
        </w:rPr>
        <w:t xml:space="preserve">disease </w:t>
      </w:r>
      <w:r>
        <w:rPr>
          <w:iCs/>
        </w:rPr>
        <w:t>to be</w:t>
      </w:r>
      <w:r w:rsidRPr="009F171F">
        <w:rPr>
          <w:iCs/>
        </w:rPr>
        <w:t xml:space="preserve"> equivalent to that for the </w:t>
      </w:r>
      <w:r w:rsidR="00356F97">
        <w:rPr>
          <w:iCs/>
        </w:rPr>
        <w:t>alternative</w:t>
      </w:r>
      <w:r w:rsidRPr="009F171F">
        <w:rPr>
          <w:iCs/>
        </w:rPr>
        <w:t xml:space="preserve"> therapies it would be appropriate for zanubrutinib to join the current RSA in place for relapsed/refractory CLL/SLL. </w:t>
      </w:r>
    </w:p>
    <w:p w14:paraId="781CF7ED" w14:textId="77777777" w:rsidR="006C5C56" w:rsidRPr="00B835BD" w:rsidRDefault="006C5C56" w:rsidP="006C5C56">
      <w:pPr>
        <w:widowControl w:val="0"/>
        <w:numPr>
          <w:ilvl w:val="1"/>
          <w:numId w:val="1"/>
        </w:numPr>
        <w:spacing w:after="120"/>
        <w:ind w:left="720" w:hanging="720"/>
        <w:rPr>
          <w:rFonts w:asciiTheme="minorHAnsi" w:hAnsiTheme="minorHAnsi" w:cs="Times New Roman"/>
          <w:b/>
          <w:bCs/>
          <w:lang w:val="en-GB" w:eastAsia="en-US"/>
        </w:rPr>
      </w:pPr>
      <w:r w:rsidRPr="00B835BD">
        <w:rPr>
          <w:rFonts w:asciiTheme="minorHAnsi" w:hAnsiTheme="minorHAnsi"/>
          <w:bCs/>
          <w:snapToGrid w:val="0"/>
          <w:lang w:val="en-GB" w:eastAsia="en-US"/>
        </w:rPr>
        <w:t>The PBAC noted th</w:t>
      </w:r>
      <w:r>
        <w:rPr>
          <w:rFonts w:asciiTheme="minorHAnsi" w:hAnsiTheme="minorHAnsi"/>
          <w:bCs/>
          <w:snapToGrid w:val="0"/>
          <w:lang w:val="en-GB" w:eastAsia="en-US"/>
        </w:rPr>
        <w:t>at</w:t>
      </w:r>
      <w:r w:rsidRPr="00B835BD">
        <w:rPr>
          <w:rFonts w:asciiTheme="minorHAnsi" w:hAnsiTheme="minorHAnsi"/>
          <w:bCs/>
          <w:snapToGrid w:val="0"/>
          <w:lang w:val="en-GB" w:eastAsia="en-US"/>
        </w:rPr>
        <w:t xml:space="preserve"> flow-on restriction changes would be required for </w:t>
      </w:r>
      <w:r>
        <w:rPr>
          <w:rFonts w:asciiTheme="minorHAnsi" w:hAnsiTheme="minorHAnsi"/>
          <w:bCs/>
          <w:snapToGrid w:val="0"/>
          <w:lang w:val="en-GB" w:eastAsia="en-US"/>
        </w:rPr>
        <w:t>other</w:t>
      </w:r>
      <w:r w:rsidRPr="00B835BD">
        <w:rPr>
          <w:rFonts w:asciiTheme="minorHAnsi" w:hAnsiTheme="minorHAnsi"/>
          <w:bCs/>
          <w:snapToGrid w:val="0"/>
          <w:lang w:val="en-GB" w:eastAsia="en-US"/>
        </w:rPr>
        <w:t xml:space="preserve"> therapies for CLL/SLL</w:t>
      </w:r>
      <w:r>
        <w:rPr>
          <w:rFonts w:asciiTheme="minorHAnsi" w:hAnsiTheme="minorHAnsi"/>
          <w:bCs/>
          <w:snapToGrid w:val="0"/>
          <w:lang w:val="en-GB" w:eastAsia="en-US"/>
        </w:rPr>
        <w:t xml:space="preserve"> to ensure the therapies are only prescribed in accordance with the iwCLL guidance (latest version) in relation to when to prescribe drug treatment for this condition/when to monitor the patient without therapy</w:t>
      </w:r>
      <w:r w:rsidRPr="00B835BD">
        <w:rPr>
          <w:rFonts w:asciiTheme="minorHAnsi" w:hAnsiTheme="minorHAnsi"/>
          <w:bCs/>
          <w:snapToGrid w:val="0"/>
          <w:lang w:val="en-GB" w:eastAsia="en-US"/>
        </w:rPr>
        <w:t xml:space="preserve">.   </w:t>
      </w:r>
    </w:p>
    <w:p w14:paraId="253FBC01" w14:textId="378FF432" w:rsidR="002310FE" w:rsidRPr="00A00967" w:rsidRDefault="002310FE" w:rsidP="002310FE">
      <w:pPr>
        <w:widowControl w:val="0"/>
        <w:numPr>
          <w:ilvl w:val="1"/>
          <w:numId w:val="1"/>
        </w:numPr>
        <w:spacing w:after="120"/>
        <w:ind w:left="720" w:hanging="720"/>
        <w:rPr>
          <w:rFonts w:asciiTheme="minorHAnsi" w:hAnsiTheme="minorHAnsi" w:cs="Times New Roman"/>
          <w:b/>
          <w:bCs/>
          <w:lang w:val="en-GB" w:eastAsia="en-US"/>
        </w:rPr>
      </w:pPr>
      <w:r w:rsidRPr="00A00967">
        <w:rPr>
          <w:rFonts w:asciiTheme="minorHAnsi" w:hAnsiTheme="minorHAnsi" w:cstheme="minorHAnsi"/>
          <w:lang w:val="en-GB" w:eastAsia="en-US"/>
        </w:rPr>
        <w:t xml:space="preserve">The PBAC noted that its recommendation was on a cost-minimisation basis and advised that, because </w:t>
      </w:r>
      <w:r>
        <w:rPr>
          <w:rFonts w:asciiTheme="minorHAnsi" w:hAnsiTheme="minorHAnsi" w:cstheme="minorHAnsi"/>
          <w:lang w:val="en-GB" w:eastAsia="en-US"/>
        </w:rPr>
        <w:t>zanubrutinib</w:t>
      </w:r>
      <w:r w:rsidRPr="00A00967">
        <w:rPr>
          <w:rFonts w:asciiTheme="minorHAnsi" w:hAnsiTheme="minorHAnsi" w:cstheme="minorHAnsi"/>
          <w:lang w:val="en-GB" w:eastAsia="en-US"/>
        </w:rPr>
        <w:t xml:space="preserve"> is not expected to provide a substantial</w:t>
      </w:r>
      <w:r w:rsidRPr="00A00967">
        <w:rPr>
          <w:rFonts w:asciiTheme="minorHAnsi" w:hAnsiTheme="minorHAnsi" w:cs="Times New Roman"/>
          <w:bCs/>
          <w:lang w:val="en-GB" w:eastAsia="en-US"/>
        </w:rPr>
        <w:t xml:space="preserve"> and clinically relevant improvement in efficacy, or reduction of toxicity, over </w:t>
      </w:r>
      <w:r>
        <w:rPr>
          <w:rFonts w:asciiTheme="minorHAnsi" w:hAnsiTheme="minorHAnsi" w:cs="Times New Roman"/>
          <w:bCs/>
          <w:lang w:val="en-GB" w:eastAsia="en-US"/>
        </w:rPr>
        <w:t>ibrutinib or acalabrutinib</w:t>
      </w:r>
      <w:r w:rsidRPr="00A00967">
        <w:rPr>
          <w:rFonts w:asciiTheme="minorHAnsi" w:hAnsiTheme="minorHAnsi" w:cs="Times New Roman"/>
          <w:bCs/>
          <w:lang w:val="en-GB" w:eastAsia="en-US"/>
        </w:rPr>
        <w:t xml:space="preserve">, or not expected to address a high and urgent unmet clinical need given the presence of an alternative therapy, the criteria prescribed by the </w:t>
      </w:r>
      <w:r w:rsidRPr="00A00967">
        <w:rPr>
          <w:rFonts w:asciiTheme="minorHAnsi" w:hAnsiTheme="minorHAnsi" w:cs="Times New Roman"/>
          <w:bCs/>
          <w:i/>
          <w:lang w:val="en-GB" w:eastAsia="en-US"/>
        </w:rPr>
        <w:t>National Health (Pharmaceuticals and Vaccines – Cost Recovery) Regulations 2022</w:t>
      </w:r>
      <w:r w:rsidRPr="00A00967">
        <w:rPr>
          <w:rFonts w:asciiTheme="minorHAnsi" w:hAnsiTheme="minorHAnsi" w:cs="Times New Roman"/>
          <w:bCs/>
          <w:lang w:val="en-GB" w:eastAsia="en-US"/>
        </w:rPr>
        <w:t xml:space="preserve"> for Pricing Pathway A were not met.</w:t>
      </w:r>
    </w:p>
    <w:p w14:paraId="191C2B9C" w14:textId="77777777" w:rsidR="002310FE" w:rsidRPr="00BE5416" w:rsidRDefault="002310FE" w:rsidP="002310FE">
      <w:pPr>
        <w:widowControl w:val="0"/>
        <w:numPr>
          <w:ilvl w:val="1"/>
          <w:numId w:val="1"/>
        </w:numPr>
        <w:spacing w:after="120"/>
        <w:ind w:left="720" w:hanging="720"/>
        <w:rPr>
          <w:rFonts w:asciiTheme="minorHAnsi" w:hAnsiTheme="minorHAnsi"/>
          <w:b/>
          <w:bCs/>
          <w:snapToGrid w:val="0"/>
          <w:lang w:val="en-GB" w:eastAsia="en-US"/>
        </w:rPr>
      </w:pPr>
      <w:r w:rsidRPr="00A00967">
        <w:rPr>
          <w:rFonts w:asciiTheme="minorHAnsi" w:hAnsiTheme="minorHAnsi"/>
          <w:bCs/>
          <w:snapToGrid w:val="0"/>
          <w:lang w:val="en-GB" w:eastAsia="en-US"/>
        </w:rPr>
        <w:t>The PBAC noted that this submission is not eligible for an Independent Review</w:t>
      </w:r>
      <w:r>
        <w:rPr>
          <w:rFonts w:asciiTheme="minorHAnsi" w:hAnsiTheme="minorHAnsi"/>
          <w:bCs/>
          <w:snapToGrid w:val="0"/>
          <w:lang w:val="en-GB" w:eastAsia="en-US"/>
        </w:rPr>
        <w:t xml:space="preserve"> as it received a positive recommendation</w:t>
      </w:r>
      <w:r w:rsidRPr="00A00967">
        <w:rPr>
          <w:rFonts w:asciiTheme="minorHAnsi" w:hAnsiTheme="minorHAnsi"/>
          <w:bCs/>
          <w:snapToGrid w:val="0"/>
          <w:lang w:val="en-GB" w:eastAsia="en-US"/>
        </w:rPr>
        <w:t xml:space="preserve">. </w:t>
      </w:r>
    </w:p>
    <w:p w14:paraId="4526596D" w14:textId="77777777" w:rsidR="004C7723" w:rsidRPr="004C7723" w:rsidRDefault="004C7723" w:rsidP="004C7723">
      <w:pPr>
        <w:spacing w:before="240"/>
        <w:rPr>
          <w:rFonts w:asciiTheme="minorHAnsi" w:hAnsiTheme="minorHAnsi"/>
          <w:b/>
          <w:bCs/>
          <w:snapToGrid w:val="0"/>
          <w:lang w:val="en-GB" w:eastAsia="en-US"/>
        </w:rPr>
      </w:pPr>
      <w:r w:rsidRPr="004C7723">
        <w:rPr>
          <w:rFonts w:asciiTheme="minorHAnsi" w:hAnsiTheme="minorHAnsi"/>
          <w:b/>
          <w:bCs/>
          <w:snapToGrid w:val="0"/>
          <w:lang w:val="en-GB" w:eastAsia="en-US"/>
        </w:rPr>
        <w:t>Outcome:</w:t>
      </w:r>
    </w:p>
    <w:p w14:paraId="5E440FD2" w14:textId="33B03609" w:rsidR="00BE4E54" w:rsidRPr="006647F2" w:rsidRDefault="004C7723" w:rsidP="006647F2">
      <w:pPr>
        <w:spacing w:after="120"/>
        <w:rPr>
          <w:rFonts w:asciiTheme="minorHAnsi" w:hAnsiTheme="minorHAnsi"/>
          <w:bCs/>
          <w:snapToGrid w:val="0"/>
          <w:lang w:val="en-GB" w:eastAsia="en-US"/>
        </w:rPr>
      </w:pPr>
      <w:r w:rsidRPr="004C7723">
        <w:rPr>
          <w:rFonts w:asciiTheme="minorHAnsi" w:hAnsiTheme="minorHAnsi"/>
          <w:bCs/>
          <w:snapToGrid w:val="0"/>
          <w:lang w:val="en-GB" w:eastAsia="en-US"/>
        </w:rPr>
        <w:t>Recommended</w:t>
      </w:r>
    </w:p>
    <w:bookmarkEnd w:id="56"/>
    <w:p w14:paraId="7D9B79B2" w14:textId="77777777" w:rsidR="004C7723" w:rsidRPr="00452A51" w:rsidRDefault="004C7723" w:rsidP="00452A51">
      <w:pPr>
        <w:pStyle w:val="COMH1numbered"/>
        <w:numPr>
          <w:ilvl w:val="0"/>
          <w:numId w:val="1"/>
        </w:numPr>
      </w:pPr>
      <w:r w:rsidRPr="00452A51">
        <w:t>Recommended listing</w:t>
      </w:r>
    </w:p>
    <w:bookmarkEnd w:id="57"/>
    <w:p w14:paraId="43428412" w14:textId="374CDFBF" w:rsidR="00CC3B89" w:rsidRPr="006647F2" w:rsidRDefault="00CC3B89" w:rsidP="00CC3B89">
      <w:pPr>
        <w:rPr>
          <w:rFonts w:eastAsia="Calibri" w:cs="Calibri"/>
        </w:rPr>
      </w:pPr>
      <w:r>
        <w:rPr>
          <w:rFonts w:eastAsia="Calibri" w:cs="Calibri"/>
        </w:rPr>
        <w:t>8.1</w:t>
      </w:r>
      <w:r>
        <w:rPr>
          <w:rFonts w:eastAsia="Calibri" w:cs="Calibri"/>
        </w:rPr>
        <w:tab/>
        <w:t>Add indication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533"/>
        <w:gridCol w:w="1250"/>
        <w:gridCol w:w="1526"/>
        <w:gridCol w:w="1387"/>
        <w:gridCol w:w="1111"/>
        <w:gridCol w:w="1250"/>
      </w:tblGrid>
      <w:tr w:rsidR="00CC3B89" w:rsidRPr="00CC3B89" w14:paraId="22CFB697" w14:textId="77777777" w:rsidTr="00991026">
        <w:trPr>
          <w:cantSplit/>
          <w:trHeight w:val="339"/>
        </w:trPr>
        <w:tc>
          <w:tcPr>
            <w:tcW w:w="5000" w:type="pct"/>
            <w:gridSpan w:val="7"/>
            <w:tcBorders>
              <w:top w:val="single" w:sz="4" w:space="0" w:color="auto"/>
              <w:left w:val="single" w:sz="4" w:space="0" w:color="auto"/>
              <w:bottom w:val="single" w:sz="4" w:space="0" w:color="auto"/>
              <w:right w:val="single" w:sz="4" w:space="0" w:color="auto"/>
            </w:tcBorders>
          </w:tcPr>
          <w:p w14:paraId="69D17057" w14:textId="77777777" w:rsidR="00CC3B89" w:rsidRPr="00E83A96" w:rsidRDefault="00CC3B89" w:rsidP="00D12BAD">
            <w:pPr>
              <w:keepNext/>
              <w:ind w:left="-57"/>
              <w:rPr>
                <w:rFonts w:ascii="Arial Narrow" w:hAnsi="Arial Narrow"/>
                <w:b/>
                <w:sz w:val="20"/>
                <w:szCs w:val="20"/>
              </w:rPr>
            </w:pPr>
            <w:bookmarkStart w:id="59" w:name="_Hlk129697898"/>
            <w:r w:rsidRPr="00E83A96">
              <w:rPr>
                <w:rFonts w:ascii="Arial Narrow" w:hAnsi="Arial Narrow"/>
                <w:b/>
                <w:sz w:val="20"/>
                <w:szCs w:val="20"/>
              </w:rPr>
              <w:t xml:space="preserve">Category / Program: </w:t>
            </w:r>
            <w:r w:rsidRPr="00E83A96">
              <w:rPr>
                <w:rFonts w:ascii="Arial Narrow" w:hAnsi="Arial Narrow"/>
                <w:sz w:val="20"/>
                <w:szCs w:val="20"/>
              </w:rPr>
              <w:t xml:space="preserve">GENERAL – General Schedule (Code GE) </w:t>
            </w:r>
          </w:p>
        </w:tc>
      </w:tr>
      <w:tr w:rsidR="00CC3B89" w:rsidRPr="00CC3B89" w14:paraId="29D1AE4E" w14:textId="77777777" w:rsidTr="00991026">
        <w:trPr>
          <w:cantSplit/>
          <w:trHeight w:val="471"/>
        </w:trPr>
        <w:tc>
          <w:tcPr>
            <w:tcW w:w="1383" w:type="pct"/>
            <w:gridSpan w:val="2"/>
          </w:tcPr>
          <w:p w14:paraId="159C716F" w14:textId="77777777" w:rsidR="00CC3B89" w:rsidRPr="00E83A96" w:rsidRDefault="00CC3B89" w:rsidP="00D12BAD">
            <w:pPr>
              <w:keepNext/>
              <w:ind w:left="-57"/>
              <w:rPr>
                <w:rFonts w:ascii="Arial Narrow" w:hAnsi="Arial Narrow"/>
                <w:b/>
                <w:bCs/>
                <w:sz w:val="20"/>
                <w:szCs w:val="20"/>
              </w:rPr>
            </w:pPr>
            <w:bookmarkStart w:id="60" w:name="_Hlk113624522"/>
            <w:r w:rsidRPr="00E83A96">
              <w:rPr>
                <w:rFonts w:ascii="Arial Narrow" w:hAnsi="Arial Narrow"/>
                <w:b/>
                <w:bCs/>
                <w:sz w:val="20"/>
                <w:szCs w:val="20"/>
              </w:rPr>
              <w:t>MEDICINAL PRODUCT</w:t>
            </w:r>
          </w:p>
          <w:p w14:paraId="2DB87A1B" w14:textId="77777777" w:rsidR="00CC3B89" w:rsidRPr="00E83A96" w:rsidRDefault="00CC3B89" w:rsidP="00D12BAD">
            <w:pPr>
              <w:keepNext/>
              <w:ind w:left="-57"/>
              <w:rPr>
                <w:rFonts w:ascii="Arial Narrow" w:hAnsi="Arial Narrow"/>
                <w:b/>
                <w:sz w:val="20"/>
                <w:szCs w:val="20"/>
              </w:rPr>
            </w:pPr>
            <w:r w:rsidRPr="00E83A96">
              <w:rPr>
                <w:rFonts w:ascii="Arial Narrow" w:hAnsi="Arial Narrow"/>
                <w:b/>
                <w:bCs/>
                <w:sz w:val="20"/>
                <w:szCs w:val="20"/>
              </w:rPr>
              <w:t>medicinal product pack</w:t>
            </w:r>
          </w:p>
        </w:tc>
        <w:tc>
          <w:tcPr>
            <w:tcW w:w="693" w:type="pct"/>
          </w:tcPr>
          <w:p w14:paraId="19311BED" w14:textId="77777777" w:rsidR="00CC3B89" w:rsidRPr="00E83A96" w:rsidRDefault="00CC3B89" w:rsidP="00D12BAD">
            <w:pPr>
              <w:keepNext/>
              <w:jc w:val="center"/>
              <w:rPr>
                <w:rFonts w:ascii="Arial Narrow" w:hAnsi="Arial Narrow"/>
                <w:b/>
                <w:sz w:val="20"/>
                <w:szCs w:val="20"/>
              </w:rPr>
            </w:pPr>
            <w:r w:rsidRPr="00E83A96">
              <w:rPr>
                <w:rFonts w:ascii="Arial Narrow" w:hAnsi="Arial Narrow"/>
                <w:b/>
                <w:sz w:val="20"/>
                <w:szCs w:val="20"/>
              </w:rPr>
              <w:t>PBS item code</w:t>
            </w:r>
          </w:p>
        </w:tc>
        <w:tc>
          <w:tcPr>
            <w:tcW w:w="846" w:type="pct"/>
          </w:tcPr>
          <w:p w14:paraId="0C091CD5" w14:textId="77777777" w:rsidR="00CC3B89" w:rsidRPr="00E83A96" w:rsidRDefault="00CC3B89" w:rsidP="006C5FBB">
            <w:pPr>
              <w:keepNext/>
              <w:jc w:val="center"/>
              <w:rPr>
                <w:rFonts w:ascii="Arial Narrow" w:hAnsi="Arial Narrow"/>
                <w:b/>
                <w:sz w:val="20"/>
                <w:szCs w:val="20"/>
              </w:rPr>
            </w:pPr>
            <w:r w:rsidRPr="00E83A96">
              <w:rPr>
                <w:rFonts w:ascii="Arial Narrow" w:hAnsi="Arial Narrow"/>
                <w:b/>
                <w:sz w:val="20"/>
                <w:szCs w:val="20"/>
              </w:rPr>
              <w:t>Max. qty packs</w:t>
            </w:r>
          </w:p>
        </w:tc>
        <w:tc>
          <w:tcPr>
            <w:tcW w:w="769" w:type="pct"/>
          </w:tcPr>
          <w:p w14:paraId="54A3C0AA" w14:textId="77777777" w:rsidR="00CC3B89" w:rsidRPr="00E83A96" w:rsidRDefault="00CC3B89" w:rsidP="006C5FBB">
            <w:pPr>
              <w:keepNext/>
              <w:jc w:val="center"/>
              <w:rPr>
                <w:rFonts w:ascii="Arial Narrow" w:hAnsi="Arial Narrow"/>
                <w:b/>
                <w:sz w:val="20"/>
                <w:szCs w:val="20"/>
              </w:rPr>
            </w:pPr>
            <w:r w:rsidRPr="00E83A96">
              <w:rPr>
                <w:rFonts w:ascii="Arial Narrow" w:hAnsi="Arial Narrow"/>
                <w:b/>
                <w:sz w:val="20"/>
                <w:szCs w:val="20"/>
              </w:rPr>
              <w:t>Max. qty units</w:t>
            </w:r>
          </w:p>
        </w:tc>
        <w:tc>
          <w:tcPr>
            <w:tcW w:w="616" w:type="pct"/>
          </w:tcPr>
          <w:p w14:paraId="292316D2" w14:textId="77777777" w:rsidR="00CC3B89" w:rsidRPr="00E83A96" w:rsidRDefault="00CC3B89" w:rsidP="00D12BAD">
            <w:pPr>
              <w:keepNext/>
              <w:ind w:left="-108"/>
              <w:jc w:val="center"/>
              <w:rPr>
                <w:rFonts w:ascii="Arial Narrow" w:hAnsi="Arial Narrow"/>
                <w:b/>
                <w:sz w:val="20"/>
                <w:szCs w:val="20"/>
              </w:rPr>
            </w:pPr>
            <w:r w:rsidRPr="00E83A96">
              <w:rPr>
                <w:rFonts w:ascii="Arial Narrow" w:hAnsi="Arial Narrow"/>
                <w:b/>
                <w:sz w:val="20"/>
                <w:szCs w:val="20"/>
              </w:rPr>
              <w:t>№.of Rpts</w:t>
            </w:r>
          </w:p>
        </w:tc>
        <w:tc>
          <w:tcPr>
            <w:tcW w:w="693" w:type="pct"/>
          </w:tcPr>
          <w:p w14:paraId="422F40B1" w14:textId="77777777" w:rsidR="00CC3B89" w:rsidRPr="00E83A96" w:rsidRDefault="00CC3B89" w:rsidP="00D12BAD">
            <w:pPr>
              <w:keepNext/>
              <w:rPr>
                <w:rFonts w:ascii="Arial Narrow" w:hAnsi="Arial Narrow"/>
                <w:b/>
                <w:sz w:val="20"/>
                <w:szCs w:val="20"/>
                <w:lang w:val="fr-FR"/>
              </w:rPr>
            </w:pPr>
            <w:r w:rsidRPr="00E83A96">
              <w:rPr>
                <w:rFonts w:ascii="Arial Narrow" w:hAnsi="Arial Narrow"/>
                <w:b/>
                <w:sz w:val="20"/>
                <w:szCs w:val="20"/>
              </w:rPr>
              <w:t>Available brands</w:t>
            </w:r>
          </w:p>
        </w:tc>
      </w:tr>
      <w:tr w:rsidR="00CC3B89" w:rsidRPr="00CC3B89" w14:paraId="077E0A7B" w14:textId="77777777" w:rsidTr="00991026">
        <w:trPr>
          <w:cantSplit/>
          <w:trHeight w:val="224"/>
        </w:trPr>
        <w:tc>
          <w:tcPr>
            <w:tcW w:w="5000" w:type="pct"/>
            <w:gridSpan w:val="7"/>
          </w:tcPr>
          <w:p w14:paraId="6C189E4E" w14:textId="77777777" w:rsidR="00CC3B89" w:rsidRPr="00E83A96" w:rsidRDefault="00CC3B89" w:rsidP="00D12BAD">
            <w:pPr>
              <w:keepNext/>
              <w:ind w:left="-57"/>
              <w:rPr>
                <w:rFonts w:ascii="Arial Narrow" w:hAnsi="Arial Narrow"/>
                <w:sz w:val="20"/>
                <w:szCs w:val="20"/>
              </w:rPr>
            </w:pPr>
            <w:r w:rsidRPr="00E83A96">
              <w:rPr>
                <w:rFonts w:ascii="Arial Narrow" w:hAnsi="Arial Narrow"/>
                <w:sz w:val="20"/>
                <w:szCs w:val="20"/>
              </w:rPr>
              <w:t>ZANUBRUTINIB</w:t>
            </w:r>
          </w:p>
        </w:tc>
      </w:tr>
      <w:tr w:rsidR="00CC3B89" w:rsidRPr="00CC3B89" w14:paraId="5DA90CFA" w14:textId="77777777" w:rsidTr="00991026">
        <w:trPr>
          <w:cantSplit/>
          <w:trHeight w:val="193"/>
        </w:trPr>
        <w:tc>
          <w:tcPr>
            <w:tcW w:w="1383" w:type="pct"/>
            <w:gridSpan w:val="2"/>
          </w:tcPr>
          <w:p w14:paraId="0964B2C8" w14:textId="77777777" w:rsidR="00CC3B89" w:rsidRPr="00E83A96" w:rsidRDefault="00CC3B89" w:rsidP="00D12BAD">
            <w:pPr>
              <w:keepNext/>
              <w:ind w:left="-57"/>
              <w:rPr>
                <w:rFonts w:ascii="Arial Narrow" w:hAnsi="Arial Narrow"/>
                <w:sz w:val="20"/>
                <w:szCs w:val="20"/>
              </w:rPr>
            </w:pPr>
            <w:r w:rsidRPr="00E83A96">
              <w:rPr>
                <w:rFonts w:ascii="Arial Narrow" w:hAnsi="Arial Narrow"/>
                <w:sz w:val="20"/>
                <w:szCs w:val="20"/>
              </w:rPr>
              <w:t>zanubrutinib 80 mg capsule, 120</w:t>
            </w:r>
          </w:p>
        </w:tc>
        <w:tc>
          <w:tcPr>
            <w:tcW w:w="693" w:type="pct"/>
          </w:tcPr>
          <w:p w14:paraId="772B4891" w14:textId="77777777" w:rsidR="00CC3B89" w:rsidRPr="00E83A96" w:rsidRDefault="00CC3B89" w:rsidP="00D12BAD">
            <w:pPr>
              <w:keepNext/>
              <w:jc w:val="center"/>
              <w:rPr>
                <w:rFonts w:ascii="Arial Narrow" w:hAnsi="Arial Narrow"/>
                <w:sz w:val="20"/>
                <w:szCs w:val="20"/>
              </w:rPr>
            </w:pPr>
            <w:r w:rsidRPr="00E83A96">
              <w:rPr>
                <w:rFonts w:ascii="Arial Narrow" w:hAnsi="Arial Narrow"/>
                <w:sz w:val="20"/>
                <w:szCs w:val="20"/>
              </w:rPr>
              <w:t>NEW 2</w:t>
            </w:r>
          </w:p>
          <w:p w14:paraId="528BDF6E" w14:textId="77777777" w:rsidR="00CC3B89" w:rsidRPr="00E83A96" w:rsidRDefault="00CC3B89" w:rsidP="00D12BAD">
            <w:pPr>
              <w:keepNext/>
              <w:jc w:val="center"/>
              <w:rPr>
                <w:rFonts w:ascii="Arial Narrow" w:hAnsi="Arial Narrow"/>
                <w:sz w:val="20"/>
                <w:szCs w:val="20"/>
                <w:vertAlign w:val="subscript"/>
              </w:rPr>
            </w:pPr>
            <w:r w:rsidRPr="00E83A96">
              <w:rPr>
                <w:rFonts w:ascii="Arial Narrow" w:hAnsi="Arial Narrow"/>
                <w:sz w:val="20"/>
                <w:szCs w:val="20"/>
                <w:vertAlign w:val="subscript"/>
              </w:rPr>
              <w:t>MP</w:t>
            </w:r>
          </w:p>
        </w:tc>
        <w:tc>
          <w:tcPr>
            <w:tcW w:w="846" w:type="pct"/>
          </w:tcPr>
          <w:p w14:paraId="5B07696F" w14:textId="77777777" w:rsidR="00CC3B89" w:rsidRPr="00E83A96" w:rsidRDefault="00CC3B89" w:rsidP="00D12BAD">
            <w:pPr>
              <w:keepNext/>
              <w:jc w:val="center"/>
              <w:rPr>
                <w:rFonts w:ascii="Arial Narrow" w:hAnsi="Arial Narrow"/>
                <w:sz w:val="20"/>
                <w:szCs w:val="20"/>
              </w:rPr>
            </w:pPr>
            <w:r w:rsidRPr="00E83A96">
              <w:rPr>
                <w:rFonts w:ascii="Arial Narrow" w:hAnsi="Arial Narrow"/>
                <w:sz w:val="20"/>
                <w:szCs w:val="20"/>
              </w:rPr>
              <w:t>1</w:t>
            </w:r>
          </w:p>
        </w:tc>
        <w:tc>
          <w:tcPr>
            <w:tcW w:w="769" w:type="pct"/>
          </w:tcPr>
          <w:p w14:paraId="4664A56F" w14:textId="77777777" w:rsidR="00CC3B89" w:rsidRPr="00E83A96" w:rsidRDefault="00CC3B89" w:rsidP="00D12BAD">
            <w:pPr>
              <w:keepNext/>
              <w:jc w:val="center"/>
              <w:rPr>
                <w:rFonts w:ascii="Arial Narrow" w:hAnsi="Arial Narrow"/>
                <w:sz w:val="20"/>
                <w:szCs w:val="20"/>
              </w:rPr>
            </w:pPr>
            <w:r w:rsidRPr="00E83A96">
              <w:rPr>
                <w:rFonts w:ascii="Arial Narrow" w:hAnsi="Arial Narrow"/>
                <w:sz w:val="20"/>
                <w:szCs w:val="20"/>
              </w:rPr>
              <w:t>120</w:t>
            </w:r>
          </w:p>
        </w:tc>
        <w:tc>
          <w:tcPr>
            <w:tcW w:w="616" w:type="pct"/>
          </w:tcPr>
          <w:p w14:paraId="1E2B728F" w14:textId="77777777" w:rsidR="00CC3B89" w:rsidRPr="00E83A96" w:rsidRDefault="00CC3B89" w:rsidP="00D12BAD">
            <w:pPr>
              <w:keepNext/>
              <w:jc w:val="center"/>
              <w:rPr>
                <w:rFonts w:ascii="Arial Narrow" w:hAnsi="Arial Narrow"/>
                <w:sz w:val="20"/>
                <w:szCs w:val="20"/>
              </w:rPr>
            </w:pPr>
            <w:r w:rsidRPr="00E83A96">
              <w:rPr>
                <w:rFonts w:ascii="Arial Narrow" w:hAnsi="Arial Narrow"/>
                <w:sz w:val="20"/>
                <w:szCs w:val="20"/>
              </w:rPr>
              <w:t>5</w:t>
            </w:r>
          </w:p>
        </w:tc>
        <w:tc>
          <w:tcPr>
            <w:tcW w:w="693" w:type="pct"/>
          </w:tcPr>
          <w:p w14:paraId="03D6AC9F" w14:textId="77777777" w:rsidR="00CC3B89" w:rsidRPr="00E83A96" w:rsidRDefault="00CC3B89" w:rsidP="00D12BAD">
            <w:pPr>
              <w:keepNext/>
              <w:rPr>
                <w:rFonts w:ascii="Arial Narrow" w:eastAsia="MS Gothic" w:hAnsi="Arial Narrow"/>
                <w:bCs/>
                <w:sz w:val="20"/>
                <w:szCs w:val="20"/>
              </w:rPr>
            </w:pPr>
            <w:r w:rsidRPr="00E83A96">
              <w:rPr>
                <w:rFonts w:ascii="Arial Narrow" w:eastAsia="MS Gothic" w:hAnsi="Arial Narrow"/>
                <w:bCs/>
                <w:sz w:val="20"/>
                <w:szCs w:val="20"/>
              </w:rPr>
              <w:t>Brukinsa</w:t>
            </w:r>
          </w:p>
        </w:tc>
      </w:tr>
      <w:tr w:rsidR="00CC3B89" w:rsidRPr="00CC3B89" w14:paraId="4230E68E" w14:textId="77777777" w:rsidTr="00991026">
        <w:trPr>
          <w:cantSplit/>
          <w:trHeight w:val="193"/>
        </w:trPr>
        <w:tc>
          <w:tcPr>
            <w:tcW w:w="5000" w:type="pct"/>
            <w:gridSpan w:val="7"/>
          </w:tcPr>
          <w:p w14:paraId="3963BC05" w14:textId="39A5452E" w:rsidR="00CC3B89" w:rsidRPr="00E83A96" w:rsidRDefault="00CC3B89" w:rsidP="00D12BAD">
            <w:pPr>
              <w:keepNext/>
              <w:jc w:val="right"/>
              <w:rPr>
                <w:rFonts w:ascii="Arial Narrow" w:eastAsia="MS Gothic" w:hAnsi="Arial Narrow"/>
                <w:bCs/>
                <w:sz w:val="20"/>
                <w:szCs w:val="20"/>
              </w:rPr>
            </w:pPr>
            <w:r w:rsidRPr="00E83A96">
              <w:rPr>
                <w:rFonts w:ascii="Arial Narrow" w:eastAsia="MS Gothic" w:hAnsi="Arial Narrow"/>
                <w:bCs/>
                <w:sz w:val="20"/>
                <w:szCs w:val="20"/>
              </w:rPr>
              <w:t xml:space="preserve">Safety Net Rule Penalty Applies? Yes </w:t>
            </w:r>
          </w:p>
        </w:tc>
      </w:tr>
      <w:tr w:rsidR="00CC3B89" w:rsidRPr="00CC3B89" w14:paraId="336ADC78" w14:textId="77777777" w:rsidTr="0099102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909AE26" w14:textId="77777777" w:rsidR="00CC3B89" w:rsidRPr="00E83A96" w:rsidRDefault="00CC3B89" w:rsidP="00D12BAD">
            <w:pPr>
              <w:ind w:left="-57" w:right="57"/>
              <w:rPr>
                <w:rFonts w:ascii="Arial Narrow" w:hAnsi="Arial Narrow"/>
                <w:sz w:val="20"/>
                <w:szCs w:val="20"/>
              </w:rPr>
            </w:pPr>
          </w:p>
        </w:tc>
      </w:tr>
      <w:tr w:rsidR="00CC3B89" w:rsidRPr="00CC3B89" w14:paraId="3243146A" w14:textId="77777777" w:rsidTr="00991026">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6F307D48" w14:textId="5FED750C" w:rsidR="00575C7E" w:rsidRPr="006647F2" w:rsidRDefault="00CC3B89" w:rsidP="006647F2">
            <w:pPr>
              <w:ind w:left="57" w:right="57"/>
              <w:rPr>
                <w:rFonts w:ascii="Arial Narrow" w:hAnsi="Arial Narrow"/>
                <w:bCs/>
                <w:i/>
                <w:iCs/>
                <w:sz w:val="20"/>
                <w:szCs w:val="20"/>
              </w:rPr>
            </w:pPr>
            <w:r w:rsidRPr="00E83A96">
              <w:rPr>
                <w:rFonts w:ascii="Arial Narrow" w:hAnsi="Arial Narrow"/>
                <w:b/>
                <w:sz w:val="20"/>
                <w:szCs w:val="20"/>
              </w:rPr>
              <w:t xml:space="preserve">Restriction Summary / Treatment of Concept: Authority Required </w:t>
            </w:r>
            <w:r w:rsidRPr="00E83A96">
              <w:rPr>
                <w:rFonts w:ascii="Arial Narrow" w:hAnsi="Arial Narrow"/>
                <w:bCs/>
                <w:i/>
                <w:iCs/>
                <w:sz w:val="20"/>
                <w:szCs w:val="20"/>
              </w:rPr>
              <w:t>(to share identical restriction summary number with ibrutinib and acalabrutinib)</w:t>
            </w:r>
          </w:p>
        </w:tc>
      </w:tr>
      <w:bookmarkEnd w:id="59"/>
      <w:bookmarkEnd w:id="60"/>
      <w:tr w:rsidR="00CC3B89" w:rsidRPr="00CC3B89" w14:paraId="00E08C71" w14:textId="77777777" w:rsidTr="006647F2">
        <w:tblPrEx>
          <w:tblCellMar>
            <w:top w:w="15" w:type="dxa"/>
            <w:left w:w="15" w:type="dxa"/>
            <w:bottom w:w="15" w:type="dxa"/>
            <w:right w:w="15" w:type="dxa"/>
          </w:tblCellMar>
          <w:tblLook w:val="04A0" w:firstRow="1" w:lastRow="0" w:firstColumn="1" w:lastColumn="0" w:noHBand="0" w:noVBand="1"/>
        </w:tblPrEx>
        <w:tc>
          <w:tcPr>
            <w:tcW w:w="533" w:type="pct"/>
            <w:vAlign w:val="center"/>
          </w:tcPr>
          <w:p w14:paraId="5272F7A8" w14:textId="34CB9F57" w:rsidR="00CC3B89" w:rsidRPr="00E83A96" w:rsidRDefault="00CC3B89" w:rsidP="00D12BAD">
            <w:pPr>
              <w:jc w:val="center"/>
              <w:rPr>
                <w:rFonts w:ascii="Arial Narrow" w:hAnsi="Arial Narrow"/>
                <w:sz w:val="20"/>
                <w:szCs w:val="20"/>
              </w:rPr>
            </w:pPr>
          </w:p>
        </w:tc>
        <w:tc>
          <w:tcPr>
            <w:tcW w:w="4467" w:type="pct"/>
            <w:gridSpan w:val="6"/>
            <w:vAlign w:val="center"/>
            <w:hideMark/>
          </w:tcPr>
          <w:p w14:paraId="1F93B702" w14:textId="77777777" w:rsidR="00CC3B89" w:rsidRPr="00E83A96" w:rsidRDefault="00CC3B89" w:rsidP="00106A6E">
            <w:pPr>
              <w:ind w:right="57"/>
              <w:rPr>
                <w:rFonts w:ascii="Arial Narrow" w:hAnsi="Arial Narrow"/>
                <w:sz w:val="20"/>
                <w:szCs w:val="20"/>
              </w:rPr>
            </w:pPr>
            <w:r w:rsidRPr="00E83A96">
              <w:rPr>
                <w:rFonts w:ascii="Arial Narrow" w:hAnsi="Arial Narrow"/>
                <w:b/>
                <w:bCs/>
                <w:sz w:val="20"/>
                <w:szCs w:val="20"/>
              </w:rPr>
              <w:t>Indication:</w:t>
            </w:r>
            <w:r w:rsidRPr="00E83A96">
              <w:rPr>
                <w:rFonts w:ascii="Arial Narrow" w:hAnsi="Arial Narrow"/>
                <w:sz w:val="20"/>
                <w:szCs w:val="20"/>
              </w:rPr>
              <w:t xml:space="preserve"> Chronic lymphocytic leukaemia (CLL) or small lymphocytic lymphoma (SLL)</w:t>
            </w:r>
          </w:p>
        </w:tc>
      </w:tr>
      <w:tr w:rsidR="00CC3B89" w:rsidRPr="00CC3B89" w14:paraId="2D3C5DB8" w14:textId="77777777" w:rsidTr="00991026">
        <w:tblPrEx>
          <w:tblCellMar>
            <w:top w:w="15" w:type="dxa"/>
            <w:left w:w="15" w:type="dxa"/>
            <w:bottom w:w="15" w:type="dxa"/>
            <w:right w:w="15" w:type="dxa"/>
          </w:tblCellMar>
          <w:tblLook w:val="04A0" w:firstRow="1" w:lastRow="0" w:firstColumn="1" w:lastColumn="0" w:noHBand="0" w:noVBand="1"/>
        </w:tblPrEx>
        <w:tc>
          <w:tcPr>
            <w:tcW w:w="533" w:type="pct"/>
            <w:vAlign w:val="center"/>
          </w:tcPr>
          <w:p w14:paraId="41786DD1" w14:textId="77777777" w:rsidR="00CC3B89" w:rsidRPr="00E83A96" w:rsidRDefault="00CC3B89" w:rsidP="00D12BAD">
            <w:pPr>
              <w:jc w:val="center"/>
              <w:rPr>
                <w:rFonts w:ascii="Arial Narrow" w:hAnsi="Arial Narrow"/>
                <w:sz w:val="20"/>
                <w:szCs w:val="20"/>
              </w:rPr>
            </w:pPr>
          </w:p>
        </w:tc>
        <w:tc>
          <w:tcPr>
            <w:tcW w:w="4467" w:type="pct"/>
            <w:gridSpan w:val="6"/>
            <w:vAlign w:val="center"/>
          </w:tcPr>
          <w:p w14:paraId="4419CF8E" w14:textId="77777777" w:rsidR="00CC3B89" w:rsidRPr="00E83A96" w:rsidRDefault="00CC3B89" w:rsidP="00106A6E">
            <w:pPr>
              <w:ind w:right="57"/>
              <w:rPr>
                <w:rFonts w:ascii="Arial Narrow" w:hAnsi="Arial Narrow"/>
                <w:b/>
                <w:bCs/>
                <w:sz w:val="20"/>
                <w:szCs w:val="20"/>
              </w:rPr>
            </w:pPr>
          </w:p>
        </w:tc>
      </w:tr>
      <w:tr w:rsidR="00CC3B89" w:rsidRPr="00CC3B89" w14:paraId="251DE2F3" w14:textId="77777777" w:rsidTr="006647F2">
        <w:tblPrEx>
          <w:tblCellMar>
            <w:top w:w="15" w:type="dxa"/>
            <w:left w:w="15" w:type="dxa"/>
            <w:bottom w:w="15" w:type="dxa"/>
            <w:right w:w="15" w:type="dxa"/>
          </w:tblCellMar>
          <w:tblLook w:val="04A0" w:firstRow="1" w:lastRow="0" w:firstColumn="1" w:lastColumn="0" w:noHBand="0" w:noVBand="1"/>
        </w:tblPrEx>
        <w:tc>
          <w:tcPr>
            <w:tcW w:w="533" w:type="pct"/>
            <w:vAlign w:val="center"/>
          </w:tcPr>
          <w:p w14:paraId="7FE41B3B" w14:textId="77777777" w:rsidR="00CC3B89" w:rsidRPr="00E83A96" w:rsidRDefault="00CC3B89" w:rsidP="00D12BAD">
            <w:pPr>
              <w:jc w:val="center"/>
              <w:rPr>
                <w:rFonts w:ascii="Arial Narrow" w:hAnsi="Arial Narrow"/>
                <w:sz w:val="20"/>
                <w:szCs w:val="20"/>
              </w:rPr>
            </w:pPr>
          </w:p>
        </w:tc>
        <w:tc>
          <w:tcPr>
            <w:tcW w:w="4467" w:type="pct"/>
            <w:gridSpan w:val="6"/>
            <w:vAlign w:val="center"/>
            <w:hideMark/>
          </w:tcPr>
          <w:p w14:paraId="6CF599E5" w14:textId="77777777" w:rsidR="00CC3B89" w:rsidRPr="00E83A96" w:rsidRDefault="00CC3B89" w:rsidP="00106A6E">
            <w:pPr>
              <w:ind w:right="57"/>
              <w:rPr>
                <w:rFonts w:ascii="Arial Narrow" w:hAnsi="Arial Narrow"/>
                <w:sz w:val="20"/>
                <w:szCs w:val="20"/>
              </w:rPr>
            </w:pPr>
            <w:r w:rsidRPr="00E83A96">
              <w:rPr>
                <w:rFonts w:ascii="Arial Narrow" w:hAnsi="Arial Narrow"/>
                <w:b/>
                <w:bCs/>
                <w:sz w:val="20"/>
                <w:szCs w:val="20"/>
              </w:rPr>
              <w:t>Treatment Phase:</w:t>
            </w:r>
            <w:r w:rsidRPr="00E83A96">
              <w:rPr>
                <w:rFonts w:ascii="Arial Narrow" w:hAnsi="Arial Narrow"/>
                <w:sz w:val="20"/>
                <w:szCs w:val="20"/>
              </w:rPr>
              <w:t xml:space="preserve"> Treatment of relapsed/refractory disease</w:t>
            </w:r>
          </w:p>
        </w:tc>
      </w:tr>
      <w:tr w:rsidR="00CC3B89" w:rsidRPr="00CC3B89" w14:paraId="6390A422" w14:textId="77777777" w:rsidTr="00991026">
        <w:tblPrEx>
          <w:tblCellMar>
            <w:top w:w="15" w:type="dxa"/>
            <w:left w:w="15" w:type="dxa"/>
            <w:bottom w:w="15" w:type="dxa"/>
            <w:right w:w="15" w:type="dxa"/>
          </w:tblCellMar>
          <w:tblLook w:val="04A0" w:firstRow="1" w:lastRow="0" w:firstColumn="1" w:lastColumn="0" w:noHBand="0" w:noVBand="1"/>
        </w:tblPrEx>
        <w:tc>
          <w:tcPr>
            <w:tcW w:w="533" w:type="pct"/>
            <w:vAlign w:val="center"/>
          </w:tcPr>
          <w:p w14:paraId="06984864" w14:textId="77777777" w:rsidR="00CC3B89" w:rsidRPr="00E83A96" w:rsidRDefault="00CC3B89" w:rsidP="00D12BAD">
            <w:pPr>
              <w:jc w:val="center"/>
              <w:rPr>
                <w:rFonts w:ascii="Arial Narrow" w:hAnsi="Arial Narrow"/>
                <w:sz w:val="20"/>
                <w:szCs w:val="20"/>
              </w:rPr>
            </w:pPr>
          </w:p>
        </w:tc>
        <w:tc>
          <w:tcPr>
            <w:tcW w:w="4467" w:type="pct"/>
            <w:gridSpan w:val="6"/>
            <w:vAlign w:val="center"/>
          </w:tcPr>
          <w:p w14:paraId="1B1DDC14" w14:textId="77777777" w:rsidR="00CC3B89" w:rsidRPr="00E83A96" w:rsidRDefault="00CC3B89" w:rsidP="00106A6E">
            <w:pPr>
              <w:ind w:right="57"/>
              <w:rPr>
                <w:rFonts w:ascii="Arial Narrow" w:hAnsi="Arial Narrow"/>
                <w:b/>
                <w:bCs/>
                <w:color w:val="BFBFBF" w:themeColor="background1" w:themeShade="BF"/>
                <w:sz w:val="20"/>
                <w:szCs w:val="20"/>
              </w:rPr>
            </w:pPr>
          </w:p>
        </w:tc>
      </w:tr>
      <w:tr w:rsidR="00CC3B89" w:rsidRPr="00CC3B89" w14:paraId="701553E8" w14:textId="77777777" w:rsidTr="006647F2">
        <w:tblPrEx>
          <w:tblCellMar>
            <w:top w:w="15" w:type="dxa"/>
            <w:left w:w="15" w:type="dxa"/>
            <w:bottom w:w="15" w:type="dxa"/>
            <w:right w:w="15" w:type="dxa"/>
          </w:tblCellMar>
          <w:tblLook w:val="04A0" w:firstRow="1" w:lastRow="0" w:firstColumn="1" w:lastColumn="0" w:noHBand="0" w:noVBand="1"/>
        </w:tblPrEx>
        <w:trPr>
          <w:trHeight w:val="126"/>
        </w:trPr>
        <w:tc>
          <w:tcPr>
            <w:tcW w:w="533" w:type="pct"/>
            <w:vAlign w:val="center"/>
          </w:tcPr>
          <w:p w14:paraId="3EF5A762" w14:textId="02ACA6E6" w:rsidR="00CC3B89" w:rsidRPr="00E83A96" w:rsidRDefault="00CC3B89" w:rsidP="00D12BAD">
            <w:pPr>
              <w:jc w:val="center"/>
              <w:rPr>
                <w:rFonts w:ascii="Arial Narrow" w:hAnsi="Arial Narrow"/>
                <w:sz w:val="20"/>
                <w:szCs w:val="20"/>
              </w:rPr>
            </w:pPr>
          </w:p>
        </w:tc>
        <w:tc>
          <w:tcPr>
            <w:tcW w:w="4467" w:type="pct"/>
            <w:gridSpan w:val="6"/>
            <w:vAlign w:val="center"/>
            <w:hideMark/>
          </w:tcPr>
          <w:p w14:paraId="71233E2E" w14:textId="77777777" w:rsidR="00CC3B89" w:rsidRPr="00E83A96" w:rsidRDefault="00CC3B89" w:rsidP="00106A6E">
            <w:pPr>
              <w:ind w:right="57"/>
              <w:rPr>
                <w:rFonts w:ascii="Arial Narrow" w:hAnsi="Arial Narrow"/>
                <w:sz w:val="20"/>
                <w:szCs w:val="20"/>
              </w:rPr>
            </w:pPr>
            <w:r w:rsidRPr="00E83A96">
              <w:rPr>
                <w:rFonts w:ascii="Arial Narrow" w:hAnsi="Arial Narrow"/>
                <w:b/>
                <w:bCs/>
                <w:sz w:val="20"/>
                <w:szCs w:val="20"/>
              </w:rPr>
              <w:t xml:space="preserve">Clinical criteria: </w:t>
            </w:r>
          </w:p>
        </w:tc>
      </w:tr>
      <w:tr w:rsidR="00CC3B89" w:rsidRPr="00CC3B89" w14:paraId="647BD3DD" w14:textId="77777777" w:rsidTr="006647F2">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7D40EC61" w14:textId="348B7450"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3EB9443E" w14:textId="77777777" w:rsidR="00CC3B89" w:rsidRPr="00E83A96" w:rsidRDefault="00CC3B89" w:rsidP="00106A6E">
            <w:pPr>
              <w:ind w:right="57"/>
              <w:rPr>
                <w:rFonts w:ascii="Arial Narrow" w:hAnsi="Arial Narrow"/>
                <w:sz w:val="20"/>
                <w:szCs w:val="20"/>
              </w:rPr>
            </w:pPr>
            <w:r w:rsidRPr="00E83A96">
              <w:rPr>
                <w:rFonts w:ascii="Arial Narrow" w:hAnsi="Arial Narrow"/>
                <w:color w:val="000000"/>
                <w:sz w:val="20"/>
                <w:szCs w:val="20"/>
              </w:rPr>
              <w:t>The condition must have relapsed or be refractory to at least one prior therapy</w:t>
            </w:r>
          </w:p>
        </w:tc>
      </w:tr>
      <w:tr w:rsidR="00CC3B89" w:rsidRPr="00CC3B89" w14:paraId="78655153" w14:textId="77777777" w:rsidTr="006647F2">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7D7BC137" w14:textId="77777777"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hideMark/>
          </w:tcPr>
          <w:p w14:paraId="0FB04575"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AND</w:t>
            </w:r>
          </w:p>
        </w:tc>
      </w:tr>
      <w:tr w:rsidR="00CC3B89" w:rsidRPr="00CC3B89" w14:paraId="4A770043"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61EDC35A" w14:textId="64F9E1BA"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hideMark/>
          </w:tcPr>
          <w:p w14:paraId="796C4A9A"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Clinical criteria:</w:t>
            </w:r>
          </w:p>
        </w:tc>
      </w:tr>
      <w:tr w:rsidR="00CC3B89" w:rsidRPr="00CC3B89" w14:paraId="7DEAD97E"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5251F02B" w14:textId="6155840B"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hideMark/>
          </w:tcPr>
          <w:p w14:paraId="2C7775B1" w14:textId="1C6F368C" w:rsidR="00CC3B89" w:rsidRPr="00E83A96" w:rsidRDefault="001E2CE2" w:rsidP="00106A6E">
            <w:pPr>
              <w:ind w:right="57"/>
              <w:rPr>
                <w:rFonts w:ascii="Arial Narrow" w:hAnsi="Arial Narrow"/>
                <w:b/>
                <w:bCs/>
                <w:sz w:val="20"/>
                <w:szCs w:val="20"/>
              </w:rPr>
            </w:pPr>
            <w:r w:rsidRPr="001E2CE2">
              <w:rPr>
                <w:rFonts w:ascii="Arial Narrow" w:hAnsi="Arial Narrow"/>
                <w:sz w:val="20"/>
                <w:szCs w:val="20"/>
              </w:rPr>
              <w:t>The treatment must only be prescribed for patients with active disease in accordance with the International Workshop on CLL (iwCLL) guidance (latest version) in relation to when to prescribe drug treatment for this condition</w:t>
            </w:r>
          </w:p>
        </w:tc>
      </w:tr>
      <w:tr w:rsidR="00CC3B89" w:rsidRPr="00CC3B89" w14:paraId="3BEBCC9F"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35A6C0F1" w14:textId="77777777"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5944B54A"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AND</w:t>
            </w:r>
          </w:p>
        </w:tc>
      </w:tr>
      <w:tr w:rsidR="00CC3B89" w:rsidRPr="00CC3B89" w14:paraId="6C1FB501"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6015C973" w14:textId="28B79448"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3EDE2AE0"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Clinical criteria:</w:t>
            </w:r>
          </w:p>
        </w:tc>
      </w:tr>
      <w:tr w:rsidR="00CC3B89" w:rsidRPr="00CC3B89" w14:paraId="6179EA80"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176FDB35" w14:textId="25C0526B"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39392CD6"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The treatment must be the sole PBS-subsidised systemic anti-cancer therapy for this PBS indication.</w:t>
            </w:r>
          </w:p>
        </w:tc>
      </w:tr>
      <w:tr w:rsidR="00CC3B89" w:rsidRPr="00CC3B89" w14:paraId="56EA616B"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1D262BC2" w14:textId="77777777"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5C698399" w14:textId="77777777" w:rsidR="00CC3B89" w:rsidRPr="00E83A96" w:rsidRDefault="00CC3B89" w:rsidP="00106A6E">
            <w:pPr>
              <w:ind w:right="57"/>
              <w:rPr>
                <w:rFonts w:ascii="Arial Narrow" w:hAnsi="Arial Narrow"/>
                <w:b/>
                <w:bCs/>
                <w:sz w:val="20"/>
                <w:szCs w:val="20"/>
              </w:rPr>
            </w:pPr>
          </w:p>
        </w:tc>
      </w:tr>
      <w:tr w:rsidR="00CC3B89" w:rsidRPr="00CC3B89" w14:paraId="0975FBE6"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78A821BB" w14:textId="5E26988E"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6522F74C"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Treatment criteria:</w:t>
            </w:r>
          </w:p>
        </w:tc>
      </w:tr>
      <w:tr w:rsidR="00CC3B89" w:rsidRPr="00CC3B89" w14:paraId="7214572C"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0E4D5F81" w14:textId="09B75695"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49558D23" w14:textId="68C0B19D" w:rsidR="00CC3B89" w:rsidRPr="00E83A96" w:rsidRDefault="00CC3B89" w:rsidP="00106A6E">
            <w:pPr>
              <w:ind w:right="57"/>
              <w:rPr>
                <w:rFonts w:ascii="Arial Narrow" w:hAnsi="Arial Narrow"/>
                <w:sz w:val="20"/>
                <w:szCs w:val="20"/>
              </w:rPr>
            </w:pPr>
            <w:r w:rsidRPr="00E83A96">
              <w:rPr>
                <w:rFonts w:ascii="Arial Narrow" w:hAnsi="Arial Narrow"/>
                <w:sz w:val="20"/>
                <w:szCs w:val="20"/>
              </w:rPr>
              <w:t>Patient must not be undergoing retreatment with this drug where prior, active treatment of CLL/SLL with this same drug was unable to prevent disease progression</w:t>
            </w:r>
          </w:p>
        </w:tc>
      </w:tr>
      <w:tr w:rsidR="00CC3B89" w:rsidRPr="00CC3B89" w14:paraId="47B22274"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11611C90" w14:textId="77777777"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5591713D"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AND</w:t>
            </w:r>
          </w:p>
        </w:tc>
      </w:tr>
      <w:tr w:rsidR="00CC3B89" w:rsidRPr="00CC3B89" w14:paraId="6E8D8210"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17E08832" w14:textId="5981412F"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1BD5A7A7"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Treatment criteria:</w:t>
            </w:r>
          </w:p>
        </w:tc>
      </w:tr>
      <w:tr w:rsidR="00CC3B89" w:rsidRPr="00CC3B89" w14:paraId="08850B98"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45C39C32" w14:textId="4EAE849C"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7C4BF1B8"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Patient must be undergoing treatment through this treatment phase listing for the first time; or</w:t>
            </w:r>
          </w:p>
        </w:tc>
      </w:tr>
      <w:tr w:rsidR="00CC3B89" w:rsidRPr="00CC3B89" w14:paraId="53DF8869"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731A817C" w14:textId="18223B07"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5AE665E2"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Patient must be undergoing treatment through this treatment phase listing on a subsequent occasion, with disease progression being absent</w:t>
            </w:r>
          </w:p>
        </w:tc>
      </w:tr>
      <w:tr w:rsidR="00CC3B89" w:rsidRPr="00CC3B89" w14:paraId="375D2578" w14:textId="77777777" w:rsidTr="00991026">
        <w:tblPrEx>
          <w:tblCellMar>
            <w:top w:w="15" w:type="dxa"/>
            <w:left w:w="15" w:type="dxa"/>
            <w:bottom w:w="15" w:type="dxa"/>
            <w:right w:w="15" w:type="dxa"/>
          </w:tblCellMar>
          <w:tblLook w:val="04A0" w:firstRow="1" w:lastRow="0" w:firstColumn="1" w:lastColumn="0" w:noHBand="0" w:noVBand="1"/>
        </w:tblPrEx>
        <w:tc>
          <w:tcPr>
            <w:tcW w:w="533" w:type="pct"/>
            <w:tcBorders>
              <w:top w:val="single" w:sz="4" w:space="0" w:color="auto"/>
              <w:left w:val="single" w:sz="4" w:space="0" w:color="auto"/>
              <w:bottom w:val="single" w:sz="4" w:space="0" w:color="auto"/>
              <w:right w:val="single" w:sz="4" w:space="0" w:color="auto"/>
            </w:tcBorders>
            <w:vAlign w:val="center"/>
          </w:tcPr>
          <w:p w14:paraId="418100E8" w14:textId="77777777" w:rsidR="00CC3B89" w:rsidRPr="00E83A96" w:rsidRDefault="00CC3B89" w:rsidP="00D12BAD">
            <w:pPr>
              <w:jc w:val="center"/>
              <w:rPr>
                <w:rFonts w:ascii="Arial Narrow" w:hAnsi="Arial Narrow"/>
                <w:sz w:val="20"/>
                <w:szCs w:val="20"/>
              </w:rPr>
            </w:pPr>
          </w:p>
        </w:tc>
        <w:tc>
          <w:tcPr>
            <w:tcW w:w="4467" w:type="pct"/>
            <w:gridSpan w:val="6"/>
            <w:tcBorders>
              <w:top w:val="single" w:sz="4" w:space="0" w:color="auto"/>
              <w:left w:val="single" w:sz="4" w:space="0" w:color="auto"/>
              <w:bottom w:val="single" w:sz="4" w:space="0" w:color="auto"/>
              <w:right w:val="single" w:sz="4" w:space="0" w:color="auto"/>
            </w:tcBorders>
            <w:vAlign w:val="center"/>
          </w:tcPr>
          <w:p w14:paraId="0D0C992E" w14:textId="77777777" w:rsidR="00CC3B89" w:rsidRPr="00E83A96" w:rsidRDefault="00CC3B89" w:rsidP="00106A6E">
            <w:pPr>
              <w:ind w:right="57"/>
              <w:rPr>
                <w:rFonts w:ascii="Arial Narrow" w:hAnsi="Arial Narrow"/>
                <w:sz w:val="20"/>
                <w:szCs w:val="20"/>
              </w:rPr>
            </w:pPr>
          </w:p>
        </w:tc>
      </w:tr>
      <w:tr w:rsidR="00CC3B89" w:rsidRPr="00CC3B89" w14:paraId="51491F14" w14:textId="77777777" w:rsidTr="00991026">
        <w:tblPrEx>
          <w:tblCellMar>
            <w:top w:w="15" w:type="dxa"/>
            <w:left w:w="15" w:type="dxa"/>
            <w:bottom w:w="15" w:type="dxa"/>
            <w:right w:w="15" w:type="dxa"/>
          </w:tblCellMar>
          <w:tblLook w:val="04A0" w:firstRow="1" w:lastRow="0" w:firstColumn="1" w:lastColumn="0" w:noHBand="0" w:noVBand="1"/>
        </w:tblPrEx>
        <w:tc>
          <w:tcPr>
            <w:tcW w:w="533" w:type="pct"/>
          </w:tcPr>
          <w:p w14:paraId="60D4DCD2" w14:textId="743F33A9" w:rsidR="00CC3B89" w:rsidRPr="00E83A96" w:rsidRDefault="00CC3B89" w:rsidP="00D12BAD">
            <w:pPr>
              <w:jc w:val="center"/>
              <w:rPr>
                <w:rFonts w:ascii="Arial Narrow" w:hAnsi="Arial Narrow"/>
                <w:strike/>
                <w:sz w:val="20"/>
                <w:szCs w:val="20"/>
              </w:rPr>
            </w:pPr>
          </w:p>
        </w:tc>
        <w:tc>
          <w:tcPr>
            <w:tcW w:w="4467" w:type="pct"/>
            <w:gridSpan w:val="6"/>
          </w:tcPr>
          <w:p w14:paraId="612858A7"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 xml:space="preserve">Administrative advice: </w:t>
            </w:r>
          </w:p>
          <w:p w14:paraId="63DDDBE0" w14:textId="77777777" w:rsidR="00CC3B89" w:rsidRPr="00E83A96" w:rsidRDefault="00CC3B89" w:rsidP="00106A6E">
            <w:pPr>
              <w:ind w:right="57"/>
              <w:rPr>
                <w:rFonts w:ascii="Arial Narrow" w:hAnsi="Arial Narrow"/>
                <w:strike/>
                <w:sz w:val="20"/>
                <w:szCs w:val="20"/>
              </w:rPr>
            </w:pPr>
            <w:r w:rsidRPr="00E83A96">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CC3B89" w:rsidRPr="00CC3B89" w14:paraId="16143A83" w14:textId="77777777" w:rsidTr="00991026">
        <w:tblPrEx>
          <w:tblCellMar>
            <w:top w:w="15" w:type="dxa"/>
            <w:left w:w="15" w:type="dxa"/>
            <w:bottom w:w="15" w:type="dxa"/>
            <w:right w:w="15" w:type="dxa"/>
          </w:tblCellMar>
          <w:tblLook w:val="04A0" w:firstRow="1" w:lastRow="0" w:firstColumn="1" w:lastColumn="0" w:noHBand="0" w:noVBand="1"/>
        </w:tblPrEx>
        <w:tc>
          <w:tcPr>
            <w:tcW w:w="533" w:type="pct"/>
          </w:tcPr>
          <w:p w14:paraId="7D3A2205" w14:textId="37ADDC79" w:rsidR="00CC3B89" w:rsidRPr="00E83A96" w:rsidRDefault="00CC3B89" w:rsidP="00D12BAD">
            <w:pPr>
              <w:jc w:val="center"/>
              <w:rPr>
                <w:rFonts w:ascii="Arial Narrow" w:hAnsi="Arial Narrow"/>
                <w:sz w:val="20"/>
                <w:szCs w:val="20"/>
              </w:rPr>
            </w:pPr>
          </w:p>
        </w:tc>
        <w:tc>
          <w:tcPr>
            <w:tcW w:w="4467" w:type="pct"/>
            <w:gridSpan w:val="6"/>
          </w:tcPr>
          <w:p w14:paraId="3A381F44"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 xml:space="preserve">Administrative advice: </w:t>
            </w:r>
            <w:r w:rsidRPr="00E83A96">
              <w:rPr>
                <w:rFonts w:ascii="Arial Narrow" w:hAnsi="Arial Narrow"/>
                <w:bCs/>
                <w:sz w:val="20"/>
                <w:szCs w:val="20"/>
              </w:rPr>
              <w:t>No increase in the maximum quantity or number of units may be authorised.</w:t>
            </w:r>
          </w:p>
        </w:tc>
      </w:tr>
      <w:tr w:rsidR="00CC3B89" w:rsidRPr="00CC3B89" w14:paraId="4900C3D0" w14:textId="77777777" w:rsidTr="00991026">
        <w:tblPrEx>
          <w:tblCellMar>
            <w:top w:w="15" w:type="dxa"/>
            <w:left w:w="15" w:type="dxa"/>
            <w:bottom w:w="15" w:type="dxa"/>
            <w:right w:w="15" w:type="dxa"/>
          </w:tblCellMar>
          <w:tblLook w:val="04A0" w:firstRow="1" w:lastRow="0" w:firstColumn="1" w:lastColumn="0" w:noHBand="0" w:noVBand="1"/>
        </w:tblPrEx>
        <w:tc>
          <w:tcPr>
            <w:tcW w:w="533" w:type="pct"/>
          </w:tcPr>
          <w:p w14:paraId="21158005" w14:textId="23EFCE06" w:rsidR="00CC3B89" w:rsidRPr="00E83A96" w:rsidRDefault="00CC3B89" w:rsidP="00D12BAD">
            <w:pPr>
              <w:jc w:val="center"/>
              <w:rPr>
                <w:rFonts w:ascii="Arial Narrow" w:hAnsi="Arial Narrow"/>
                <w:sz w:val="20"/>
                <w:szCs w:val="20"/>
              </w:rPr>
            </w:pPr>
          </w:p>
        </w:tc>
        <w:tc>
          <w:tcPr>
            <w:tcW w:w="4467" w:type="pct"/>
            <w:gridSpan w:val="6"/>
          </w:tcPr>
          <w:p w14:paraId="50DCFDC8"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 xml:space="preserve">Administrative advice: </w:t>
            </w:r>
            <w:r w:rsidRPr="00E83A96">
              <w:rPr>
                <w:rFonts w:ascii="Arial Narrow" w:hAnsi="Arial Narrow"/>
                <w:bCs/>
                <w:sz w:val="20"/>
                <w:szCs w:val="20"/>
              </w:rPr>
              <w:t>No increase in the maximum number of repeats may be authorised.</w:t>
            </w:r>
          </w:p>
        </w:tc>
      </w:tr>
      <w:tr w:rsidR="00CC3B89" w:rsidRPr="00CC3B89" w14:paraId="416FE397" w14:textId="77777777" w:rsidTr="00991026">
        <w:tblPrEx>
          <w:tblCellMar>
            <w:top w:w="15" w:type="dxa"/>
            <w:left w:w="15" w:type="dxa"/>
            <w:bottom w:w="15" w:type="dxa"/>
            <w:right w:w="15" w:type="dxa"/>
          </w:tblCellMar>
          <w:tblLook w:val="04A0" w:firstRow="1" w:lastRow="0" w:firstColumn="1" w:lastColumn="0" w:noHBand="0" w:noVBand="1"/>
        </w:tblPrEx>
        <w:tc>
          <w:tcPr>
            <w:tcW w:w="533" w:type="pct"/>
          </w:tcPr>
          <w:p w14:paraId="3D64DA74" w14:textId="41BF7B45" w:rsidR="00CC3B89" w:rsidRPr="00E83A96" w:rsidRDefault="00CC3B89" w:rsidP="00D12BAD">
            <w:pPr>
              <w:jc w:val="center"/>
              <w:rPr>
                <w:rFonts w:ascii="Arial Narrow" w:hAnsi="Arial Narrow"/>
                <w:sz w:val="20"/>
                <w:szCs w:val="20"/>
              </w:rPr>
            </w:pPr>
          </w:p>
        </w:tc>
        <w:tc>
          <w:tcPr>
            <w:tcW w:w="4467" w:type="pct"/>
            <w:gridSpan w:val="6"/>
          </w:tcPr>
          <w:p w14:paraId="611D7073" w14:textId="77777777" w:rsidR="00CC3B89" w:rsidRPr="00E83A96" w:rsidRDefault="00CC3B89" w:rsidP="00106A6E">
            <w:pPr>
              <w:ind w:right="57"/>
              <w:rPr>
                <w:rFonts w:ascii="Arial Narrow" w:hAnsi="Arial Narrow"/>
                <w:b/>
                <w:bCs/>
                <w:sz w:val="20"/>
                <w:szCs w:val="20"/>
              </w:rPr>
            </w:pPr>
            <w:r w:rsidRPr="00E83A96">
              <w:rPr>
                <w:rFonts w:ascii="Arial Narrow" w:hAnsi="Arial Narrow"/>
                <w:b/>
                <w:bCs/>
                <w:sz w:val="20"/>
                <w:szCs w:val="20"/>
              </w:rPr>
              <w:t xml:space="preserve">Administrative advice: </w:t>
            </w:r>
            <w:r w:rsidRPr="00E83A96">
              <w:rPr>
                <w:rFonts w:ascii="Arial Narrow" w:hAnsi="Arial Narrow"/>
                <w:bCs/>
                <w:sz w:val="20"/>
                <w:szCs w:val="20"/>
              </w:rPr>
              <w:t>Special Pricing Arrangements apply.</w:t>
            </w:r>
          </w:p>
        </w:tc>
      </w:tr>
      <w:tr w:rsidR="00CC3B89" w:rsidRPr="00CC3B89" w14:paraId="525F31E4" w14:textId="77777777" w:rsidTr="00991026">
        <w:tblPrEx>
          <w:tblCellMar>
            <w:top w:w="15" w:type="dxa"/>
            <w:left w:w="15" w:type="dxa"/>
            <w:bottom w:w="15" w:type="dxa"/>
            <w:right w:w="15" w:type="dxa"/>
          </w:tblCellMar>
          <w:tblLook w:val="04A0" w:firstRow="1" w:lastRow="0" w:firstColumn="1" w:lastColumn="0" w:noHBand="0" w:noVBand="1"/>
        </w:tblPrEx>
        <w:tc>
          <w:tcPr>
            <w:tcW w:w="533" w:type="pct"/>
          </w:tcPr>
          <w:p w14:paraId="6036D8DE" w14:textId="69E8DDA8" w:rsidR="00CC3B89" w:rsidRPr="00E83A96" w:rsidRDefault="00CC3B89" w:rsidP="00D12BAD">
            <w:pPr>
              <w:jc w:val="center"/>
              <w:rPr>
                <w:rFonts w:ascii="Arial Narrow" w:hAnsi="Arial Narrow"/>
                <w:bCs/>
                <w:sz w:val="20"/>
                <w:szCs w:val="20"/>
              </w:rPr>
            </w:pPr>
          </w:p>
        </w:tc>
        <w:tc>
          <w:tcPr>
            <w:tcW w:w="4467" w:type="pct"/>
            <w:gridSpan w:val="6"/>
          </w:tcPr>
          <w:p w14:paraId="332A9A29" w14:textId="77777777" w:rsidR="00CC3B89" w:rsidRPr="00E83A96" w:rsidRDefault="00CC3B89" w:rsidP="00106A6E">
            <w:pPr>
              <w:ind w:right="57"/>
              <w:rPr>
                <w:rFonts w:ascii="Arial Narrow" w:hAnsi="Arial Narrow"/>
                <w:bCs/>
                <w:sz w:val="20"/>
                <w:szCs w:val="20"/>
              </w:rPr>
            </w:pPr>
            <w:r w:rsidRPr="00E83A96">
              <w:rPr>
                <w:rFonts w:ascii="Arial Narrow" w:hAnsi="Arial Narrow"/>
                <w:b/>
                <w:bCs/>
                <w:sz w:val="20"/>
                <w:szCs w:val="20"/>
              </w:rPr>
              <w:t xml:space="preserve">Administrative advice: </w:t>
            </w:r>
          </w:p>
          <w:p w14:paraId="0468E4C0"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The latest International Workshop on CLL (iwCLL) provides guidance on various aspects of management of CLL/SLL. Notably, two of these are:</w:t>
            </w:r>
          </w:p>
          <w:p w14:paraId="471C42A9"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(1) when to treat versus when to monitor the patient without therapy – see ‘Indications for treatment’ section; and</w:t>
            </w:r>
          </w:p>
          <w:p w14:paraId="22362DFB"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(2) recognising progressive disease – see ‘Definition of response, relapse, and refractory disease’ section.</w:t>
            </w:r>
          </w:p>
          <w:p w14:paraId="138EAED5" w14:textId="77777777" w:rsidR="00CC3B89" w:rsidRPr="00E83A96" w:rsidRDefault="00CC3B89" w:rsidP="00106A6E">
            <w:pPr>
              <w:ind w:right="57"/>
              <w:rPr>
                <w:rFonts w:ascii="Arial Narrow" w:hAnsi="Arial Narrow"/>
                <w:sz w:val="20"/>
                <w:szCs w:val="20"/>
              </w:rPr>
            </w:pPr>
          </w:p>
          <w:p w14:paraId="63D5E124"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See the following literature reference for details:</w:t>
            </w:r>
          </w:p>
          <w:p w14:paraId="1F2B1206" w14:textId="77777777" w:rsidR="00CC3B89" w:rsidRPr="00E83A96" w:rsidRDefault="00CC3B89" w:rsidP="00106A6E">
            <w:pPr>
              <w:ind w:right="57"/>
              <w:rPr>
                <w:rFonts w:ascii="Arial Narrow" w:hAnsi="Arial Narrow"/>
                <w:sz w:val="20"/>
                <w:szCs w:val="20"/>
              </w:rPr>
            </w:pPr>
            <w:r w:rsidRPr="00E83A96">
              <w:rPr>
                <w:rFonts w:ascii="Arial Narrow" w:hAnsi="Arial Narrow"/>
                <w:sz w:val="20"/>
                <w:szCs w:val="20"/>
              </w:rPr>
              <w:t>Hallek, M et al. iwCLL guidelines for diagnosis, indications for treatment, response assessment, and supportive management of CLL. </w:t>
            </w:r>
            <w:r w:rsidRPr="00E83A96">
              <w:rPr>
                <w:rFonts w:ascii="Arial Narrow" w:hAnsi="Arial Narrow"/>
                <w:i/>
                <w:iCs/>
                <w:sz w:val="20"/>
                <w:szCs w:val="20"/>
              </w:rPr>
              <w:t>Blood</w:t>
            </w:r>
            <w:r w:rsidRPr="00E83A96">
              <w:rPr>
                <w:rFonts w:ascii="Arial Narrow" w:hAnsi="Arial Narrow"/>
                <w:sz w:val="20"/>
                <w:szCs w:val="20"/>
              </w:rPr>
              <w:t> vol. 131, 25 (2018): 2745-2760.</w:t>
            </w:r>
          </w:p>
        </w:tc>
      </w:tr>
    </w:tbl>
    <w:p w14:paraId="6A1062F2" w14:textId="77777777" w:rsidR="00DD761C" w:rsidRDefault="00DD761C" w:rsidP="00CC3B89">
      <w:pPr>
        <w:rPr>
          <w:i/>
          <w:iCs/>
        </w:rPr>
      </w:pPr>
    </w:p>
    <w:p w14:paraId="7BFFB467" w14:textId="3387568E" w:rsidR="00CC3B89" w:rsidRPr="008029B8" w:rsidRDefault="00CC3B89" w:rsidP="00CC3B89">
      <w:pPr>
        <w:rPr>
          <w:i/>
          <w:iCs/>
        </w:rPr>
      </w:pPr>
      <w:r w:rsidRPr="008029B8">
        <w:rPr>
          <w:i/>
          <w:iCs/>
        </w:rPr>
        <w:t>Flow</w:t>
      </w:r>
      <w:r>
        <w:rPr>
          <w:i/>
          <w:iCs/>
        </w:rPr>
        <w:t>-</w:t>
      </w:r>
      <w:r w:rsidRPr="008029B8">
        <w:rPr>
          <w:i/>
          <w:iCs/>
        </w:rPr>
        <w:t>on changes</w:t>
      </w:r>
      <w:r>
        <w:rPr>
          <w:i/>
          <w:iCs/>
        </w:rPr>
        <w:t xml:space="preserve"> to be implemented concurrently with the zanubrutinib changes</w:t>
      </w:r>
    </w:p>
    <w:p w14:paraId="1BB8DB1E" w14:textId="77777777" w:rsidR="00CC3B89" w:rsidRPr="008029B8" w:rsidRDefault="00CC3B89" w:rsidP="00CC3B89">
      <w:pPr>
        <w:rPr>
          <w:i/>
          <w:iCs/>
        </w:rPr>
      </w:pPr>
    </w:p>
    <w:p w14:paraId="1DBABF94" w14:textId="77777777" w:rsidR="00CC3B89" w:rsidRPr="008029B8" w:rsidRDefault="00CC3B89" w:rsidP="00CC3B89">
      <w:r w:rsidRPr="008029B8">
        <w:t>8.2</w:t>
      </w:r>
      <w:r w:rsidRPr="008029B8">
        <w:tab/>
        <w:t>Amend the following venetoclax listings as follows:</w:t>
      </w:r>
    </w:p>
    <w:p w14:paraId="205454A7" w14:textId="77777777" w:rsidR="00CC3B89" w:rsidRPr="00022544" w:rsidRDefault="00CC3B89" w:rsidP="00CC3B89">
      <w:pPr>
        <w:contextualSpacing/>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76"/>
        <w:gridCol w:w="992"/>
        <w:gridCol w:w="992"/>
        <w:gridCol w:w="851"/>
        <w:gridCol w:w="1275"/>
      </w:tblGrid>
      <w:tr w:rsidR="00991026" w:rsidRPr="00991026" w14:paraId="64DE7D9B" w14:textId="77777777" w:rsidTr="00D12BAD">
        <w:trPr>
          <w:cantSplit/>
          <w:trHeight w:val="471"/>
        </w:trPr>
        <w:tc>
          <w:tcPr>
            <w:tcW w:w="9067" w:type="dxa"/>
            <w:gridSpan w:val="6"/>
            <w:tcBorders>
              <w:top w:val="single" w:sz="4" w:space="0" w:color="auto"/>
              <w:left w:val="single" w:sz="4" w:space="0" w:color="auto"/>
              <w:bottom w:val="single" w:sz="4" w:space="0" w:color="auto"/>
              <w:right w:val="single" w:sz="4" w:space="0" w:color="auto"/>
            </w:tcBorders>
            <w:hideMark/>
          </w:tcPr>
          <w:p w14:paraId="5E4053DF" w14:textId="77777777" w:rsidR="00CC3B89" w:rsidRPr="00991026" w:rsidRDefault="00CC3B89" w:rsidP="00D12BAD">
            <w:pPr>
              <w:keepNext/>
              <w:ind w:left="-57"/>
              <w:rPr>
                <w:rFonts w:ascii="Arial Narrow" w:hAnsi="Arial Narrow"/>
                <w:b/>
                <w:sz w:val="20"/>
                <w:szCs w:val="20"/>
              </w:rPr>
            </w:pPr>
            <w:r w:rsidRPr="00991026">
              <w:rPr>
                <w:rFonts w:ascii="Arial Narrow" w:hAnsi="Arial Narrow"/>
                <w:b/>
                <w:sz w:val="20"/>
                <w:szCs w:val="20"/>
              </w:rPr>
              <w:t xml:space="preserve">Category / Program: </w:t>
            </w:r>
            <w:r w:rsidRPr="00991026">
              <w:rPr>
                <w:rFonts w:ascii="Arial Narrow" w:hAnsi="Arial Narrow"/>
                <w:sz w:val="20"/>
                <w:szCs w:val="20"/>
              </w:rPr>
              <w:t>General Schedule (Code GE)</w:t>
            </w:r>
          </w:p>
        </w:tc>
      </w:tr>
      <w:tr w:rsidR="00991026" w:rsidRPr="00991026" w14:paraId="69FDB0A6" w14:textId="77777777" w:rsidTr="00D12BAD">
        <w:trPr>
          <w:cantSplit/>
          <w:trHeight w:val="471"/>
        </w:trPr>
        <w:tc>
          <w:tcPr>
            <w:tcW w:w="3681" w:type="dxa"/>
            <w:tcBorders>
              <w:top w:val="single" w:sz="4" w:space="0" w:color="auto"/>
              <w:left w:val="single" w:sz="4" w:space="0" w:color="auto"/>
              <w:bottom w:val="single" w:sz="4" w:space="0" w:color="auto"/>
              <w:right w:val="single" w:sz="4" w:space="0" w:color="auto"/>
            </w:tcBorders>
            <w:hideMark/>
          </w:tcPr>
          <w:p w14:paraId="46859D38" w14:textId="77777777" w:rsidR="00CC3B89" w:rsidRPr="00991026" w:rsidRDefault="00CC3B89" w:rsidP="00D12BAD">
            <w:pPr>
              <w:keepNext/>
              <w:ind w:left="-57"/>
              <w:rPr>
                <w:rFonts w:ascii="Arial Narrow" w:hAnsi="Arial Narrow"/>
                <w:b/>
                <w:bCs/>
                <w:sz w:val="20"/>
                <w:szCs w:val="20"/>
              </w:rPr>
            </w:pPr>
            <w:r w:rsidRPr="00991026">
              <w:rPr>
                <w:rFonts w:ascii="Arial Narrow" w:hAnsi="Arial Narrow"/>
                <w:b/>
                <w:bCs/>
                <w:sz w:val="20"/>
                <w:szCs w:val="20"/>
              </w:rPr>
              <w:t>MEDICINAL PRODUCT</w:t>
            </w:r>
          </w:p>
          <w:p w14:paraId="0EED3521" w14:textId="77777777" w:rsidR="00CC3B89" w:rsidRPr="00991026" w:rsidRDefault="00CC3B89" w:rsidP="00D12BAD">
            <w:pPr>
              <w:keepNext/>
              <w:ind w:left="-57"/>
              <w:rPr>
                <w:rFonts w:ascii="Arial Narrow" w:hAnsi="Arial Narrow"/>
                <w:b/>
                <w:i/>
                <w:sz w:val="20"/>
                <w:szCs w:val="20"/>
              </w:rPr>
            </w:pPr>
            <w:r w:rsidRPr="00991026">
              <w:rPr>
                <w:rFonts w:ascii="Arial Narrow" w:hAnsi="Arial Narrow"/>
                <w:b/>
                <w:bCs/>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hideMark/>
          </w:tcPr>
          <w:p w14:paraId="3D1BE6EA" w14:textId="77777777" w:rsidR="00CC3B89" w:rsidRPr="00991026" w:rsidRDefault="00CC3B89" w:rsidP="00D12BAD">
            <w:pPr>
              <w:keepNext/>
              <w:jc w:val="center"/>
              <w:rPr>
                <w:rFonts w:ascii="Arial Narrow" w:hAnsi="Arial Narrow"/>
                <w:b/>
                <w:sz w:val="20"/>
                <w:szCs w:val="20"/>
              </w:rPr>
            </w:pPr>
            <w:r w:rsidRPr="00991026">
              <w:rPr>
                <w:rFonts w:ascii="Arial Narrow" w:hAnsi="Arial Narrow"/>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72767420" w14:textId="77777777" w:rsidR="00CC3B89" w:rsidRPr="00991026" w:rsidRDefault="00CC3B89" w:rsidP="00D12BAD">
            <w:pPr>
              <w:keepNext/>
              <w:jc w:val="center"/>
              <w:rPr>
                <w:rFonts w:ascii="Arial Narrow" w:hAnsi="Arial Narrow"/>
                <w:b/>
                <w:sz w:val="20"/>
                <w:szCs w:val="20"/>
              </w:rPr>
            </w:pPr>
            <w:r w:rsidRPr="00991026">
              <w:rPr>
                <w:rFonts w:ascii="Arial Narrow" w:hAnsi="Arial Narrow"/>
                <w:b/>
                <w:sz w:val="20"/>
                <w:szCs w:val="20"/>
              </w:rPr>
              <w:t>Max. qty packs</w:t>
            </w:r>
          </w:p>
        </w:tc>
        <w:tc>
          <w:tcPr>
            <w:tcW w:w="992" w:type="dxa"/>
            <w:tcBorders>
              <w:top w:val="single" w:sz="4" w:space="0" w:color="auto"/>
              <w:left w:val="single" w:sz="4" w:space="0" w:color="auto"/>
              <w:bottom w:val="single" w:sz="4" w:space="0" w:color="auto"/>
              <w:right w:val="single" w:sz="4" w:space="0" w:color="auto"/>
            </w:tcBorders>
            <w:hideMark/>
          </w:tcPr>
          <w:p w14:paraId="4551D6A7" w14:textId="77777777" w:rsidR="00CC3B89" w:rsidRPr="00991026" w:rsidRDefault="00CC3B89" w:rsidP="00D12BAD">
            <w:pPr>
              <w:keepNext/>
              <w:jc w:val="center"/>
              <w:rPr>
                <w:rFonts w:ascii="Arial Narrow" w:hAnsi="Arial Narrow"/>
                <w:b/>
                <w:sz w:val="20"/>
                <w:szCs w:val="20"/>
              </w:rPr>
            </w:pPr>
            <w:r w:rsidRPr="00991026">
              <w:rPr>
                <w:rFonts w:ascii="Arial Narrow" w:hAnsi="Arial Narrow"/>
                <w:b/>
                <w:sz w:val="20"/>
                <w:szCs w:val="20"/>
              </w:rPr>
              <w:t>Max. qty units</w:t>
            </w:r>
          </w:p>
        </w:tc>
        <w:tc>
          <w:tcPr>
            <w:tcW w:w="851" w:type="dxa"/>
            <w:tcBorders>
              <w:top w:val="single" w:sz="4" w:space="0" w:color="auto"/>
              <w:left w:val="single" w:sz="4" w:space="0" w:color="auto"/>
              <w:bottom w:val="single" w:sz="4" w:space="0" w:color="auto"/>
              <w:right w:val="single" w:sz="4" w:space="0" w:color="auto"/>
            </w:tcBorders>
            <w:hideMark/>
          </w:tcPr>
          <w:p w14:paraId="6FA49537" w14:textId="77777777" w:rsidR="00CC3B89" w:rsidRPr="00991026" w:rsidRDefault="00CC3B89" w:rsidP="00D12BAD">
            <w:pPr>
              <w:keepNext/>
              <w:ind w:left="-108"/>
              <w:jc w:val="center"/>
              <w:rPr>
                <w:rFonts w:ascii="Arial Narrow" w:hAnsi="Arial Narrow"/>
                <w:b/>
                <w:sz w:val="20"/>
                <w:szCs w:val="20"/>
              </w:rPr>
            </w:pPr>
            <w:r w:rsidRPr="00991026">
              <w:rPr>
                <w:rFonts w:ascii="Arial Narrow" w:hAnsi="Arial Narrow"/>
                <w:b/>
                <w:sz w:val="20"/>
                <w:szCs w:val="20"/>
              </w:rPr>
              <w:t>№.of Rpts</w:t>
            </w:r>
          </w:p>
        </w:tc>
        <w:tc>
          <w:tcPr>
            <w:tcW w:w="1275" w:type="dxa"/>
            <w:tcBorders>
              <w:top w:val="single" w:sz="4" w:space="0" w:color="auto"/>
              <w:left w:val="single" w:sz="4" w:space="0" w:color="auto"/>
              <w:bottom w:val="single" w:sz="4" w:space="0" w:color="auto"/>
              <w:right w:val="single" w:sz="4" w:space="0" w:color="auto"/>
            </w:tcBorders>
            <w:hideMark/>
          </w:tcPr>
          <w:p w14:paraId="17FD42F0" w14:textId="77777777" w:rsidR="00CC3B89" w:rsidRPr="00991026" w:rsidRDefault="00CC3B89" w:rsidP="00D12BAD">
            <w:pPr>
              <w:keepNext/>
              <w:rPr>
                <w:rFonts w:ascii="Arial Narrow" w:hAnsi="Arial Narrow"/>
                <w:b/>
                <w:sz w:val="20"/>
                <w:szCs w:val="20"/>
                <w:lang w:val="fr-FR"/>
              </w:rPr>
            </w:pPr>
            <w:r w:rsidRPr="00991026">
              <w:rPr>
                <w:rFonts w:ascii="Arial Narrow" w:hAnsi="Arial Narrow"/>
                <w:b/>
                <w:sz w:val="20"/>
                <w:szCs w:val="20"/>
              </w:rPr>
              <w:t>Available brands</w:t>
            </w:r>
          </w:p>
        </w:tc>
      </w:tr>
      <w:tr w:rsidR="00991026" w:rsidRPr="00991026" w14:paraId="696486DB" w14:textId="77777777" w:rsidTr="00D12BAD">
        <w:trPr>
          <w:cantSplit/>
          <w:trHeight w:val="224"/>
        </w:trPr>
        <w:tc>
          <w:tcPr>
            <w:tcW w:w="9067" w:type="dxa"/>
            <w:gridSpan w:val="6"/>
            <w:tcBorders>
              <w:top w:val="single" w:sz="4" w:space="0" w:color="auto"/>
              <w:left w:val="single" w:sz="4" w:space="0" w:color="auto"/>
              <w:bottom w:val="single" w:sz="4" w:space="0" w:color="auto"/>
              <w:right w:val="single" w:sz="4" w:space="0" w:color="auto"/>
            </w:tcBorders>
            <w:hideMark/>
          </w:tcPr>
          <w:p w14:paraId="446ECABD"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VENETOCLAX</w:t>
            </w:r>
          </w:p>
        </w:tc>
      </w:tr>
      <w:tr w:rsidR="00991026" w:rsidRPr="00991026" w14:paraId="6400D38B" w14:textId="77777777" w:rsidTr="00D12BAD">
        <w:trPr>
          <w:cantSplit/>
          <w:trHeight w:val="553"/>
        </w:trPr>
        <w:tc>
          <w:tcPr>
            <w:tcW w:w="3681" w:type="dxa"/>
            <w:tcBorders>
              <w:top w:val="single" w:sz="4" w:space="0" w:color="auto"/>
              <w:left w:val="single" w:sz="4" w:space="0" w:color="auto"/>
              <w:bottom w:val="single" w:sz="4" w:space="0" w:color="auto"/>
              <w:right w:val="single" w:sz="4" w:space="0" w:color="auto"/>
            </w:tcBorders>
            <w:hideMark/>
          </w:tcPr>
          <w:p w14:paraId="5096635D"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venetoclax 10 mg tablet [14] (&amp;) venetoclax 50 mg tablet [7] (&amp;) venetoclax 100 mg tablet [7] (&amp;) venetoclax 100 mg tablet [14], 1 pack</w:t>
            </w:r>
          </w:p>
        </w:tc>
        <w:tc>
          <w:tcPr>
            <w:tcW w:w="1276" w:type="dxa"/>
            <w:tcBorders>
              <w:top w:val="single" w:sz="4" w:space="0" w:color="auto"/>
              <w:left w:val="single" w:sz="4" w:space="0" w:color="auto"/>
              <w:bottom w:val="single" w:sz="4" w:space="0" w:color="auto"/>
              <w:right w:val="single" w:sz="4" w:space="0" w:color="auto"/>
            </w:tcBorders>
            <w:hideMark/>
          </w:tcPr>
          <w:p w14:paraId="346EBE87"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11630D</w:t>
            </w:r>
          </w:p>
          <w:p w14:paraId="17900F6C" w14:textId="77777777" w:rsidR="00CC3B89" w:rsidRPr="00991026" w:rsidRDefault="00CC3B89" w:rsidP="00D12BAD">
            <w:pPr>
              <w:keepNext/>
              <w:jc w:val="center"/>
              <w:rPr>
                <w:rFonts w:ascii="Arial Narrow" w:hAnsi="Arial Narrow"/>
                <w:sz w:val="20"/>
                <w:szCs w:val="20"/>
                <w:vertAlign w:val="subscript"/>
              </w:rPr>
            </w:pPr>
            <w:r w:rsidRPr="00991026">
              <w:rPr>
                <w:rFonts w:ascii="Arial Narrow" w:hAnsi="Arial Narrow"/>
                <w:sz w:val="20"/>
                <w:szCs w:val="20"/>
                <w:vertAlign w:val="subscript"/>
              </w:rPr>
              <w:t>MP</w:t>
            </w:r>
          </w:p>
        </w:tc>
        <w:tc>
          <w:tcPr>
            <w:tcW w:w="992" w:type="dxa"/>
            <w:tcBorders>
              <w:top w:val="single" w:sz="4" w:space="0" w:color="auto"/>
              <w:left w:val="single" w:sz="4" w:space="0" w:color="auto"/>
              <w:bottom w:val="single" w:sz="4" w:space="0" w:color="auto"/>
              <w:right w:val="single" w:sz="4" w:space="0" w:color="auto"/>
            </w:tcBorders>
            <w:hideMark/>
          </w:tcPr>
          <w:p w14:paraId="0CAC5590"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4A5B390C"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14:paraId="28A862FE"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0</w:t>
            </w:r>
          </w:p>
        </w:tc>
        <w:tc>
          <w:tcPr>
            <w:tcW w:w="1275" w:type="dxa"/>
            <w:tcBorders>
              <w:top w:val="single" w:sz="4" w:space="0" w:color="auto"/>
              <w:left w:val="single" w:sz="4" w:space="0" w:color="auto"/>
              <w:bottom w:val="single" w:sz="4" w:space="0" w:color="auto"/>
              <w:right w:val="single" w:sz="4" w:space="0" w:color="auto"/>
            </w:tcBorders>
            <w:hideMark/>
          </w:tcPr>
          <w:p w14:paraId="5EEA77BF" w14:textId="77777777" w:rsidR="00CC3B89" w:rsidRPr="00991026" w:rsidRDefault="00CC3B89" w:rsidP="00D12BAD">
            <w:pPr>
              <w:keepNext/>
              <w:rPr>
                <w:rFonts w:ascii="Arial Narrow" w:eastAsia="MS Gothic" w:hAnsi="Arial Narrow"/>
                <w:bCs/>
                <w:sz w:val="20"/>
                <w:szCs w:val="20"/>
              </w:rPr>
            </w:pPr>
            <w:r w:rsidRPr="00991026">
              <w:rPr>
                <w:rFonts w:ascii="Arial Narrow" w:eastAsia="MS Gothic" w:hAnsi="Arial Narrow"/>
                <w:bCs/>
                <w:sz w:val="20"/>
                <w:szCs w:val="20"/>
              </w:rPr>
              <w:t>Venclexta</w:t>
            </w:r>
          </w:p>
        </w:tc>
      </w:tr>
      <w:tr w:rsidR="00CC3B89" w:rsidRPr="00991026" w14:paraId="07AFC6B7" w14:textId="77777777" w:rsidTr="00D12BAD">
        <w:tc>
          <w:tcPr>
            <w:tcW w:w="9067" w:type="dxa"/>
            <w:gridSpan w:val="6"/>
            <w:tcBorders>
              <w:top w:val="single" w:sz="4" w:space="0" w:color="auto"/>
              <w:left w:val="single" w:sz="4" w:space="0" w:color="auto"/>
              <w:bottom w:val="single" w:sz="4" w:space="0" w:color="auto"/>
              <w:right w:val="single" w:sz="4" w:space="0" w:color="auto"/>
            </w:tcBorders>
          </w:tcPr>
          <w:p w14:paraId="0EC070B0" w14:textId="77777777" w:rsidR="00CC3B89" w:rsidRPr="00991026" w:rsidRDefault="00CC3B89" w:rsidP="00D12BAD">
            <w:pPr>
              <w:rPr>
                <w:rFonts w:ascii="Arial Narrow" w:hAnsi="Arial Narrow"/>
                <w:sz w:val="20"/>
                <w:szCs w:val="20"/>
              </w:rPr>
            </w:pPr>
          </w:p>
        </w:tc>
      </w:tr>
    </w:tbl>
    <w:tbl>
      <w:tblPr>
        <w:tblStyle w:val="PlainTable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991026" w:rsidRPr="00991026" w14:paraId="545A626B" w14:textId="77777777" w:rsidTr="00D12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auto"/>
              <w:left w:val="single" w:sz="4" w:space="0" w:color="auto"/>
              <w:right w:val="single" w:sz="4" w:space="0" w:color="auto"/>
            </w:tcBorders>
          </w:tcPr>
          <w:p w14:paraId="744A7049" w14:textId="3569BEDB" w:rsidR="00CC3B89" w:rsidRPr="00991026" w:rsidRDefault="00CC3B89" w:rsidP="00D12BAD">
            <w:pPr>
              <w:ind w:left="-57"/>
              <w:textAlignment w:val="baseline"/>
              <w:rPr>
                <w:rFonts w:ascii="Arial Narrow" w:eastAsia="Times New Roman" w:hAnsi="Arial Narrow" w:cs="Open Sans"/>
                <w:sz w:val="20"/>
                <w:szCs w:val="20"/>
                <w:bdr w:val="none" w:sz="0" w:space="0" w:color="auto" w:frame="1"/>
                <w:lang w:eastAsia="en-AU"/>
              </w:rPr>
            </w:pPr>
            <w:r w:rsidRPr="00991026">
              <w:rPr>
                <w:rFonts w:ascii="Arial Narrow" w:eastAsia="Times New Roman" w:hAnsi="Arial Narrow" w:cs="Open Sans"/>
                <w:sz w:val="20"/>
                <w:szCs w:val="20"/>
                <w:bdr w:val="none" w:sz="0" w:space="0" w:color="auto" w:frame="1"/>
                <w:lang w:eastAsia="en-AU"/>
              </w:rPr>
              <w:t>Edit Restriction Summary / ToC: Authority Required</w:t>
            </w:r>
          </w:p>
          <w:p w14:paraId="66C2A5AA" w14:textId="77777777" w:rsidR="00CC3B89" w:rsidRPr="00991026" w:rsidRDefault="00CC3B89" w:rsidP="00D12BAD">
            <w:pPr>
              <w:ind w:left="-57"/>
              <w:textAlignment w:val="baseline"/>
              <w:rPr>
                <w:rFonts w:ascii="Arial Narrow" w:eastAsia="Times New Roman" w:hAnsi="Arial Narrow" w:cs="Open Sans"/>
                <w:sz w:val="20"/>
                <w:szCs w:val="20"/>
                <w:bdr w:val="none" w:sz="0" w:space="0" w:color="auto" w:frame="1"/>
                <w:lang w:eastAsia="en-AU"/>
              </w:rPr>
            </w:pPr>
          </w:p>
        </w:tc>
      </w:tr>
      <w:tr w:rsidR="00991026" w:rsidRPr="00991026" w14:paraId="5847CB4A"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2A7E7FC9" w14:textId="792D466C"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51F8FE7C"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b/>
                <w:bCs/>
                <w:sz w:val="20"/>
                <w:szCs w:val="20"/>
                <w:bdr w:val="none" w:sz="0" w:space="0" w:color="auto" w:frame="1"/>
                <w:lang w:eastAsia="en-AU"/>
              </w:rPr>
              <w:t xml:space="preserve">Indication: </w:t>
            </w:r>
            <w:r w:rsidRPr="00991026">
              <w:rPr>
                <w:rFonts w:ascii="Arial Narrow" w:eastAsia="Times New Roman" w:hAnsi="Arial Narrow" w:cs="Open Sans"/>
                <w:sz w:val="20"/>
                <w:szCs w:val="20"/>
                <w:lang w:eastAsia="en-AU"/>
              </w:rPr>
              <w:t>Chronic lymphocytic leukaemia (CLL)</w:t>
            </w:r>
          </w:p>
        </w:tc>
      </w:tr>
      <w:tr w:rsidR="00991026" w:rsidRPr="00991026" w14:paraId="2A1FC8AA"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554EB378" w14:textId="77777777"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tcPr>
          <w:p w14:paraId="4747D76A" w14:textId="7777777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b/>
                <w:bCs/>
                <w:sz w:val="20"/>
                <w:szCs w:val="20"/>
                <w:bdr w:val="none" w:sz="0" w:space="0" w:color="auto" w:frame="1"/>
                <w:lang w:eastAsia="en-AU"/>
              </w:rPr>
            </w:pPr>
          </w:p>
        </w:tc>
      </w:tr>
      <w:tr w:rsidR="00991026" w:rsidRPr="00991026" w14:paraId="2CF79099"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2061DC5B" w14:textId="58F394AB" w:rsidR="00CC3B89" w:rsidRPr="00991026" w:rsidRDefault="00CC3B89" w:rsidP="00D12BAD">
            <w:pPr>
              <w:spacing w:line="256" w:lineRule="auto"/>
              <w:jc w:val="center"/>
              <w:rPr>
                <w:rFonts w:ascii="Arial Narrow" w:eastAsia="Times New Roman" w:hAnsi="Arial Narrow" w:cs="Open Sans"/>
                <w:b w:val="0"/>
                <w:bCs w:val="0"/>
                <w:sz w:val="20"/>
                <w:szCs w:val="20"/>
                <w:bdr w:val="none" w:sz="0" w:space="0" w:color="auto" w:frame="1"/>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654F442E"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i/>
                <w:iCs/>
                <w:sz w:val="20"/>
                <w:szCs w:val="20"/>
                <w:lang w:eastAsia="en-AU"/>
              </w:rPr>
            </w:pPr>
            <w:r w:rsidRPr="00991026">
              <w:rPr>
                <w:rFonts w:ascii="Arial Narrow" w:eastAsia="Times New Roman" w:hAnsi="Arial Narrow" w:cs="Open Sans"/>
                <w:b/>
                <w:bCs/>
                <w:sz w:val="20"/>
                <w:szCs w:val="20"/>
                <w:bdr w:val="none" w:sz="0" w:space="0" w:color="auto" w:frame="1"/>
                <w:lang w:eastAsia="en-AU"/>
              </w:rPr>
              <w:t xml:space="preserve">Treatment Phase: </w:t>
            </w:r>
            <w:r w:rsidRPr="00991026">
              <w:rPr>
                <w:rFonts w:ascii="Arial Narrow" w:eastAsia="Times New Roman" w:hAnsi="Arial Narrow" w:cs="Open Sans"/>
                <w:strike/>
                <w:sz w:val="20"/>
                <w:szCs w:val="20"/>
                <w:lang w:eastAsia="en-AU"/>
              </w:rPr>
              <w:t>Initial treatment -</w:t>
            </w:r>
            <w:r w:rsidRPr="00991026">
              <w:rPr>
                <w:rFonts w:ascii="Arial Narrow" w:eastAsia="Times New Roman" w:hAnsi="Arial Narrow" w:cs="Open Sans"/>
                <w:sz w:val="20"/>
                <w:szCs w:val="20"/>
                <w:lang w:eastAsia="en-AU"/>
              </w:rPr>
              <w:t xml:space="preserve"> Dose titration </w:t>
            </w:r>
            <w:r w:rsidRPr="00991026">
              <w:rPr>
                <w:rFonts w:ascii="Arial Narrow" w:eastAsia="Times New Roman" w:hAnsi="Arial Narrow" w:cs="Open Sans"/>
                <w:i/>
                <w:iCs/>
                <w:sz w:val="20"/>
                <w:szCs w:val="20"/>
                <w:lang w:eastAsia="en-AU"/>
              </w:rPr>
              <w:t>occurring at the start of treatment for relapsed/refractory disease</w:t>
            </w:r>
          </w:p>
        </w:tc>
      </w:tr>
      <w:tr w:rsidR="00991026" w:rsidRPr="00991026" w14:paraId="394141AA"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30730909" w14:textId="139B52A5" w:rsidR="00CC3B89" w:rsidRPr="00991026" w:rsidRDefault="00CC3B89" w:rsidP="00D12BAD">
            <w:pPr>
              <w:jc w:val="center"/>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tcPr>
          <w:p w14:paraId="482E74BD" w14:textId="7777777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b/>
                <w:bCs/>
                <w:sz w:val="20"/>
                <w:szCs w:val="20"/>
                <w:bdr w:val="none" w:sz="0" w:space="0" w:color="auto" w:frame="1"/>
                <w:lang w:eastAsia="en-AU"/>
              </w:rPr>
            </w:pPr>
          </w:p>
        </w:tc>
      </w:tr>
      <w:tr w:rsidR="00991026" w:rsidRPr="00991026" w14:paraId="47D1C5F4"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1780E9C8" w14:textId="48BE3458"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47955B06"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Clinical criteria:</w:t>
            </w:r>
          </w:p>
        </w:tc>
      </w:tr>
      <w:tr w:rsidR="00991026" w:rsidRPr="00991026" w14:paraId="750F4629"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55A3F423" w14:textId="43EAFAD8"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0DD9BC08"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Patient must not have previously received PBS-subsidised treatment with this drug for this condition</w:t>
            </w:r>
          </w:p>
        </w:tc>
      </w:tr>
      <w:tr w:rsidR="00991026" w:rsidRPr="00991026" w14:paraId="04543CCA"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66038921" w14:textId="28A6195F" w:rsidR="00CC3B89" w:rsidRPr="00991026" w:rsidRDefault="00CC3B89" w:rsidP="00D12BAD">
            <w:pPr>
              <w:jc w:val="center"/>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30B0A91B"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AND</w:t>
            </w:r>
          </w:p>
        </w:tc>
      </w:tr>
      <w:tr w:rsidR="00991026" w:rsidRPr="00991026" w14:paraId="32D06B55"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2EACCBE7" w14:textId="07281061"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bookmarkStart w:id="61" w:name="_Hlk126257639"/>
          </w:p>
        </w:tc>
        <w:tc>
          <w:tcPr>
            <w:tcW w:w="7938" w:type="dxa"/>
            <w:tcBorders>
              <w:top w:val="single" w:sz="4" w:space="0" w:color="auto"/>
              <w:left w:val="single" w:sz="4" w:space="0" w:color="auto"/>
              <w:bottom w:val="single" w:sz="4" w:space="0" w:color="auto"/>
              <w:right w:val="single" w:sz="4" w:space="0" w:color="auto"/>
            </w:tcBorders>
            <w:hideMark/>
          </w:tcPr>
          <w:p w14:paraId="36173170" w14:textId="7777777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Clinical criteria:</w:t>
            </w:r>
          </w:p>
        </w:tc>
      </w:tr>
      <w:tr w:rsidR="00991026" w:rsidRPr="00991026" w14:paraId="32F455E2"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00B266F6" w14:textId="57A20C56"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57249EFE"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Patient must be considered unsuitable for treatment or retreatment with a purine analogue</w:t>
            </w:r>
          </w:p>
        </w:tc>
        <w:bookmarkEnd w:id="61"/>
      </w:tr>
      <w:tr w:rsidR="00991026" w:rsidRPr="00991026" w14:paraId="7D79DD0C"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628F9BB6" w14:textId="77777777" w:rsidR="00CC3B89" w:rsidRPr="00991026" w:rsidRDefault="00CC3B89" w:rsidP="00D12BAD">
            <w:pPr>
              <w:spacing w:line="256" w:lineRule="auto"/>
              <w:rPr>
                <w:rFonts w:ascii="Arial Narrow" w:eastAsia="Times New Roman" w:hAnsi="Arial Narrow" w:cs="Open Sans"/>
                <w:b w:val="0"/>
                <w:bCs w:val="0"/>
                <w:strike/>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3A558270"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b/>
                <w:bCs/>
                <w:sz w:val="20"/>
                <w:szCs w:val="20"/>
                <w:bdr w:val="none" w:sz="0" w:space="0" w:color="auto" w:frame="1"/>
                <w:lang w:eastAsia="en-AU"/>
              </w:rPr>
              <w:t>AND</w:t>
            </w:r>
          </w:p>
        </w:tc>
      </w:tr>
      <w:tr w:rsidR="00991026" w:rsidRPr="00991026" w14:paraId="2C361387"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472217CF" w14:textId="7EC01901"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01F8432F"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b/>
                <w:bCs/>
                <w:sz w:val="20"/>
                <w:szCs w:val="20"/>
                <w:bdr w:val="none" w:sz="0" w:space="0" w:color="auto" w:frame="1"/>
                <w:lang w:eastAsia="en-AU"/>
              </w:rPr>
              <w:t>Clinical criteria:</w:t>
            </w:r>
          </w:p>
        </w:tc>
      </w:tr>
      <w:tr w:rsidR="00991026" w:rsidRPr="00991026" w14:paraId="7DAED22C"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3197F764" w14:textId="2A8C2C6F"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2DFA7D8A"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sz w:val="20"/>
                <w:szCs w:val="20"/>
                <w:lang w:eastAsia="en-AU"/>
              </w:rPr>
              <w:t>The condition must have relapsed or be refractory to at least one prior therapy</w:t>
            </w:r>
          </w:p>
        </w:tc>
      </w:tr>
      <w:tr w:rsidR="00991026" w:rsidRPr="00991026" w14:paraId="749394FF"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36C1E748" w14:textId="5E91558B" w:rsidR="00CC3B89" w:rsidRPr="00991026" w:rsidRDefault="00CC3B89" w:rsidP="00D12BAD">
            <w:pPr>
              <w:spacing w:line="256" w:lineRule="auto"/>
              <w:jc w:val="center"/>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47D29464"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AND</w:t>
            </w:r>
          </w:p>
        </w:tc>
      </w:tr>
      <w:tr w:rsidR="00991026" w:rsidRPr="00991026" w14:paraId="1F631852"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5CC7DE37" w14:textId="088BB0AF"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7AA4CD40" w14:textId="7777777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Clinical criteria:</w:t>
            </w:r>
          </w:p>
        </w:tc>
      </w:tr>
      <w:tr w:rsidR="00991026" w:rsidRPr="00991026" w14:paraId="31E01328"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37A8D63C" w14:textId="7205CE5C"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632F8A78"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Patient must have a WHO performance status of 0 or 1</w:t>
            </w:r>
          </w:p>
        </w:tc>
      </w:tr>
      <w:tr w:rsidR="00991026" w:rsidRPr="00991026" w14:paraId="31A4B3DE"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7C4BBF24" w14:textId="77777777" w:rsidR="00CC3B89" w:rsidRPr="00991026" w:rsidRDefault="00CC3B89" w:rsidP="00D12BAD">
            <w:pPr>
              <w:spacing w:line="256" w:lineRule="auto"/>
              <w:jc w:val="center"/>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00F0D193"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b/>
                <w:bCs/>
                <w:sz w:val="20"/>
                <w:szCs w:val="20"/>
                <w:bdr w:val="none" w:sz="0" w:space="0" w:color="auto" w:frame="1"/>
                <w:lang w:eastAsia="en-AU"/>
              </w:rPr>
              <w:t>AND</w:t>
            </w:r>
          </w:p>
        </w:tc>
      </w:tr>
      <w:tr w:rsidR="00991026" w:rsidRPr="00991026" w14:paraId="6D6AA795"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16951FB9" w14:textId="63CAA6BE"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71EEB38A"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b/>
                <w:bCs/>
                <w:sz w:val="20"/>
                <w:szCs w:val="20"/>
                <w:bdr w:val="none" w:sz="0" w:space="0" w:color="auto" w:frame="1"/>
                <w:lang w:eastAsia="en-AU"/>
              </w:rPr>
              <w:t>Clinical criteria:</w:t>
            </w:r>
          </w:p>
        </w:tc>
      </w:tr>
      <w:tr w:rsidR="00991026" w:rsidRPr="00991026" w14:paraId="6EC28DE3"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2FABFDAF" w14:textId="706BA2A8"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742FF478"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sz w:val="20"/>
                <w:szCs w:val="20"/>
                <w:lang w:eastAsia="en-AU"/>
              </w:rPr>
              <w:t>The treatment must be the sole PBS-subsidised therapy for this condition</w:t>
            </w:r>
          </w:p>
        </w:tc>
      </w:tr>
      <w:tr w:rsidR="00991026" w:rsidRPr="00991026" w14:paraId="3DB9B9FF"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8CA25B1" w14:textId="6C4C0CDA"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vAlign w:val="center"/>
          </w:tcPr>
          <w:p w14:paraId="3E14C441"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i/>
                <w:iCs/>
                <w:strike/>
                <w:sz w:val="20"/>
                <w:szCs w:val="20"/>
                <w:lang w:eastAsia="en-AU"/>
              </w:rPr>
            </w:pPr>
            <w:r w:rsidRPr="00991026">
              <w:rPr>
                <w:rFonts w:ascii="Arial Narrow" w:eastAsia="Times New Roman" w:hAnsi="Arial Narrow"/>
                <w:b/>
                <w:bCs/>
                <w:i/>
                <w:iCs/>
                <w:sz w:val="20"/>
                <w:szCs w:val="20"/>
                <w:lang w:eastAsia="en-AU"/>
              </w:rPr>
              <w:t>AND</w:t>
            </w:r>
          </w:p>
        </w:tc>
      </w:tr>
      <w:tr w:rsidR="00991026" w:rsidRPr="00991026" w14:paraId="51E7D59F"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192130F3" w14:textId="3C95F0EB"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vAlign w:val="center"/>
          </w:tcPr>
          <w:p w14:paraId="295F8E6E"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i/>
                <w:iCs/>
                <w:strike/>
                <w:sz w:val="20"/>
                <w:szCs w:val="20"/>
                <w:lang w:eastAsia="en-AU"/>
              </w:rPr>
            </w:pPr>
            <w:r w:rsidRPr="00991026">
              <w:rPr>
                <w:rFonts w:ascii="Arial Narrow" w:eastAsia="Times New Roman" w:hAnsi="Arial Narrow"/>
                <w:b/>
                <w:bCs/>
                <w:i/>
                <w:iCs/>
                <w:sz w:val="20"/>
                <w:szCs w:val="20"/>
                <w:lang w:eastAsia="en-AU"/>
              </w:rPr>
              <w:t>Clinical criteria:</w:t>
            </w:r>
          </w:p>
        </w:tc>
      </w:tr>
      <w:tr w:rsidR="00991026" w:rsidRPr="00991026" w14:paraId="45A74296"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5FB0F6D" w14:textId="5F484C99"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vAlign w:val="center"/>
          </w:tcPr>
          <w:p w14:paraId="4B8B9A32" w14:textId="3236246D" w:rsidR="00CC3B89" w:rsidRPr="00991026" w:rsidRDefault="008744B0"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i/>
                <w:iCs/>
                <w:strike/>
                <w:sz w:val="20"/>
                <w:szCs w:val="20"/>
                <w:lang w:eastAsia="en-AU"/>
              </w:rPr>
            </w:pPr>
            <w:r w:rsidRPr="00991026">
              <w:rPr>
                <w:rFonts w:ascii="Arial Narrow" w:eastAsia="Times New Roman" w:hAnsi="Arial Narrow"/>
                <w:i/>
                <w:iCs/>
                <w:sz w:val="20"/>
                <w:szCs w:val="20"/>
                <w:lang w:eastAsia="en-AU"/>
              </w:rPr>
              <w:t>The treatment must only be prescribed for patients with active disease in accordance with the International Workshop on CLL (iwCLL) guidance (latest version) in relation to when to prescribe drug treatment for this condition</w:t>
            </w:r>
          </w:p>
        </w:tc>
      </w:tr>
      <w:tr w:rsidR="00991026" w:rsidRPr="00991026" w14:paraId="2892718C"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3CB246D7" w14:textId="73AF72A1" w:rsidR="00CC3B89" w:rsidRPr="00991026" w:rsidRDefault="00CC3B89" w:rsidP="00D12BAD">
            <w:pPr>
              <w:spacing w:line="256" w:lineRule="auto"/>
              <w:jc w:val="center"/>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1E54717C"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AND</w:t>
            </w:r>
          </w:p>
        </w:tc>
      </w:tr>
      <w:tr w:rsidR="00991026" w:rsidRPr="00991026" w14:paraId="0AC8C30E" w14:textId="77777777" w:rsidTr="00664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151AD6FD" w14:textId="2CCD7DA8"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41B65431"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Clinical criteria:</w:t>
            </w:r>
          </w:p>
        </w:tc>
      </w:tr>
      <w:tr w:rsidR="00991026" w:rsidRPr="00991026" w14:paraId="0E88FC1A" w14:textId="77777777" w:rsidTr="006647F2">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52EFAF1A" w14:textId="625A508C"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hideMark/>
          </w:tcPr>
          <w:p w14:paraId="501D4911"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The treatment must be used as monotherapy for this condition under this restriction</w:t>
            </w:r>
          </w:p>
        </w:tc>
      </w:tr>
      <w:tr w:rsidR="00991026" w:rsidRPr="00991026" w14:paraId="6AB860E8"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383C2CA4" w14:textId="3DD105BE"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tcPr>
          <w:p w14:paraId="77895615"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z w:val="20"/>
                <w:szCs w:val="20"/>
                <w:lang w:eastAsia="en-AU"/>
              </w:rPr>
            </w:pPr>
          </w:p>
        </w:tc>
      </w:tr>
      <w:tr w:rsidR="00991026" w:rsidRPr="00991026" w14:paraId="3DB45EDA"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3E6A9918" w14:textId="16D61FAB"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vAlign w:val="center"/>
          </w:tcPr>
          <w:p w14:paraId="1A800E61"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i/>
                <w:iCs/>
                <w:sz w:val="20"/>
                <w:szCs w:val="20"/>
                <w:lang w:eastAsia="en-AU"/>
              </w:rPr>
            </w:pPr>
            <w:r w:rsidRPr="00991026">
              <w:rPr>
                <w:rFonts w:ascii="Arial Narrow" w:eastAsia="Times New Roman" w:hAnsi="Arial Narrow"/>
                <w:b/>
                <w:bCs/>
                <w:i/>
                <w:iCs/>
                <w:sz w:val="20"/>
                <w:szCs w:val="20"/>
                <w:lang w:eastAsia="en-AU"/>
              </w:rPr>
              <w:t>Treatment criteria:</w:t>
            </w:r>
          </w:p>
        </w:tc>
      </w:tr>
      <w:tr w:rsidR="00991026" w:rsidRPr="00991026" w14:paraId="42719206"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4BA7B333" w14:textId="2F89AE33"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vAlign w:val="center"/>
          </w:tcPr>
          <w:p w14:paraId="7B929BD7" w14:textId="436AC015"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i/>
                <w:iCs/>
                <w:sz w:val="20"/>
                <w:szCs w:val="20"/>
                <w:lang w:eastAsia="en-AU"/>
              </w:rPr>
            </w:pPr>
            <w:r w:rsidRPr="00991026">
              <w:rPr>
                <w:rFonts w:ascii="Arial Narrow" w:eastAsia="Times New Roman" w:hAnsi="Arial Narrow"/>
                <w:i/>
                <w:iCs/>
                <w:sz w:val="20"/>
                <w:szCs w:val="20"/>
                <w:lang w:eastAsia="en-AU"/>
              </w:rPr>
              <w:t>Patient must not be undergoing retreatment with this drug where prior, active treatment of CLL/SLL with this same drug was unable to prevent disease progression</w:t>
            </w:r>
          </w:p>
        </w:tc>
      </w:tr>
      <w:tr w:rsidR="00991026" w:rsidRPr="00991026" w14:paraId="426538EC"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19FBC108" w14:textId="77777777"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tcPr>
          <w:p w14:paraId="6A290301" w14:textId="77777777" w:rsidR="00CC3B89" w:rsidRPr="00991026" w:rsidRDefault="00CC3B89" w:rsidP="00D12BAD">
            <w:pPr>
              <w:ind w:left="-57"/>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sz w:val="20"/>
                <w:szCs w:val="20"/>
                <w:lang w:eastAsia="en-AU"/>
              </w:rPr>
            </w:pPr>
          </w:p>
        </w:tc>
      </w:tr>
      <w:tr w:rsidR="00991026" w:rsidRPr="00991026" w14:paraId="252C096D"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086CC034" w14:textId="4FECB484"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hideMark/>
          </w:tcPr>
          <w:p w14:paraId="4F163C1E"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b/>
                <w:bCs/>
                <w:strike/>
                <w:sz w:val="20"/>
                <w:szCs w:val="20"/>
                <w:bdr w:val="none" w:sz="0" w:space="0" w:color="auto" w:frame="1"/>
                <w:lang w:eastAsia="en-AU"/>
              </w:rPr>
              <w:t>Prescribing Instructions:</w:t>
            </w:r>
          </w:p>
          <w:p w14:paraId="230D31B4"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A patient is considered unsuitable for treatment or retreatment with a purine analogue as demonstrated by at least one of the following:</w:t>
            </w:r>
          </w:p>
          <w:p w14:paraId="4C3881F5"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a) Failure to respond (stable disease or disease progression on treatment), or a progression-free interval of less than 3 years from treatment with a purine analogue-based therapy and anti-CD20-containing chemoimmunotherapy regimen after at least two cycles;</w:t>
            </w:r>
          </w:p>
          <w:p w14:paraId="2EDE7D5B"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b) Age is 70 years or older;</w:t>
            </w:r>
          </w:p>
          <w:p w14:paraId="287BCE5F"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14:paraId="30A8E2D6"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trike/>
                <w:sz w:val="20"/>
                <w:szCs w:val="20"/>
                <w:lang w:eastAsia="en-AU"/>
              </w:rPr>
            </w:pPr>
            <w:r w:rsidRPr="00991026">
              <w:rPr>
                <w:rFonts w:ascii="Arial Narrow" w:eastAsia="Times New Roman" w:hAnsi="Arial Narrow" w:cs="Open Sans"/>
                <w:strike/>
                <w:sz w:val="20"/>
                <w:szCs w:val="20"/>
                <w:lang w:eastAsia="en-AU"/>
              </w:rPr>
              <w:t>d) History of purine analogue-associated autoimmune anaemia or autoimmune thrombocytopenia;</w:t>
            </w:r>
          </w:p>
          <w:p w14:paraId="5A12FACA"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sz w:val="20"/>
                <w:szCs w:val="20"/>
                <w:lang w:eastAsia="en-AU"/>
              </w:rPr>
            </w:pPr>
            <w:r w:rsidRPr="00991026">
              <w:rPr>
                <w:rFonts w:ascii="Arial Narrow" w:eastAsia="Times New Roman" w:hAnsi="Arial Narrow" w:cs="Open Sans"/>
                <w:strike/>
                <w:sz w:val="20"/>
                <w:szCs w:val="20"/>
                <w:lang w:eastAsia="en-AU"/>
              </w:rPr>
              <w:t>e) Evidence of one or more 17p chromosomal deletions demonstrated by a Medicare Benefits Schedule listed test.</w:t>
            </w:r>
          </w:p>
        </w:tc>
      </w:tr>
      <w:tr w:rsidR="00991026" w:rsidRPr="00991026" w14:paraId="0BC1AB36"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25725F9C" w14:textId="77777777" w:rsidR="00CC3B89" w:rsidRPr="00991026" w:rsidRDefault="00CC3B89" w:rsidP="00D12BAD">
            <w:pPr>
              <w:jc w:val="center"/>
              <w:textAlignment w:val="baseline"/>
              <w:rPr>
                <w:rFonts w:ascii="Arial Narrow" w:eastAsia="Times New Roman" w:hAnsi="Arial Narrow" w:cs="Open Sans"/>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tcPr>
          <w:p w14:paraId="2FCAA250" w14:textId="7777777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b/>
                <w:bCs/>
                <w:strike/>
                <w:sz w:val="20"/>
                <w:szCs w:val="20"/>
                <w:bdr w:val="none" w:sz="0" w:space="0" w:color="auto" w:frame="1"/>
                <w:lang w:eastAsia="en-AU"/>
              </w:rPr>
            </w:pPr>
          </w:p>
        </w:tc>
      </w:tr>
      <w:tr w:rsidR="00991026" w:rsidRPr="00991026" w14:paraId="633C81F8"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2F48D8E" w14:textId="46D60B90"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Pr>
          <w:p w14:paraId="0AE758B5"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i/>
                <w:iCs/>
                <w:sz w:val="20"/>
                <w:szCs w:val="20"/>
                <w:lang w:eastAsia="en-AU"/>
              </w:rPr>
            </w:pPr>
            <w:r w:rsidRPr="00991026">
              <w:rPr>
                <w:rFonts w:ascii="Arial Narrow" w:eastAsia="Times New Roman" w:hAnsi="Arial Narrow" w:cs="Open Sans"/>
                <w:b/>
                <w:bCs/>
                <w:i/>
                <w:iCs/>
                <w:sz w:val="20"/>
                <w:szCs w:val="20"/>
                <w:bdr w:val="none" w:sz="0" w:space="0" w:color="auto" w:frame="1"/>
                <w:lang w:eastAsia="en-AU"/>
              </w:rPr>
              <w:t>Administrative Advice:</w:t>
            </w:r>
          </w:p>
          <w:p w14:paraId="6842BC3E"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b/>
                <w:bCs/>
                <w:i/>
                <w:iCs/>
                <w:sz w:val="20"/>
                <w:szCs w:val="20"/>
                <w:bdr w:val="none" w:sz="0" w:space="0" w:color="auto" w:frame="1"/>
                <w:lang w:eastAsia="en-AU"/>
              </w:rPr>
            </w:pPr>
            <w:r w:rsidRPr="00991026">
              <w:rPr>
                <w:rFonts w:ascii="Arial Narrow" w:eastAsia="Times New Roman" w:hAnsi="Arial Narrow" w:cs="Open Sans"/>
                <w:i/>
                <w:iCs/>
                <w:sz w:val="20"/>
                <w:szCs w:val="20"/>
                <w:lang w:eastAsia="en-AU"/>
              </w:rPr>
              <w:t>Applications for authorisation under this restriction may be made in real time using the Online PBS Authorities system (see www.servicesaustralia.gov.au/HPOS) or by telephone by contacting Services Australia on 1800 888 333.</w:t>
            </w:r>
          </w:p>
        </w:tc>
      </w:tr>
      <w:tr w:rsidR="00991026" w:rsidRPr="00991026" w14:paraId="7DD8B510"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2352F311" w14:textId="1C866476" w:rsidR="00CC3B89" w:rsidRPr="00991026" w:rsidRDefault="00CC3B89" w:rsidP="00D12BAD">
            <w:pPr>
              <w:jc w:val="center"/>
              <w:textAlignment w:val="baseline"/>
              <w:rPr>
                <w:rFonts w:ascii="Arial Narrow" w:eastAsia="Times New Roman" w:hAnsi="Arial Narrow" w:cs="Open Sans"/>
                <w:sz w:val="20"/>
                <w:szCs w:val="20"/>
                <w:lang w:eastAsia="en-AU"/>
              </w:rPr>
            </w:pPr>
          </w:p>
        </w:tc>
        <w:tc>
          <w:tcPr>
            <w:tcW w:w="7938" w:type="dxa"/>
            <w:tcBorders>
              <w:left w:val="single" w:sz="4" w:space="0" w:color="auto"/>
              <w:right w:val="single" w:sz="4" w:space="0" w:color="auto"/>
            </w:tcBorders>
          </w:tcPr>
          <w:p w14:paraId="4043A333" w14:textId="7777777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b/>
                <w:bCs/>
                <w:strike/>
                <w:sz w:val="20"/>
                <w:szCs w:val="20"/>
                <w:bdr w:val="none" w:sz="0" w:space="0" w:color="auto" w:frame="1"/>
                <w:lang w:eastAsia="en-AU"/>
              </w:rPr>
            </w:pPr>
            <w:r w:rsidRPr="00991026">
              <w:rPr>
                <w:rFonts w:ascii="Arial Narrow" w:eastAsia="Times New Roman" w:hAnsi="Arial Narrow" w:cs="Open Sans"/>
                <w:b/>
                <w:bCs/>
                <w:sz w:val="20"/>
                <w:szCs w:val="20"/>
                <w:bdr w:val="none" w:sz="0" w:space="0" w:color="auto" w:frame="1"/>
                <w:lang w:eastAsia="en-AU"/>
              </w:rPr>
              <w:t>Administrative Advice</w:t>
            </w:r>
            <w:r w:rsidRPr="00991026">
              <w:rPr>
                <w:rFonts w:ascii="Arial Narrow" w:eastAsia="Times New Roman" w:hAnsi="Arial Narrow" w:cs="Open Sans"/>
                <w:sz w:val="20"/>
                <w:szCs w:val="20"/>
                <w:bdr w:val="none" w:sz="0" w:space="0" w:color="auto" w:frame="1"/>
                <w:lang w:eastAsia="en-AU"/>
              </w:rPr>
              <w:t xml:space="preserve">: </w:t>
            </w:r>
            <w:r w:rsidRPr="00991026">
              <w:rPr>
                <w:rFonts w:ascii="Arial Narrow" w:eastAsia="Times New Roman" w:hAnsi="Arial Narrow" w:cs="Open Sans"/>
                <w:sz w:val="20"/>
                <w:szCs w:val="20"/>
                <w:lang w:eastAsia="en-AU"/>
              </w:rPr>
              <w:t>No increase in the maximum quantity or number of units may be authorised.</w:t>
            </w:r>
          </w:p>
        </w:tc>
      </w:tr>
      <w:tr w:rsidR="00991026" w:rsidRPr="00991026" w14:paraId="7068B570"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tcPr>
          <w:p w14:paraId="7DA72956" w14:textId="6AC8D1D7" w:rsidR="00CC3B89" w:rsidRPr="00991026" w:rsidRDefault="00CC3B89" w:rsidP="00D12BAD">
            <w:pPr>
              <w:jc w:val="center"/>
              <w:textAlignment w:val="baseline"/>
              <w:rPr>
                <w:rFonts w:ascii="Arial Narrow" w:eastAsia="Times New Roman" w:hAnsi="Arial Narrow" w:cs="Open Sans"/>
                <w:sz w:val="20"/>
                <w:szCs w:val="20"/>
                <w:lang w:eastAsia="en-AU"/>
              </w:rPr>
            </w:pPr>
          </w:p>
        </w:tc>
        <w:tc>
          <w:tcPr>
            <w:tcW w:w="7938" w:type="dxa"/>
            <w:tcBorders>
              <w:top w:val="single" w:sz="4" w:space="0" w:color="auto"/>
              <w:left w:val="single" w:sz="4" w:space="0" w:color="auto"/>
              <w:bottom w:val="single" w:sz="4" w:space="0" w:color="auto"/>
              <w:right w:val="single" w:sz="4" w:space="0" w:color="auto"/>
            </w:tcBorders>
          </w:tcPr>
          <w:p w14:paraId="10E9B245"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b/>
                <w:bCs/>
                <w:strike/>
                <w:sz w:val="20"/>
                <w:szCs w:val="20"/>
                <w:bdr w:val="none" w:sz="0" w:space="0" w:color="auto" w:frame="1"/>
                <w:lang w:eastAsia="en-AU"/>
              </w:rPr>
            </w:pPr>
            <w:r w:rsidRPr="00991026">
              <w:rPr>
                <w:rFonts w:ascii="Arial Narrow" w:eastAsia="Times New Roman" w:hAnsi="Arial Narrow" w:cs="Open Sans"/>
                <w:b/>
                <w:bCs/>
                <w:sz w:val="20"/>
                <w:szCs w:val="20"/>
                <w:bdr w:val="none" w:sz="0" w:space="0" w:color="auto" w:frame="1"/>
                <w:lang w:eastAsia="en-AU"/>
              </w:rPr>
              <w:t xml:space="preserve">Administrative Advice: </w:t>
            </w:r>
            <w:r w:rsidRPr="00991026">
              <w:rPr>
                <w:rFonts w:ascii="Arial Narrow" w:eastAsia="Times New Roman" w:hAnsi="Arial Narrow" w:cs="Open Sans"/>
                <w:sz w:val="20"/>
                <w:szCs w:val="20"/>
                <w:lang w:eastAsia="en-AU"/>
              </w:rPr>
              <w:t>No increase in the maximum number of repeats may be authorised.</w:t>
            </w:r>
          </w:p>
        </w:tc>
      </w:tr>
      <w:tr w:rsidR="00991026" w:rsidRPr="00991026" w14:paraId="4F6FDC90" w14:textId="77777777" w:rsidTr="00D12BAD">
        <w:tc>
          <w:tcPr>
            <w:cnfStyle w:val="001000000000" w:firstRow="0" w:lastRow="0" w:firstColumn="1" w:lastColumn="0" w:oddVBand="0" w:evenVBand="0" w:oddHBand="0" w:evenHBand="0" w:firstRowFirstColumn="0" w:firstRowLastColumn="0" w:lastRowFirstColumn="0" w:lastRowLastColumn="0"/>
            <w:tcW w:w="1129" w:type="dxa"/>
            <w:tcBorders>
              <w:left w:val="single" w:sz="4" w:space="0" w:color="auto"/>
              <w:right w:val="single" w:sz="4" w:space="0" w:color="auto"/>
            </w:tcBorders>
          </w:tcPr>
          <w:p w14:paraId="7C05889D" w14:textId="3527102E"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Borders>
              <w:left w:val="single" w:sz="4" w:space="0" w:color="auto"/>
              <w:right w:val="single" w:sz="4" w:space="0" w:color="auto"/>
            </w:tcBorders>
          </w:tcPr>
          <w:p w14:paraId="7B56E3D8" w14:textId="153A5367" w:rsidR="00CC3B89" w:rsidRPr="00991026" w:rsidRDefault="00CC3B89" w:rsidP="00D12BAD">
            <w:pPr>
              <w:ind w:left="-57"/>
              <w:textAlignment w:val="baseline"/>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Open Sans"/>
                <w:b/>
                <w:bCs/>
                <w:sz w:val="20"/>
                <w:szCs w:val="20"/>
                <w:bdr w:val="none" w:sz="0" w:space="0" w:color="auto" w:frame="1"/>
                <w:lang w:eastAsia="en-AU"/>
              </w:rPr>
            </w:pPr>
            <w:r w:rsidRPr="00991026">
              <w:rPr>
                <w:rFonts w:ascii="Arial Narrow" w:eastAsia="Times New Roman" w:hAnsi="Arial Narrow" w:cs="Open Sans"/>
                <w:b/>
                <w:bCs/>
                <w:sz w:val="20"/>
                <w:szCs w:val="20"/>
                <w:bdr w:val="none" w:sz="0" w:space="0" w:color="auto" w:frame="1"/>
                <w:lang w:eastAsia="en-AU"/>
              </w:rPr>
              <w:t>Administrative Advi</w:t>
            </w:r>
            <w:r w:rsidR="00D813F2">
              <w:rPr>
                <w:rFonts w:ascii="Arial Narrow" w:eastAsia="Times New Roman" w:hAnsi="Arial Narrow" w:cs="Open Sans"/>
                <w:b/>
                <w:bCs/>
                <w:sz w:val="20"/>
                <w:szCs w:val="20"/>
                <w:bdr w:val="none" w:sz="0" w:space="0" w:color="auto" w:frame="1"/>
                <w:lang w:eastAsia="en-AU"/>
              </w:rPr>
              <w:t>c</w:t>
            </w:r>
            <w:r w:rsidRPr="00991026">
              <w:rPr>
                <w:rFonts w:ascii="Arial Narrow" w:eastAsia="Times New Roman" w:hAnsi="Arial Narrow" w:cs="Open Sans"/>
                <w:b/>
                <w:bCs/>
                <w:sz w:val="20"/>
                <w:szCs w:val="20"/>
                <w:bdr w:val="none" w:sz="0" w:space="0" w:color="auto" w:frame="1"/>
                <w:lang w:eastAsia="en-AU"/>
              </w:rPr>
              <w:t xml:space="preserve">e: </w:t>
            </w:r>
            <w:r w:rsidRPr="00991026">
              <w:rPr>
                <w:rFonts w:ascii="Arial Narrow" w:eastAsia="Times New Roman" w:hAnsi="Arial Narrow" w:cs="Open Sans"/>
                <w:sz w:val="20"/>
                <w:szCs w:val="20"/>
                <w:lang w:eastAsia="en-AU"/>
              </w:rPr>
              <w:t>Special Pricing Arrangements apply.</w:t>
            </w:r>
          </w:p>
        </w:tc>
      </w:tr>
      <w:tr w:rsidR="00991026" w:rsidRPr="00991026" w14:paraId="73D32705" w14:textId="77777777" w:rsidTr="00D12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A33AA46" w14:textId="36A47DEB" w:rsidR="00CC3B89" w:rsidRPr="00991026" w:rsidRDefault="00CC3B89" w:rsidP="00D12BAD">
            <w:pPr>
              <w:jc w:val="center"/>
              <w:textAlignment w:val="baseline"/>
              <w:rPr>
                <w:rFonts w:ascii="Arial Narrow" w:eastAsia="Times New Roman" w:hAnsi="Arial Narrow" w:cs="Open Sans"/>
                <w:b w:val="0"/>
                <w:bCs w:val="0"/>
                <w:sz w:val="20"/>
                <w:szCs w:val="20"/>
                <w:lang w:eastAsia="en-AU"/>
              </w:rPr>
            </w:pPr>
          </w:p>
        </w:tc>
        <w:tc>
          <w:tcPr>
            <w:tcW w:w="7938" w:type="dxa"/>
          </w:tcPr>
          <w:p w14:paraId="7B17F7FF"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i/>
                <w:iCs/>
                <w:sz w:val="20"/>
                <w:szCs w:val="20"/>
                <w:lang w:eastAsia="en-AU"/>
              </w:rPr>
            </w:pPr>
            <w:r w:rsidRPr="00991026">
              <w:rPr>
                <w:rFonts w:ascii="Arial Narrow" w:eastAsia="Times New Roman" w:hAnsi="Arial Narrow"/>
                <w:b/>
                <w:bCs/>
                <w:i/>
                <w:iCs/>
                <w:sz w:val="20"/>
                <w:szCs w:val="20"/>
                <w:lang w:eastAsia="en-AU"/>
              </w:rPr>
              <w:t xml:space="preserve">Administrative advice: </w:t>
            </w:r>
          </w:p>
          <w:p w14:paraId="6191F728"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i/>
                <w:iCs/>
                <w:sz w:val="20"/>
                <w:szCs w:val="20"/>
                <w:lang w:eastAsia="en-AU"/>
              </w:rPr>
            </w:pPr>
            <w:r w:rsidRPr="00991026">
              <w:rPr>
                <w:rFonts w:ascii="Arial Narrow" w:eastAsia="Times New Roman" w:hAnsi="Arial Narrow"/>
                <w:i/>
                <w:iCs/>
                <w:sz w:val="20"/>
                <w:szCs w:val="20"/>
                <w:lang w:eastAsia="en-AU"/>
              </w:rPr>
              <w:t>The latest International Workshop on CLL (iwCLL) provides guidance on various aspects of management of CLL/SLL. Notably, two of these are:</w:t>
            </w:r>
          </w:p>
          <w:p w14:paraId="37C3ADBF"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i/>
                <w:iCs/>
                <w:sz w:val="20"/>
                <w:szCs w:val="20"/>
                <w:lang w:eastAsia="en-AU"/>
              </w:rPr>
            </w:pPr>
            <w:r w:rsidRPr="00991026">
              <w:rPr>
                <w:rFonts w:ascii="Arial Narrow" w:eastAsia="Times New Roman" w:hAnsi="Arial Narrow"/>
                <w:i/>
                <w:iCs/>
                <w:sz w:val="20"/>
                <w:szCs w:val="20"/>
                <w:lang w:eastAsia="en-AU"/>
              </w:rPr>
              <w:t>(1) when to treat versus when to monitor the patient without therapy – see ‘Indications for treatment’ section; and</w:t>
            </w:r>
          </w:p>
          <w:p w14:paraId="68ED47A9"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i/>
                <w:iCs/>
                <w:sz w:val="20"/>
                <w:szCs w:val="20"/>
                <w:lang w:eastAsia="en-AU"/>
              </w:rPr>
            </w:pPr>
            <w:r w:rsidRPr="00991026">
              <w:rPr>
                <w:rFonts w:ascii="Arial Narrow" w:eastAsia="Times New Roman" w:hAnsi="Arial Narrow"/>
                <w:i/>
                <w:iCs/>
                <w:sz w:val="20"/>
                <w:szCs w:val="20"/>
                <w:lang w:eastAsia="en-AU"/>
              </w:rPr>
              <w:t>(2) recognising progressive disease – see ‘Definition of response, relapse, and refractory disease’ section.</w:t>
            </w:r>
          </w:p>
          <w:p w14:paraId="71E2FEF9"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i/>
                <w:iCs/>
                <w:sz w:val="20"/>
                <w:szCs w:val="20"/>
                <w:lang w:eastAsia="en-AU"/>
              </w:rPr>
            </w:pPr>
          </w:p>
          <w:p w14:paraId="2C5C9BD5" w14:textId="77777777" w:rsidR="00CC3B89" w:rsidRPr="00991026" w:rsidRDefault="00CC3B89" w:rsidP="00D12BAD">
            <w:pPr>
              <w:ind w:left="-57"/>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i/>
                <w:iCs/>
                <w:sz w:val="20"/>
                <w:szCs w:val="20"/>
                <w:lang w:eastAsia="en-AU"/>
              </w:rPr>
            </w:pPr>
            <w:r w:rsidRPr="00991026">
              <w:rPr>
                <w:rFonts w:ascii="Arial Narrow" w:eastAsia="Times New Roman" w:hAnsi="Arial Narrow"/>
                <w:i/>
                <w:iCs/>
                <w:sz w:val="20"/>
                <w:szCs w:val="20"/>
                <w:lang w:eastAsia="en-AU"/>
              </w:rPr>
              <w:t>See the following literature reference for details:</w:t>
            </w:r>
          </w:p>
          <w:p w14:paraId="77D2FA24" w14:textId="77777777" w:rsidR="00CC3B89" w:rsidRPr="00991026" w:rsidRDefault="00CC3B89" w:rsidP="00D12BAD">
            <w:pPr>
              <w:ind w:left="-57"/>
              <w:textAlignment w:val="baseline"/>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Open Sans"/>
                <w:b/>
                <w:bCs/>
                <w:sz w:val="20"/>
                <w:szCs w:val="20"/>
                <w:bdr w:val="none" w:sz="0" w:space="0" w:color="auto" w:frame="1"/>
                <w:lang w:eastAsia="en-AU"/>
              </w:rPr>
            </w:pPr>
            <w:r w:rsidRPr="00991026">
              <w:rPr>
                <w:rFonts w:ascii="Arial Narrow" w:eastAsia="Times New Roman" w:hAnsi="Arial Narrow"/>
                <w:i/>
                <w:iCs/>
                <w:sz w:val="20"/>
                <w:szCs w:val="20"/>
                <w:lang w:eastAsia="en-AU"/>
              </w:rPr>
              <w:t>Hallek, M et al. iwCLL guidelines for diagnosis, indications for treatment, response assessment, and supportive management of CLL. Blood vol. 131, 25 (2018): 2745-2760.</w:t>
            </w:r>
          </w:p>
        </w:tc>
      </w:tr>
    </w:tbl>
    <w:p w14:paraId="068CD30C" w14:textId="65AC2FD3" w:rsidR="00CC3B89" w:rsidRPr="00991026" w:rsidRDefault="00CC3B89" w:rsidP="00CC3B89"/>
    <w:p w14:paraId="19B39409" w14:textId="77777777" w:rsidR="006C5FBB" w:rsidRPr="00991026" w:rsidRDefault="006C5FBB" w:rsidP="00CC3B8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417"/>
        <w:gridCol w:w="1276"/>
        <w:gridCol w:w="1276"/>
        <w:gridCol w:w="992"/>
        <w:gridCol w:w="1417"/>
      </w:tblGrid>
      <w:tr w:rsidR="00991026" w:rsidRPr="00991026" w14:paraId="1DB547A9" w14:textId="77777777" w:rsidTr="00D12BAD">
        <w:trPr>
          <w:cantSplit/>
          <w:trHeight w:val="339"/>
        </w:trPr>
        <w:tc>
          <w:tcPr>
            <w:tcW w:w="9067" w:type="dxa"/>
            <w:gridSpan w:val="6"/>
            <w:tcBorders>
              <w:top w:val="single" w:sz="4" w:space="0" w:color="auto"/>
              <w:left w:val="single" w:sz="4" w:space="0" w:color="auto"/>
              <w:bottom w:val="single" w:sz="4" w:space="0" w:color="auto"/>
              <w:right w:val="single" w:sz="4" w:space="0" w:color="auto"/>
            </w:tcBorders>
          </w:tcPr>
          <w:p w14:paraId="638919F2" w14:textId="77777777" w:rsidR="00CC3B89" w:rsidRPr="00991026" w:rsidRDefault="00CC3B89" w:rsidP="00D12BAD">
            <w:pPr>
              <w:keepNext/>
              <w:ind w:left="-57"/>
              <w:rPr>
                <w:rFonts w:ascii="Arial Narrow" w:hAnsi="Arial Narrow"/>
                <w:b/>
                <w:sz w:val="20"/>
                <w:szCs w:val="20"/>
              </w:rPr>
            </w:pPr>
            <w:bookmarkStart w:id="62" w:name="_Hlk129791721"/>
            <w:bookmarkStart w:id="63" w:name="_Hlk129700676"/>
            <w:r w:rsidRPr="00991026">
              <w:rPr>
                <w:rFonts w:ascii="Arial Narrow" w:hAnsi="Arial Narrow"/>
                <w:b/>
                <w:sz w:val="20"/>
                <w:szCs w:val="20"/>
              </w:rPr>
              <w:t xml:space="preserve">Category / Program: </w:t>
            </w:r>
            <w:r w:rsidRPr="00991026">
              <w:rPr>
                <w:rFonts w:ascii="Arial Narrow" w:hAnsi="Arial Narrow"/>
                <w:sz w:val="20"/>
                <w:szCs w:val="20"/>
              </w:rPr>
              <w:t xml:space="preserve">GENERAL – General Schedule (Code GE) </w:t>
            </w:r>
          </w:p>
        </w:tc>
      </w:tr>
      <w:tr w:rsidR="00991026" w:rsidRPr="00991026" w14:paraId="17C299CE" w14:textId="77777777" w:rsidTr="00D12BAD">
        <w:trPr>
          <w:cantSplit/>
          <w:trHeight w:val="471"/>
        </w:trPr>
        <w:tc>
          <w:tcPr>
            <w:tcW w:w="2689" w:type="dxa"/>
          </w:tcPr>
          <w:p w14:paraId="4E8AE3B4" w14:textId="77777777" w:rsidR="00CC3B89" w:rsidRPr="00991026" w:rsidRDefault="00CC3B89" w:rsidP="00D12BAD">
            <w:pPr>
              <w:keepNext/>
              <w:ind w:left="-57"/>
              <w:rPr>
                <w:rFonts w:ascii="Arial Narrow" w:hAnsi="Arial Narrow"/>
                <w:b/>
                <w:bCs/>
                <w:sz w:val="20"/>
                <w:szCs w:val="20"/>
              </w:rPr>
            </w:pPr>
            <w:r w:rsidRPr="00991026">
              <w:rPr>
                <w:rFonts w:ascii="Arial Narrow" w:hAnsi="Arial Narrow"/>
                <w:b/>
                <w:bCs/>
                <w:sz w:val="20"/>
                <w:szCs w:val="20"/>
              </w:rPr>
              <w:t>MEDICINAL PRODUCT</w:t>
            </w:r>
          </w:p>
          <w:p w14:paraId="414E4AE7" w14:textId="77777777" w:rsidR="00CC3B89" w:rsidRPr="00991026" w:rsidRDefault="00CC3B89" w:rsidP="00D12BAD">
            <w:pPr>
              <w:keepNext/>
              <w:ind w:left="-57"/>
              <w:rPr>
                <w:rFonts w:ascii="Arial Narrow" w:hAnsi="Arial Narrow"/>
                <w:b/>
                <w:sz w:val="20"/>
                <w:szCs w:val="20"/>
              </w:rPr>
            </w:pPr>
            <w:r w:rsidRPr="00991026">
              <w:rPr>
                <w:rFonts w:ascii="Arial Narrow" w:hAnsi="Arial Narrow"/>
                <w:b/>
                <w:bCs/>
                <w:sz w:val="20"/>
                <w:szCs w:val="20"/>
              </w:rPr>
              <w:t>medicinal product pack</w:t>
            </w:r>
          </w:p>
        </w:tc>
        <w:tc>
          <w:tcPr>
            <w:tcW w:w="1417" w:type="dxa"/>
          </w:tcPr>
          <w:p w14:paraId="739C69F0" w14:textId="77777777" w:rsidR="00CC3B89" w:rsidRPr="00991026" w:rsidRDefault="00CC3B89" w:rsidP="00D12BAD">
            <w:pPr>
              <w:keepNext/>
              <w:jc w:val="center"/>
              <w:rPr>
                <w:rFonts w:ascii="Arial Narrow" w:hAnsi="Arial Narrow"/>
                <w:b/>
                <w:sz w:val="20"/>
                <w:szCs w:val="20"/>
              </w:rPr>
            </w:pPr>
            <w:r w:rsidRPr="00991026">
              <w:rPr>
                <w:rFonts w:ascii="Arial Narrow" w:hAnsi="Arial Narrow"/>
                <w:b/>
                <w:sz w:val="20"/>
                <w:szCs w:val="20"/>
              </w:rPr>
              <w:t>PBS item code</w:t>
            </w:r>
          </w:p>
        </w:tc>
        <w:tc>
          <w:tcPr>
            <w:tcW w:w="1276" w:type="dxa"/>
          </w:tcPr>
          <w:p w14:paraId="52991D37" w14:textId="77777777" w:rsidR="00CC3B89" w:rsidRPr="00991026" w:rsidRDefault="00CC3B89" w:rsidP="006C5FBB">
            <w:pPr>
              <w:keepNext/>
              <w:jc w:val="center"/>
              <w:rPr>
                <w:rFonts w:ascii="Arial Narrow" w:hAnsi="Arial Narrow"/>
                <w:b/>
                <w:sz w:val="20"/>
                <w:szCs w:val="20"/>
              </w:rPr>
            </w:pPr>
            <w:r w:rsidRPr="00991026">
              <w:rPr>
                <w:rFonts w:ascii="Arial Narrow" w:hAnsi="Arial Narrow"/>
                <w:b/>
                <w:sz w:val="20"/>
                <w:szCs w:val="20"/>
              </w:rPr>
              <w:t>Max. qty packs</w:t>
            </w:r>
          </w:p>
        </w:tc>
        <w:tc>
          <w:tcPr>
            <w:tcW w:w="1276" w:type="dxa"/>
          </w:tcPr>
          <w:p w14:paraId="570298BA" w14:textId="77777777" w:rsidR="00CC3B89" w:rsidRPr="00991026" w:rsidRDefault="00CC3B89" w:rsidP="006C5FBB">
            <w:pPr>
              <w:keepNext/>
              <w:jc w:val="center"/>
              <w:rPr>
                <w:rFonts w:ascii="Arial Narrow" w:hAnsi="Arial Narrow"/>
                <w:b/>
                <w:sz w:val="20"/>
                <w:szCs w:val="20"/>
              </w:rPr>
            </w:pPr>
            <w:r w:rsidRPr="00991026">
              <w:rPr>
                <w:rFonts w:ascii="Arial Narrow" w:hAnsi="Arial Narrow"/>
                <w:b/>
                <w:sz w:val="20"/>
                <w:szCs w:val="20"/>
              </w:rPr>
              <w:t>Max. qty units</w:t>
            </w:r>
          </w:p>
        </w:tc>
        <w:tc>
          <w:tcPr>
            <w:tcW w:w="992" w:type="dxa"/>
          </w:tcPr>
          <w:p w14:paraId="19A9F7EE" w14:textId="77777777" w:rsidR="00CC3B89" w:rsidRPr="00991026" w:rsidRDefault="00CC3B89" w:rsidP="00D12BAD">
            <w:pPr>
              <w:keepNext/>
              <w:ind w:left="-108"/>
              <w:jc w:val="center"/>
              <w:rPr>
                <w:rFonts w:ascii="Arial Narrow" w:hAnsi="Arial Narrow"/>
                <w:b/>
                <w:sz w:val="20"/>
                <w:szCs w:val="20"/>
              </w:rPr>
            </w:pPr>
            <w:r w:rsidRPr="00991026">
              <w:rPr>
                <w:rFonts w:ascii="Arial Narrow" w:hAnsi="Arial Narrow"/>
                <w:b/>
                <w:sz w:val="20"/>
                <w:szCs w:val="20"/>
              </w:rPr>
              <w:t>№.of Rpts</w:t>
            </w:r>
          </w:p>
        </w:tc>
        <w:tc>
          <w:tcPr>
            <w:tcW w:w="1417" w:type="dxa"/>
          </w:tcPr>
          <w:p w14:paraId="28992F91" w14:textId="77777777" w:rsidR="00CC3B89" w:rsidRPr="00991026" w:rsidRDefault="00CC3B89" w:rsidP="00D12BAD">
            <w:pPr>
              <w:keepNext/>
              <w:rPr>
                <w:rFonts w:ascii="Arial Narrow" w:hAnsi="Arial Narrow"/>
                <w:b/>
                <w:sz w:val="20"/>
                <w:szCs w:val="20"/>
                <w:lang w:val="fr-FR"/>
              </w:rPr>
            </w:pPr>
            <w:r w:rsidRPr="00991026">
              <w:rPr>
                <w:rFonts w:ascii="Arial Narrow" w:hAnsi="Arial Narrow"/>
                <w:b/>
                <w:sz w:val="20"/>
                <w:szCs w:val="20"/>
              </w:rPr>
              <w:t>Available brands</w:t>
            </w:r>
          </w:p>
        </w:tc>
      </w:tr>
      <w:tr w:rsidR="00991026" w:rsidRPr="00991026" w14:paraId="6E7CD585" w14:textId="77777777" w:rsidTr="00D12BAD">
        <w:trPr>
          <w:cantSplit/>
          <w:trHeight w:val="224"/>
        </w:trPr>
        <w:tc>
          <w:tcPr>
            <w:tcW w:w="9067" w:type="dxa"/>
            <w:gridSpan w:val="6"/>
          </w:tcPr>
          <w:p w14:paraId="1F933C4B"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VENETOCLAX</w:t>
            </w:r>
          </w:p>
        </w:tc>
      </w:tr>
      <w:tr w:rsidR="00991026" w:rsidRPr="00991026" w14:paraId="2B88BC49" w14:textId="77777777" w:rsidTr="00D12BAD">
        <w:trPr>
          <w:cantSplit/>
          <w:trHeight w:val="193"/>
        </w:trPr>
        <w:tc>
          <w:tcPr>
            <w:tcW w:w="2689" w:type="dxa"/>
          </w:tcPr>
          <w:p w14:paraId="46184C12"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 xml:space="preserve">venetoclax 100 mg tablet, 120 </w:t>
            </w:r>
          </w:p>
        </w:tc>
        <w:tc>
          <w:tcPr>
            <w:tcW w:w="1417" w:type="dxa"/>
          </w:tcPr>
          <w:p w14:paraId="2D2B3903"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11639N</w:t>
            </w:r>
          </w:p>
          <w:p w14:paraId="6E370633" w14:textId="77777777" w:rsidR="00CC3B89" w:rsidRPr="00991026" w:rsidRDefault="00CC3B89" w:rsidP="00D12BAD">
            <w:pPr>
              <w:keepNext/>
              <w:jc w:val="center"/>
              <w:rPr>
                <w:rFonts w:ascii="Arial Narrow" w:hAnsi="Arial Narrow"/>
                <w:sz w:val="20"/>
                <w:szCs w:val="20"/>
                <w:vertAlign w:val="subscript"/>
              </w:rPr>
            </w:pPr>
            <w:r w:rsidRPr="00991026">
              <w:rPr>
                <w:rFonts w:ascii="Arial Narrow" w:hAnsi="Arial Narrow"/>
                <w:sz w:val="20"/>
                <w:szCs w:val="20"/>
                <w:vertAlign w:val="subscript"/>
              </w:rPr>
              <w:t>MP</w:t>
            </w:r>
          </w:p>
        </w:tc>
        <w:tc>
          <w:tcPr>
            <w:tcW w:w="1276" w:type="dxa"/>
          </w:tcPr>
          <w:p w14:paraId="4FF5B1C3"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w:t>
            </w:r>
          </w:p>
        </w:tc>
        <w:tc>
          <w:tcPr>
            <w:tcW w:w="1276" w:type="dxa"/>
          </w:tcPr>
          <w:p w14:paraId="1FB15A96"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120</w:t>
            </w:r>
          </w:p>
        </w:tc>
        <w:tc>
          <w:tcPr>
            <w:tcW w:w="992" w:type="dxa"/>
          </w:tcPr>
          <w:p w14:paraId="71ECF0AD"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5</w:t>
            </w:r>
          </w:p>
        </w:tc>
        <w:tc>
          <w:tcPr>
            <w:tcW w:w="1417" w:type="dxa"/>
          </w:tcPr>
          <w:p w14:paraId="29DA01ED" w14:textId="77777777" w:rsidR="00CC3B89" w:rsidRPr="00991026" w:rsidRDefault="00CC3B89" w:rsidP="00D12BAD">
            <w:pPr>
              <w:keepNext/>
              <w:rPr>
                <w:rFonts w:ascii="Arial Narrow" w:eastAsia="MS Gothic" w:hAnsi="Arial Narrow"/>
                <w:bCs/>
                <w:sz w:val="20"/>
                <w:szCs w:val="20"/>
              </w:rPr>
            </w:pPr>
            <w:r w:rsidRPr="00991026">
              <w:rPr>
                <w:rFonts w:ascii="Arial Narrow" w:eastAsia="MS Gothic" w:hAnsi="Arial Narrow"/>
                <w:bCs/>
                <w:sz w:val="20"/>
                <w:szCs w:val="20"/>
              </w:rPr>
              <w:t>Venclexta</w:t>
            </w:r>
          </w:p>
        </w:tc>
      </w:tr>
      <w:bookmarkEnd w:id="62"/>
      <w:tr w:rsidR="00991026" w:rsidRPr="00991026" w14:paraId="6035F557" w14:textId="77777777" w:rsidTr="00D12BA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37AC1888" w14:textId="77777777" w:rsidR="00CC3B89" w:rsidRPr="00991026" w:rsidRDefault="00CC3B89" w:rsidP="00D12BAD">
            <w:pPr>
              <w:rPr>
                <w:rFonts w:ascii="Arial Narrow" w:hAnsi="Arial Narrow"/>
                <w:sz w:val="20"/>
                <w:szCs w:val="20"/>
              </w:rPr>
            </w:pPr>
          </w:p>
        </w:tc>
      </w:tr>
      <w:tr w:rsidR="00991026" w:rsidRPr="00991026" w14:paraId="2A89F982" w14:textId="77777777" w:rsidTr="00D12BA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11205F1" w14:textId="0B4BE217" w:rsidR="00CC3B89" w:rsidRPr="00991026" w:rsidRDefault="00CC3B89" w:rsidP="00D12BAD">
            <w:pPr>
              <w:rPr>
                <w:rFonts w:ascii="Arial Narrow" w:hAnsi="Arial Narrow"/>
                <w:b/>
                <w:sz w:val="20"/>
                <w:szCs w:val="20"/>
              </w:rPr>
            </w:pPr>
            <w:r w:rsidRPr="00991026">
              <w:rPr>
                <w:rFonts w:ascii="Arial Narrow" w:hAnsi="Arial Narrow"/>
                <w:b/>
                <w:sz w:val="20"/>
                <w:szCs w:val="20"/>
              </w:rPr>
              <w:t>Restriction Summary / Treatment of Concept: Authority Required  ***********UNCHANGED*******************</w:t>
            </w:r>
          </w:p>
          <w:p w14:paraId="7B7AA146" w14:textId="77777777" w:rsidR="00CC3B89" w:rsidRPr="00991026" w:rsidRDefault="00CC3B89" w:rsidP="00D12BAD">
            <w:pPr>
              <w:rPr>
                <w:rFonts w:ascii="Arial Narrow" w:hAnsi="Arial Narrow"/>
                <w:b/>
                <w:sz w:val="20"/>
                <w:szCs w:val="20"/>
              </w:rPr>
            </w:pPr>
          </w:p>
        </w:tc>
      </w:tr>
      <w:bookmarkEnd w:id="63"/>
    </w:tbl>
    <w:tbl>
      <w:tblPr>
        <w:tblStyle w:val="TableGrid"/>
        <w:tblW w:w="9067" w:type="dxa"/>
        <w:tblLook w:val="04A0" w:firstRow="1" w:lastRow="0" w:firstColumn="1" w:lastColumn="0" w:noHBand="0" w:noVBand="1"/>
      </w:tblPr>
      <w:tblGrid>
        <w:gridCol w:w="1129"/>
        <w:gridCol w:w="7938"/>
      </w:tblGrid>
      <w:tr w:rsidR="00991026" w:rsidRPr="00991026" w14:paraId="70BAFDB8" w14:textId="77777777" w:rsidTr="006647F2">
        <w:tc>
          <w:tcPr>
            <w:tcW w:w="1129" w:type="dxa"/>
          </w:tcPr>
          <w:p w14:paraId="0A35CC78" w14:textId="3CC5F15C"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4CF1BBB5" w14:textId="77777777" w:rsidR="00CC3B89" w:rsidRPr="00991026" w:rsidRDefault="00CC3B89" w:rsidP="00891920">
            <w:pPr>
              <w:textAlignment w:val="baseline"/>
              <w:rPr>
                <w:rFonts w:ascii="Arial Narrow" w:hAnsi="Arial Narrow" w:cs="Calibri"/>
                <w:sz w:val="20"/>
                <w:szCs w:val="20"/>
              </w:rPr>
            </w:pPr>
            <w:r w:rsidRPr="00991026">
              <w:rPr>
                <w:rFonts w:ascii="Arial Narrow" w:hAnsi="Arial Narrow" w:cs="Calibri"/>
                <w:b/>
                <w:bCs/>
                <w:sz w:val="20"/>
                <w:szCs w:val="20"/>
                <w:bdr w:val="none" w:sz="0" w:space="0" w:color="auto" w:frame="1"/>
              </w:rPr>
              <w:t xml:space="preserve">Indication: </w:t>
            </w:r>
            <w:r w:rsidRPr="00991026">
              <w:rPr>
                <w:rFonts w:ascii="Arial Narrow" w:hAnsi="Arial Narrow" w:cs="Calibri"/>
                <w:sz w:val="20"/>
                <w:szCs w:val="20"/>
              </w:rPr>
              <w:t>Chronic lymphocytic leukaemia (CLL)</w:t>
            </w:r>
          </w:p>
        </w:tc>
      </w:tr>
      <w:tr w:rsidR="00991026" w:rsidRPr="00991026" w14:paraId="06E2DFC1" w14:textId="77777777" w:rsidTr="00D12BAD">
        <w:tc>
          <w:tcPr>
            <w:tcW w:w="1129" w:type="dxa"/>
          </w:tcPr>
          <w:p w14:paraId="50A47C6C" w14:textId="77777777" w:rsidR="00CC3B89" w:rsidRPr="00991026" w:rsidRDefault="00CC3B89" w:rsidP="00D12BAD">
            <w:pPr>
              <w:jc w:val="center"/>
              <w:textAlignment w:val="baseline"/>
              <w:rPr>
                <w:rFonts w:ascii="Arial Narrow" w:hAnsi="Arial Narrow" w:cs="Calibri"/>
                <w:sz w:val="20"/>
                <w:szCs w:val="20"/>
              </w:rPr>
            </w:pPr>
          </w:p>
        </w:tc>
        <w:tc>
          <w:tcPr>
            <w:tcW w:w="7938" w:type="dxa"/>
          </w:tcPr>
          <w:p w14:paraId="51460962" w14:textId="77777777" w:rsidR="00CC3B89" w:rsidRPr="00991026" w:rsidRDefault="00CC3B89" w:rsidP="00891920">
            <w:pPr>
              <w:textAlignment w:val="baseline"/>
              <w:rPr>
                <w:rFonts w:ascii="Arial Narrow" w:hAnsi="Arial Narrow" w:cs="Calibri"/>
                <w:b/>
                <w:bCs/>
                <w:sz w:val="20"/>
                <w:szCs w:val="20"/>
                <w:bdr w:val="none" w:sz="0" w:space="0" w:color="auto" w:frame="1"/>
              </w:rPr>
            </w:pPr>
          </w:p>
        </w:tc>
      </w:tr>
      <w:tr w:rsidR="00991026" w:rsidRPr="00991026" w14:paraId="16E2EAA6" w14:textId="77777777" w:rsidTr="006647F2">
        <w:tc>
          <w:tcPr>
            <w:tcW w:w="1129" w:type="dxa"/>
          </w:tcPr>
          <w:p w14:paraId="48AE98D9" w14:textId="77777777" w:rsidR="00CC3B89" w:rsidRPr="00991026" w:rsidRDefault="00CC3B89" w:rsidP="00D12BAD">
            <w:pPr>
              <w:jc w:val="center"/>
              <w:rPr>
                <w:rFonts w:ascii="Arial Narrow" w:hAnsi="Arial Narrow" w:cs="Calibri"/>
                <w:sz w:val="20"/>
                <w:szCs w:val="20"/>
              </w:rPr>
            </w:pPr>
          </w:p>
        </w:tc>
        <w:tc>
          <w:tcPr>
            <w:tcW w:w="7938" w:type="dxa"/>
            <w:hideMark/>
          </w:tcPr>
          <w:p w14:paraId="6D2A9D56" w14:textId="77777777" w:rsidR="00CC3B89" w:rsidRPr="00991026" w:rsidRDefault="00CC3B89" w:rsidP="00891920">
            <w:pPr>
              <w:textAlignment w:val="baseline"/>
              <w:rPr>
                <w:rFonts w:ascii="Arial Narrow" w:hAnsi="Arial Narrow" w:cs="Calibri"/>
                <w:sz w:val="20"/>
                <w:szCs w:val="20"/>
              </w:rPr>
            </w:pPr>
            <w:r w:rsidRPr="00991026">
              <w:rPr>
                <w:rFonts w:ascii="Arial Narrow" w:hAnsi="Arial Narrow" w:cs="Calibri"/>
                <w:b/>
                <w:bCs/>
                <w:sz w:val="20"/>
                <w:szCs w:val="20"/>
                <w:bdr w:val="none" w:sz="0" w:space="0" w:color="auto" w:frame="1"/>
              </w:rPr>
              <w:t xml:space="preserve">Treatment Phase: </w:t>
            </w:r>
            <w:r w:rsidRPr="00991026">
              <w:rPr>
                <w:rFonts w:ascii="Arial Narrow" w:hAnsi="Arial Narrow" w:cs="Calibri"/>
                <w:sz w:val="20"/>
                <w:szCs w:val="20"/>
              </w:rPr>
              <w:t>Continuing treatment</w:t>
            </w:r>
          </w:p>
        </w:tc>
      </w:tr>
      <w:tr w:rsidR="00991026" w:rsidRPr="00991026" w14:paraId="6A69CED9" w14:textId="77777777" w:rsidTr="00D12BAD">
        <w:tc>
          <w:tcPr>
            <w:tcW w:w="1129" w:type="dxa"/>
          </w:tcPr>
          <w:p w14:paraId="1A50A644" w14:textId="77777777" w:rsidR="00CC3B89" w:rsidRPr="00991026" w:rsidRDefault="00CC3B89" w:rsidP="00D12BAD">
            <w:pPr>
              <w:jc w:val="center"/>
              <w:rPr>
                <w:rFonts w:ascii="Arial Narrow" w:hAnsi="Arial Narrow" w:cs="Calibri"/>
                <w:sz w:val="20"/>
                <w:szCs w:val="20"/>
              </w:rPr>
            </w:pPr>
          </w:p>
        </w:tc>
        <w:tc>
          <w:tcPr>
            <w:tcW w:w="7938" w:type="dxa"/>
          </w:tcPr>
          <w:p w14:paraId="23074EE1" w14:textId="77777777" w:rsidR="00CC3B89" w:rsidRPr="00991026" w:rsidRDefault="00CC3B89" w:rsidP="00891920">
            <w:pPr>
              <w:textAlignment w:val="baseline"/>
              <w:rPr>
                <w:rFonts w:ascii="Arial Narrow" w:hAnsi="Arial Narrow" w:cs="Calibri"/>
                <w:b/>
                <w:bCs/>
                <w:sz w:val="20"/>
                <w:szCs w:val="20"/>
                <w:bdr w:val="none" w:sz="0" w:space="0" w:color="auto" w:frame="1"/>
              </w:rPr>
            </w:pPr>
          </w:p>
        </w:tc>
      </w:tr>
      <w:tr w:rsidR="00991026" w:rsidRPr="00991026" w14:paraId="35C6FEA7" w14:textId="77777777" w:rsidTr="006647F2">
        <w:tc>
          <w:tcPr>
            <w:tcW w:w="1129" w:type="dxa"/>
          </w:tcPr>
          <w:p w14:paraId="7831551D" w14:textId="10C93788"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179B2429" w14:textId="77777777" w:rsidR="00CC3B89" w:rsidRPr="00991026" w:rsidRDefault="00CC3B89" w:rsidP="00891920">
            <w:pPr>
              <w:textAlignment w:val="baseline"/>
              <w:rPr>
                <w:rFonts w:ascii="Arial Narrow" w:hAnsi="Arial Narrow" w:cs="Calibri"/>
                <w:sz w:val="20"/>
                <w:szCs w:val="20"/>
              </w:rPr>
            </w:pPr>
            <w:r w:rsidRPr="00991026">
              <w:rPr>
                <w:rFonts w:ascii="Arial Narrow" w:hAnsi="Arial Narrow" w:cs="Calibri"/>
                <w:b/>
                <w:bCs/>
                <w:sz w:val="20"/>
                <w:szCs w:val="20"/>
                <w:bdr w:val="none" w:sz="0" w:space="0" w:color="auto" w:frame="1"/>
              </w:rPr>
              <w:t>Clinical criteria:</w:t>
            </w:r>
          </w:p>
        </w:tc>
      </w:tr>
      <w:tr w:rsidR="00991026" w:rsidRPr="00991026" w14:paraId="36C382EE" w14:textId="77777777" w:rsidTr="006647F2">
        <w:tc>
          <w:tcPr>
            <w:tcW w:w="1129" w:type="dxa"/>
          </w:tcPr>
          <w:p w14:paraId="2E242AA1" w14:textId="12641F78"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3C8433C9" w14:textId="77777777" w:rsidR="00CC3B89" w:rsidRPr="00991026" w:rsidRDefault="00CC3B89" w:rsidP="00891920">
            <w:pPr>
              <w:rPr>
                <w:rFonts w:ascii="Arial Narrow" w:hAnsi="Arial Narrow" w:cs="Calibri"/>
                <w:sz w:val="20"/>
                <w:szCs w:val="20"/>
              </w:rPr>
            </w:pPr>
            <w:r w:rsidRPr="00991026">
              <w:rPr>
                <w:rFonts w:ascii="Arial Narrow" w:hAnsi="Arial Narrow" w:cs="Calibri"/>
                <w:sz w:val="20"/>
                <w:szCs w:val="20"/>
              </w:rPr>
              <w:t>Patient must have previously received PBS-subsidised treatment with this drug for this condition</w:t>
            </w:r>
          </w:p>
        </w:tc>
      </w:tr>
      <w:tr w:rsidR="00991026" w:rsidRPr="00991026" w14:paraId="5D6F7335" w14:textId="77777777" w:rsidTr="006647F2">
        <w:tc>
          <w:tcPr>
            <w:tcW w:w="1129" w:type="dxa"/>
          </w:tcPr>
          <w:p w14:paraId="0582C74C" w14:textId="77777777" w:rsidR="00CC3B89" w:rsidRPr="00991026" w:rsidRDefault="00CC3B89" w:rsidP="00D12BAD">
            <w:pPr>
              <w:jc w:val="center"/>
              <w:rPr>
                <w:rFonts w:ascii="Arial Narrow" w:hAnsi="Arial Narrow" w:cs="Calibri"/>
                <w:sz w:val="20"/>
                <w:szCs w:val="20"/>
              </w:rPr>
            </w:pPr>
          </w:p>
        </w:tc>
        <w:tc>
          <w:tcPr>
            <w:tcW w:w="7938" w:type="dxa"/>
            <w:hideMark/>
          </w:tcPr>
          <w:p w14:paraId="05245221" w14:textId="77777777" w:rsidR="00CC3B89" w:rsidRPr="00991026" w:rsidRDefault="00CC3B89" w:rsidP="00891920">
            <w:pPr>
              <w:rPr>
                <w:rFonts w:ascii="Arial Narrow" w:hAnsi="Arial Narrow" w:cs="Calibri"/>
                <w:sz w:val="20"/>
                <w:szCs w:val="20"/>
              </w:rPr>
            </w:pPr>
            <w:r w:rsidRPr="00991026">
              <w:rPr>
                <w:rFonts w:ascii="Arial Narrow" w:hAnsi="Arial Narrow" w:cs="Calibri"/>
                <w:b/>
                <w:bCs/>
                <w:sz w:val="20"/>
                <w:szCs w:val="20"/>
                <w:bdr w:val="none" w:sz="0" w:space="0" w:color="auto" w:frame="1"/>
              </w:rPr>
              <w:t>AND</w:t>
            </w:r>
          </w:p>
        </w:tc>
      </w:tr>
      <w:tr w:rsidR="00991026" w:rsidRPr="00991026" w14:paraId="506C0B10" w14:textId="77777777" w:rsidTr="006647F2">
        <w:tc>
          <w:tcPr>
            <w:tcW w:w="1129" w:type="dxa"/>
          </w:tcPr>
          <w:p w14:paraId="17A3B370" w14:textId="261807E0"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7E279AD6" w14:textId="77777777" w:rsidR="00CC3B89" w:rsidRPr="00991026" w:rsidRDefault="00CC3B89" w:rsidP="00891920">
            <w:pPr>
              <w:textAlignment w:val="baseline"/>
              <w:rPr>
                <w:rFonts w:ascii="Arial Narrow" w:hAnsi="Arial Narrow" w:cs="Calibri"/>
                <w:sz w:val="20"/>
                <w:szCs w:val="20"/>
              </w:rPr>
            </w:pPr>
            <w:r w:rsidRPr="00991026">
              <w:rPr>
                <w:rFonts w:ascii="Arial Narrow" w:hAnsi="Arial Narrow" w:cs="Calibri"/>
                <w:b/>
                <w:bCs/>
                <w:sz w:val="20"/>
                <w:szCs w:val="20"/>
                <w:bdr w:val="none" w:sz="0" w:space="0" w:color="auto" w:frame="1"/>
              </w:rPr>
              <w:t>Clinical criteria:</w:t>
            </w:r>
          </w:p>
        </w:tc>
      </w:tr>
      <w:tr w:rsidR="00991026" w:rsidRPr="00991026" w14:paraId="79B2F65E" w14:textId="77777777" w:rsidTr="006647F2">
        <w:tc>
          <w:tcPr>
            <w:tcW w:w="1129" w:type="dxa"/>
          </w:tcPr>
          <w:p w14:paraId="5BF14073" w14:textId="02F2E895"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51425B3C" w14:textId="77777777" w:rsidR="00CC3B89" w:rsidRPr="00991026" w:rsidRDefault="00CC3B89" w:rsidP="00891920">
            <w:pPr>
              <w:rPr>
                <w:rFonts w:ascii="Arial Narrow" w:hAnsi="Arial Narrow" w:cs="Calibri"/>
                <w:sz w:val="20"/>
                <w:szCs w:val="20"/>
              </w:rPr>
            </w:pPr>
            <w:r w:rsidRPr="00991026">
              <w:rPr>
                <w:rFonts w:ascii="Arial Narrow" w:hAnsi="Arial Narrow" w:cs="Calibri"/>
                <w:sz w:val="20"/>
                <w:szCs w:val="20"/>
              </w:rPr>
              <w:t>The treatment must be in combination with rituximab for up to a maximum of 6 cycles, followed by monotherapy</w:t>
            </w:r>
          </w:p>
        </w:tc>
      </w:tr>
      <w:tr w:rsidR="00991026" w:rsidRPr="00991026" w14:paraId="6BCDDF5D" w14:textId="77777777" w:rsidTr="006647F2">
        <w:tc>
          <w:tcPr>
            <w:tcW w:w="1129" w:type="dxa"/>
          </w:tcPr>
          <w:p w14:paraId="61A271BA" w14:textId="77777777" w:rsidR="00CC3B89" w:rsidRPr="00991026" w:rsidRDefault="00CC3B89" w:rsidP="00D12BAD">
            <w:pPr>
              <w:jc w:val="center"/>
              <w:rPr>
                <w:rFonts w:ascii="Arial Narrow" w:hAnsi="Arial Narrow" w:cs="Calibri"/>
                <w:sz w:val="20"/>
                <w:szCs w:val="20"/>
              </w:rPr>
            </w:pPr>
          </w:p>
        </w:tc>
        <w:tc>
          <w:tcPr>
            <w:tcW w:w="7938" w:type="dxa"/>
            <w:hideMark/>
          </w:tcPr>
          <w:p w14:paraId="2FF1D6E5" w14:textId="77777777" w:rsidR="00CC3B89" w:rsidRPr="00991026" w:rsidRDefault="00CC3B89" w:rsidP="00891920">
            <w:pPr>
              <w:rPr>
                <w:rFonts w:ascii="Arial Narrow" w:hAnsi="Arial Narrow" w:cs="Calibri"/>
                <w:sz w:val="20"/>
                <w:szCs w:val="20"/>
              </w:rPr>
            </w:pPr>
            <w:r w:rsidRPr="00991026">
              <w:rPr>
                <w:rFonts w:ascii="Arial Narrow" w:hAnsi="Arial Narrow" w:cs="Calibri"/>
                <w:b/>
                <w:bCs/>
                <w:sz w:val="20"/>
                <w:szCs w:val="20"/>
                <w:bdr w:val="none" w:sz="0" w:space="0" w:color="auto" w:frame="1"/>
              </w:rPr>
              <w:t>AND</w:t>
            </w:r>
          </w:p>
        </w:tc>
      </w:tr>
      <w:tr w:rsidR="00991026" w:rsidRPr="00991026" w14:paraId="17677E79" w14:textId="77777777" w:rsidTr="006647F2">
        <w:tc>
          <w:tcPr>
            <w:tcW w:w="1129" w:type="dxa"/>
          </w:tcPr>
          <w:p w14:paraId="53FEDA43" w14:textId="3BD14531"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73081055" w14:textId="77777777" w:rsidR="00CC3B89" w:rsidRPr="00991026" w:rsidRDefault="00CC3B89" w:rsidP="00891920">
            <w:pPr>
              <w:textAlignment w:val="baseline"/>
              <w:rPr>
                <w:rFonts w:ascii="Arial Narrow" w:hAnsi="Arial Narrow" w:cs="Calibri"/>
                <w:sz w:val="20"/>
                <w:szCs w:val="20"/>
              </w:rPr>
            </w:pPr>
            <w:r w:rsidRPr="00991026">
              <w:rPr>
                <w:rFonts w:ascii="Arial Narrow" w:hAnsi="Arial Narrow" w:cs="Calibri"/>
                <w:b/>
                <w:bCs/>
                <w:sz w:val="20"/>
                <w:szCs w:val="20"/>
                <w:bdr w:val="none" w:sz="0" w:space="0" w:color="auto" w:frame="1"/>
              </w:rPr>
              <w:t>Clinical criteria:</w:t>
            </w:r>
          </w:p>
        </w:tc>
      </w:tr>
      <w:tr w:rsidR="00991026" w:rsidRPr="00991026" w14:paraId="72994D9E" w14:textId="77777777" w:rsidTr="006647F2">
        <w:tc>
          <w:tcPr>
            <w:tcW w:w="1129" w:type="dxa"/>
          </w:tcPr>
          <w:p w14:paraId="786BA984" w14:textId="665830F5" w:rsidR="00CC3B89" w:rsidRPr="00991026" w:rsidRDefault="00CC3B89" w:rsidP="00D12BAD">
            <w:pPr>
              <w:jc w:val="center"/>
              <w:textAlignment w:val="baseline"/>
              <w:rPr>
                <w:rFonts w:ascii="Arial Narrow" w:hAnsi="Arial Narrow" w:cs="Calibri"/>
                <w:sz w:val="20"/>
                <w:szCs w:val="20"/>
              </w:rPr>
            </w:pPr>
          </w:p>
        </w:tc>
        <w:tc>
          <w:tcPr>
            <w:tcW w:w="7938" w:type="dxa"/>
            <w:hideMark/>
          </w:tcPr>
          <w:p w14:paraId="55532AAF" w14:textId="77777777" w:rsidR="00CC3B89" w:rsidRPr="00991026" w:rsidRDefault="00CC3B89" w:rsidP="00891920">
            <w:pPr>
              <w:rPr>
                <w:rFonts w:ascii="Arial Narrow" w:hAnsi="Arial Narrow" w:cs="Calibri"/>
                <w:sz w:val="20"/>
                <w:szCs w:val="20"/>
              </w:rPr>
            </w:pPr>
            <w:r w:rsidRPr="00991026">
              <w:rPr>
                <w:rFonts w:ascii="Arial Narrow" w:hAnsi="Arial Narrow" w:cs="Calibri"/>
                <w:sz w:val="20"/>
                <w:szCs w:val="20"/>
              </w:rPr>
              <w:t>The treatment must be ceased on disease progression or on completion of 24 months of PBS-subsidised treatment under this restriction with this drug for this condition, whichever comes first</w:t>
            </w:r>
          </w:p>
        </w:tc>
      </w:tr>
      <w:tr w:rsidR="00991026" w:rsidRPr="00991026" w14:paraId="6549E166" w14:textId="77777777" w:rsidTr="00D12BAD">
        <w:tc>
          <w:tcPr>
            <w:tcW w:w="1129" w:type="dxa"/>
          </w:tcPr>
          <w:p w14:paraId="7E43A2A0" w14:textId="77777777" w:rsidR="00CC3B89" w:rsidRPr="00991026" w:rsidRDefault="00CC3B89" w:rsidP="00D12BAD">
            <w:pPr>
              <w:textAlignment w:val="baseline"/>
              <w:rPr>
                <w:rFonts w:ascii="Arial Narrow" w:hAnsi="Arial Narrow" w:cs="Calibri"/>
                <w:sz w:val="20"/>
                <w:szCs w:val="20"/>
              </w:rPr>
            </w:pPr>
          </w:p>
        </w:tc>
        <w:tc>
          <w:tcPr>
            <w:tcW w:w="7938" w:type="dxa"/>
          </w:tcPr>
          <w:p w14:paraId="03C2DAA0" w14:textId="77777777" w:rsidR="00CC3B89" w:rsidRPr="00991026" w:rsidRDefault="00CC3B89" w:rsidP="00891920">
            <w:pPr>
              <w:rPr>
                <w:rFonts w:ascii="Arial Narrow" w:hAnsi="Arial Narrow" w:cs="Calibri"/>
                <w:sz w:val="20"/>
                <w:szCs w:val="20"/>
              </w:rPr>
            </w:pPr>
          </w:p>
        </w:tc>
      </w:tr>
      <w:tr w:rsidR="00991026" w:rsidRPr="00991026" w14:paraId="5A646E79" w14:textId="77777777" w:rsidTr="00D12BAD">
        <w:tc>
          <w:tcPr>
            <w:tcW w:w="1129" w:type="dxa"/>
          </w:tcPr>
          <w:p w14:paraId="5E58E583" w14:textId="605B14C6" w:rsidR="00CC3B89" w:rsidRPr="00991026" w:rsidRDefault="00CC3B89" w:rsidP="00D12BAD">
            <w:pPr>
              <w:jc w:val="center"/>
              <w:textAlignment w:val="baseline"/>
              <w:rPr>
                <w:rFonts w:ascii="Arial Narrow" w:hAnsi="Arial Narrow" w:cs="Calibri"/>
                <w:sz w:val="20"/>
                <w:szCs w:val="20"/>
              </w:rPr>
            </w:pPr>
          </w:p>
        </w:tc>
        <w:tc>
          <w:tcPr>
            <w:tcW w:w="7938" w:type="dxa"/>
          </w:tcPr>
          <w:p w14:paraId="1369BC2B" w14:textId="77777777" w:rsidR="00CC3B89" w:rsidRPr="00991026" w:rsidRDefault="00CC3B89" w:rsidP="00891920">
            <w:pPr>
              <w:rPr>
                <w:rFonts w:ascii="Arial Narrow" w:hAnsi="Arial Narrow" w:cs="Calibri"/>
                <w:sz w:val="20"/>
                <w:szCs w:val="20"/>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No increase in the maximum quantity or number of units may be authorised.</w:t>
            </w:r>
          </w:p>
        </w:tc>
      </w:tr>
      <w:tr w:rsidR="00991026" w:rsidRPr="00991026" w14:paraId="02AB01FF" w14:textId="77777777" w:rsidTr="00D12BAD">
        <w:tc>
          <w:tcPr>
            <w:tcW w:w="1129" w:type="dxa"/>
          </w:tcPr>
          <w:p w14:paraId="59EF0247" w14:textId="2138CDBE" w:rsidR="00CC3B89" w:rsidRPr="00991026" w:rsidRDefault="00CC3B89" w:rsidP="00D12BAD">
            <w:pPr>
              <w:jc w:val="center"/>
              <w:textAlignment w:val="baseline"/>
              <w:rPr>
                <w:rFonts w:ascii="Arial Narrow" w:hAnsi="Arial Narrow" w:cs="Calibri"/>
                <w:sz w:val="20"/>
                <w:szCs w:val="20"/>
              </w:rPr>
            </w:pPr>
          </w:p>
        </w:tc>
        <w:tc>
          <w:tcPr>
            <w:tcW w:w="7938" w:type="dxa"/>
          </w:tcPr>
          <w:p w14:paraId="41375454" w14:textId="77777777" w:rsidR="00CC3B89" w:rsidRPr="00991026" w:rsidRDefault="00CC3B89" w:rsidP="00891920">
            <w:pPr>
              <w:rPr>
                <w:rFonts w:ascii="Arial Narrow" w:hAnsi="Arial Narrow" w:cs="Calibri"/>
                <w:sz w:val="20"/>
                <w:szCs w:val="20"/>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No increase in the maximum number of repeats may be authorised.</w:t>
            </w:r>
          </w:p>
        </w:tc>
      </w:tr>
      <w:tr w:rsidR="00991026" w:rsidRPr="00991026" w14:paraId="75AD3548" w14:textId="77777777" w:rsidTr="00D12BAD">
        <w:tc>
          <w:tcPr>
            <w:tcW w:w="1129" w:type="dxa"/>
          </w:tcPr>
          <w:p w14:paraId="75784131" w14:textId="1B39B563" w:rsidR="00CC3B89" w:rsidRPr="00991026" w:rsidRDefault="00CC3B89" w:rsidP="00D12BAD">
            <w:pPr>
              <w:jc w:val="center"/>
              <w:textAlignment w:val="baseline"/>
              <w:rPr>
                <w:rFonts w:ascii="Arial Narrow" w:hAnsi="Arial Narrow" w:cs="Calibri"/>
                <w:sz w:val="20"/>
                <w:szCs w:val="20"/>
              </w:rPr>
            </w:pPr>
          </w:p>
        </w:tc>
        <w:tc>
          <w:tcPr>
            <w:tcW w:w="7938" w:type="dxa"/>
          </w:tcPr>
          <w:p w14:paraId="2169DF6E" w14:textId="77777777" w:rsidR="00CC3B89" w:rsidRPr="00991026" w:rsidRDefault="00CC3B89" w:rsidP="00891920">
            <w:pPr>
              <w:rPr>
                <w:rFonts w:ascii="Arial Narrow" w:hAnsi="Arial Narrow" w:cs="Calibri"/>
                <w:sz w:val="20"/>
                <w:szCs w:val="20"/>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Special Pricing Arrangements apply.</w:t>
            </w:r>
          </w:p>
        </w:tc>
      </w:tr>
      <w:tr w:rsidR="00CC3B89" w:rsidRPr="00991026" w14:paraId="770BD522" w14:textId="77777777" w:rsidTr="00D12BAD">
        <w:tc>
          <w:tcPr>
            <w:tcW w:w="1129" w:type="dxa"/>
          </w:tcPr>
          <w:p w14:paraId="49118EA8" w14:textId="0FF055C2" w:rsidR="00CC3B89" w:rsidRPr="00991026" w:rsidRDefault="00CC3B89" w:rsidP="00D12BAD">
            <w:pPr>
              <w:jc w:val="center"/>
              <w:textAlignment w:val="baseline"/>
              <w:rPr>
                <w:rFonts w:ascii="Arial Narrow" w:hAnsi="Arial Narrow" w:cs="Calibri"/>
                <w:sz w:val="20"/>
                <w:szCs w:val="20"/>
              </w:rPr>
            </w:pPr>
          </w:p>
        </w:tc>
        <w:tc>
          <w:tcPr>
            <w:tcW w:w="7938" w:type="dxa"/>
          </w:tcPr>
          <w:p w14:paraId="419A9F7E" w14:textId="77777777" w:rsidR="00CC3B89" w:rsidRPr="00991026" w:rsidRDefault="00CC3B89" w:rsidP="00891920">
            <w:pPr>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Administrative Advice:</w:t>
            </w:r>
          </w:p>
          <w:p w14:paraId="63E58428" w14:textId="77777777" w:rsidR="00CC3B89" w:rsidRPr="00991026" w:rsidRDefault="00CC3B89" w:rsidP="00891920">
            <w:pPr>
              <w:textAlignment w:val="baseline"/>
              <w:rPr>
                <w:rFonts w:ascii="Arial Narrow" w:hAnsi="Arial Narrow" w:cs="Open Sans"/>
                <w:sz w:val="20"/>
                <w:szCs w:val="20"/>
              </w:rPr>
            </w:pPr>
            <w:r w:rsidRPr="00991026">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1BFC7B0E" w14:textId="77777777" w:rsidR="00CC3B89" w:rsidRPr="00991026" w:rsidRDefault="00CC3B89" w:rsidP="00CC3B89"/>
    <w:p w14:paraId="40098BBF" w14:textId="078EFC7D" w:rsidR="00CC3B89" w:rsidRPr="00991026" w:rsidRDefault="00CC3B89" w:rsidP="00CC3B89">
      <w:pPr>
        <w:rPr>
          <w:rFonts w:cs="Calibri"/>
        </w:rPr>
      </w:pPr>
      <w:r w:rsidRPr="00991026">
        <w:rPr>
          <w:rFonts w:cs="Calibri"/>
        </w:rPr>
        <w:t>8.3</w:t>
      </w:r>
      <w:r w:rsidRPr="00991026">
        <w:rPr>
          <w:rFonts w:cs="Calibri"/>
        </w:rPr>
        <w:tab/>
        <w:t>Amend the following ibrutinib listings as follows:</w:t>
      </w:r>
    </w:p>
    <w:p w14:paraId="1378EC94" w14:textId="77777777" w:rsidR="00CC3B89" w:rsidRPr="00991026" w:rsidRDefault="00CC3B89" w:rsidP="00CC3B89">
      <w:pPr>
        <w:rPr>
          <w:rFonts w:cs="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417"/>
        <w:gridCol w:w="1276"/>
        <w:gridCol w:w="1276"/>
        <w:gridCol w:w="992"/>
        <w:gridCol w:w="1417"/>
      </w:tblGrid>
      <w:tr w:rsidR="00991026" w:rsidRPr="00991026" w14:paraId="29593952" w14:textId="77777777" w:rsidTr="00D12BAD">
        <w:trPr>
          <w:cantSplit/>
          <w:trHeight w:val="339"/>
        </w:trPr>
        <w:tc>
          <w:tcPr>
            <w:tcW w:w="9067" w:type="dxa"/>
            <w:gridSpan w:val="6"/>
            <w:tcBorders>
              <w:top w:val="single" w:sz="4" w:space="0" w:color="auto"/>
              <w:left w:val="single" w:sz="4" w:space="0" w:color="auto"/>
              <w:bottom w:val="single" w:sz="4" w:space="0" w:color="auto"/>
              <w:right w:val="single" w:sz="4" w:space="0" w:color="auto"/>
            </w:tcBorders>
          </w:tcPr>
          <w:p w14:paraId="4942F90D" w14:textId="77777777" w:rsidR="00CC3B89" w:rsidRPr="00991026" w:rsidRDefault="00CC3B89" w:rsidP="00D12BAD">
            <w:pPr>
              <w:keepNext/>
              <w:ind w:left="-57"/>
              <w:rPr>
                <w:rFonts w:ascii="Arial Narrow" w:hAnsi="Arial Narrow"/>
                <w:b/>
                <w:sz w:val="20"/>
                <w:szCs w:val="20"/>
              </w:rPr>
            </w:pPr>
            <w:r w:rsidRPr="00991026">
              <w:rPr>
                <w:rFonts w:ascii="Arial Narrow" w:hAnsi="Arial Narrow"/>
                <w:b/>
                <w:sz w:val="20"/>
                <w:szCs w:val="20"/>
              </w:rPr>
              <w:t xml:space="preserve">Category / Program: </w:t>
            </w:r>
            <w:r w:rsidRPr="00991026">
              <w:rPr>
                <w:rFonts w:ascii="Arial Narrow" w:hAnsi="Arial Narrow"/>
                <w:sz w:val="20"/>
                <w:szCs w:val="20"/>
              </w:rPr>
              <w:t xml:space="preserve">GENERAL – General Schedule (Code GE) </w:t>
            </w:r>
          </w:p>
        </w:tc>
      </w:tr>
      <w:tr w:rsidR="00991026" w:rsidRPr="00991026" w14:paraId="01A3C23B" w14:textId="77777777" w:rsidTr="00D12BAD">
        <w:trPr>
          <w:cantSplit/>
          <w:trHeight w:val="471"/>
        </w:trPr>
        <w:tc>
          <w:tcPr>
            <w:tcW w:w="2689" w:type="dxa"/>
          </w:tcPr>
          <w:p w14:paraId="5EF8D135" w14:textId="77777777" w:rsidR="00CC3B89" w:rsidRPr="00991026" w:rsidRDefault="00CC3B89" w:rsidP="00D12BAD">
            <w:pPr>
              <w:keepNext/>
              <w:ind w:left="-57"/>
              <w:rPr>
                <w:rFonts w:ascii="Arial Narrow" w:hAnsi="Arial Narrow"/>
                <w:b/>
                <w:bCs/>
                <w:sz w:val="20"/>
                <w:szCs w:val="20"/>
              </w:rPr>
            </w:pPr>
            <w:r w:rsidRPr="00991026">
              <w:rPr>
                <w:rFonts w:ascii="Arial Narrow" w:hAnsi="Arial Narrow"/>
                <w:b/>
                <w:bCs/>
                <w:sz w:val="20"/>
                <w:szCs w:val="20"/>
              </w:rPr>
              <w:t>MEDICINAL PRODUCT</w:t>
            </w:r>
          </w:p>
          <w:p w14:paraId="0A7ED6F8" w14:textId="77777777" w:rsidR="00CC3B89" w:rsidRPr="00991026" w:rsidRDefault="00CC3B89" w:rsidP="00D12BAD">
            <w:pPr>
              <w:keepNext/>
              <w:ind w:left="-57"/>
              <w:rPr>
                <w:rFonts w:ascii="Arial Narrow" w:hAnsi="Arial Narrow"/>
                <w:b/>
                <w:sz w:val="20"/>
                <w:szCs w:val="20"/>
              </w:rPr>
            </w:pPr>
            <w:r w:rsidRPr="00991026">
              <w:rPr>
                <w:rFonts w:ascii="Arial Narrow" w:hAnsi="Arial Narrow"/>
                <w:b/>
                <w:bCs/>
                <w:sz w:val="20"/>
                <w:szCs w:val="20"/>
              </w:rPr>
              <w:t>medicinal product pack</w:t>
            </w:r>
          </w:p>
        </w:tc>
        <w:tc>
          <w:tcPr>
            <w:tcW w:w="1417" w:type="dxa"/>
          </w:tcPr>
          <w:p w14:paraId="3F098D1C" w14:textId="77777777" w:rsidR="00CC3B89" w:rsidRPr="00991026" w:rsidRDefault="00CC3B89" w:rsidP="00D12BAD">
            <w:pPr>
              <w:keepNext/>
              <w:jc w:val="center"/>
              <w:rPr>
                <w:rFonts w:ascii="Arial Narrow" w:hAnsi="Arial Narrow"/>
                <w:b/>
                <w:sz w:val="20"/>
                <w:szCs w:val="20"/>
              </w:rPr>
            </w:pPr>
            <w:r w:rsidRPr="00991026">
              <w:rPr>
                <w:rFonts w:ascii="Arial Narrow" w:hAnsi="Arial Narrow"/>
                <w:b/>
                <w:sz w:val="20"/>
                <w:szCs w:val="20"/>
              </w:rPr>
              <w:t>PBS item code</w:t>
            </w:r>
          </w:p>
        </w:tc>
        <w:tc>
          <w:tcPr>
            <w:tcW w:w="1276" w:type="dxa"/>
          </w:tcPr>
          <w:p w14:paraId="6C773AAB" w14:textId="77777777" w:rsidR="00CC3B89" w:rsidRPr="00991026" w:rsidRDefault="00CC3B89" w:rsidP="006C5FBB">
            <w:pPr>
              <w:keepNext/>
              <w:jc w:val="center"/>
              <w:rPr>
                <w:rFonts w:ascii="Arial Narrow" w:hAnsi="Arial Narrow"/>
                <w:b/>
                <w:sz w:val="20"/>
                <w:szCs w:val="20"/>
              </w:rPr>
            </w:pPr>
            <w:r w:rsidRPr="00991026">
              <w:rPr>
                <w:rFonts w:ascii="Arial Narrow" w:hAnsi="Arial Narrow"/>
                <w:b/>
                <w:sz w:val="20"/>
                <w:szCs w:val="20"/>
              </w:rPr>
              <w:t>Max. qty packs</w:t>
            </w:r>
          </w:p>
        </w:tc>
        <w:tc>
          <w:tcPr>
            <w:tcW w:w="1276" w:type="dxa"/>
          </w:tcPr>
          <w:p w14:paraId="3512A79C" w14:textId="77777777" w:rsidR="00CC3B89" w:rsidRPr="00991026" w:rsidRDefault="00CC3B89" w:rsidP="006C5FBB">
            <w:pPr>
              <w:keepNext/>
              <w:jc w:val="center"/>
              <w:rPr>
                <w:rFonts w:ascii="Arial Narrow" w:hAnsi="Arial Narrow"/>
                <w:b/>
                <w:sz w:val="20"/>
                <w:szCs w:val="20"/>
              </w:rPr>
            </w:pPr>
            <w:r w:rsidRPr="00991026">
              <w:rPr>
                <w:rFonts w:ascii="Arial Narrow" w:hAnsi="Arial Narrow"/>
                <w:b/>
                <w:sz w:val="20"/>
                <w:szCs w:val="20"/>
              </w:rPr>
              <w:t>Max. qty units</w:t>
            </w:r>
          </w:p>
        </w:tc>
        <w:tc>
          <w:tcPr>
            <w:tcW w:w="992" w:type="dxa"/>
          </w:tcPr>
          <w:p w14:paraId="27B4DE52" w14:textId="77777777" w:rsidR="00CC3B89" w:rsidRPr="00991026" w:rsidRDefault="00CC3B89" w:rsidP="00D12BAD">
            <w:pPr>
              <w:keepNext/>
              <w:ind w:left="-108"/>
              <w:jc w:val="center"/>
              <w:rPr>
                <w:rFonts w:ascii="Arial Narrow" w:hAnsi="Arial Narrow"/>
                <w:b/>
                <w:sz w:val="20"/>
                <w:szCs w:val="20"/>
              </w:rPr>
            </w:pPr>
            <w:r w:rsidRPr="00991026">
              <w:rPr>
                <w:rFonts w:ascii="Arial Narrow" w:hAnsi="Arial Narrow"/>
                <w:b/>
                <w:sz w:val="20"/>
                <w:szCs w:val="20"/>
              </w:rPr>
              <w:t>№.of Rpts</w:t>
            </w:r>
          </w:p>
        </w:tc>
        <w:tc>
          <w:tcPr>
            <w:tcW w:w="1417" w:type="dxa"/>
          </w:tcPr>
          <w:p w14:paraId="60C1B0AD" w14:textId="77777777" w:rsidR="00CC3B89" w:rsidRPr="00991026" w:rsidRDefault="00CC3B89" w:rsidP="00D12BAD">
            <w:pPr>
              <w:keepNext/>
              <w:rPr>
                <w:rFonts w:ascii="Arial Narrow" w:hAnsi="Arial Narrow"/>
                <w:b/>
                <w:sz w:val="20"/>
                <w:szCs w:val="20"/>
                <w:lang w:val="fr-FR"/>
              </w:rPr>
            </w:pPr>
            <w:r w:rsidRPr="00991026">
              <w:rPr>
                <w:rFonts w:ascii="Arial Narrow" w:hAnsi="Arial Narrow"/>
                <w:b/>
                <w:sz w:val="20"/>
                <w:szCs w:val="20"/>
              </w:rPr>
              <w:t>Available brands</w:t>
            </w:r>
          </w:p>
        </w:tc>
      </w:tr>
      <w:tr w:rsidR="00991026" w:rsidRPr="00991026" w14:paraId="10EAA03A" w14:textId="77777777" w:rsidTr="00D12BAD">
        <w:trPr>
          <w:cantSplit/>
          <w:trHeight w:val="224"/>
        </w:trPr>
        <w:tc>
          <w:tcPr>
            <w:tcW w:w="9067" w:type="dxa"/>
            <w:gridSpan w:val="6"/>
          </w:tcPr>
          <w:p w14:paraId="025EFBB2"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IBRUTINIB</w:t>
            </w:r>
          </w:p>
        </w:tc>
      </w:tr>
      <w:tr w:rsidR="00991026" w:rsidRPr="00991026" w14:paraId="691F326E" w14:textId="77777777" w:rsidTr="00D12BAD">
        <w:trPr>
          <w:cantSplit/>
          <w:trHeight w:val="193"/>
        </w:trPr>
        <w:tc>
          <w:tcPr>
            <w:tcW w:w="2689" w:type="dxa"/>
          </w:tcPr>
          <w:p w14:paraId="141197C4"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 xml:space="preserve">ibrutinib 140 mg capsule, 90 </w:t>
            </w:r>
          </w:p>
        </w:tc>
        <w:tc>
          <w:tcPr>
            <w:tcW w:w="1417" w:type="dxa"/>
          </w:tcPr>
          <w:p w14:paraId="01F7F85C"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11213E</w:t>
            </w:r>
          </w:p>
          <w:p w14:paraId="20FF9B75" w14:textId="77777777" w:rsidR="00CC3B89" w:rsidRPr="00991026" w:rsidRDefault="00CC3B89" w:rsidP="00D12BAD">
            <w:pPr>
              <w:keepNext/>
              <w:jc w:val="center"/>
              <w:rPr>
                <w:rFonts w:ascii="Arial Narrow" w:hAnsi="Arial Narrow"/>
                <w:sz w:val="20"/>
                <w:szCs w:val="20"/>
                <w:vertAlign w:val="subscript"/>
              </w:rPr>
            </w:pPr>
            <w:r w:rsidRPr="00991026">
              <w:rPr>
                <w:rFonts w:ascii="Arial Narrow" w:hAnsi="Arial Narrow"/>
                <w:sz w:val="20"/>
                <w:szCs w:val="20"/>
                <w:vertAlign w:val="subscript"/>
              </w:rPr>
              <w:t>MP</w:t>
            </w:r>
          </w:p>
        </w:tc>
        <w:tc>
          <w:tcPr>
            <w:tcW w:w="1276" w:type="dxa"/>
          </w:tcPr>
          <w:p w14:paraId="08FB91EB"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w:t>
            </w:r>
          </w:p>
        </w:tc>
        <w:tc>
          <w:tcPr>
            <w:tcW w:w="1276" w:type="dxa"/>
          </w:tcPr>
          <w:p w14:paraId="36198BE6"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90</w:t>
            </w:r>
          </w:p>
        </w:tc>
        <w:tc>
          <w:tcPr>
            <w:tcW w:w="992" w:type="dxa"/>
          </w:tcPr>
          <w:p w14:paraId="0D18B623"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5</w:t>
            </w:r>
          </w:p>
        </w:tc>
        <w:tc>
          <w:tcPr>
            <w:tcW w:w="1417" w:type="dxa"/>
          </w:tcPr>
          <w:p w14:paraId="081001BC" w14:textId="77777777" w:rsidR="00CC3B89" w:rsidRPr="00991026" w:rsidRDefault="00CC3B89" w:rsidP="00D12BAD">
            <w:pPr>
              <w:keepNext/>
              <w:rPr>
                <w:rFonts w:ascii="Arial Narrow" w:eastAsia="MS Gothic" w:hAnsi="Arial Narrow"/>
                <w:bCs/>
                <w:sz w:val="20"/>
                <w:szCs w:val="20"/>
              </w:rPr>
            </w:pPr>
            <w:r w:rsidRPr="00991026">
              <w:rPr>
                <w:rFonts w:ascii="Arial Narrow" w:eastAsia="MS Gothic" w:hAnsi="Arial Narrow"/>
                <w:bCs/>
                <w:sz w:val="20"/>
                <w:szCs w:val="20"/>
              </w:rPr>
              <w:t>Imbruvica</w:t>
            </w:r>
          </w:p>
        </w:tc>
      </w:tr>
      <w:tr w:rsidR="00991026" w:rsidRPr="00991026" w14:paraId="32FE5D6D" w14:textId="77777777" w:rsidTr="00D12BAD">
        <w:trPr>
          <w:cantSplit/>
          <w:trHeight w:val="193"/>
        </w:trPr>
        <w:tc>
          <w:tcPr>
            <w:tcW w:w="9067" w:type="dxa"/>
            <w:gridSpan w:val="6"/>
          </w:tcPr>
          <w:p w14:paraId="6CDE9B72" w14:textId="77777777" w:rsidR="00CC3B89" w:rsidRPr="00991026" w:rsidRDefault="00CC3B89" w:rsidP="00D12BAD">
            <w:pPr>
              <w:keepNext/>
              <w:jc w:val="right"/>
              <w:rPr>
                <w:rFonts w:ascii="Arial Narrow" w:eastAsia="MS Gothic" w:hAnsi="Arial Narrow"/>
                <w:bCs/>
                <w:sz w:val="20"/>
                <w:szCs w:val="20"/>
              </w:rPr>
            </w:pPr>
          </w:p>
        </w:tc>
      </w:tr>
    </w:tbl>
    <w:tbl>
      <w:tblPr>
        <w:tblStyle w:val="TableGrid"/>
        <w:tblW w:w="9067" w:type="dxa"/>
        <w:tblLook w:val="04A0" w:firstRow="1" w:lastRow="0" w:firstColumn="1" w:lastColumn="0" w:noHBand="0" w:noVBand="1"/>
      </w:tblPr>
      <w:tblGrid>
        <w:gridCol w:w="1271"/>
        <w:gridCol w:w="7796"/>
      </w:tblGrid>
      <w:tr w:rsidR="00991026" w:rsidRPr="00991026" w14:paraId="1BA2F91D" w14:textId="77777777" w:rsidTr="00D12BAD">
        <w:tc>
          <w:tcPr>
            <w:tcW w:w="9067" w:type="dxa"/>
            <w:gridSpan w:val="2"/>
          </w:tcPr>
          <w:p w14:paraId="6352DF8F" w14:textId="2616339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Edit Restriction Summary  / ToC: Authority Required </w:t>
            </w:r>
            <w:r w:rsidRPr="00991026">
              <w:rPr>
                <w:rFonts w:ascii="Arial Narrow" w:hAnsi="Arial Narrow" w:cs="Open Sans"/>
                <w:i/>
                <w:iCs/>
                <w:sz w:val="20"/>
                <w:szCs w:val="20"/>
                <w:bdr w:val="none" w:sz="0" w:space="0" w:color="auto" w:frame="1"/>
              </w:rPr>
              <w:t>(to share identical restriction summary number as zanubrutinib and acalabrutinib)</w:t>
            </w:r>
          </w:p>
          <w:p w14:paraId="7D575D4B" w14:textId="77777777" w:rsidR="00CC3B89" w:rsidRPr="00991026" w:rsidRDefault="00CC3B89" w:rsidP="00D12BAD">
            <w:pPr>
              <w:textAlignment w:val="baseline"/>
              <w:rPr>
                <w:rFonts w:ascii="Arial Narrow" w:hAnsi="Arial Narrow" w:cs="Open Sans"/>
                <w:b/>
                <w:bCs/>
                <w:sz w:val="20"/>
                <w:szCs w:val="20"/>
                <w:bdr w:val="none" w:sz="0" w:space="0" w:color="auto" w:frame="1"/>
              </w:rPr>
            </w:pPr>
          </w:p>
        </w:tc>
      </w:tr>
      <w:tr w:rsidR="00991026" w:rsidRPr="00991026" w14:paraId="70B5B37D" w14:textId="77777777" w:rsidTr="00D12BAD">
        <w:tc>
          <w:tcPr>
            <w:tcW w:w="1271" w:type="dxa"/>
          </w:tcPr>
          <w:p w14:paraId="4671C380" w14:textId="0F569E8E" w:rsidR="00CC3B89" w:rsidRPr="00991026" w:rsidRDefault="00CC3B89" w:rsidP="00D12BAD">
            <w:pPr>
              <w:jc w:val="center"/>
              <w:textAlignment w:val="baseline"/>
              <w:rPr>
                <w:rFonts w:ascii="Arial Narrow" w:hAnsi="Arial Narrow" w:cs="Open Sans"/>
                <w:sz w:val="20"/>
                <w:szCs w:val="20"/>
              </w:rPr>
            </w:pPr>
          </w:p>
        </w:tc>
        <w:tc>
          <w:tcPr>
            <w:tcW w:w="7796" w:type="dxa"/>
          </w:tcPr>
          <w:p w14:paraId="1565D9A6" w14:textId="77777777" w:rsidR="00CC3B89" w:rsidRPr="00991026" w:rsidRDefault="00CC3B89" w:rsidP="00D12BAD">
            <w:pPr>
              <w:ind w:left="-57"/>
              <w:textAlignment w:val="baseline"/>
              <w:rPr>
                <w:rFonts w:ascii="Arial Narrow" w:hAnsi="Arial Narrow" w:cs="Open Sans"/>
                <w:b/>
                <w:bCs/>
                <w:i/>
                <w:iCs/>
                <w:sz w:val="20"/>
                <w:szCs w:val="20"/>
                <w:bdr w:val="none" w:sz="0" w:space="0" w:color="auto" w:frame="1"/>
              </w:rPr>
            </w:pPr>
            <w:r w:rsidRPr="00991026">
              <w:rPr>
                <w:rFonts w:ascii="Arial Narrow" w:hAnsi="Arial Narrow" w:cs="Open Sans"/>
                <w:b/>
                <w:bCs/>
                <w:i/>
                <w:iCs/>
                <w:sz w:val="20"/>
                <w:szCs w:val="20"/>
                <w:bdr w:val="none" w:sz="0" w:space="0" w:color="auto" w:frame="1"/>
              </w:rPr>
              <w:t>Administrative Advice:</w:t>
            </w:r>
          </w:p>
          <w:p w14:paraId="7F5B681A" w14:textId="77777777" w:rsidR="00CC3B89" w:rsidRPr="00991026" w:rsidRDefault="00CC3B89" w:rsidP="00D12BAD">
            <w:pPr>
              <w:ind w:left="-57"/>
              <w:textAlignment w:val="baseline"/>
              <w:rPr>
                <w:rFonts w:ascii="Arial Narrow" w:hAnsi="Arial Narrow" w:cs="Open Sans"/>
                <w:i/>
                <w:iCs/>
                <w:sz w:val="20"/>
                <w:szCs w:val="20"/>
              </w:rPr>
            </w:pPr>
            <w:r w:rsidRPr="00991026">
              <w:rPr>
                <w:rFonts w:ascii="Arial Narrow" w:hAnsi="Arial Narrow" w:cs="Open San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991026" w:rsidRPr="00991026" w14:paraId="50BF096B" w14:textId="77777777" w:rsidTr="00D12BAD">
        <w:tc>
          <w:tcPr>
            <w:tcW w:w="1271" w:type="dxa"/>
          </w:tcPr>
          <w:p w14:paraId="05B3C0F8" w14:textId="090D626A" w:rsidR="00CC3B89" w:rsidRPr="00991026" w:rsidRDefault="00CC3B89" w:rsidP="00D12BAD">
            <w:pPr>
              <w:jc w:val="center"/>
              <w:textAlignment w:val="baseline"/>
              <w:rPr>
                <w:rFonts w:ascii="Arial Narrow" w:hAnsi="Arial Narrow" w:cs="Open Sans"/>
                <w:sz w:val="20"/>
                <w:szCs w:val="20"/>
              </w:rPr>
            </w:pPr>
          </w:p>
        </w:tc>
        <w:tc>
          <w:tcPr>
            <w:tcW w:w="7796" w:type="dxa"/>
          </w:tcPr>
          <w:p w14:paraId="5BFE95A0"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No increase in the maximum quantity or number of units may be authorised.</w:t>
            </w:r>
          </w:p>
        </w:tc>
      </w:tr>
      <w:tr w:rsidR="00991026" w:rsidRPr="00991026" w14:paraId="193F83C8" w14:textId="77777777" w:rsidTr="00D12BAD">
        <w:tc>
          <w:tcPr>
            <w:tcW w:w="1271" w:type="dxa"/>
          </w:tcPr>
          <w:p w14:paraId="4BD93619" w14:textId="61853228" w:rsidR="00CC3B89" w:rsidRPr="00991026" w:rsidRDefault="00CC3B89" w:rsidP="00D12BAD">
            <w:pPr>
              <w:jc w:val="center"/>
              <w:textAlignment w:val="baseline"/>
              <w:rPr>
                <w:rFonts w:ascii="Arial Narrow" w:hAnsi="Arial Narrow" w:cs="Open Sans"/>
                <w:sz w:val="20"/>
                <w:szCs w:val="20"/>
              </w:rPr>
            </w:pPr>
          </w:p>
        </w:tc>
        <w:tc>
          <w:tcPr>
            <w:tcW w:w="7796" w:type="dxa"/>
          </w:tcPr>
          <w:p w14:paraId="66FD29F5"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No increase in the maximum number of repeats may be authorised.</w:t>
            </w:r>
          </w:p>
        </w:tc>
      </w:tr>
      <w:tr w:rsidR="00991026" w:rsidRPr="00991026" w14:paraId="0EF58E89" w14:textId="77777777" w:rsidTr="00D12BAD">
        <w:tc>
          <w:tcPr>
            <w:tcW w:w="1271" w:type="dxa"/>
          </w:tcPr>
          <w:p w14:paraId="34AF5916" w14:textId="4DE20478" w:rsidR="00CC3B89" w:rsidRPr="00991026" w:rsidRDefault="00CC3B89" w:rsidP="00D12BAD">
            <w:pPr>
              <w:jc w:val="center"/>
              <w:textAlignment w:val="baseline"/>
              <w:rPr>
                <w:rFonts w:ascii="Arial Narrow" w:hAnsi="Arial Narrow" w:cs="Open Sans"/>
                <w:sz w:val="20"/>
                <w:szCs w:val="20"/>
              </w:rPr>
            </w:pPr>
          </w:p>
        </w:tc>
        <w:tc>
          <w:tcPr>
            <w:tcW w:w="7796" w:type="dxa"/>
          </w:tcPr>
          <w:p w14:paraId="45F97B22"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Special Pricing Arrangements apply.</w:t>
            </w:r>
          </w:p>
        </w:tc>
      </w:tr>
      <w:tr w:rsidR="00991026" w:rsidRPr="00991026" w14:paraId="4697DABE" w14:textId="77777777" w:rsidTr="00D12BAD">
        <w:tc>
          <w:tcPr>
            <w:tcW w:w="1271" w:type="dxa"/>
          </w:tcPr>
          <w:p w14:paraId="7910A711" w14:textId="72D2448F" w:rsidR="00CC3B89" w:rsidRPr="00991026" w:rsidRDefault="00CC3B89" w:rsidP="00D12BAD">
            <w:pPr>
              <w:jc w:val="center"/>
              <w:textAlignment w:val="baseline"/>
              <w:rPr>
                <w:rFonts w:ascii="Arial Narrow" w:hAnsi="Arial Narrow" w:cs="Open Sans"/>
                <w:sz w:val="20"/>
                <w:szCs w:val="20"/>
              </w:rPr>
            </w:pPr>
          </w:p>
        </w:tc>
        <w:tc>
          <w:tcPr>
            <w:tcW w:w="7796" w:type="dxa"/>
          </w:tcPr>
          <w:p w14:paraId="0EE623D3" w14:textId="77777777" w:rsidR="00CC3B89" w:rsidRPr="00991026" w:rsidRDefault="00CC3B89" w:rsidP="00D12BAD">
            <w:pPr>
              <w:ind w:left="-57"/>
              <w:rPr>
                <w:rFonts w:ascii="Arial Narrow" w:hAnsi="Arial Narrow"/>
                <w:bCs/>
                <w:i/>
                <w:iCs/>
                <w:sz w:val="20"/>
                <w:szCs w:val="20"/>
              </w:rPr>
            </w:pPr>
            <w:r w:rsidRPr="00991026">
              <w:rPr>
                <w:rFonts w:ascii="Arial Narrow" w:hAnsi="Arial Narrow"/>
                <w:b/>
                <w:bCs/>
                <w:i/>
                <w:iCs/>
                <w:sz w:val="20"/>
                <w:szCs w:val="20"/>
              </w:rPr>
              <w:t xml:space="preserve">Administrative advice: </w:t>
            </w:r>
          </w:p>
          <w:p w14:paraId="2DF917D1"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The latest International Workshop on CLL (iwCLL) provides guidance on various aspects of management of CLL/SLL. Notably, two of these are:</w:t>
            </w:r>
          </w:p>
          <w:p w14:paraId="48136F50"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(1) when to treat versus when to monitor the patient without therapy – see ‘Indications for treatment’ section; and</w:t>
            </w:r>
          </w:p>
          <w:p w14:paraId="2CA2275B"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(2) recognising progressive disease – see ‘Definition of response, relapse, and refractory disease’ section.</w:t>
            </w:r>
          </w:p>
          <w:p w14:paraId="63CC98FC" w14:textId="77777777" w:rsidR="00CC3B89" w:rsidRPr="00991026" w:rsidRDefault="00CC3B89" w:rsidP="00D12BAD">
            <w:pPr>
              <w:ind w:left="-57"/>
              <w:rPr>
                <w:rFonts w:ascii="Arial Narrow" w:hAnsi="Arial Narrow"/>
                <w:i/>
                <w:iCs/>
                <w:sz w:val="20"/>
                <w:szCs w:val="20"/>
              </w:rPr>
            </w:pPr>
          </w:p>
          <w:p w14:paraId="3B15EDF7"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See the following literature reference for details:</w:t>
            </w:r>
          </w:p>
          <w:p w14:paraId="5356DE38" w14:textId="77777777" w:rsidR="00CC3B89" w:rsidRPr="00991026" w:rsidRDefault="00CC3B89" w:rsidP="00D12BAD">
            <w:pPr>
              <w:textAlignment w:val="baseline"/>
              <w:rPr>
                <w:rFonts w:ascii="Arial Narrow" w:hAnsi="Arial Narrow" w:cs="Open Sans"/>
                <w:b/>
                <w:bCs/>
                <w:sz w:val="20"/>
                <w:szCs w:val="20"/>
                <w:bdr w:val="none" w:sz="0" w:space="0" w:color="auto" w:frame="1"/>
              </w:rPr>
            </w:pPr>
            <w:r w:rsidRPr="00991026">
              <w:rPr>
                <w:rFonts w:ascii="Arial Narrow" w:hAnsi="Arial Narrow"/>
                <w:i/>
                <w:iCs/>
                <w:sz w:val="20"/>
                <w:szCs w:val="20"/>
              </w:rPr>
              <w:t>Hallek, M et al. iwCLL guidelines for diagnosis, indications for treatment, response assessment, and supportive management of CLL. Blood vol. 131, 25 (2018): 2745-2760.</w:t>
            </w:r>
          </w:p>
        </w:tc>
      </w:tr>
      <w:tr w:rsidR="00991026" w:rsidRPr="00991026" w14:paraId="0896EEF9" w14:textId="77777777" w:rsidTr="00D12BAD">
        <w:tc>
          <w:tcPr>
            <w:tcW w:w="1271" w:type="dxa"/>
          </w:tcPr>
          <w:p w14:paraId="4AAF810A" w14:textId="77777777" w:rsidR="00CC3B89" w:rsidRPr="00991026" w:rsidRDefault="00CC3B89" w:rsidP="00D12BAD">
            <w:pPr>
              <w:jc w:val="center"/>
              <w:textAlignment w:val="baseline"/>
              <w:rPr>
                <w:rFonts w:ascii="Arial Narrow" w:hAnsi="Arial Narrow" w:cs="Open Sans"/>
                <w:sz w:val="20"/>
                <w:szCs w:val="20"/>
              </w:rPr>
            </w:pPr>
          </w:p>
        </w:tc>
        <w:tc>
          <w:tcPr>
            <w:tcW w:w="7796" w:type="dxa"/>
          </w:tcPr>
          <w:p w14:paraId="49F64A8D" w14:textId="77777777" w:rsidR="00CC3B89" w:rsidRPr="00991026" w:rsidRDefault="00CC3B89" w:rsidP="00D12BAD">
            <w:pPr>
              <w:textAlignment w:val="baseline"/>
              <w:rPr>
                <w:rFonts w:ascii="Arial Narrow" w:hAnsi="Arial Narrow" w:cs="Open Sans"/>
                <w:b/>
                <w:bCs/>
                <w:sz w:val="20"/>
                <w:szCs w:val="20"/>
                <w:bdr w:val="none" w:sz="0" w:space="0" w:color="auto" w:frame="1"/>
              </w:rPr>
            </w:pPr>
          </w:p>
        </w:tc>
      </w:tr>
      <w:tr w:rsidR="00991026" w:rsidRPr="00991026" w14:paraId="6642ED5F" w14:textId="77777777" w:rsidTr="006647F2">
        <w:tc>
          <w:tcPr>
            <w:tcW w:w="1271" w:type="dxa"/>
          </w:tcPr>
          <w:p w14:paraId="215A8194" w14:textId="079D2168"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2829CA4E" w14:textId="77777777" w:rsidR="00CC3B89" w:rsidRPr="00991026" w:rsidRDefault="00CC3B89" w:rsidP="00D12BAD">
            <w:pPr>
              <w:ind w:left="-57"/>
              <w:textAlignment w:val="baseline"/>
              <w:rPr>
                <w:rFonts w:ascii="Arial Narrow" w:hAnsi="Arial Narrow" w:cs="Open Sans"/>
                <w:sz w:val="20"/>
                <w:szCs w:val="20"/>
              </w:rPr>
            </w:pPr>
            <w:r w:rsidRPr="00991026">
              <w:rPr>
                <w:rFonts w:ascii="Arial Narrow" w:hAnsi="Arial Narrow" w:cs="Open Sans"/>
                <w:b/>
                <w:bCs/>
                <w:sz w:val="20"/>
                <w:szCs w:val="20"/>
                <w:bdr w:val="none" w:sz="0" w:space="0" w:color="auto" w:frame="1"/>
              </w:rPr>
              <w:t xml:space="preserve">Indication: </w:t>
            </w:r>
            <w:r w:rsidRPr="00991026">
              <w:rPr>
                <w:rFonts w:ascii="Arial Narrow" w:hAnsi="Arial Narrow" w:cs="Open Sans"/>
                <w:sz w:val="20"/>
                <w:szCs w:val="20"/>
              </w:rPr>
              <w:t>Chronic lymphocytic leukaemia (CLL) or small lymphocytic lymphoma (SLL)</w:t>
            </w:r>
          </w:p>
        </w:tc>
      </w:tr>
      <w:tr w:rsidR="00991026" w:rsidRPr="00991026" w14:paraId="17DB03BA" w14:textId="77777777" w:rsidTr="00D12BAD">
        <w:tc>
          <w:tcPr>
            <w:tcW w:w="1271" w:type="dxa"/>
          </w:tcPr>
          <w:p w14:paraId="309949F4" w14:textId="77777777" w:rsidR="00CC3B89" w:rsidRPr="00991026" w:rsidRDefault="00CC3B89" w:rsidP="00D12BAD">
            <w:pPr>
              <w:jc w:val="center"/>
              <w:textAlignment w:val="baseline"/>
              <w:rPr>
                <w:rFonts w:ascii="Arial Narrow" w:hAnsi="Arial Narrow" w:cs="Open Sans"/>
                <w:sz w:val="20"/>
                <w:szCs w:val="20"/>
              </w:rPr>
            </w:pPr>
          </w:p>
        </w:tc>
        <w:tc>
          <w:tcPr>
            <w:tcW w:w="7796" w:type="dxa"/>
          </w:tcPr>
          <w:p w14:paraId="03B6D376"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48EDAB1C" w14:textId="77777777" w:rsidTr="006647F2">
        <w:tc>
          <w:tcPr>
            <w:tcW w:w="1271" w:type="dxa"/>
          </w:tcPr>
          <w:p w14:paraId="482AB057" w14:textId="32174536" w:rsidR="00CC3B89" w:rsidRPr="00991026" w:rsidRDefault="00CC3B89" w:rsidP="00D12BAD">
            <w:pPr>
              <w:jc w:val="center"/>
              <w:rPr>
                <w:rFonts w:ascii="Arial Narrow" w:hAnsi="Arial Narrow" w:cs="Open Sans"/>
                <w:sz w:val="20"/>
                <w:szCs w:val="20"/>
              </w:rPr>
            </w:pPr>
          </w:p>
        </w:tc>
        <w:tc>
          <w:tcPr>
            <w:tcW w:w="7796" w:type="dxa"/>
            <w:hideMark/>
          </w:tcPr>
          <w:p w14:paraId="28BBD52B" w14:textId="77777777" w:rsidR="00CC3B89" w:rsidRPr="00991026" w:rsidRDefault="00CC3B89" w:rsidP="00D12BAD">
            <w:pPr>
              <w:ind w:left="-57"/>
              <w:textAlignment w:val="baseline"/>
              <w:rPr>
                <w:rFonts w:ascii="Arial Narrow" w:hAnsi="Arial Narrow" w:cs="Open Sans"/>
                <w:i/>
                <w:iCs/>
                <w:sz w:val="20"/>
                <w:szCs w:val="20"/>
              </w:rPr>
            </w:pPr>
            <w:r w:rsidRPr="00991026">
              <w:rPr>
                <w:rFonts w:ascii="Arial Narrow" w:hAnsi="Arial Narrow" w:cs="Open Sans"/>
                <w:b/>
                <w:bCs/>
                <w:sz w:val="20"/>
                <w:szCs w:val="20"/>
                <w:bdr w:val="none" w:sz="0" w:space="0" w:color="auto" w:frame="1"/>
              </w:rPr>
              <w:t xml:space="preserve">Treatment Phase: </w:t>
            </w:r>
            <w:r w:rsidRPr="00991026">
              <w:rPr>
                <w:rFonts w:ascii="Arial Narrow" w:hAnsi="Arial Narrow" w:cs="Open Sans"/>
                <w:strike/>
                <w:sz w:val="20"/>
                <w:szCs w:val="20"/>
              </w:rPr>
              <w:t xml:space="preserve">Initial treatment </w:t>
            </w:r>
            <w:r w:rsidRPr="00991026">
              <w:rPr>
                <w:rFonts w:ascii="Arial Narrow" w:hAnsi="Arial Narrow" w:cs="Open Sans"/>
                <w:sz w:val="20"/>
                <w:szCs w:val="20"/>
              </w:rPr>
              <w:t xml:space="preserve"> </w:t>
            </w:r>
            <w:r w:rsidRPr="00991026">
              <w:rPr>
                <w:rFonts w:ascii="Arial Narrow" w:hAnsi="Arial Narrow" w:cs="Open Sans"/>
                <w:i/>
                <w:iCs/>
                <w:sz w:val="20"/>
                <w:szCs w:val="20"/>
              </w:rPr>
              <w:t>Treatment of relapsed/refractory disease</w:t>
            </w:r>
          </w:p>
        </w:tc>
      </w:tr>
      <w:tr w:rsidR="00991026" w:rsidRPr="00991026" w14:paraId="63722641" w14:textId="77777777" w:rsidTr="00D12BAD">
        <w:tc>
          <w:tcPr>
            <w:tcW w:w="1271" w:type="dxa"/>
          </w:tcPr>
          <w:p w14:paraId="60CA3EDD" w14:textId="41C6E576" w:rsidR="00CC3B89" w:rsidRPr="00991026" w:rsidRDefault="00CC3B89" w:rsidP="00D12BAD">
            <w:pPr>
              <w:jc w:val="center"/>
              <w:rPr>
                <w:rFonts w:ascii="Arial Narrow" w:hAnsi="Arial Narrow" w:cs="Open Sans"/>
                <w:sz w:val="20"/>
                <w:szCs w:val="20"/>
              </w:rPr>
            </w:pPr>
          </w:p>
        </w:tc>
        <w:tc>
          <w:tcPr>
            <w:tcW w:w="7796" w:type="dxa"/>
          </w:tcPr>
          <w:p w14:paraId="49DAA17D"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61013CFD" w14:textId="77777777" w:rsidTr="006647F2">
        <w:tc>
          <w:tcPr>
            <w:tcW w:w="1271" w:type="dxa"/>
          </w:tcPr>
          <w:p w14:paraId="2D327065" w14:textId="065DA63B"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030E91EF"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6E21B208" w14:textId="77777777" w:rsidTr="006647F2">
        <w:tc>
          <w:tcPr>
            <w:tcW w:w="1271" w:type="dxa"/>
          </w:tcPr>
          <w:p w14:paraId="078D947A" w14:textId="51BEC80D"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5D85B947"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The treatment must be the sole PBS-subsidised therapy for this condition</w:t>
            </w:r>
          </w:p>
        </w:tc>
      </w:tr>
      <w:tr w:rsidR="00991026" w:rsidRPr="00991026" w14:paraId="098D86E3" w14:textId="77777777" w:rsidTr="006647F2">
        <w:tc>
          <w:tcPr>
            <w:tcW w:w="1271" w:type="dxa"/>
          </w:tcPr>
          <w:p w14:paraId="1DB7C38F" w14:textId="77777777" w:rsidR="00CC3B89" w:rsidRPr="00991026" w:rsidRDefault="00CC3B89" w:rsidP="00D12BAD">
            <w:pPr>
              <w:jc w:val="center"/>
              <w:rPr>
                <w:rFonts w:ascii="Arial Narrow" w:hAnsi="Arial Narrow" w:cs="Open Sans"/>
                <w:sz w:val="20"/>
                <w:szCs w:val="20"/>
              </w:rPr>
            </w:pPr>
          </w:p>
        </w:tc>
        <w:tc>
          <w:tcPr>
            <w:tcW w:w="7796" w:type="dxa"/>
            <w:hideMark/>
          </w:tcPr>
          <w:p w14:paraId="2DD61918"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6906C791" w14:textId="77777777" w:rsidTr="006647F2">
        <w:tc>
          <w:tcPr>
            <w:tcW w:w="1271" w:type="dxa"/>
          </w:tcPr>
          <w:p w14:paraId="157C6BCA" w14:textId="1F0D716B"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613FD622" w14:textId="77777777" w:rsidR="00CC3B89" w:rsidRPr="00991026" w:rsidRDefault="00CC3B89" w:rsidP="00D12BAD">
            <w:pPr>
              <w:ind w:left="-57"/>
              <w:textAlignment w:val="baseline"/>
              <w:rPr>
                <w:rFonts w:ascii="Arial Narrow" w:hAnsi="Arial Narrow" w:cs="Open Sans"/>
                <w:sz w:val="20"/>
                <w:szCs w:val="20"/>
              </w:rPr>
            </w:pPr>
            <w:r w:rsidRPr="00991026">
              <w:rPr>
                <w:rFonts w:ascii="Arial Narrow" w:hAnsi="Arial Narrow" w:cs="Open Sans"/>
                <w:b/>
                <w:bCs/>
                <w:sz w:val="20"/>
                <w:szCs w:val="20"/>
                <w:bdr w:val="none" w:sz="0" w:space="0" w:color="auto" w:frame="1"/>
              </w:rPr>
              <w:t>Clinical criteria:</w:t>
            </w:r>
          </w:p>
        </w:tc>
      </w:tr>
      <w:tr w:rsidR="00991026" w:rsidRPr="00991026" w14:paraId="2659B3D2" w14:textId="77777777" w:rsidTr="006647F2">
        <w:tc>
          <w:tcPr>
            <w:tcW w:w="1271" w:type="dxa"/>
          </w:tcPr>
          <w:p w14:paraId="4422F11F" w14:textId="61C4CF6A"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0B891E3D" w14:textId="77777777" w:rsidR="00CC3B89" w:rsidRPr="00991026" w:rsidRDefault="00CC3B89" w:rsidP="00D12BAD">
            <w:pPr>
              <w:ind w:left="-57"/>
              <w:rPr>
                <w:rFonts w:ascii="Arial Narrow" w:hAnsi="Arial Narrow" w:cs="Open Sans"/>
                <w:sz w:val="20"/>
                <w:szCs w:val="20"/>
              </w:rPr>
            </w:pPr>
            <w:r w:rsidRPr="00991026">
              <w:rPr>
                <w:rFonts w:ascii="Arial Narrow" w:hAnsi="Arial Narrow" w:cs="Open Sans"/>
                <w:sz w:val="20"/>
                <w:szCs w:val="20"/>
              </w:rPr>
              <w:t>The condition must have relapsed or be refractory to at least one prior therapy</w:t>
            </w:r>
          </w:p>
        </w:tc>
      </w:tr>
      <w:tr w:rsidR="00991026" w:rsidRPr="00991026" w14:paraId="73613D38" w14:textId="77777777" w:rsidTr="006647F2">
        <w:tc>
          <w:tcPr>
            <w:tcW w:w="1271" w:type="dxa"/>
          </w:tcPr>
          <w:p w14:paraId="5A5458D4" w14:textId="56560287" w:rsidR="00CC3B89" w:rsidRPr="00991026" w:rsidRDefault="00CC3B89" w:rsidP="00D12BAD">
            <w:pPr>
              <w:jc w:val="center"/>
              <w:rPr>
                <w:rFonts w:ascii="Arial Narrow" w:hAnsi="Arial Narrow" w:cs="Open Sans"/>
                <w:sz w:val="20"/>
                <w:szCs w:val="20"/>
              </w:rPr>
            </w:pPr>
          </w:p>
        </w:tc>
        <w:tc>
          <w:tcPr>
            <w:tcW w:w="7796" w:type="dxa"/>
            <w:hideMark/>
          </w:tcPr>
          <w:p w14:paraId="70E0992D"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3104F2C4" w14:textId="77777777" w:rsidTr="006647F2">
        <w:tc>
          <w:tcPr>
            <w:tcW w:w="1271" w:type="dxa"/>
          </w:tcPr>
          <w:p w14:paraId="74768081" w14:textId="3CABD9E6"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012CDC1D"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565CB99D" w14:textId="77777777" w:rsidTr="006647F2">
        <w:tc>
          <w:tcPr>
            <w:tcW w:w="1271" w:type="dxa"/>
          </w:tcPr>
          <w:p w14:paraId="25E225D1" w14:textId="27D312C4"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6FD19562"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have a WHO performance status of 0 or 1</w:t>
            </w:r>
          </w:p>
        </w:tc>
      </w:tr>
      <w:tr w:rsidR="00991026" w:rsidRPr="00991026" w14:paraId="45487DD0"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3E499892" w14:textId="6783A43F"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86EFF65" w14:textId="77777777" w:rsidR="00CC3B89" w:rsidRPr="00991026" w:rsidRDefault="00CC3B89" w:rsidP="00D12BAD">
            <w:pPr>
              <w:ind w:left="-57"/>
              <w:rPr>
                <w:rFonts w:ascii="Arial Narrow" w:hAnsi="Arial Narrow" w:cs="Open Sans"/>
                <w:i/>
                <w:iCs/>
                <w:strike/>
                <w:sz w:val="20"/>
                <w:szCs w:val="20"/>
              </w:rPr>
            </w:pPr>
            <w:r w:rsidRPr="00991026">
              <w:rPr>
                <w:rFonts w:ascii="Arial Narrow" w:hAnsi="Arial Narrow"/>
                <w:b/>
                <w:bCs/>
                <w:i/>
                <w:iCs/>
                <w:sz w:val="20"/>
                <w:szCs w:val="20"/>
              </w:rPr>
              <w:t>AND</w:t>
            </w:r>
          </w:p>
        </w:tc>
      </w:tr>
      <w:tr w:rsidR="00991026" w:rsidRPr="00991026" w14:paraId="7E2D9E02"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090F7047" w14:textId="4040E3D2"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05313DC" w14:textId="77777777" w:rsidR="00CC3B89" w:rsidRPr="00991026" w:rsidRDefault="00CC3B89" w:rsidP="00D12BAD">
            <w:pPr>
              <w:ind w:left="-57"/>
              <w:rPr>
                <w:rFonts w:ascii="Arial Narrow" w:hAnsi="Arial Narrow" w:cs="Open Sans"/>
                <w:i/>
                <w:iCs/>
                <w:strike/>
                <w:sz w:val="20"/>
                <w:szCs w:val="20"/>
              </w:rPr>
            </w:pPr>
            <w:r w:rsidRPr="00991026">
              <w:rPr>
                <w:rFonts w:ascii="Arial Narrow" w:hAnsi="Arial Narrow"/>
                <w:b/>
                <w:bCs/>
                <w:i/>
                <w:iCs/>
                <w:sz w:val="20"/>
                <w:szCs w:val="20"/>
              </w:rPr>
              <w:t>Clinical criteria:</w:t>
            </w:r>
          </w:p>
        </w:tc>
      </w:tr>
      <w:tr w:rsidR="00991026" w:rsidRPr="00991026" w14:paraId="58BA36E4"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3713B0AF" w14:textId="1470CE73"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096DEA17" w14:textId="25EE934B" w:rsidR="00CC3B89" w:rsidRPr="00991026" w:rsidRDefault="008744B0" w:rsidP="00D12BAD">
            <w:pPr>
              <w:ind w:left="-57"/>
              <w:rPr>
                <w:rFonts w:ascii="Arial Narrow" w:hAnsi="Arial Narrow" w:cs="Open Sans"/>
                <w:i/>
                <w:iCs/>
                <w:strike/>
                <w:sz w:val="20"/>
                <w:szCs w:val="20"/>
              </w:rPr>
            </w:pPr>
            <w:r w:rsidRPr="00991026">
              <w:rPr>
                <w:rFonts w:ascii="Arial Narrow" w:hAnsi="Arial Narrow"/>
                <w:i/>
                <w:iCs/>
                <w:sz w:val="20"/>
                <w:szCs w:val="20"/>
              </w:rPr>
              <w:t>The treatment must only be prescribed for patients with active disease in accordance with the International Workshop on CLL (iwCLL) guidance (latest version) in relation to when to prescribe drug treatment for this condition</w:t>
            </w:r>
          </w:p>
        </w:tc>
      </w:tr>
      <w:tr w:rsidR="00991026" w:rsidRPr="00991026" w14:paraId="686863AA" w14:textId="77777777" w:rsidTr="006647F2">
        <w:tc>
          <w:tcPr>
            <w:tcW w:w="1271" w:type="dxa"/>
          </w:tcPr>
          <w:p w14:paraId="7AD8AE0E" w14:textId="46ACDF7A" w:rsidR="00CC3B89" w:rsidRPr="00991026" w:rsidRDefault="00CC3B89" w:rsidP="00D12BAD">
            <w:pPr>
              <w:jc w:val="center"/>
              <w:rPr>
                <w:rFonts w:ascii="Arial Narrow" w:hAnsi="Arial Narrow" w:cs="Open Sans"/>
                <w:sz w:val="20"/>
                <w:szCs w:val="20"/>
              </w:rPr>
            </w:pPr>
          </w:p>
        </w:tc>
        <w:tc>
          <w:tcPr>
            <w:tcW w:w="7796" w:type="dxa"/>
            <w:hideMark/>
          </w:tcPr>
          <w:p w14:paraId="659A3822"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2DEA7B80" w14:textId="77777777" w:rsidTr="006647F2">
        <w:tc>
          <w:tcPr>
            <w:tcW w:w="1271" w:type="dxa"/>
          </w:tcPr>
          <w:p w14:paraId="07C45F81" w14:textId="71063305"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13909D2D"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294E4B8C" w14:textId="77777777" w:rsidTr="006647F2">
        <w:tc>
          <w:tcPr>
            <w:tcW w:w="1271" w:type="dxa"/>
          </w:tcPr>
          <w:p w14:paraId="1790A12A" w14:textId="15E02FA5"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22837C8F"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not have previously received PBS-subsidised treatment with this drug for this condition</w:t>
            </w:r>
          </w:p>
        </w:tc>
      </w:tr>
      <w:tr w:rsidR="00991026" w:rsidRPr="00991026" w14:paraId="72DE383D" w14:textId="77777777" w:rsidTr="006647F2">
        <w:tc>
          <w:tcPr>
            <w:tcW w:w="1271" w:type="dxa"/>
          </w:tcPr>
          <w:p w14:paraId="3BB50C48" w14:textId="549084E9" w:rsidR="00CC3B89" w:rsidRPr="00991026" w:rsidRDefault="00CC3B89" w:rsidP="00D12BAD">
            <w:pPr>
              <w:jc w:val="center"/>
              <w:rPr>
                <w:rFonts w:ascii="Arial Narrow" w:hAnsi="Arial Narrow" w:cs="Open Sans"/>
                <w:sz w:val="20"/>
                <w:szCs w:val="20"/>
              </w:rPr>
            </w:pPr>
          </w:p>
        </w:tc>
        <w:tc>
          <w:tcPr>
            <w:tcW w:w="7796" w:type="dxa"/>
            <w:hideMark/>
          </w:tcPr>
          <w:p w14:paraId="2BA4F881"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7597A5D9" w14:textId="77777777" w:rsidTr="006647F2">
        <w:tc>
          <w:tcPr>
            <w:tcW w:w="1271" w:type="dxa"/>
          </w:tcPr>
          <w:p w14:paraId="52207206" w14:textId="4747D2C9"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41C31F61"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647D0940" w14:textId="77777777" w:rsidTr="006647F2">
        <w:tc>
          <w:tcPr>
            <w:tcW w:w="1271" w:type="dxa"/>
          </w:tcPr>
          <w:p w14:paraId="55C27F53" w14:textId="296E3154"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219B78FB"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not have received treatment with another Bruton’s tyrosine kinase (BTK) inhibitor for any line of treatment of CLL/SLL (untreated or relapsed/refractory disease); or</w:t>
            </w:r>
          </w:p>
        </w:tc>
      </w:tr>
      <w:tr w:rsidR="00991026" w:rsidRPr="00991026" w14:paraId="2C59171B" w14:textId="77777777" w:rsidTr="006647F2">
        <w:tc>
          <w:tcPr>
            <w:tcW w:w="1271" w:type="dxa"/>
          </w:tcPr>
          <w:p w14:paraId="2BD8D4D0" w14:textId="036721DC"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3868ED01"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have developed intolerance to another Bruton’s tyrosine kinase (BTK) inhibitor of a severity necessitating permanent treatment withdrawal when being treated for relapsed or refractory CLL/SLL</w:t>
            </w:r>
          </w:p>
        </w:tc>
      </w:tr>
      <w:tr w:rsidR="00991026" w:rsidRPr="00991026" w14:paraId="291E9404" w14:textId="77777777" w:rsidTr="006647F2">
        <w:tc>
          <w:tcPr>
            <w:tcW w:w="1271" w:type="dxa"/>
          </w:tcPr>
          <w:p w14:paraId="70D8352E" w14:textId="268AAD32" w:rsidR="00CC3B89" w:rsidRPr="00991026" w:rsidRDefault="00CC3B89" w:rsidP="00D12BAD">
            <w:pPr>
              <w:jc w:val="center"/>
              <w:rPr>
                <w:rFonts w:ascii="Arial Narrow" w:hAnsi="Arial Narrow" w:cs="Open Sans"/>
                <w:sz w:val="20"/>
                <w:szCs w:val="20"/>
              </w:rPr>
            </w:pPr>
          </w:p>
        </w:tc>
        <w:tc>
          <w:tcPr>
            <w:tcW w:w="7796" w:type="dxa"/>
            <w:hideMark/>
          </w:tcPr>
          <w:p w14:paraId="317D25C4"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7A0C0A33" w14:textId="77777777" w:rsidTr="006647F2">
        <w:tc>
          <w:tcPr>
            <w:tcW w:w="1271" w:type="dxa"/>
          </w:tcPr>
          <w:p w14:paraId="15211FB1" w14:textId="31231A73"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32C992A8"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5BDFC5C7" w14:textId="77777777" w:rsidTr="006647F2">
        <w:tc>
          <w:tcPr>
            <w:tcW w:w="1271" w:type="dxa"/>
          </w:tcPr>
          <w:p w14:paraId="3AF03832" w14:textId="2ABA8BF7"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2CA89EC5"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be considered unsuitable for treatment or retreatment with a purine analogue</w:t>
            </w:r>
          </w:p>
        </w:tc>
      </w:tr>
      <w:tr w:rsidR="00991026" w:rsidRPr="00991026" w14:paraId="18FAE7A6"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32B357CF" w14:textId="51984292"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53C64FC" w14:textId="77777777" w:rsidR="00CC3B89" w:rsidRPr="00991026" w:rsidRDefault="00CC3B89" w:rsidP="00D12BAD">
            <w:pPr>
              <w:ind w:left="-57"/>
              <w:rPr>
                <w:rFonts w:ascii="Arial Narrow" w:hAnsi="Arial Narrow" w:cs="Open Sans"/>
                <w:i/>
                <w:iCs/>
                <w:strike/>
                <w:sz w:val="20"/>
                <w:szCs w:val="20"/>
              </w:rPr>
            </w:pPr>
            <w:r w:rsidRPr="00991026">
              <w:rPr>
                <w:rFonts w:ascii="Arial Narrow" w:hAnsi="Arial Narrow"/>
                <w:b/>
                <w:bCs/>
                <w:i/>
                <w:iCs/>
                <w:sz w:val="20"/>
                <w:szCs w:val="20"/>
              </w:rPr>
              <w:t>AND</w:t>
            </w:r>
          </w:p>
        </w:tc>
      </w:tr>
      <w:tr w:rsidR="00991026" w:rsidRPr="00991026" w14:paraId="4B819040"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6C958572" w14:textId="593EAB96"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F2D64D2" w14:textId="77777777" w:rsidR="00CC3B89" w:rsidRPr="00991026" w:rsidRDefault="00CC3B89" w:rsidP="00D12BAD">
            <w:pPr>
              <w:ind w:left="-57"/>
              <w:rPr>
                <w:rFonts w:ascii="Arial Narrow" w:hAnsi="Arial Narrow" w:cs="Open Sans"/>
                <w:i/>
                <w:iCs/>
                <w:strike/>
                <w:sz w:val="20"/>
                <w:szCs w:val="20"/>
              </w:rPr>
            </w:pPr>
            <w:r w:rsidRPr="00991026">
              <w:rPr>
                <w:rFonts w:ascii="Arial Narrow" w:hAnsi="Arial Narrow"/>
                <w:b/>
                <w:bCs/>
                <w:i/>
                <w:iCs/>
                <w:sz w:val="20"/>
                <w:szCs w:val="20"/>
              </w:rPr>
              <w:t>Clinical criteria:</w:t>
            </w:r>
          </w:p>
        </w:tc>
      </w:tr>
      <w:tr w:rsidR="00991026" w:rsidRPr="00991026" w14:paraId="4FA6C709"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4487B76C" w14:textId="54497D72"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59491B6" w14:textId="77777777" w:rsidR="00CC3B89" w:rsidRPr="00991026" w:rsidRDefault="00CC3B89" w:rsidP="00D12BAD">
            <w:pPr>
              <w:ind w:left="-57"/>
              <w:rPr>
                <w:rFonts w:ascii="Arial Narrow" w:hAnsi="Arial Narrow" w:cs="Open Sans"/>
                <w:i/>
                <w:iCs/>
                <w:strike/>
                <w:sz w:val="20"/>
                <w:szCs w:val="20"/>
              </w:rPr>
            </w:pPr>
            <w:r w:rsidRPr="00991026">
              <w:rPr>
                <w:rFonts w:ascii="Arial Narrow" w:hAnsi="Arial Narrow"/>
                <w:i/>
                <w:iCs/>
                <w:sz w:val="20"/>
                <w:szCs w:val="20"/>
              </w:rPr>
              <w:t>The treatment must be the sole PBS-subsidised systemic anti-cancer therapy for this PBS indication.</w:t>
            </w:r>
          </w:p>
        </w:tc>
      </w:tr>
      <w:tr w:rsidR="00991026" w:rsidRPr="00991026" w14:paraId="19F0E45F"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4C2E8EE4" w14:textId="77777777" w:rsidR="00CC3B89" w:rsidRPr="00991026" w:rsidRDefault="00CC3B89" w:rsidP="00D12BAD">
            <w:pPr>
              <w:jc w:val="center"/>
              <w:textAlignment w:val="baseline"/>
              <w:rPr>
                <w:rFonts w:ascii="Arial Narrow" w:hAnsi="Arial Narrow"/>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12CACE0" w14:textId="77777777" w:rsidR="00CC3B89" w:rsidRPr="00991026" w:rsidRDefault="00CC3B89" w:rsidP="00D12BAD">
            <w:pPr>
              <w:ind w:left="-57"/>
              <w:rPr>
                <w:rFonts w:ascii="Arial Narrow" w:hAnsi="Arial Narrow"/>
                <w:i/>
                <w:iCs/>
                <w:sz w:val="20"/>
                <w:szCs w:val="20"/>
              </w:rPr>
            </w:pPr>
          </w:p>
        </w:tc>
      </w:tr>
      <w:tr w:rsidR="00991026" w:rsidRPr="00991026" w14:paraId="69883B93"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4542FA36" w14:textId="225E6418"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585CFF8"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b/>
                <w:bCs/>
                <w:i/>
                <w:iCs/>
                <w:sz w:val="20"/>
                <w:szCs w:val="20"/>
              </w:rPr>
              <w:t>Treatment criteria:</w:t>
            </w:r>
          </w:p>
        </w:tc>
      </w:tr>
      <w:tr w:rsidR="00991026" w:rsidRPr="00991026" w14:paraId="183972D8"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2A62787B" w14:textId="1A32B2DB"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1EB4C6C0" w14:textId="7157BC9E" w:rsidR="00CC3B89" w:rsidRPr="00991026" w:rsidRDefault="00CC3B89" w:rsidP="00D12BAD">
            <w:pPr>
              <w:ind w:left="-57"/>
              <w:rPr>
                <w:rFonts w:ascii="Arial Narrow" w:hAnsi="Arial Narrow" w:cs="Open Sans"/>
                <w:i/>
                <w:iCs/>
                <w:sz w:val="20"/>
                <w:szCs w:val="20"/>
              </w:rPr>
            </w:pPr>
            <w:r w:rsidRPr="00991026">
              <w:rPr>
                <w:rFonts w:ascii="Arial Narrow" w:hAnsi="Arial Narrow"/>
                <w:i/>
                <w:iCs/>
                <w:sz w:val="20"/>
                <w:szCs w:val="20"/>
              </w:rPr>
              <w:t>Patient must not be undergoing retreatment with this drug where prior, active treatment of CLL/SLL with this same drug was unable to prevent disease progression</w:t>
            </w:r>
          </w:p>
        </w:tc>
      </w:tr>
      <w:tr w:rsidR="00991026" w:rsidRPr="00991026" w14:paraId="73F41F29"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6EF779B2" w14:textId="77777777"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7048878"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b/>
                <w:bCs/>
                <w:i/>
                <w:iCs/>
                <w:sz w:val="20"/>
                <w:szCs w:val="20"/>
              </w:rPr>
              <w:t>AND</w:t>
            </w:r>
          </w:p>
        </w:tc>
      </w:tr>
      <w:tr w:rsidR="00991026" w:rsidRPr="00991026" w14:paraId="0C0554AC"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775C513E" w14:textId="26042FA3"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2BA5A05A"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b/>
                <w:bCs/>
                <w:i/>
                <w:iCs/>
                <w:sz w:val="20"/>
                <w:szCs w:val="20"/>
              </w:rPr>
              <w:t>Treatment criteria:</w:t>
            </w:r>
          </w:p>
        </w:tc>
      </w:tr>
      <w:tr w:rsidR="00991026" w:rsidRPr="00991026" w14:paraId="2310F8A1"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438DF1E6" w14:textId="09A43CE9"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3785CCDD"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i/>
                <w:iCs/>
                <w:sz w:val="20"/>
                <w:szCs w:val="20"/>
              </w:rPr>
              <w:t>Patient must be undergoing treatment through this treatment phase listing for the first time; or</w:t>
            </w:r>
          </w:p>
        </w:tc>
      </w:tr>
      <w:tr w:rsidR="00991026" w:rsidRPr="00991026" w14:paraId="3934A5D0"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5D1EF0C2" w14:textId="7CC16F10" w:rsidR="00CC3B89" w:rsidRPr="00991026" w:rsidRDefault="00CC3B89" w:rsidP="00D12BAD">
            <w:pPr>
              <w:jc w:val="center"/>
              <w:textAlignment w:val="baseline"/>
              <w:rPr>
                <w:rFonts w:ascii="Arial Narrow" w:hAnsi="Arial Narrow" w:cs="Open Sans"/>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07072C21"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i/>
                <w:iCs/>
                <w:sz w:val="20"/>
                <w:szCs w:val="20"/>
              </w:rPr>
              <w:t>Patient must be undergoing treatment through this treatment phase listing on a subsequent occasion, with disease progression being absent</w:t>
            </w:r>
          </w:p>
        </w:tc>
      </w:tr>
      <w:tr w:rsidR="00991026" w:rsidRPr="00991026" w14:paraId="7AB886AE" w14:textId="77777777" w:rsidTr="00D12BAD">
        <w:tc>
          <w:tcPr>
            <w:tcW w:w="1271" w:type="dxa"/>
            <w:tcBorders>
              <w:top w:val="single" w:sz="4" w:space="0" w:color="auto"/>
              <w:left w:val="single" w:sz="4" w:space="0" w:color="auto"/>
              <w:bottom w:val="single" w:sz="4" w:space="0" w:color="auto"/>
              <w:right w:val="single" w:sz="4" w:space="0" w:color="auto"/>
            </w:tcBorders>
            <w:vAlign w:val="center"/>
          </w:tcPr>
          <w:p w14:paraId="33C9DC67" w14:textId="77777777" w:rsidR="00CC3B89" w:rsidRPr="00991026" w:rsidRDefault="00CC3B89" w:rsidP="00D12BAD">
            <w:pPr>
              <w:jc w:val="center"/>
              <w:textAlignment w:val="baseline"/>
              <w:rPr>
                <w:rFonts w:ascii="Arial Narrow" w:hAnsi="Arial Narrow"/>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tcPr>
          <w:p w14:paraId="62192BF7" w14:textId="77777777" w:rsidR="00CC3B89" w:rsidRPr="00991026" w:rsidRDefault="00CC3B89" w:rsidP="00D12BAD">
            <w:pPr>
              <w:ind w:left="-57"/>
              <w:rPr>
                <w:rFonts w:ascii="Arial Narrow" w:hAnsi="Arial Narrow"/>
                <w:sz w:val="20"/>
                <w:szCs w:val="20"/>
              </w:rPr>
            </w:pPr>
          </w:p>
        </w:tc>
      </w:tr>
      <w:tr w:rsidR="00991026" w:rsidRPr="00991026" w14:paraId="60507591" w14:textId="77777777" w:rsidTr="006647F2">
        <w:tc>
          <w:tcPr>
            <w:tcW w:w="1271" w:type="dxa"/>
          </w:tcPr>
          <w:p w14:paraId="622DE6E8" w14:textId="23CEB066"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16003B1C"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Prescribing Instructions:</w:t>
            </w:r>
          </w:p>
          <w:p w14:paraId="21E85912"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A patient is considered unsuitable for treatment or retreatment with a purine analogue as demonstrated by at least one of the following:</w:t>
            </w:r>
          </w:p>
          <w:p w14:paraId="69ADCE58"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a) Failure to respond (stable disease or disease progression on treatment), or a progression-free interval of less than 3 years from treatment with a purine analogue-based therapy and anti-CD20-containing chemoimmunotherapy regimen after at least two cycles;</w:t>
            </w:r>
          </w:p>
          <w:p w14:paraId="4BD1F8C2"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b) Age is 70 years or older;</w:t>
            </w:r>
          </w:p>
          <w:p w14:paraId="51410ECE"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14:paraId="47E1D6FE"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d) History of purine analogue-associated autoimmune anaemia or autoimmune thrombocytopenia;</w:t>
            </w:r>
          </w:p>
          <w:p w14:paraId="3E01A62A"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e) Evidence of one or more 17p chromosomal deletions demonstrated by a Medicare Benefits Schedule listed test.</w:t>
            </w:r>
          </w:p>
        </w:tc>
      </w:tr>
      <w:tr w:rsidR="00991026" w:rsidRPr="00991026" w14:paraId="081C59C9" w14:textId="77777777" w:rsidTr="00D12BAD">
        <w:tc>
          <w:tcPr>
            <w:tcW w:w="9067" w:type="dxa"/>
            <w:gridSpan w:val="2"/>
          </w:tcPr>
          <w:p w14:paraId="09BB337D" w14:textId="77777777" w:rsidR="00CC3B89" w:rsidRPr="00991026" w:rsidRDefault="00CC3B89" w:rsidP="00D12BAD">
            <w:pPr>
              <w:textAlignment w:val="baseline"/>
              <w:rPr>
                <w:rFonts w:ascii="Arial Narrow" w:hAnsi="Arial Narrow" w:cs="Open Sans"/>
                <w:b/>
                <w:bCs/>
                <w:sz w:val="20"/>
                <w:szCs w:val="20"/>
                <w:bdr w:val="none" w:sz="0" w:space="0" w:color="auto" w:frame="1"/>
              </w:rPr>
            </w:pPr>
          </w:p>
          <w:p w14:paraId="6DB306E4" w14:textId="77777777" w:rsidR="00CC3B89" w:rsidRPr="00991026" w:rsidRDefault="00CC3B89" w:rsidP="00D12BAD">
            <w:pPr>
              <w:textAlignment w:val="baseline"/>
              <w:rPr>
                <w:rFonts w:ascii="Arial Narrow" w:hAnsi="Arial Narrow" w:cs="Open Sans"/>
                <w:b/>
                <w:bCs/>
                <w:sz w:val="20"/>
                <w:szCs w:val="20"/>
                <w:bdr w:val="none" w:sz="0" w:space="0" w:color="auto" w:frame="1"/>
              </w:rPr>
            </w:pPr>
          </w:p>
        </w:tc>
      </w:tr>
      <w:tr w:rsidR="00991026" w:rsidRPr="00991026" w14:paraId="058C5EF0" w14:textId="77777777" w:rsidTr="00D12BAD">
        <w:tc>
          <w:tcPr>
            <w:tcW w:w="9067" w:type="dxa"/>
            <w:gridSpan w:val="2"/>
          </w:tcPr>
          <w:p w14:paraId="42AD185C" w14:textId="512EE6BC"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Remove Restriction Summary  / ToC: Authority Required</w:t>
            </w:r>
          </w:p>
        </w:tc>
      </w:tr>
      <w:tr w:rsidR="00991026" w:rsidRPr="00991026" w14:paraId="170BB5FF" w14:textId="77777777" w:rsidTr="006647F2">
        <w:tc>
          <w:tcPr>
            <w:tcW w:w="1271" w:type="dxa"/>
          </w:tcPr>
          <w:p w14:paraId="7522C4AC" w14:textId="606B7C10"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51DFF01F"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 xml:space="preserve">Indication: </w:t>
            </w:r>
            <w:r w:rsidRPr="00991026">
              <w:rPr>
                <w:rFonts w:ascii="Arial Narrow" w:hAnsi="Arial Narrow" w:cs="Open Sans"/>
                <w:strike/>
                <w:sz w:val="20"/>
                <w:szCs w:val="20"/>
              </w:rPr>
              <w:t>Chronic lymphocytic leukaemia (CLL) or small lymphocytic lymphoma (SLL)</w:t>
            </w:r>
          </w:p>
        </w:tc>
      </w:tr>
      <w:tr w:rsidR="00991026" w:rsidRPr="00991026" w14:paraId="240EC9C4" w14:textId="77777777" w:rsidTr="00D12BAD">
        <w:tc>
          <w:tcPr>
            <w:tcW w:w="1271" w:type="dxa"/>
          </w:tcPr>
          <w:p w14:paraId="3751BE38" w14:textId="77777777" w:rsidR="00CC3B89" w:rsidRPr="00991026" w:rsidRDefault="00CC3B89" w:rsidP="00D12BAD">
            <w:pPr>
              <w:textAlignment w:val="baseline"/>
              <w:rPr>
                <w:rFonts w:ascii="Arial Narrow" w:hAnsi="Arial Narrow" w:cs="Open Sans"/>
                <w:sz w:val="20"/>
                <w:szCs w:val="20"/>
              </w:rPr>
            </w:pPr>
          </w:p>
        </w:tc>
        <w:tc>
          <w:tcPr>
            <w:tcW w:w="7796" w:type="dxa"/>
          </w:tcPr>
          <w:p w14:paraId="55FB483A" w14:textId="77777777" w:rsidR="00CC3B89" w:rsidRPr="00991026" w:rsidRDefault="00CC3B89" w:rsidP="00D12BAD">
            <w:pPr>
              <w:ind w:left="-57"/>
              <w:textAlignment w:val="baseline"/>
              <w:rPr>
                <w:rFonts w:ascii="Arial Narrow" w:hAnsi="Arial Narrow" w:cs="Open Sans"/>
                <w:b/>
                <w:bCs/>
                <w:strike/>
                <w:sz w:val="20"/>
                <w:szCs w:val="20"/>
                <w:bdr w:val="none" w:sz="0" w:space="0" w:color="auto" w:frame="1"/>
              </w:rPr>
            </w:pPr>
          </w:p>
        </w:tc>
      </w:tr>
      <w:tr w:rsidR="00991026" w:rsidRPr="00991026" w14:paraId="56334FFE" w14:textId="77777777" w:rsidTr="006647F2">
        <w:tc>
          <w:tcPr>
            <w:tcW w:w="1271" w:type="dxa"/>
          </w:tcPr>
          <w:p w14:paraId="665F1EDF" w14:textId="77777777" w:rsidR="00CC3B89" w:rsidRPr="00991026" w:rsidRDefault="00CC3B89" w:rsidP="00D12BAD">
            <w:pPr>
              <w:rPr>
                <w:rFonts w:ascii="Arial Narrow" w:hAnsi="Arial Narrow" w:cs="Open Sans"/>
                <w:sz w:val="20"/>
                <w:szCs w:val="20"/>
              </w:rPr>
            </w:pPr>
          </w:p>
        </w:tc>
        <w:tc>
          <w:tcPr>
            <w:tcW w:w="7796" w:type="dxa"/>
            <w:hideMark/>
          </w:tcPr>
          <w:p w14:paraId="6A303377"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 xml:space="preserve">Treatment Phase: </w:t>
            </w:r>
            <w:r w:rsidRPr="00991026">
              <w:rPr>
                <w:rFonts w:ascii="Arial Narrow" w:hAnsi="Arial Narrow" w:cs="Open Sans"/>
                <w:strike/>
                <w:sz w:val="20"/>
                <w:szCs w:val="20"/>
              </w:rPr>
              <w:t>Continuing treatment</w:t>
            </w:r>
          </w:p>
        </w:tc>
      </w:tr>
      <w:tr w:rsidR="00991026" w:rsidRPr="00991026" w14:paraId="6565C01B" w14:textId="77777777" w:rsidTr="006647F2">
        <w:tc>
          <w:tcPr>
            <w:tcW w:w="1271" w:type="dxa"/>
          </w:tcPr>
          <w:p w14:paraId="0990B578" w14:textId="16836175"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0F8E692E"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7C27A571" w14:textId="77777777" w:rsidTr="006647F2">
        <w:tc>
          <w:tcPr>
            <w:tcW w:w="1271" w:type="dxa"/>
          </w:tcPr>
          <w:p w14:paraId="0B87C712" w14:textId="493E91B5"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72ECA94B"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The treatment must be the sole PBS-subsidised therapy for this condition</w:t>
            </w:r>
          </w:p>
        </w:tc>
      </w:tr>
      <w:tr w:rsidR="00991026" w:rsidRPr="00991026" w14:paraId="74DC11B7" w14:textId="77777777" w:rsidTr="006647F2">
        <w:tc>
          <w:tcPr>
            <w:tcW w:w="1271" w:type="dxa"/>
          </w:tcPr>
          <w:p w14:paraId="1802E25B" w14:textId="77777777" w:rsidR="00CC3B89" w:rsidRPr="00991026" w:rsidRDefault="00CC3B89" w:rsidP="00D12BAD">
            <w:pPr>
              <w:jc w:val="center"/>
              <w:rPr>
                <w:rFonts w:ascii="Arial Narrow" w:hAnsi="Arial Narrow" w:cs="Open Sans"/>
                <w:sz w:val="20"/>
                <w:szCs w:val="20"/>
              </w:rPr>
            </w:pPr>
          </w:p>
        </w:tc>
        <w:tc>
          <w:tcPr>
            <w:tcW w:w="7796" w:type="dxa"/>
            <w:hideMark/>
          </w:tcPr>
          <w:p w14:paraId="41B26BBD"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13B655CE" w14:textId="77777777" w:rsidTr="006647F2">
        <w:tc>
          <w:tcPr>
            <w:tcW w:w="1271" w:type="dxa"/>
          </w:tcPr>
          <w:p w14:paraId="39A09470" w14:textId="00689C2F"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606B695F"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46834BEF" w14:textId="77777777" w:rsidTr="006647F2">
        <w:tc>
          <w:tcPr>
            <w:tcW w:w="1271" w:type="dxa"/>
          </w:tcPr>
          <w:p w14:paraId="55066FB7" w14:textId="483C58DE"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72F89BF0"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have previously received PBS-subsidised treatment with this drug for this condition</w:t>
            </w:r>
          </w:p>
        </w:tc>
      </w:tr>
      <w:tr w:rsidR="00991026" w:rsidRPr="00991026" w14:paraId="5C7D5472" w14:textId="77777777" w:rsidTr="006647F2">
        <w:tc>
          <w:tcPr>
            <w:tcW w:w="1271" w:type="dxa"/>
          </w:tcPr>
          <w:p w14:paraId="3604F281" w14:textId="77777777" w:rsidR="00CC3B89" w:rsidRPr="00991026" w:rsidRDefault="00CC3B89" w:rsidP="00D12BAD">
            <w:pPr>
              <w:jc w:val="center"/>
              <w:rPr>
                <w:rFonts w:ascii="Arial Narrow" w:hAnsi="Arial Narrow" w:cs="Open Sans"/>
                <w:sz w:val="20"/>
                <w:szCs w:val="20"/>
              </w:rPr>
            </w:pPr>
          </w:p>
        </w:tc>
        <w:tc>
          <w:tcPr>
            <w:tcW w:w="7796" w:type="dxa"/>
            <w:hideMark/>
          </w:tcPr>
          <w:p w14:paraId="76D8212B"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4476603D" w14:textId="77777777" w:rsidTr="006647F2">
        <w:tc>
          <w:tcPr>
            <w:tcW w:w="1271" w:type="dxa"/>
          </w:tcPr>
          <w:p w14:paraId="4F1D93EC" w14:textId="4E2A136B"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3CC09DE6"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CC3B89" w:rsidRPr="00991026" w14:paraId="619B5763" w14:textId="77777777" w:rsidTr="006647F2">
        <w:trPr>
          <w:trHeight w:val="47"/>
        </w:trPr>
        <w:tc>
          <w:tcPr>
            <w:tcW w:w="1271" w:type="dxa"/>
          </w:tcPr>
          <w:p w14:paraId="0C56DC48" w14:textId="3F37BEC5" w:rsidR="00CC3B89" w:rsidRPr="00991026" w:rsidRDefault="00CC3B89" w:rsidP="00D12BAD">
            <w:pPr>
              <w:jc w:val="center"/>
              <w:textAlignment w:val="baseline"/>
              <w:rPr>
                <w:rFonts w:ascii="Arial Narrow" w:hAnsi="Arial Narrow" w:cs="Open Sans"/>
                <w:sz w:val="20"/>
                <w:szCs w:val="20"/>
              </w:rPr>
            </w:pPr>
          </w:p>
        </w:tc>
        <w:tc>
          <w:tcPr>
            <w:tcW w:w="7796" w:type="dxa"/>
            <w:hideMark/>
          </w:tcPr>
          <w:p w14:paraId="7B4D5AA5"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not develop disease progression while receiving PBS-subsidised treatment with this drug for this condition</w:t>
            </w:r>
          </w:p>
        </w:tc>
      </w:tr>
    </w:tbl>
    <w:p w14:paraId="1F745D17" w14:textId="77777777" w:rsidR="00CC3B89" w:rsidRPr="00991026" w:rsidRDefault="00CC3B89" w:rsidP="00CC3B89"/>
    <w:p w14:paraId="4E23F2F4" w14:textId="1416CAB8" w:rsidR="00CC3B89" w:rsidRPr="00991026" w:rsidRDefault="00CC3B89" w:rsidP="00CC3B89">
      <w:r w:rsidRPr="00991026">
        <w:t>8.4</w:t>
      </w:r>
      <w:r w:rsidRPr="00991026">
        <w:tab/>
        <w:t>Amend the following acalabrutinib listings as follows:</w:t>
      </w:r>
    </w:p>
    <w:p w14:paraId="496BA1CD" w14:textId="77777777" w:rsidR="00CC3B89" w:rsidRPr="00991026" w:rsidRDefault="00CC3B89" w:rsidP="00CC3B89"/>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417"/>
        <w:gridCol w:w="1276"/>
        <w:gridCol w:w="1276"/>
        <w:gridCol w:w="850"/>
        <w:gridCol w:w="1559"/>
      </w:tblGrid>
      <w:tr w:rsidR="00991026" w:rsidRPr="00991026" w14:paraId="426A1319" w14:textId="77777777" w:rsidTr="00D12BAD">
        <w:trPr>
          <w:cantSplit/>
          <w:trHeight w:val="339"/>
        </w:trPr>
        <w:tc>
          <w:tcPr>
            <w:tcW w:w="9067" w:type="dxa"/>
            <w:gridSpan w:val="6"/>
            <w:tcBorders>
              <w:top w:val="single" w:sz="4" w:space="0" w:color="auto"/>
              <w:left w:val="single" w:sz="4" w:space="0" w:color="auto"/>
              <w:bottom w:val="single" w:sz="4" w:space="0" w:color="auto"/>
              <w:right w:val="single" w:sz="4" w:space="0" w:color="auto"/>
            </w:tcBorders>
          </w:tcPr>
          <w:p w14:paraId="542C4BF0" w14:textId="77777777" w:rsidR="00CC3B89" w:rsidRPr="00991026" w:rsidRDefault="00CC3B89" w:rsidP="00D12BAD">
            <w:pPr>
              <w:keepNext/>
              <w:ind w:left="-57"/>
              <w:rPr>
                <w:rFonts w:ascii="Arial Narrow" w:hAnsi="Arial Narrow"/>
                <w:b/>
                <w:sz w:val="20"/>
                <w:szCs w:val="20"/>
              </w:rPr>
            </w:pPr>
            <w:r w:rsidRPr="00991026">
              <w:rPr>
                <w:rFonts w:ascii="Arial Narrow" w:hAnsi="Arial Narrow"/>
                <w:b/>
                <w:sz w:val="20"/>
                <w:szCs w:val="20"/>
              </w:rPr>
              <w:t xml:space="preserve">Category / Program: </w:t>
            </w:r>
            <w:r w:rsidRPr="00991026">
              <w:rPr>
                <w:rFonts w:ascii="Arial Narrow" w:hAnsi="Arial Narrow"/>
                <w:sz w:val="20"/>
                <w:szCs w:val="20"/>
              </w:rPr>
              <w:t xml:space="preserve">GENERAL – General Schedule (Code GE) </w:t>
            </w:r>
          </w:p>
        </w:tc>
      </w:tr>
      <w:tr w:rsidR="00991026" w:rsidRPr="00991026" w14:paraId="1361146E" w14:textId="77777777" w:rsidTr="00D12BAD">
        <w:trPr>
          <w:cantSplit/>
          <w:trHeight w:val="471"/>
        </w:trPr>
        <w:tc>
          <w:tcPr>
            <w:tcW w:w="2689" w:type="dxa"/>
          </w:tcPr>
          <w:p w14:paraId="7A6B88E9" w14:textId="77777777" w:rsidR="00CC3B89" w:rsidRPr="00991026" w:rsidRDefault="00CC3B89" w:rsidP="00D12BAD">
            <w:pPr>
              <w:keepNext/>
              <w:ind w:left="-57"/>
              <w:rPr>
                <w:rFonts w:ascii="Arial Narrow" w:hAnsi="Arial Narrow"/>
                <w:b/>
                <w:bCs/>
                <w:sz w:val="20"/>
                <w:szCs w:val="20"/>
              </w:rPr>
            </w:pPr>
            <w:r w:rsidRPr="00991026">
              <w:rPr>
                <w:rFonts w:ascii="Arial Narrow" w:hAnsi="Arial Narrow"/>
                <w:b/>
                <w:bCs/>
                <w:sz w:val="20"/>
                <w:szCs w:val="20"/>
              </w:rPr>
              <w:t>MEDICINAL PRODUCT</w:t>
            </w:r>
          </w:p>
          <w:p w14:paraId="0A7042E4" w14:textId="77777777" w:rsidR="00CC3B89" w:rsidRPr="00991026" w:rsidRDefault="00CC3B89" w:rsidP="00D12BAD">
            <w:pPr>
              <w:keepNext/>
              <w:ind w:left="-57"/>
              <w:rPr>
                <w:rFonts w:ascii="Arial Narrow" w:hAnsi="Arial Narrow"/>
                <w:b/>
                <w:sz w:val="20"/>
                <w:szCs w:val="20"/>
              </w:rPr>
            </w:pPr>
            <w:r w:rsidRPr="00991026">
              <w:rPr>
                <w:rFonts w:ascii="Arial Narrow" w:hAnsi="Arial Narrow"/>
                <w:b/>
                <w:bCs/>
                <w:sz w:val="20"/>
                <w:szCs w:val="20"/>
              </w:rPr>
              <w:t>medicinal product pack</w:t>
            </w:r>
          </w:p>
        </w:tc>
        <w:tc>
          <w:tcPr>
            <w:tcW w:w="1417" w:type="dxa"/>
          </w:tcPr>
          <w:p w14:paraId="0FC2DC34" w14:textId="77777777" w:rsidR="00CC3B89" w:rsidRPr="00991026" w:rsidRDefault="00CC3B89" w:rsidP="00D12BAD">
            <w:pPr>
              <w:keepNext/>
              <w:jc w:val="center"/>
              <w:rPr>
                <w:rFonts w:ascii="Arial Narrow" w:hAnsi="Arial Narrow"/>
                <w:b/>
                <w:sz w:val="20"/>
                <w:szCs w:val="20"/>
              </w:rPr>
            </w:pPr>
            <w:r w:rsidRPr="00991026">
              <w:rPr>
                <w:rFonts w:ascii="Arial Narrow" w:hAnsi="Arial Narrow"/>
                <w:b/>
                <w:sz w:val="20"/>
                <w:szCs w:val="20"/>
              </w:rPr>
              <w:t>PBS item code</w:t>
            </w:r>
          </w:p>
        </w:tc>
        <w:tc>
          <w:tcPr>
            <w:tcW w:w="1276" w:type="dxa"/>
          </w:tcPr>
          <w:p w14:paraId="41867348" w14:textId="77777777" w:rsidR="00CC3B89" w:rsidRPr="00991026" w:rsidRDefault="00CC3B89" w:rsidP="006C5FBB">
            <w:pPr>
              <w:keepNext/>
              <w:jc w:val="center"/>
              <w:rPr>
                <w:rFonts w:ascii="Arial Narrow" w:hAnsi="Arial Narrow"/>
                <w:b/>
                <w:sz w:val="20"/>
                <w:szCs w:val="20"/>
              </w:rPr>
            </w:pPr>
            <w:r w:rsidRPr="00991026">
              <w:rPr>
                <w:rFonts w:ascii="Arial Narrow" w:hAnsi="Arial Narrow"/>
                <w:b/>
                <w:sz w:val="20"/>
                <w:szCs w:val="20"/>
              </w:rPr>
              <w:t>Max. qty packs</w:t>
            </w:r>
          </w:p>
        </w:tc>
        <w:tc>
          <w:tcPr>
            <w:tcW w:w="1276" w:type="dxa"/>
          </w:tcPr>
          <w:p w14:paraId="5E017A6E" w14:textId="77777777" w:rsidR="00CC3B89" w:rsidRPr="00991026" w:rsidRDefault="00CC3B89" w:rsidP="006C5FBB">
            <w:pPr>
              <w:keepNext/>
              <w:jc w:val="center"/>
              <w:rPr>
                <w:rFonts w:ascii="Arial Narrow" w:hAnsi="Arial Narrow"/>
                <w:b/>
                <w:sz w:val="20"/>
                <w:szCs w:val="20"/>
              </w:rPr>
            </w:pPr>
            <w:r w:rsidRPr="00991026">
              <w:rPr>
                <w:rFonts w:ascii="Arial Narrow" w:hAnsi="Arial Narrow"/>
                <w:b/>
                <w:sz w:val="20"/>
                <w:szCs w:val="20"/>
              </w:rPr>
              <w:t>Max. qty units</w:t>
            </w:r>
          </w:p>
        </w:tc>
        <w:tc>
          <w:tcPr>
            <w:tcW w:w="850" w:type="dxa"/>
          </w:tcPr>
          <w:p w14:paraId="79C2AFAA" w14:textId="77777777" w:rsidR="00CC3B89" w:rsidRPr="00991026" w:rsidRDefault="00CC3B89" w:rsidP="00D12BAD">
            <w:pPr>
              <w:keepNext/>
              <w:ind w:left="-108"/>
              <w:jc w:val="center"/>
              <w:rPr>
                <w:rFonts w:ascii="Arial Narrow" w:hAnsi="Arial Narrow"/>
                <w:b/>
                <w:sz w:val="20"/>
                <w:szCs w:val="20"/>
              </w:rPr>
            </w:pPr>
            <w:r w:rsidRPr="00991026">
              <w:rPr>
                <w:rFonts w:ascii="Arial Narrow" w:hAnsi="Arial Narrow"/>
                <w:b/>
                <w:sz w:val="20"/>
                <w:szCs w:val="20"/>
              </w:rPr>
              <w:t>№.of Rpts</w:t>
            </w:r>
          </w:p>
        </w:tc>
        <w:tc>
          <w:tcPr>
            <w:tcW w:w="1559" w:type="dxa"/>
          </w:tcPr>
          <w:p w14:paraId="3CDA0791" w14:textId="77777777" w:rsidR="00CC3B89" w:rsidRPr="00991026" w:rsidRDefault="00CC3B89" w:rsidP="00D12BAD">
            <w:pPr>
              <w:keepNext/>
              <w:rPr>
                <w:rFonts w:ascii="Arial Narrow" w:hAnsi="Arial Narrow"/>
                <w:b/>
                <w:sz w:val="20"/>
                <w:szCs w:val="20"/>
                <w:lang w:val="fr-FR"/>
              </w:rPr>
            </w:pPr>
            <w:r w:rsidRPr="00991026">
              <w:rPr>
                <w:rFonts w:ascii="Arial Narrow" w:hAnsi="Arial Narrow"/>
                <w:b/>
                <w:sz w:val="20"/>
                <w:szCs w:val="20"/>
              </w:rPr>
              <w:t>Available brands</w:t>
            </w:r>
          </w:p>
        </w:tc>
      </w:tr>
      <w:tr w:rsidR="00991026" w:rsidRPr="00991026" w14:paraId="182187B3" w14:textId="77777777" w:rsidTr="00D12BAD">
        <w:trPr>
          <w:cantSplit/>
          <w:trHeight w:val="224"/>
        </w:trPr>
        <w:tc>
          <w:tcPr>
            <w:tcW w:w="9067" w:type="dxa"/>
            <w:gridSpan w:val="6"/>
          </w:tcPr>
          <w:p w14:paraId="0E596FC5"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ACALABRUTINIB</w:t>
            </w:r>
          </w:p>
        </w:tc>
      </w:tr>
      <w:tr w:rsidR="00991026" w:rsidRPr="00991026" w14:paraId="69140F37" w14:textId="77777777" w:rsidTr="00D12BAD">
        <w:trPr>
          <w:cantSplit/>
          <w:trHeight w:val="193"/>
        </w:trPr>
        <w:tc>
          <w:tcPr>
            <w:tcW w:w="2689" w:type="dxa"/>
          </w:tcPr>
          <w:p w14:paraId="595F9B2B" w14:textId="77777777" w:rsidR="00CC3B89" w:rsidRPr="00991026" w:rsidRDefault="00CC3B89" w:rsidP="00D12BAD">
            <w:pPr>
              <w:keepNext/>
              <w:ind w:left="-57"/>
              <w:rPr>
                <w:rFonts w:ascii="Arial Narrow" w:hAnsi="Arial Narrow"/>
                <w:sz w:val="20"/>
                <w:szCs w:val="20"/>
              </w:rPr>
            </w:pPr>
            <w:r w:rsidRPr="00991026">
              <w:rPr>
                <w:rFonts w:ascii="Arial Narrow" w:hAnsi="Arial Narrow"/>
                <w:sz w:val="20"/>
                <w:szCs w:val="20"/>
              </w:rPr>
              <w:t xml:space="preserve">acalabrutinib 100 mg capsule, 56 </w:t>
            </w:r>
          </w:p>
        </w:tc>
        <w:tc>
          <w:tcPr>
            <w:tcW w:w="1417" w:type="dxa"/>
          </w:tcPr>
          <w:p w14:paraId="43D0A2DA"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12117R</w:t>
            </w:r>
          </w:p>
          <w:p w14:paraId="3604640E" w14:textId="77777777" w:rsidR="00CC3B89" w:rsidRPr="00991026" w:rsidRDefault="00CC3B89" w:rsidP="00D12BAD">
            <w:pPr>
              <w:keepNext/>
              <w:jc w:val="center"/>
              <w:rPr>
                <w:rFonts w:ascii="Arial Narrow" w:hAnsi="Arial Narrow"/>
                <w:sz w:val="20"/>
                <w:szCs w:val="20"/>
                <w:vertAlign w:val="subscript"/>
              </w:rPr>
            </w:pPr>
            <w:r w:rsidRPr="00991026">
              <w:rPr>
                <w:rFonts w:ascii="Arial Narrow" w:hAnsi="Arial Narrow"/>
                <w:sz w:val="20"/>
                <w:szCs w:val="20"/>
                <w:vertAlign w:val="subscript"/>
              </w:rPr>
              <w:t>MP</w:t>
            </w:r>
          </w:p>
        </w:tc>
        <w:tc>
          <w:tcPr>
            <w:tcW w:w="1276" w:type="dxa"/>
          </w:tcPr>
          <w:p w14:paraId="617F4546"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1</w:t>
            </w:r>
          </w:p>
        </w:tc>
        <w:tc>
          <w:tcPr>
            <w:tcW w:w="1276" w:type="dxa"/>
          </w:tcPr>
          <w:p w14:paraId="6A91869D"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56</w:t>
            </w:r>
          </w:p>
        </w:tc>
        <w:tc>
          <w:tcPr>
            <w:tcW w:w="850" w:type="dxa"/>
          </w:tcPr>
          <w:p w14:paraId="6BE61C5C" w14:textId="77777777" w:rsidR="00CC3B89" w:rsidRPr="00991026" w:rsidRDefault="00CC3B89" w:rsidP="00D12BAD">
            <w:pPr>
              <w:keepNext/>
              <w:jc w:val="center"/>
              <w:rPr>
                <w:rFonts w:ascii="Arial Narrow" w:hAnsi="Arial Narrow"/>
                <w:sz w:val="20"/>
                <w:szCs w:val="20"/>
              </w:rPr>
            </w:pPr>
            <w:r w:rsidRPr="00991026">
              <w:rPr>
                <w:rFonts w:ascii="Arial Narrow" w:hAnsi="Arial Narrow"/>
                <w:sz w:val="20"/>
                <w:szCs w:val="20"/>
              </w:rPr>
              <w:t>5</w:t>
            </w:r>
          </w:p>
        </w:tc>
        <w:tc>
          <w:tcPr>
            <w:tcW w:w="1559" w:type="dxa"/>
          </w:tcPr>
          <w:p w14:paraId="75DAE1C4" w14:textId="77777777" w:rsidR="00CC3B89" w:rsidRPr="00991026" w:rsidRDefault="00CC3B89" w:rsidP="00D12BAD">
            <w:pPr>
              <w:keepNext/>
              <w:rPr>
                <w:rFonts w:ascii="Arial Narrow" w:eastAsia="MS Gothic" w:hAnsi="Arial Narrow"/>
                <w:bCs/>
                <w:sz w:val="20"/>
                <w:szCs w:val="20"/>
              </w:rPr>
            </w:pPr>
            <w:r w:rsidRPr="00991026">
              <w:rPr>
                <w:rFonts w:ascii="Arial Narrow" w:eastAsia="MS Gothic" w:hAnsi="Arial Narrow"/>
                <w:bCs/>
                <w:sz w:val="20"/>
                <w:szCs w:val="20"/>
              </w:rPr>
              <w:t>Calquence</w:t>
            </w:r>
          </w:p>
        </w:tc>
      </w:tr>
      <w:tr w:rsidR="00991026" w:rsidRPr="00991026" w14:paraId="18C9B5A6" w14:textId="77777777" w:rsidTr="00D12BAD">
        <w:trPr>
          <w:cantSplit/>
          <w:trHeight w:val="193"/>
        </w:trPr>
        <w:tc>
          <w:tcPr>
            <w:tcW w:w="9067" w:type="dxa"/>
            <w:gridSpan w:val="6"/>
          </w:tcPr>
          <w:p w14:paraId="4198AA4A" w14:textId="77777777" w:rsidR="00CC3B89" w:rsidRPr="00991026" w:rsidRDefault="00CC3B89" w:rsidP="00D12BAD">
            <w:pPr>
              <w:keepNext/>
              <w:rPr>
                <w:rFonts w:ascii="Arial Narrow" w:eastAsia="MS Gothic" w:hAnsi="Arial Narrow"/>
                <w:bCs/>
                <w:sz w:val="20"/>
                <w:szCs w:val="20"/>
              </w:rPr>
            </w:pPr>
          </w:p>
        </w:tc>
      </w:tr>
    </w:tbl>
    <w:tbl>
      <w:tblPr>
        <w:tblStyle w:val="TableGrid"/>
        <w:tblW w:w="9067" w:type="dxa"/>
        <w:tblLook w:val="04A0" w:firstRow="1" w:lastRow="0" w:firstColumn="1" w:lastColumn="0" w:noHBand="0" w:noVBand="1"/>
      </w:tblPr>
      <w:tblGrid>
        <w:gridCol w:w="1129"/>
        <w:gridCol w:w="7938"/>
      </w:tblGrid>
      <w:tr w:rsidR="00991026" w:rsidRPr="00991026" w14:paraId="60D9791F" w14:textId="77777777" w:rsidTr="00D12BAD">
        <w:tc>
          <w:tcPr>
            <w:tcW w:w="9067" w:type="dxa"/>
            <w:gridSpan w:val="2"/>
          </w:tcPr>
          <w:p w14:paraId="0D4A4FD7" w14:textId="163DEAF5"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Edit Restriction Summary  / ToC: Authority Required </w:t>
            </w:r>
            <w:r w:rsidRPr="00991026">
              <w:rPr>
                <w:rFonts w:ascii="Arial Narrow" w:hAnsi="Arial Narrow" w:cs="Open Sans"/>
                <w:i/>
                <w:iCs/>
                <w:sz w:val="20"/>
                <w:szCs w:val="20"/>
                <w:bdr w:val="none" w:sz="0" w:space="0" w:color="auto" w:frame="1"/>
              </w:rPr>
              <w:t>(to share identical restriction summary number with to ibrutinib and zanubrutinib)</w:t>
            </w:r>
          </w:p>
          <w:p w14:paraId="76E596DC" w14:textId="77777777" w:rsidR="00CC3B89" w:rsidRPr="00991026" w:rsidRDefault="00CC3B89" w:rsidP="00D12BAD">
            <w:pPr>
              <w:textAlignment w:val="baseline"/>
              <w:rPr>
                <w:rFonts w:ascii="Arial Narrow" w:hAnsi="Arial Narrow" w:cs="Open Sans"/>
                <w:b/>
                <w:bCs/>
                <w:sz w:val="20"/>
                <w:szCs w:val="20"/>
                <w:bdr w:val="none" w:sz="0" w:space="0" w:color="auto" w:frame="1"/>
              </w:rPr>
            </w:pPr>
          </w:p>
        </w:tc>
      </w:tr>
      <w:tr w:rsidR="00991026" w:rsidRPr="00991026" w14:paraId="6D487C39" w14:textId="77777777" w:rsidTr="00D12BAD">
        <w:tc>
          <w:tcPr>
            <w:tcW w:w="1129" w:type="dxa"/>
          </w:tcPr>
          <w:p w14:paraId="12087634" w14:textId="7B779485" w:rsidR="00CC3B89" w:rsidRPr="00991026" w:rsidRDefault="00CC3B89" w:rsidP="00D12BAD">
            <w:pPr>
              <w:jc w:val="center"/>
              <w:textAlignment w:val="baseline"/>
              <w:rPr>
                <w:rFonts w:ascii="Arial Narrow" w:hAnsi="Arial Narrow" w:cs="Open Sans"/>
                <w:sz w:val="20"/>
                <w:szCs w:val="20"/>
              </w:rPr>
            </w:pPr>
          </w:p>
        </w:tc>
        <w:tc>
          <w:tcPr>
            <w:tcW w:w="7938" w:type="dxa"/>
          </w:tcPr>
          <w:p w14:paraId="69AB577E"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No increase in the maximum number of repeats may be authorised.</w:t>
            </w:r>
          </w:p>
        </w:tc>
      </w:tr>
      <w:tr w:rsidR="00991026" w:rsidRPr="00991026" w14:paraId="334DDA75" w14:textId="77777777" w:rsidTr="00D12BAD">
        <w:tc>
          <w:tcPr>
            <w:tcW w:w="1129" w:type="dxa"/>
          </w:tcPr>
          <w:p w14:paraId="10D295CA" w14:textId="3589A9E7" w:rsidR="00CC3B89" w:rsidRPr="00991026" w:rsidRDefault="00CC3B89" w:rsidP="00D12BAD">
            <w:pPr>
              <w:jc w:val="center"/>
              <w:textAlignment w:val="baseline"/>
              <w:rPr>
                <w:rFonts w:ascii="Arial Narrow" w:hAnsi="Arial Narrow" w:cs="Open Sans"/>
                <w:sz w:val="20"/>
                <w:szCs w:val="20"/>
              </w:rPr>
            </w:pPr>
          </w:p>
        </w:tc>
        <w:tc>
          <w:tcPr>
            <w:tcW w:w="7938" w:type="dxa"/>
          </w:tcPr>
          <w:p w14:paraId="79C91C41"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 xml:space="preserve">Administrative Advice: </w:t>
            </w:r>
            <w:r w:rsidRPr="00991026">
              <w:rPr>
                <w:rFonts w:ascii="Arial Narrow" w:hAnsi="Arial Narrow" w:cs="Open Sans"/>
                <w:sz w:val="20"/>
                <w:szCs w:val="20"/>
              </w:rPr>
              <w:t>Special Pricing Arrangements apply.</w:t>
            </w:r>
          </w:p>
        </w:tc>
      </w:tr>
      <w:tr w:rsidR="00991026" w:rsidRPr="00991026" w14:paraId="4E6F7316" w14:textId="77777777" w:rsidTr="00D12BAD">
        <w:tc>
          <w:tcPr>
            <w:tcW w:w="1129" w:type="dxa"/>
          </w:tcPr>
          <w:p w14:paraId="4CC28342" w14:textId="7D47D8DB" w:rsidR="00CC3B89" w:rsidRPr="00991026" w:rsidRDefault="00CC3B89" w:rsidP="00D12BAD">
            <w:pPr>
              <w:jc w:val="center"/>
              <w:textAlignment w:val="baseline"/>
              <w:rPr>
                <w:rFonts w:ascii="Arial Narrow" w:hAnsi="Arial Narrow" w:cs="Open Sans"/>
                <w:sz w:val="20"/>
                <w:szCs w:val="20"/>
              </w:rPr>
            </w:pPr>
          </w:p>
        </w:tc>
        <w:tc>
          <w:tcPr>
            <w:tcW w:w="7938" w:type="dxa"/>
          </w:tcPr>
          <w:p w14:paraId="5D326320"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Administrative Advice:</w:t>
            </w:r>
          </w:p>
          <w:p w14:paraId="7111AEE5"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991026" w:rsidRPr="00991026" w14:paraId="51BF2E63" w14:textId="77777777" w:rsidTr="00D12BAD">
        <w:tc>
          <w:tcPr>
            <w:tcW w:w="1129" w:type="dxa"/>
          </w:tcPr>
          <w:p w14:paraId="5697E19F" w14:textId="485756E0" w:rsidR="00CC3B89" w:rsidRPr="00991026" w:rsidRDefault="00CC3B89" w:rsidP="00D12BAD">
            <w:pPr>
              <w:jc w:val="center"/>
              <w:textAlignment w:val="baseline"/>
              <w:rPr>
                <w:rFonts w:ascii="Arial Narrow" w:hAnsi="Arial Narrow" w:cs="Open Sans"/>
                <w:sz w:val="20"/>
                <w:szCs w:val="20"/>
              </w:rPr>
            </w:pPr>
          </w:p>
        </w:tc>
        <w:tc>
          <w:tcPr>
            <w:tcW w:w="7938" w:type="dxa"/>
          </w:tcPr>
          <w:p w14:paraId="1BB77E29" w14:textId="77777777" w:rsidR="00CC3B89" w:rsidRPr="00991026" w:rsidRDefault="00CC3B89" w:rsidP="00D12BAD">
            <w:pPr>
              <w:ind w:left="-57"/>
              <w:rPr>
                <w:rFonts w:ascii="Arial Narrow" w:hAnsi="Arial Narrow"/>
                <w:bCs/>
                <w:i/>
                <w:iCs/>
                <w:sz w:val="20"/>
                <w:szCs w:val="20"/>
              </w:rPr>
            </w:pPr>
            <w:r w:rsidRPr="00991026">
              <w:rPr>
                <w:rFonts w:ascii="Arial Narrow" w:hAnsi="Arial Narrow"/>
                <w:b/>
                <w:bCs/>
                <w:i/>
                <w:iCs/>
                <w:sz w:val="20"/>
                <w:szCs w:val="20"/>
              </w:rPr>
              <w:t xml:space="preserve">Administrative advice: </w:t>
            </w:r>
          </w:p>
          <w:p w14:paraId="696FBCDD"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The latest International Workshop on CLL (iwCLL) provides guidance on various aspects of management of CLL/SLL. Notably, two of these are:</w:t>
            </w:r>
          </w:p>
          <w:p w14:paraId="7EAD5F8B"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(1) when to treat versus when to monitor the patient without therapy – see ‘Indications for treatment’ section; and</w:t>
            </w:r>
          </w:p>
          <w:p w14:paraId="5C3761F6"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(2) recognising progressive disease – see ‘Definition of response, relapse, and refractory disease’ section.</w:t>
            </w:r>
          </w:p>
          <w:p w14:paraId="53B60DFB" w14:textId="77777777" w:rsidR="00CC3B89" w:rsidRPr="00991026" w:rsidRDefault="00CC3B89" w:rsidP="00D12BAD">
            <w:pPr>
              <w:ind w:left="-57"/>
              <w:rPr>
                <w:rFonts w:ascii="Arial Narrow" w:hAnsi="Arial Narrow"/>
                <w:i/>
                <w:iCs/>
                <w:sz w:val="20"/>
                <w:szCs w:val="20"/>
              </w:rPr>
            </w:pPr>
          </w:p>
          <w:p w14:paraId="0A433A71" w14:textId="77777777" w:rsidR="00CC3B89" w:rsidRPr="00991026" w:rsidRDefault="00CC3B89" w:rsidP="00D12BAD">
            <w:pPr>
              <w:ind w:left="-57"/>
              <w:rPr>
                <w:rFonts w:ascii="Arial Narrow" w:hAnsi="Arial Narrow"/>
                <w:i/>
                <w:iCs/>
                <w:sz w:val="20"/>
                <w:szCs w:val="20"/>
              </w:rPr>
            </w:pPr>
            <w:r w:rsidRPr="00991026">
              <w:rPr>
                <w:rFonts w:ascii="Arial Narrow" w:hAnsi="Arial Narrow"/>
                <w:i/>
                <w:iCs/>
                <w:sz w:val="20"/>
                <w:szCs w:val="20"/>
              </w:rPr>
              <w:t>See the following literature reference for details:</w:t>
            </w:r>
          </w:p>
          <w:p w14:paraId="5025B5E0"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i/>
                <w:iCs/>
                <w:sz w:val="20"/>
                <w:szCs w:val="20"/>
              </w:rPr>
              <w:t>Hallek, M et al. iwCLL guidelines for diagnosis, indications for treatment, response assessment, and supportive management of CLL. Blood vol. 131, 25 (2018): 2745-2760.</w:t>
            </w:r>
          </w:p>
        </w:tc>
      </w:tr>
      <w:tr w:rsidR="00991026" w:rsidRPr="00991026" w14:paraId="2E6E268E" w14:textId="77777777" w:rsidTr="00D12BAD">
        <w:tc>
          <w:tcPr>
            <w:tcW w:w="1129" w:type="dxa"/>
          </w:tcPr>
          <w:p w14:paraId="2E6367E7" w14:textId="77777777" w:rsidR="00CC3B89" w:rsidRPr="00991026" w:rsidRDefault="00CC3B89" w:rsidP="00D12BAD">
            <w:pPr>
              <w:jc w:val="center"/>
              <w:textAlignment w:val="baseline"/>
              <w:rPr>
                <w:rFonts w:ascii="Arial Narrow" w:hAnsi="Arial Narrow" w:cs="Open Sans"/>
                <w:sz w:val="20"/>
                <w:szCs w:val="20"/>
              </w:rPr>
            </w:pPr>
          </w:p>
        </w:tc>
        <w:tc>
          <w:tcPr>
            <w:tcW w:w="7938" w:type="dxa"/>
          </w:tcPr>
          <w:p w14:paraId="3695DDE3"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3957CE19" w14:textId="77777777" w:rsidTr="006647F2">
        <w:tc>
          <w:tcPr>
            <w:tcW w:w="1129" w:type="dxa"/>
          </w:tcPr>
          <w:p w14:paraId="52C9EE4D" w14:textId="59AC9907"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27C7DC36"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 xml:space="preserve">Indication: </w:t>
            </w:r>
            <w:r w:rsidRPr="00991026">
              <w:rPr>
                <w:rFonts w:ascii="Arial Narrow" w:hAnsi="Arial Narrow" w:cs="Open Sans"/>
                <w:strike/>
                <w:sz w:val="20"/>
                <w:szCs w:val="20"/>
              </w:rPr>
              <w:t>Relapsed or refractory chronic lymphocytic leukaemia (CLL) or small lymphocytic lymphoma (SLL)</w:t>
            </w:r>
          </w:p>
        </w:tc>
      </w:tr>
      <w:tr w:rsidR="00991026" w:rsidRPr="00991026" w14:paraId="793ABD51" w14:textId="77777777" w:rsidTr="00D12BAD">
        <w:tc>
          <w:tcPr>
            <w:tcW w:w="1129" w:type="dxa"/>
          </w:tcPr>
          <w:p w14:paraId="788A5DAF" w14:textId="4D779096" w:rsidR="00CC3B89" w:rsidRPr="00991026" w:rsidRDefault="00CC3B89" w:rsidP="00D12BAD">
            <w:pPr>
              <w:jc w:val="center"/>
              <w:textAlignment w:val="baseline"/>
              <w:rPr>
                <w:rFonts w:ascii="Arial Narrow" w:hAnsi="Arial Narrow" w:cs="Open Sans"/>
                <w:sz w:val="20"/>
                <w:szCs w:val="20"/>
              </w:rPr>
            </w:pPr>
          </w:p>
        </w:tc>
        <w:tc>
          <w:tcPr>
            <w:tcW w:w="7938" w:type="dxa"/>
          </w:tcPr>
          <w:p w14:paraId="6F390326" w14:textId="77777777" w:rsidR="00CC3B89" w:rsidRPr="00991026" w:rsidRDefault="00CC3B89" w:rsidP="00D12BAD">
            <w:pPr>
              <w:ind w:left="-57"/>
              <w:textAlignment w:val="baseline"/>
              <w:rPr>
                <w:rFonts w:ascii="Arial Narrow" w:hAnsi="Arial Narrow" w:cs="Open Sans"/>
                <w:b/>
                <w:bCs/>
                <w:i/>
                <w:iCs/>
                <w:sz w:val="20"/>
                <w:szCs w:val="20"/>
                <w:bdr w:val="none" w:sz="0" w:space="0" w:color="auto" w:frame="1"/>
              </w:rPr>
            </w:pPr>
            <w:r w:rsidRPr="00991026">
              <w:rPr>
                <w:rFonts w:ascii="Arial Narrow" w:hAnsi="Arial Narrow" w:cs="Open Sans"/>
                <w:b/>
                <w:bCs/>
                <w:i/>
                <w:iCs/>
                <w:sz w:val="20"/>
                <w:szCs w:val="20"/>
                <w:bdr w:val="none" w:sz="0" w:space="0" w:color="auto" w:frame="1"/>
              </w:rPr>
              <w:t xml:space="preserve">Indication: </w:t>
            </w:r>
            <w:r w:rsidRPr="00991026">
              <w:rPr>
                <w:rFonts w:ascii="Arial Narrow" w:hAnsi="Arial Narrow" w:cs="Open Sans"/>
                <w:i/>
                <w:iCs/>
                <w:sz w:val="20"/>
                <w:szCs w:val="20"/>
              </w:rPr>
              <w:t>Chronic lymphocytic leukaemia (CLL) or small lymphocytic lymphoma (SLL)</w:t>
            </w:r>
          </w:p>
        </w:tc>
      </w:tr>
      <w:tr w:rsidR="00991026" w:rsidRPr="00991026" w14:paraId="51CB22C5" w14:textId="77777777" w:rsidTr="00D12BAD">
        <w:tc>
          <w:tcPr>
            <w:tcW w:w="1129" w:type="dxa"/>
          </w:tcPr>
          <w:p w14:paraId="5D7DB7A6" w14:textId="77777777" w:rsidR="00CC3B89" w:rsidRPr="00991026" w:rsidRDefault="00CC3B89" w:rsidP="00D12BAD">
            <w:pPr>
              <w:jc w:val="center"/>
              <w:textAlignment w:val="baseline"/>
              <w:rPr>
                <w:rFonts w:ascii="Arial Narrow" w:hAnsi="Arial Narrow" w:cs="Open Sans"/>
                <w:sz w:val="20"/>
                <w:szCs w:val="20"/>
              </w:rPr>
            </w:pPr>
          </w:p>
        </w:tc>
        <w:tc>
          <w:tcPr>
            <w:tcW w:w="7938" w:type="dxa"/>
          </w:tcPr>
          <w:p w14:paraId="3AFB3272"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1A4E4BA0" w14:textId="77777777" w:rsidTr="006647F2">
        <w:tc>
          <w:tcPr>
            <w:tcW w:w="1129" w:type="dxa"/>
          </w:tcPr>
          <w:p w14:paraId="7901B3DC" w14:textId="7EF2ABAC" w:rsidR="00CC3B89" w:rsidRPr="00991026" w:rsidRDefault="00CC3B89" w:rsidP="00D12BAD">
            <w:pPr>
              <w:jc w:val="center"/>
              <w:rPr>
                <w:rFonts w:ascii="Arial Narrow" w:hAnsi="Arial Narrow" w:cs="Open Sans"/>
                <w:sz w:val="20"/>
                <w:szCs w:val="20"/>
              </w:rPr>
            </w:pPr>
          </w:p>
        </w:tc>
        <w:tc>
          <w:tcPr>
            <w:tcW w:w="7938" w:type="dxa"/>
            <w:hideMark/>
          </w:tcPr>
          <w:p w14:paraId="515DE606" w14:textId="77777777" w:rsidR="00CC3B89" w:rsidRPr="00991026" w:rsidRDefault="00CC3B89" w:rsidP="00D12BAD">
            <w:pPr>
              <w:ind w:left="-57"/>
              <w:textAlignment w:val="baseline"/>
              <w:rPr>
                <w:rFonts w:ascii="Arial Narrow" w:hAnsi="Arial Narrow" w:cs="Open Sans"/>
                <w:sz w:val="20"/>
                <w:szCs w:val="20"/>
              </w:rPr>
            </w:pPr>
            <w:r w:rsidRPr="00991026">
              <w:rPr>
                <w:rFonts w:ascii="Arial Narrow" w:hAnsi="Arial Narrow" w:cs="Open Sans"/>
                <w:b/>
                <w:bCs/>
                <w:sz w:val="20"/>
                <w:szCs w:val="20"/>
                <w:bdr w:val="none" w:sz="0" w:space="0" w:color="auto" w:frame="1"/>
              </w:rPr>
              <w:t xml:space="preserve">Treatment Phase: </w:t>
            </w:r>
            <w:r w:rsidRPr="00991026">
              <w:rPr>
                <w:rFonts w:ascii="Arial Narrow" w:hAnsi="Arial Narrow" w:cs="Open Sans"/>
                <w:strike/>
                <w:sz w:val="20"/>
                <w:szCs w:val="20"/>
              </w:rPr>
              <w:t xml:space="preserve">Initial treatment  </w:t>
            </w:r>
            <w:r w:rsidRPr="00991026">
              <w:rPr>
                <w:rFonts w:ascii="Arial Narrow" w:hAnsi="Arial Narrow" w:cs="Open Sans"/>
                <w:i/>
                <w:iCs/>
                <w:sz w:val="20"/>
                <w:szCs w:val="20"/>
              </w:rPr>
              <w:t>Treatment of relapsed/refractory disease</w:t>
            </w:r>
          </w:p>
        </w:tc>
      </w:tr>
      <w:tr w:rsidR="00991026" w:rsidRPr="00991026" w14:paraId="273DA336" w14:textId="77777777" w:rsidTr="00D12BAD">
        <w:tc>
          <w:tcPr>
            <w:tcW w:w="1129" w:type="dxa"/>
          </w:tcPr>
          <w:p w14:paraId="48B7EBA0" w14:textId="3EB0D5E1" w:rsidR="00CC3B89" w:rsidRPr="00991026" w:rsidRDefault="00CC3B89" w:rsidP="00D12BAD">
            <w:pPr>
              <w:jc w:val="center"/>
              <w:rPr>
                <w:rFonts w:ascii="Arial Narrow" w:hAnsi="Arial Narrow" w:cs="Open Sans"/>
                <w:sz w:val="20"/>
                <w:szCs w:val="20"/>
              </w:rPr>
            </w:pPr>
          </w:p>
        </w:tc>
        <w:tc>
          <w:tcPr>
            <w:tcW w:w="7938" w:type="dxa"/>
          </w:tcPr>
          <w:p w14:paraId="52D7434C"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7EDDB1CA" w14:textId="77777777" w:rsidTr="006647F2">
        <w:tc>
          <w:tcPr>
            <w:tcW w:w="1129" w:type="dxa"/>
          </w:tcPr>
          <w:p w14:paraId="02AB17FA" w14:textId="2109DDE6"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78C37EA0"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429EB235" w14:textId="77777777" w:rsidTr="006647F2">
        <w:tc>
          <w:tcPr>
            <w:tcW w:w="1129" w:type="dxa"/>
          </w:tcPr>
          <w:p w14:paraId="19FA9848" w14:textId="12928D22"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3DB0CC69"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The treatment must be the sole PBS-subsidised therapy for this condition</w:t>
            </w:r>
          </w:p>
        </w:tc>
      </w:tr>
      <w:tr w:rsidR="00991026" w:rsidRPr="00991026" w14:paraId="2AEC8622" w14:textId="77777777" w:rsidTr="006647F2">
        <w:tc>
          <w:tcPr>
            <w:tcW w:w="1129" w:type="dxa"/>
          </w:tcPr>
          <w:p w14:paraId="5D2781D4" w14:textId="77777777" w:rsidR="00CC3B89" w:rsidRPr="00991026" w:rsidRDefault="00CC3B89" w:rsidP="00D12BAD">
            <w:pPr>
              <w:jc w:val="center"/>
              <w:rPr>
                <w:rFonts w:ascii="Arial Narrow" w:hAnsi="Arial Narrow" w:cs="Open Sans"/>
                <w:sz w:val="20"/>
                <w:szCs w:val="20"/>
              </w:rPr>
            </w:pPr>
          </w:p>
        </w:tc>
        <w:tc>
          <w:tcPr>
            <w:tcW w:w="7938" w:type="dxa"/>
            <w:hideMark/>
          </w:tcPr>
          <w:p w14:paraId="4FAC9568"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57196A51" w14:textId="77777777" w:rsidTr="006647F2">
        <w:tc>
          <w:tcPr>
            <w:tcW w:w="1129" w:type="dxa"/>
          </w:tcPr>
          <w:p w14:paraId="4EE2878A" w14:textId="1B3D1D42"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63769405" w14:textId="77777777" w:rsidR="00CC3B89" w:rsidRPr="00991026" w:rsidRDefault="00CC3B89" w:rsidP="00D12BAD">
            <w:pPr>
              <w:ind w:left="-57"/>
              <w:textAlignment w:val="baseline"/>
              <w:rPr>
                <w:rFonts w:ascii="Arial Narrow" w:hAnsi="Arial Narrow" w:cs="Open Sans"/>
                <w:sz w:val="20"/>
                <w:szCs w:val="20"/>
              </w:rPr>
            </w:pPr>
            <w:r w:rsidRPr="00991026">
              <w:rPr>
                <w:rFonts w:ascii="Arial Narrow" w:hAnsi="Arial Narrow" w:cs="Open Sans"/>
                <w:b/>
                <w:bCs/>
                <w:sz w:val="20"/>
                <w:szCs w:val="20"/>
                <w:bdr w:val="none" w:sz="0" w:space="0" w:color="auto" w:frame="1"/>
              </w:rPr>
              <w:t>Clinical criteria:</w:t>
            </w:r>
          </w:p>
        </w:tc>
      </w:tr>
      <w:tr w:rsidR="00991026" w:rsidRPr="00991026" w14:paraId="19B04227" w14:textId="77777777" w:rsidTr="006647F2">
        <w:tc>
          <w:tcPr>
            <w:tcW w:w="1129" w:type="dxa"/>
          </w:tcPr>
          <w:p w14:paraId="051091DA" w14:textId="12982088"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67B8054D" w14:textId="77777777" w:rsidR="00CC3B89" w:rsidRPr="00991026" w:rsidRDefault="00CC3B89" w:rsidP="00D12BAD">
            <w:pPr>
              <w:ind w:left="-57"/>
              <w:rPr>
                <w:rFonts w:ascii="Arial Narrow" w:hAnsi="Arial Narrow" w:cs="Open Sans"/>
                <w:sz w:val="20"/>
                <w:szCs w:val="20"/>
              </w:rPr>
            </w:pPr>
            <w:r w:rsidRPr="00991026">
              <w:rPr>
                <w:rFonts w:ascii="Arial Narrow" w:hAnsi="Arial Narrow" w:cs="Open Sans"/>
                <w:sz w:val="20"/>
                <w:szCs w:val="20"/>
              </w:rPr>
              <w:t>The condition must have relapsed or be refractory to at least one prior therapy</w:t>
            </w:r>
          </w:p>
        </w:tc>
      </w:tr>
      <w:tr w:rsidR="00991026" w:rsidRPr="00991026" w14:paraId="126087C2" w14:textId="77777777" w:rsidTr="006647F2">
        <w:tc>
          <w:tcPr>
            <w:tcW w:w="1129" w:type="dxa"/>
          </w:tcPr>
          <w:p w14:paraId="19E68A38" w14:textId="7124B3AE" w:rsidR="00CC3B89" w:rsidRPr="00991026" w:rsidRDefault="00CC3B89" w:rsidP="00D12BAD">
            <w:pPr>
              <w:jc w:val="center"/>
              <w:rPr>
                <w:rFonts w:ascii="Arial Narrow" w:hAnsi="Arial Narrow" w:cs="Open Sans"/>
                <w:sz w:val="20"/>
                <w:szCs w:val="20"/>
              </w:rPr>
            </w:pPr>
          </w:p>
        </w:tc>
        <w:tc>
          <w:tcPr>
            <w:tcW w:w="7938" w:type="dxa"/>
            <w:hideMark/>
          </w:tcPr>
          <w:p w14:paraId="3C5134BA"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1D6ECC0E" w14:textId="77777777" w:rsidTr="006647F2">
        <w:tc>
          <w:tcPr>
            <w:tcW w:w="1129" w:type="dxa"/>
          </w:tcPr>
          <w:p w14:paraId="1C44DC32" w14:textId="280E15D8"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18C01EEB"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7847CADC" w14:textId="77777777" w:rsidTr="006647F2">
        <w:tc>
          <w:tcPr>
            <w:tcW w:w="1129" w:type="dxa"/>
          </w:tcPr>
          <w:p w14:paraId="3E96EEC8" w14:textId="3F68CE38"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3F534340"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have a WHO performance status of 1 or less</w:t>
            </w:r>
          </w:p>
        </w:tc>
      </w:tr>
      <w:tr w:rsidR="00991026" w:rsidRPr="00991026" w14:paraId="3CE5937F"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753E473D" w14:textId="32BC1083"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713FEFF6" w14:textId="77777777" w:rsidR="00CC3B89" w:rsidRPr="00991026" w:rsidRDefault="00CC3B89" w:rsidP="00D12BAD">
            <w:pPr>
              <w:ind w:left="-57"/>
              <w:rPr>
                <w:rFonts w:ascii="Arial Narrow" w:hAnsi="Arial Narrow" w:cs="Open Sans"/>
                <w:sz w:val="20"/>
                <w:szCs w:val="20"/>
              </w:rPr>
            </w:pPr>
            <w:r w:rsidRPr="00991026">
              <w:rPr>
                <w:rFonts w:ascii="Arial Narrow" w:hAnsi="Arial Narrow"/>
                <w:b/>
                <w:bCs/>
                <w:i/>
                <w:iCs/>
                <w:sz w:val="20"/>
                <w:szCs w:val="20"/>
              </w:rPr>
              <w:t>AND</w:t>
            </w:r>
          </w:p>
        </w:tc>
      </w:tr>
      <w:tr w:rsidR="00991026" w:rsidRPr="00991026" w14:paraId="478E99AB"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4E5854F7" w14:textId="73D24715"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2DC05BCD" w14:textId="77777777" w:rsidR="00CC3B89" w:rsidRPr="00991026" w:rsidRDefault="00CC3B89" w:rsidP="00D12BAD">
            <w:pPr>
              <w:ind w:left="-57"/>
              <w:rPr>
                <w:rFonts w:ascii="Arial Narrow" w:hAnsi="Arial Narrow" w:cs="Open Sans"/>
                <w:sz w:val="20"/>
                <w:szCs w:val="20"/>
              </w:rPr>
            </w:pPr>
            <w:r w:rsidRPr="00991026">
              <w:rPr>
                <w:rFonts w:ascii="Arial Narrow" w:hAnsi="Arial Narrow"/>
                <w:b/>
                <w:bCs/>
                <w:i/>
                <w:iCs/>
                <w:sz w:val="20"/>
                <w:szCs w:val="20"/>
              </w:rPr>
              <w:t>Clinical criteria:</w:t>
            </w:r>
          </w:p>
        </w:tc>
      </w:tr>
      <w:tr w:rsidR="00991026" w:rsidRPr="00991026" w14:paraId="0E84ED7C"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44AA18ED" w14:textId="64FDD422"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4C8B13D7" w14:textId="541E3CF5" w:rsidR="00CC3B89" w:rsidRPr="00991026" w:rsidRDefault="008744B0" w:rsidP="00D12BAD">
            <w:pPr>
              <w:ind w:left="-57"/>
              <w:rPr>
                <w:rFonts w:ascii="Arial Narrow" w:hAnsi="Arial Narrow" w:cs="Open Sans"/>
                <w:sz w:val="20"/>
                <w:szCs w:val="20"/>
              </w:rPr>
            </w:pPr>
            <w:r w:rsidRPr="00991026">
              <w:rPr>
                <w:rFonts w:ascii="Arial Narrow" w:hAnsi="Arial Narrow"/>
                <w:i/>
                <w:iCs/>
                <w:sz w:val="20"/>
                <w:szCs w:val="20"/>
              </w:rPr>
              <w:t>The treatment must only be prescribed for patients with active disease in accordance with the International Workshop on CLL (iwCLL) guidance (latest version) in relation to when to prescribe drug treatment for this condition</w:t>
            </w:r>
          </w:p>
        </w:tc>
      </w:tr>
      <w:tr w:rsidR="00991026" w:rsidRPr="00991026" w14:paraId="101D394F" w14:textId="77777777" w:rsidTr="006647F2">
        <w:tc>
          <w:tcPr>
            <w:tcW w:w="1129" w:type="dxa"/>
          </w:tcPr>
          <w:p w14:paraId="1C976160" w14:textId="78BFFE94" w:rsidR="00CC3B89" w:rsidRPr="00991026" w:rsidRDefault="00CC3B89" w:rsidP="00D12BAD">
            <w:pPr>
              <w:jc w:val="center"/>
              <w:rPr>
                <w:rFonts w:ascii="Arial Narrow" w:hAnsi="Arial Narrow" w:cs="Open Sans"/>
                <w:sz w:val="20"/>
                <w:szCs w:val="20"/>
              </w:rPr>
            </w:pPr>
          </w:p>
        </w:tc>
        <w:tc>
          <w:tcPr>
            <w:tcW w:w="7938" w:type="dxa"/>
            <w:hideMark/>
          </w:tcPr>
          <w:p w14:paraId="767F639B"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2DAD8A23" w14:textId="77777777" w:rsidTr="006647F2">
        <w:tc>
          <w:tcPr>
            <w:tcW w:w="1129" w:type="dxa"/>
          </w:tcPr>
          <w:p w14:paraId="4C2C32E3" w14:textId="789678FC"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56A9083A"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5CCAA115" w14:textId="77777777" w:rsidTr="006647F2">
        <w:tc>
          <w:tcPr>
            <w:tcW w:w="1129" w:type="dxa"/>
          </w:tcPr>
          <w:p w14:paraId="75993E39" w14:textId="3FAC5A40"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12F504ED"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not have previously received PBS-subsidised treatment with this drug for this condition</w:t>
            </w:r>
          </w:p>
        </w:tc>
      </w:tr>
      <w:tr w:rsidR="00991026" w:rsidRPr="00991026" w14:paraId="7C9A9115" w14:textId="77777777" w:rsidTr="006647F2">
        <w:tc>
          <w:tcPr>
            <w:tcW w:w="1129" w:type="dxa"/>
          </w:tcPr>
          <w:p w14:paraId="64928A2E" w14:textId="520F2915" w:rsidR="00CC3B89" w:rsidRPr="00991026" w:rsidRDefault="00CC3B89" w:rsidP="00D12BAD">
            <w:pPr>
              <w:jc w:val="center"/>
              <w:rPr>
                <w:rFonts w:ascii="Arial Narrow" w:hAnsi="Arial Narrow" w:cs="Open Sans"/>
                <w:sz w:val="20"/>
                <w:szCs w:val="20"/>
              </w:rPr>
            </w:pPr>
          </w:p>
        </w:tc>
        <w:tc>
          <w:tcPr>
            <w:tcW w:w="7938" w:type="dxa"/>
            <w:hideMark/>
          </w:tcPr>
          <w:p w14:paraId="64CBE199"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5F0E03D9" w14:textId="77777777" w:rsidTr="006647F2">
        <w:tc>
          <w:tcPr>
            <w:tcW w:w="1129" w:type="dxa"/>
          </w:tcPr>
          <w:p w14:paraId="50BCBF0D" w14:textId="2AA7F0AF"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73FA2944"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627E3C0B" w14:textId="77777777" w:rsidTr="006647F2">
        <w:tc>
          <w:tcPr>
            <w:tcW w:w="1129" w:type="dxa"/>
          </w:tcPr>
          <w:p w14:paraId="37B67645" w14:textId="07C92C30"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6DE4181E"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be considered unsuitable for treatment or retreatment with a purine analogue</w:t>
            </w:r>
          </w:p>
        </w:tc>
      </w:tr>
      <w:tr w:rsidR="00991026" w:rsidRPr="00991026" w14:paraId="4811B662" w14:textId="77777777" w:rsidTr="006647F2">
        <w:tc>
          <w:tcPr>
            <w:tcW w:w="1129" w:type="dxa"/>
          </w:tcPr>
          <w:p w14:paraId="1FD269A9" w14:textId="4BB0F345" w:rsidR="00CC3B89" w:rsidRPr="00991026" w:rsidRDefault="00CC3B89" w:rsidP="00D12BAD">
            <w:pPr>
              <w:jc w:val="center"/>
              <w:rPr>
                <w:rFonts w:ascii="Arial Narrow" w:hAnsi="Arial Narrow" w:cs="Open Sans"/>
                <w:sz w:val="20"/>
                <w:szCs w:val="20"/>
              </w:rPr>
            </w:pPr>
          </w:p>
        </w:tc>
        <w:tc>
          <w:tcPr>
            <w:tcW w:w="7938" w:type="dxa"/>
            <w:hideMark/>
          </w:tcPr>
          <w:p w14:paraId="662C2EF1"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332D56E3" w14:textId="77777777" w:rsidTr="006647F2">
        <w:tc>
          <w:tcPr>
            <w:tcW w:w="1129" w:type="dxa"/>
          </w:tcPr>
          <w:p w14:paraId="6A8E977B" w14:textId="5E7182FE"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7B562744"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091C49B3" w14:textId="77777777" w:rsidTr="006647F2">
        <w:tc>
          <w:tcPr>
            <w:tcW w:w="1129" w:type="dxa"/>
          </w:tcPr>
          <w:p w14:paraId="6D6B0D9E" w14:textId="43BB3DD0"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3EF6475B"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not have received treatment with another Bruton’s tyrosine kinase (BTK) inhibitor for any line of treatment of CLL/SLL (untreated or relapsed/refractory disease); or</w:t>
            </w:r>
          </w:p>
        </w:tc>
      </w:tr>
      <w:tr w:rsidR="00991026" w:rsidRPr="00991026" w14:paraId="759FD7F5" w14:textId="77777777" w:rsidTr="006647F2">
        <w:tc>
          <w:tcPr>
            <w:tcW w:w="1129" w:type="dxa"/>
          </w:tcPr>
          <w:p w14:paraId="1D441120" w14:textId="013F31DA"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5751BBD6"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have developed intolerance to another Bruton’s tyrosine kinase (BTK) inhibitor of a severity necessitating permanent treatment withdrawal when being treated for relapsed or refractory CLL/SLL</w:t>
            </w:r>
          </w:p>
        </w:tc>
      </w:tr>
      <w:tr w:rsidR="00991026" w:rsidRPr="00991026" w14:paraId="3673D149"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102CBC55" w14:textId="70683123"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1F41B2C4"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b/>
                <w:bCs/>
                <w:i/>
                <w:iCs/>
                <w:sz w:val="20"/>
                <w:szCs w:val="20"/>
              </w:rPr>
              <w:t>AND</w:t>
            </w:r>
          </w:p>
        </w:tc>
      </w:tr>
      <w:tr w:rsidR="00991026" w:rsidRPr="00991026" w14:paraId="083C02C3"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1430AD52" w14:textId="68320DB7"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2A75E76D"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b/>
                <w:bCs/>
                <w:i/>
                <w:iCs/>
                <w:sz w:val="20"/>
                <w:szCs w:val="20"/>
              </w:rPr>
              <w:t>Clinical criteria:</w:t>
            </w:r>
          </w:p>
        </w:tc>
      </w:tr>
      <w:tr w:rsidR="00991026" w:rsidRPr="00991026" w14:paraId="6C1E3FB6"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0142B53B" w14:textId="6345108D"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772F495C" w14:textId="77777777" w:rsidR="00CC3B89" w:rsidRPr="00991026" w:rsidRDefault="00CC3B89" w:rsidP="00D12BAD">
            <w:pPr>
              <w:ind w:left="-57"/>
              <w:rPr>
                <w:rFonts w:ascii="Arial Narrow" w:hAnsi="Arial Narrow" w:cs="Open Sans"/>
                <w:i/>
                <w:iCs/>
                <w:sz w:val="20"/>
                <w:szCs w:val="20"/>
              </w:rPr>
            </w:pPr>
            <w:r w:rsidRPr="00991026">
              <w:rPr>
                <w:rFonts w:ascii="Arial Narrow" w:hAnsi="Arial Narrow"/>
                <w:i/>
                <w:iCs/>
                <w:sz w:val="20"/>
                <w:szCs w:val="20"/>
              </w:rPr>
              <w:t>The treatment must be the sole PBS-subsidised systemic anti-cancer therapy for this PBS indication.</w:t>
            </w:r>
          </w:p>
        </w:tc>
      </w:tr>
      <w:tr w:rsidR="00991026" w:rsidRPr="00991026" w14:paraId="341DFF69" w14:textId="77777777" w:rsidTr="00D12BAD">
        <w:tc>
          <w:tcPr>
            <w:tcW w:w="1129" w:type="dxa"/>
          </w:tcPr>
          <w:p w14:paraId="5F7F2712" w14:textId="77777777" w:rsidR="00CC3B89" w:rsidRPr="00991026" w:rsidRDefault="00CC3B89" w:rsidP="00D12BAD">
            <w:pPr>
              <w:jc w:val="center"/>
              <w:textAlignment w:val="baseline"/>
              <w:rPr>
                <w:rFonts w:ascii="Arial Narrow" w:hAnsi="Arial Narrow" w:cs="Open Sans"/>
                <w:sz w:val="20"/>
                <w:szCs w:val="20"/>
              </w:rPr>
            </w:pPr>
          </w:p>
        </w:tc>
        <w:tc>
          <w:tcPr>
            <w:tcW w:w="7938" w:type="dxa"/>
          </w:tcPr>
          <w:p w14:paraId="2C0AC46B" w14:textId="77777777" w:rsidR="00CC3B89" w:rsidRPr="00991026" w:rsidRDefault="00CC3B89" w:rsidP="00D12BAD">
            <w:pPr>
              <w:ind w:left="-57"/>
              <w:rPr>
                <w:rFonts w:ascii="Arial Narrow" w:hAnsi="Arial Narrow" w:cs="Open Sans"/>
                <w:sz w:val="20"/>
                <w:szCs w:val="20"/>
              </w:rPr>
            </w:pPr>
          </w:p>
        </w:tc>
      </w:tr>
      <w:tr w:rsidR="00991026" w:rsidRPr="00991026" w14:paraId="7C682F44"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00781BC8" w14:textId="6B98E0B7"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1ACE6E3F" w14:textId="77777777" w:rsidR="00CC3B89" w:rsidRPr="00991026" w:rsidRDefault="00CC3B89" w:rsidP="00D12BAD">
            <w:pPr>
              <w:ind w:left="-57"/>
              <w:rPr>
                <w:rFonts w:ascii="Arial Narrow" w:hAnsi="Arial Narrow" w:cs="Open Sans"/>
                <w:sz w:val="20"/>
                <w:szCs w:val="20"/>
              </w:rPr>
            </w:pPr>
            <w:r w:rsidRPr="00991026">
              <w:rPr>
                <w:rFonts w:ascii="Arial Narrow" w:hAnsi="Arial Narrow"/>
                <w:b/>
                <w:bCs/>
                <w:i/>
                <w:iCs/>
                <w:sz w:val="20"/>
                <w:szCs w:val="20"/>
              </w:rPr>
              <w:t>Treatment criteria:</w:t>
            </w:r>
          </w:p>
        </w:tc>
      </w:tr>
      <w:tr w:rsidR="00991026" w:rsidRPr="00991026" w14:paraId="66DD9E02"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43EA3AE0" w14:textId="62F1B11B"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0BE18CA7" w14:textId="4DEBF52E" w:rsidR="00CC3B89" w:rsidRPr="00991026" w:rsidRDefault="00CC3B89" w:rsidP="00D12BAD">
            <w:pPr>
              <w:ind w:left="-57"/>
              <w:rPr>
                <w:rFonts w:ascii="Arial Narrow" w:hAnsi="Arial Narrow" w:cs="Open Sans"/>
                <w:sz w:val="20"/>
                <w:szCs w:val="20"/>
              </w:rPr>
            </w:pPr>
            <w:r w:rsidRPr="00991026">
              <w:rPr>
                <w:rFonts w:ascii="Arial Narrow" w:hAnsi="Arial Narrow"/>
                <w:i/>
                <w:iCs/>
                <w:sz w:val="20"/>
                <w:szCs w:val="20"/>
              </w:rPr>
              <w:t>Patient must not be undergoing retreatment with this drug where prior, active treatment of CLL/SLL with this same drug was unable to prevent disease progression</w:t>
            </w:r>
          </w:p>
        </w:tc>
      </w:tr>
      <w:tr w:rsidR="00991026" w:rsidRPr="00991026" w14:paraId="4C99F79D"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5F03AD88" w14:textId="77777777"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2B252F72" w14:textId="77777777" w:rsidR="00CC3B89" w:rsidRPr="00991026" w:rsidRDefault="00CC3B89" w:rsidP="00D12BAD">
            <w:pPr>
              <w:ind w:left="-57"/>
              <w:rPr>
                <w:rFonts w:ascii="Arial Narrow" w:hAnsi="Arial Narrow" w:cs="Open Sans"/>
                <w:sz w:val="20"/>
                <w:szCs w:val="20"/>
              </w:rPr>
            </w:pPr>
            <w:r w:rsidRPr="00991026">
              <w:rPr>
                <w:rFonts w:ascii="Arial Narrow" w:hAnsi="Arial Narrow"/>
                <w:b/>
                <w:bCs/>
                <w:i/>
                <w:iCs/>
                <w:sz w:val="20"/>
                <w:szCs w:val="20"/>
              </w:rPr>
              <w:t>AND</w:t>
            </w:r>
          </w:p>
        </w:tc>
      </w:tr>
      <w:tr w:rsidR="00991026" w:rsidRPr="00991026" w14:paraId="3A309214"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49BD1BA6" w14:textId="6D2456E9"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76DA926F" w14:textId="77777777" w:rsidR="00CC3B89" w:rsidRPr="00991026" w:rsidRDefault="00CC3B89" w:rsidP="00D12BAD">
            <w:pPr>
              <w:ind w:left="-57"/>
              <w:rPr>
                <w:rFonts w:ascii="Arial Narrow" w:hAnsi="Arial Narrow" w:cs="Open Sans"/>
                <w:sz w:val="20"/>
                <w:szCs w:val="20"/>
              </w:rPr>
            </w:pPr>
            <w:r w:rsidRPr="00991026">
              <w:rPr>
                <w:rFonts w:ascii="Arial Narrow" w:hAnsi="Arial Narrow"/>
                <w:b/>
                <w:bCs/>
                <w:i/>
                <w:iCs/>
                <w:sz w:val="20"/>
                <w:szCs w:val="20"/>
              </w:rPr>
              <w:t>Treatment criteria:</w:t>
            </w:r>
          </w:p>
        </w:tc>
      </w:tr>
      <w:tr w:rsidR="00991026" w:rsidRPr="00991026" w14:paraId="57814E97"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7460D684" w14:textId="26271D62"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42126A35" w14:textId="77777777" w:rsidR="00CC3B89" w:rsidRPr="00991026" w:rsidRDefault="00CC3B89" w:rsidP="00D12BAD">
            <w:pPr>
              <w:ind w:left="-57"/>
              <w:rPr>
                <w:rFonts w:ascii="Arial Narrow" w:hAnsi="Arial Narrow" w:cs="Open Sans"/>
                <w:sz w:val="20"/>
                <w:szCs w:val="20"/>
              </w:rPr>
            </w:pPr>
            <w:r w:rsidRPr="00991026">
              <w:rPr>
                <w:rFonts w:ascii="Arial Narrow" w:hAnsi="Arial Narrow"/>
                <w:i/>
                <w:iCs/>
                <w:sz w:val="20"/>
                <w:szCs w:val="20"/>
              </w:rPr>
              <w:t>Patient must be undergoing treatment through this treatment phase listing for the first time; or</w:t>
            </w:r>
          </w:p>
        </w:tc>
      </w:tr>
      <w:tr w:rsidR="00991026" w:rsidRPr="00991026" w14:paraId="7CACC11F"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16B0E0CF" w14:textId="459F1271" w:rsidR="00CC3B89" w:rsidRPr="00991026" w:rsidRDefault="00CC3B89" w:rsidP="00D12BAD">
            <w:pPr>
              <w:jc w:val="center"/>
              <w:textAlignment w:val="baseline"/>
              <w:rPr>
                <w:rFonts w:ascii="Arial Narrow" w:hAnsi="Arial Narrow" w:cs="Open Sans"/>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1AAD1289" w14:textId="77777777" w:rsidR="00CC3B89" w:rsidRPr="00991026" w:rsidRDefault="00CC3B89" w:rsidP="00D12BAD">
            <w:pPr>
              <w:ind w:left="-57"/>
              <w:rPr>
                <w:rFonts w:ascii="Arial Narrow" w:hAnsi="Arial Narrow" w:cs="Open Sans"/>
                <w:sz w:val="20"/>
                <w:szCs w:val="20"/>
              </w:rPr>
            </w:pPr>
            <w:r w:rsidRPr="00991026">
              <w:rPr>
                <w:rFonts w:ascii="Arial Narrow" w:hAnsi="Arial Narrow"/>
                <w:i/>
                <w:iCs/>
                <w:sz w:val="20"/>
                <w:szCs w:val="20"/>
              </w:rPr>
              <w:t>Patient must be undergoing treatment through this treatment phase listing on a subsequent occasion, with disease progression being absent</w:t>
            </w:r>
          </w:p>
        </w:tc>
      </w:tr>
      <w:tr w:rsidR="00991026" w:rsidRPr="00991026" w14:paraId="1130F28D" w14:textId="77777777" w:rsidTr="00D12BAD">
        <w:tc>
          <w:tcPr>
            <w:tcW w:w="1129" w:type="dxa"/>
            <w:tcBorders>
              <w:top w:val="single" w:sz="4" w:space="0" w:color="auto"/>
              <w:left w:val="single" w:sz="4" w:space="0" w:color="auto"/>
              <w:bottom w:val="single" w:sz="4" w:space="0" w:color="auto"/>
              <w:right w:val="single" w:sz="4" w:space="0" w:color="auto"/>
            </w:tcBorders>
            <w:vAlign w:val="center"/>
          </w:tcPr>
          <w:p w14:paraId="0A79BAAD" w14:textId="77777777" w:rsidR="00CC3B89" w:rsidRPr="00991026" w:rsidRDefault="00CC3B89" w:rsidP="00D12BAD">
            <w:pPr>
              <w:jc w:val="center"/>
              <w:textAlignment w:val="baseline"/>
              <w:rPr>
                <w:rFonts w:ascii="Arial Narrow" w:hAnsi="Arial Narrow"/>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7AFB2E6D" w14:textId="77777777" w:rsidR="00CC3B89" w:rsidRPr="00991026" w:rsidRDefault="00CC3B89" w:rsidP="00D12BAD">
            <w:pPr>
              <w:ind w:left="-57"/>
              <w:rPr>
                <w:rFonts w:ascii="Arial Narrow" w:hAnsi="Arial Narrow"/>
                <w:i/>
                <w:iCs/>
                <w:sz w:val="20"/>
                <w:szCs w:val="20"/>
              </w:rPr>
            </w:pPr>
          </w:p>
        </w:tc>
      </w:tr>
      <w:tr w:rsidR="00991026" w:rsidRPr="00991026" w14:paraId="1B418223" w14:textId="77777777" w:rsidTr="006647F2">
        <w:tc>
          <w:tcPr>
            <w:tcW w:w="1129" w:type="dxa"/>
          </w:tcPr>
          <w:p w14:paraId="4A1B891D" w14:textId="02934ABA"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1D68090F"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Prescribing Instructions:</w:t>
            </w:r>
          </w:p>
          <w:p w14:paraId="3B305107"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A patient is considered unsuitable for treatment or retreatment with a purine analogue as demonstrated by at least one of the following:</w:t>
            </w:r>
          </w:p>
          <w:p w14:paraId="47A14572"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a) Failure to respond (stable disease or disease progression on treatment), or a progression-free interval of less than 3 years from treatment with a purine analogue-based therapy and anti-CD20-containing chemoimmunotherapy regimen after at least two cycles;</w:t>
            </w:r>
          </w:p>
          <w:p w14:paraId="10F20055"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b) Age is 70 years or older;</w:t>
            </w:r>
          </w:p>
          <w:p w14:paraId="2F036F28"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c) Age is 65 years or older and the presence of comorbidities (Cumulative Illness Rating Scale of 6 or greater, or creatinine clearance of less than 70 mL/min) that might place the patient at an unacceptable risk for treatment-related toxicity with purine analogue-based therapy, provided they have received one or more prior treatment including at least two cycles of an alkylating agent-based (or purine analogue-based) anti-CD20 antibody-containing chemoimmunotherapy regimen;</w:t>
            </w:r>
          </w:p>
          <w:p w14:paraId="31CC26CD"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strike/>
                <w:sz w:val="20"/>
                <w:szCs w:val="20"/>
              </w:rPr>
              <w:t>d) History of purine analogue-associated autoimmune anaemia or autoimmune thrombocytopenia;</w:t>
            </w:r>
          </w:p>
          <w:p w14:paraId="7FF95512" w14:textId="77777777" w:rsidR="00CC3B89" w:rsidRPr="00991026" w:rsidRDefault="00CC3B89" w:rsidP="00D12BAD">
            <w:pPr>
              <w:ind w:left="-57"/>
              <w:textAlignment w:val="baseline"/>
              <w:rPr>
                <w:rFonts w:ascii="Arial Narrow" w:hAnsi="Arial Narrow" w:cs="Open Sans"/>
                <w:sz w:val="20"/>
                <w:szCs w:val="20"/>
              </w:rPr>
            </w:pPr>
            <w:r w:rsidRPr="00991026">
              <w:rPr>
                <w:rFonts w:ascii="Arial Narrow" w:hAnsi="Arial Narrow" w:cs="Open Sans"/>
                <w:strike/>
                <w:sz w:val="20"/>
                <w:szCs w:val="20"/>
              </w:rPr>
              <w:t>e) Evidence of one or more 17p chromosomal deletions demonstrated by a Medicare Benefits Schedule listed test.</w:t>
            </w:r>
          </w:p>
        </w:tc>
      </w:tr>
      <w:tr w:rsidR="00991026" w:rsidRPr="00991026" w14:paraId="406DEEA9" w14:textId="77777777" w:rsidTr="00D12BAD">
        <w:tc>
          <w:tcPr>
            <w:tcW w:w="9067" w:type="dxa"/>
            <w:gridSpan w:val="2"/>
          </w:tcPr>
          <w:p w14:paraId="3B2A3016"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p w14:paraId="5C839EBF"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4AEE7181" w14:textId="77777777" w:rsidTr="00D12BAD">
        <w:tc>
          <w:tcPr>
            <w:tcW w:w="9067" w:type="dxa"/>
            <w:gridSpan w:val="2"/>
          </w:tcPr>
          <w:p w14:paraId="5469AB1A" w14:textId="672116E1" w:rsidR="00CC3B89" w:rsidRPr="00991026" w:rsidRDefault="00CC3B89" w:rsidP="00D12BAD">
            <w:pPr>
              <w:ind w:left="-57"/>
              <w:textAlignment w:val="baseline"/>
              <w:rPr>
                <w:rFonts w:ascii="Arial Narrow" w:hAnsi="Arial Narrow" w:cs="Open Sans"/>
                <w:b/>
                <w:bCs/>
                <w:sz w:val="20"/>
                <w:szCs w:val="20"/>
                <w:bdr w:val="none" w:sz="0" w:space="0" w:color="auto" w:frame="1"/>
              </w:rPr>
            </w:pPr>
            <w:r w:rsidRPr="00991026">
              <w:rPr>
                <w:rFonts w:ascii="Arial Narrow" w:hAnsi="Arial Narrow" w:cs="Open Sans"/>
                <w:b/>
                <w:bCs/>
                <w:sz w:val="20"/>
                <w:szCs w:val="20"/>
                <w:bdr w:val="none" w:sz="0" w:space="0" w:color="auto" w:frame="1"/>
              </w:rPr>
              <w:t>Remove Restriction Summary  / ToC:: Authority Required</w:t>
            </w:r>
          </w:p>
          <w:p w14:paraId="74D5D8E3" w14:textId="77777777" w:rsidR="00CC3B89" w:rsidRPr="00991026" w:rsidRDefault="00CC3B89" w:rsidP="00D12BAD">
            <w:pPr>
              <w:ind w:left="-57"/>
              <w:textAlignment w:val="baseline"/>
              <w:rPr>
                <w:rFonts w:ascii="Arial Narrow" w:hAnsi="Arial Narrow" w:cs="Open Sans"/>
                <w:b/>
                <w:bCs/>
                <w:sz w:val="20"/>
                <w:szCs w:val="20"/>
                <w:bdr w:val="none" w:sz="0" w:space="0" w:color="auto" w:frame="1"/>
              </w:rPr>
            </w:pPr>
          </w:p>
        </w:tc>
      </w:tr>
      <w:tr w:rsidR="00991026" w:rsidRPr="00991026" w14:paraId="544E6882" w14:textId="77777777" w:rsidTr="006647F2">
        <w:tc>
          <w:tcPr>
            <w:tcW w:w="1129" w:type="dxa"/>
          </w:tcPr>
          <w:p w14:paraId="38853137" w14:textId="7CE8A9D2"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68BDCC2A"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 xml:space="preserve">Indication: </w:t>
            </w:r>
            <w:r w:rsidRPr="00991026">
              <w:rPr>
                <w:rFonts w:ascii="Arial Narrow" w:hAnsi="Arial Narrow" w:cs="Open Sans"/>
                <w:strike/>
                <w:sz w:val="20"/>
                <w:szCs w:val="20"/>
              </w:rPr>
              <w:t>Relapsed or refractory chronic lymphocytic leukaemia (CLL) or small lymphocytic lymphoma (SLL)</w:t>
            </w:r>
          </w:p>
        </w:tc>
      </w:tr>
      <w:tr w:rsidR="00991026" w:rsidRPr="00991026" w14:paraId="38F7D3BF" w14:textId="77777777" w:rsidTr="00D12BAD">
        <w:tc>
          <w:tcPr>
            <w:tcW w:w="1129" w:type="dxa"/>
          </w:tcPr>
          <w:p w14:paraId="5F0C29BA" w14:textId="77777777" w:rsidR="00CC3B89" w:rsidRPr="00991026" w:rsidRDefault="00CC3B89" w:rsidP="00D12BAD">
            <w:pPr>
              <w:jc w:val="center"/>
              <w:textAlignment w:val="baseline"/>
              <w:rPr>
                <w:rFonts w:ascii="Arial Narrow" w:hAnsi="Arial Narrow" w:cs="Open Sans"/>
                <w:sz w:val="20"/>
                <w:szCs w:val="20"/>
              </w:rPr>
            </w:pPr>
          </w:p>
        </w:tc>
        <w:tc>
          <w:tcPr>
            <w:tcW w:w="7938" w:type="dxa"/>
          </w:tcPr>
          <w:p w14:paraId="70A9B0FD" w14:textId="77777777" w:rsidR="00CC3B89" w:rsidRPr="00991026" w:rsidRDefault="00CC3B89" w:rsidP="00D12BAD">
            <w:pPr>
              <w:ind w:left="-57"/>
              <w:textAlignment w:val="baseline"/>
              <w:rPr>
                <w:rFonts w:ascii="Arial Narrow" w:hAnsi="Arial Narrow" w:cs="Open Sans"/>
                <w:b/>
                <w:bCs/>
                <w:strike/>
                <w:sz w:val="20"/>
                <w:szCs w:val="20"/>
                <w:bdr w:val="none" w:sz="0" w:space="0" w:color="auto" w:frame="1"/>
              </w:rPr>
            </w:pPr>
          </w:p>
        </w:tc>
      </w:tr>
      <w:tr w:rsidR="00991026" w:rsidRPr="00991026" w14:paraId="7B8858B6" w14:textId="77777777" w:rsidTr="006647F2">
        <w:tc>
          <w:tcPr>
            <w:tcW w:w="1129" w:type="dxa"/>
          </w:tcPr>
          <w:p w14:paraId="1683075A" w14:textId="77777777" w:rsidR="00CC3B89" w:rsidRPr="00991026" w:rsidRDefault="00CC3B89" w:rsidP="00D12BAD">
            <w:pPr>
              <w:jc w:val="center"/>
              <w:rPr>
                <w:rFonts w:ascii="Arial Narrow" w:hAnsi="Arial Narrow" w:cs="Open Sans"/>
                <w:sz w:val="20"/>
                <w:szCs w:val="20"/>
              </w:rPr>
            </w:pPr>
          </w:p>
        </w:tc>
        <w:tc>
          <w:tcPr>
            <w:tcW w:w="7938" w:type="dxa"/>
            <w:hideMark/>
          </w:tcPr>
          <w:p w14:paraId="3BBDCDAE"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 xml:space="preserve">Treatment Phase: </w:t>
            </w:r>
            <w:r w:rsidRPr="00991026">
              <w:rPr>
                <w:rFonts w:ascii="Arial Narrow" w:hAnsi="Arial Narrow" w:cs="Open Sans"/>
                <w:strike/>
                <w:sz w:val="20"/>
                <w:szCs w:val="20"/>
              </w:rPr>
              <w:t>Continuing treatment of relapsed or refractory CLL/SLL</w:t>
            </w:r>
          </w:p>
        </w:tc>
      </w:tr>
      <w:tr w:rsidR="00991026" w:rsidRPr="00991026" w14:paraId="3D389DC3" w14:textId="77777777" w:rsidTr="00D12BAD">
        <w:tc>
          <w:tcPr>
            <w:tcW w:w="1129" w:type="dxa"/>
          </w:tcPr>
          <w:p w14:paraId="38C0296A" w14:textId="77777777" w:rsidR="00CC3B89" w:rsidRPr="00991026" w:rsidRDefault="00CC3B89" w:rsidP="00D12BAD">
            <w:pPr>
              <w:jc w:val="center"/>
              <w:rPr>
                <w:rFonts w:ascii="Arial Narrow" w:hAnsi="Arial Narrow" w:cs="Open Sans"/>
                <w:sz w:val="20"/>
                <w:szCs w:val="20"/>
              </w:rPr>
            </w:pPr>
          </w:p>
        </w:tc>
        <w:tc>
          <w:tcPr>
            <w:tcW w:w="7938" w:type="dxa"/>
          </w:tcPr>
          <w:p w14:paraId="3F01A58B" w14:textId="77777777" w:rsidR="00CC3B89" w:rsidRPr="00991026" w:rsidRDefault="00CC3B89" w:rsidP="00D12BAD">
            <w:pPr>
              <w:ind w:left="-57"/>
              <w:textAlignment w:val="baseline"/>
              <w:rPr>
                <w:rFonts w:ascii="Arial Narrow" w:hAnsi="Arial Narrow" w:cs="Open Sans"/>
                <w:b/>
                <w:bCs/>
                <w:strike/>
                <w:sz w:val="20"/>
                <w:szCs w:val="20"/>
                <w:bdr w:val="none" w:sz="0" w:space="0" w:color="auto" w:frame="1"/>
              </w:rPr>
            </w:pPr>
          </w:p>
        </w:tc>
      </w:tr>
      <w:tr w:rsidR="00991026" w:rsidRPr="00991026" w14:paraId="5B62F405" w14:textId="77777777" w:rsidTr="006647F2">
        <w:tc>
          <w:tcPr>
            <w:tcW w:w="1129" w:type="dxa"/>
          </w:tcPr>
          <w:p w14:paraId="40091AA1" w14:textId="04C7CC43"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384F75B2"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5ECAB479" w14:textId="77777777" w:rsidTr="006647F2">
        <w:tc>
          <w:tcPr>
            <w:tcW w:w="1129" w:type="dxa"/>
          </w:tcPr>
          <w:p w14:paraId="7E385328" w14:textId="7FF3DA43"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51DB2296"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The treatment must be the sole PBS-subsidised therapy for this condition</w:t>
            </w:r>
          </w:p>
        </w:tc>
      </w:tr>
      <w:tr w:rsidR="00991026" w:rsidRPr="00991026" w14:paraId="42D5BBE3" w14:textId="77777777" w:rsidTr="006647F2">
        <w:tc>
          <w:tcPr>
            <w:tcW w:w="1129" w:type="dxa"/>
          </w:tcPr>
          <w:p w14:paraId="217A79F3" w14:textId="77777777" w:rsidR="00CC3B89" w:rsidRPr="00991026" w:rsidRDefault="00CC3B89" w:rsidP="00D12BAD">
            <w:pPr>
              <w:jc w:val="center"/>
              <w:rPr>
                <w:rFonts w:ascii="Arial Narrow" w:hAnsi="Arial Narrow" w:cs="Open Sans"/>
                <w:sz w:val="20"/>
                <w:szCs w:val="20"/>
              </w:rPr>
            </w:pPr>
          </w:p>
        </w:tc>
        <w:tc>
          <w:tcPr>
            <w:tcW w:w="7938" w:type="dxa"/>
            <w:hideMark/>
          </w:tcPr>
          <w:p w14:paraId="72A519A5"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329E7EFF" w14:textId="77777777" w:rsidTr="006647F2">
        <w:tc>
          <w:tcPr>
            <w:tcW w:w="1129" w:type="dxa"/>
          </w:tcPr>
          <w:p w14:paraId="1C95D181" w14:textId="490937D2"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3A92F3C4"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991026" w:rsidRPr="00991026" w14:paraId="0632F0FB" w14:textId="77777777" w:rsidTr="006647F2">
        <w:tc>
          <w:tcPr>
            <w:tcW w:w="1129" w:type="dxa"/>
          </w:tcPr>
          <w:p w14:paraId="057AB97B" w14:textId="01AF5A52"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502A6A0A"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have previously received PBS-subsidised treatment with this drug for this condition</w:t>
            </w:r>
          </w:p>
        </w:tc>
      </w:tr>
      <w:tr w:rsidR="00991026" w:rsidRPr="00991026" w14:paraId="73EAF728" w14:textId="77777777" w:rsidTr="006647F2">
        <w:tc>
          <w:tcPr>
            <w:tcW w:w="1129" w:type="dxa"/>
          </w:tcPr>
          <w:p w14:paraId="6B537D83" w14:textId="77777777" w:rsidR="00CC3B89" w:rsidRPr="00991026" w:rsidRDefault="00CC3B89" w:rsidP="00D12BAD">
            <w:pPr>
              <w:jc w:val="center"/>
              <w:rPr>
                <w:rFonts w:ascii="Arial Narrow" w:hAnsi="Arial Narrow" w:cs="Open Sans"/>
                <w:sz w:val="20"/>
                <w:szCs w:val="20"/>
              </w:rPr>
            </w:pPr>
          </w:p>
        </w:tc>
        <w:tc>
          <w:tcPr>
            <w:tcW w:w="7938" w:type="dxa"/>
            <w:hideMark/>
          </w:tcPr>
          <w:p w14:paraId="7D02EA7F"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AND</w:t>
            </w:r>
          </w:p>
        </w:tc>
      </w:tr>
      <w:tr w:rsidR="00991026" w:rsidRPr="00991026" w14:paraId="75867D26" w14:textId="77777777" w:rsidTr="006647F2">
        <w:tc>
          <w:tcPr>
            <w:tcW w:w="1129" w:type="dxa"/>
          </w:tcPr>
          <w:p w14:paraId="18189E76" w14:textId="3F28A5E6"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0383E21F" w14:textId="77777777" w:rsidR="00CC3B89" w:rsidRPr="00991026" w:rsidRDefault="00CC3B89" w:rsidP="00D12BAD">
            <w:pPr>
              <w:ind w:left="-57"/>
              <w:textAlignment w:val="baseline"/>
              <w:rPr>
                <w:rFonts w:ascii="Arial Narrow" w:hAnsi="Arial Narrow" w:cs="Open Sans"/>
                <w:strike/>
                <w:sz w:val="20"/>
                <w:szCs w:val="20"/>
              </w:rPr>
            </w:pPr>
            <w:r w:rsidRPr="00991026">
              <w:rPr>
                <w:rFonts w:ascii="Arial Narrow" w:hAnsi="Arial Narrow" w:cs="Open Sans"/>
                <w:b/>
                <w:bCs/>
                <w:strike/>
                <w:sz w:val="20"/>
                <w:szCs w:val="20"/>
                <w:bdr w:val="none" w:sz="0" w:space="0" w:color="auto" w:frame="1"/>
              </w:rPr>
              <w:t>Clinical criteria:</w:t>
            </w:r>
          </w:p>
        </w:tc>
      </w:tr>
      <w:tr w:rsidR="00CC3B89" w:rsidRPr="00991026" w14:paraId="63AA8D58" w14:textId="77777777" w:rsidTr="006647F2">
        <w:tc>
          <w:tcPr>
            <w:tcW w:w="1129" w:type="dxa"/>
          </w:tcPr>
          <w:p w14:paraId="437C1C5B" w14:textId="1571458C" w:rsidR="00CC3B89" w:rsidRPr="00991026" w:rsidRDefault="00CC3B89" w:rsidP="00D12BAD">
            <w:pPr>
              <w:jc w:val="center"/>
              <w:textAlignment w:val="baseline"/>
              <w:rPr>
                <w:rFonts w:ascii="Arial Narrow" w:hAnsi="Arial Narrow" w:cs="Open Sans"/>
                <w:sz w:val="20"/>
                <w:szCs w:val="20"/>
              </w:rPr>
            </w:pPr>
          </w:p>
        </w:tc>
        <w:tc>
          <w:tcPr>
            <w:tcW w:w="7938" w:type="dxa"/>
            <w:hideMark/>
          </w:tcPr>
          <w:p w14:paraId="0B58AB26" w14:textId="77777777" w:rsidR="00CC3B89" w:rsidRPr="00991026" w:rsidRDefault="00CC3B89" w:rsidP="00D12BAD">
            <w:pPr>
              <w:ind w:left="-57"/>
              <w:rPr>
                <w:rFonts w:ascii="Arial Narrow" w:hAnsi="Arial Narrow" w:cs="Open Sans"/>
                <w:strike/>
                <w:sz w:val="20"/>
                <w:szCs w:val="20"/>
              </w:rPr>
            </w:pPr>
            <w:r w:rsidRPr="00991026">
              <w:rPr>
                <w:rFonts w:ascii="Arial Narrow" w:hAnsi="Arial Narrow" w:cs="Open Sans"/>
                <w:strike/>
                <w:sz w:val="20"/>
                <w:szCs w:val="20"/>
              </w:rPr>
              <w:t>Patient must not develop disease progression while receiving PBS-subsidised treatment with this drug for this condition</w:t>
            </w:r>
          </w:p>
        </w:tc>
      </w:tr>
    </w:tbl>
    <w:p w14:paraId="20FD602F" w14:textId="77777777" w:rsidR="00CC3B89" w:rsidRPr="00991026" w:rsidRDefault="00CC3B89" w:rsidP="00CC3B89"/>
    <w:p w14:paraId="2C132340" w14:textId="3684E492" w:rsidR="00442ADB" w:rsidRDefault="00442ADB" w:rsidP="00442ADB">
      <w:pPr>
        <w:rPr>
          <w:rFonts w:asciiTheme="minorHAnsi" w:hAnsiTheme="minorHAnsi" w:cstheme="minorHAnsi"/>
          <w:b/>
        </w:rPr>
      </w:pPr>
      <w:r w:rsidRPr="00991026">
        <w:rPr>
          <w:rFonts w:asciiTheme="minorHAnsi" w:hAnsiTheme="minorHAnsi" w:cstheme="minorHAnsi"/>
          <w:b/>
          <w:i/>
        </w:rPr>
        <w:t xml:space="preserve">The restriction and flow-on changes may be subject to further review. Should there be any changes made to the restriction the </w:t>
      </w:r>
      <w:r w:rsidR="00591569" w:rsidRPr="00991026">
        <w:rPr>
          <w:rFonts w:asciiTheme="minorHAnsi" w:hAnsiTheme="minorHAnsi" w:cstheme="minorHAnsi"/>
          <w:b/>
          <w:i/>
        </w:rPr>
        <w:t>s</w:t>
      </w:r>
      <w:r w:rsidRPr="00991026">
        <w:rPr>
          <w:rFonts w:asciiTheme="minorHAnsi" w:hAnsiTheme="minorHAnsi" w:cstheme="minorHAnsi"/>
          <w:b/>
          <w:i/>
        </w:rPr>
        <w:t>ponsor will be informed</w:t>
      </w:r>
      <w:r w:rsidRPr="00991026">
        <w:rPr>
          <w:rFonts w:asciiTheme="minorHAnsi" w:hAnsiTheme="minorHAnsi" w:cstheme="minorHAnsi"/>
          <w:b/>
        </w:rPr>
        <w:t>.</w:t>
      </w:r>
    </w:p>
    <w:p w14:paraId="78087DB7" w14:textId="3DECB17F" w:rsidR="006647F2" w:rsidRPr="006647F2" w:rsidRDefault="006647F2" w:rsidP="006647F2">
      <w:pPr>
        <w:pStyle w:val="COMH1numbered"/>
        <w:numPr>
          <w:ilvl w:val="0"/>
          <w:numId w:val="1"/>
        </w:numPr>
      </w:pPr>
      <w:r w:rsidRPr="00C07617">
        <w:t>Context for Decision</w:t>
      </w:r>
    </w:p>
    <w:p w14:paraId="78CBCB6A" w14:textId="77777777" w:rsidR="006647F2" w:rsidRPr="007129F2" w:rsidRDefault="006647F2" w:rsidP="006647F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D479E1D" w14:textId="4B93B738" w:rsidR="006647F2" w:rsidRPr="006647F2" w:rsidRDefault="006647F2" w:rsidP="006647F2">
      <w:pPr>
        <w:pStyle w:val="COMH1numbered"/>
        <w:numPr>
          <w:ilvl w:val="0"/>
          <w:numId w:val="1"/>
        </w:numPr>
      </w:pPr>
      <w:r>
        <w:t>Sponsor’s Comment</w:t>
      </w:r>
    </w:p>
    <w:p w14:paraId="5D0EE7E4" w14:textId="77777777" w:rsidR="006647F2" w:rsidRPr="001179AC" w:rsidRDefault="006647F2" w:rsidP="006647F2">
      <w:pPr>
        <w:spacing w:after="120"/>
        <w:ind w:left="426" w:firstLine="294"/>
        <w:rPr>
          <w:rFonts w:asciiTheme="minorHAnsi" w:hAnsiTheme="minorHAnsi"/>
          <w:bCs/>
        </w:rPr>
      </w:pPr>
      <w:r w:rsidRPr="00C07617">
        <w:rPr>
          <w:rFonts w:asciiTheme="minorHAnsi" w:hAnsiTheme="minorHAnsi"/>
          <w:bCs/>
        </w:rPr>
        <w:t>The sponsor had no comment.</w:t>
      </w:r>
    </w:p>
    <w:p w14:paraId="23417721" w14:textId="77777777" w:rsidR="006647F2" w:rsidRPr="00991026" w:rsidRDefault="006647F2" w:rsidP="00442ADB">
      <w:pPr>
        <w:rPr>
          <w:rFonts w:asciiTheme="minorHAnsi" w:hAnsiTheme="minorHAnsi" w:cstheme="minorHAnsi"/>
          <w:b/>
        </w:rPr>
      </w:pPr>
    </w:p>
    <w:sectPr w:rsidR="006647F2" w:rsidRPr="00991026" w:rsidSect="00251006">
      <w:headerReference w:type="default" r:id="rId10"/>
      <w:footerReference w:type="default" r:id="rId1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80DE" w14:textId="77777777" w:rsidR="00A86E9E" w:rsidRDefault="00A86E9E" w:rsidP="00124A51">
      <w:r>
        <w:separator/>
      </w:r>
    </w:p>
    <w:p w14:paraId="44FA8B02" w14:textId="77777777" w:rsidR="00A86E9E" w:rsidRDefault="00A86E9E"/>
    <w:p w14:paraId="5AB394B5" w14:textId="77777777" w:rsidR="00A86E9E" w:rsidRDefault="00A86E9E"/>
  </w:endnote>
  <w:endnote w:type="continuationSeparator" w:id="0">
    <w:p w14:paraId="1E698753" w14:textId="77777777" w:rsidR="00A86E9E" w:rsidRDefault="00A86E9E" w:rsidP="00124A51">
      <w:r>
        <w:continuationSeparator/>
      </w:r>
    </w:p>
    <w:p w14:paraId="517941CF" w14:textId="77777777" w:rsidR="00A86E9E" w:rsidRDefault="00A86E9E"/>
    <w:p w14:paraId="33DE870E" w14:textId="77777777" w:rsidR="00A86E9E" w:rsidRDefault="00A86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989FEBF" w:rsidR="00D12BAD" w:rsidRDefault="00D12BAD" w:rsidP="00753B29">
    <w:pPr>
      <w:jc w:val="center"/>
    </w:pPr>
  </w:p>
  <w:p w14:paraId="37484CD3" w14:textId="384ED2CC" w:rsidR="00D12BAD" w:rsidRPr="009F171F" w:rsidRDefault="00472981" w:rsidP="00753B29">
    <w:pPr>
      <w:jc w:val="center"/>
      <w:rPr>
        <w:b/>
        <w:bCs/>
      </w:rPr>
    </w:pPr>
    <w:sdt>
      <w:sdtPr>
        <w:rPr>
          <w:b/>
          <w:bCs/>
        </w:rPr>
        <w:id w:val="1036156457"/>
        <w:docPartObj>
          <w:docPartGallery w:val="Page Numbers (Bottom of Page)"/>
          <w:docPartUnique/>
        </w:docPartObj>
      </w:sdtPr>
      <w:sdtEndPr>
        <w:rPr>
          <w:noProof/>
        </w:rPr>
      </w:sdtEndPr>
      <w:sdtContent>
        <w:r w:rsidR="00D12BAD" w:rsidRPr="009F171F">
          <w:rPr>
            <w:b/>
            <w:bCs/>
          </w:rPr>
          <w:fldChar w:fldCharType="begin"/>
        </w:r>
        <w:r w:rsidR="00D12BAD" w:rsidRPr="009F171F">
          <w:rPr>
            <w:b/>
            <w:bCs/>
          </w:rPr>
          <w:instrText xml:space="preserve"> PAGE   \* MERGEFORMAT </w:instrText>
        </w:r>
        <w:r w:rsidR="00D12BAD" w:rsidRPr="009F171F">
          <w:rPr>
            <w:b/>
            <w:bCs/>
          </w:rPr>
          <w:fldChar w:fldCharType="separate"/>
        </w:r>
        <w:r w:rsidR="00D12BAD" w:rsidRPr="009F171F">
          <w:rPr>
            <w:b/>
            <w:bCs/>
            <w:noProof/>
          </w:rPr>
          <w:t>2</w:t>
        </w:r>
        <w:r w:rsidR="00D12BAD" w:rsidRPr="009F171F">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8F75" w14:textId="77777777" w:rsidR="00A86E9E" w:rsidRDefault="00A86E9E" w:rsidP="00124A51">
      <w:r>
        <w:separator/>
      </w:r>
    </w:p>
    <w:p w14:paraId="204E6F92" w14:textId="77777777" w:rsidR="00A86E9E" w:rsidRDefault="00A86E9E"/>
    <w:p w14:paraId="7C1AF573" w14:textId="77777777" w:rsidR="00A86E9E" w:rsidRDefault="00A86E9E"/>
  </w:footnote>
  <w:footnote w:type="continuationSeparator" w:id="0">
    <w:p w14:paraId="1285B72E" w14:textId="77777777" w:rsidR="00A86E9E" w:rsidRDefault="00A86E9E" w:rsidP="00124A51">
      <w:r>
        <w:continuationSeparator/>
      </w:r>
    </w:p>
    <w:p w14:paraId="2ED126E5" w14:textId="77777777" w:rsidR="00A86E9E" w:rsidRDefault="00A86E9E"/>
    <w:p w14:paraId="28CDE819" w14:textId="77777777" w:rsidR="00A86E9E" w:rsidRDefault="00A86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65B8E624" w:rsidR="00D12BAD" w:rsidRPr="00195452" w:rsidRDefault="006647F2" w:rsidP="003C2DE2">
    <w:pPr>
      <w:jc w:val="center"/>
      <w:rPr>
        <w:rFonts w:asciiTheme="minorHAnsi" w:hAnsiTheme="minorHAnsi"/>
        <w:i/>
        <w:color w:val="808080"/>
      </w:rPr>
    </w:pPr>
    <w:bookmarkStart w:id="64" w:name="_Hlk125386342"/>
    <w:r>
      <w:rPr>
        <w:rFonts w:asciiTheme="minorHAnsi" w:hAnsiTheme="minorHAnsi"/>
        <w:i/>
        <w:color w:val="808080"/>
      </w:rPr>
      <w:t xml:space="preserve">Public Summary Document – </w:t>
    </w:r>
    <w:r w:rsidR="00D12BAD">
      <w:rPr>
        <w:rFonts w:asciiTheme="minorHAnsi" w:hAnsiTheme="minorHAnsi"/>
        <w:i/>
        <w:color w:val="808080"/>
      </w:rPr>
      <w:t>March</w:t>
    </w:r>
    <w:r>
      <w:rPr>
        <w:rFonts w:asciiTheme="minorHAnsi" w:hAnsiTheme="minorHAnsi"/>
        <w:i/>
        <w:color w:val="808080"/>
      </w:rPr>
      <w:t xml:space="preserve"> </w:t>
    </w:r>
    <w:r w:rsidR="00D12BAD">
      <w:rPr>
        <w:rFonts w:asciiTheme="minorHAnsi" w:hAnsiTheme="minorHAnsi"/>
        <w:i/>
        <w:color w:val="808080"/>
      </w:rPr>
      <w:t xml:space="preserve">2023 </w:t>
    </w:r>
    <w:r w:rsidR="00D12BAD" w:rsidRPr="00195452">
      <w:rPr>
        <w:rFonts w:asciiTheme="minorHAnsi" w:hAnsiTheme="minorHAnsi"/>
        <w:i/>
        <w:color w:val="808080"/>
      </w:rPr>
      <w:t>PBAC Meeting</w:t>
    </w:r>
  </w:p>
  <w:bookmarkEnd w:id="64"/>
  <w:p w14:paraId="03AF943B" w14:textId="77777777" w:rsidR="00D12BAD" w:rsidRPr="008C7ECB" w:rsidRDefault="00D12B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66D7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219F8"/>
    <w:multiLevelType w:val="hybridMultilevel"/>
    <w:tmpl w:val="8C2E3960"/>
    <w:lvl w:ilvl="0" w:tplc="607E253A">
      <w:start w:val="1"/>
      <w:numFmt w:val="bullet"/>
      <w:pStyle w:val="COMexecsummmainissues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31C2B"/>
    <w:multiLevelType w:val="hybridMultilevel"/>
    <w:tmpl w:val="3F3EB374"/>
    <w:lvl w:ilvl="0" w:tplc="C5861872">
      <w:start w:val="1"/>
      <w:numFmt w:val="lowerRoman"/>
      <w:pStyle w:val="TableBullets"/>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B1F3B"/>
    <w:multiLevelType w:val="hybridMultilevel"/>
    <w:tmpl w:val="82D000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3"/>
  </w:num>
  <w:num w:numId="4">
    <w:abstractNumId w:val="0"/>
  </w:num>
  <w:num w:numId="5">
    <w:abstractNumId w:val="6"/>
  </w:num>
  <w:num w:numId="6">
    <w:abstractNumId w:val="1"/>
  </w:num>
  <w:num w:numId="7">
    <w:abstractNumId w:val="4"/>
  </w:num>
  <w:num w:numId="8">
    <w:abstractNumId w:val="5"/>
  </w:num>
  <w:num w:numId="9">
    <w:abstractNumId w:val="6"/>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E19"/>
    <w:rsid w:val="0000110B"/>
    <w:rsid w:val="0000115B"/>
    <w:rsid w:val="00001AC3"/>
    <w:rsid w:val="00001B4C"/>
    <w:rsid w:val="0000200D"/>
    <w:rsid w:val="0000210E"/>
    <w:rsid w:val="000026AF"/>
    <w:rsid w:val="000027A3"/>
    <w:rsid w:val="00003499"/>
    <w:rsid w:val="000039B7"/>
    <w:rsid w:val="00003A8C"/>
    <w:rsid w:val="000041D9"/>
    <w:rsid w:val="000056B9"/>
    <w:rsid w:val="000056CF"/>
    <w:rsid w:val="0000639A"/>
    <w:rsid w:val="00006E7B"/>
    <w:rsid w:val="00012257"/>
    <w:rsid w:val="00012B00"/>
    <w:rsid w:val="00012CAA"/>
    <w:rsid w:val="00012D2C"/>
    <w:rsid w:val="00013247"/>
    <w:rsid w:val="000135A3"/>
    <w:rsid w:val="000148D0"/>
    <w:rsid w:val="00015886"/>
    <w:rsid w:val="00015913"/>
    <w:rsid w:val="000162EF"/>
    <w:rsid w:val="000165D4"/>
    <w:rsid w:val="000173E3"/>
    <w:rsid w:val="00017CFC"/>
    <w:rsid w:val="000207C9"/>
    <w:rsid w:val="0002225F"/>
    <w:rsid w:val="0002278F"/>
    <w:rsid w:val="00023763"/>
    <w:rsid w:val="000239DD"/>
    <w:rsid w:val="00023AA2"/>
    <w:rsid w:val="00023AB6"/>
    <w:rsid w:val="0002408A"/>
    <w:rsid w:val="000241A0"/>
    <w:rsid w:val="00024EB5"/>
    <w:rsid w:val="0002581F"/>
    <w:rsid w:val="00025B30"/>
    <w:rsid w:val="00025EA4"/>
    <w:rsid w:val="000260EB"/>
    <w:rsid w:val="000274B8"/>
    <w:rsid w:val="00027FF1"/>
    <w:rsid w:val="00030A1B"/>
    <w:rsid w:val="000313FD"/>
    <w:rsid w:val="00032D9F"/>
    <w:rsid w:val="000332FF"/>
    <w:rsid w:val="00033315"/>
    <w:rsid w:val="00033863"/>
    <w:rsid w:val="00034D61"/>
    <w:rsid w:val="00035DC0"/>
    <w:rsid w:val="00036829"/>
    <w:rsid w:val="00036E43"/>
    <w:rsid w:val="00037039"/>
    <w:rsid w:val="0003756F"/>
    <w:rsid w:val="00040860"/>
    <w:rsid w:val="00040895"/>
    <w:rsid w:val="00040A9A"/>
    <w:rsid w:val="000410A0"/>
    <w:rsid w:val="00041702"/>
    <w:rsid w:val="000435EE"/>
    <w:rsid w:val="00043C37"/>
    <w:rsid w:val="00043EB5"/>
    <w:rsid w:val="00045017"/>
    <w:rsid w:val="00045A2B"/>
    <w:rsid w:val="000463C7"/>
    <w:rsid w:val="000463F8"/>
    <w:rsid w:val="0004698F"/>
    <w:rsid w:val="00046D64"/>
    <w:rsid w:val="000470FE"/>
    <w:rsid w:val="000508C2"/>
    <w:rsid w:val="00051509"/>
    <w:rsid w:val="00052FF8"/>
    <w:rsid w:val="000539D0"/>
    <w:rsid w:val="00053AA9"/>
    <w:rsid w:val="00053B4E"/>
    <w:rsid w:val="00054621"/>
    <w:rsid w:val="000546D7"/>
    <w:rsid w:val="00054A8D"/>
    <w:rsid w:val="00054FB6"/>
    <w:rsid w:val="00055F5E"/>
    <w:rsid w:val="00056ECF"/>
    <w:rsid w:val="000604DF"/>
    <w:rsid w:val="00060929"/>
    <w:rsid w:val="00061B12"/>
    <w:rsid w:val="00061B4F"/>
    <w:rsid w:val="00062324"/>
    <w:rsid w:val="0006273D"/>
    <w:rsid w:val="00064898"/>
    <w:rsid w:val="00064F50"/>
    <w:rsid w:val="000653B5"/>
    <w:rsid w:val="000659F8"/>
    <w:rsid w:val="00066360"/>
    <w:rsid w:val="00066AF8"/>
    <w:rsid w:val="000707BD"/>
    <w:rsid w:val="0007085A"/>
    <w:rsid w:val="00071248"/>
    <w:rsid w:val="00071B98"/>
    <w:rsid w:val="000720B9"/>
    <w:rsid w:val="00072F9B"/>
    <w:rsid w:val="000737F7"/>
    <w:rsid w:val="0007429E"/>
    <w:rsid w:val="00074FCE"/>
    <w:rsid w:val="000750A0"/>
    <w:rsid w:val="0007516C"/>
    <w:rsid w:val="00075AFC"/>
    <w:rsid w:val="0007672F"/>
    <w:rsid w:val="00076B54"/>
    <w:rsid w:val="00076D6E"/>
    <w:rsid w:val="0007729B"/>
    <w:rsid w:val="000774F0"/>
    <w:rsid w:val="00080330"/>
    <w:rsid w:val="00080370"/>
    <w:rsid w:val="00080909"/>
    <w:rsid w:val="00080BC0"/>
    <w:rsid w:val="000812CA"/>
    <w:rsid w:val="000815BE"/>
    <w:rsid w:val="00081E63"/>
    <w:rsid w:val="00082222"/>
    <w:rsid w:val="0008258D"/>
    <w:rsid w:val="00082658"/>
    <w:rsid w:val="000829A9"/>
    <w:rsid w:val="00082B26"/>
    <w:rsid w:val="00083856"/>
    <w:rsid w:val="00083E99"/>
    <w:rsid w:val="0008408D"/>
    <w:rsid w:val="000842A3"/>
    <w:rsid w:val="00084FA8"/>
    <w:rsid w:val="000856C5"/>
    <w:rsid w:val="00085A1A"/>
    <w:rsid w:val="00085C31"/>
    <w:rsid w:val="00086263"/>
    <w:rsid w:val="000866CB"/>
    <w:rsid w:val="00086C2E"/>
    <w:rsid w:val="000871FE"/>
    <w:rsid w:val="000902D9"/>
    <w:rsid w:val="000907E4"/>
    <w:rsid w:val="00090999"/>
    <w:rsid w:val="00090C08"/>
    <w:rsid w:val="00090C7E"/>
    <w:rsid w:val="00090E27"/>
    <w:rsid w:val="000911AC"/>
    <w:rsid w:val="000914F6"/>
    <w:rsid w:val="00092600"/>
    <w:rsid w:val="0009262B"/>
    <w:rsid w:val="000929D2"/>
    <w:rsid w:val="00093310"/>
    <w:rsid w:val="00093A2A"/>
    <w:rsid w:val="00093E6B"/>
    <w:rsid w:val="0009445C"/>
    <w:rsid w:val="0009496B"/>
    <w:rsid w:val="00094BF9"/>
    <w:rsid w:val="00095200"/>
    <w:rsid w:val="00095FE5"/>
    <w:rsid w:val="00095FF0"/>
    <w:rsid w:val="00096284"/>
    <w:rsid w:val="000962F3"/>
    <w:rsid w:val="0009631B"/>
    <w:rsid w:val="00096626"/>
    <w:rsid w:val="000A05C0"/>
    <w:rsid w:val="000A1236"/>
    <w:rsid w:val="000A1BB8"/>
    <w:rsid w:val="000A1BC0"/>
    <w:rsid w:val="000A2F9E"/>
    <w:rsid w:val="000A3E47"/>
    <w:rsid w:val="000A4368"/>
    <w:rsid w:val="000A4992"/>
    <w:rsid w:val="000A522B"/>
    <w:rsid w:val="000A5823"/>
    <w:rsid w:val="000A59B4"/>
    <w:rsid w:val="000A5FE4"/>
    <w:rsid w:val="000A6039"/>
    <w:rsid w:val="000A66E3"/>
    <w:rsid w:val="000A68BC"/>
    <w:rsid w:val="000A6BB4"/>
    <w:rsid w:val="000A72BA"/>
    <w:rsid w:val="000A7453"/>
    <w:rsid w:val="000A75FA"/>
    <w:rsid w:val="000A7C18"/>
    <w:rsid w:val="000A7D08"/>
    <w:rsid w:val="000B0121"/>
    <w:rsid w:val="000B01AA"/>
    <w:rsid w:val="000B0670"/>
    <w:rsid w:val="000B0A3F"/>
    <w:rsid w:val="000B0C49"/>
    <w:rsid w:val="000B0E15"/>
    <w:rsid w:val="000B0E75"/>
    <w:rsid w:val="000B1524"/>
    <w:rsid w:val="000B1B94"/>
    <w:rsid w:val="000B269F"/>
    <w:rsid w:val="000B2DCB"/>
    <w:rsid w:val="000B4108"/>
    <w:rsid w:val="000B5276"/>
    <w:rsid w:val="000B5293"/>
    <w:rsid w:val="000B55A9"/>
    <w:rsid w:val="000B5CE0"/>
    <w:rsid w:val="000B6CAC"/>
    <w:rsid w:val="000B7612"/>
    <w:rsid w:val="000B7763"/>
    <w:rsid w:val="000B785E"/>
    <w:rsid w:val="000B78AE"/>
    <w:rsid w:val="000C01E1"/>
    <w:rsid w:val="000C3A4A"/>
    <w:rsid w:val="000C3DCD"/>
    <w:rsid w:val="000C3DF9"/>
    <w:rsid w:val="000C4BBF"/>
    <w:rsid w:val="000C4CF2"/>
    <w:rsid w:val="000C4D4A"/>
    <w:rsid w:val="000C4D64"/>
    <w:rsid w:val="000C6694"/>
    <w:rsid w:val="000C6713"/>
    <w:rsid w:val="000C6A29"/>
    <w:rsid w:val="000C6E87"/>
    <w:rsid w:val="000C76A2"/>
    <w:rsid w:val="000D0777"/>
    <w:rsid w:val="000D1BFC"/>
    <w:rsid w:val="000D1D5D"/>
    <w:rsid w:val="000D24D5"/>
    <w:rsid w:val="000D281A"/>
    <w:rsid w:val="000D2848"/>
    <w:rsid w:val="000D326A"/>
    <w:rsid w:val="000D3CD7"/>
    <w:rsid w:val="000D3F5B"/>
    <w:rsid w:val="000D40AD"/>
    <w:rsid w:val="000D51FB"/>
    <w:rsid w:val="000D528C"/>
    <w:rsid w:val="000D5545"/>
    <w:rsid w:val="000D6291"/>
    <w:rsid w:val="000D6784"/>
    <w:rsid w:val="000D6F50"/>
    <w:rsid w:val="000E02CD"/>
    <w:rsid w:val="000E04E7"/>
    <w:rsid w:val="000E05CD"/>
    <w:rsid w:val="000E0640"/>
    <w:rsid w:val="000E135D"/>
    <w:rsid w:val="000E244C"/>
    <w:rsid w:val="000E3382"/>
    <w:rsid w:val="000E47FC"/>
    <w:rsid w:val="000E49BC"/>
    <w:rsid w:val="000E4C88"/>
    <w:rsid w:val="000E4E5C"/>
    <w:rsid w:val="000E51E9"/>
    <w:rsid w:val="000E55D7"/>
    <w:rsid w:val="000F00BA"/>
    <w:rsid w:val="000F01B5"/>
    <w:rsid w:val="000F0591"/>
    <w:rsid w:val="000F0A08"/>
    <w:rsid w:val="000F1967"/>
    <w:rsid w:val="000F2438"/>
    <w:rsid w:val="000F316A"/>
    <w:rsid w:val="000F3C74"/>
    <w:rsid w:val="000F40DC"/>
    <w:rsid w:val="000F4721"/>
    <w:rsid w:val="000F4BB8"/>
    <w:rsid w:val="000F4FA9"/>
    <w:rsid w:val="000F53FB"/>
    <w:rsid w:val="000F7127"/>
    <w:rsid w:val="000F7228"/>
    <w:rsid w:val="000F7B54"/>
    <w:rsid w:val="001000B3"/>
    <w:rsid w:val="001003B9"/>
    <w:rsid w:val="00100F8A"/>
    <w:rsid w:val="0010153E"/>
    <w:rsid w:val="0010239D"/>
    <w:rsid w:val="00103931"/>
    <w:rsid w:val="0010452E"/>
    <w:rsid w:val="0010464E"/>
    <w:rsid w:val="001057C3"/>
    <w:rsid w:val="00105AE2"/>
    <w:rsid w:val="001060C6"/>
    <w:rsid w:val="001064BA"/>
    <w:rsid w:val="00106A6E"/>
    <w:rsid w:val="00106B80"/>
    <w:rsid w:val="00106BAC"/>
    <w:rsid w:val="001071F3"/>
    <w:rsid w:val="00107ED5"/>
    <w:rsid w:val="0011032E"/>
    <w:rsid w:val="00111089"/>
    <w:rsid w:val="0011185F"/>
    <w:rsid w:val="001119EB"/>
    <w:rsid w:val="00112309"/>
    <w:rsid w:val="00112567"/>
    <w:rsid w:val="00113488"/>
    <w:rsid w:val="0011348B"/>
    <w:rsid w:val="00113DEA"/>
    <w:rsid w:val="00114991"/>
    <w:rsid w:val="001155A7"/>
    <w:rsid w:val="00115982"/>
    <w:rsid w:val="00116C53"/>
    <w:rsid w:val="00117A55"/>
    <w:rsid w:val="00120058"/>
    <w:rsid w:val="0012050B"/>
    <w:rsid w:val="00120FC7"/>
    <w:rsid w:val="00121109"/>
    <w:rsid w:val="00121353"/>
    <w:rsid w:val="00121799"/>
    <w:rsid w:val="001222FC"/>
    <w:rsid w:val="0012273A"/>
    <w:rsid w:val="0012275F"/>
    <w:rsid w:val="00123902"/>
    <w:rsid w:val="00124A51"/>
    <w:rsid w:val="001255A9"/>
    <w:rsid w:val="0012581F"/>
    <w:rsid w:val="00125F52"/>
    <w:rsid w:val="00126621"/>
    <w:rsid w:val="00126B1D"/>
    <w:rsid w:val="00127990"/>
    <w:rsid w:val="001301E9"/>
    <w:rsid w:val="00131D82"/>
    <w:rsid w:val="00132B22"/>
    <w:rsid w:val="00133CA8"/>
    <w:rsid w:val="00133D36"/>
    <w:rsid w:val="00133F71"/>
    <w:rsid w:val="00135E22"/>
    <w:rsid w:val="00136EA7"/>
    <w:rsid w:val="00137645"/>
    <w:rsid w:val="00137FCD"/>
    <w:rsid w:val="0014015A"/>
    <w:rsid w:val="00140E99"/>
    <w:rsid w:val="00141016"/>
    <w:rsid w:val="001418A7"/>
    <w:rsid w:val="001424DA"/>
    <w:rsid w:val="001434ED"/>
    <w:rsid w:val="0014390B"/>
    <w:rsid w:val="00143F67"/>
    <w:rsid w:val="0014409A"/>
    <w:rsid w:val="00145234"/>
    <w:rsid w:val="00145540"/>
    <w:rsid w:val="001456B0"/>
    <w:rsid w:val="00145F2A"/>
    <w:rsid w:val="0014649A"/>
    <w:rsid w:val="0014749D"/>
    <w:rsid w:val="00147696"/>
    <w:rsid w:val="00150D18"/>
    <w:rsid w:val="0015102C"/>
    <w:rsid w:val="0015187D"/>
    <w:rsid w:val="0015249F"/>
    <w:rsid w:val="00152876"/>
    <w:rsid w:val="00152960"/>
    <w:rsid w:val="001531BA"/>
    <w:rsid w:val="00153D46"/>
    <w:rsid w:val="001547AB"/>
    <w:rsid w:val="00154884"/>
    <w:rsid w:val="00156736"/>
    <w:rsid w:val="00156F8F"/>
    <w:rsid w:val="00157130"/>
    <w:rsid w:val="001576B1"/>
    <w:rsid w:val="0016047B"/>
    <w:rsid w:val="00160556"/>
    <w:rsid w:val="001608CD"/>
    <w:rsid w:val="00160A4C"/>
    <w:rsid w:val="001626C5"/>
    <w:rsid w:val="00162913"/>
    <w:rsid w:val="00162988"/>
    <w:rsid w:val="00163DB3"/>
    <w:rsid w:val="00163E81"/>
    <w:rsid w:val="00163EFF"/>
    <w:rsid w:val="00163F66"/>
    <w:rsid w:val="0016478E"/>
    <w:rsid w:val="0016503C"/>
    <w:rsid w:val="00165EC4"/>
    <w:rsid w:val="001661FB"/>
    <w:rsid w:val="001671A0"/>
    <w:rsid w:val="0016767F"/>
    <w:rsid w:val="00170479"/>
    <w:rsid w:val="001707E6"/>
    <w:rsid w:val="00171893"/>
    <w:rsid w:val="00171995"/>
    <w:rsid w:val="0017336C"/>
    <w:rsid w:val="00173565"/>
    <w:rsid w:val="00173586"/>
    <w:rsid w:val="00173B07"/>
    <w:rsid w:val="001740D0"/>
    <w:rsid w:val="001751FA"/>
    <w:rsid w:val="00175989"/>
    <w:rsid w:val="00180C6E"/>
    <w:rsid w:val="00181146"/>
    <w:rsid w:val="00181192"/>
    <w:rsid w:val="001811D6"/>
    <w:rsid w:val="00181C10"/>
    <w:rsid w:val="00181D9C"/>
    <w:rsid w:val="00182855"/>
    <w:rsid w:val="001837FF"/>
    <w:rsid w:val="00184442"/>
    <w:rsid w:val="00184B0E"/>
    <w:rsid w:val="00186580"/>
    <w:rsid w:val="0018752F"/>
    <w:rsid w:val="00187FAA"/>
    <w:rsid w:val="00190108"/>
    <w:rsid w:val="001901E2"/>
    <w:rsid w:val="001902A0"/>
    <w:rsid w:val="00191364"/>
    <w:rsid w:val="00191675"/>
    <w:rsid w:val="00191E26"/>
    <w:rsid w:val="00192AA9"/>
    <w:rsid w:val="00193838"/>
    <w:rsid w:val="00194AD8"/>
    <w:rsid w:val="00195222"/>
    <w:rsid w:val="001953C2"/>
    <w:rsid w:val="00195452"/>
    <w:rsid w:val="001964EF"/>
    <w:rsid w:val="00197514"/>
    <w:rsid w:val="001975D8"/>
    <w:rsid w:val="00197C35"/>
    <w:rsid w:val="001A147C"/>
    <w:rsid w:val="001A178E"/>
    <w:rsid w:val="001A236F"/>
    <w:rsid w:val="001A23A4"/>
    <w:rsid w:val="001A2C71"/>
    <w:rsid w:val="001A43FA"/>
    <w:rsid w:val="001A4489"/>
    <w:rsid w:val="001A47C5"/>
    <w:rsid w:val="001A59FB"/>
    <w:rsid w:val="001A5E9E"/>
    <w:rsid w:val="001A61E1"/>
    <w:rsid w:val="001A6354"/>
    <w:rsid w:val="001A6366"/>
    <w:rsid w:val="001A6866"/>
    <w:rsid w:val="001A7855"/>
    <w:rsid w:val="001A7984"/>
    <w:rsid w:val="001A7AE8"/>
    <w:rsid w:val="001B1389"/>
    <w:rsid w:val="001B1C06"/>
    <w:rsid w:val="001B204E"/>
    <w:rsid w:val="001B2185"/>
    <w:rsid w:val="001B2372"/>
    <w:rsid w:val="001B26CD"/>
    <w:rsid w:val="001B284D"/>
    <w:rsid w:val="001B2F8C"/>
    <w:rsid w:val="001B314F"/>
    <w:rsid w:val="001B3443"/>
    <w:rsid w:val="001B4C02"/>
    <w:rsid w:val="001B4D20"/>
    <w:rsid w:val="001B4DF3"/>
    <w:rsid w:val="001B5172"/>
    <w:rsid w:val="001B6D81"/>
    <w:rsid w:val="001B7E11"/>
    <w:rsid w:val="001B7F84"/>
    <w:rsid w:val="001C21A4"/>
    <w:rsid w:val="001C2A9B"/>
    <w:rsid w:val="001C2C8D"/>
    <w:rsid w:val="001C2E26"/>
    <w:rsid w:val="001C338F"/>
    <w:rsid w:val="001C3DD6"/>
    <w:rsid w:val="001C4123"/>
    <w:rsid w:val="001C4299"/>
    <w:rsid w:val="001C4874"/>
    <w:rsid w:val="001C5F94"/>
    <w:rsid w:val="001C6DB7"/>
    <w:rsid w:val="001C6E66"/>
    <w:rsid w:val="001C7BD8"/>
    <w:rsid w:val="001D04C6"/>
    <w:rsid w:val="001D09EA"/>
    <w:rsid w:val="001D1100"/>
    <w:rsid w:val="001D1391"/>
    <w:rsid w:val="001D25D7"/>
    <w:rsid w:val="001D2A0A"/>
    <w:rsid w:val="001D3918"/>
    <w:rsid w:val="001D3CE6"/>
    <w:rsid w:val="001D4FC9"/>
    <w:rsid w:val="001D50B2"/>
    <w:rsid w:val="001D571D"/>
    <w:rsid w:val="001D57B5"/>
    <w:rsid w:val="001D59FA"/>
    <w:rsid w:val="001D6B9B"/>
    <w:rsid w:val="001D6E80"/>
    <w:rsid w:val="001D71F4"/>
    <w:rsid w:val="001D7645"/>
    <w:rsid w:val="001E03CD"/>
    <w:rsid w:val="001E0947"/>
    <w:rsid w:val="001E1E86"/>
    <w:rsid w:val="001E226F"/>
    <w:rsid w:val="001E238E"/>
    <w:rsid w:val="001E2483"/>
    <w:rsid w:val="001E25F8"/>
    <w:rsid w:val="001E2613"/>
    <w:rsid w:val="001E2B1E"/>
    <w:rsid w:val="001E2CE2"/>
    <w:rsid w:val="001E2CFF"/>
    <w:rsid w:val="001E2F24"/>
    <w:rsid w:val="001E30D4"/>
    <w:rsid w:val="001E34DF"/>
    <w:rsid w:val="001E47F9"/>
    <w:rsid w:val="001E52EB"/>
    <w:rsid w:val="001E5678"/>
    <w:rsid w:val="001E61D2"/>
    <w:rsid w:val="001E740C"/>
    <w:rsid w:val="001F1235"/>
    <w:rsid w:val="001F1CB3"/>
    <w:rsid w:val="001F32F0"/>
    <w:rsid w:val="001F38B5"/>
    <w:rsid w:val="001F4081"/>
    <w:rsid w:val="001F4D8C"/>
    <w:rsid w:val="001F5B42"/>
    <w:rsid w:val="001F5FA6"/>
    <w:rsid w:val="001F6151"/>
    <w:rsid w:val="001F6FF8"/>
    <w:rsid w:val="001F7361"/>
    <w:rsid w:val="00200103"/>
    <w:rsid w:val="002011B0"/>
    <w:rsid w:val="00201743"/>
    <w:rsid w:val="0020189B"/>
    <w:rsid w:val="00201CB4"/>
    <w:rsid w:val="00203181"/>
    <w:rsid w:val="00203351"/>
    <w:rsid w:val="00203783"/>
    <w:rsid w:val="0020381A"/>
    <w:rsid w:val="0020385F"/>
    <w:rsid w:val="00204C10"/>
    <w:rsid w:val="002051C5"/>
    <w:rsid w:val="002068A0"/>
    <w:rsid w:val="002068E0"/>
    <w:rsid w:val="002069D7"/>
    <w:rsid w:val="00207021"/>
    <w:rsid w:val="0020732F"/>
    <w:rsid w:val="00207C43"/>
    <w:rsid w:val="00207C72"/>
    <w:rsid w:val="00207D00"/>
    <w:rsid w:val="002105C1"/>
    <w:rsid w:val="002116FD"/>
    <w:rsid w:val="00211824"/>
    <w:rsid w:val="00212FDA"/>
    <w:rsid w:val="00213EF5"/>
    <w:rsid w:val="00214A44"/>
    <w:rsid w:val="00215AD8"/>
    <w:rsid w:val="002160B3"/>
    <w:rsid w:val="00216177"/>
    <w:rsid w:val="002163D8"/>
    <w:rsid w:val="00216BF5"/>
    <w:rsid w:val="00217048"/>
    <w:rsid w:val="00217E9A"/>
    <w:rsid w:val="00220565"/>
    <w:rsid w:val="00221C5E"/>
    <w:rsid w:val="0022279D"/>
    <w:rsid w:val="00222E8E"/>
    <w:rsid w:val="00223B49"/>
    <w:rsid w:val="00223D5A"/>
    <w:rsid w:val="002247F2"/>
    <w:rsid w:val="00224DD4"/>
    <w:rsid w:val="002259F8"/>
    <w:rsid w:val="00225EA2"/>
    <w:rsid w:val="00226425"/>
    <w:rsid w:val="0022669C"/>
    <w:rsid w:val="002278A0"/>
    <w:rsid w:val="00227CBF"/>
    <w:rsid w:val="00227CE0"/>
    <w:rsid w:val="0023032D"/>
    <w:rsid w:val="002309CC"/>
    <w:rsid w:val="00230FCC"/>
    <w:rsid w:val="0023103A"/>
    <w:rsid w:val="002310FE"/>
    <w:rsid w:val="00231BA9"/>
    <w:rsid w:val="0023209F"/>
    <w:rsid w:val="00232B10"/>
    <w:rsid w:val="00232DA2"/>
    <w:rsid w:val="00233C01"/>
    <w:rsid w:val="0023413C"/>
    <w:rsid w:val="002346F0"/>
    <w:rsid w:val="0023518B"/>
    <w:rsid w:val="00235564"/>
    <w:rsid w:val="00235739"/>
    <w:rsid w:val="0023629D"/>
    <w:rsid w:val="0023715B"/>
    <w:rsid w:val="00237255"/>
    <w:rsid w:val="00240B17"/>
    <w:rsid w:val="00241DAD"/>
    <w:rsid w:val="00242162"/>
    <w:rsid w:val="002424AF"/>
    <w:rsid w:val="002439DC"/>
    <w:rsid w:val="002441D2"/>
    <w:rsid w:val="00244DC8"/>
    <w:rsid w:val="00245109"/>
    <w:rsid w:val="00245258"/>
    <w:rsid w:val="002458BA"/>
    <w:rsid w:val="00245CE9"/>
    <w:rsid w:val="0024636C"/>
    <w:rsid w:val="00246ED1"/>
    <w:rsid w:val="00247500"/>
    <w:rsid w:val="00247925"/>
    <w:rsid w:val="00247BE3"/>
    <w:rsid w:val="00247BF6"/>
    <w:rsid w:val="00251006"/>
    <w:rsid w:val="002524D5"/>
    <w:rsid w:val="00252D47"/>
    <w:rsid w:val="00253384"/>
    <w:rsid w:val="002537DC"/>
    <w:rsid w:val="002539DD"/>
    <w:rsid w:val="00253B07"/>
    <w:rsid w:val="00253B1D"/>
    <w:rsid w:val="00254490"/>
    <w:rsid w:val="00254DCF"/>
    <w:rsid w:val="0025534B"/>
    <w:rsid w:val="00255564"/>
    <w:rsid w:val="00255BB7"/>
    <w:rsid w:val="0025657A"/>
    <w:rsid w:val="0025693E"/>
    <w:rsid w:val="00256CCD"/>
    <w:rsid w:val="00256E1C"/>
    <w:rsid w:val="00257541"/>
    <w:rsid w:val="00257A39"/>
    <w:rsid w:val="00257AC4"/>
    <w:rsid w:val="00257BBE"/>
    <w:rsid w:val="00260007"/>
    <w:rsid w:val="00261EEF"/>
    <w:rsid w:val="00261F42"/>
    <w:rsid w:val="00262139"/>
    <w:rsid w:val="00262A06"/>
    <w:rsid w:val="00262A1A"/>
    <w:rsid w:val="00262A87"/>
    <w:rsid w:val="00263F7F"/>
    <w:rsid w:val="00264D26"/>
    <w:rsid w:val="00266702"/>
    <w:rsid w:val="00266BF4"/>
    <w:rsid w:val="00266E53"/>
    <w:rsid w:val="00267642"/>
    <w:rsid w:val="0026788D"/>
    <w:rsid w:val="00267925"/>
    <w:rsid w:val="00267AEA"/>
    <w:rsid w:val="00267BF2"/>
    <w:rsid w:val="002700E6"/>
    <w:rsid w:val="00271BA1"/>
    <w:rsid w:val="002728F2"/>
    <w:rsid w:val="0027294B"/>
    <w:rsid w:val="00272CF7"/>
    <w:rsid w:val="00273284"/>
    <w:rsid w:val="00273C92"/>
    <w:rsid w:val="00273E3A"/>
    <w:rsid w:val="00273EB4"/>
    <w:rsid w:val="00274259"/>
    <w:rsid w:val="00274682"/>
    <w:rsid w:val="002749EC"/>
    <w:rsid w:val="00274D95"/>
    <w:rsid w:val="00275158"/>
    <w:rsid w:val="002753EE"/>
    <w:rsid w:val="00275766"/>
    <w:rsid w:val="00275C5A"/>
    <w:rsid w:val="0027686E"/>
    <w:rsid w:val="00280F1D"/>
    <w:rsid w:val="00281014"/>
    <w:rsid w:val="00282F07"/>
    <w:rsid w:val="002836FB"/>
    <w:rsid w:val="002837B1"/>
    <w:rsid w:val="0028385B"/>
    <w:rsid w:val="00284C15"/>
    <w:rsid w:val="00285122"/>
    <w:rsid w:val="00285303"/>
    <w:rsid w:val="00285BCE"/>
    <w:rsid w:val="00285DAD"/>
    <w:rsid w:val="002860C3"/>
    <w:rsid w:val="0028665D"/>
    <w:rsid w:val="0028679F"/>
    <w:rsid w:val="00286BB6"/>
    <w:rsid w:val="0028777F"/>
    <w:rsid w:val="00287D60"/>
    <w:rsid w:val="002912DA"/>
    <w:rsid w:val="002923D1"/>
    <w:rsid w:val="002929BC"/>
    <w:rsid w:val="0029341F"/>
    <w:rsid w:val="0029398B"/>
    <w:rsid w:val="0029423D"/>
    <w:rsid w:val="00294661"/>
    <w:rsid w:val="002A063E"/>
    <w:rsid w:val="002A14AB"/>
    <w:rsid w:val="002A1797"/>
    <w:rsid w:val="002A2753"/>
    <w:rsid w:val="002A2ADE"/>
    <w:rsid w:val="002A2F50"/>
    <w:rsid w:val="002A386F"/>
    <w:rsid w:val="002A4048"/>
    <w:rsid w:val="002A490C"/>
    <w:rsid w:val="002A6732"/>
    <w:rsid w:val="002A7943"/>
    <w:rsid w:val="002B05A1"/>
    <w:rsid w:val="002B09A4"/>
    <w:rsid w:val="002B18F2"/>
    <w:rsid w:val="002B1C1F"/>
    <w:rsid w:val="002B2392"/>
    <w:rsid w:val="002B3DFB"/>
    <w:rsid w:val="002B432F"/>
    <w:rsid w:val="002B62B3"/>
    <w:rsid w:val="002B62F8"/>
    <w:rsid w:val="002B6754"/>
    <w:rsid w:val="002B69CA"/>
    <w:rsid w:val="002B6CCE"/>
    <w:rsid w:val="002B6DD7"/>
    <w:rsid w:val="002B7636"/>
    <w:rsid w:val="002C0AE6"/>
    <w:rsid w:val="002C0B9C"/>
    <w:rsid w:val="002C2422"/>
    <w:rsid w:val="002C2510"/>
    <w:rsid w:val="002C2775"/>
    <w:rsid w:val="002C27C1"/>
    <w:rsid w:val="002C36E3"/>
    <w:rsid w:val="002C3915"/>
    <w:rsid w:val="002C3CAC"/>
    <w:rsid w:val="002C4658"/>
    <w:rsid w:val="002C4B73"/>
    <w:rsid w:val="002C4BBA"/>
    <w:rsid w:val="002C5099"/>
    <w:rsid w:val="002C5889"/>
    <w:rsid w:val="002C5B9B"/>
    <w:rsid w:val="002C65A0"/>
    <w:rsid w:val="002C6793"/>
    <w:rsid w:val="002C6900"/>
    <w:rsid w:val="002C71CE"/>
    <w:rsid w:val="002D04F1"/>
    <w:rsid w:val="002D08F8"/>
    <w:rsid w:val="002D2465"/>
    <w:rsid w:val="002D24EF"/>
    <w:rsid w:val="002D3136"/>
    <w:rsid w:val="002D359C"/>
    <w:rsid w:val="002D3827"/>
    <w:rsid w:val="002D4600"/>
    <w:rsid w:val="002D577C"/>
    <w:rsid w:val="002D7447"/>
    <w:rsid w:val="002D7832"/>
    <w:rsid w:val="002E0354"/>
    <w:rsid w:val="002E0E5B"/>
    <w:rsid w:val="002E1071"/>
    <w:rsid w:val="002E121E"/>
    <w:rsid w:val="002E15B9"/>
    <w:rsid w:val="002E15E9"/>
    <w:rsid w:val="002E1DBA"/>
    <w:rsid w:val="002E2158"/>
    <w:rsid w:val="002E3158"/>
    <w:rsid w:val="002E4B4E"/>
    <w:rsid w:val="002E4F02"/>
    <w:rsid w:val="002E5FB2"/>
    <w:rsid w:val="002E6F78"/>
    <w:rsid w:val="002E7722"/>
    <w:rsid w:val="002F01FA"/>
    <w:rsid w:val="002F020C"/>
    <w:rsid w:val="002F07BA"/>
    <w:rsid w:val="002F0DA9"/>
    <w:rsid w:val="002F1014"/>
    <w:rsid w:val="002F187E"/>
    <w:rsid w:val="002F1E3B"/>
    <w:rsid w:val="002F2949"/>
    <w:rsid w:val="002F2D7D"/>
    <w:rsid w:val="002F37ED"/>
    <w:rsid w:val="002F50C3"/>
    <w:rsid w:val="002F53AA"/>
    <w:rsid w:val="002F637C"/>
    <w:rsid w:val="002F643C"/>
    <w:rsid w:val="002F71C0"/>
    <w:rsid w:val="002F72B9"/>
    <w:rsid w:val="002F74F1"/>
    <w:rsid w:val="002F76F4"/>
    <w:rsid w:val="00301017"/>
    <w:rsid w:val="0030124D"/>
    <w:rsid w:val="003013DC"/>
    <w:rsid w:val="0030155F"/>
    <w:rsid w:val="00303254"/>
    <w:rsid w:val="003037B1"/>
    <w:rsid w:val="003049C1"/>
    <w:rsid w:val="0030587B"/>
    <w:rsid w:val="00305FDC"/>
    <w:rsid w:val="00306D98"/>
    <w:rsid w:val="0030786C"/>
    <w:rsid w:val="00307FEC"/>
    <w:rsid w:val="0031031A"/>
    <w:rsid w:val="00310981"/>
    <w:rsid w:val="003109E3"/>
    <w:rsid w:val="00310A10"/>
    <w:rsid w:val="00311295"/>
    <w:rsid w:val="00311D9B"/>
    <w:rsid w:val="003123CC"/>
    <w:rsid w:val="003124D9"/>
    <w:rsid w:val="00312594"/>
    <w:rsid w:val="00313331"/>
    <w:rsid w:val="00313746"/>
    <w:rsid w:val="00313A31"/>
    <w:rsid w:val="00314541"/>
    <w:rsid w:val="00314A49"/>
    <w:rsid w:val="00315498"/>
    <w:rsid w:val="0031571A"/>
    <w:rsid w:val="003159DE"/>
    <w:rsid w:val="00316474"/>
    <w:rsid w:val="00316913"/>
    <w:rsid w:val="00316D8D"/>
    <w:rsid w:val="00317619"/>
    <w:rsid w:val="0032036B"/>
    <w:rsid w:val="00320BEA"/>
    <w:rsid w:val="0032198F"/>
    <w:rsid w:val="00322107"/>
    <w:rsid w:val="00322355"/>
    <w:rsid w:val="00322846"/>
    <w:rsid w:val="0032299C"/>
    <w:rsid w:val="00322B45"/>
    <w:rsid w:val="00323745"/>
    <w:rsid w:val="003248BB"/>
    <w:rsid w:val="00326DA7"/>
    <w:rsid w:val="003270D4"/>
    <w:rsid w:val="003270E4"/>
    <w:rsid w:val="0032754B"/>
    <w:rsid w:val="00330DAA"/>
    <w:rsid w:val="00330F5C"/>
    <w:rsid w:val="003317D5"/>
    <w:rsid w:val="003337F2"/>
    <w:rsid w:val="00333833"/>
    <w:rsid w:val="00333ED9"/>
    <w:rsid w:val="003352D3"/>
    <w:rsid w:val="00335A91"/>
    <w:rsid w:val="00335F0A"/>
    <w:rsid w:val="003366C9"/>
    <w:rsid w:val="003371B0"/>
    <w:rsid w:val="003373A8"/>
    <w:rsid w:val="00337D1B"/>
    <w:rsid w:val="003400C7"/>
    <w:rsid w:val="00340DF1"/>
    <w:rsid w:val="003415D1"/>
    <w:rsid w:val="00341BF4"/>
    <w:rsid w:val="003420E9"/>
    <w:rsid w:val="0034330E"/>
    <w:rsid w:val="003433BD"/>
    <w:rsid w:val="0034397E"/>
    <w:rsid w:val="0034654D"/>
    <w:rsid w:val="00346B59"/>
    <w:rsid w:val="00347C40"/>
    <w:rsid w:val="003517F9"/>
    <w:rsid w:val="00351BA9"/>
    <w:rsid w:val="00352E19"/>
    <w:rsid w:val="003534A6"/>
    <w:rsid w:val="00353D63"/>
    <w:rsid w:val="00354F64"/>
    <w:rsid w:val="00355F9E"/>
    <w:rsid w:val="0035620E"/>
    <w:rsid w:val="00356595"/>
    <w:rsid w:val="00356F97"/>
    <w:rsid w:val="003575BE"/>
    <w:rsid w:val="00357BB4"/>
    <w:rsid w:val="00360345"/>
    <w:rsid w:val="00360C47"/>
    <w:rsid w:val="00360C8C"/>
    <w:rsid w:val="00361640"/>
    <w:rsid w:val="00361A05"/>
    <w:rsid w:val="00361F6E"/>
    <w:rsid w:val="003624C4"/>
    <w:rsid w:val="00362874"/>
    <w:rsid w:val="00363995"/>
    <w:rsid w:val="00363B00"/>
    <w:rsid w:val="003654AC"/>
    <w:rsid w:val="003655A4"/>
    <w:rsid w:val="00370C82"/>
    <w:rsid w:val="003710CF"/>
    <w:rsid w:val="00371F25"/>
    <w:rsid w:val="0037246E"/>
    <w:rsid w:val="00372FFC"/>
    <w:rsid w:val="0037358A"/>
    <w:rsid w:val="00373A74"/>
    <w:rsid w:val="00373B59"/>
    <w:rsid w:val="0037509F"/>
    <w:rsid w:val="003750F6"/>
    <w:rsid w:val="003755D1"/>
    <w:rsid w:val="003760FC"/>
    <w:rsid w:val="003766BD"/>
    <w:rsid w:val="00380B09"/>
    <w:rsid w:val="00382925"/>
    <w:rsid w:val="0038307B"/>
    <w:rsid w:val="0038365C"/>
    <w:rsid w:val="0038369B"/>
    <w:rsid w:val="00383B78"/>
    <w:rsid w:val="0038576A"/>
    <w:rsid w:val="00385A9D"/>
    <w:rsid w:val="00387108"/>
    <w:rsid w:val="00387121"/>
    <w:rsid w:val="003902B1"/>
    <w:rsid w:val="003908BC"/>
    <w:rsid w:val="0039179C"/>
    <w:rsid w:val="003926A4"/>
    <w:rsid w:val="0039339E"/>
    <w:rsid w:val="003936C9"/>
    <w:rsid w:val="0039392A"/>
    <w:rsid w:val="0039438A"/>
    <w:rsid w:val="00395142"/>
    <w:rsid w:val="00395D20"/>
    <w:rsid w:val="00396896"/>
    <w:rsid w:val="00396FD0"/>
    <w:rsid w:val="0039768F"/>
    <w:rsid w:val="003A03C2"/>
    <w:rsid w:val="003A0BC5"/>
    <w:rsid w:val="003A1A7A"/>
    <w:rsid w:val="003A1F28"/>
    <w:rsid w:val="003A2120"/>
    <w:rsid w:val="003A2392"/>
    <w:rsid w:val="003A2831"/>
    <w:rsid w:val="003A290C"/>
    <w:rsid w:val="003A3960"/>
    <w:rsid w:val="003A3CB6"/>
    <w:rsid w:val="003A3ED1"/>
    <w:rsid w:val="003A3F29"/>
    <w:rsid w:val="003A44DB"/>
    <w:rsid w:val="003A4C14"/>
    <w:rsid w:val="003A515D"/>
    <w:rsid w:val="003A7836"/>
    <w:rsid w:val="003B0B3A"/>
    <w:rsid w:val="003B0BBB"/>
    <w:rsid w:val="003B23AD"/>
    <w:rsid w:val="003B2C23"/>
    <w:rsid w:val="003B3971"/>
    <w:rsid w:val="003B3FCC"/>
    <w:rsid w:val="003B442E"/>
    <w:rsid w:val="003B55D1"/>
    <w:rsid w:val="003B5637"/>
    <w:rsid w:val="003B5B61"/>
    <w:rsid w:val="003B5CF2"/>
    <w:rsid w:val="003B7402"/>
    <w:rsid w:val="003B754E"/>
    <w:rsid w:val="003B786A"/>
    <w:rsid w:val="003C1654"/>
    <w:rsid w:val="003C1F78"/>
    <w:rsid w:val="003C2174"/>
    <w:rsid w:val="003C26F6"/>
    <w:rsid w:val="003C2DE2"/>
    <w:rsid w:val="003C509E"/>
    <w:rsid w:val="003C5542"/>
    <w:rsid w:val="003C6978"/>
    <w:rsid w:val="003C718F"/>
    <w:rsid w:val="003C7C15"/>
    <w:rsid w:val="003C7CD9"/>
    <w:rsid w:val="003C7D19"/>
    <w:rsid w:val="003C7D2F"/>
    <w:rsid w:val="003D05D5"/>
    <w:rsid w:val="003D063D"/>
    <w:rsid w:val="003D0814"/>
    <w:rsid w:val="003D0C5A"/>
    <w:rsid w:val="003D0D60"/>
    <w:rsid w:val="003D1429"/>
    <w:rsid w:val="003D1828"/>
    <w:rsid w:val="003D1C13"/>
    <w:rsid w:val="003D1DE4"/>
    <w:rsid w:val="003D1E12"/>
    <w:rsid w:val="003D1E9A"/>
    <w:rsid w:val="003D2422"/>
    <w:rsid w:val="003D291E"/>
    <w:rsid w:val="003D2BCA"/>
    <w:rsid w:val="003D2D9A"/>
    <w:rsid w:val="003D39A1"/>
    <w:rsid w:val="003D3FBF"/>
    <w:rsid w:val="003D4626"/>
    <w:rsid w:val="003D490C"/>
    <w:rsid w:val="003D4A30"/>
    <w:rsid w:val="003D5652"/>
    <w:rsid w:val="003D5DA1"/>
    <w:rsid w:val="003D6730"/>
    <w:rsid w:val="003D7319"/>
    <w:rsid w:val="003D7452"/>
    <w:rsid w:val="003D79BB"/>
    <w:rsid w:val="003D7C98"/>
    <w:rsid w:val="003D7D9D"/>
    <w:rsid w:val="003E0272"/>
    <w:rsid w:val="003E04B9"/>
    <w:rsid w:val="003E0543"/>
    <w:rsid w:val="003E08A3"/>
    <w:rsid w:val="003E0BF6"/>
    <w:rsid w:val="003E22A3"/>
    <w:rsid w:val="003E2F2C"/>
    <w:rsid w:val="003E36B2"/>
    <w:rsid w:val="003E4552"/>
    <w:rsid w:val="003E4FDC"/>
    <w:rsid w:val="003E5603"/>
    <w:rsid w:val="003E68F4"/>
    <w:rsid w:val="003E6999"/>
    <w:rsid w:val="003E749E"/>
    <w:rsid w:val="003F220B"/>
    <w:rsid w:val="003F2275"/>
    <w:rsid w:val="003F38D3"/>
    <w:rsid w:val="003F4156"/>
    <w:rsid w:val="003F420B"/>
    <w:rsid w:val="003F42AD"/>
    <w:rsid w:val="003F57B5"/>
    <w:rsid w:val="003F5ADF"/>
    <w:rsid w:val="003F5D21"/>
    <w:rsid w:val="003F6AC3"/>
    <w:rsid w:val="003F74B1"/>
    <w:rsid w:val="00400982"/>
    <w:rsid w:val="00400B29"/>
    <w:rsid w:val="0040133A"/>
    <w:rsid w:val="00401DB5"/>
    <w:rsid w:val="00402812"/>
    <w:rsid w:val="0040504B"/>
    <w:rsid w:val="0040542C"/>
    <w:rsid w:val="004059F4"/>
    <w:rsid w:val="00405B91"/>
    <w:rsid w:val="00407747"/>
    <w:rsid w:val="00407FE5"/>
    <w:rsid w:val="004101B0"/>
    <w:rsid w:val="00410326"/>
    <w:rsid w:val="00410708"/>
    <w:rsid w:val="00410A42"/>
    <w:rsid w:val="00410EC7"/>
    <w:rsid w:val="00410F3E"/>
    <w:rsid w:val="00411B39"/>
    <w:rsid w:val="004127A7"/>
    <w:rsid w:val="00412C28"/>
    <w:rsid w:val="00413A1E"/>
    <w:rsid w:val="00414010"/>
    <w:rsid w:val="004140C7"/>
    <w:rsid w:val="00414476"/>
    <w:rsid w:val="00414681"/>
    <w:rsid w:val="00414999"/>
    <w:rsid w:val="00414C2E"/>
    <w:rsid w:val="00414FE8"/>
    <w:rsid w:val="004151CF"/>
    <w:rsid w:val="00415E60"/>
    <w:rsid w:val="00416364"/>
    <w:rsid w:val="00416754"/>
    <w:rsid w:val="00417CE5"/>
    <w:rsid w:val="0042047F"/>
    <w:rsid w:val="00420AA6"/>
    <w:rsid w:val="00420B9F"/>
    <w:rsid w:val="004216B8"/>
    <w:rsid w:val="0042192C"/>
    <w:rsid w:val="00422260"/>
    <w:rsid w:val="0042413F"/>
    <w:rsid w:val="00424A80"/>
    <w:rsid w:val="00424BD8"/>
    <w:rsid w:val="00426872"/>
    <w:rsid w:val="00430D67"/>
    <w:rsid w:val="004319F8"/>
    <w:rsid w:val="00431DEB"/>
    <w:rsid w:val="00431E55"/>
    <w:rsid w:val="004321F6"/>
    <w:rsid w:val="00433044"/>
    <w:rsid w:val="00434078"/>
    <w:rsid w:val="00434088"/>
    <w:rsid w:val="00434297"/>
    <w:rsid w:val="00434788"/>
    <w:rsid w:val="00434CFD"/>
    <w:rsid w:val="00434D88"/>
    <w:rsid w:val="00435659"/>
    <w:rsid w:val="00435A3B"/>
    <w:rsid w:val="004375B9"/>
    <w:rsid w:val="004408C3"/>
    <w:rsid w:val="00440D5E"/>
    <w:rsid w:val="0044167E"/>
    <w:rsid w:val="00442531"/>
    <w:rsid w:val="004428D0"/>
    <w:rsid w:val="00442ADB"/>
    <w:rsid w:val="00442C9F"/>
    <w:rsid w:val="00442D62"/>
    <w:rsid w:val="00443038"/>
    <w:rsid w:val="00444185"/>
    <w:rsid w:val="00444222"/>
    <w:rsid w:val="004443A7"/>
    <w:rsid w:val="0044442C"/>
    <w:rsid w:val="0044448E"/>
    <w:rsid w:val="0044490C"/>
    <w:rsid w:val="004450A9"/>
    <w:rsid w:val="00445941"/>
    <w:rsid w:val="004464EB"/>
    <w:rsid w:val="00446811"/>
    <w:rsid w:val="00447D26"/>
    <w:rsid w:val="00447DFC"/>
    <w:rsid w:val="00451558"/>
    <w:rsid w:val="00452A51"/>
    <w:rsid w:val="00452C95"/>
    <w:rsid w:val="00454273"/>
    <w:rsid w:val="00454EFD"/>
    <w:rsid w:val="00454F5F"/>
    <w:rsid w:val="00454F92"/>
    <w:rsid w:val="0045562F"/>
    <w:rsid w:val="00455D45"/>
    <w:rsid w:val="00456046"/>
    <w:rsid w:val="00457096"/>
    <w:rsid w:val="0046024B"/>
    <w:rsid w:val="004607D7"/>
    <w:rsid w:val="00460C04"/>
    <w:rsid w:val="00460C08"/>
    <w:rsid w:val="004610F4"/>
    <w:rsid w:val="0046192F"/>
    <w:rsid w:val="004625C6"/>
    <w:rsid w:val="0046321C"/>
    <w:rsid w:val="00464595"/>
    <w:rsid w:val="0046461A"/>
    <w:rsid w:val="00464AE6"/>
    <w:rsid w:val="004658B5"/>
    <w:rsid w:val="004664C9"/>
    <w:rsid w:val="00466862"/>
    <w:rsid w:val="00467ED7"/>
    <w:rsid w:val="00470C4C"/>
    <w:rsid w:val="00470DCA"/>
    <w:rsid w:val="0047160A"/>
    <w:rsid w:val="004719B6"/>
    <w:rsid w:val="00471B91"/>
    <w:rsid w:val="00471EA5"/>
    <w:rsid w:val="004720E1"/>
    <w:rsid w:val="004726BE"/>
    <w:rsid w:val="00472981"/>
    <w:rsid w:val="00472A79"/>
    <w:rsid w:val="00473F19"/>
    <w:rsid w:val="00475E22"/>
    <w:rsid w:val="0047728F"/>
    <w:rsid w:val="004800DA"/>
    <w:rsid w:val="00480479"/>
    <w:rsid w:val="0048088E"/>
    <w:rsid w:val="00480E9B"/>
    <w:rsid w:val="00480F2B"/>
    <w:rsid w:val="004818CA"/>
    <w:rsid w:val="004819D1"/>
    <w:rsid w:val="00482720"/>
    <w:rsid w:val="00482AAC"/>
    <w:rsid w:val="00482B5F"/>
    <w:rsid w:val="004835B6"/>
    <w:rsid w:val="004835E7"/>
    <w:rsid w:val="00483AE5"/>
    <w:rsid w:val="00484084"/>
    <w:rsid w:val="004859E1"/>
    <w:rsid w:val="00485C2C"/>
    <w:rsid w:val="00486345"/>
    <w:rsid w:val="004867E2"/>
    <w:rsid w:val="004872E8"/>
    <w:rsid w:val="00487949"/>
    <w:rsid w:val="00490B17"/>
    <w:rsid w:val="00490CE4"/>
    <w:rsid w:val="00491220"/>
    <w:rsid w:val="00491B3A"/>
    <w:rsid w:val="00492946"/>
    <w:rsid w:val="00492A89"/>
    <w:rsid w:val="00492CFD"/>
    <w:rsid w:val="00494207"/>
    <w:rsid w:val="00494BDA"/>
    <w:rsid w:val="00494DD5"/>
    <w:rsid w:val="004962D2"/>
    <w:rsid w:val="00496DEC"/>
    <w:rsid w:val="00497862"/>
    <w:rsid w:val="00497BCF"/>
    <w:rsid w:val="004A012F"/>
    <w:rsid w:val="004A0DA1"/>
    <w:rsid w:val="004A13D6"/>
    <w:rsid w:val="004A50AD"/>
    <w:rsid w:val="004A52E9"/>
    <w:rsid w:val="004A537E"/>
    <w:rsid w:val="004A5989"/>
    <w:rsid w:val="004A5E71"/>
    <w:rsid w:val="004A6040"/>
    <w:rsid w:val="004A6597"/>
    <w:rsid w:val="004A7848"/>
    <w:rsid w:val="004A793B"/>
    <w:rsid w:val="004A7DEF"/>
    <w:rsid w:val="004B1661"/>
    <w:rsid w:val="004B1A68"/>
    <w:rsid w:val="004B1CB4"/>
    <w:rsid w:val="004B1D76"/>
    <w:rsid w:val="004B20E8"/>
    <w:rsid w:val="004B2F18"/>
    <w:rsid w:val="004B3A00"/>
    <w:rsid w:val="004B3DDB"/>
    <w:rsid w:val="004B44FD"/>
    <w:rsid w:val="004B48C5"/>
    <w:rsid w:val="004B5CFC"/>
    <w:rsid w:val="004B5D61"/>
    <w:rsid w:val="004B5E3C"/>
    <w:rsid w:val="004B6279"/>
    <w:rsid w:val="004B6F79"/>
    <w:rsid w:val="004B774D"/>
    <w:rsid w:val="004C0493"/>
    <w:rsid w:val="004C2AC2"/>
    <w:rsid w:val="004C3A72"/>
    <w:rsid w:val="004C45EE"/>
    <w:rsid w:val="004C4AED"/>
    <w:rsid w:val="004C6373"/>
    <w:rsid w:val="004C6A87"/>
    <w:rsid w:val="004C754D"/>
    <w:rsid w:val="004C755D"/>
    <w:rsid w:val="004C7723"/>
    <w:rsid w:val="004D0703"/>
    <w:rsid w:val="004D2684"/>
    <w:rsid w:val="004D2C2D"/>
    <w:rsid w:val="004D33E4"/>
    <w:rsid w:val="004D35F3"/>
    <w:rsid w:val="004D425B"/>
    <w:rsid w:val="004D64D4"/>
    <w:rsid w:val="004D6588"/>
    <w:rsid w:val="004D69B5"/>
    <w:rsid w:val="004D6BE1"/>
    <w:rsid w:val="004D6C6F"/>
    <w:rsid w:val="004D7227"/>
    <w:rsid w:val="004D73BF"/>
    <w:rsid w:val="004D7568"/>
    <w:rsid w:val="004D7B5E"/>
    <w:rsid w:val="004E0E7F"/>
    <w:rsid w:val="004E0EB8"/>
    <w:rsid w:val="004E18E9"/>
    <w:rsid w:val="004E18FB"/>
    <w:rsid w:val="004E217F"/>
    <w:rsid w:val="004E2ADC"/>
    <w:rsid w:val="004E3938"/>
    <w:rsid w:val="004E39C8"/>
    <w:rsid w:val="004E3B16"/>
    <w:rsid w:val="004E43B2"/>
    <w:rsid w:val="004E55C9"/>
    <w:rsid w:val="004E56DF"/>
    <w:rsid w:val="004E699A"/>
    <w:rsid w:val="004E6E92"/>
    <w:rsid w:val="004E7F6F"/>
    <w:rsid w:val="004F1389"/>
    <w:rsid w:val="004F1A7F"/>
    <w:rsid w:val="004F1D02"/>
    <w:rsid w:val="004F2679"/>
    <w:rsid w:val="004F2B3D"/>
    <w:rsid w:val="004F2F21"/>
    <w:rsid w:val="004F308C"/>
    <w:rsid w:val="004F3DE5"/>
    <w:rsid w:val="004F41BF"/>
    <w:rsid w:val="004F48A3"/>
    <w:rsid w:val="004F54E2"/>
    <w:rsid w:val="004F5929"/>
    <w:rsid w:val="004F5F2A"/>
    <w:rsid w:val="004F6913"/>
    <w:rsid w:val="004F6D92"/>
    <w:rsid w:val="004F7865"/>
    <w:rsid w:val="004F7A2E"/>
    <w:rsid w:val="005010C0"/>
    <w:rsid w:val="005016E3"/>
    <w:rsid w:val="0050174E"/>
    <w:rsid w:val="00501854"/>
    <w:rsid w:val="0050219B"/>
    <w:rsid w:val="00502326"/>
    <w:rsid w:val="0050241F"/>
    <w:rsid w:val="00503F17"/>
    <w:rsid w:val="00503F3A"/>
    <w:rsid w:val="00504027"/>
    <w:rsid w:val="00504596"/>
    <w:rsid w:val="005047D4"/>
    <w:rsid w:val="00506928"/>
    <w:rsid w:val="005077EF"/>
    <w:rsid w:val="00511101"/>
    <w:rsid w:val="00511542"/>
    <w:rsid w:val="00511AD5"/>
    <w:rsid w:val="00511DC7"/>
    <w:rsid w:val="005120E0"/>
    <w:rsid w:val="0051217D"/>
    <w:rsid w:val="0051227E"/>
    <w:rsid w:val="0051250E"/>
    <w:rsid w:val="00512F68"/>
    <w:rsid w:val="00513059"/>
    <w:rsid w:val="005142C5"/>
    <w:rsid w:val="0051501B"/>
    <w:rsid w:val="005152B5"/>
    <w:rsid w:val="00515886"/>
    <w:rsid w:val="00515BA9"/>
    <w:rsid w:val="005163EA"/>
    <w:rsid w:val="005202E4"/>
    <w:rsid w:val="0052123C"/>
    <w:rsid w:val="00521319"/>
    <w:rsid w:val="0052221D"/>
    <w:rsid w:val="00522BC8"/>
    <w:rsid w:val="00523141"/>
    <w:rsid w:val="005233D6"/>
    <w:rsid w:val="00523652"/>
    <w:rsid w:val="00523C28"/>
    <w:rsid w:val="00526248"/>
    <w:rsid w:val="005310BC"/>
    <w:rsid w:val="0053159E"/>
    <w:rsid w:val="0053176B"/>
    <w:rsid w:val="00532661"/>
    <w:rsid w:val="005328C4"/>
    <w:rsid w:val="00532C12"/>
    <w:rsid w:val="00532C20"/>
    <w:rsid w:val="005341B3"/>
    <w:rsid w:val="00534248"/>
    <w:rsid w:val="005350B6"/>
    <w:rsid w:val="00535AED"/>
    <w:rsid w:val="005365D2"/>
    <w:rsid w:val="00536710"/>
    <w:rsid w:val="00536F42"/>
    <w:rsid w:val="00537182"/>
    <w:rsid w:val="0054112A"/>
    <w:rsid w:val="005419C6"/>
    <w:rsid w:val="005419C7"/>
    <w:rsid w:val="00541EDD"/>
    <w:rsid w:val="00541FC8"/>
    <w:rsid w:val="00542743"/>
    <w:rsid w:val="00542C2D"/>
    <w:rsid w:val="005431A6"/>
    <w:rsid w:val="00544749"/>
    <w:rsid w:val="005449F8"/>
    <w:rsid w:val="00545D01"/>
    <w:rsid w:val="005472A2"/>
    <w:rsid w:val="005472F0"/>
    <w:rsid w:val="005478BD"/>
    <w:rsid w:val="005479E3"/>
    <w:rsid w:val="00551985"/>
    <w:rsid w:val="00552121"/>
    <w:rsid w:val="00552A0A"/>
    <w:rsid w:val="00552BD3"/>
    <w:rsid w:val="00552CBB"/>
    <w:rsid w:val="005532A0"/>
    <w:rsid w:val="00553876"/>
    <w:rsid w:val="00554280"/>
    <w:rsid w:val="00555109"/>
    <w:rsid w:val="005557EC"/>
    <w:rsid w:val="00556A3E"/>
    <w:rsid w:val="00556B35"/>
    <w:rsid w:val="0055741A"/>
    <w:rsid w:val="00557461"/>
    <w:rsid w:val="005575CC"/>
    <w:rsid w:val="005579DA"/>
    <w:rsid w:val="00557E65"/>
    <w:rsid w:val="0056034C"/>
    <w:rsid w:val="00560DAA"/>
    <w:rsid w:val="005611B7"/>
    <w:rsid w:val="005614F9"/>
    <w:rsid w:val="0056165A"/>
    <w:rsid w:val="00561784"/>
    <w:rsid w:val="005618D4"/>
    <w:rsid w:val="00561E16"/>
    <w:rsid w:val="005632D1"/>
    <w:rsid w:val="00564867"/>
    <w:rsid w:val="00565BB7"/>
    <w:rsid w:val="00565C79"/>
    <w:rsid w:val="00565DF0"/>
    <w:rsid w:val="0056696F"/>
    <w:rsid w:val="00567BEF"/>
    <w:rsid w:val="00572269"/>
    <w:rsid w:val="0057226E"/>
    <w:rsid w:val="0057244A"/>
    <w:rsid w:val="00572F26"/>
    <w:rsid w:val="00574718"/>
    <w:rsid w:val="005747B3"/>
    <w:rsid w:val="00574A41"/>
    <w:rsid w:val="005750C5"/>
    <w:rsid w:val="005752DE"/>
    <w:rsid w:val="00575C7E"/>
    <w:rsid w:val="00575D60"/>
    <w:rsid w:val="00575D8D"/>
    <w:rsid w:val="00575E88"/>
    <w:rsid w:val="00575EE3"/>
    <w:rsid w:val="00576972"/>
    <w:rsid w:val="00577248"/>
    <w:rsid w:val="0057761E"/>
    <w:rsid w:val="005779B0"/>
    <w:rsid w:val="0058065D"/>
    <w:rsid w:val="00580854"/>
    <w:rsid w:val="00580E98"/>
    <w:rsid w:val="005811F2"/>
    <w:rsid w:val="00583149"/>
    <w:rsid w:val="00583699"/>
    <w:rsid w:val="00584696"/>
    <w:rsid w:val="005848DD"/>
    <w:rsid w:val="00585949"/>
    <w:rsid w:val="00585B8F"/>
    <w:rsid w:val="00585CDD"/>
    <w:rsid w:val="00586014"/>
    <w:rsid w:val="00586586"/>
    <w:rsid w:val="00586C95"/>
    <w:rsid w:val="00586F23"/>
    <w:rsid w:val="00587058"/>
    <w:rsid w:val="00587EF3"/>
    <w:rsid w:val="005903C6"/>
    <w:rsid w:val="00591317"/>
    <w:rsid w:val="00591569"/>
    <w:rsid w:val="00591707"/>
    <w:rsid w:val="00591957"/>
    <w:rsid w:val="00592153"/>
    <w:rsid w:val="0059250A"/>
    <w:rsid w:val="00592E09"/>
    <w:rsid w:val="00592F18"/>
    <w:rsid w:val="005939EF"/>
    <w:rsid w:val="00593D24"/>
    <w:rsid w:val="00594E98"/>
    <w:rsid w:val="0059554B"/>
    <w:rsid w:val="00597BF9"/>
    <w:rsid w:val="005A050A"/>
    <w:rsid w:val="005A0C11"/>
    <w:rsid w:val="005A187A"/>
    <w:rsid w:val="005A1AD4"/>
    <w:rsid w:val="005A2AEF"/>
    <w:rsid w:val="005A309A"/>
    <w:rsid w:val="005A345A"/>
    <w:rsid w:val="005A373D"/>
    <w:rsid w:val="005A39CE"/>
    <w:rsid w:val="005A3E42"/>
    <w:rsid w:val="005A459D"/>
    <w:rsid w:val="005A5442"/>
    <w:rsid w:val="005A560A"/>
    <w:rsid w:val="005A5E0A"/>
    <w:rsid w:val="005A7123"/>
    <w:rsid w:val="005A787E"/>
    <w:rsid w:val="005B0B58"/>
    <w:rsid w:val="005B0C0B"/>
    <w:rsid w:val="005B1B3B"/>
    <w:rsid w:val="005B28B3"/>
    <w:rsid w:val="005B3BE7"/>
    <w:rsid w:val="005B438B"/>
    <w:rsid w:val="005B4C9C"/>
    <w:rsid w:val="005B4E53"/>
    <w:rsid w:val="005B511D"/>
    <w:rsid w:val="005B5857"/>
    <w:rsid w:val="005B58DF"/>
    <w:rsid w:val="005B5F36"/>
    <w:rsid w:val="005B648C"/>
    <w:rsid w:val="005B6E3F"/>
    <w:rsid w:val="005B7B92"/>
    <w:rsid w:val="005C02BC"/>
    <w:rsid w:val="005C0810"/>
    <w:rsid w:val="005C1532"/>
    <w:rsid w:val="005C16C1"/>
    <w:rsid w:val="005C19C4"/>
    <w:rsid w:val="005C1B83"/>
    <w:rsid w:val="005C241C"/>
    <w:rsid w:val="005C25FF"/>
    <w:rsid w:val="005C2810"/>
    <w:rsid w:val="005C291F"/>
    <w:rsid w:val="005C29FD"/>
    <w:rsid w:val="005C2D55"/>
    <w:rsid w:val="005C3122"/>
    <w:rsid w:val="005C346B"/>
    <w:rsid w:val="005C3524"/>
    <w:rsid w:val="005C3647"/>
    <w:rsid w:val="005C3BB8"/>
    <w:rsid w:val="005C41E8"/>
    <w:rsid w:val="005C43B7"/>
    <w:rsid w:val="005C494D"/>
    <w:rsid w:val="005C4D7F"/>
    <w:rsid w:val="005C5ABC"/>
    <w:rsid w:val="005C61A2"/>
    <w:rsid w:val="005C63D7"/>
    <w:rsid w:val="005C6F49"/>
    <w:rsid w:val="005C7260"/>
    <w:rsid w:val="005C7AEE"/>
    <w:rsid w:val="005C7BFC"/>
    <w:rsid w:val="005D044D"/>
    <w:rsid w:val="005D0ABD"/>
    <w:rsid w:val="005D137F"/>
    <w:rsid w:val="005D18AD"/>
    <w:rsid w:val="005D25D8"/>
    <w:rsid w:val="005D26B4"/>
    <w:rsid w:val="005D31CC"/>
    <w:rsid w:val="005D4496"/>
    <w:rsid w:val="005D449F"/>
    <w:rsid w:val="005D4B6A"/>
    <w:rsid w:val="005D6E3D"/>
    <w:rsid w:val="005D7D23"/>
    <w:rsid w:val="005D7DA7"/>
    <w:rsid w:val="005E0166"/>
    <w:rsid w:val="005E01BB"/>
    <w:rsid w:val="005E076E"/>
    <w:rsid w:val="005E1995"/>
    <w:rsid w:val="005E1C4C"/>
    <w:rsid w:val="005E3723"/>
    <w:rsid w:val="005E3C44"/>
    <w:rsid w:val="005E3E53"/>
    <w:rsid w:val="005E48EB"/>
    <w:rsid w:val="005E48FC"/>
    <w:rsid w:val="005E4B43"/>
    <w:rsid w:val="005E6001"/>
    <w:rsid w:val="005E64CC"/>
    <w:rsid w:val="005E6CBC"/>
    <w:rsid w:val="005E6DC5"/>
    <w:rsid w:val="005E727E"/>
    <w:rsid w:val="005E72FF"/>
    <w:rsid w:val="005E73C0"/>
    <w:rsid w:val="005F0550"/>
    <w:rsid w:val="005F0629"/>
    <w:rsid w:val="005F07ED"/>
    <w:rsid w:val="005F192C"/>
    <w:rsid w:val="005F202F"/>
    <w:rsid w:val="005F2706"/>
    <w:rsid w:val="005F3092"/>
    <w:rsid w:val="005F4412"/>
    <w:rsid w:val="005F6A8F"/>
    <w:rsid w:val="005F6BB7"/>
    <w:rsid w:val="005F7588"/>
    <w:rsid w:val="005F75A9"/>
    <w:rsid w:val="006009BA"/>
    <w:rsid w:val="00601A5B"/>
    <w:rsid w:val="00601D14"/>
    <w:rsid w:val="00601FB9"/>
    <w:rsid w:val="00603238"/>
    <w:rsid w:val="00603248"/>
    <w:rsid w:val="00603DB9"/>
    <w:rsid w:val="00603DBD"/>
    <w:rsid w:val="00604B1A"/>
    <w:rsid w:val="00604CD5"/>
    <w:rsid w:val="00605648"/>
    <w:rsid w:val="00606FBA"/>
    <w:rsid w:val="00607292"/>
    <w:rsid w:val="00607669"/>
    <w:rsid w:val="006076F4"/>
    <w:rsid w:val="00607AFD"/>
    <w:rsid w:val="006100CA"/>
    <w:rsid w:val="00610704"/>
    <w:rsid w:val="006107C9"/>
    <w:rsid w:val="00611B12"/>
    <w:rsid w:val="00611C61"/>
    <w:rsid w:val="00612F97"/>
    <w:rsid w:val="006131AB"/>
    <w:rsid w:val="0061345D"/>
    <w:rsid w:val="00613588"/>
    <w:rsid w:val="00613B32"/>
    <w:rsid w:val="00613DA7"/>
    <w:rsid w:val="0061490A"/>
    <w:rsid w:val="0061549B"/>
    <w:rsid w:val="00616802"/>
    <w:rsid w:val="00617058"/>
    <w:rsid w:val="00617340"/>
    <w:rsid w:val="00617E12"/>
    <w:rsid w:val="006200D1"/>
    <w:rsid w:val="006206D2"/>
    <w:rsid w:val="00620BD2"/>
    <w:rsid w:val="00620C25"/>
    <w:rsid w:val="00621477"/>
    <w:rsid w:val="00621630"/>
    <w:rsid w:val="00621ADA"/>
    <w:rsid w:val="00621C9A"/>
    <w:rsid w:val="00622528"/>
    <w:rsid w:val="00623F7B"/>
    <w:rsid w:val="00624BD4"/>
    <w:rsid w:val="00625CBF"/>
    <w:rsid w:val="00630215"/>
    <w:rsid w:val="006309EA"/>
    <w:rsid w:val="00631123"/>
    <w:rsid w:val="0063158F"/>
    <w:rsid w:val="00631D6B"/>
    <w:rsid w:val="00631DE6"/>
    <w:rsid w:val="00632183"/>
    <w:rsid w:val="006322C2"/>
    <w:rsid w:val="0063303C"/>
    <w:rsid w:val="006330A1"/>
    <w:rsid w:val="00633A2C"/>
    <w:rsid w:val="0063425D"/>
    <w:rsid w:val="0063479F"/>
    <w:rsid w:val="00635282"/>
    <w:rsid w:val="006353F0"/>
    <w:rsid w:val="006357B5"/>
    <w:rsid w:val="00635D34"/>
    <w:rsid w:val="006364A1"/>
    <w:rsid w:val="006366C9"/>
    <w:rsid w:val="0063678E"/>
    <w:rsid w:val="00636EAB"/>
    <w:rsid w:val="00637A5D"/>
    <w:rsid w:val="00637BFD"/>
    <w:rsid w:val="00637C5C"/>
    <w:rsid w:val="006404A4"/>
    <w:rsid w:val="00641C4E"/>
    <w:rsid w:val="00641FB3"/>
    <w:rsid w:val="00642F72"/>
    <w:rsid w:val="0064434C"/>
    <w:rsid w:val="00644D4D"/>
    <w:rsid w:val="006451F3"/>
    <w:rsid w:val="0064595B"/>
    <w:rsid w:val="00645ABF"/>
    <w:rsid w:val="00646ED4"/>
    <w:rsid w:val="006471CC"/>
    <w:rsid w:val="006472FE"/>
    <w:rsid w:val="00647A29"/>
    <w:rsid w:val="0065079F"/>
    <w:rsid w:val="00651C67"/>
    <w:rsid w:val="00652A28"/>
    <w:rsid w:val="00652D97"/>
    <w:rsid w:val="0065379F"/>
    <w:rsid w:val="00654802"/>
    <w:rsid w:val="00654AC2"/>
    <w:rsid w:val="00656188"/>
    <w:rsid w:val="0065715A"/>
    <w:rsid w:val="0065767F"/>
    <w:rsid w:val="00657E3C"/>
    <w:rsid w:val="00660446"/>
    <w:rsid w:val="006610F1"/>
    <w:rsid w:val="00661C6B"/>
    <w:rsid w:val="00661FDE"/>
    <w:rsid w:val="00662D3E"/>
    <w:rsid w:val="006632CB"/>
    <w:rsid w:val="00663805"/>
    <w:rsid w:val="0066445E"/>
    <w:rsid w:val="006647F2"/>
    <w:rsid w:val="0066536D"/>
    <w:rsid w:val="006661F9"/>
    <w:rsid w:val="00666230"/>
    <w:rsid w:val="0066630D"/>
    <w:rsid w:val="00667115"/>
    <w:rsid w:val="00667496"/>
    <w:rsid w:val="00667BE3"/>
    <w:rsid w:val="00670959"/>
    <w:rsid w:val="00671004"/>
    <w:rsid w:val="006716FD"/>
    <w:rsid w:val="00671BBE"/>
    <w:rsid w:val="00672646"/>
    <w:rsid w:val="0067285A"/>
    <w:rsid w:val="00672CC4"/>
    <w:rsid w:val="0067311F"/>
    <w:rsid w:val="00673706"/>
    <w:rsid w:val="00674E42"/>
    <w:rsid w:val="006752EF"/>
    <w:rsid w:val="00675969"/>
    <w:rsid w:val="006759C7"/>
    <w:rsid w:val="00676563"/>
    <w:rsid w:val="00677868"/>
    <w:rsid w:val="00677C6E"/>
    <w:rsid w:val="00677F1D"/>
    <w:rsid w:val="006800AD"/>
    <w:rsid w:val="0068061D"/>
    <w:rsid w:val="00680CB0"/>
    <w:rsid w:val="006813F8"/>
    <w:rsid w:val="006819A6"/>
    <w:rsid w:val="00681D67"/>
    <w:rsid w:val="00682112"/>
    <w:rsid w:val="006826B7"/>
    <w:rsid w:val="0068295F"/>
    <w:rsid w:val="00682B02"/>
    <w:rsid w:val="00682B7A"/>
    <w:rsid w:val="00682BA6"/>
    <w:rsid w:val="00683E21"/>
    <w:rsid w:val="00684CDC"/>
    <w:rsid w:val="00686957"/>
    <w:rsid w:val="006872BA"/>
    <w:rsid w:val="00687546"/>
    <w:rsid w:val="00687B49"/>
    <w:rsid w:val="00690795"/>
    <w:rsid w:val="00690AB7"/>
    <w:rsid w:val="00690B5D"/>
    <w:rsid w:val="00691648"/>
    <w:rsid w:val="006917D7"/>
    <w:rsid w:val="006919DB"/>
    <w:rsid w:val="00691B62"/>
    <w:rsid w:val="0069210E"/>
    <w:rsid w:val="00692234"/>
    <w:rsid w:val="0069272F"/>
    <w:rsid w:val="006928E4"/>
    <w:rsid w:val="00692B2B"/>
    <w:rsid w:val="006930A4"/>
    <w:rsid w:val="0069434C"/>
    <w:rsid w:val="00694F44"/>
    <w:rsid w:val="00696BBE"/>
    <w:rsid w:val="00696CD2"/>
    <w:rsid w:val="00696EF9"/>
    <w:rsid w:val="00696F51"/>
    <w:rsid w:val="006979A5"/>
    <w:rsid w:val="006A002B"/>
    <w:rsid w:val="006A016F"/>
    <w:rsid w:val="006A0660"/>
    <w:rsid w:val="006A0CFD"/>
    <w:rsid w:val="006A0DF7"/>
    <w:rsid w:val="006A20D8"/>
    <w:rsid w:val="006A25D1"/>
    <w:rsid w:val="006A2DAD"/>
    <w:rsid w:val="006A3507"/>
    <w:rsid w:val="006A3799"/>
    <w:rsid w:val="006A4321"/>
    <w:rsid w:val="006A43D9"/>
    <w:rsid w:val="006A649E"/>
    <w:rsid w:val="006A6B99"/>
    <w:rsid w:val="006A79AC"/>
    <w:rsid w:val="006A7E5F"/>
    <w:rsid w:val="006B04B9"/>
    <w:rsid w:val="006B05C2"/>
    <w:rsid w:val="006B0718"/>
    <w:rsid w:val="006B1182"/>
    <w:rsid w:val="006B118A"/>
    <w:rsid w:val="006B177C"/>
    <w:rsid w:val="006B1E15"/>
    <w:rsid w:val="006B261B"/>
    <w:rsid w:val="006B2994"/>
    <w:rsid w:val="006B2C90"/>
    <w:rsid w:val="006B35E6"/>
    <w:rsid w:val="006B42CE"/>
    <w:rsid w:val="006B465A"/>
    <w:rsid w:val="006B478A"/>
    <w:rsid w:val="006B6862"/>
    <w:rsid w:val="006B6DD0"/>
    <w:rsid w:val="006B6EDF"/>
    <w:rsid w:val="006B7404"/>
    <w:rsid w:val="006B7CCD"/>
    <w:rsid w:val="006C0284"/>
    <w:rsid w:val="006C0399"/>
    <w:rsid w:val="006C16F3"/>
    <w:rsid w:val="006C28C1"/>
    <w:rsid w:val="006C2A8E"/>
    <w:rsid w:val="006C3255"/>
    <w:rsid w:val="006C3F26"/>
    <w:rsid w:val="006C4B9B"/>
    <w:rsid w:val="006C4E31"/>
    <w:rsid w:val="006C599E"/>
    <w:rsid w:val="006C5AB9"/>
    <w:rsid w:val="006C5C56"/>
    <w:rsid w:val="006C5FBB"/>
    <w:rsid w:val="006C64A1"/>
    <w:rsid w:val="006C6571"/>
    <w:rsid w:val="006D03E3"/>
    <w:rsid w:val="006D098D"/>
    <w:rsid w:val="006D0D17"/>
    <w:rsid w:val="006D0D5C"/>
    <w:rsid w:val="006D209E"/>
    <w:rsid w:val="006D2857"/>
    <w:rsid w:val="006D3506"/>
    <w:rsid w:val="006D3664"/>
    <w:rsid w:val="006D3B1B"/>
    <w:rsid w:val="006D3C7D"/>
    <w:rsid w:val="006D4659"/>
    <w:rsid w:val="006D5D5F"/>
    <w:rsid w:val="006D6088"/>
    <w:rsid w:val="006D68FB"/>
    <w:rsid w:val="006D73DE"/>
    <w:rsid w:val="006D7470"/>
    <w:rsid w:val="006D780C"/>
    <w:rsid w:val="006D79E7"/>
    <w:rsid w:val="006E06A5"/>
    <w:rsid w:val="006E1F40"/>
    <w:rsid w:val="006E22A1"/>
    <w:rsid w:val="006E2868"/>
    <w:rsid w:val="006E2DDF"/>
    <w:rsid w:val="006E35CA"/>
    <w:rsid w:val="006E3EAA"/>
    <w:rsid w:val="006E445D"/>
    <w:rsid w:val="006E4FB8"/>
    <w:rsid w:val="006E52ED"/>
    <w:rsid w:val="006E689A"/>
    <w:rsid w:val="006E69F7"/>
    <w:rsid w:val="006F02C4"/>
    <w:rsid w:val="006F15BE"/>
    <w:rsid w:val="006F2188"/>
    <w:rsid w:val="006F24B4"/>
    <w:rsid w:val="006F306C"/>
    <w:rsid w:val="006F4F74"/>
    <w:rsid w:val="006F6365"/>
    <w:rsid w:val="006F63A5"/>
    <w:rsid w:val="006F6954"/>
    <w:rsid w:val="006F699D"/>
    <w:rsid w:val="00700675"/>
    <w:rsid w:val="007006B2"/>
    <w:rsid w:val="0070142B"/>
    <w:rsid w:val="00701F7E"/>
    <w:rsid w:val="007022D4"/>
    <w:rsid w:val="007026B6"/>
    <w:rsid w:val="0070276E"/>
    <w:rsid w:val="00702AC6"/>
    <w:rsid w:val="00702F8F"/>
    <w:rsid w:val="00702F96"/>
    <w:rsid w:val="00703867"/>
    <w:rsid w:val="00703DD2"/>
    <w:rsid w:val="0070405F"/>
    <w:rsid w:val="0070476F"/>
    <w:rsid w:val="00705B8F"/>
    <w:rsid w:val="00705FA3"/>
    <w:rsid w:val="00706655"/>
    <w:rsid w:val="00706748"/>
    <w:rsid w:val="00706D5B"/>
    <w:rsid w:val="007079FC"/>
    <w:rsid w:val="00707E93"/>
    <w:rsid w:val="00710879"/>
    <w:rsid w:val="00710B0C"/>
    <w:rsid w:val="00711059"/>
    <w:rsid w:val="00711A36"/>
    <w:rsid w:val="007125D3"/>
    <w:rsid w:val="007132AD"/>
    <w:rsid w:val="0071403D"/>
    <w:rsid w:val="0071441E"/>
    <w:rsid w:val="00714C26"/>
    <w:rsid w:val="00714D70"/>
    <w:rsid w:val="0071529C"/>
    <w:rsid w:val="007170DA"/>
    <w:rsid w:val="007172AD"/>
    <w:rsid w:val="00717546"/>
    <w:rsid w:val="00717C95"/>
    <w:rsid w:val="00717E0E"/>
    <w:rsid w:val="00720801"/>
    <w:rsid w:val="00721491"/>
    <w:rsid w:val="00721EA3"/>
    <w:rsid w:val="00722775"/>
    <w:rsid w:val="00722B1B"/>
    <w:rsid w:val="007233E5"/>
    <w:rsid w:val="007235E1"/>
    <w:rsid w:val="00723A6C"/>
    <w:rsid w:val="0072416F"/>
    <w:rsid w:val="007276E7"/>
    <w:rsid w:val="007279A7"/>
    <w:rsid w:val="00727C94"/>
    <w:rsid w:val="007307D5"/>
    <w:rsid w:val="00730F3F"/>
    <w:rsid w:val="007318A1"/>
    <w:rsid w:val="00731B0A"/>
    <w:rsid w:val="00731EAE"/>
    <w:rsid w:val="007324B8"/>
    <w:rsid w:val="00732694"/>
    <w:rsid w:val="00732C32"/>
    <w:rsid w:val="00733073"/>
    <w:rsid w:val="007337FF"/>
    <w:rsid w:val="00733818"/>
    <w:rsid w:val="0073429E"/>
    <w:rsid w:val="007344DE"/>
    <w:rsid w:val="00734738"/>
    <w:rsid w:val="00735033"/>
    <w:rsid w:val="00735328"/>
    <w:rsid w:val="00735B61"/>
    <w:rsid w:val="0073685B"/>
    <w:rsid w:val="00737C7F"/>
    <w:rsid w:val="00737E2F"/>
    <w:rsid w:val="0074042D"/>
    <w:rsid w:val="00740B88"/>
    <w:rsid w:val="00740D42"/>
    <w:rsid w:val="007411CF"/>
    <w:rsid w:val="007416AE"/>
    <w:rsid w:val="00741B8B"/>
    <w:rsid w:val="00743820"/>
    <w:rsid w:val="0074405A"/>
    <w:rsid w:val="007449BF"/>
    <w:rsid w:val="007463FE"/>
    <w:rsid w:val="00746636"/>
    <w:rsid w:val="00746BC0"/>
    <w:rsid w:val="007472AC"/>
    <w:rsid w:val="007507F3"/>
    <w:rsid w:val="00750F70"/>
    <w:rsid w:val="007510B4"/>
    <w:rsid w:val="00752142"/>
    <w:rsid w:val="007523F9"/>
    <w:rsid w:val="00752C0A"/>
    <w:rsid w:val="0075357E"/>
    <w:rsid w:val="00753B29"/>
    <w:rsid w:val="007550FA"/>
    <w:rsid w:val="00755C68"/>
    <w:rsid w:val="00755DB8"/>
    <w:rsid w:val="00755EAB"/>
    <w:rsid w:val="007573E8"/>
    <w:rsid w:val="00760803"/>
    <w:rsid w:val="00760C4E"/>
    <w:rsid w:val="00760F9E"/>
    <w:rsid w:val="007615D2"/>
    <w:rsid w:val="007616E6"/>
    <w:rsid w:val="007627BE"/>
    <w:rsid w:val="00763440"/>
    <w:rsid w:val="00763ECF"/>
    <w:rsid w:val="00764F03"/>
    <w:rsid w:val="00765B1A"/>
    <w:rsid w:val="00765DC1"/>
    <w:rsid w:val="0076696B"/>
    <w:rsid w:val="00766F84"/>
    <w:rsid w:val="007721DF"/>
    <w:rsid w:val="0077364A"/>
    <w:rsid w:val="00773F37"/>
    <w:rsid w:val="00774230"/>
    <w:rsid w:val="007742B3"/>
    <w:rsid w:val="00774D21"/>
    <w:rsid w:val="00775879"/>
    <w:rsid w:val="00777335"/>
    <w:rsid w:val="00780085"/>
    <w:rsid w:val="00783786"/>
    <w:rsid w:val="00783B89"/>
    <w:rsid w:val="00783BBB"/>
    <w:rsid w:val="007840A3"/>
    <w:rsid w:val="007843F2"/>
    <w:rsid w:val="007846FA"/>
    <w:rsid w:val="00785252"/>
    <w:rsid w:val="007858CB"/>
    <w:rsid w:val="00785A9F"/>
    <w:rsid w:val="00785CE9"/>
    <w:rsid w:val="00787944"/>
    <w:rsid w:val="007900D0"/>
    <w:rsid w:val="007901A3"/>
    <w:rsid w:val="0079130F"/>
    <w:rsid w:val="007925DF"/>
    <w:rsid w:val="00794167"/>
    <w:rsid w:val="00794763"/>
    <w:rsid w:val="00795053"/>
    <w:rsid w:val="007956EF"/>
    <w:rsid w:val="00795CAC"/>
    <w:rsid w:val="0079607F"/>
    <w:rsid w:val="00797E67"/>
    <w:rsid w:val="007A04FC"/>
    <w:rsid w:val="007A08AA"/>
    <w:rsid w:val="007A0A12"/>
    <w:rsid w:val="007A132D"/>
    <w:rsid w:val="007A1345"/>
    <w:rsid w:val="007A2DDB"/>
    <w:rsid w:val="007A4565"/>
    <w:rsid w:val="007A6651"/>
    <w:rsid w:val="007A6913"/>
    <w:rsid w:val="007A70BA"/>
    <w:rsid w:val="007B0D68"/>
    <w:rsid w:val="007B0E78"/>
    <w:rsid w:val="007B187F"/>
    <w:rsid w:val="007B1924"/>
    <w:rsid w:val="007B1A45"/>
    <w:rsid w:val="007B251D"/>
    <w:rsid w:val="007B2539"/>
    <w:rsid w:val="007B28EC"/>
    <w:rsid w:val="007B2B78"/>
    <w:rsid w:val="007B3533"/>
    <w:rsid w:val="007B4A39"/>
    <w:rsid w:val="007B4F58"/>
    <w:rsid w:val="007B528D"/>
    <w:rsid w:val="007B535E"/>
    <w:rsid w:val="007B6019"/>
    <w:rsid w:val="007B63CA"/>
    <w:rsid w:val="007B6722"/>
    <w:rsid w:val="007B72B1"/>
    <w:rsid w:val="007B77D1"/>
    <w:rsid w:val="007B7C25"/>
    <w:rsid w:val="007B7CF8"/>
    <w:rsid w:val="007C0205"/>
    <w:rsid w:val="007C07C7"/>
    <w:rsid w:val="007C0E18"/>
    <w:rsid w:val="007C1188"/>
    <w:rsid w:val="007C1CD9"/>
    <w:rsid w:val="007C2200"/>
    <w:rsid w:val="007C32EF"/>
    <w:rsid w:val="007C361D"/>
    <w:rsid w:val="007C4586"/>
    <w:rsid w:val="007C47E5"/>
    <w:rsid w:val="007C4B84"/>
    <w:rsid w:val="007C70FF"/>
    <w:rsid w:val="007C7C25"/>
    <w:rsid w:val="007D004F"/>
    <w:rsid w:val="007D035F"/>
    <w:rsid w:val="007D06B2"/>
    <w:rsid w:val="007D07F2"/>
    <w:rsid w:val="007D0B38"/>
    <w:rsid w:val="007D208F"/>
    <w:rsid w:val="007D2E36"/>
    <w:rsid w:val="007D305B"/>
    <w:rsid w:val="007D4299"/>
    <w:rsid w:val="007D5440"/>
    <w:rsid w:val="007D682C"/>
    <w:rsid w:val="007D69EB"/>
    <w:rsid w:val="007E07AF"/>
    <w:rsid w:val="007E0A9F"/>
    <w:rsid w:val="007E128F"/>
    <w:rsid w:val="007E129A"/>
    <w:rsid w:val="007E2326"/>
    <w:rsid w:val="007E2353"/>
    <w:rsid w:val="007E25FD"/>
    <w:rsid w:val="007E2AF2"/>
    <w:rsid w:val="007E2BDA"/>
    <w:rsid w:val="007E3BF3"/>
    <w:rsid w:val="007E4F00"/>
    <w:rsid w:val="007E565F"/>
    <w:rsid w:val="007E5F6D"/>
    <w:rsid w:val="007E6EB2"/>
    <w:rsid w:val="007E6FE0"/>
    <w:rsid w:val="007F0551"/>
    <w:rsid w:val="007F1017"/>
    <w:rsid w:val="007F17B7"/>
    <w:rsid w:val="007F2D24"/>
    <w:rsid w:val="007F35CA"/>
    <w:rsid w:val="007F4A3F"/>
    <w:rsid w:val="007F4A61"/>
    <w:rsid w:val="007F4D9E"/>
    <w:rsid w:val="007F5255"/>
    <w:rsid w:val="007F5410"/>
    <w:rsid w:val="007F56CC"/>
    <w:rsid w:val="007F5B09"/>
    <w:rsid w:val="007F60C9"/>
    <w:rsid w:val="007F61C2"/>
    <w:rsid w:val="007F65C1"/>
    <w:rsid w:val="00800413"/>
    <w:rsid w:val="00802435"/>
    <w:rsid w:val="008029B4"/>
    <w:rsid w:val="00802CCF"/>
    <w:rsid w:val="00803AD7"/>
    <w:rsid w:val="0080465E"/>
    <w:rsid w:val="00804A75"/>
    <w:rsid w:val="00805142"/>
    <w:rsid w:val="00805696"/>
    <w:rsid w:val="00805FCE"/>
    <w:rsid w:val="00807A8B"/>
    <w:rsid w:val="00807B9F"/>
    <w:rsid w:val="00811383"/>
    <w:rsid w:val="0081152B"/>
    <w:rsid w:val="00811736"/>
    <w:rsid w:val="00812149"/>
    <w:rsid w:val="00812B4F"/>
    <w:rsid w:val="00812C37"/>
    <w:rsid w:val="00812CAC"/>
    <w:rsid w:val="008143E9"/>
    <w:rsid w:val="00816361"/>
    <w:rsid w:val="008166EF"/>
    <w:rsid w:val="00816FEF"/>
    <w:rsid w:val="00817722"/>
    <w:rsid w:val="00817885"/>
    <w:rsid w:val="00817A42"/>
    <w:rsid w:val="00817C43"/>
    <w:rsid w:val="00820A8C"/>
    <w:rsid w:val="00820B56"/>
    <w:rsid w:val="008215FB"/>
    <w:rsid w:val="008220CC"/>
    <w:rsid w:val="00822F1F"/>
    <w:rsid w:val="00823174"/>
    <w:rsid w:val="00823E0E"/>
    <w:rsid w:val="00824FB2"/>
    <w:rsid w:val="0082528D"/>
    <w:rsid w:val="00825751"/>
    <w:rsid w:val="008258C5"/>
    <w:rsid w:val="008264EB"/>
    <w:rsid w:val="008268CE"/>
    <w:rsid w:val="00826920"/>
    <w:rsid w:val="008270CD"/>
    <w:rsid w:val="00827772"/>
    <w:rsid w:val="00827C23"/>
    <w:rsid w:val="00831DDE"/>
    <w:rsid w:val="008325DC"/>
    <w:rsid w:val="008326A4"/>
    <w:rsid w:val="0083271A"/>
    <w:rsid w:val="008336E7"/>
    <w:rsid w:val="00833B05"/>
    <w:rsid w:val="00833D81"/>
    <w:rsid w:val="00834A60"/>
    <w:rsid w:val="00834E34"/>
    <w:rsid w:val="0083560A"/>
    <w:rsid w:val="008362B4"/>
    <w:rsid w:val="00836385"/>
    <w:rsid w:val="008370AA"/>
    <w:rsid w:val="00837B5F"/>
    <w:rsid w:val="00840CA2"/>
    <w:rsid w:val="00840D10"/>
    <w:rsid w:val="008429EB"/>
    <w:rsid w:val="00842CA3"/>
    <w:rsid w:val="0084365A"/>
    <w:rsid w:val="0084374F"/>
    <w:rsid w:val="00843A65"/>
    <w:rsid w:val="00843A6A"/>
    <w:rsid w:val="00843C66"/>
    <w:rsid w:val="00844A22"/>
    <w:rsid w:val="0084717B"/>
    <w:rsid w:val="00847361"/>
    <w:rsid w:val="00847703"/>
    <w:rsid w:val="00847DF5"/>
    <w:rsid w:val="00851069"/>
    <w:rsid w:val="00851C72"/>
    <w:rsid w:val="008523ED"/>
    <w:rsid w:val="0085309D"/>
    <w:rsid w:val="00853662"/>
    <w:rsid w:val="008548D4"/>
    <w:rsid w:val="008552E2"/>
    <w:rsid w:val="0085568A"/>
    <w:rsid w:val="0085661C"/>
    <w:rsid w:val="00856893"/>
    <w:rsid w:val="00856897"/>
    <w:rsid w:val="00856E9A"/>
    <w:rsid w:val="0086075D"/>
    <w:rsid w:val="00860C67"/>
    <w:rsid w:val="0086189E"/>
    <w:rsid w:val="00861D76"/>
    <w:rsid w:val="00861E10"/>
    <w:rsid w:val="00862502"/>
    <w:rsid w:val="00862CC1"/>
    <w:rsid w:val="008642A7"/>
    <w:rsid w:val="00864D4D"/>
    <w:rsid w:val="008654DD"/>
    <w:rsid w:val="00865E54"/>
    <w:rsid w:val="008660D4"/>
    <w:rsid w:val="0087036B"/>
    <w:rsid w:val="00870916"/>
    <w:rsid w:val="00871E10"/>
    <w:rsid w:val="00871FA9"/>
    <w:rsid w:val="008723B2"/>
    <w:rsid w:val="008728E9"/>
    <w:rsid w:val="008730DD"/>
    <w:rsid w:val="0087368C"/>
    <w:rsid w:val="00873858"/>
    <w:rsid w:val="008744B0"/>
    <w:rsid w:val="0087455B"/>
    <w:rsid w:val="00875CFC"/>
    <w:rsid w:val="00876622"/>
    <w:rsid w:val="00877201"/>
    <w:rsid w:val="00877CB7"/>
    <w:rsid w:val="008819C2"/>
    <w:rsid w:val="00881E74"/>
    <w:rsid w:val="00882286"/>
    <w:rsid w:val="00882874"/>
    <w:rsid w:val="00882E3C"/>
    <w:rsid w:val="0088308A"/>
    <w:rsid w:val="00883787"/>
    <w:rsid w:val="00885346"/>
    <w:rsid w:val="008855E4"/>
    <w:rsid w:val="008856B1"/>
    <w:rsid w:val="00886ABB"/>
    <w:rsid w:val="00886CD2"/>
    <w:rsid w:val="0088745C"/>
    <w:rsid w:val="00887733"/>
    <w:rsid w:val="00890A4B"/>
    <w:rsid w:val="00891920"/>
    <w:rsid w:val="00891E6F"/>
    <w:rsid w:val="0089275D"/>
    <w:rsid w:val="00892A36"/>
    <w:rsid w:val="00892DB7"/>
    <w:rsid w:val="00893239"/>
    <w:rsid w:val="00893976"/>
    <w:rsid w:val="00894489"/>
    <w:rsid w:val="00894704"/>
    <w:rsid w:val="00894CD6"/>
    <w:rsid w:val="00894E87"/>
    <w:rsid w:val="00895FFF"/>
    <w:rsid w:val="0089624F"/>
    <w:rsid w:val="008963A5"/>
    <w:rsid w:val="00896585"/>
    <w:rsid w:val="00896604"/>
    <w:rsid w:val="00896C5F"/>
    <w:rsid w:val="00896D34"/>
    <w:rsid w:val="00896D5D"/>
    <w:rsid w:val="00896E14"/>
    <w:rsid w:val="008A26DA"/>
    <w:rsid w:val="008A3158"/>
    <w:rsid w:val="008A3363"/>
    <w:rsid w:val="008A3371"/>
    <w:rsid w:val="008A3C3E"/>
    <w:rsid w:val="008A4757"/>
    <w:rsid w:val="008A525E"/>
    <w:rsid w:val="008A6548"/>
    <w:rsid w:val="008A6634"/>
    <w:rsid w:val="008A6EDF"/>
    <w:rsid w:val="008A79DE"/>
    <w:rsid w:val="008B11C7"/>
    <w:rsid w:val="008B1757"/>
    <w:rsid w:val="008B18A9"/>
    <w:rsid w:val="008B1C33"/>
    <w:rsid w:val="008B3908"/>
    <w:rsid w:val="008B3BEE"/>
    <w:rsid w:val="008B4B6F"/>
    <w:rsid w:val="008B58D3"/>
    <w:rsid w:val="008B596D"/>
    <w:rsid w:val="008B5A6A"/>
    <w:rsid w:val="008B617D"/>
    <w:rsid w:val="008B6D56"/>
    <w:rsid w:val="008B7992"/>
    <w:rsid w:val="008B7D7E"/>
    <w:rsid w:val="008C0C3E"/>
    <w:rsid w:val="008C193D"/>
    <w:rsid w:val="008C205F"/>
    <w:rsid w:val="008C214B"/>
    <w:rsid w:val="008C2774"/>
    <w:rsid w:val="008C2963"/>
    <w:rsid w:val="008C36EE"/>
    <w:rsid w:val="008C487B"/>
    <w:rsid w:val="008C5610"/>
    <w:rsid w:val="008C5739"/>
    <w:rsid w:val="008C5E13"/>
    <w:rsid w:val="008C66EC"/>
    <w:rsid w:val="008C7282"/>
    <w:rsid w:val="008C79BB"/>
    <w:rsid w:val="008C7ECB"/>
    <w:rsid w:val="008D0173"/>
    <w:rsid w:val="008D0D21"/>
    <w:rsid w:val="008D0EED"/>
    <w:rsid w:val="008D185F"/>
    <w:rsid w:val="008D2218"/>
    <w:rsid w:val="008D3112"/>
    <w:rsid w:val="008D3393"/>
    <w:rsid w:val="008D3B86"/>
    <w:rsid w:val="008D43FD"/>
    <w:rsid w:val="008D4755"/>
    <w:rsid w:val="008D4C3D"/>
    <w:rsid w:val="008D5ECD"/>
    <w:rsid w:val="008D61D3"/>
    <w:rsid w:val="008D671B"/>
    <w:rsid w:val="008D68F7"/>
    <w:rsid w:val="008D743C"/>
    <w:rsid w:val="008D7573"/>
    <w:rsid w:val="008D76DE"/>
    <w:rsid w:val="008E0BE9"/>
    <w:rsid w:val="008E0D3C"/>
    <w:rsid w:val="008E0FD7"/>
    <w:rsid w:val="008E1B9E"/>
    <w:rsid w:val="008E219F"/>
    <w:rsid w:val="008E3C62"/>
    <w:rsid w:val="008E3DA9"/>
    <w:rsid w:val="008E4438"/>
    <w:rsid w:val="008E55AB"/>
    <w:rsid w:val="008E6086"/>
    <w:rsid w:val="008E6C33"/>
    <w:rsid w:val="008F120A"/>
    <w:rsid w:val="008F22F6"/>
    <w:rsid w:val="008F27E0"/>
    <w:rsid w:val="008F2EA3"/>
    <w:rsid w:val="008F36D6"/>
    <w:rsid w:val="008F42EB"/>
    <w:rsid w:val="008F48EB"/>
    <w:rsid w:val="008F4F0B"/>
    <w:rsid w:val="008F539E"/>
    <w:rsid w:val="008F680A"/>
    <w:rsid w:val="008F6D11"/>
    <w:rsid w:val="008F7FF8"/>
    <w:rsid w:val="0090207F"/>
    <w:rsid w:val="00902EAA"/>
    <w:rsid w:val="009046C4"/>
    <w:rsid w:val="00904EBE"/>
    <w:rsid w:val="00905699"/>
    <w:rsid w:val="009062A5"/>
    <w:rsid w:val="00907699"/>
    <w:rsid w:val="009104C0"/>
    <w:rsid w:val="00910A1F"/>
    <w:rsid w:val="00910CFD"/>
    <w:rsid w:val="00910FA7"/>
    <w:rsid w:val="00911272"/>
    <w:rsid w:val="00911339"/>
    <w:rsid w:val="00911D32"/>
    <w:rsid w:val="00912445"/>
    <w:rsid w:val="00912D7C"/>
    <w:rsid w:val="009135D6"/>
    <w:rsid w:val="0091408D"/>
    <w:rsid w:val="00914C77"/>
    <w:rsid w:val="0091550F"/>
    <w:rsid w:val="0091567C"/>
    <w:rsid w:val="0092043B"/>
    <w:rsid w:val="00920F29"/>
    <w:rsid w:val="00921ACB"/>
    <w:rsid w:val="00921AF6"/>
    <w:rsid w:val="00922A3E"/>
    <w:rsid w:val="00922ABD"/>
    <w:rsid w:val="00922D38"/>
    <w:rsid w:val="00923061"/>
    <w:rsid w:val="0092369B"/>
    <w:rsid w:val="00923A0A"/>
    <w:rsid w:val="00923C04"/>
    <w:rsid w:val="00923EA4"/>
    <w:rsid w:val="00924439"/>
    <w:rsid w:val="009262BF"/>
    <w:rsid w:val="009263C5"/>
    <w:rsid w:val="009265DB"/>
    <w:rsid w:val="00927BA2"/>
    <w:rsid w:val="0093028E"/>
    <w:rsid w:val="00930365"/>
    <w:rsid w:val="009308FF"/>
    <w:rsid w:val="00930E4B"/>
    <w:rsid w:val="009317C9"/>
    <w:rsid w:val="00931968"/>
    <w:rsid w:val="00931DD0"/>
    <w:rsid w:val="009326DA"/>
    <w:rsid w:val="0093286A"/>
    <w:rsid w:val="00934988"/>
    <w:rsid w:val="00936545"/>
    <w:rsid w:val="00937089"/>
    <w:rsid w:val="0093753E"/>
    <w:rsid w:val="00937F0C"/>
    <w:rsid w:val="009403EE"/>
    <w:rsid w:val="00940401"/>
    <w:rsid w:val="0094097C"/>
    <w:rsid w:val="0094172C"/>
    <w:rsid w:val="00941A96"/>
    <w:rsid w:val="00942E1C"/>
    <w:rsid w:val="00944212"/>
    <w:rsid w:val="00944E43"/>
    <w:rsid w:val="00944F8A"/>
    <w:rsid w:val="00945086"/>
    <w:rsid w:val="009476D1"/>
    <w:rsid w:val="009476F8"/>
    <w:rsid w:val="00950569"/>
    <w:rsid w:val="009510A2"/>
    <w:rsid w:val="00951EE4"/>
    <w:rsid w:val="00952DA7"/>
    <w:rsid w:val="00952F6A"/>
    <w:rsid w:val="00953257"/>
    <w:rsid w:val="00953503"/>
    <w:rsid w:val="00953DF1"/>
    <w:rsid w:val="0095474C"/>
    <w:rsid w:val="009549FE"/>
    <w:rsid w:val="00954F4F"/>
    <w:rsid w:val="00955335"/>
    <w:rsid w:val="00956688"/>
    <w:rsid w:val="00957D92"/>
    <w:rsid w:val="00961778"/>
    <w:rsid w:val="0096178D"/>
    <w:rsid w:val="00961D85"/>
    <w:rsid w:val="00962CB9"/>
    <w:rsid w:val="00962E43"/>
    <w:rsid w:val="009641BE"/>
    <w:rsid w:val="00964312"/>
    <w:rsid w:val="00965887"/>
    <w:rsid w:val="00965AB5"/>
    <w:rsid w:val="00965B8A"/>
    <w:rsid w:val="00965FE6"/>
    <w:rsid w:val="00970340"/>
    <w:rsid w:val="009703AF"/>
    <w:rsid w:val="0097071F"/>
    <w:rsid w:val="00970FE6"/>
    <w:rsid w:val="009717AC"/>
    <w:rsid w:val="00972590"/>
    <w:rsid w:val="00973020"/>
    <w:rsid w:val="009739D0"/>
    <w:rsid w:val="009740B8"/>
    <w:rsid w:val="009751C1"/>
    <w:rsid w:val="00976248"/>
    <w:rsid w:val="0097668A"/>
    <w:rsid w:val="00980DA4"/>
    <w:rsid w:val="009811F1"/>
    <w:rsid w:val="0098304B"/>
    <w:rsid w:val="00983E57"/>
    <w:rsid w:val="00983FB9"/>
    <w:rsid w:val="0098422E"/>
    <w:rsid w:val="0098449E"/>
    <w:rsid w:val="00984DB8"/>
    <w:rsid w:val="00984E4A"/>
    <w:rsid w:val="00985939"/>
    <w:rsid w:val="00985DE2"/>
    <w:rsid w:val="00986692"/>
    <w:rsid w:val="0098675D"/>
    <w:rsid w:val="00987B11"/>
    <w:rsid w:val="00987BA4"/>
    <w:rsid w:val="00991026"/>
    <w:rsid w:val="0099180B"/>
    <w:rsid w:val="009919B6"/>
    <w:rsid w:val="009919E8"/>
    <w:rsid w:val="00991BD0"/>
    <w:rsid w:val="009924FA"/>
    <w:rsid w:val="009926E0"/>
    <w:rsid w:val="00993B8A"/>
    <w:rsid w:val="0099451E"/>
    <w:rsid w:val="00994AE7"/>
    <w:rsid w:val="00994D55"/>
    <w:rsid w:val="00995D3B"/>
    <w:rsid w:val="00996B1A"/>
    <w:rsid w:val="00997193"/>
    <w:rsid w:val="009A18F6"/>
    <w:rsid w:val="009A2DCC"/>
    <w:rsid w:val="009A45B1"/>
    <w:rsid w:val="009A56EF"/>
    <w:rsid w:val="009A5ABC"/>
    <w:rsid w:val="009A5B80"/>
    <w:rsid w:val="009A5E86"/>
    <w:rsid w:val="009A641D"/>
    <w:rsid w:val="009A68A4"/>
    <w:rsid w:val="009A7F10"/>
    <w:rsid w:val="009B18AD"/>
    <w:rsid w:val="009B2560"/>
    <w:rsid w:val="009B3154"/>
    <w:rsid w:val="009B3E26"/>
    <w:rsid w:val="009B53D5"/>
    <w:rsid w:val="009B56E6"/>
    <w:rsid w:val="009B64C9"/>
    <w:rsid w:val="009B74F1"/>
    <w:rsid w:val="009C0A13"/>
    <w:rsid w:val="009C1271"/>
    <w:rsid w:val="009C2B6F"/>
    <w:rsid w:val="009C3505"/>
    <w:rsid w:val="009C3706"/>
    <w:rsid w:val="009C3A3A"/>
    <w:rsid w:val="009C459C"/>
    <w:rsid w:val="009C4936"/>
    <w:rsid w:val="009C4EC4"/>
    <w:rsid w:val="009C6CEA"/>
    <w:rsid w:val="009C7B85"/>
    <w:rsid w:val="009D0123"/>
    <w:rsid w:val="009D0130"/>
    <w:rsid w:val="009D0254"/>
    <w:rsid w:val="009D1A03"/>
    <w:rsid w:val="009D1A64"/>
    <w:rsid w:val="009D1C90"/>
    <w:rsid w:val="009D23BB"/>
    <w:rsid w:val="009D2739"/>
    <w:rsid w:val="009D354D"/>
    <w:rsid w:val="009D3B4F"/>
    <w:rsid w:val="009D5B91"/>
    <w:rsid w:val="009D7835"/>
    <w:rsid w:val="009D792E"/>
    <w:rsid w:val="009E03EF"/>
    <w:rsid w:val="009E051F"/>
    <w:rsid w:val="009E0D58"/>
    <w:rsid w:val="009E0DFE"/>
    <w:rsid w:val="009E106F"/>
    <w:rsid w:val="009E1291"/>
    <w:rsid w:val="009E2D19"/>
    <w:rsid w:val="009E31F6"/>
    <w:rsid w:val="009E384B"/>
    <w:rsid w:val="009E4C07"/>
    <w:rsid w:val="009E660D"/>
    <w:rsid w:val="009E6C46"/>
    <w:rsid w:val="009E6D11"/>
    <w:rsid w:val="009E777F"/>
    <w:rsid w:val="009F1386"/>
    <w:rsid w:val="009F171F"/>
    <w:rsid w:val="009F1D63"/>
    <w:rsid w:val="009F2B4C"/>
    <w:rsid w:val="009F384E"/>
    <w:rsid w:val="009F395D"/>
    <w:rsid w:val="009F4AF3"/>
    <w:rsid w:val="009F5A26"/>
    <w:rsid w:val="009F6120"/>
    <w:rsid w:val="009F6B69"/>
    <w:rsid w:val="00A00D76"/>
    <w:rsid w:val="00A00FEE"/>
    <w:rsid w:val="00A01184"/>
    <w:rsid w:val="00A01449"/>
    <w:rsid w:val="00A02C63"/>
    <w:rsid w:val="00A037C2"/>
    <w:rsid w:val="00A03D43"/>
    <w:rsid w:val="00A04380"/>
    <w:rsid w:val="00A04786"/>
    <w:rsid w:val="00A0527B"/>
    <w:rsid w:val="00A0528E"/>
    <w:rsid w:val="00A05472"/>
    <w:rsid w:val="00A05C32"/>
    <w:rsid w:val="00A0653F"/>
    <w:rsid w:val="00A06BE9"/>
    <w:rsid w:val="00A0733F"/>
    <w:rsid w:val="00A0754A"/>
    <w:rsid w:val="00A07FB9"/>
    <w:rsid w:val="00A102CF"/>
    <w:rsid w:val="00A108F8"/>
    <w:rsid w:val="00A11CD0"/>
    <w:rsid w:val="00A11D0A"/>
    <w:rsid w:val="00A122A0"/>
    <w:rsid w:val="00A12494"/>
    <w:rsid w:val="00A1256E"/>
    <w:rsid w:val="00A12B40"/>
    <w:rsid w:val="00A13948"/>
    <w:rsid w:val="00A14222"/>
    <w:rsid w:val="00A14B40"/>
    <w:rsid w:val="00A151C2"/>
    <w:rsid w:val="00A1555B"/>
    <w:rsid w:val="00A155C5"/>
    <w:rsid w:val="00A15912"/>
    <w:rsid w:val="00A16665"/>
    <w:rsid w:val="00A16AD8"/>
    <w:rsid w:val="00A20093"/>
    <w:rsid w:val="00A2021E"/>
    <w:rsid w:val="00A202E5"/>
    <w:rsid w:val="00A21C95"/>
    <w:rsid w:val="00A21CF3"/>
    <w:rsid w:val="00A2225D"/>
    <w:rsid w:val="00A22BB8"/>
    <w:rsid w:val="00A23D39"/>
    <w:rsid w:val="00A23D67"/>
    <w:rsid w:val="00A2443E"/>
    <w:rsid w:val="00A246D2"/>
    <w:rsid w:val="00A24813"/>
    <w:rsid w:val="00A2526A"/>
    <w:rsid w:val="00A25B6B"/>
    <w:rsid w:val="00A26418"/>
    <w:rsid w:val="00A26EE8"/>
    <w:rsid w:val="00A277A1"/>
    <w:rsid w:val="00A27AEC"/>
    <w:rsid w:val="00A27BDA"/>
    <w:rsid w:val="00A3036B"/>
    <w:rsid w:val="00A303E1"/>
    <w:rsid w:val="00A3134B"/>
    <w:rsid w:val="00A320DB"/>
    <w:rsid w:val="00A3408B"/>
    <w:rsid w:val="00A34412"/>
    <w:rsid w:val="00A34681"/>
    <w:rsid w:val="00A34864"/>
    <w:rsid w:val="00A34A15"/>
    <w:rsid w:val="00A352C3"/>
    <w:rsid w:val="00A3539D"/>
    <w:rsid w:val="00A35969"/>
    <w:rsid w:val="00A35A73"/>
    <w:rsid w:val="00A35D16"/>
    <w:rsid w:val="00A36E66"/>
    <w:rsid w:val="00A36E84"/>
    <w:rsid w:val="00A37BCD"/>
    <w:rsid w:val="00A406EC"/>
    <w:rsid w:val="00A41641"/>
    <w:rsid w:val="00A41689"/>
    <w:rsid w:val="00A41823"/>
    <w:rsid w:val="00A41954"/>
    <w:rsid w:val="00A42592"/>
    <w:rsid w:val="00A432DD"/>
    <w:rsid w:val="00A43C59"/>
    <w:rsid w:val="00A46128"/>
    <w:rsid w:val="00A468C0"/>
    <w:rsid w:val="00A46E2B"/>
    <w:rsid w:val="00A47A04"/>
    <w:rsid w:val="00A503A1"/>
    <w:rsid w:val="00A505BD"/>
    <w:rsid w:val="00A50ECD"/>
    <w:rsid w:val="00A51772"/>
    <w:rsid w:val="00A518F3"/>
    <w:rsid w:val="00A51BBC"/>
    <w:rsid w:val="00A52237"/>
    <w:rsid w:val="00A52729"/>
    <w:rsid w:val="00A53675"/>
    <w:rsid w:val="00A53744"/>
    <w:rsid w:val="00A552A6"/>
    <w:rsid w:val="00A55B4B"/>
    <w:rsid w:val="00A55D64"/>
    <w:rsid w:val="00A55D8C"/>
    <w:rsid w:val="00A55DC4"/>
    <w:rsid w:val="00A56205"/>
    <w:rsid w:val="00A564A3"/>
    <w:rsid w:val="00A564D7"/>
    <w:rsid w:val="00A56A6E"/>
    <w:rsid w:val="00A56AA2"/>
    <w:rsid w:val="00A56B6A"/>
    <w:rsid w:val="00A56CD0"/>
    <w:rsid w:val="00A578DC"/>
    <w:rsid w:val="00A60E12"/>
    <w:rsid w:val="00A616B0"/>
    <w:rsid w:val="00A6373B"/>
    <w:rsid w:val="00A640E2"/>
    <w:rsid w:val="00A64A75"/>
    <w:rsid w:val="00A64D65"/>
    <w:rsid w:val="00A6725B"/>
    <w:rsid w:val="00A6741D"/>
    <w:rsid w:val="00A7034A"/>
    <w:rsid w:val="00A7037C"/>
    <w:rsid w:val="00A70605"/>
    <w:rsid w:val="00A71727"/>
    <w:rsid w:val="00A71C3C"/>
    <w:rsid w:val="00A72821"/>
    <w:rsid w:val="00A72BB3"/>
    <w:rsid w:val="00A72E97"/>
    <w:rsid w:val="00A7301A"/>
    <w:rsid w:val="00A73134"/>
    <w:rsid w:val="00A7365A"/>
    <w:rsid w:val="00A75459"/>
    <w:rsid w:val="00A75F64"/>
    <w:rsid w:val="00A76001"/>
    <w:rsid w:val="00A777B2"/>
    <w:rsid w:val="00A7795A"/>
    <w:rsid w:val="00A77BBC"/>
    <w:rsid w:val="00A77DB7"/>
    <w:rsid w:val="00A8054E"/>
    <w:rsid w:val="00A80B49"/>
    <w:rsid w:val="00A812F1"/>
    <w:rsid w:val="00A8142D"/>
    <w:rsid w:val="00A8153A"/>
    <w:rsid w:val="00A81A8F"/>
    <w:rsid w:val="00A82481"/>
    <w:rsid w:val="00A825D4"/>
    <w:rsid w:val="00A828F6"/>
    <w:rsid w:val="00A829FC"/>
    <w:rsid w:val="00A82B73"/>
    <w:rsid w:val="00A83A67"/>
    <w:rsid w:val="00A83A87"/>
    <w:rsid w:val="00A8512A"/>
    <w:rsid w:val="00A8548B"/>
    <w:rsid w:val="00A85A6E"/>
    <w:rsid w:val="00A85C79"/>
    <w:rsid w:val="00A86E8B"/>
    <w:rsid w:val="00A86E9E"/>
    <w:rsid w:val="00A87140"/>
    <w:rsid w:val="00A87164"/>
    <w:rsid w:val="00A871A9"/>
    <w:rsid w:val="00A87805"/>
    <w:rsid w:val="00A90CEB"/>
    <w:rsid w:val="00A90DA9"/>
    <w:rsid w:val="00A91852"/>
    <w:rsid w:val="00A9194A"/>
    <w:rsid w:val="00A9196D"/>
    <w:rsid w:val="00A93072"/>
    <w:rsid w:val="00A9358A"/>
    <w:rsid w:val="00A938BD"/>
    <w:rsid w:val="00A93953"/>
    <w:rsid w:val="00A939A1"/>
    <w:rsid w:val="00A947BC"/>
    <w:rsid w:val="00A94EF1"/>
    <w:rsid w:val="00A95683"/>
    <w:rsid w:val="00A959D8"/>
    <w:rsid w:val="00A95F02"/>
    <w:rsid w:val="00A96125"/>
    <w:rsid w:val="00A96B4B"/>
    <w:rsid w:val="00A97EBD"/>
    <w:rsid w:val="00AA0824"/>
    <w:rsid w:val="00AA113D"/>
    <w:rsid w:val="00AA1B3D"/>
    <w:rsid w:val="00AA1D32"/>
    <w:rsid w:val="00AA2024"/>
    <w:rsid w:val="00AA2BEF"/>
    <w:rsid w:val="00AA5803"/>
    <w:rsid w:val="00AA6BD5"/>
    <w:rsid w:val="00AA6BD8"/>
    <w:rsid w:val="00AA6C7D"/>
    <w:rsid w:val="00AA6C9D"/>
    <w:rsid w:val="00AA7831"/>
    <w:rsid w:val="00AA7AAD"/>
    <w:rsid w:val="00AA7FD6"/>
    <w:rsid w:val="00AB042A"/>
    <w:rsid w:val="00AB09CF"/>
    <w:rsid w:val="00AB11AD"/>
    <w:rsid w:val="00AB17F1"/>
    <w:rsid w:val="00AB19EF"/>
    <w:rsid w:val="00AB2495"/>
    <w:rsid w:val="00AB2D34"/>
    <w:rsid w:val="00AB3229"/>
    <w:rsid w:val="00AB3430"/>
    <w:rsid w:val="00AB37B9"/>
    <w:rsid w:val="00AB37C8"/>
    <w:rsid w:val="00AB38DE"/>
    <w:rsid w:val="00AB4AD1"/>
    <w:rsid w:val="00AB5E07"/>
    <w:rsid w:val="00AB6279"/>
    <w:rsid w:val="00AB69A5"/>
    <w:rsid w:val="00AB6A01"/>
    <w:rsid w:val="00AB7CFA"/>
    <w:rsid w:val="00AB7E45"/>
    <w:rsid w:val="00AC1393"/>
    <w:rsid w:val="00AC3112"/>
    <w:rsid w:val="00AC475A"/>
    <w:rsid w:val="00AC47D6"/>
    <w:rsid w:val="00AC5B42"/>
    <w:rsid w:val="00AC5B48"/>
    <w:rsid w:val="00AC6AB0"/>
    <w:rsid w:val="00AC6D08"/>
    <w:rsid w:val="00AC7515"/>
    <w:rsid w:val="00AD1140"/>
    <w:rsid w:val="00AD1357"/>
    <w:rsid w:val="00AD1450"/>
    <w:rsid w:val="00AD15E8"/>
    <w:rsid w:val="00AD26E5"/>
    <w:rsid w:val="00AD2E2C"/>
    <w:rsid w:val="00AD3273"/>
    <w:rsid w:val="00AD3505"/>
    <w:rsid w:val="00AD356D"/>
    <w:rsid w:val="00AD3608"/>
    <w:rsid w:val="00AD376A"/>
    <w:rsid w:val="00AD4679"/>
    <w:rsid w:val="00AD5237"/>
    <w:rsid w:val="00AD59C4"/>
    <w:rsid w:val="00AD5A7D"/>
    <w:rsid w:val="00AD6502"/>
    <w:rsid w:val="00AD656D"/>
    <w:rsid w:val="00AE0625"/>
    <w:rsid w:val="00AE0695"/>
    <w:rsid w:val="00AE1C9B"/>
    <w:rsid w:val="00AE25CC"/>
    <w:rsid w:val="00AE297B"/>
    <w:rsid w:val="00AE3A42"/>
    <w:rsid w:val="00AE3E7E"/>
    <w:rsid w:val="00AE43E4"/>
    <w:rsid w:val="00AE4A12"/>
    <w:rsid w:val="00AE70E1"/>
    <w:rsid w:val="00AE7435"/>
    <w:rsid w:val="00AE77B6"/>
    <w:rsid w:val="00AE7E53"/>
    <w:rsid w:val="00AF030F"/>
    <w:rsid w:val="00AF0D1C"/>
    <w:rsid w:val="00AF0E62"/>
    <w:rsid w:val="00AF0F68"/>
    <w:rsid w:val="00AF1315"/>
    <w:rsid w:val="00AF19BF"/>
    <w:rsid w:val="00AF2AFE"/>
    <w:rsid w:val="00AF2DC3"/>
    <w:rsid w:val="00AF39FB"/>
    <w:rsid w:val="00AF6428"/>
    <w:rsid w:val="00AF76D1"/>
    <w:rsid w:val="00AF7A36"/>
    <w:rsid w:val="00B0272C"/>
    <w:rsid w:val="00B0290E"/>
    <w:rsid w:val="00B033E5"/>
    <w:rsid w:val="00B03A63"/>
    <w:rsid w:val="00B046C2"/>
    <w:rsid w:val="00B04E2E"/>
    <w:rsid w:val="00B0781F"/>
    <w:rsid w:val="00B07F0C"/>
    <w:rsid w:val="00B10FB1"/>
    <w:rsid w:val="00B11474"/>
    <w:rsid w:val="00B12004"/>
    <w:rsid w:val="00B1219D"/>
    <w:rsid w:val="00B123E4"/>
    <w:rsid w:val="00B129A4"/>
    <w:rsid w:val="00B134AF"/>
    <w:rsid w:val="00B1521D"/>
    <w:rsid w:val="00B1564A"/>
    <w:rsid w:val="00B16A3D"/>
    <w:rsid w:val="00B201A4"/>
    <w:rsid w:val="00B201D1"/>
    <w:rsid w:val="00B20659"/>
    <w:rsid w:val="00B20A6B"/>
    <w:rsid w:val="00B20BB6"/>
    <w:rsid w:val="00B210AA"/>
    <w:rsid w:val="00B213A6"/>
    <w:rsid w:val="00B22179"/>
    <w:rsid w:val="00B235B0"/>
    <w:rsid w:val="00B23705"/>
    <w:rsid w:val="00B245E3"/>
    <w:rsid w:val="00B24DF6"/>
    <w:rsid w:val="00B2500D"/>
    <w:rsid w:val="00B25577"/>
    <w:rsid w:val="00B27A61"/>
    <w:rsid w:val="00B305E5"/>
    <w:rsid w:val="00B31282"/>
    <w:rsid w:val="00B32169"/>
    <w:rsid w:val="00B327BB"/>
    <w:rsid w:val="00B33CD1"/>
    <w:rsid w:val="00B34FE2"/>
    <w:rsid w:val="00B35166"/>
    <w:rsid w:val="00B357D8"/>
    <w:rsid w:val="00B35F46"/>
    <w:rsid w:val="00B360F4"/>
    <w:rsid w:val="00B36A00"/>
    <w:rsid w:val="00B3792B"/>
    <w:rsid w:val="00B37AA9"/>
    <w:rsid w:val="00B37B55"/>
    <w:rsid w:val="00B37BFC"/>
    <w:rsid w:val="00B40358"/>
    <w:rsid w:val="00B41614"/>
    <w:rsid w:val="00B42851"/>
    <w:rsid w:val="00B42F80"/>
    <w:rsid w:val="00B435CB"/>
    <w:rsid w:val="00B44E23"/>
    <w:rsid w:val="00B44FDA"/>
    <w:rsid w:val="00B45B7A"/>
    <w:rsid w:val="00B45FA9"/>
    <w:rsid w:val="00B46027"/>
    <w:rsid w:val="00B46218"/>
    <w:rsid w:val="00B465EC"/>
    <w:rsid w:val="00B46DF8"/>
    <w:rsid w:val="00B505C8"/>
    <w:rsid w:val="00B50DB8"/>
    <w:rsid w:val="00B50F58"/>
    <w:rsid w:val="00B51713"/>
    <w:rsid w:val="00B52E6C"/>
    <w:rsid w:val="00B5319E"/>
    <w:rsid w:val="00B533B9"/>
    <w:rsid w:val="00B53409"/>
    <w:rsid w:val="00B53654"/>
    <w:rsid w:val="00B5370E"/>
    <w:rsid w:val="00B538F3"/>
    <w:rsid w:val="00B53905"/>
    <w:rsid w:val="00B53B26"/>
    <w:rsid w:val="00B546DB"/>
    <w:rsid w:val="00B54B5B"/>
    <w:rsid w:val="00B5562E"/>
    <w:rsid w:val="00B55862"/>
    <w:rsid w:val="00B558C0"/>
    <w:rsid w:val="00B55D65"/>
    <w:rsid w:val="00B562AE"/>
    <w:rsid w:val="00B56305"/>
    <w:rsid w:val="00B5662E"/>
    <w:rsid w:val="00B57000"/>
    <w:rsid w:val="00B570DF"/>
    <w:rsid w:val="00B60713"/>
    <w:rsid w:val="00B60939"/>
    <w:rsid w:val="00B60AFD"/>
    <w:rsid w:val="00B6261A"/>
    <w:rsid w:val="00B62715"/>
    <w:rsid w:val="00B6273A"/>
    <w:rsid w:val="00B62962"/>
    <w:rsid w:val="00B62DBB"/>
    <w:rsid w:val="00B63474"/>
    <w:rsid w:val="00B65611"/>
    <w:rsid w:val="00B6572E"/>
    <w:rsid w:val="00B65B64"/>
    <w:rsid w:val="00B663AD"/>
    <w:rsid w:val="00B670A5"/>
    <w:rsid w:val="00B705DE"/>
    <w:rsid w:val="00B70E8E"/>
    <w:rsid w:val="00B70F6E"/>
    <w:rsid w:val="00B71272"/>
    <w:rsid w:val="00B71F65"/>
    <w:rsid w:val="00B72AD9"/>
    <w:rsid w:val="00B73FA7"/>
    <w:rsid w:val="00B74467"/>
    <w:rsid w:val="00B74A13"/>
    <w:rsid w:val="00B753F8"/>
    <w:rsid w:val="00B75637"/>
    <w:rsid w:val="00B76C92"/>
    <w:rsid w:val="00B77378"/>
    <w:rsid w:val="00B77A4D"/>
    <w:rsid w:val="00B8061B"/>
    <w:rsid w:val="00B80D01"/>
    <w:rsid w:val="00B80EFD"/>
    <w:rsid w:val="00B818A4"/>
    <w:rsid w:val="00B81CD7"/>
    <w:rsid w:val="00B83739"/>
    <w:rsid w:val="00B84117"/>
    <w:rsid w:val="00B85566"/>
    <w:rsid w:val="00B855DA"/>
    <w:rsid w:val="00B8563D"/>
    <w:rsid w:val="00B85692"/>
    <w:rsid w:val="00B858F0"/>
    <w:rsid w:val="00B85AA2"/>
    <w:rsid w:val="00B8649C"/>
    <w:rsid w:val="00B86561"/>
    <w:rsid w:val="00B8695D"/>
    <w:rsid w:val="00B876AB"/>
    <w:rsid w:val="00B87F0A"/>
    <w:rsid w:val="00B90283"/>
    <w:rsid w:val="00B91580"/>
    <w:rsid w:val="00B916DB"/>
    <w:rsid w:val="00B92B80"/>
    <w:rsid w:val="00B92CDE"/>
    <w:rsid w:val="00B92D0B"/>
    <w:rsid w:val="00B93601"/>
    <w:rsid w:val="00B93628"/>
    <w:rsid w:val="00B938CE"/>
    <w:rsid w:val="00B9390F"/>
    <w:rsid w:val="00B947E6"/>
    <w:rsid w:val="00B94945"/>
    <w:rsid w:val="00B94DD6"/>
    <w:rsid w:val="00B963C2"/>
    <w:rsid w:val="00B96E96"/>
    <w:rsid w:val="00B96EC8"/>
    <w:rsid w:val="00B9721E"/>
    <w:rsid w:val="00BA1BDF"/>
    <w:rsid w:val="00BA322D"/>
    <w:rsid w:val="00BA39CC"/>
    <w:rsid w:val="00BA41E9"/>
    <w:rsid w:val="00BA63FA"/>
    <w:rsid w:val="00BA6734"/>
    <w:rsid w:val="00BA684B"/>
    <w:rsid w:val="00BA7491"/>
    <w:rsid w:val="00BA77EF"/>
    <w:rsid w:val="00BA7E36"/>
    <w:rsid w:val="00BADADA"/>
    <w:rsid w:val="00BB00B3"/>
    <w:rsid w:val="00BB029F"/>
    <w:rsid w:val="00BB0BDD"/>
    <w:rsid w:val="00BB176C"/>
    <w:rsid w:val="00BB179F"/>
    <w:rsid w:val="00BB1BFC"/>
    <w:rsid w:val="00BB271B"/>
    <w:rsid w:val="00BB2A73"/>
    <w:rsid w:val="00BB2E59"/>
    <w:rsid w:val="00BB3407"/>
    <w:rsid w:val="00BB36F4"/>
    <w:rsid w:val="00BB3A45"/>
    <w:rsid w:val="00BB3CC7"/>
    <w:rsid w:val="00BB4ACC"/>
    <w:rsid w:val="00BB4EEF"/>
    <w:rsid w:val="00BB5E3B"/>
    <w:rsid w:val="00BB6C72"/>
    <w:rsid w:val="00BB703E"/>
    <w:rsid w:val="00BB732D"/>
    <w:rsid w:val="00BB7405"/>
    <w:rsid w:val="00BB767D"/>
    <w:rsid w:val="00BC0609"/>
    <w:rsid w:val="00BC084E"/>
    <w:rsid w:val="00BC1642"/>
    <w:rsid w:val="00BC3631"/>
    <w:rsid w:val="00BC559F"/>
    <w:rsid w:val="00BC591F"/>
    <w:rsid w:val="00BC622F"/>
    <w:rsid w:val="00BC6B58"/>
    <w:rsid w:val="00BC6EFF"/>
    <w:rsid w:val="00BC72D9"/>
    <w:rsid w:val="00BC7D6D"/>
    <w:rsid w:val="00BD09E1"/>
    <w:rsid w:val="00BD14CB"/>
    <w:rsid w:val="00BD2108"/>
    <w:rsid w:val="00BD2BEB"/>
    <w:rsid w:val="00BD37C2"/>
    <w:rsid w:val="00BD68A3"/>
    <w:rsid w:val="00BD68E6"/>
    <w:rsid w:val="00BD6938"/>
    <w:rsid w:val="00BD6CF3"/>
    <w:rsid w:val="00BD6E3F"/>
    <w:rsid w:val="00BD7934"/>
    <w:rsid w:val="00BD7F72"/>
    <w:rsid w:val="00BE0262"/>
    <w:rsid w:val="00BE0ECA"/>
    <w:rsid w:val="00BE1441"/>
    <w:rsid w:val="00BE1620"/>
    <w:rsid w:val="00BE2123"/>
    <w:rsid w:val="00BE2180"/>
    <w:rsid w:val="00BE21F2"/>
    <w:rsid w:val="00BE2534"/>
    <w:rsid w:val="00BE2550"/>
    <w:rsid w:val="00BE2851"/>
    <w:rsid w:val="00BE3A12"/>
    <w:rsid w:val="00BE4275"/>
    <w:rsid w:val="00BE466A"/>
    <w:rsid w:val="00BE4E54"/>
    <w:rsid w:val="00BE4FC9"/>
    <w:rsid w:val="00BE7390"/>
    <w:rsid w:val="00BF00A1"/>
    <w:rsid w:val="00BF032F"/>
    <w:rsid w:val="00BF066A"/>
    <w:rsid w:val="00BF06AE"/>
    <w:rsid w:val="00BF0F95"/>
    <w:rsid w:val="00BF1426"/>
    <w:rsid w:val="00BF223C"/>
    <w:rsid w:val="00BF2433"/>
    <w:rsid w:val="00BF28A4"/>
    <w:rsid w:val="00BF2E6E"/>
    <w:rsid w:val="00BF4AEE"/>
    <w:rsid w:val="00BF55BB"/>
    <w:rsid w:val="00BF61C9"/>
    <w:rsid w:val="00BF6C94"/>
    <w:rsid w:val="00BF6E94"/>
    <w:rsid w:val="00C00155"/>
    <w:rsid w:val="00C00424"/>
    <w:rsid w:val="00C00AAD"/>
    <w:rsid w:val="00C00BB0"/>
    <w:rsid w:val="00C013EF"/>
    <w:rsid w:val="00C016B1"/>
    <w:rsid w:val="00C01884"/>
    <w:rsid w:val="00C01B5F"/>
    <w:rsid w:val="00C025C3"/>
    <w:rsid w:val="00C02CCE"/>
    <w:rsid w:val="00C039DF"/>
    <w:rsid w:val="00C03CB7"/>
    <w:rsid w:val="00C042D3"/>
    <w:rsid w:val="00C06063"/>
    <w:rsid w:val="00C06FA6"/>
    <w:rsid w:val="00C06FC9"/>
    <w:rsid w:val="00C07A67"/>
    <w:rsid w:val="00C11616"/>
    <w:rsid w:val="00C1179F"/>
    <w:rsid w:val="00C1266D"/>
    <w:rsid w:val="00C127B9"/>
    <w:rsid w:val="00C128FA"/>
    <w:rsid w:val="00C12C14"/>
    <w:rsid w:val="00C13393"/>
    <w:rsid w:val="00C14346"/>
    <w:rsid w:val="00C1510C"/>
    <w:rsid w:val="00C15AD2"/>
    <w:rsid w:val="00C15D00"/>
    <w:rsid w:val="00C15D2B"/>
    <w:rsid w:val="00C15D87"/>
    <w:rsid w:val="00C15E92"/>
    <w:rsid w:val="00C15F04"/>
    <w:rsid w:val="00C16AF7"/>
    <w:rsid w:val="00C16E29"/>
    <w:rsid w:val="00C178AC"/>
    <w:rsid w:val="00C179B3"/>
    <w:rsid w:val="00C17E3F"/>
    <w:rsid w:val="00C200AA"/>
    <w:rsid w:val="00C20C16"/>
    <w:rsid w:val="00C20DEE"/>
    <w:rsid w:val="00C219C3"/>
    <w:rsid w:val="00C22C51"/>
    <w:rsid w:val="00C22C95"/>
    <w:rsid w:val="00C22F14"/>
    <w:rsid w:val="00C2350F"/>
    <w:rsid w:val="00C237ED"/>
    <w:rsid w:val="00C24632"/>
    <w:rsid w:val="00C247A7"/>
    <w:rsid w:val="00C24C36"/>
    <w:rsid w:val="00C25418"/>
    <w:rsid w:val="00C2595B"/>
    <w:rsid w:val="00C25D9C"/>
    <w:rsid w:val="00C26889"/>
    <w:rsid w:val="00C26C65"/>
    <w:rsid w:val="00C26E05"/>
    <w:rsid w:val="00C26FEE"/>
    <w:rsid w:val="00C2708B"/>
    <w:rsid w:val="00C2736C"/>
    <w:rsid w:val="00C2778B"/>
    <w:rsid w:val="00C301FF"/>
    <w:rsid w:val="00C30265"/>
    <w:rsid w:val="00C30AFA"/>
    <w:rsid w:val="00C31649"/>
    <w:rsid w:val="00C32E30"/>
    <w:rsid w:val="00C3434C"/>
    <w:rsid w:val="00C40385"/>
    <w:rsid w:val="00C40A37"/>
    <w:rsid w:val="00C41468"/>
    <w:rsid w:val="00C4158F"/>
    <w:rsid w:val="00C41768"/>
    <w:rsid w:val="00C44AA2"/>
    <w:rsid w:val="00C44AF2"/>
    <w:rsid w:val="00C44B9A"/>
    <w:rsid w:val="00C4507C"/>
    <w:rsid w:val="00C45CFA"/>
    <w:rsid w:val="00C46BEA"/>
    <w:rsid w:val="00C47388"/>
    <w:rsid w:val="00C475AA"/>
    <w:rsid w:val="00C51C35"/>
    <w:rsid w:val="00C52655"/>
    <w:rsid w:val="00C527C7"/>
    <w:rsid w:val="00C53C98"/>
    <w:rsid w:val="00C53E97"/>
    <w:rsid w:val="00C54AC3"/>
    <w:rsid w:val="00C55574"/>
    <w:rsid w:val="00C55819"/>
    <w:rsid w:val="00C568B0"/>
    <w:rsid w:val="00C56FCF"/>
    <w:rsid w:val="00C57B09"/>
    <w:rsid w:val="00C57B6C"/>
    <w:rsid w:val="00C615B1"/>
    <w:rsid w:val="00C61697"/>
    <w:rsid w:val="00C61A59"/>
    <w:rsid w:val="00C61B34"/>
    <w:rsid w:val="00C6269E"/>
    <w:rsid w:val="00C628A6"/>
    <w:rsid w:val="00C64344"/>
    <w:rsid w:val="00C65108"/>
    <w:rsid w:val="00C65576"/>
    <w:rsid w:val="00C6586C"/>
    <w:rsid w:val="00C66165"/>
    <w:rsid w:val="00C670B8"/>
    <w:rsid w:val="00C67560"/>
    <w:rsid w:val="00C67562"/>
    <w:rsid w:val="00C701A2"/>
    <w:rsid w:val="00C7060A"/>
    <w:rsid w:val="00C71260"/>
    <w:rsid w:val="00C7151A"/>
    <w:rsid w:val="00C717E3"/>
    <w:rsid w:val="00C71B0E"/>
    <w:rsid w:val="00C71F60"/>
    <w:rsid w:val="00C7218B"/>
    <w:rsid w:val="00C72241"/>
    <w:rsid w:val="00C731F4"/>
    <w:rsid w:val="00C74A22"/>
    <w:rsid w:val="00C750C8"/>
    <w:rsid w:val="00C7559D"/>
    <w:rsid w:val="00C7560F"/>
    <w:rsid w:val="00C76A66"/>
    <w:rsid w:val="00C77289"/>
    <w:rsid w:val="00C779C9"/>
    <w:rsid w:val="00C801EF"/>
    <w:rsid w:val="00C80A0E"/>
    <w:rsid w:val="00C8213F"/>
    <w:rsid w:val="00C82721"/>
    <w:rsid w:val="00C8303F"/>
    <w:rsid w:val="00C84437"/>
    <w:rsid w:val="00C85001"/>
    <w:rsid w:val="00C85154"/>
    <w:rsid w:val="00C85373"/>
    <w:rsid w:val="00C85A70"/>
    <w:rsid w:val="00C85BF2"/>
    <w:rsid w:val="00C86854"/>
    <w:rsid w:val="00C86B1D"/>
    <w:rsid w:val="00C87129"/>
    <w:rsid w:val="00C8797A"/>
    <w:rsid w:val="00C900B8"/>
    <w:rsid w:val="00C90197"/>
    <w:rsid w:val="00C90C71"/>
    <w:rsid w:val="00C91436"/>
    <w:rsid w:val="00C91FD1"/>
    <w:rsid w:val="00C931CF"/>
    <w:rsid w:val="00C938CF"/>
    <w:rsid w:val="00C94053"/>
    <w:rsid w:val="00C958B0"/>
    <w:rsid w:val="00C9624D"/>
    <w:rsid w:val="00C9672D"/>
    <w:rsid w:val="00C969DA"/>
    <w:rsid w:val="00CA0BDA"/>
    <w:rsid w:val="00CA107A"/>
    <w:rsid w:val="00CA2B60"/>
    <w:rsid w:val="00CA2C77"/>
    <w:rsid w:val="00CA40C3"/>
    <w:rsid w:val="00CA444F"/>
    <w:rsid w:val="00CA5245"/>
    <w:rsid w:val="00CA71F4"/>
    <w:rsid w:val="00CA7B09"/>
    <w:rsid w:val="00CB10AD"/>
    <w:rsid w:val="00CB12A5"/>
    <w:rsid w:val="00CB16C8"/>
    <w:rsid w:val="00CB1CAC"/>
    <w:rsid w:val="00CB2F2A"/>
    <w:rsid w:val="00CB3926"/>
    <w:rsid w:val="00CB3E2C"/>
    <w:rsid w:val="00CB4142"/>
    <w:rsid w:val="00CB455A"/>
    <w:rsid w:val="00CB46A2"/>
    <w:rsid w:val="00CB4C77"/>
    <w:rsid w:val="00CB593C"/>
    <w:rsid w:val="00CB5A2D"/>
    <w:rsid w:val="00CB5B1A"/>
    <w:rsid w:val="00CB5DB5"/>
    <w:rsid w:val="00CB69FB"/>
    <w:rsid w:val="00CB6B22"/>
    <w:rsid w:val="00CB6CF0"/>
    <w:rsid w:val="00CB7C69"/>
    <w:rsid w:val="00CB7F5F"/>
    <w:rsid w:val="00CC00DC"/>
    <w:rsid w:val="00CC08CE"/>
    <w:rsid w:val="00CC1B39"/>
    <w:rsid w:val="00CC1BFA"/>
    <w:rsid w:val="00CC2E9F"/>
    <w:rsid w:val="00CC35EA"/>
    <w:rsid w:val="00CC3848"/>
    <w:rsid w:val="00CC388A"/>
    <w:rsid w:val="00CC3944"/>
    <w:rsid w:val="00CC3B89"/>
    <w:rsid w:val="00CC4DD9"/>
    <w:rsid w:val="00CC4F27"/>
    <w:rsid w:val="00CC56B6"/>
    <w:rsid w:val="00CC5A5E"/>
    <w:rsid w:val="00CC6D1B"/>
    <w:rsid w:val="00CC6D5E"/>
    <w:rsid w:val="00CC6EE7"/>
    <w:rsid w:val="00CC7083"/>
    <w:rsid w:val="00CC76AD"/>
    <w:rsid w:val="00CC7BAD"/>
    <w:rsid w:val="00CD0200"/>
    <w:rsid w:val="00CD0CA5"/>
    <w:rsid w:val="00CD19D8"/>
    <w:rsid w:val="00CD2460"/>
    <w:rsid w:val="00CD3A52"/>
    <w:rsid w:val="00CD3C42"/>
    <w:rsid w:val="00CD3F77"/>
    <w:rsid w:val="00CD425C"/>
    <w:rsid w:val="00CD4757"/>
    <w:rsid w:val="00CD4D54"/>
    <w:rsid w:val="00CD5459"/>
    <w:rsid w:val="00CD5D83"/>
    <w:rsid w:val="00CD5DC3"/>
    <w:rsid w:val="00CD5E4A"/>
    <w:rsid w:val="00CD60D9"/>
    <w:rsid w:val="00CD6ADC"/>
    <w:rsid w:val="00CD7193"/>
    <w:rsid w:val="00CD7982"/>
    <w:rsid w:val="00CD7FCE"/>
    <w:rsid w:val="00CE005B"/>
    <w:rsid w:val="00CE0169"/>
    <w:rsid w:val="00CE1660"/>
    <w:rsid w:val="00CE1C9E"/>
    <w:rsid w:val="00CE38C8"/>
    <w:rsid w:val="00CE4461"/>
    <w:rsid w:val="00CE524F"/>
    <w:rsid w:val="00CE58CC"/>
    <w:rsid w:val="00CE5910"/>
    <w:rsid w:val="00CE6274"/>
    <w:rsid w:val="00CE65E5"/>
    <w:rsid w:val="00CE692C"/>
    <w:rsid w:val="00CE77B6"/>
    <w:rsid w:val="00CF0176"/>
    <w:rsid w:val="00CF021C"/>
    <w:rsid w:val="00CF0B7F"/>
    <w:rsid w:val="00CF13EB"/>
    <w:rsid w:val="00CF1A03"/>
    <w:rsid w:val="00CF22CB"/>
    <w:rsid w:val="00CF2B8D"/>
    <w:rsid w:val="00CF3074"/>
    <w:rsid w:val="00CF3A1B"/>
    <w:rsid w:val="00CF421F"/>
    <w:rsid w:val="00CF456B"/>
    <w:rsid w:val="00CF456C"/>
    <w:rsid w:val="00CF4EE9"/>
    <w:rsid w:val="00CF5A22"/>
    <w:rsid w:val="00CF5F81"/>
    <w:rsid w:val="00CF653B"/>
    <w:rsid w:val="00CF76BB"/>
    <w:rsid w:val="00D000C1"/>
    <w:rsid w:val="00D00279"/>
    <w:rsid w:val="00D0032A"/>
    <w:rsid w:val="00D0100A"/>
    <w:rsid w:val="00D01694"/>
    <w:rsid w:val="00D0262E"/>
    <w:rsid w:val="00D03679"/>
    <w:rsid w:val="00D04B86"/>
    <w:rsid w:val="00D0564E"/>
    <w:rsid w:val="00D05E3D"/>
    <w:rsid w:val="00D05FAF"/>
    <w:rsid w:val="00D06139"/>
    <w:rsid w:val="00D06A9D"/>
    <w:rsid w:val="00D11031"/>
    <w:rsid w:val="00D11032"/>
    <w:rsid w:val="00D110BD"/>
    <w:rsid w:val="00D117D9"/>
    <w:rsid w:val="00D1182C"/>
    <w:rsid w:val="00D12BAD"/>
    <w:rsid w:val="00D13675"/>
    <w:rsid w:val="00D13C46"/>
    <w:rsid w:val="00D13D8D"/>
    <w:rsid w:val="00D13F3D"/>
    <w:rsid w:val="00D141E0"/>
    <w:rsid w:val="00D141E1"/>
    <w:rsid w:val="00D14AC2"/>
    <w:rsid w:val="00D15314"/>
    <w:rsid w:val="00D15512"/>
    <w:rsid w:val="00D15B48"/>
    <w:rsid w:val="00D15C3C"/>
    <w:rsid w:val="00D16118"/>
    <w:rsid w:val="00D17379"/>
    <w:rsid w:val="00D17D6C"/>
    <w:rsid w:val="00D2155B"/>
    <w:rsid w:val="00D23D11"/>
    <w:rsid w:val="00D2433F"/>
    <w:rsid w:val="00D244B6"/>
    <w:rsid w:val="00D248CB"/>
    <w:rsid w:val="00D24B04"/>
    <w:rsid w:val="00D250C2"/>
    <w:rsid w:val="00D25611"/>
    <w:rsid w:val="00D27071"/>
    <w:rsid w:val="00D2754D"/>
    <w:rsid w:val="00D27B27"/>
    <w:rsid w:val="00D30D5B"/>
    <w:rsid w:val="00D31CD9"/>
    <w:rsid w:val="00D31D42"/>
    <w:rsid w:val="00D3304B"/>
    <w:rsid w:val="00D33BE9"/>
    <w:rsid w:val="00D33F93"/>
    <w:rsid w:val="00D34B2C"/>
    <w:rsid w:val="00D354D3"/>
    <w:rsid w:val="00D357FF"/>
    <w:rsid w:val="00D365FA"/>
    <w:rsid w:val="00D36951"/>
    <w:rsid w:val="00D37BE1"/>
    <w:rsid w:val="00D40176"/>
    <w:rsid w:val="00D410E4"/>
    <w:rsid w:val="00D41A64"/>
    <w:rsid w:val="00D424C7"/>
    <w:rsid w:val="00D43B2A"/>
    <w:rsid w:val="00D43CF1"/>
    <w:rsid w:val="00D43D83"/>
    <w:rsid w:val="00D45335"/>
    <w:rsid w:val="00D457EF"/>
    <w:rsid w:val="00D45ED8"/>
    <w:rsid w:val="00D46208"/>
    <w:rsid w:val="00D464FE"/>
    <w:rsid w:val="00D46A62"/>
    <w:rsid w:val="00D46BC5"/>
    <w:rsid w:val="00D47575"/>
    <w:rsid w:val="00D50F6B"/>
    <w:rsid w:val="00D51747"/>
    <w:rsid w:val="00D51952"/>
    <w:rsid w:val="00D51FF6"/>
    <w:rsid w:val="00D5243B"/>
    <w:rsid w:val="00D52D75"/>
    <w:rsid w:val="00D533EC"/>
    <w:rsid w:val="00D5372B"/>
    <w:rsid w:val="00D55059"/>
    <w:rsid w:val="00D56A95"/>
    <w:rsid w:val="00D6076E"/>
    <w:rsid w:val="00D60854"/>
    <w:rsid w:val="00D608F4"/>
    <w:rsid w:val="00D60CF0"/>
    <w:rsid w:val="00D619C6"/>
    <w:rsid w:val="00D63AFD"/>
    <w:rsid w:val="00D6402F"/>
    <w:rsid w:val="00D64066"/>
    <w:rsid w:val="00D64F77"/>
    <w:rsid w:val="00D65148"/>
    <w:rsid w:val="00D65500"/>
    <w:rsid w:val="00D65DAD"/>
    <w:rsid w:val="00D67637"/>
    <w:rsid w:val="00D70F16"/>
    <w:rsid w:val="00D7168F"/>
    <w:rsid w:val="00D72147"/>
    <w:rsid w:val="00D72617"/>
    <w:rsid w:val="00D726A4"/>
    <w:rsid w:val="00D72ED8"/>
    <w:rsid w:val="00D72F57"/>
    <w:rsid w:val="00D74816"/>
    <w:rsid w:val="00D76A44"/>
    <w:rsid w:val="00D76D57"/>
    <w:rsid w:val="00D779CE"/>
    <w:rsid w:val="00D77A87"/>
    <w:rsid w:val="00D8046E"/>
    <w:rsid w:val="00D80B21"/>
    <w:rsid w:val="00D80C21"/>
    <w:rsid w:val="00D813F2"/>
    <w:rsid w:val="00D815EF"/>
    <w:rsid w:val="00D81949"/>
    <w:rsid w:val="00D81F26"/>
    <w:rsid w:val="00D822E2"/>
    <w:rsid w:val="00D82C34"/>
    <w:rsid w:val="00D82EFD"/>
    <w:rsid w:val="00D832B9"/>
    <w:rsid w:val="00D835D8"/>
    <w:rsid w:val="00D843F2"/>
    <w:rsid w:val="00D84FCF"/>
    <w:rsid w:val="00D852B2"/>
    <w:rsid w:val="00D85427"/>
    <w:rsid w:val="00D85A92"/>
    <w:rsid w:val="00D86202"/>
    <w:rsid w:val="00D86231"/>
    <w:rsid w:val="00D90643"/>
    <w:rsid w:val="00D90ABE"/>
    <w:rsid w:val="00D912AB"/>
    <w:rsid w:val="00D91377"/>
    <w:rsid w:val="00D918A4"/>
    <w:rsid w:val="00D91923"/>
    <w:rsid w:val="00D92D16"/>
    <w:rsid w:val="00D930BB"/>
    <w:rsid w:val="00D93753"/>
    <w:rsid w:val="00D93E92"/>
    <w:rsid w:val="00D93E9D"/>
    <w:rsid w:val="00D95D22"/>
    <w:rsid w:val="00D95E02"/>
    <w:rsid w:val="00D96800"/>
    <w:rsid w:val="00D97299"/>
    <w:rsid w:val="00DA020D"/>
    <w:rsid w:val="00DA05FA"/>
    <w:rsid w:val="00DA0BE0"/>
    <w:rsid w:val="00DA1024"/>
    <w:rsid w:val="00DA1506"/>
    <w:rsid w:val="00DA18D5"/>
    <w:rsid w:val="00DA1EBC"/>
    <w:rsid w:val="00DA2092"/>
    <w:rsid w:val="00DA2B87"/>
    <w:rsid w:val="00DA30BA"/>
    <w:rsid w:val="00DA3167"/>
    <w:rsid w:val="00DA32E4"/>
    <w:rsid w:val="00DA4B20"/>
    <w:rsid w:val="00DA4DC3"/>
    <w:rsid w:val="00DA5625"/>
    <w:rsid w:val="00DA60E5"/>
    <w:rsid w:val="00DA63FA"/>
    <w:rsid w:val="00DA697E"/>
    <w:rsid w:val="00DA6AEB"/>
    <w:rsid w:val="00DA73CE"/>
    <w:rsid w:val="00DA77A5"/>
    <w:rsid w:val="00DA7E66"/>
    <w:rsid w:val="00DB0020"/>
    <w:rsid w:val="00DB05BA"/>
    <w:rsid w:val="00DB0A04"/>
    <w:rsid w:val="00DB0E36"/>
    <w:rsid w:val="00DB3270"/>
    <w:rsid w:val="00DB3DBF"/>
    <w:rsid w:val="00DB4769"/>
    <w:rsid w:val="00DB484F"/>
    <w:rsid w:val="00DB4A12"/>
    <w:rsid w:val="00DB50F0"/>
    <w:rsid w:val="00DB6AA8"/>
    <w:rsid w:val="00DC04F6"/>
    <w:rsid w:val="00DC0690"/>
    <w:rsid w:val="00DC08F9"/>
    <w:rsid w:val="00DC1D65"/>
    <w:rsid w:val="00DC2F1B"/>
    <w:rsid w:val="00DC3C57"/>
    <w:rsid w:val="00DC5501"/>
    <w:rsid w:val="00DC5916"/>
    <w:rsid w:val="00DC5DE4"/>
    <w:rsid w:val="00DC6AAE"/>
    <w:rsid w:val="00DC6AFF"/>
    <w:rsid w:val="00DC7154"/>
    <w:rsid w:val="00DC7E8A"/>
    <w:rsid w:val="00DD0522"/>
    <w:rsid w:val="00DD0F78"/>
    <w:rsid w:val="00DD1441"/>
    <w:rsid w:val="00DD24CE"/>
    <w:rsid w:val="00DD2704"/>
    <w:rsid w:val="00DD273C"/>
    <w:rsid w:val="00DD3F28"/>
    <w:rsid w:val="00DD41FC"/>
    <w:rsid w:val="00DD4446"/>
    <w:rsid w:val="00DD4505"/>
    <w:rsid w:val="00DD4537"/>
    <w:rsid w:val="00DD4B13"/>
    <w:rsid w:val="00DD4E15"/>
    <w:rsid w:val="00DD5161"/>
    <w:rsid w:val="00DD5A3D"/>
    <w:rsid w:val="00DD5F92"/>
    <w:rsid w:val="00DD6FEC"/>
    <w:rsid w:val="00DD761C"/>
    <w:rsid w:val="00DD7797"/>
    <w:rsid w:val="00DE2304"/>
    <w:rsid w:val="00DE3138"/>
    <w:rsid w:val="00DE37F8"/>
    <w:rsid w:val="00DE4273"/>
    <w:rsid w:val="00DE46B3"/>
    <w:rsid w:val="00DE4FCB"/>
    <w:rsid w:val="00DE51A4"/>
    <w:rsid w:val="00DE5D07"/>
    <w:rsid w:val="00DE5EC9"/>
    <w:rsid w:val="00DE64EC"/>
    <w:rsid w:val="00DE6A7A"/>
    <w:rsid w:val="00DE6D4D"/>
    <w:rsid w:val="00DE72A7"/>
    <w:rsid w:val="00DE742D"/>
    <w:rsid w:val="00DE7832"/>
    <w:rsid w:val="00DE7972"/>
    <w:rsid w:val="00DF18C3"/>
    <w:rsid w:val="00DF18FC"/>
    <w:rsid w:val="00DF217A"/>
    <w:rsid w:val="00DF2681"/>
    <w:rsid w:val="00DF4CFA"/>
    <w:rsid w:val="00DF5B59"/>
    <w:rsid w:val="00DF5D2B"/>
    <w:rsid w:val="00DF6276"/>
    <w:rsid w:val="00DF6341"/>
    <w:rsid w:val="00DF68FD"/>
    <w:rsid w:val="00E003E3"/>
    <w:rsid w:val="00E005AF"/>
    <w:rsid w:val="00E00784"/>
    <w:rsid w:val="00E00E8E"/>
    <w:rsid w:val="00E019F5"/>
    <w:rsid w:val="00E05413"/>
    <w:rsid w:val="00E05630"/>
    <w:rsid w:val="00E06280"/>
    <w:rsid w:val="00E067F3"/>
    <w:rsid w:val="00E06DBB"/>
    <w:rsid w:val="00E077ED"/>
    <w:rsid w:val="00E10149"/>
    <w:rsid w:val="00E10155"/>
    <w:rsid w:val="00E1070D"/>
    <w:rsid w:val="00E11340"/>
    <w:rsid w:val="00E122A1"/>
    <w:rsid w:val="00E140D9"/>
    <w:rsid w:val="00E1497E"/>
    <w:rsid w:val="00E1547B"/>
    <w:rsid w:val="00E15882"/>
    <w:rsid w:val="00E16372"/>
    <w:rsid w:val="00E16AD8"/>
    <w:rsid w:val="00E171C6"/>
    <w:rsid w:val="00E178E3"/>
    <w:rsid w:val="00E17FFA"/>
    <w:rsid w:val="00E20E4D"/>
    <w:rsid w:val="00E20ED6"/>
    <w:rsid w:val="00E21358"/>
    <w:rsid w:val="00E21C62"/>
    <w:rsid w:val="00E2249B"/>
    <w:rsid w:val="00E22A0D"/>
    <w:rsid w:val="00E22F0F"/>
    <w:rsid w:val="00E2425A"/>
    <w:rsid w:val="00E244F6"/>
    <w:rsid w:val="00E258DB"/>
    <w:rsid w:val="00E2771E"/>
    <w:rsid w:val="00E3002A"/>
    <w:rsid w:val="00E30202"/>
    <w:rsid w:val="00E305F4"/>
    <w:rsid w:val="00E30755"/>
    <w:rsid w:val="00E311EF"/>
    <w:rsid w:val="00E3191B"/>
    <w:rsid w:val="00E31B5C"/>
    <w:rsid w:val="00E31E9F"/>
    <w:rsid w:val="00E31F87"/>
    <w:rsid w:val="00E32180"/>
    <w:rsid w:val="00E32AC7"/>
    <w:rsid w:val="00E33197"/>
    <w:rsid w:val="00E34948"/>
    <w:rsid w:val="00E35E0E"/>
    <w:rsid w:val="00E370D7"/>
    <w:rsid w:val="00E374E9"/>
    <w:rsid w:val="00E37569"/>
    <w:rsid w:val="00E3757C"/>
    <w:rsid w:val="00E401B2"/>
    <w:rsid w:val="00E41E30"/>
    <w:rsid w:val="00E4245B"/>
    <w:rsid w:val="00E42F73"/>
    <w:rsid w:val="00E43091"/>
    <w:rsid w:val="00E43539"/>
    <w:rsid w:val="00E43D70"/>
    <w:rsid w:val="00E451B7"/>
    <w:rsid w:val="00E45582"/>
    <w:rsid w:val="00E46423"/>
    <w:rsid w:val="00E466F3"/>
    <w:rsid w:val="00E47696"/>
    <w:rsid w:val="00E47B2C"/>
    <w:rsid w:val="00E50211"/>
    <w:rsid w:val="00E51560"/>
    <w:rsid w:val="00E51821"/>
    <w:rsid w:val="00E528E6"/>
    <w:rsid w:val="00E528F7"/>
    <w:rsid w:val="00E52A11"/>
    <w:rsid w:val="00E53B4C"/>
    <w:rsid w:val="00E53F24"/>
    <w:rsid w:val="00E53FB2"/>
    <w:rsid w:val="00E53FC8"/>
    <w:rsid w:val="00E54347"/>
    <w:rsid w:val="00E5437B"/>
    <w:rsid w:val="00E54803"/>
    <w:rsid w:val="00E54B6B"/>
    <w:rsid w:val="00E55424"/>
    <w:rsid w:val="00E55915"/>
    <w:rsid w:val="00E55BB5"/>
    <w:rsid w:val="00E55CDC"/>
    <w:rsid w:val="00E561BD"/>
    <w:rsid w:val="00E56253"/>
    <w:rsid w:val="00E564F6"/>
    <w:rsid w:val="00E5764D"/>
    <w:rsid w:val="00E57AD8"/>
    <w:rsid w:val="00E57ED8"/>
    <w:rsid w:val="00E60437"/>
    <w:rsid w:val="00E611DF"/>
    <w:rsid w:val="00E61221"/>
    <w:rsid w:val="00E64B44"/>
    <w:rsid w:val="00E65E79"/>
    <w:rsid w:val="00E66BA2"/>
    <w:rsid w:val="00E67416"/>
    <w:rsid w:val="00E704DC"/>
    <w:rsid w:val="00E704E0"/>
    <w:rsid w:val="00E7062D"/>
    <w:rsid w:val="00E708E8"/>
    <w:rsid w:val="00E715DE"/>
    <w:rsid w:val="00E718B6"/>
    <w:rsid w:val="00E723BA"/>
    <w:rsid w:val="00E729A1"/>
    <w:rsid w:val="00E72EB9"/>
    <w:rsid w:val="00E73581"/>
    <w:rsid w:val="00E73E13"/>
    <w:rsid w:val="00E74856"/>
    <w:rsid w:val="00E74DBF"/>
    <w:rsid w:val="00E755C8"/>
    <w:rsid w:val="00E76AA3"/>
    <w:rsid w:val="00E771F5"/>
    <w:rsid w:val="00E778BE"/>
    <w:rsid w:val="00E77D75"/>
    <w:rsid w:val="00E833F7"/>
    <w:rsid w:val="00E83853"/>
    <w:rsid w:val="00E83A96"/>
    <w:rsid w:val="00E83BDF"/>
    <w:rsid w:val="00E8450F"/>
    <w:rsid w:val="00E8552C"/>
    <w:rsid w:val="00E85B61"/>
    <w:rsid w:val="00E85B84"/>
    <w:rsid w:val="00E86FCC"/>
    <w:rsid w:val="00E87A1D"/>
    <w:rsid w:val="00E9094A"/>
    <w:rsid w:val="00E91158"/>
    <w:rsid w:val="00E9143D"/>
    <w:rsid w:val="00E91D35"/>
    <w:rsid w:val="00E92333"/>
    <w:rsid w:val="00E926A5"/>
    <w:rsid w:val="00E92EEC"/>
    <w:rsid w:val="00E9310A"/>
    <w:rsid w:val="00E9360F"/>
    <w:rsid w:val="00E95F08"/>
    <w:rsid w:val="00E962CC"/>
    <w:rsid w:val="00E97032"/>
    <w:rsid w:val="00E9751C"/>
    <w:rsid w:val="00E97DF9"/>
    <w:rsid w:val="00EA0A3A"/>
    <w:rsid w:val="00EA1074"/>
    <w:rsid w:val="00EA17C3"/>
    <w:rsid w:val="00EA2667"/>
    <w:rsid w:val="00EA2CAA"/>
    <w:rsid w:val="00EA3864"/>
    <w:rsid w:val="00EA4677"/>
    <w:rsid w:val="00EA579C"/>
    <w:rsid w:val="00EA5A2E"/>
    <w:rsid w:val="00EA60C7"/>
    <w:rsid w:val="00EA6232"/>
    <w:rsid w:val="00EA7D2B"/>
    <w:rsid w:val="00EA7F1C"/>
    <w:rsid w:val="00EB0204"/>
    <w:rsid w:val="00EB15B6"/>
    <w:rsid w:val="00EB3D06"/>
    <w:rsid w:val="00EB3F39"/>
    <w:rsid w:val="00EB445E"/>
    <w:rsid w:val="00EB4916"/>
    <w:rsid w:val="00EB5789"/>
    <w:rsid w:val="00EB5FFA"/>
    <w:rsid w:val="00EC00C9"/>
    <w:rsid w:val="00EC0728"/>
    <w:rsid w:val="00EC0B9D"/>
    <w:rsid w:val="00EC0DD9"/>
    <w:rsid w:val="00EC0E1B"/>
    <w:rsid w:val="00EC2649"/>
    <w:rsid w:val="00EC31ED"/>
    <w:rsid w:val="00EC37B6"/>
    <w:rsid w:val="00EC5487"/>
    <w:rsid w:val="00EC553B"/>
    <w:rsid w:val="00EC5836"/>
    <w:rsid w:val="00EC599B"/>
    <w:rsid w:val="00EC5DB1"/>
    <w:rsid w:val="00EC688C"/>
    <w:rsid w:val="00EC703A"/>
    <w:rsid w:val="00EC7FEF"/>
    <w:rsid w:val="00ED12E3"/>
    <w:rsid w:val="00ED130F"/>
    <w:rsid w:val="00ED178F"/>
    <w:rsid w:val="00ED4B04"/>
    <w:rsid w:val="00ED4C2C"/>
    <w:rsid w:val="00ED57EA"/>
    <w:rsid w:val="00ED5BD4"/>
    <w:rsid w:val="00ED722A"/>
    <w:rsid w:val="00ED7D4E"/>
    <w:rsid w:val="00EE07D3"/>
    <w:rsid w:val="00EE09D0"/>
    <w:rsid w:val="00EE0F54"/>
    <w:rsid w:val="00EE16CD"/>
    <w:rsid w:val="00EE1996"/>
    <w:rsid w:val="00EE1C01"/>
    <w:rsid w:val="00EE1E47"/>
    <w:rsid w:val="00EE22AF"/>
    <w:rsid w:val="00EE256C"/>
    <w:rsid w:val="00EE26AC"/>
    <w:rsid w:val="00EE35A0"/>
    <w:rsid w:val="00EE3CBC"/>
    <w:rsid w:val="00EE4BB1"/>
    <w:rsid w:val="00EE5063"/>
    <w:rsid w:val="00EE5E13"/>
    <w:rsid w:val="00EE5EF0"/>
    <w:rsid w:val="00EE6107"/>
    <w:rsid w:val="00EE675C"/>
    <w:rsid w:val="00EE68A2"/>
    <w:rsid w:val="00EE6A71"/>
    <w:rsid w:val="00EF0171"/>
    <w:rsid w:val="00EF1109"/>
    <w:rsid w:val="00EF1B25"/>
    <w:rsid w:val="00EF1DA0"/>
    <w:rsid w:val="00EF3282"/>
    <w:rsid w:val="00EF33DC"/>
    <w:rsid w:val="00EF4747"/>
    <w:rsid w:val="00EF474F"/>
    <w:rsid w:val="00EF4BF8"/>
    <w:rsid w:val="00EF5349"/>
    <w:rsid w:val="00EF610E"/>
    <w:rsid w:val="00EF6AF6"/>
    <w:rsid w:val="00EF6B20"/>
    <w:rsid w:val="00F011B2"/>
    <w:rsid w:val="00F02253"/>
    <w:rsid w:val="00F02362"/>
    <w:rsid w:val="00F03188"/>
    <w:rsid w:val="00F03C2E"/>
    <w:rsid w:val="00F03F01"/>
    <w:rsid w:val="00F04A66"/>
    <w:rsid w:val="00F04B4B"/>
    <w:rsid w:val="00F04DE5"/>
    <w:rsid w:val="00F0516C"/>
    <w:rsid w:val="00F0583C"/>
    <w:rsid w:val="00F05AC5"/>
    <w:rsid w:val="00F0612E"/>
    <w:rsid w:val="00F063C7"/>
    <w:rsid w:val="00F067A2"/>
    <w:rsid w:val="00F06B25"/>
    <w:rsid w:val="00F07B9E"/>
    <w:rsid w:val="00F10066"/>
    <w:rsid w:val="00F1116F"/>
    <w:rsid w:val="00F1189B"/>
    <w:rsid w:val="00F1251E"/>
    <w:rsid w:val="00F1263A"/>
    <w:rsid w:val="00F139C5"/>
    <w:rsid w:val="00F1433D"/>
    <w:rsid w:val="00F14BBC"/>
    <w:rsid w:val="00F15B77"/>
    <w:rsid w:val="00F15F29"/>
    <w:rsid w:val="00F16FAA"/>
    <w:rsid w:val="00F171DA"/>
    <w:rsid w:val="00F17D4B"/>
    <w:rsid w:val="00F17D8E"/>
    <w:rsid w:val="00F201E5"/>
    <w:rsid w:val="00F21236"/>
    <w:rsid w:val="00F239DF"/>
    <w:rsid w:val="00F23ABA"/>
    <w:rsid w:val="00F24837"/>
    <w:rsid w:val="00F24E43"/>
    <w:rsid w:val="00F2575F"/>
    <w:rsid w:val="00F25815"/>
    <w:rsid w:val="00F25DE4"/>
    <w:rsid w:val="00F27487"/>
    <w:rsid w:val="00F27565"/>
    <w:rsid w:val="00F30520"/>
    <w:rsid w:val="00F3097F"/>
    <w:rsid w:val="00F310D4"/>
    <w:rsid w:val="00F31D5A"/>
    <w:rsid w:val="00F32AB4"/>
    <w:rsid w:val="00F33975"/>
    <w:rsid w:val="00F339D1"/>
    <w:rsid w:val="00F33AE9"/>
    <w:rsid w:val="00F33DE9"/>
    <w:rsid w:val="00F33FEC"/>
    <w:rsid w:val="00F35E6D"/>
    <w:rsid w:val="00F35F7E"/>
    <w:rsid w:val="00F3619A"/>
    <w:rsid w:val="00F37523"/>
    <w:rsid w:val="00F376E3"/>
    <w:rsid w:val="00F4006C"/>
    <w:rsid w:val="00F40AAA"/>
    <w:rsid w:val="00F40BA7"/>
    <w:rsid w:val="00F40F9D"/>
    <w:rsid w:val="00F41086"/>
    <w:rsid w:val="00F41ACD"/>
    <w:rsid w:val="00F44191"/>
    <w:rsid w:val="00F44D9F"/>
    <w:rsid w:val="00F45802"/>
    <w:rsid w:val="00F4677E"/>
    <w:rsid w:val="00F46CB6"/>
    <w:rsid w:val="00F4756D"/>
    <w:rsid w:val="00F477DD"/>
    <w:rsid w:val="00F47DE8"/>
    <w:rsid w:val="00F52969"/>
    <w:rsid w:val="00F52E93"/>
    <w:rsid w:val="00F53332"/>
    <w:rsid w:val="00F5389F"/>
    <w:rsid w:val="00F542C1"/>
    <w:rsid w:val="00F54832"/>
    <w:rsid w:val="00F550E3"/>
    <w:rsid w:val="00F55B12"/>
    <w:rsid w:val="00F55E73"/>
    <w:rsid w:val="00F55EDA"/>
    <w:rsid w:val="00F55F85"/>
    <w:rsid w:val="00F565D0"/>
    <w:rsid w:val="00F568D0"/>
    <w:rsid w:val="00F56C80"/>
    <w:rsid w:val="00F56EEC"/>
    <w:rsid w:val="00F5726D"/>
    <w:rsid w:val="00F5749C"/>
    <w:rsid w:val="00F60092"/>
    <w:rsid w:val="00F6072D"/>
    <w:rsid w:val="00F61028"/>
    <w:rsid w:val="00F61113"/>
    <w:rsid w:val="00F61339"/>
    <w:rsid w:val="00F61C18"/>
    <w:rsid w:val="00F61E4D"/>
    <w:rsid w:val="00F61E73"/>
    <w:rsid w:val="00F62160"/>
    <w:rsid w:val="00F62AC9"/>
    <w:rsid w:val="00F639F6"/>
    <w:rsid w:val="00F63C9C"/>
    <w:rsid w:val="00F656A9"/>
    <w:rsid w:val="00F65F4B"/>
    <w:rsid w:val="00F6678D"/>
    <w:rsid w:val="00F67291"/>
    <w:rsid w:val="00F676BC"/>
    <w:rsid w:val="00F67A69"/>
    <w:rsid w:val="00F70461"/>
    <w:rsid w:val="00F70BFF"/>
    <w:rsid w:val="00F70C9D"/>
    <w:rsid w:val="00F71235"/>
    <w:rsid w:val="00F7213A"/>
    <w:rsid w:val="00F72CA0"/>
    <w:rsid w:val="00F73E08"/>
    <w:rsid w:val="00F73E36"/>
    <w:rsid w:val="00F74932"/>
    <w:rsid w:val="00F74CD9"/>
    <w:rsid w:val="00F75966"/>
    <w:rsid w:val="00F75A8B"/>
    <w:rsid w:val="00F75E61"/>
    <w:rsid w:val="00F7626A"/>
    <w:rsid w:val="00F80A7B"/>
    <w:rsid w:val="00F80E5D"/>
    <w:rsid w:val="00F81762"/>
    <w:rsid w:val="00F81967"/>
    <w:rsid w:val="00F81E78"/>
    <w:rsid w:val="00F821AD"/>
    <w:rsid w:val="00F82398"/>
    <w:rsid w:val="00F82558"/>
    <w:rsid w:val="00F83561"/>
    <w:rsid w:val="00F838F8"/>
    <w:rsid w:val="00F83909"/>
    <w:rsid w:val="00F83916"/>
    <w:rsid w:val="00F84891"/>
    <w:rsid w:val="00F84C96"/>
    <w:rsid w:val="00F851CE"/>
    <w:rsid w:val="00F86424"/>
    <w:rsid w:val="00F87182"/>
    <w:rsid w:val="00F87937"/>
    <w:rsid w:val="00F90699"/>
    <w:rsid w:val="00F91219"/>
    <w:rsid w:val="00F91D03"/>
    <w:rsid w:val="00F92444"/>
    <w:rsid w:val="00F9393E"/>
    <w:rsid w:val="00F94322"/>
    <w:rsid w:val="00F945AD"/>
    <w:rsid w:val="00F95714"/>
    <w:rsid w:val="00F95793"/>
    <w:rsid w:val="00F96FD0"/>
    <w:rsid w:val="00F97182"/>
    <w:rsid w:val="00F9753F"/>
    <w:rsid w:val="00F979FF"/>
    <w:rsid w:val="00F97A78"/>
    <w:rsid w:val="00F97A94"/>
    <w:rsid w:val="00F97F9D"/>
    <w:rsid w:val="00FA0B20"/>
    <w:rsid w:val="00FA1552"/>
    <w:rsid w:val="00FA2381"/>
    <w:rsid w:val="00FA24E7"/>
    <w:rsid w:val="00FA2BD1"/>
    <w:rsid w:val="00FA33D8"/>
    <w:rsid w:val="00FA3E4A"/>
    <w:rsid w:val="00FA406B"/>
    <w:rsid w:val="00FA520F"/>
    <w:rsid w:val="00FA544B"/>
    <w:rsid w:val="00FA55CE"/>
    <w:rsid w:val="00FA5EE6"/>
    <w:rsid w:val="00FA66CD"/>
    <w:rsid w:val="00FA6EE5"/>
    <w:rsid w:val="00FA7956"/>
    <w:rsid w:val="00FB04BC"/>
    <w:rsid w:val="00FB0824"/>
    <w:rsid w:val="00FB0DB7"/>
    <w:rsid w:val="00FB112E"/>
    <w:rsid w:val="00FB174E"/>
    <w:rsid w:val="00FB1773"/>
    <w:rsid w:val="00FB1B5F"/>
    <w:rsid w:val="00FB28C8"/>
    <w:rsid w:val="00FB2A9C"/>
    <w:rsid w:val="00FB2FCB"/>
    <w:rsid w:val="00FB4834"/>
    <w:rsid w:val="00FB4C9C"/>
    <w:rsid w:val="00FB5239"/>
    <w:rsid w:val="00FB5751"/>
    <w:rsid w:val="00FB5FC7"/>
    <w:rsid w:val="00FB6BC2"/>
    <w:rsid w:val="00FB7C55"/>
    <w:rsid w:val="00FC0240"/>
    <w:rsid w:val="00FC1074"/>
    <w:rsid w:val="00FC17DA"/>
    <w:rsid w:val="00FC1884"/>
    <w:rsid w:val="00FC23C2"/>
    <w:rsid w:val="00FC2AA1"/>
    <w:rsid w:val="00FC371D"/>
    <w:rsid w:val="00FC4809"/>
    <w:rsid w:val="00FC510A"/>
    <w:rsid w:val="00FC5C32"/>
    <w:rsid w:val="00FC5F0B"/>
    <w:rsid w:val="00FC61FD"/>
    <w:rsid w:val="00FC6854"/>
    <w:rsid w:val="00FC6C86"/>
    <w:rsid w:val="00FC6DFD"/>
    <w:rsid w:val="00FC7142"/>
    <w:rsid w:val="00FC73CC"/>
    <w:rsid w:val="00FD0B58"/>
    <w:rsid w:val="00FD1634"/>
    <w:rsid w:val="00FD1A37"/>
    <w:rsid w:val="00FD2100"/>
    <w:rsid w:val="00FD217D"/>
    <w:rsid w:val="00FD2415"/>
    <w:rsid w:val="00FD436C"/>
    <w:rsid w:val="00FD446D"/>
    <w:rsid w:val="00FD453F"/>
    <w:rsid w:val="00FD4649"/>
    <w:rsid w:val="00FD4ED6"/>
    <w:rsid w:val="00FD4F2C"/>
    <w:rsid w:val="00FD6394"/>
    <w:rsid w:val="00FD6474"/>
    <w:rsid w:val="00FD673B"/>
    <w:rsid w:val="00FD674E"/>
    <w:rsid w:val="00FE0880"/>
    <w:rsid w:val="00FE0DD8"/>
    <w:rsid w:val="00FE0E6C"/>
    <w:rsid w:val="00FE19E3"/>
    <w:rsid w:val="00FE1AAD"/>
    <w:rsid w:val="00FE1CDC"/>
    <w:rsid w:val="00FE2049"/>
    <w:rsid w:val="00FE28A4"/>
    <w:rsid w:val="00FE3AD0"/>
    <w:rsid w:val="00FE4791"/>
    <w:rsid w:val="00FE5687"/>
    <w:rsid w:val="00FE6F37"/>
    <w:rsid w:val="00FE70C3"/>
    <w:rsid w:val="00FF01CA"/>
    <w:rsid w:val="00FF07E2"/>
    <w:rsid w:val="00FF0F7D"/>
    <w:rsid w:val="00FF1688"/>
    <w:rsid w:val="00FF1A8B"/>
    <w:rsid w:val="00FF1EBD"/>
    <w:rsid w:val="00FF2032"/>
    <w:rsid w:val="00FF2AD9"/>
    <w:rsid w:val="00FF359F"/>
    <w:rsid w:val="00FF3C34"/>
    <w:rsid w:val="00FF3DCF"/>
    <w:rsid w:val="00FF492C"/>
    <w:rsid w:val="00FF49BD"/>
    <w:rsid w:val="00FF4A21"/>
    <w:rsid w:val="00FF4FF5"/>
    <w:rsid w:val="00FF5AA3"/>
    <w:rsid w:val="00FF5AD8"/>
    <w:rsid w:val="00FF613D"/>
    <w:rsid w:val="02846AB0"/>
    <w:rsid w:val="04B5C070"/>
    <w:rsid w:val="053E9C02"/>
    <w:rsid w:val="05C80498"/>
    <w:rsid w:val="068E0ACE"/>
    <w:rsid w:val="0785A88C"/>
    <w:rsid w:val="081BDEBD"/>
    <w:rsid w:val="0900FBC8"/>
    <w:rsid w:val="0E2CAC53"/>
    <w:rsid w:val="0F1FA71F"/>
    <w:rsid w:val="12F8AED4"/>
    <w:rsid w:val="143E514F"/>
    <w:rsid w:val="152422A3"/>
    <w:rsid w:val="153E14D6"/>
    <w:rsid w:val="17B32E4B"/>
    <w:rsid w:val="1ADB5A9E"/>
    <w:rsid w:val="1B326DEB"/>
    <w:rsid w:val="1B9ACA01"/>
    <w:rsid w:val="1C527EAF"/>
    <w:rsid w:val="1CA6E2F8"/>
    <w:rsid w:val="1D0D988E"/>
    <w:rsid w:val="1DB7BCCF"/>
    <w:rsid w:val="2491AD39"/>
    <w:rsid w:val="27A459D9"/>
    <w:rsid w:val="2888F449"/>
    <w:rsid w:val="297643EF"/>
    <w:rsid w:val="2B9E5133"/>
    <w:rsid w:val="2C708FFF"/>
    <w:rsid w:val="316886D1"/>
    <w:rsid w:val="326AE503"/>
    <w:rsid w:val="328A9BDC"/>
    <w:rsid w:val="32EBB4D5"/>
    <w:rsid w:val="35965909"/>
    <w:rsid w:val="37A0A51A"/>
    <w:rsid w:val="397CA996"/>
    <w:rsid w:val="3C15833C"/>
    <w:rsid w:val="3E0912D4"/>
    <w:rsid w:val="4298AED8"/>
    <w:rsid w:val="42A244E7"/>
    <w:rsid w:val="4404B0A2"/>
    <w:rsid w:val="45A70CC8"/>
    <w:rsid w:val="46914DC6"/>
    <w:rsid w:val="4B255DDE"/>
    <w:rsid w:val="4D10290D"/>
    <w:rsid w:val="4DBD5BF2"/>
    <w:rsid w:val="4E3849F7"/>
    <w:rsid w:val="5008D519"/>
    <w:rsid w:val="51834CDC"/>
    <w:rsid w:val="5221A4B2"/>
    <w:rsid w:val="52ACBE95"/>
    <w:rsid w:val="52B3F5C6"/>
    <w:rsid w:val="52FF72F4"/>
    <w:rsid w:val="5315D6A2"/>
    <w:rsid w:val="55D7C982"/>
    <w:rsid w:val="55EBD440"/>
    <w:rsid w:val="5A135C22"/>
    <w:rsid w:val="5A7B0628"/>
    <w:rsid w:val="5A88AB04"/>
    <w:rsid w:val="5BA2B965"/>
    <w:rsid w:val="5D77C601"/>
    <w:rsid w:val="5F0ACD32"/>
    <w:rsid w:val="5F280B49"/>
    <w:rsid w:val="5F43BDCD"/>
    <w:rsid w:val="5F65EBF4"/>
    <w:rsid w:val="5FA62E64"/>
    <w:rsid w:val="614C0B76"/>
    <w:rsid w:val="616B08DF"/>
    <w:rsid w:val="6213BDFA"/>
    <w:rsid w:val="69AE8811"/>
    <w:rsid w:val="6B64ECB1"/>
    <w:rsid w:val="6D85CE62"/>
    <w:rsid w:val="6E05E2E9"/>
    <w:rsid w:val="6E34A3B7"/>
    <w:rsid w:val="6F0BA829"/>
    <w:rsid w:val="6F548678"/>
    <w:rsid w:val="6FB7196F"/>
    <w:rsid w:val="70B76E30"/>
    <w:rsid w:val="711312A6"/>
    <w:rsid w:val="71AF178B"/>
    <w:rsid w:val="7286F8C0"/>
    <w:rsid w:val="73217004"/>
    <w:rsid w:val="78FFD12F"/>
    <w:rsid w:val="7957BE76"/>
    <w:rsid w:val="7B85EEC5"/>
    <w:rsid w:val="7C6C700F"/>
    <w:rsid w:val="7CC3999B"/>
    <w:rsid w:val="7CCEC82B"/>
    <w:rsid w:val="7EB75D26"/>
    <w:rsid w:val="7EB895E7"/>
    <w:rsid w:val="7EFB26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20B"/>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Section"/>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74405A"/>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7034A"/>
    <w:pPr>
      <w:tabs>
        <w:tab w:val="left" w:pos="440"/>
        <w:tab w:val="right" w:leader="dot" w:pos="9016"/>
      </w:tabs>
      <w:spacing w:after="4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hanging="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customStyle="1" w:styleId="TableLeft">
    <w:name w:val="Table Left"/>
    <w:basedOn w:val="Normal"/>
    <w:link w:val="TableLeftChar"/>
    <w:uiPriority w:val="99"/>
    <w:qFormat/>
    <w:rsid w:val="00684CDC"/>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684CDC"/>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684CDC"/>
    <w:pPr>
      <w:numPr>
        <w:numId w:val="7"/>
      </w:numPr>
      <w:tabs>
        <w:tab w:val="num" w:pos="360"/>
      </w:tabs>
      <w:ind w:left="0" w:firstLine="0"/>
    </w:pPr>
  </w:style>
  <w:style w:type="character" w:customStyle="1" w:styleId="SmallItalics">
    <w:name w:val="Small Italics"/>
    <w:basedOn w:val="DefaultParagraphFont"/>
    <w:uiPriority w:val="4"/>
    <w:qFormat/>
    <w:rsid w:val="00684CDC"/>
    <w:rPr>
      <w:rFonts w:ascii="Calibri" w:hAnsi="Calibri"/>
      <w:i/>
      <w:sz w:val="20"/>
    </w:rPr>
  </w:style>
  <w:style w:type="character" w:styleId="CommentReference">
    <w:name w:val="annotation reference"/>
    <w:aliases w:val="Table Title,-H18,Annotationmark"/>
    <w:basedOn w:val="DefaultParagraphFont"/>
    <w:uiPriority w:val="99"/>
    <w:unhideWhenUsed/>
    <w:qFormat/>
    <w:rsid w:val="00C11616"/>
    <w:rPr>
      <w:sz w:val="16"/>
      <w:szCs w:val="16"/>
    </w:rPr>
  </w:style>
  <w:style w:type="paragraph" w:styleId="CommentText">
    <w:name w:val="annotation text"/>
    <w:basedOn w:val="Normal"/>
    <w:link w:val="CommentTextChar"/>
    <w:uiPriority w:val="99"/>
    <w:unhideWhenUsed/>
    <w:rsid w:val="00C11616"/>
    <w:rPr>
      <w:sz w:val="20"/>
      <w:szCs w:val="20"/>
    </w:rPr>
  </w:style>
  <w:style w:type="character" w:customStyle="1" w:styleId="CommentTextChar">
    <w:name w:val="Comment Text Char"/>
    <w:basedOn w:val="DefaultParagraphFont"/>
    <w:link w:val="CommentText"/>
    <w:uiPriority w:val="99"/>
    <w:rsid w:val="00C11616"/>
    <w:rPr>
      <w:rFonts w:ascii="Calibri" w:hAnsi="Calibri" w:cs="Arial"/>
    </w:rPr>
  </w:style>
  <w:style w:type="paragraph" w:styleId="CommentSubject">
    <w:name w:val="annotation subject"/>
    <w:basedOn w:val="CommentText"/>
    <w:next w:val="CommentText"/>
    <w:link w:val="CommentSubjectChar"/>
    <w:semiHidden/>
    <w:unhideWhenUsed/>
    <w:rsid w:val="00C11616"/>
    <w:rPr>
      <w:b/>
      <w:bCs/>
    </w:rPr>
  </w:style>
  <w:style w:type="character" w:customStyle="1" w:styleId="CommentSubjectChar">
    <w:name w:val="Comment Subject Char"/>
    <w:basedOn w:val="CommentTextChar"/>
    <w:link w:val="CommentSubject"/>
    <w:semiHidden/>
    <w:rsid w:val="00C11616"/>
    <w:rPr>
      <w:rFonts w:ascii="Calibri" w:hAnsi="Calibri" w:cs="Arial"/>
      <w:b/>
      <w:bCs/>
    </w:rPr>
  </w:style>
  <w:style w:type="paragraph" w:customStyle="1" w:styleId="paragraph">
    <w:name w:val="paragraph"/>
    <w:basedOn w:val="Normal"/>
    <w:rsid w:val="000E4C88"/>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0E4C88"/>
  </w:style>
  <w:style w:type="character" w:customStyle="1" w:styleId="eop">
    <w:name w:val="eop"/>
    <w:basedOn w:val="DefaultParagraphFont"/>
    <w:rsid w:val="000E4C88"/>
  </w:style>
  <w:style w:type="character" w:customStyle="1" w:styleId="spellingerrorsuperscript">
    <w:name w:val="spellingerrorsuperscript"/>
    <w:basedOn w:val="DefaultParagraphFont"/>
    <w:rsid w:val="000E4C88"/>
  </w:style>
  <w:style w:type="character" w:customStyle="1" w:styleId="scxw156037058">
    <w:name w:val="scxw156037058"/>
    <w:basedOn w:val="DefaultParagraphFont"/>
    <w:rsid w:val="000E4C88"/>
  </w:style>
  <w:style w:type="character" w:customStyle="1" w:styleId="Small">
    <w:name w:val="Small"/>
    <w:basedOn w:val="DefaultParagraphFont"/>
    <w:uiPriority w:val="4"/>
    <w:qFormat/>
    <w:rsid w:val="00B753F8"/>
    <w:rPr>
      <w:rFonts w:ascii="Calibri" w:hAnsi="Calibri"/>
      <w:sz w:val="20"/>
    </w:rPr>
  </w:style>
  <w:style w:type="paragraph" w:customStyle="1" w:styleId="TableCentre">
    <w:name w:val="Table Centre"/>
    <w:basedOn w:val="Normal"/>
    <w:qFormat/>
    <w:rsid w:val="00442D62"/>
    <w:pPr>
      <w:jc w:val="center"/>
    </w:pPr>
    <w:rPr>
      <w:rFonts w:eastAsiaTheme="majorEastAsia" w:cstheme="majorBidi"/>
      <w:sz w:val="18"/>
      <w:szCs w:val="22"/>
      <w:lang w:eastAsia="en-US" w:bidi="en-US"/>
    </w:rPr>
  </w:style>
  <w:style w:type="character" w:customStyle="1" w:styleId="findhit">
    <w:name w:val="findhit"/>
    <w:basedOn w:val="DefaultParagraphFont"/>
    <w:rsid w:val="003B0B3A"/>
  </w:style>
  <w:style w:type="paragraph" w:styleId="Header">
    <w:name w:val="header"/>
    <w:basedOn w:val="Normal"/>
    <w:link w:val="HeaderChar"/>
    <w:unhideWhenUsed/>
    <w:qFormat/>
    <w:rsid w:val="00D36951"/>
    <w:pPr>
      <w:tabs>
        <w:tab w:val="center" w:pos="4513"/>
        <w:tab w:val="right" w:pos="9026"/>
      </w:tabs>
    </w:pPr>
  </w:style>
  <w:style w:type="character" w:customStyle="1" w:styleId="HeaderChar">
    <w:name w:val="Header Char"/>
    <w:basedOn w:val="DefaultParagraphFont"/>
    <w:link w:val="Header"/>
    <w:rsid w:val="00D36951"/>
    <w:rPr>
      <w:rFonts w:ascii="Calibri" w:hAnsi="Calibri" w:cs="Arial"/>
      <w:sz w:val="24"/>
      <w:szCs w:val="24"/>
    </w:rPr>
  </w:style>
  <w:style w:type="paragraph" w:styleId="Footer">
    <w:name w:val="footer"/>
    <w:basedOn w:val="Normal"/>
    <w:link w:val="FooterChar"/>
    <w:uiPriority w:val="99"/>
    <w:unhideWhenUsed/>
    <w:rsid w:val="00D36951"/>
    <w:pPr>
      <w:tabs>
        <w:tab w:val="center" w:pos="4513"/>
        <w:tab w:val="right" w:pos="9026"/>
      </w:tabs>
    </w:pPr>
  </w:style>
  <w:style w:type="character" w:customStyle="1" w:styleId="FooterChar">
    <w:name w:val="Footer Char"/>
    <w:basedOn w:val="DefaultParagraphFont"/>
    <w:link w:val="Footer"/>
    <w:uiPriority w:val="99"/>
    <w:rsid w:val="00D36951"/>
    <w:rPr>
      <w:rFonts w:ascii="Calibri" w:hAnsi="Calibri" w:cs="Arial"/>
      <w:sz w:val="24"/>
      <w:szCs w:val="24"/>
    </w:rPr>
  </w:style>
  <w:style w:type="character" w:styleId="Hyperlink">
    <w:name w:val="Hyperlink"/>
    <w:basedOn w:val="DefaultParagraphFont"/>
    <w:uiPriority w:val="99"/>
    <w:unhideWhenUsed/>
    <w:rsid w:val="00BF066A"/>
    <w:rPr>
      <w:color w:val="0000FF" w:themeColor="hyperlink"/>
      <w:u w:val="single"/>
    </w:rPr>
  </w:style>
  <w:style w:type="table" w:customStyle="1" w:styleId="Summarybox3">
    <w:name w:val="Summary box3"/>
    <w:basedOn w:val="TableNormal"/>
    <w:next w:val="TableGrid"/>
    <w:uiPriority w:val="59"/>
    <w:rsid w:val="00AD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24BD8"/>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424BD8"/>
    <w:rPr>
      <w:rFonts w:ascii="Segoe UI" w:hAnsi="Segoe UI" w:cs="Segoe UI" w:hint="default"/>
      <w:sz w:val="18"/>
      <w:szCs w:val="18"/>
    </w:rPr>
  </w:style>
  <w:style w:type="character" w:customStyle="1" w:styleId="scxw107802269">
    <w:name w:val="scxw107802269"/>
    <w:basedOn w:val="DefaultParagraphFont"/>
    <w:rsid w:val="00CF1A03"/>
  </w:style>
  <w:style w:type="paragraph" w:styleId="Caption">
    <w:name w:val="caption"/>
    <w:basedOn w:val="COMtablefigcaption"/>
    <w:next w:val="Normal"/>
    <w:unhideWhenUsed/>
    <w:rsid w:val="0093286A"/>
  </w:style>
  <w:style w:type="character" w:styleId="UnresolvedMention">
    <w:name w:val="Unresolved Mention"/>
    <w:basedOn w:val="DefaultParagraphFont"/>
    <w:uiPriority w:val="99"/>
    <w:semiHidden/>
    <w:unhideWhenUsed/>
    <w:rsid w:val="00D46BC5"/>
    <w:rPr>
      <w:color w:val="605E5C"/>
      <w:shd w:val="clear" w:color="auto" w:fill="E1DFDD"/>
    </w:rPr>
  </w:style>
  <w:style w:type="paragraph" w:customStyle="1" w:styleId="2-SectionHeading">
    <w:name w:val="2-Section Heading"/>
    <w:qFormat/>
    <w:rsid w:val="00A9358A"/>
    <w:pPr>
      <w:keepNext/>
      <w:snapToGrid w:val="0"/>
      <w:spacing w:before="240" w:after="120"/>
      <w:ind w:left="720" w:hanging="720"/>
      <w:outlineLvl w:val="0"/>
    </w:pPr>
    <w:rPr>
      <w:rFonts w:asciiTheme="minorHAnsi" w:hAnsiTheme="minorHAnsi" w:cs="Arial"/>
      <w:b/>
      <w:sz w:val="32"/>
      <w:szCs w:val="32"/>
    </w:rPr>
  </w:style>
  <w:style w:type="character" w:customStyle="1" w:styleId="3-BodyTextChar">
    <w:name w:val="3-Body Text Char"/>
    <w:basedOn w:val="DefaultParagraphFont"/>
    <w:link w:val="3-BodyText"/>
    <w:locked/>
    <w:rsid w:val="00A9358A"/>
    <w:rPr>
      <w:rFonts w:asciiTheme="minorHAnsi" w:hAnsiTheme="minorHAnsi" w:cs="Arial"/>
      <w:sz w:val="24"/>
      <w:szCs w:val="24"/>
    </w:rPr>
  </w:style>
  <w:style w:type="paragraph" w:customStyle="1" w:styleId="3-BodyText">
    <w:name w:val="3-Body Text"/>
    <w:basedOn w:val="ListParagraph"/>
    <w:link w:val="3-BodyTextChar"/>
    <w:qFormat/>
    <w:rsid w:val="00A9358A"/>
    <w:pPr>
      <w:numPr>
        <w:numId w:val="0"/>
      </w:numPr>
      <w:snapToGrid w:val="0"/>
      <w:ind w:left="720" w:hanging="720"/>
    </w:pPr>
    <w:rPr>
      <w:snapToGrid/>
    </w:rPr>
  </w:style>
  <w:style w:type="paragraph" w:customStyle="1" w:styleId="5-SubSubSubHead">
    <w:name w:val="5-Sub Sub Sub Head"/>
    <w:basedOn w:val="Heading4"/>
    <w:qFormat/>
    <w:rsid w:val="002929BC"/>
  </w:style>
  <w:style w:type="character" w:customStyle="1" w:styleId="4-SubsectSubheadChar">
    <w:name w:val="4-Subsect Subhead Char"/>
    <w:basedOn w:val="DefaultParagraphFont"/>
    <w:link w:val="4-SubsectSubhead"/>
    <w:locked/>
    <w:rsid w:val="002929BC"/>
    <w:rPr>
      <w:rFonts w:eastAsiaTheme="majorEastAsia" w:cstheme="majorBidi"/>
      <w:b/>
      <w:color w:val="000000" w:themeColor="text1"/>
      <w:sz w:val="28"/>
      <w:szCs w:val="28"/>
    </w:rPr>
  </w:style>
  <w:style w:type="paragraph" w:customStyle="1" w:styleId="4-SubsectSubhead">
    <w:name w:val="4-Subsect Subhead"/>
    <w:basedOn w:val="Heading3"/>
    <w:next w:val="Normal"/>
    <w:link w:val="4-SubsectSubheadChar"/>
    <w:qFormat/>
    <w:rsid w:val="002929BC"/>
    <w:pPr>
      <w:keepNext/>
      <w:keepLines/>
      <w:spacing w:before="160" w:after="120"/>
    </w:pPr>
    <w:rPr>
      <w:rFonts w:ascii="Times New Roman" w:eastAsiaTheme="majorEastAsia" w:hAnsi="Times New Roman" w:cstheme="majorBidi"/>
      <w:b/>
      <w:color w:val="000000" w:themeColor="text1"/>
      <w:sz w:val="28"/>
      <w:szCs w:val="28"/>
      <w:u w:val="none"/>
    </w:rPr>
  </w:style>
  <w:style w:type="paragraph" w:customStyle="1" w:styleId="PBACHeading1">
    <w:name w:val="PBAC Heading 1"/>
    <w:qFormat/>
    <w:rsid w:val="004F308C"/>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DA0BE0"/>
    <w:pPr>
      <w:spacing w:after="120"/>
      <w:ind w:left="720"/>
      <w:contextualSpacing/>
    </w:pPr>
    <w:rPr>
      <w:snapToGrid w:val="0"/>
    </w:rPr>
  </w:style>
  <w:style w:type="paragraph" w:customStyle="1" w:styleId="3-SubsectionHeading">
    <w:name w:val="3-Subsection Heading"/>
    <w:basedOn w:val="Heading2"/>
    <w:next w:val="Normal"/>
    <w:link w:val="3-SubsectionHeadingChar"/>
    <w:qFormat/>
    <w:rsid w:val="003A2120"/>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A2120"/>
    <w:rPr>
      <w:rFonts w:asciiTheme="minorHAnsi" w:eastAsiaTheme="majorEastAsia" w:hAnsiTheme="minorHAnsi" w:cstheme="majorBidi"/>
      <w:b/>
      <w:i/>
      <w:spacing w:val="5"/>
      <w:kern w:val="28"/>
      <w:sz w:val="28"/>
      <w:szCs w:val="36"/>
      <w:lang w:eastAsia="en-US"/>
    </w:rPr>
  </w:style>
  <w:style w:type="paragraph" w:customStyle="1" w:styleId="MinorOVRHeader">
    <w:name w:val="Minor OVR Header"/>
    <w:basedOn w:val="Header"/>
    <w:link w:val="MinorOVRHeaderChar"/>
    <w:rsid w:val="001F5B42"/>
    <w:pPr>
      <w:keepNext/>
      <w:jc w:val="right"/>
    </w:pPr>
    <w:rPr>
      <w:rFonts w:asciiTheme="minorHAnsi" w:hAnsiTheme="minorHAnsi"/>
    </w:rPr>
  </w:style>
  <w:style w:type="character" w:customStyle="1" w:styleId="MinorOVRHeaderChar">
    <w:name w:val="Minor OVR Header Char"/>
    <w:basedOn w:val="DefaultParagraphFont"/>
    <w:link w:val="MinorOVRHeader"/>
    <w:rsid w:val="001F5B42"/>
    <w:rPr>
      <w:rFonts w:asciiTheme="minorHAnsi" w:hAnsi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34">
      <w:bodyDiv w:val="1"/>
      <w:marLeft w:val="0"/>
      <w:marRight w:val="0"/>
      <w:marTop w:val="0"/>
      <w:marBottom w:val="0"/>
      <w:divBdr>
        <w:top w:val="none" w:sz="0" w:space="0" w:color="auto"/>
        <w:left w:val="none" w:sz="0" w:space="0" w:color="auto"/>
        <w:bottom w:val="none" w:sz="0" w:space="0" w:color="auto"/>
        <w:right w:val="none" w:sz="0" w:space="0" w:color="auto"/>
      </w:divBdr>
    </w:div>
    <w:div w:id="15425059">
      <w:bodyDiv w:val="1"/>
      <w:marLeft w:val="0"/>
      <w:marRight w:val="0"/>
      <w:marTop w:val="0"/>
      <w:marBottom w:val="0"/>
      <w:divBdr>
        <w:top w:val="none" w:sz="0" w:space="0" w:color="auto"/>
        <w:left w:val="none" w:sz="0" w:space="0" w:color="auto"/>
        <w:bottom w:val="none" w:sz="0" w:space="0" w:color="auto"/>
        <w:right w:val="none" w:sz="0" w:space="0" w:color="auto"/>
      </w:divBdr>
      <w:divsChild>
        <w:div w:id="349062307">
          <w:marLeft w:val="0"/>
          <w:marRight w:val="0"/>
          <w:marTop w:val="0"/>
          <w:marBottom w:val="0"/>
          <w:divBdr>
            <w:top w:val="none" w:sz="0" w:space="0" w:color="auto"/>
            <w:left w:val="none" w:sz="0" w:space="0" w:color="auto"/>
            <w:bottom w:val="none" w:sz="0" w:space="0" w:color="auto"/>
            <w:right w:val="none" w:sz="0" w:space="0" w:color="auto"/>
          </w:divBdr>
        </w:div>
        <w:div w:id="816143517">
          <w:marLeft w:val="0"/>
          <w:marRight w:val="0"/>
          <w:marTop w:val="0"/>
          <w:marBottom w:val="0"/>
          <w:divBdr>
            <w:top w:val="none" w:sz="0" w:space="0" w:color="auto"/>
            <w:left w:val="none" w:sz="0" w:space="0" w:color="auto"/>
            <w:bottom w:val="none" w:sz="0" w:space="0" w:color="auto"/>
            <w:right w:val="none" w:sz="0" w:space="0" w:color="auto"/>
          </w:divBdr>
        </w:div>
        <w:div w:id="243532439">
          <w:marLeft w:val="0"/>
          <w:marRight w:val="0"/>
          <w:marTop w:val="0"/>
          <w:marBottom w:val="0"/>
          <w:divBdr>
            <w:top w:val="none" w:sz="0" w:space="0" w:color="auto"/>
            <w:left w:val="none" w:sz="0" w:space="0" w:color="auto"/>
            <w:bottom w:val="none" w:sz="0" w:space="0" w:color="auto"/>
            <w:right w:val="none" w:sz="0" w:space="0" w:color="auto"/>
          </w:divBdr>
        </w:div>
        <w:div w:id="1783182742">
          <w:marLeft w:val="0"/>
          <w:marRight w:val="0"/>
          <w:marTop w:val="0"/>
          <w:marBottom w:val="0"/>
          <w:divBdr>
            <w:top w:val="none" w:sz="0" w:space="0" w:color="auto"/>
            <w:left w:val="none" w:sz="0" w:space="0" w:color="auto"/>
            <w:bottom w:val="none" w:sz="0" w:space="0" w:color="auto"/>
            <w:right w:val="none" w:sz="0" w:space="0" w:color="auto"/>
          </w:divBdr>
        </w:div>
        <w:div w:id="1306203511">
          <w:marLeft w:val="0"/>
          <w:marRight w:val="0"/>
          <w:marTop w:val="0"/>
          <w:marBottom w:val="0"/>
          <w:divBdr>
            <w:top w:val="none" w:sz="0" w:space="0" w:color="auto"/>
            <w:left w:val="none" w:sz="0" w:space="0" w:color="auto"/>
            <w:bottom w:val="none" w:sz="0" w:space="0" w:color="auto"/>
            <w:right w:val="none" w:sz="0" w:space="0" w:color="auto"/>
          </w:divBdr>
        </w:div>
      </w:divsChild>
    </w:div>
    <w:div w:id="65802783">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4419432">
      <w:bodyDiv w:val="1"/>
      <w:marLeft w:val="0"/>
      <w:marRight w:val="0"/>
      <w:marTop w:val="0"/>
      <w:marBottom w:val="0"/>
      <w:divBdr>
        <w:top w:val="none" w:sz="0" w:space="0" w:color="auto"/>
        <w:left w:val="none" w:sz="0" w:space="0" w:color="auto"/>
        <w:bottom w:val="none" w:sz="0" w:space="0" w:color="auto"/>
        <w:right w:val="none" w:sz="0" w:space="0" w:color="auto"/>
      </w:divBdr>
    </w:div>
    <w:div w:id="150757700">
      <w:bodyDiv w:val="1"/>
      <w:marLeft w:val="0"/>
      <w:marRight w:val="0"/>
      <w:marTop w:val="0"/>
      <w:marBottom w:val="0"/>
      <w:divBdr>
        <w:top w:val="none" w:sz="0" w:space="0" w:color="auto"/>
        <w:left w:val="none" w:sz="0" w:space="0" w:color="auto"/>
        <w:bottom w:val="none" w:sz="0" w:space="0" w:color="auto"/>
        <w:right w:val="none" w:sz="0" w:space="0" w:color="auto"/>
      </w:divBdr>
    </w:div>
    <w:div w:id="162745526">
      <w:bodyDiv w:val="1"/>
      <w:marLeft w:val="0"/>
      <w:marRight w:val="0"/>
      <w:marTop w:val="0"/>
      <w:marBottom w:val="0"/>
      <w:divBdr>
        <w:top w:val="none" w:sz="0" w:space="0" w:color="auto"/>
        <w:left w:val="none" w:sz="0" w:space="0" w:color="auto"/>
        <w:bottom w:val="none" w:sz="0" w:space="0" w:color="auto"/>
        <w:right w:val="none" w:sz="0" w:space="0" w:color="auto"/>
      </w:divBdr>
    </w:div>
    <w:div w:id="187639982">
      <w:bodyDiv w:val="1"/>
      <w:marLeft w:val="0"/>
      <w:marRight w:val="0"/>
      <w:marTop w:val="0"/>
      <w:marBottom w:val="0"/>
      <w:divBdr>
        <w:top w:val="none" w:sz="0" w:space="0" w:color="auto"/>
        <w:left w:val="none" w:sz="0" w:space="0" w:color="auto"/>
        <w:bottom w:val="none" w:sz="0" w:space="0" w:color="auto"/>
        <w:right w:val="none" w:sz="0" w:space="0" w:color="auto"/>
      </w:divBdr>
      <w:divsChild>
        <w:div w:id="964773017">
          <w:marLeft w:val="0"/>
          <w:marRight w:val="0"/>
          <w:marTop w:val="0"/>
          <w:marBottom w:val="0"/>
          <w:divBdr>
            <w:top w:val="none" w:sz="0" w:space="0" w:color="auto"/>
            <w:left w:val="none" w:sz="0" w:space="0" w:color="auto"/>
            <w:bottom w:val="none" w:sz="0" w:space="0" w:color="auto"/>
            <w:right w:val="none" w:sz="0" w:space="0" w:color="auto"/>
          </w:divBdr>
          <w:divsChild>
            <w:div w:id="1830169738">
              <w:marLeft w:val="0"/>
              <w:marRight w:val="0"/>
              <w:marTop w:val="0"/>
              <w:marBottom w:val="0"/>
              <w:divBdr>
                <w:top w:val="none" w:sz="0" w:space="0" w:color="auto"/>
                <w:left w:val="none" w:sz="0" w:space="0" w:color="auto"/>
                <w:bottom w:val="none" w:sz="0" w:space="0" w:color="auto"/>
                <w:right w:val="none" w:sz="0" w:space="0" w:color="auto"/>
              </w:divBdr>
            </w:div>
          </w:divsChild>
        </w:div>
        <w:div w:id="199899945">
          <w:marLeft w:val="0"/>
          <w:marRight w:val="0"/>
          <w:marTop w:val="0"/>
          <w:marBottom w:val="0"/>
          <w:divBdr>
            <w:top w:val="none" w:sz="0" w:space="0" w:color="auto"/>
            <w:left w:val="none" w:sz="0" w:space="0" w:color="auto"/>
            <w:bottom w:val="none" w:sz="0" w:space="0" w:color="auto"/>
            <w:right w:val="none" w:sz="0" w:space="0" w:color="auto"/>
          </w:divBdr>
          <w:divsChild>
            <w:div w:id="961496819">
              <w:marLeft w:val="0"/>
              <w:marRight w:val="0"/>
              <w:marTop w:val="0"/>
              <w:marBottom w:val="0"/>
              <w:divBdr>
                <w:top w:val="none" w:sz="0" w:space="0" w:color="auto"/>
                <w:left w:val="none" w:sz="0" w:space="0" w:color="auto"/>
                <w:bottom w:val="none" w:sz="0" w:space="0" w:color="auto"/>
                <w:right w:val="none" w:sz="0" w:space="0" w:color="auto"/>
              </w:divBdr>
            </w:div>
            <w:div w:id="1765104156">
              <w:marLeft w:val="0"/>
              <w:marRight w:val="0"/>
              <w:marTop w:val="0"/>
              <w:marBottom w:val="0"/>
              <w:divBdr>
                <w:top w:val="none" w:sz="0" w:space="0" w:color="auto"/>
                <w:left w:val="none" w:sz="0" w:space="0" w:color="auto"/>
                <w:bottom w:val="none" w:sz="0" w:space="0" w:color="auto"/>
                <w:right w:val="none" w:sz="0" w:space="0" w:color="auto"/>
              </w:divBdr>
            </w:div>
          </w:divsChild>
        </w:div>
        <w:div w:id="1646157853">
          <w:marLeft w:val="0"/>
          <w:marRight w:val="0"/>
          <w:marTop w:val="0"/>
          <w:marBottom w:val="0"/>
          <w:divBdr>
            <w:top w:val="none" w:sz="0" w:space="0" w:color="auto"/>
            <w:left w:val="none" w:sz="0" w:space="0" w:color="auto"/>
            <w:bottom w:val="none" w:sz="0" w:space="0" w:color="auto"/>
            <w:right w:val="none" w:sz="0" w:space="0" w:color="auto"/>
          </w:divBdr>
          <w:divsChild>
            <w:div w:id="1031883269">
              <w:marLeft w:val="0"/>
              <w:marRight w:val="0"/>
              <w:marTop w:val="0"/>
              <w:marBottom w:val="0"/>
              <w:divBdr>
                <w:top w:val="none" w:sz="0" w:space="0" w:color="auto"/>
                <w:left w:val="none" w:sz="0" w:space="0" w:color="auto"/>
                <w:bottom w:val="none" w:sz="0" w:space="0" w:color="auto"/>
                <w:right w:val="none" w:sz="0" w:space="0" w:color="auto"/>
              </w:divBdr>
            </w:div>
            <w:div w:id="776019539">
              <w:marLeft w:val="0"/>
              <w:marRight w:val="0"/>
              <w:marTop w:val="0"/>
              <w:marBottom w:val="0"/>
              <w:divBdr>
                <w:top w:val="none" w:sz="0" w:space="0" w:color="auto"/>
                <w:left w:val="none" w:sz="0" w:space="0" w:color="auto"/>
                <w:bottom w:val="none" w:sz="0" w:space="0" w:color="auto"/>
                <w:right w:val="none" w:sz="0" w:space="0" w:color="auto"/>
              </w:divBdr>
            </w:div>
          </w:divsChild>
        </w:div>
        <w:div w:id="12390933">
          <w:marLeft w:val="0"/>
          <w:marRight w:val="0"/>
          <w:marTop w:val="0"/>
          <w:marBottom w:val="0"/>
          <w:divBdr>
            <w:top w:val="none" w:sz="0" w:space="0" w:color="auto"/>
            <w:left w:val="none" w:sz="0" w:space="0" w:color="auto"/>
            <w:bottom w:val="none" w:sz="0" w:space="0" w:color="auto"/>
            <w:right w:val="none" w:sz="0" w:space="0" w:color="auto"/>
          </w:divBdr>
          <w:divsChild>
            <w:div w:id="1350714353">
              <w:marLeft w:val="0"/>
              <w:marRight w:val="0"/>
              <w:marTop w:val="0"/>
              <w:marBottom w:val="0"/>
              <w:divBdr>
                <w:top w:val="none" w:sz="0" w:space="0" w:color="auto"/>
                <w:left w:val="none" w:sz="0" w:space="0" w:color="auto"/>
                <w:bottom w:val="none" w:sz="0" w:space="0" w:color="auto"/>
                <w:right w:val="none" w:sz="0" w:space="0" w:color="auto"/>
              </w:divBdr>
            </w:div>
          </w:divsChild>
        </w:div>
        <w:div w:id="904997231">
          <w:marLeft w:val="0"/>
          <w:marRight w:val="0"/>
          <w:marTop w:val="0"/>
          <w:marBottom w:val="0"/>
          <w:divBdr>
            <w:top w:val="none" w:sz="0" w:space="0" w:color="auto"/>
            <w:left w:val="none" w:sz="0" w:space="0" w:color="auto"/>
            <w:bottom w:val="none" w:sz="0" w:space="0" w:color="auto"/>
            <w:right w:val="none" w:sz="0" w:space="0" w:color="auto"/>
          </w:divBdr>
          <w:divsChild>
            <w:div w:id="859508378">
              <w:marLeft w:val="0"/>
              <w:marRight w:val="0"/>
              <w:marTop w:val="0"/>
              <w:marBottom w:val="0"/>
              <w:divBdr>
                <w:top w:val="none" w:sz="0" w:space="0" w:color="auto"/>
                <w:left w:val="none" w:sz="0" w:space="0" w:color="auto"/>
                <w:bottom w:val="none" w:sz="0" w:space="0" w:color="auto"/>
                <w:right w:val="none" w:sz="0" w:space="0" w:color="auto"/>
              </w:divBdr>
            </w:div>
          </w:divsChild>
        </w:div>
        <w:div w:id="107699247">
          <w:marLeft w:val="0"/>
          <w:marRight w:val="0"/>
          <w:marTop w:val="0"/>
          <w:marBottom w:val="0"/>
          <w:divBdr>
            <w:top w:val="none" w:sz="0" w:space="0" w:color="auto"/>
            <w:left w:val="none" w:sz="0" w:space="0" w:color="auto"/>
            <w:bottom w:val="none" w:sz="0" w:space="0" w:color="auto"/>
            <w:right w:val="none" w:sz="0" w:space="0" w:color="auto"/>
          </w:divBdr>
          <w:divsChild>
            <w:div w:id="582686378">
              <w:marLeft w:val="0"/>
              <w:marRight w:val="0"/>
              <w:marTop w:val="0"/>
              <w:marBottom w:val="0"/>
              <w:divBdr>
                <w:top w:val="none" w:sz="0" w:space="0" w:color="auto"/>
                <w:left w:val="none" w:sz="0" w:space="0" w:color="auto"/>
                <w:bottom w:val="none" w:sz="0" w:space="0" w:color="auto"/>
                <w:right w:val="none" w:sz="0" w:space="0" w:color="auto"/>
              </w:divBdr>
            </w:div>
          </w:divsChild>
        </w:div>
        <w:div w:id="980888945">
          <w:marLeft w:val="0"/>
          <w:marRight w:val="0"/>
          <w:marTop w:val="0"/>
          <w:marBottom w:val="0"/>
          <w:divBdr>
            <w:top w:val="none" w:sz="0" w:space="0" w:color="auto"/>
            <w:left w:val="none" w:sz="0" w:space="0" w:color="auto"/>
            <w:bottom w:val="none" w:sz="0" w:space="0" w:color="auto"/>
            <w:right w:val="none" w:sz="0" w:space="0" w:color="auto"/>
          </w:divBdr>
          <w:divsChild>
            <w:div w:id="389884726">
              <w:marLeft w:val="0"/>
              <w:marRight w:val="0"/>
              <w:marTop w:val="0"/>
              <w:marBottom w:val="0"/>
              <w:divBdr>
                <w:top w:val="none" w:sz="0" w:space="0" w:color="auto"/>
                <w:left w:val="none" w:sz="0" w:space="0" w:color="auto"/>
                <w:bottom w:val="none" w:sz="0" w:space="0" w:color="auto"/>
                <w:right w:val="none" w:sz="0" w:space="0" w:color="auto"/>
              </w:divBdr>
            </w:div>
          </w:divsChild>
        </w:div>
        <w:div w:id="1927306615">
          <w:marLeft w:val="0"/>
          <w:marRight w:val="0"/>
          <w:marTop w:val="0"/>
          <w:marBottom w:val="0"/>
          <w:divBdr>
            <w:top w:val="none" w:sz="0" w:space="0" w:color="auto"/>
            <w:left w:val="none" w:sz="0" w:space="0" w:color="auto"/>
            <w:bottom w:val="none" w:sz="0" w:space="0" w:color="auto"/>
            <w:right w:val="none" w:sz="0" w:space="0" w:color="auto"/>
          </w:divBdr>
          <w:divsChild>
            <w:div w:id="1474833894">
              <w:marLeft w:val="0"/>
              <w:marRight w:val="0"/>
              <w:marTop w:val="0"/>
              <w:marBottom w:val="0"/>
              <w:divBdr>
                <w:top w:val="none" w:sz="0" w:space="0" w:color="auto"/>
                <w:left w:val="none" w:sz="0" w:space="0" w:color="auto"/>
                <w:bottom w:val="none" w:sz="0" w:space="0" w:color="auto"/>
                <w:right w:val="none" w:sz="0" w:space="0" w:color="auto"/>
              </w:divBdr>
            </w:div>
            <w:div w:id="1400133481">
              <w:marLeft w:val="0"/>
              <w:marRight w:val="0"/>
              <w:marTop w:val="0"/>
              <w:marBottom w:val="0"/>
              <w:divBdr>
                <w:top w:val="none" w:sz="0" w:space="0" w:color="auto"/>
                <w:left w:val="none" w:sz="0" w:space="0" w:color="auto"/>
                <w:bottom w:val="none" w:sz="0" w:space="0" w:color="auto"/>
                <w:right w:val="none" w:sz="0" w:space="0" w:color="auto"/>
              </w:divBdr>
            </w:div>
            <w:div w:id="2084789724">
              <w:marLeft w:val="0"/>
              <w:marRight w:val="0"/>
              <w:marTop w:val="0"/>
              <w:marBottom w:val="0"/>
              <w:divBdr>
                <w:top w:val="none" w:sz="0" w:space="0" w:color="auto"/>
                <w:left w:val="none" w:sz="0" w:space="0" w:color="auto"/>
                <w:bottom w:val="none" w:sz="0" w:space="0" w:color="auto"/>
                <w:right w:val="none" w:sz="0" w:space="0" w:color="auto"/>
              </w:divBdr>
            </w:div>
          </w:divsChild>
        </w:div>
        <w:div w:id="378669421">
          <w:marLeft w:val="0"/>
          <w:marRight w:val="0"/>
          <w:marTop w:val="0"/>
          <w:marBottom w:val="0"/>
          <w:divBdr>
            <w:top w:val="none" w:sz="0" w:space="0" w:color="auto"/>
            <w:left w:val="none" w:sz="0" w:space="0" w:color="auto"/>
            <w:bottom w:val="none" w:sz="0" w:space="0" w:color="auto"/>
            <w:right w:val="none" w:sz="0" w:space="0" w:color="auto"/>
          </w:divBdr>
          <w:divsChild>
            <w:div w:id="1222403240">
              <w:marLeft w:val="0"/>
              <w:marRight w:val="0"/>
              <w:marTop w:val="0"/>
              <w:marBottom w:val="0"/>
              <w:divBdr>
                <w:top w:val="none" w:sz="0" w:space="0" w:color="auto"/>
                <w:left w:val="none" w:sz="0" w:space="0" w:color="auto"/>
                <w:bottom w:val="none" w:sz="0" w:space="0" w:color="auto"/>
                <w:right w:val="none" w:sz="0" w:space="0" w:color="auto"/>
              </w:divBdr>
            </w:div>
            <w:div w:id="772365694">
              <w:marLeft w:val="0"/>
              <w:marRight w:val="0"/>
              <w:marTop w:val="0"/>
              <w:marBottom w:val="0"/>
              <w:divBdr>
                <w:top w:val="none" w:sz="0" w:space="0" w:color="auto"/>
                <w:left w:val="none" w:sz="0" w:space="0" w:color="auto"/>
                <w:bottom w:val="none" w:sz="0" w:space="0" w:color="auto"/>
                <w:right w:val="none" w:sz="0" w:space="0" w:color="auto"/>
              </w:divBdr>
            </w:div>
            <w:div w:id="1419903984">
              <w:marLeft w:val="0"/>
              <w:marRight w:val="0"/>
              <w:marTop w:val="0"/>
              <w:marBottom w:val="0"/>
              <w:divBdr>
                <w:top w:val="none" w:sz="0" w:space="0" w:color="auto"/>
                <w:left w:val="none" w:sz="0" w:space="0" w:color="auto"/>
                <w:bottom w:val="none" w:sz="0" w:space="0" w:color="auto"/>
                <w:right w:val="none" w:sz="0" w:space="0" w:color="auto"/>
              </w:divBdr>
            </w:div>
          </w:divsChild>
        </w:div>
        <w:div w:id="873201687">
          <w:marLeft w:val="0"/>
          <w:marRight w:val="0"/>
          <w:marTop w:val="0"/>
          <w:marBottom w:val="0"/>
          <w:divBdr>
            <w:top w:val="none" w:sz="0" w:space="0" w:color="auto"/>
            <w:left w:val="none" w:sz="0" w:space="0" w:color="auto"/>
            <w:bottom w:val="none" w:sz="0" w:space="0" w:color="auto"/>
            <w:right w:val="none" w:sz="0" w:space="0" w:color="auto"/>
          </w:divBdr>
          <w:divsChild>
            <w:div w:id="709916290">
              <w:marLeft w:val="0"/>
              <w:marRight w:val="0"/>
              <w:marTop w:val="0"/>
              <w:marBottom w:val="0"/>
              <w:divBdr>
                <w:top w:val="none" w:sz="0" w:space="0" w:color="auto"/>
                <w:left w:val="none" w:sz="0" w:space="0" w:color="auto"/>
                <w:bottom w:val="none" w:sz="0" w:space="0" w:color="auto"/>
                <w:right w:val="none" w:sz="0" w:space="0" w:color="auto"/>
              </w:divBdr>
            </w:div>
            <w:div w:id="2062558365">
              <w:marLeft w:val="0"/>
              <w:marRight w:val="0"/>
              <w:marTop w:val="0"/>
              <w:marBottom w:val="0"/>
              <w:divBdr>
                <w:top w:val="none" w:sz="0" w:space="0" w:color="auto"/>
                <w:left w:val="none" w:sz="0" w:space="0" w:color="auto"/>
                <w:bottom w:val="none" w:sz="0" w:space="0" w:color="auto"/>
                <w:right w:val="none" w:sz="0" w:space="0" w:color="auto"/>
              </w:divBdr>
            </w:div>
            <w:div w:id="678853398">
              <w:marLeft w:val="0"/>
              <w:marRight w:val="0"/>
              <w:marTop w:val="0"/>
              <w:marBottom w:val="0"/>
              <w:divBdr>
                <w:top w:val="none" w:sz="0" w:space="0" w:color="auto"/>
                <w:left w:val="none" w:sz="0" w:space="0" w:color="auto"/>
                <w:bottom w:val="none" w:sz="0" w:space="0" w:color="auto"/>
                <w:right w:val="none" w:sz="0" w:space="0" w:color="auto"/>
              </w:divBdr>
            </w:div>
          </w:divsChild>
        </w:div>
        <w:div w:id="341930167">
          <w:marLeft w:val="0"/>
          <w:marRight w:val="0"/>
          <w:marTop w:val="0"/>
          <w:marBottom w:val="0"/>
          <w:divBdr>
            <w:top w:val="none" w:sz="0" w:space="0" w:color="auto"/>
            <w:left w:val="none" w:sz="0" w:space="0" w:color="auto"/>
            <w:bottom w:val="none" w:sz="0" w:space="0" w:color="auto"/>
            <w:right w:val="none" w:sz="0" w:space="0" w:color="auto"/>
          </w:divBdr>
          <w:divsChild>
            <w:div w:id="1968923258">
              <w:marLeft w:val="0"/>
              <w:marRight w:val="0"/>
              <w:marTop w:val="0"/>
              <w:marBottom w:val="0"/>
              <w:divBdr>
                <w:top w:val="none" w:sz="0" w:space="0" w:color="auto"/>
                <w:left w:val="none" w:sz="0" w:space="0" w:color="auto"/>
                <w:bottom w:val="none" w:sz="0" w:space="0" w:color="auto"/>
                <w:right w:val="none" w:sz="0" w:space="0" w:color="auto"/>
              </w:divBdr>
            </w:div>
          </w:divsChild>
        </w:div>
        <w:div w:id="916018806">
          <w:marLeft w:val="0"/>
          <w:marRight w:val="0"/>
          <w:marTop w:val="0"/>
          <w:marBottom w:val="0"/>
          <w:divBdr>
            <w:top w:val="none" w:sz="0" w:space="0" w:color="auto"/>
            <w:left w:val="none" w:sz="0" w:space="0" w:color="auto"/>
            <w:bottom w:val="none" w:sz="0" w:space="0" w:color="auto"/>
            <w:right w:val="none" w:sz="0" w:space="0" w:color="auto"/>
          </w:divBdr>
          <w:divsChild>
            <w:div w:id="1331517554">
              <w:marLeft w:val="0"/>
              <w:marRight w:val="0"/>
              <w:marTop w:val="0"/>
              <w:marBottom w:val="0"/>
              <w:divBdr>
                <w:top w:val="none" w:sz="0" w:space="0" w:color="auto"/>
                <w:left w:val="none" w:sz="0" w:space="0" w:color="auto"/>
                <w:bottom w:val="none" w:sz="0" w:space="0" w:color="auto"/>
                <w:right w:val="none" w:sz="0" w:space="0" w:color="auto"/>
              </w:divBdr>
            </w:div>
          </w:divsChild>
        </w:div>
        <w:div w:id="1436363980">
          <w:marLeft w:val="0"/>
          <w:marRight w:val="0"/>
          <w:marTop w:val="0"/>
          <w:marBottom w:val="0"/>
          <w:divBdr>
            <w:top w:val="none" w:sz="0" w:space="0" w:color="auto"/>
            <w:left w:val="none" w:sz="0" w:space="0" w:color="auto"/>
            <w:bottom w:val="none" w:sz="0" w:space="0" w:color="auto"/>
            <w:right w:val="none" w:sz="0" w:space="0" w:color="auto"/>
          </w:divBdr>
          <w:divsChild>
            <w:div w:id="251862083">
              <w:marLeft w:val="0"/>
              <w:marRight w:val="0"/>
              <w:marTop w:val="0"/>
              <w:marBottom w:val="0"/>
              <w:divBdr>
                <w:top w:val="none" w:sz="0" w:space="0" w:color="auto"/>
                <w:left w:val="none" w:sz="0" w:space="0" w:color="auto"/>
                <w:bottom w:val="none" w:sz="0" w:space="0" w:color="auto"/>
                <w:right w:val="none" w:sz="0" w:space="0" w:color="auto"/>
              </w:divBdr>
            </w:div>
          </w:divsChild>
        </w:div>
        <w:div w:id="263461619">
          <w:marLeft w:val="0"/>
          <w:marRight w:val="0"/>
          <w:marTop w:val="0"/>
          <w:marBottom w:val="0"/>
          <w:divBdr>
            <w:top w:val="none" w:sz="0" w:space="0" w:color="auto"/>
            <w:left w:val="none" w:sz="0" w:space="0" w:color="auto"/>
            <w:bottom w:val="none" w:sz="0" w:space="0" w:color="auto"/>
            <w:right w:val="none" w:sz="0" w:space="0" w:color="auto"/>
          </w:divBdr>
          <w:divsChild>
            <w:div w:id="568464229">
              <w:marLeft w:val="0"/>
              <w:marRight w:val="0"/>
              <w:marTop w:val="0"/>
              <w:marBottom w:val="0"/>
              <w:divBdr>
                <w:top w:val="none" w:sz="0" w:space="0" w:color="auto"/>
                <w:left w:val="none" w:sz="0" w:space="0" w:color="auto"/>
                <w:bottom w:val="none" w:sz="0" w:space="0" w:color="auto"/>
                <w:right w:val="none" w:sz="0" w:space="0" w:color="auto"/>
              </w:divBdr>
            </w:div>
          </w:divsChild>
        </w:div>
        <w:div w:id="227112966">
          <w:marLeft w:val="0"/>
          <w:marRight w:val="0"/>
          <w:marTop w:val="0"/>
          <w:marBottom w:val="0"/>
          <w:divBdr>
            <w:top w:val="none" w:sz="0" w:space="0" w:color="auto"/>
            <w:left w:val="none" w:sz="0" w:space="0" w:color="auto"/>
            <w:bottom w:val="none" w:sz="0" w:space="0" w:color="auto"/>
            <w:right w:val="none" w:sz="0" w:space="0" w:color="auto"/>
          </w:divBdr>
          <w:divsChild>
            <w:div w:id="1564952494">
              <w:marLeft w:val="0"/>
              <w:marRight w:val="0"/>
              <w:marTop w:val="0"/>
              <w:marBottom w:val="0"/>
              <w:divBdr>
                <w:top w:val="none" w:sz="0" w:space="0" w:color="auto"/>
                <w:left w:val="none" w:sz="0" w:space="0" w:color="auto"/>
                <w:bottom w:val="none" w:sz="0" w:space="0" w:color="auto"/>
                <w:right w:val="none" w:sz="0" w:space="0" w:color="auto"/>
              </w:divBdr>
            </w:div>
          </w:divsChild>
        </w:div>
        <w:div w:id="669988631">
          <w:marLeft w:val="0"/>
          <w:marRight w:val="0"/>
          <w:marTop w:val="0"/>
          <w:marBottom w:val="0"/>
          <w:divBdr>
            <w:top w:val="none" w:sz="0" w:space="0" w:color="auto"/>
            <w:left w:val="none" w:sz="0" w:space="0" w:color="auto"/>
            <w:bottom w:val="none" w:sz="0" w:space="0" w:color="auto"/>
            <w:right w:val="none" w:sz="0" w:space="0" w:color="auto"/>
          </w:divBdr>
          <w:divsChild>
            <w:div w:id="618486990">
              <w:marLeft w:val="0"/>
              <w:marRight w:val="0"/>
              <w:marTop w:val="0"/>
              <w:marBottom w:val="0"/>
              <w:divBdr>
                <w:top w:val="none" w:sz="0" w:space="0" w:color="auto"/>
                <w:left w:val="none" w:sz="0" w:space="0" w:color="auto"/>
                <w:bottom w:val="none" w:sz="0" w:space="0" w:color="auto"/>
                <w:right w:val="none" w:sz="0" w:space="0" w:color="auto"/>
              </w:divBdr>
            </w:div>
            <w:div w:id="2049406345">
              <w:marLeft w:val="0"/>
              <w:marRight w:val="0"/>
              <w:marTop w:val="0"/>
              <w:marBottom w:val="0"/>
              <w:divBdr>
                <w:top w:val="none" w:sz="0" w:space="0" w:color="auto"/>
                <w:left w:val="none" w:sz="0" w:space="0" w:color="auto"/>
                <w:bottom w:val="none" w:sz="0" w:space="0" w:color="auto"/>
                <w:right w:val="none" w:sz="0" w:space="0" w:color="auto"/>
              </w:divBdr>
            </w:div>
            <w:div w:id="665519854">
              <w:marLeft w:val="0"/>
              <w:marRight w:val="0"/>
              <w:marTop w:val="0"/>
              <w:marBottom w:val="0"/>
              <w:divBdr>
                <w:top w:val="none" w:sz="0" w:space="0" w:color="auto"/>
                <w:left w:val="none" w:sz="0" w:space="0" w:color="auto"/>
                <w:bottom w:val="none" w:sz="0" w:space="0" w:color="auto"/>
                <w:right w:val="none" w:sz="0" w:space="0" w:color="auto"/>
              </w:divBdr>
            </w:div>
            <w:div w:id="1798909085">
              <w:marLeft w:val="0"/>
              <w:marRight w:val="0"/>
              <w:marTop w:val="0"/>
              <w:marBottom w:val="0"/>
              <w:divBdr>
                <w:top w:val="none" w:sz="0" w:space="0" w:color="auto"/>
                <w:left w:val="none" w:sz="0" w:space="0" w:color="auto"/>
                <w:bottom w:val="none" w:sz="0" w:space="0" w:color="auto"/>
                <w:right w:val="none" w:sz="0" w:space="0" w:color="auto"/>
              </w:divBdr>
            </w:div>
          </w:divsChild>
        </w:div>
        <w:div w:id="240876361">
          <w:marLeft w:val="0"/>
          <w:marRight w:val="0"/>
          <w:marTop w:val="0"/>
          <w:marBottom w:val="0"/>
          <w:divBdr>
            <w:top w:val="none" w:sz="0" w:space="0" w:color="auto"/>
            <w:left w:val="none" w:sz="0" w:space="0" w:color="auto"/>
            <w:bottom w:val="none" w:sz="0" w:space="0" w:color="auto"/>
            <w:right w:val="none" w:sz="0" w:space="0" w:color="auto"/>
          </w:divBdr>
          <w:divsChild>
            <w:div w:id="417290608">
              <w:marLeft w:val="0"/>
              <w:marRight w:val="0"/>
              <w:marTop w:val="0"/>
              <w:marBottom w:val="0"/>
              <w:divBdr>
                <w:top w:val="none" w:sz="0" w:space="0" w:color="auto"/>
                <w:left w:val="none" w:sz="0" w:space="0" w:color="auto"/>
                <w:bottom w:val="none" w:sz="0" w:space="0" w:color="auto"/>
                <w:right w:val="none" w:sz="0" w:space="0" w:color="auto"/>
              </w:divBdr>
            </w:div>
            <w:div w:id="1312901946">
              <w:marLeft w:val="0"/>
              <w:marRight w:val="0"/>
              <w:marTop w:val="0"/>
              <w:marBottom w:val="0"/>
              <w:divBdr>
                <w:top w:val="none" w:sz="0" w:space="0" w:color="auto"/>
                <w:left w:val="none" w:sz="0" w:space="0" w:color="auto"/>
                <w:bottom w:val="none" w:sz="0" w:space="0" w:color="auto"/>
                <w:right w:val="none" w:sz="0" w:space="0" w:color="auto"/>
              </w:divBdr>
            </w:div>
            <w:div w:id="537667280">
              <w:marLeft w:val="0"/>
              <w:marRight w:val="0"/>
              <w:marTop w:val="0"/>
              <w:marBottom w:val="0"/>
              <w:divBdr>
                <w:top w:val="none" w:sz="0" w:space="0" w:color="auto"/>
                <w:left w:val="none" w:sz="0" w:space="0" w:color="auto"/>
                <w:bottom w:val="none" w:sz="0" w:space="0" w:color="auto"/>
                <w:right w:val="none" w:sz="0" w:space="0" w:color="auto"/>
              </w:divBdr>
            </w:div>
            <w:div w:id="212667620">
              <w:marLeft w:val="0"/>
              <w:marRight w:val="0"/>
              <w:marTop w:val="0"/>
              <w:marBottom w:val="0"/>
              <w:divBdr>
                <w:top w:val="none" w:sz="0" w:space="0" w:color="auto"/>
                <w:left w:val="none" w:sz="0" w:space="0" w:color="auto"/>
                <w:bottom w:val="none" w:sz="0" w:space="0" w:color="auto"/>
                <w:right w:val="none" w:sz="0" w:space="0" w:color="auto"/>
              </w:divBdr>
            </w:div>
          </w:divsChild>
        </w:div>
        <w:div w:id="1914317103">
          <w:marLeft w:val="0"/>
          <w:marRight w:val="0"/>
          <w:marTop w:val="0"/>
          <w:marBottom w:val="0"/>
          <w:divBdr>
            <w:top w:val="none" w:sz="0" w:space="0" w:color="auto"/>
            <w:left w:val="none" w:sz="0" w:space="0" w:color="auto"/>
            <w:bottom w:val="none" w:sz="0" w:space="0" w:color="auto"/>
            <w:right w:val="none" w:sz="0" w:space="0" w:color="auto"/>
          </w:divBdr>
          <w:divsChild>
            <w:div w:id="1384719007">
              <w:marLeft w:val="0"/>
              <w:marRight w:val="0"/>
              <w:marTop w:val="0"/>
              <w:marBottom w:val="0"/>
              <w:divBdr>
                <w:top w:val="none" w:sz="0" w:space="0" w:color="auto"/>
                <w:left w:val="none" w:sz="0" w:space="0" w:color="auto"/>
                <w:bottom w:val="none" w:sz="0" w:space="0" w:color="auto"/>
                <w:right w:val="none" w:sz="0" w:space="0" w:color="auto"/>
              </w:divBdr>
            </w:div>
            <w:div w:id="1357543936">
              <w:marLeft w:val="0"/>
              <w:marRight w:val="0"/>
              <w:marTop w:val="0"/>
              <w:marBottom w:val="0"/>
              <w:divBdr>
                <w:top w:val="none" w:sz="0" w:space="0" w:color="auto"/>
                <w:left w:val="none" w:sz="0" w:space="0" w:color="auto"/>
                <w:bottom w:val="none" w:sz="0" w:space="0" w:color="auto"/>
                <w:right w:val="none" w:sz="0" w:space="0" w:color="auto"/>
              </w:divBdr>
            </w:div>
            <w:div w:id="1981882034">
              <w:marLeft w:val="0"/>
              <w:marRight w:val="0"/>
              <w:marTop w:val="0"/>
              <w:marBottom w:val="0"/>
              <w:divBdr>
                <w:top w:val="none" w:sz="0" w:space="0" w:color="auto"/>
                <w:left w:val="none" w:sz="0" w:space="0" w:color="auto"/>
                <w:bottom w:val="none" w:sz="0" w:space="0" w:color="auto"/>
                <w:right w:val="none" w:sz="0" w:space="0" w:color="auto"/>
              </w:divBdr>
            </w:div>
            <w:div w:id="735206893">
              <w:marLeft w:val="0"/>
              <w:marRight w:val="0"/>
              <w:marTop w:val="0"/>
              <w:marBottom w:val="0"/>
              <w:divBdr>
                <w:top w:val="none" w:sz="0" w:space="0" w:color="auto"/>
                <w:left w:val="none" w:sz="0" w:space="0" w:color="auto"/>
                <w:bottom w:val="none" w:sz="0" w:space="0" w:color="auto"/>
                <w:right w:val="none" w:sz="0" w:space="0" w:color="auto"/>
              </w:divBdr>
            </w:div>
          </w:divsChild>
        </w:div>
        <w:div w:id="1889687913">
          <w:marLeft w:val="0"/>
          <w:marRight w:val="0"/>
          <w:marTop w:val="0"/>
          <w:marBottom w:val="0"/>
          <w:divBdr>
            <w:top w:val="none" w:sz="0" w:space="0" w:color="auto"/>
            <w:left w:val="none" w:sz="0" w:space="0" w:color="auto"/>
            <w:bottom w:val="none" w:sz="0" w:space="0" w:color="auto"/>
            <w:right w:val="none" w:sz="0" w:space="0" w:color="auto"/>
          </w:divBdr>
          <w:divsChild>
            <w:div w:id="319501775">
              <w:marLeft w:val="0"/>
              <w:marRight w:val="0"/>
              <w:marTop w:val="0"/>
              <w:marBottom w:val="0"/>
              <w:divBdr>
                <w:top w:val="none" w:sz="0" w:space="0" w:color="auto"/>
                <w:left w:val="none" w:sz="0" w:space="0" w:color="auto"/>
                <w:bottom w:val="none" w:sz="0" w:space="0" w:color="auto"/>
                <w:right w:val="none" w:sz="0" w:space="0" w:color="auto"/>
              </w:divBdr>
            </w:div>
          </w:divsChild>
        </w:div>
        <w:div w:id="1510942794">
          <w:marLeft w:val="0"/>
          <w:marRight w:val="0"/>
          <w:marTop w:val="0"/>
          <w:marBottom w:val="0"/>
          <w:divBdr>
            <w:top w:val="none" w:sz="0" w:space="0" w:color="auto"/>
            <w:left w:val="none" w:sz="0" w:space="0" w:color="auto"/>
            <w:bottom w:val="none" w:sz="0" w:space="0" w:color="auto"/>
            <w:right w:val="none" w:sz="0" w:space="0" w:color="auto"/>
          </w:divBdr>
          <w:divsChild>
            <w:div w:id="854804191">
              <w:marLeft w:val="0"/>
              <w:marRight w:val="0"/>
              <w:marTop w:val="0"/>
              <w:marBottom w:val="0"/>
              <w:divBdr>
                <w:top w:val="none" w:sz="0" w:space="0" w:color="auto"/>
                <w:left w:val="none" w:sz="0" w:space="0" w:color="auto"/>
                <w:bottom w:val="none" w:sz="0" w:space="0" w:color="auto"/>
                <w:right w:val="none" w:sz="0" w:space="0" w:color="auto"/>
              </w:divBdr>
            </w:div>
            <w:div w:id="1823427075">
              <w:marLeft w:val="0"/>
              <w:marRight w:val="0"/>
              <w:marTop w:val="0"/>
              <w:marBottom w:val="0"/>
              <w:divBdr>
                <w:top w:val="none" w:sz="0" w:space="0" w:color="auto"/>
                <w:left w:val="none" w:sz="0" w:space="0" w:color="auto"/>
                <w:bottom w:val="none" w:sz="0" w:space="0" w:color="auto"/>
                <w:right w:val="none" w:sz="0" w:space="0" w:color="auto"/>
              </w:divBdr>
            </w:div>
            <w:div w:id="1679385876">
              <w:marLeft w:val="0"/>
              <w:marRight w:val="0"/>
              <w:marTop w:val="0"/>
              <w:marBottom w:val="0"/>
              <w:divBdr>
                <w:top w:val="none" w:sz="0" w:space="0" w:color="auto"/>
                <w:left w:val="none" w:sz="0" w:space="0" w:color="auto"/>
                <w:bottom w:val="none" w:sz="0" w:space="0" w:color="auto"/>
                <w:right w:val="none" w:sz="0" w:space="0" w:color="auto"/>
              </w:divBdr>
            </w:div>
          </w:divsChild>
        </w:div>
        <w:div w:id="1597789454">
          <w:marLeft w:val="0"/>
          <w:marRight w:val="0"/>
          <w:marTop w:val="0"/>
          <w:marBottom w:val="0"/>
          <w:divBdr>
            <w:top w:val="none" w:sz="0" w:space="0" w:color="auto"/>
            <w:left w:val="none" w:sz="0" w:space="0" w:color="auto"/>
            <w:bottom w:val="none" w:sz="0" w:space="0" w:color="auto"/>
            <w:right w:val="none" w:sz="0" w:space="0" w:color="auto"/>
          </w:divBdr>
          <w:divsChild>
            <w:div w:id="1104689431">
              <w:marLeft w:val="0"/>
              <w:marRight w:val="0"/>
              <w:marTop w:val="0"/>
              <w:marBottom w:val="0"/>
              <w:divBdr>
                <w:top w:val="none" w:sz="0" w:space="0" w:color="auto"/>
                <w:left w:val="none" w:sz="0" w:space="0" w:color="auto"/>
                <w:bottom w:val="none" w:sz="0" w:space="0" w:color="auto"/>
                <w:right w:val="none" w:sz="0" w:space="0" w:color="auto"/>
              </w:divBdr>
            </w:div>
            <w:div w:id="1382437612">
              <w:marLeft w:val="0"/>
              <w:marRight w:val="0"/>
              <w:marTop w:val="0"/>
              <w:marBottom w:val="0"/>
              <w:divBdr>
                <w:top w:val="none" w:sz="0" w:space="0" w:color="auto"/>
                <w:left w:val="none" w:sz="0" w:space="0" w:color="auto"/>
                <w:bottom w:val="none" w:sz="0" w:space="0" w:color="auto"/>
                <w:right w:val="none" w:sz="0" w:space="0" w:color="auto"/>
              </w:divBdr>
            </w:div>
            <w:div w:id="1108622132">
              <w:marLeft w:val="0"/>
              <w:marRight w:val="0"/>
              <w:marTop w:val="0"/>
              <w:marBottom w:val="0"/>
              <w:divBdr>
                <w:top w:val="none" w:sz="0" w:space="0" w:color="auto"/>
                <w:left w:val="none" w:sz="0" w:space="0" w:color="auto"/>
                <w:bottom w:val="none" w:sz="0" w:space="0" w:color="auto"/>
                <w:right w:val="none" w:sz="0" w:space="0" w:color="auto"/>
              </w:divBdr>
            </w:div>
          </w:divsChild>
        </w:div>
        <w:div w:id="664360066">
          <w:marLeft w:val="0"/>
          <w:marRight w:val="0"/>
          <w:marTop w:val="0"/>
          <w:marBottom w:val="0"/>
          <w:divBdr>
            <w:top w:val="none" w:sz="0" w:space="0" w:color="auto"/>
            <w:left w:val="none" w:sz="0" w:space="0" w:color="auto"/>
            <w:bottom w:val="none" w:sz="0" w:space="0" w:color="auto"/>
            <w:right w:val="none" w:sz="0" w:space="0" w:color="auto"/>
          </w:divBdr>
          <w:divsChild>
            <w:div w:id="220403810">
              <w:marLeft w:val="0"/>
              <w:marRight w:val="0"/>
              <w:marTop w:val="0"/>
              <w:marBottom w:val="0"/>
              <w:divBdr>
                <w:top w:val="none" w:sz="0" w:space="0" w:color="auto"/>
                <w:left w:val="none" w:sz="0" w:space="0" w:color="auto"/>
                <w:bottom w:val="none" w:sz="0" w:space="0" w:color="auto"/>
                <w:right w:val="none" w:sz="0" w:space="0" w:color="auto"/>
              </w:divBdr>
            </w:div>
            <w:div w:id="1997951750">
              <w:marLeft w:val="0"/>
              <w:marRight w:val="0"/>
              <w:marTop w:val="0"/>
              <w:marBottom w:val="0"/>
              <w:divBdr>
                <w:top w:val="none" w:sz="0" w:space="0" w:color="auto"/>
                <w:left w:val="none" w:sz="0" w:space="0" w:color="auto"/>
                <w:bottom w:val="none" w:sz="0" w:space="0" w:color="auto"/>
                <w:right w:val="none" w:sz="0" w:space="0" w:color="auto"/>
              </w:divBdr>
            </w:div>
            <w:div w:id="888147863">
              <w:marLeft w:val="0"/>
              <w:marRight w:val="0"/>
              <w:marTop w:val="0"/>
              <w:marBottom w:val="0"/>
              <w:divBdr>
                <w:top w:val="none" w:sz="0" w:space="0" w:color="auto"/>
                <w:left w:val="none" w:sz="0" w:space="0" w:color="auto"/>
                <w:bottom w:val="none" w:sz="0" w:space="0" w:color="auto"/>
                <w:right w:val="none" w:sz="0" w:space="0" w:color="auto"/>
              </w:divBdr>
            </w:div>
          </w:divsChild>
        </w:div>
        <w:div w:id="399863944">
          <w:marLeft w:val="0"/>
          <w:marRight w:val="0"/>
          <w:marTop w:val="0"/>
          <w:marBottom w:val="0"/>
          <w:divBdr>
            <w:top w:val="none" w:sz="0" w:space="0" w:color="auto"/>
            <w:left w:val="none" w:sz="0" w:space="0" w:color="auto"/>
            <w:bottom w:val="none" w:sz="0" w:space="0" w:color="auto"/>
            <w:right w:val="none" w:sz="0" w:space="0" w:color="auto"/>
          </w:divBdr>
          <w:divsChild>
            <w:div w:id="583104851">
              <w:marLeft w:val="0"/>
              <w:marRight w:val="0"/>
              <w:marTop w:val="0"/>
              <w:marBottom w:val="0"/>
              <w:divBdr>
                <w:top w:val="none" w:sz="0" w:space="0" w:color="auto"/>
                <w:left w:val="none" w:sz="0" w:space="0" w:color="auto"/>
                <w:bottom w:val="none" w:sz="0" w:space="0" w:color="auto"/>
                <w:right w:val="none" w:sz="0" w:space="0" w:color="auto"/>
              </w:divBdr>
            </w:div>
          </w:divsChild>
        </w:div>
        <w:div w:id="205021458">
          <w:marLeft w:val="0"/>
          <w:marRight w:val="0"/>
          <w:marTop w:val="0"/>
          <w:marBottom w:val="0"/>
          <w:divBdr>
            <w:top w:val="none" w:sz="0" w:space="0" w:color="auto"/>
            <w:left w:val="none" w:sz="0" w:space="0" w:color="auto"/>
            <w:bottom w:val="none" w:sz="0" w:space="0" w:color="auto"/>
            <w:right w:val="none" w:sz="0" w:space="0" w:color="auto"/>
          </w:divBdr>
          <w:divsChild>
            <w:div w:id="1156452133">
              <w:marLeft w:val="0"/>
              <w:marRight w:val="0"/>
              <w:marTop w:val="0"/>
              <w:marBottom w:val="0"/>
              <w:divBdr>
                <w:top w:val="none" w:sz="0" w:space="0" w:color="auto"/>
                <w:left w:val="none" w:sz="0" w:space="0" w:color="auto"/>
                <w:bottom w:val="none" w:sz="0" w:space="0" w:color="auto"/>
                <w:right w:val="none" w:sz="0" w:space="0" w:color="auto"/>
              </w:divBdr>
            </w:div>
          </w:divsChild>
        </w:div>
        <w:div w:id="729768924">
          <w:marLeft w:val="0"/>
          <w:marRight w:val="0"/>
          <w:marTop w:val="0"/>
          <w:marBottom w:val="0"/>
          <w:divBdr>
            <w:top w:val="none" w:sz="0" w:space="0" w:color="auto"/>
            <w:left w:val="none" w:sz="0" w:space="0" w:color="auto"/>
            <w:bottom w:val="none" w:sz="0" w:space="0" w:color="auto"/>
            <w:right w:val="none" w:sz="0" w:space="0" w:color="auto"/>
          </w:divBdr>
          <w:divsChild>
            <w:div w:id="444496235">
              <w:marLeft w:val="0"/>
              <w:marRight w:val="0"/>
              <w:marTop w:val="0"/>
              <w:marBottom w:val="0"/>
              <w:divBdr>
                <w:top w:val="none" w:sz="0" w:space="0" w:color="auto"/>
                <w:left w:val="none" w:sz="0" w:space="0" w:color="auto"/>
                <w:bottom w:val="none" w:sz="0" w:space="0" w:color="auto"/>
                <w:right w:val="none" w:sz="0" w:space="0" w:color="auto"/>
              </w:divBdr>
            </w:div>
          </w:divsChild>
        </w:div>
        <w:div w:id="443355330">
          <w:marLeft w:val="0"/>
          <w:marRight w:val="0"/>
          <w:marTop w:val="0"/>
          <w:marBottom w:val="0"/>
          <w:divBdr>
            <w:top w:val="none" w:sz="0" w:space="0" w:color="auto"/>
            <w:left w:val="none" w:sz="0" w:space="0" w:color="auto"/>
            <w:bottom w:val="none" w:sz="0" w:space="0" w:color="auto"/>
            <w:right w:val="none" w:sz="0" w:space="0" w:color="auto"/>
          </w:divBdr>
          <w:divsChild>
            <w:div w:id="563568163">
              <w:marLeft w:val="0"/>
              <w:marRight w:val="0"/>
              <w:marTop w:val="0"/>
              <w:marBottom w:val="0"/>
              <w:divBdr>
                <w:top w:val="none" w:sz="0" w:space="0" w:color="auto"/>
                <w:left w:val="none" w:sz="0" w:space="0" w:color="auto"/>
                <w:bottom w:val="none" w:sz="0" w:space="0" w:color="auto"/>
                <w:right w:val="none" w:sz="0" w:space="0" w:color="auto"/>
              </w:divBdr>
            </w:div>
          </w:divsChild>
        </w:div>
        <w:div w:id="1782652559">
          <w:marLeft w:val="0"/>
          <w:marRight w:val="0"/>
          <w:marTop w:val="0"/>
          <w:marBottom w:val="0"/>
          <w:divBdr>
            <w:top w:val="none" w:sz="0" w:space="0" w:color="auto"/>
            <w:left w:val="none" w:sz="0" w:space="0" w:color="auto"/>
            <w:bottom w:val="none" w:sz="0" w:space="0" w:color="auto"/>
            <w:right w:val="none" w:sz="0" w:space="0" w:color="auto"/>
          </w:divBdr>
          <w:divsChild>
            <w:div w:id="1781214901">
              <w:marLeft w:val="0"/>
              <w:marRight w:val="0"/>
              <w:marTop w:val="0"/>
              <w:marBottom w:val="0"/>
              <w:divBdr>
                <w:top w:val="none" w:sz="0" w:space="0" w:color="auto"/>
                <w:left w:val="none" w:sz="0" w:space="0" w:color="auto"/>
                <w:bottom w:val="none" w:sz="0" w:space="0" w:color="auto"/>
                <w:right w:val="none" w:sz="0" w:space="0" w:color="auto"/>
              </w:divBdr>
            </w:div>
          </w:divsChild>
        </w:div>
        <w:div w:id="342129629">
          <w:marLeft w:val="0"/>
          <w:marRight w:val="0"/>
          <w:marTop w:val="0"/>
          <w:marBottom w:val="0"/>
          <w:divBdr>
            <w:top w:val="none" w:sz="0" w:space="0" w:color="auto"/>
            <w:left w:val="none" w:sz="0" w:space="0" w:color="auto"/>
            <w:bottom w:val="none" w:sz="0" w:space="0" w:color="auto"/>
            <w:right w:val="none" w:sz="0" w:space="0" w:color="auto"/>
          </w:divBdr>
          <w:divsChild>
            <w:div w:id="1493720943">
              <w:marLeft w:val="0"/>
              <w:marRight w:val="0"/>
              <w:marTop w:val="0"/>
              <w:marBottom w:val="0"/>
              <w:divBdr>
                <w:top w:val="none" w:sz="0" w:space="0" w:color="auto"/>
                <w:left w:val="none" w:sz="0" w:space="0" w:color="auto"/>
                <w:bottom w:val="none" w:sz="0" w:space="0" w:color="auto"/>
                <w:right w:val="none" w:sz="0" w:space="0" w:color="auto"/>
              </w:divBdr>
            </w:div>
            <w:div w:id="1089425766">
              <w:marLeft w:val="0"/>
              <w:marRight w:val="0"/>
              <w:marTop w:val="0"/>
              <w:marBottom w:val="0"/>
              <w:divBdr>
                <w:top w:val="none" w:sz="0" w:space="0" w:color="auto"/>
                <w:left w:val="none" w:sz="0" w:space="0" w:color="auto"/>
                <w:bottom w:val="none" w:sz="0" w:space="0" w:color="auto"/>
                <w:right w:val="none" w:sz="0" w:space="0" w:color="auto"/>
              </w:divBdr>
            </w:div>
            <w:div w:id="1349328063">
              <w:marLeft w:val="0"/>
              <w:marRight w:val="0"/>
              <w:marTop w:val="0"/>
              <w:marBottom w:val="0"/>
              <w:divBdr>
                <w:top w:val="none" w:sz="0" w:space="0" w:color="auto"/>
                <w:left w:val="none" w:sz="0" w:space="0" w:color="auto"/>
                <w:bottom w:val="none" w:sz="0" w:space="0" w:color="auto"/>
                <w:right w:val="none" w:sz="0" w:space="0" w:color="auto"/>
              </w:divBdr>
            </w:div>
            <w:div w:id="1266116739">
              <w:marLeft w:val="0"/>
              <w:marRight w:val="0"/>
              <w:marTop w:val="0"/>
              <w:marBottom w:val="0"/>
              <w:divBdr>
                <w:top w:val="none" w:sz="0" w:space="0" w:color="auto"/>
                <w:left w:val="none" w:sz="0" w:space="0" w:color="auto"/>
                <w:bottom w:val="none" w:sz="0" w:space="0" w:color="auto"/>
                <w:right w:val="none" w:sz="0" w:space="0" w:color="auto"/>
              </w:divBdr>
            </w:div>
          </w:divsChild>
        </w:div>
        <w:div w:id="1942180133">
          <w:marLeft w:val="0"/>
          <w:marRight w:val="0"/>
          <w:marTop w:val="0"/>
          <w:marBottom w:val="0"/>
          <w:divBdr>
            <w:top w:val="none" w:sz="0" w:space="0" w:color="auto"/>
            <w:left w:val="none" w:sz="0" w:space="0" w:color="auto"/>
            <w:bottom w:val="none" w:sz="0" w:space="0" w:color="auto"/>
            <w:right w:val="none" w:sz="0" w:space="0" w:color="auto"/>
          </w:divBdr>
          <w:divsChild>
            <w:div w:id="1791124567">
              <w:marLeft w:val="0"/>
              <w:marRight w:val="0"/>
              <w:marTop w:val="0"/>
              <w:marBottom w:val="0"/>
              <w:divBdr>
                <w:top w:val="none" w:sz="0" w:space="0" w:color="auto"/>
                <w:left w:val="none" w:sz="0" w:space="0" w:color="auto"/>
                <w:bottom w:val="none" w:sz="0" w:space="0" w:color="auto"/>
                <w:right w:val="none" w:sz="0" w:space="0" w:color="auto"/>
              </w:divBdr>
            </w:div>
            <w:div w:id="2020809609">
              <w:marLeft w:val="0"/>
              <w:marRight w:val="0"/>
              <w:marTop w:val="0"/>
              <w:marBottom w:val="0"/>
              <w:divBdr>
                <w:top w:val="none" w:sz="0" w:space="0" w:color="auto"/>
                <w:left w:val="none" w:sz="0" w:space="0" w:color="auto"/>
                <w:bottom w:val="none" w:sz="0" w:space="0" w:color="auto"/>
                <w:right w:val="none" w:sz="0" w:space="0" w:color="auto"/>
              </w:divBdr>
            </w:div>
            <w:div w:id="1719233508">
              <w:marLeft w:val="0"/>
              <w:marRight w:val="0"/>
              <w:marTop w:val="0"/>
              <w:marBottom w:val="0"/>
              <w:divBdr>
                <w:top w:val="none" w:sz="0" w:space="0" w:color="auto"/>
                <w:left w:val="none" w:sz="0" w:space="0" w:color="auto"/>
                <w:bottom w:val="none" w:sz="0" w:space="0" w:color="auto"/>
                <w:right w:val="none" w:sz="0" w:space="0" w:color="auto"/>
              </w:divBdr>
            </w:div>
            <w:div w:id="875973427">
              <w:marLeft w:val="0"/>
              <w:marRight w:val="0"/>
              <w:marTop w:val="0"/>
              <w:marBottom w:val="0"/>
              <w:divBdr>
                <w:top w:val="none" w:sz="0" w:space="0" w:color="auto"/>
                <w:left w:val="none" w:sz="0" w:space="0" w:color="auto"/>
                <w:bottom w:val="none" w:sz="0" w:space="0" w:color="auto"/>
                <w:right w:val="none" w:sz="0" w:space="0" w:color="auto"/>
              </w:divBdr>
            </w:div>
          </w:divsChild>
        </w:div>
        <w:div w:id="774440854">
          <w:marLeft w:val="0"/>
          <w:marRight w:val="0"/>
          <w:marTop w:val="0"/>
          <w:marBottom w:val="0"/>
          <w:divBdr>
            <w:top w:val="none" w:sz="0" w:space="0" w:color="auto"/>
            <w:left w:val="none" w:sz="0" w:space="0" w:color="auto"/>
            <w:bottom w:val="none" w:sz="0" w:space="0" w:color="auto"/>
            <w:right w:val="none" w:sz="0" w:space="0" w:color="auto"/>
          </w:divBdr>
          <w:divsChild>
            <w:div w:id="698967877">
              <w:marLeft w:val="0"/>
              <w:marRight w:val="0"/>
              <w:marTop w:val="0"/>
              <w:marBottom w:val="0"/>
              <w:divBdr>
                <w:top w:val="none" w:sz="0" w:space="0" w:color="auto"/>
                <w:left w:val="none" w:sz="0" w:space="0" w:color="auto"/>
                <w:bottom w:val="none" w:sz="0" w:space="0" w:color="auto"/>
                <w:right w:val="none" w:sz="0" w:space="0" w:color="auto"/>
              </w:divBdr>
            </w:div>
            <w:div w:id="1850177916">
              <w:marLeft w:val="0"/>
              <w:marRight w:val="0"/>
              <w:marTop w:val="0"/>
              <w:marBottom w:val="0"/>
              <w:divBdr>
                <w:top w:val="none" w:sz="0" w:space="0" w:color="auto"/>
                <w:left w:val="none" w:sz="0" w:space="0" w:color="auto"/>
                <w:bottom w:val="none" w:sz="0" w:space="0" w:color="auto"/>
                <w:right w:val="none" w:sz="0" w:space="0" w:color="auto"/>
              </w:divBdr>
            </w:div>
            <w:div w:id="1090352791">
              <w:marLeft w:val="0"/>
              <w:marRight w:val="0"/>
              <w:marTop w:val="0"/>
              <w:marBottom w:val="0"/>
              <w:divBdr>
                <w:top w:val="none" w:sz="0" w:space="0" w:color="auto"/>
                <w:left w:val="none" w:sz="0" w:space="0" w:color="auto"/>
                <w:bottom w:val="none" w:sz="0" w:space="0" w:color="auto"/>
                <w:right w:val="none" w:sz="0" w:space="0" w:color="auto"/>
              </w:divBdr>
            </w:div>
            <w:div w:id="9325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259">
      <w:bodyDiv w:val="1"/>
      <w:marLeft w:val="0"/>
      <w:marRight w:val="0"/>
      <w:marTop w:val="0"/>
      <w:marBottom w:val="0"/>
      <w:divBdr>
        <w:top w:val="none" w:sz="0" w:space="0" w:color="auto"/>
        <w:left w:val="none" w:sz="0" w:space="0" w:color="auto"/>
        <w:bottom w:val="none" w:sz="0" w:space="0" w:color="auto"/>
        <w:right w:val="none" w:sz="0" w:space="0" w:color="auto"/>
      </w:divBdr>
    </w:div>
    <w:div w:id="254754740">
      <w:bodyDiv w:val="1"/>
      <w:marLeft w:val="0"/>
      <w:marRight w:val="0"/>
      <w:marTop w:val="0"/>
      <w:marBottom w:val="0"/>
      <w:divBdr>
        <w:top w:val="none" w:sz="0" w:space="0" w:color="auto"/>
        <w:left w:val="none" w:sz="0" w:space="0" w:color="auto"/>
        <w:bottom w:val="none" w:sz="0" w:space="0" w:color="auto"/>
        <w:right w:val="none" w:sz="0" w:space="0" w:color="auto"/>
      </w:divBdr>
    </w:div>
    <w:div w:id="268634012">
      <w:bodyDiv w:val="1"/>
      <w:marLeft w:val="0"/>
      <w:marRight w:val="0"/>
      <w:marTop w:val="0"/>
      <w:marBottom w:val="0"/>
      <w:divBdr>
        <w:top w:val="none" w:sz="0" w:space="0" w:color="auto"/>
        <w:left w:val="none" w:sz="0" w:space="0" w:color="auto"/>
        <w:bottom w:val="none" w:sz="0" w:space="0" w:color="auto"/>
        <w:right w:val="none" w:sz="0" w:space="0" w:color="auto"/>
      </w:divBdr>
    </w:div>
    <w:div w:id="285936679">
      <w:bodyDiv w:val="1"/>
      <w:marLeft w:val="0"/>
      <w:marRight w:val="0"/>
      <w:marTop w:val="0"/>
      <w:marBottom w:val="0"/>
      <w:divBdr>
        <w:top w:val="none" w:sz="0" w:space="0" w:color="auto"/>
        <w:left w:val="none" w:sz="0" w:space="0" w:color="auto"/>
        <w:bottom w:val="none" w:sz="0" w:space="0" w:color="auto"/>
        <w:right w:val="none" w:sz="0" w:space="0" w:color="auto"/>
      </w:divBdr>
    </w:div>
    <w:div w:id="291059225">
      <w:bodyDiv w:val="1"/>
      <w:marLeft w:val="0"/>
      <w:marRight w:val="0"/>
      <w:marTop w:val="0"/>
      <w:marBottom w:val="0"/>
      <w:divBdr>
        <w:top w:val="none" w:sz="0" w:space="0" w:color="auto"/>
        <w:left w:val="none" w:sz="0" w:space="0" w:color="auto"/>
        <w:bottom w:val="none" w:sz="0" w:space="0" w:color="auto"/>
        <w:right w:val="none" w:sz="0" w:space="0" w:color="auto"/>
      </w:divBdr>
      <w:divsChild>
        <w:div w:id="1162352152">
          <w:marLeft w:val="0"/>
          <w:marRight w:val="0"/>
          <w:marTop w:val="0"/>
          <w:marBottom w:val="0"/>
          <w:divBdr>
            <w:top w:val="none" w:sz="0" w:space="0" w:color="auto"/>
            <w:left w:val="none" w:sz="0" w:space="0" w:color="auto"/>
            <w:bottom w:val="none" w:sz="0" w:space="0" w:color="auto"/>
            <w:right w:val="none" w:sz="0" w:space="0" w:color="auto"/>
          </w:divBdr>
        </w:div>
        <w:div w:id="366837384">
          <w:marLeft w:val="0"/>
          <w:marRight w:val="0"/>
          <w:marTop w:val="0"/>
          <w:marBottom w:val="0"/>
          <w:divBdr>
            <w:top w:val="none" w:sz="0" w:space="0" w:color="auto"/>
            <w:left w:val="none" w:sz="0" w:space="0" w:color="auto"/>
            <w:bottom w:val="none" w:sz="0" w:space="0" w:color="auto"/>
            <w:right w:val="none" w:sz="0" w:space="0" w:color="auto"/>
          </w:divBdr>
        </w:div>
        <w:div w:id="1111701823">
          <w:marLeft w:val="0"/>
          <w:marRight w:val="0"/>
          <w:marTop w:val="0"/>
          <w:marBottom w:val="0"/>
          <w:divBdr>
            <w:top w:val="none" w:sz="0" w:space="0" w:color="auto"/>
            <w:left w:val="none" w:sz="0" w:space="0" w:color="auto"/>
            <w:bottom w:val="none" w:sz="0" w:space="0" w:color="auto"/>
            <w:right w:val="none" w:sz="0" w:space="0" w:color="auto"/>
          </w:divBdr>
        </w:div>
        <w:div w:id="991711255">
          <w:marLeft w:val="0"/>
          <w:marRight w:val="0"/>
          <w:marTop w:val="0"/>
          <w:marBottom w:val="0"/>
          <w:divBdr>
            <w:top w:val="none" w:sz="0" w:space="0" w:color="auto"/>
            <w:left w:val="none" w:sz="0" w:space="0" w:color="auto"/>
            <w:bottom w:val="none" w:sz="0" w:space="0" w:color="auto"/>
            <w:right w:val="none" w:sz="0" w:space="0" w:color="auto"/>
          </w:divBdr>
          <w:divsChild>
            <w:div w:id="1563826706">
              <w:marLeft w:val="0"/>
              <w:marRight w:val="0"/>
              <w:marTop w:val="30"/>
              <w:marBottom w:val="30"/>
              <w:divBdr>
                <w:top w:val="none" w:sz="0" w:space="0" w:color="auto"/>
                <w:left w:val="none" w:sz="0" w:space="0" w:color="auto"/>
                <w:bottom w:val="none" w:sz="0" w:space="0" w:color="auto"/>
                <w:right w:val="none" w:sz="0" w:space="0" w:color="auto"/>
              </w:divBdr>
              <w:divsChild>
                <w:div w:id="1873028371">
                  <w:marLeft w:val="0"/>
                  <w:marRight w:val="0"/>
                  <w:marTop w:val="0"/>
                  <w:marBottom w:val="0"/>
                  <w:divBdr>
                    <w:top w:val="none" w:sz="0" w:space="0" w:color="auto"/>
                    <w:left w:val="none" w:sz="0" w:space="0" w:color="auto"/>
                    <w:bottom w:val="none" w:sz="0" w:space="0" w:color="auto"/>
                    <w:right w:val="none" w:sz="0" w:space="0" w:color="auto"/>
                  </w:divBdr>
                  <w:divsChild>
                    <w:div w:id="1089232682">
                      <w:marLeft w:val="0"/>
                      <w:marRight w:val="0"/>
                      <w:marTop w:val="0"/>
                      <w:marBottom w:val="0"/>
                      <w:divBdr>
                        <w:top w:val="none" w:sz="0" w:space="0" w:color="auto"/>
                        <w:left w:val="none" w:sz="0" w:space="0" w:color="auto"/>
                        <w:bottom w:val="none" w:sz="0" w:space="0" w:color="auto"/>
                        <w:right w:val="none" w:sz="0" w:space="0" w:color="auto"/>
                      </w:divBdr>
                    </w:div>
                  </w:divsChild>
                </w:div>
                <w:div w:id="1959526988">
                  <w:marLeft w:val="0"/>
                  <w:marRight w:val="0"/>
                  <w:marTop w:val="0"/>
                  <w:marBottom w:val="0"/>
                  <w:divBdr>
                    <w:top w:val="none" w:sz="0" w:space="0" w:color="auto"/>
                    <w:left w:val="none" w:sz="0" w:space="0" w:color="auto"/>
                    <w:bottom w:val="none" w:sz="0" w:space="0" w:color="auto"/>
                    <w:right w:val="none" w:sz="0" w:space="0" w:color="auto"/>
                  </w:divBdr>
                  <w:divsChild>
                    <w:div w:id="1246264372">
                      <w:marLeft w:val="0"/>
                      <w:marRight w:val="0"/>
                      <w:marTop w:val="0"/>
                      <w:marBottom w:val="0"/>
                      <w:divBdr>
                        <w:top w:val="none" w:sz="0" w:space="0" w:color="auto"/>
                        <w:left w:val="none" w:sz="0" w:space="0" w:color="auto"/>
                        <w:bottom w:val="none" w:sz="0" w:space="0" w:color="auto"/>
                        <w:right w:val="none" w:sz="0" w:space="0" w:color="auto"/>
                      </w:divBdr>
                    </w:div>
                  </w:divsChild>
                </w:div>
                <w:div w:id="1370376841">
                  <w:marLeft w:val="0"/>
                  <w:marRight w:val="0"/>
                  <w:marTop w:val="0"/>
                  <w:marBottom w:val="0"/>
                  <w:divBdr>
                    <w:top w:val="none" w:sz="0" w:space="0" w:color="auto"/>
                    <w:left w:val="none" w:sz="0" w:space="0" w:color="auto"/>
                    <w:bottom w:val="none" w:sz="0" w:space="0" w:color="auto"/>
                    <w:right w:val="none" w:sz="0" w:space="0" w:color="auto"/>
                  </w:divBdr>
                  <w:divsChild>
                    <w:div w:id="435713268">
                      <w:marLeft w:val="0"/>
                      <w:marRight w:val="0"/>
                      <w:marTop w:val="0"/>
                      <w:marBottom w:val="0"/>
                      <w:divBdr>
                        <w:top w:val="none" w:sz="0" w:space="0" w:color="auto"/>
                        <w:left w:val="none" w:sz="0" w:space="0" w:color="auto"/>
                        <w:bottom w:val="none" w:sz="0" w:space="0" w:color="auto"/>
                        <w:right w:val="none" w:sz="0" w:space="0" w:color="auto"/>
                      </w:divBdr>
                    </w:div>
                  </w:divsChild>
                </w:div>
                <w:div w:id="1574512230">
                  <w:marLeft w:val="0"/>
                  <w:marRight w:val="0"/>
                  <w:marTop w:val="0"/>
                  <w:marBottom w:val="0"/>
                  <w:divBdr>
                    <w:top w:val="none" w:sz="0" w:space="0" w:color="auto"/>
                    <w:left w:val="none" w:sz="0" w:space="0" w:color="auto"/>
                    <w:bottom w:val="none" w:sz="0" w:space="0" w:color="auto"/>
                    <w:right w:val="none" w:sz="0" w:space="0" w:color="auto"/>
                  </w:divBdr>
                  <w:divsChild>
                    <w:div w:id="2118451576">
                      <w:marLeft w:val="0"/>
                      <w:marRight w:val="0"/>
                      <w:marTop w:val="0"/>
                      <w:marBottom w:val="0"/>
                      <w:divBdr>
                        <w:top w:val="none" w:sz="0" w:space="0" w:color="auto"/>
                        <w:left w:val="none" w:sz="0" w:space="0" w:color="auto"/>
                        <w:bottom w:val="none" w:sz="0" w:space="0" w:color="auto"/>
                        <w:right w:val="none" w:sz="0" w:space="0" w:color="auto"/>
                      </w:divBdr>
                    </w:div>
                  </w:divsChild>
                </w:div>
                <w:div w:id="485244375">
                  <w:marLeft w:val="0"/>
                  <w:marRight w:val="0"/>
                  <w:marTop w:val="0"/>
                  <w:marBottom w:val="0"/>
                  <w:divBdr>
                    <w:top w:val="none" w:sz="0" w:space="0" w:color="auto"/>
                    <w:left w:val="none" w:sz="0" w:space="0" w:color="auto"/>
                    <w:bottom w:val="none" w:sz="0" w:space="0" w:color="auto"/>
                    <w:right w:val="none" w:sz="0" w:space="0" w:color="auto"/>
                  </w:divBdr>
                  <w:divsChild>
                    <w:div w:id="936525889">
                      <w:marLeft w:val="0"/>
                      <w:marRight w:val="0"/>
                      <w:marTop w:val="0"/>
                      <w:marBottom w:val="0"/>
                      <w:divBdr>
                        <w:top w:val="none" w:sz="0" w:space="0" w:color="auto"/>
                        <w:left w:val="none" w:sz="0" w:space="0" w:color="auto"/>
                        <w:bottom w:val="none" w:sz="0" w:space="0" w:color="auto"/>
                        <w:right w:val="none" w:sz="0" w:space="0" w:color="auto"/>
                      </w:divBdr>
                    </w:div>
                  </w:divsChild>
                </w:div>
                <w:div w:id="692533584">
                  <w:marLeft w:val="0"/>
                  <w:marRight w:val="0"/>
                  <w:marTop w:val="0"/>
                  <w:marBottom w:val="0"/>
                  <w:divBdr>
                    <w:top w:val="none" w:sz="0" w:space="0" w:color="auto"/>
                    <w:left w:val="none" w:sz="0" w:space="0" w:color="auto"/>
                    <w:bottom w:val="none" w:sz="0" w:space="0" w:color="auto"/>
                    <w:right w:val="none" w:sz="0" w:space="0" w:color="auto"/>
                  </w:divBdr>
                  <w:divsChild>
                    <w:div w:id="1938633195">
                      <w:marLeft w:val="0"/>
                      <w:marRight w:val="0"/>
                      <w:marTop w:val="0"/>
                      <w:marBottom w:val="0"/>
                      <w:divBdr>
                        <w:top w:val="none" w:sz="0" w:space="0" w:color="auto"/>
                        <w:left w:val="none" w:sz="0" w:space="0" w:color="auto"/>
                        <w:bottom w:val="none" w:sz="0" w:space="0" w:color="auto"/>
                        <w:right w:val="none" w:sz="0" w:space="0" w:color="auto"/>
                      </w:divBdr>
                    </w:div>
                  </w:divsChild>
                </w:div>
                <w:div w:id="591821584">
                  <w:marLeft w:val="0"/>
                  <w:marRight w:val="0"/>
                  <w:marTop w:val="0"/>
                  <w:marBottom w:val="0"/>
                  <w:divBdr>
                    <w:top w:val="none" w:sz="0" w:space="0" w:color="auto"/>
                    <w:left w:val="none" w:sz="0" w:space="0" w:color="auto"/>
                    <w:bottom w:val="none" w:sz="0" w:space="0" w:color="auto"/>
                    <w:right w:val="none" w:sz="0" w:space="0" w:color="auto"/>
                  </w:divBdr>
                  <w:divsChild>
                    <w:div w:id="1268466623">
                      <w:marLeft w:val="0"/>
                      <w:marRight w:val="0"/>
                      <w:marTop w:val="0"/>
                      <w:marBottom w:val="0"/>
                      <w:divBdr>
                        <w:top w:val="none" w:sz="0" w:space="0" w:color="auto"/>
                        <w:left w:val="none" w:sz="0" w:space="0" w:color="auto"/>
                        <w:bottom w:val="none" w:sz="0" w:space="0" w:color="auto"/>
                        <w:right w:val="none" w:sz="0" w:space="0" w:color="auto"/>
                      </w:divBdr>
                    </w:div>
                  </w:divsChild>
                </w:div>
                <w:div w:id="672219961">
                  <w:marLeft w:val="0"/>
                  <w:marRight w:val="0"/>
                  <w:marTop w:val="0"/>
                  <w:marBottom w:val="0"/>
                  <w:divBdr>
                    <w:top w:val="none" w:sz="0" w:space="0" w:color="auto"/>
                    <w:left w:val="none" w:sz="0" w:space="0" w:color="auto"/>
                    <w:bottom w:val="none" w:sz="0" w:space="0" w:color="auto"/>
                    <w:right w:val="none" w:sz="0" w:space="0" w:color="auto"/>
                  </w:divBdr>
                  <w:divsChild>
                    <w:div w:id="968634539">
                      <w:marLeft w:val="0"/>
                      <w:marRight w:val="0"/>
                      <w:marTop w:val="0"/>
                      <w:marBottom w:val="0"/>
                      <w:divBdr>
                        <w:top w:val="none" w:sz="0" w:space="0" w:color="auto"/>
                        <w:left w:val="none" w:sz="0" w:space="0" w:color="auto"/>
                        <w:bottom w:val="none" w:sz="0" w:space="0" w:color="auto"/>
                        <w:right w:val="none" w:sz="0" w:space="0" w:color="auto"/>
                      </w:divBdr>
                    </w:div>
                  </w:divsChild>
                </w:div>
                <w:div w:id="161749782">
                  <w:marLeft w:val="0"/>
                  <w:marRight w:val="0"/>
                  <w:marTop w:val="0"/>
                  <w:marBottom w:val="0"/>
                  <w:divBdr>
                    <w:top w:val="none" w:sz="0" w:space="0" w:color="auto"/>
                    <w:left w:val="none" w:sz="0" w:space="0" w:color="auto"/>
                    <w:bottom w:val="none" w:sz="0" w:space="0" w:color="auto"/>
                    <w:right w:val="none" w:sz="0" w:space="0" w:color="auto"/>
                  </w:divBdr>
                  <w:divsChild>
                    <w:div w:id="1093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8874357">
      <w:bodyDiv w:val="1"/>
      <w:marLeft w:val="0"/>
      <w:marRight w:val="0"/>
      <w:marTop w:val="0"/>
      <w:marBottom w:val="0"/>
      <w:divBdr>
        <w:top w:val="none" w:sz="0" w:space="0" w:color="auto"/>
        <w:left w:val="none" w:sz="0" w:space="0" w:color="auto"/>
        <w:bottom w:val="none" w:sz="0" w:space="0" w:color="auto"/>
        <w:right w:val="none" w:sz="0" w:space="0" w:color="auto"/>
      </w:divBdr>
      <w:divsChild>
        <w:div w:id="453447385">
          <w:marLeft w:val="0"/>
          <w:marRight w:val="0"/>
          <w:marTop w:val="0"/>
          <w:marBottom w:val="0"/>
          <w:divBdr>
            <w:top w:val="none" w:sz="0" w:space="0" w:color="auto"/>
            <w:left w:val="none" w:sz="0" w:space="0" w:color="auto"/>
            <w:bottom w:val="none" w:sz="0" w:space="0" w:color="auto"/>
            <w:right w:val="none" w:sz="0" w:space="0" w:color="auto"/>
          </w:divBdr>
          <w:divsChild>
            <w:div w:id="280646012">
              <w:marLeft w:val="0"/>
              <w:marRight w:val="0"/>
              <w:marTop w:val="0"/>
              <w:marBottom w:val="0"/>
              <w:divBdr>
                <w:top w:val="none" w:sz="0" w:space="0" w:color="auto"/>
                <w:left w:val="none" w:sz="0" w:space="0" w:color="auto"/>
                <w:bottom w:val="none" w:sz="0" w:space="0" w:color="auto"/>
                <w:right w:val="none" w:sz="0" w:space="0" w:color="auto"/>
              </w:divBdr>
            </w:div>
          </w:divsChild>
        </w:div>
        <w:div w:id="945772612">
          <w:marLeft w:val="0"/>
          <w:marRight w:val="0"/>
          <w:marTop w:val="0"/>
          <w:marBottom w:val="0"/>
          <w:divBdr>
            <w:top w:val="none" w:sz="0" w:space="0" w:color="auto"/>
            <w:left w:val="none" w:sz="0" w:space="0" w:color="auto"/>
            <w:bottom w:val="none" w:sz="0" w:space="0" w:color="auto"/>
            <w:right w:val="none" w:sz="0" w:space="0" w:color="auto"/>
          </w:divBdr>
          <w:divsChild>
            <w:div w:id="533427706">
              <w:marLeft w:val="0"/>
              <w:marRight w:val="0"/>
              <w:marTop w:val="0"/>
              <w:marBottom w:val="0"/>
              <w:divBdr>
                <w:top w:val="none" w:sz="0" w:space="0" w:color="auto"/>
                <w:left w:val="none" w:sz="0" w:space="0" w:color="auto"/>
                <w:bottom w:val="none" w:sz="0" w:space="0" w:color="auto"/>
                <w:right w:val="none" w:sz="0" w:space="0" w:color="auto"/>
              </w:divBdr>
            </w:div>
            <w:div w:id="318966819">
              <w:marLeft w:val="0"/>
              <w:marRight w:val="0"/>
              <w:marTop w:val="0"/>
              <w:marBottom w:val="0"/>
              <w:divBdr>
                <w:top w:val="none" w:sz="0" w:space="0" w:color="auto"/>
                <w:left w:val="none" w:sz="0" w:space="0" w:color="auto"/>
                <w:bottom w:val="none" w:sz="0" w:space="0" w:color="auto"/>
                <w:right w:val="none" w:sz="0" w:space="0" w:color="auto"/>
              </w:divBdr>
            </w:div>
          </w:divsChild>
        </w:div>
        <w:div w:id="1886794024">
          <w:marLeft w:val="0"/>
          <w:marRight w:val="0"/>
          <w:marTop w:val="0"/>
          <w:marBottom w:val="0"/>
          <w:divBdr>
            <w:top w:val="none" w:sz="0" w:space="0" w:color="auto"/>
            <w:left w:val="none" w:sz="0" w:space="0" w:color="auto"/>
            <w:bottom w:val="none" w:sz="0" w:space="0" w:color="auto"/>
            <w:right w:val="none" w:sz="0" w:space="0" w:color="auto"/>
          </w:divBdr>
          <w:divsChild>
            <w:div w:id="1566405641">
              <w:marLeft w:val="0"/>
              <w:marRight w:val="0"/>
              <w:marTop w:val="0"/>
              <w:marBottom w:val="0"/>
              <w:divBdr>
                <w:top w:val="none" w:sz="0" w:space="0" w:color="auto"/>
                <w:left w:val="none" w:sz="0" w:space="0" w:color="auto"/>
                <w:bottom w:val="none" w:sz="0" w:space="0" w:color="auto"/>
                <w:right w:val="none" w:sz="0" w:space="0" w:color="auto"/>
              </w:divBdr>
            </w:div>
            <w:div w:id="674379042">
              <w:marLeft w:val="0"/>
              <w:marRight w:val="0"/>
              <w:marTop w:val="0"/>
              <w:marBottom w:val="0"/>
              <w:divBdr>
                <w:top w:val="none" w:sz="0" w:space="0" w:color="auto"/>
                <w:left w:val="none" w:sz="0" w:space="0" w:color="auto"/>
                <w:bottom w:val="none" w:sz="0" w:space="0" w:color="auto"/>
                <w:right w:val="none" w:sz="0" w:space="0" w:color="auto"/>
              </w:divBdr>
            </w:div>
          </w:divsChild>
        </w:div>
        <w:div w:id="1893880496">
          <w:marLeft w:val="0"/>
          <w:marRight w:val="0"/>
          <w:marTop w:val="0"/>
          <w:marBottom w:val="0"/>
          <w:divBdr>
            <w:top w:val="none" w:sz="0" w:space="0" w:color="auto"/>
            <w:left w:val="none" w:sz="0" w:space="0" w:color="auto"/>
            <w:bottom w:val="none" w:sz="0" w:space="0" w:color="auto"/>
            <w:right w:val="none" w:sz="0" w:space="0" w:color="auto"/>
          </w:divBdr>
          <w:divsChild>
            <w:div w:id="1580671765">
              <w:marLeft w:val="0"/>
              <w:marRight w:val="0"/>
              <w:marTop w:val="0"/>
              <w:marBottom w:val="0"/>
              <w:divBdr>
                <w:top w:val="none" w:sz="0" w:space="0" w:color="auto"/>
                <w:left w:val="none" w:sz="0" w:space="0" w:color="auto"/>
                <w:bottom w:val="none" w:sz="0" w:space="0" w:color="auto"/>
                <w:right w:val="none" w:sz="0" w:space="0" w:color="auto"/>
              </w:divBdr>
            </w:div>
          </w:divsChild>
        </w:div>
        <w:div w:id="2108302852">
          <w:marLeft w:val="0"/>
          <w:marRight w:val="0"/>
          <w:marTop w:val="0"/>
          <w:marBottom w:val="0"/>
          <w:divBdr>
            <w:top w:val="none" w:sz="0" w:space="0" w:color="auto"/>
            <w:left w:val="none" w:sz="0" w:space="0" w:color="auto"/>
            <w:bottom w:val="none" w:sz="0" w:space="0" w:color="auto"/>
            <w:right w:val="none" w:sz="0" w:space="0" w:color="auto"/>
          </w:divBdr>
          <w:divsChild>
            <w:div w:id="1463695007">
              <w:marLeft w:val="0"/>
              <w:marRight w:val="0"/>
              <w:marTop w:val="0"/>
              <w:marBottom w:val="0"/>
              <w:divBdr>
                <w:top w:val="none" w:sz="0" w:space="0" w:color="auto"/>
                <w:left w:val="none" w:sz="0" w:space="0" w:color="auto"/>
                <w:bottom w:val="none" w:sz="0" w:space="0" w:color="auto"/>
                <w:right w:val="none" w:sz="0" w:space="0" w:color="auto"/>
              </w:divBdr>
            </w:div>
          </w:divsChild>
        </w:div>
        <w:div w:id="1275791386">
          <w:marLeft w:val="0"/>
          <w:marRight w:val="0"/>
          <w:marTop w:val="0"/>
          <w:marBottom w:val="0"/>
          <w:divBdr>
            <w:top w:val="none" w:sz="0" w:space="0" w:color="auto"/>
            <w:left w:val="none" w:sz="0" w:space="0" w:color="auto"/>
            <w:bottom w:val="none" w:sz="0" w:space="0" w:color="auto"/>
            <w:right w:val="none" w:sz="0" w:space="0" w:color="auto"/>
          </w:divBdr>
          <w:divsChild>
            <w:div w:id="18702128">
              <w:marLeft w:val="0"/>
              <w:marRight w:val="0"/>
              <w:marTop w:val="0"/>
              <w:marBottom w:val="0"/>
              <w:divBdr>
                <w:top w:val="none" w:sz="0" w:space="0" w:color="auto"/>
                <w:left w:val="none" w:sz="0" w:space="0" w:color="auto"/>
                <w:bottom w:val="none" w:sz="0" w:space="0" w:color="auto"/>
                <w:right w:val="none" w:sz="0" w:space="0" w:color="auto"/>
              </w:divBdr>
            </w:div>
          </w:divsChild>
        </w:div>
        <w:div w:id="1022171053">
          <w:marLeft w:val="0"/>
          <w:marRight w:val="0"/>
          <w:marTop w:val="0"/>
          <w:marBottom w:val="0"/>
          <w:divBdr>
            <w:top w:val="none" w:sz="0" w:space="0" w:color="auto"/>
            <w:left w:val="none" w:sz="0" w:space="0" w:color="auto"/>
            <w:bottom w:val="none" w:sz="0" w:space="0" w:color="auto"/>
            <w:right w:val="none" w:sz="0" w:space="0" w:color="auto"/>
          </w:divBdr>
          <w:divsChild>
            <w:div w:id="1301686169">
              <w:marLeft w:val="0"/>
              <w:marRight w:val="0"/>
              <w:marTop w:val="0"/>
              <w:marBottom w:val="0"/>
              <w:divBdr>
                <w:top w:val="none" w:sz="0" w:space="0" w:color="auto"/>
                <w:left w:val="none" w:sz="0" w:space="0" w:color="auto"/>
                <w:bottom w:val="none" w:sz="0" w:space="0" w:color="auto"/>
                <w:right w:val="none" w:sz="0" w:space="0" w:color="auto"/>
              </w:divBdr>
            </w:div>
          </w:divsChild>
        </w:div>
        <w:div w:id="1492713958">
          <w:marLeft w:val="0"/>
          <w:marRight w:val="0"/>
          <w:marTop w:val="0"/>
          <w:marBottom w:val="0"/>
          <w:divBdr>
            <w:top w:val="none" w:sz="0" w:space="0" w:color="auto"/>
            <w:left w:val="none" w:sz="0" w:space="0" w:color="auto"/>
            <w:bottom w:val="none" w:sz="0" w:space="0" w:color="auto"/>
            <w:right w:val="none" w:sz="0" w:space="0" w:color="auto"/>
          </w:divBdr>
          <w:divsChild>
            <w:div w:id="1396466732">
              <w:marLeft w:val="0"/>
              <w:marRight w:val="0"/>
              <w:marTop w:val="0"/>
              <w:marBottom w:val="0"/>
              <w:divBdr>
                <w:top w:val="none" w:sz="0" w:space="0" w:color="auto"/>
                <w:left w:val="none" w:sz="0" w:space="0" w:color="auto"/>
                <w:bottom w:val="none" w:sz="0" w:space="0" w:color="auto"/>
                <w:right w:val="none" w:sz="0" w:space="0" w:color="auto"/>
              </w:divBdr>
            </w:div>
            <w:div w:id="179049370">
              <w:marLeft w:val="0"/>
              <w:marRight w:val="0"/>
              <w:marTop w:val="0"/>
              <w:marBottom w:val="0"/>
              <w:divBdr>
                <w:top w:val="none" w:sz="0" w:space="0" w:color="auto"/>
                <w:left w:val="none" w:sz="0" w:space="0" w:color="auto"/>
                <w:bottom w:val="none" w:sz="0" w:space="0" w:color="auto"/>
                <w:right w:val="none" w:sz="0" w:space="0" w:color="auto"/>
              </w:divBdr>
            </w:div>
            <w:div w:id="120199195">
              <w:marLeft w:val="0"/>
              <w:marRight w:val="0"/>
              <w:marTop w:val="0"/>
              <w:marBottom w:val="0"/>
              <w:divBdr>
                <w:top w:val="none" w:sz="0" w:space="0" w:color="auto"/>
                <w:left w:val="none" w:sz="0" w:space="0" w:color="auto"/>
                <w:bottom w:val="none" w:sz="0" w:space="0" w:color="auto"/>
                <w:right w:val="none" w:sz="0" w:space="0" w:color="auto"/>
              </w:divBdr>
            </w:div>
          </w:divsChild>
        </w:div>
        <w:div w:id="1252471183">
          <w:marLeft w:val="0"/>
          <w:marRight w:val="0"/>
          <w:marTop w:val="0"/>
          <w:marBottom w:val="0"/>
          <w:divBdr>
            <w:top w:val="none" w:sz="0" w:space="0" w:color="auto"/>
            <w:left w:val="none" w:sz="0" w:space="0" w:color="auto"/>
            <w:bottom w:val="none" w:sz="0" w:space="0" w:color="auto"/>
            <w:right w:val="none" w:sz="0" w:space="0" w:color="auto"/>
          </w:divBdr>
          <w:divsChild>
            <w:div w:id="1515538021">
              <w:marLeft w:val="0"/>
              <w:marRight w:val="0"/>
              <w:marTop w:val="0"/>
              <w:marBottom w:val="0"/>
              <w:divBdr>
                <w:top w:val="none" w:sz="0" w:space="0" w:color="auto"/>
                <w:left w:val="none" w:sz="0" w:space="0" w:color="auto"/>
                <w:bottom w:val="none" w:sz="0" w:space="0" w:color="auto"/>
                <w:right w:val="none" w:sz="0" w:space="0" w:color="auto"/>
              </w:divBdr>
            </w:div>
            <w:div w:id="1080059865">
              <w:marLeft w:val="0"/>
              <w:marRight w:val="0"/>
              <w:marTop w:val="0"/>
              <w:marBottom w:val="0"/>
              <w:divBdr>
                <w:top w:val="none" w:sz="0" w:space="0" w:color="auto"/>
                <w:left w:val="none" w:sz="0" w:space="0" w:color="auto"/>
                <w:bottom w:val="none" w:sz="0" w:space="0" w:color="auto"/>
                <w:right w:val="none" w:sz="0" w:space="0" w:color="auto"/>
              </w:divBdr>
            </w:div>
            <w:div w:id="356006141">
              <w:marLeft w:val="0"/>
              <w:marRight w:val="0"/>
              <w:marTop w:val="0"/>
              <w:marBottom w:val="0"/>
              <w:divBdr>
                <w:top w:val="none" w:sz="0" w:space="0" w:color="auto"/>
                <w:left w:val="none" w:sz="0" w:space="0" w:color="auto"/>
                <w:bottom w:val="none" w:sz="0" w:space="0" w:color="auto"/>
                <w:right w:val="none" w:sz="0" w:space="0" w:color="auto"/>
              </w:divBdr>
            </w:div>
          </w:divsChild>
        </w:div>
        <w:div w:id="724909547">
          <w:marLeft w:val="0"/>
          <w:marRight w:val="0"/>
          <w:marTop w:val="0"/>
          <w:marBottom w:val="0"/>
          <w:divBdr>
            <w:top w:val="none" w:sz="0" w:space="0" w:color="auto"/>
            <w:left w:val="none" w:sz="0" w:space="0" w:color="auto"/>
            <w:bottom w:val="none" w:sz="0" w:space="0" w:color="auto"/>
            <w:right w:val="none" w:sz="0" w:space="0" w:color="auto"/>
          </w:divBdr>
          <w:divsChild>
            <w:div w:id="1468861327">
              <w:marLeft w:val="0"/>
              <w:marRight w:val="0"/>
              <w:marTop w:val="0"/>
              <w:marBottom w:val="0"/>
              <w:divBdr>
                <w:top w:val="none" w:sz="0" w:space="0" w:color="auto"/>
                <w:left w:val="none" w:sz="0" w:space="0" w:color="auto"/>
                <w:bottom w:val="none" w:sz="0" w:space="0" w:color="auto"/>
                <w:right w:val="none" w:sz="0" w:space="0" w:color="auto"/>
              </w:divBdr>
            </w:div>
            <w:div w:id="1985886406">
              <w:marLeft w:val="0"/>
              <w:marRight w:val="0"/>
              <w:marTop w:val="0"/>
              <w:marBottom w:val="0"/>
              <w:divBdr>
                <w:top w:val="none" w:sz="0" w:space="0" w:color="auto"/>
                <w:left w:val="none" w:sz="0" w:space="0" w:color="auto"/>
                <w:bottom w:val="none" w:sz="0" w:space="0" w:color="auto"/>
                <w:right w:val="none" w:sz="0" w:space="0" w:color="auto"/>
              </w:divBdr>
            </w:div>
            <w:div w:id="606810964">
              <w:marLeft w:val="0"/>
              <w:marRight w:val="0"/>
              <w:marTop w:val="0"/>
              <w:marBottom w:val="0"/>
              <w:divBdr>
                <w:top w:val="none" w:sz="0" w:space="0" w:color="auto"/>
                <w:left w:val="none" w:sz="0" w:space="0" w:color="auto"/>
                <w:bottom w:val="none" w:sz="0" w:space="0" w:color="auto"/>
                <w:right w:val="none" w:sz="0" w:space="0" w:color="auto"/>
              </w:divBdr>
            </w:div>
          </w:divsChild>
        </w:div>
        <w:div w:id="1537767254">
          <w:marLeft w:val="0"/>
          <w:marRight w:val="0"/>
          <w:marTop w:val="0"/>
          <w:marBottom w:val="0"/>
          <w:divBdr>
            <w:top w:val="none" w:sz="0" w:space="0" w:color="auto"/>
            <w:left w:val="none" w:sz="0" w:space="0" w:color="auto"/>
            <w:bottom w:val="none" w:sz="0" w:space="0" w:color="auto"/>
            <w:right w:val="none" w:sz="0" w:space="0" w:color="auto"/>
          </w:divBdr>
          <w:divsChild>
            <w:div w:id="199517850">
              <w:marLeft w:val="0"/>
              <w:marRight w:val="0"/>
              <w:marTop w:val="0"/>
              <w:marBottom w:val="0"/>
              <w:divBdr>
                <w:top w:val="none" w:sz="0" w:space="0" w:color="auto"/>
                <w:left w:val="none" w:sz="0" w:space="0" w:color="auto"/>
                <w:bottom w:val="none" w:sz="0" w:space="0" w:color="auto"/>
                <w:right w:val="none" w:sz="0" w:space="0" w:color="auto"/>
              </w:divBdr>
            </w:div>
          </w:divsChild>
        </w:div>
        <w:div w:id="81343570">
          <w:marLeft w:val="0"/>
          <w:marRight w:val="0"/>
          <w:marTop w:val="0"/>
          <w:marBottom w:val="0"/>
          <w:divBdr>
            <w:top w:val="none" w:sz="0" w:space="0" w:color="auto"/>
            <w:left w:val="none" w:sz="0" w:space="0" w:color="auto"/>
            <w:bottom w:val="none" w:sz="0" w:space="0" w:color="auto"/>
            <w:right w:val="none" w:sz="0" w:space="0" w:color="auto"/>
          </w:divBdr>
          <w:divsChild>
            <w:div w:id="1009137705">
              <w:marLeft w:val="0"/>
              <w:marRight w:val="0"/>
              <w:marTop w:val="0"/>
              <w:marBottom w:val="0"/>
              <w:divBdr>
                <w:top w:val="none" w:sz="0" w:space="0" w:color="auto"/>
                <w:left w:val="none" w:sz="0" w:space="0" w:color="auto"/>
                <w:bottom w:val="none" w:sz="0" w:space="0" w:color="auto"/>
                <w:right w:val="none" w:sz="0" w:space="0" w:color="auto"/>
              </w:divBdr>
            </w:div>
          </w:divsChild>
        </w:div>
        <w:div w:id="1413892018">
          <w:marLeft w:val="0"/>
          <w:marRight w:val="0"/>
          <w:marTop w:val="0"/>
          <w:marBottom w:val="0"/>
          <w:divBdr>
            <w:top w:val="none" w:sz="0" w:space="0" w:color="auto"/>
            <w:left w:val="none" w:sz="0" w:space="0" w:color="auto"/>
            <w:bottom w:val="none" w:sz="0" w:space="0" w:color="auto"/>
            <w:right w:val="none" w:sz="0" w:space="0" w:color="auto"/>
          </w:divBdr>
          <w:divsChild>
            <w:div w:id="1009405893">
              <w:marLeft w:val="0"/>
              <w:marRight w:val="0"/>
              <w:marTop w:val="0"/>
              <w:marBottom w:val="0"/>
              <w:divBdr>
                <w:top w:val="none" w:sz="0" w:space="0" w:color="auto"/>
                <w:left w:val="none" w:sz="0" w:space="0" w:color="auto"/>
                <w:bottom w:val="none" w:sz="0" w:space="0" w:color="auto"/>
                <w:right w:val="none" w:sz="0" w:space="0" w:color="auto"/>
              </w:divBdr>
            </w:div>
          </w:divsChild>
        </w:div>
        <w:div w:id="515072813">
          <w:marLeft w:val="0"/>
          <w:marRight w:val="0"/>
          <w:marTop w:val="0"/>
          <w:marBottom w:val="0"/>
          <w:divBdr>
            <w:top w:val="none" w:sz="0" w:space="0" w:color="auto"/>
            <w:left w:val="none" w:sz="0" w:space="0" w:color="auto"/>
            <w:bottom w:val="none" w:sz="0" w:space="0" w:color="auto"/>
            <w:right w:val="none" w:sz="0" w:space="0" w:color="auto"/>
          </w:divBdr>
          <w:divsChild>
            <w:div w:id="523984947">
              <w:marLeft w:val="0"/>
              <w:marRight w:val="0"/>
              <w:marTop w:val="0"/>
              <w:marBottom w:val="0"/>
              <w:divBdr>
                <w:top w:val="none" w:sz="0" w:space="0" w:color="auto"/>
                <w:left w:val="none" w:sz="0" w:space="0" w:color="auto"/>
                <w:bottom w:val="none" w:sz="0" w:space="0" w:color="auto"/>
                <w:right w:val="none" w:sz="0" w:space="0" w:color="auto"/>
              </w:divBdr>
            </w:div>
          </w:divsChild>
        </w:div>
        <w:div w:id="1346399047">
          <w:marLeft w:val="0"/>
          <w:marRight w:val="0"/>
          <w:marTop w:val="0"/>
          <w:marBottom w:val="0"/>
          <w:divBdr>
            <w:top w:val="none" w:sz="0" w:space="0" w:color="auto"/>
            <w:left w:val="none" w:sz="0" w:space="0" w:color="auto"/>
            <w:bottom w:val="none" w:sz="0" w:space="0" w:color="auto"/>
            <w:right w:val="none" w:sz="0" w:space="0" w:color="auto"/>
          </w:divBdr>
          <w:divsChild>
            <w:div w:id="1611085096">
              <w:marLeft w:val="0"/>
              <w:marRight w:val="0"/>
              <w:marTop w:val="0"/>
              <w:marBottom w:val="0"/>
              <w:divBdr>
                <w:top w:val="none" w:sz="0" w:space="0" w:color="auto"/>
                <w:left w:val="none" w:sz="0" w:space="0" w:color="auto"/>
                <w:bottom w:val="none" w:sz="0" w:space="0" w:color="auto"/>
                <w:right w:val="none" w:sz="0" w:space="0" w:color="auto"/>
              </w:divBdr>
            </w:div>
          </w:divsChild>
        </w:div>
        <w:div w:id="1267426121">
          <w:marLeft w:val="0"/>
          <w:marRight w:val="0"/>
          <w:marTop w:val="0"/>
          <w:marBottom w:val="0"/>
          <w:divBdr>
            <w:top w:val="none" w:sz="0" w:space="0" w:color="auto"/>
            <w:left w:val="none" w:sz="0" w:space="0" w:color="auto"/>
            <w:bottom w:val="none" w:sz="0" w:space="0" w:color="auto"/>
            <w:right w:val="none" w:sz="0" w:space="0" w:color="auto"/>
          </w:divBdr>
          <w:divsChild>
            <w:div w:id="920212190">
              <w:marLeft w:val="0"/>
              <w:marRight w:val="0"/>
              <w:marTop w:val="0"/>
              <w:marBottom w:val="0"/>
              <w:divBdr>
                <w:top w:val="none" w:sz="0" w:space="0" w:color="auto"/>
                <w:left w:val="none" w:sz="0" w:space="0" w:color="auto"/>
                <w:bottom w:val="none" w:sz="0" w:space="0" w:color="auto"/>
                <w:right w:val="none" w:sz="0" w:space="0" w:color="auto"/>
              </w:divBdr>
            </w:div>
            <w:div w:id="665942196">
              <w:marLeft w:val="0"/>
              <w:marRight w:val="0"/>
              <w:marTop w:val="0"/>
              <w:marBottom w:val="0"/>
              <w:divBdr>
                <w:top w:val="none" w:sz="0" w:space="0" w:color="auto"/>
                <w:left w:val="none" w:sz="0" w:space="0" w:color="auto"/>
                <w:bottom w:val="none" w:sz="0" w:space="0" w:color="auto"/>
                <w:right w:val="none" w:sz="0" w:space="0" w:color="auto"/>
              </w:divBdr>
            </w:div>
            <w:div w:id="1327323763">
              <w:marLeft w:val="0"/>
              <w:marRight w:val="0"/>
              <w:marTop w:val="0"/>
              <w:marBottom w:val="0"/>
              <w:divBdr>
                <w:top w:val="none" w:sz="0" w:space="0" w:color="auto"/>
                <w:left w:val="none" w:sz="0" w:space="0" w:color="auto"/>
                <w:bottom w:val="none" w:sz="0" w:space="0" w:color="auto"/>
                <w:right w:val="none" w:sz="0" w:space="0" w:color="auto"/>
              </w:divBdr>
            </w:div>
            <w:div w:id="289744520">
              <w:marLeft w:val="0"/>
              <w:marRight w:val="0"/>
              <w:marTop w:val="0"/>
              <w:marBottom w:val="0"/>
              <w:divBdr>
                <w:top w:val="none" w:sz="0" w:space="0" w:color="auto"/>
                <w:left w:val="none" w:sz="0" w:space="0" w:color="auto"/>
                <w:bottom w:val="none" w:sz="0" w:space="0" w:color="auto"/>
                <w:right w:val="none" w:sz="0" w:space="0" w:color="auto"/>
              </w:divBdr>
            </w:div>
          </w:divsChild>
        </w:div>
        <w:div w:id="1239482678">
          <w:marLeft w:val="0"/>
          <w:marRight w:val="0"/>
          <w:marTop w:val="0"/>
          <w:marBottom w:val="0"/>
          <w:divBdr>
            <w:top w:val="none" w:sz="0" w:space="0" w:color="auto"/>
            <w:left w:val="none" w:sz="0" w:space="0" w:color="auto"/>
            <w:bottom w:val="none" w:sz="0" w:space="0" w:color="auto"/>
            <w:right w:val="none" w:sz="0" w:space="0" w:color="auto"/>
          </w:divBdr>
          <w:divsChild>
            <w:div w:id="2054385271">
              <w:marLeft w:val="0"/>
              <w:marRight w:val="0"/>
              <w:marTop w:val="0"/>
              <w:marBottom w:val="0"/>
              <w:divBdr>
                <w:top w:val="none" w:sz="0" w:space="0" w:color="auto"/>
                <w:left w:val="none" w:sz="0" w:space="0" w:color="auto"/>
                <w:bottom w:val="none" w:sz="0" w:space="0" w:color="auto"/>
                <w:right w:val="none" w:sz="0" w:space="0" w:color="auto"/>
              </w:divBdr>
            </w:div>
            <w:div w:id="1683168725">
              <w:marLeft w:val="0"/>
              <w:marRight w:val="0"/>
              <w:marTop w:val="0"/>
              <w:marBottom w:val="0"/>
              <w:divBdr>
                <w:top w:val="none" w:sz="0" w:space="0" w:color="auto"/>
                <w:left w:val="none" w:sz="0" w:space="0" w:color="auto"/>
                <w:bottom w:val="none" w:sz="0" w:space="0" w:color="auto"/>
                <w:right w:val="none" w:sz="0" w:space="0" w:color="auto"/>
              </w:divBdr>
            </w:div>
            <w:div w:id="1935937024">
              <w:marLeft w:val="0"/>
              <w:marRight w:val="0"/>
              <w:marTop w:val="0"/>
              <w:marBottom w:val="0"/>
              <w:divBdr>
                <w:top w:val="none" w:sz="0" w:space="0" w:color="auto"/>
                <w:left w:val="none" w:sz="0" w:space="0" w:color="auto"/>
                <w:bottom w:val="none" w:sz="0" w:space="0" w:color="auto"/>
                <w:right w:val="none" w:sz="0" w:space="0" w:color="auto"/>
              </w:divBdr>
            </w:div>
            <w:div w:id="526720864">
              <w:marLeft w:val="0"/>
              <w:marRight w:val="0"/>
              <w:marTop w:val="0"/>
              <w:marBottom w:val="0"/>
              <w:divBdr>
                <w:top w:val="none" w:sz="0" w:space="0" w:color="auto"/>
                <w:left w:val="none" w:sz="0" w:space="0" w:color="auto"/>
                <w:bottom w:val="none" w:sz="0" w:space="0" w:color="auto"/>
                <w:right w:val="none" w:sz="0" w:space="0" w:color="auto"/>
              </w:divBdr>
            </w:div>
          </w:divsChild>
        </w:div>
        <w:div w:id="1777366755">
          <w:marLeft w:val="0"/>
          <w:marRight w:val="0"/>
          <w:marTop w:val="0"/>
          <w:marBottom w:val="0"/>
          <w:divBdr>
            <w:top w:val="none" w:sz="0" w:space="0" w:color="auto"/>
            <w:left w:val="none" w:sz="0" w:space="0" w:color="auto"/>
            <w:bottom w:val="none" w:sz="0" w:space="0" w:color="auto"/>
            <w:right w:val="none" w:sz="0" w:space="0" w:color="auto"/>
          </w:divBdr>
          <w:divsChild>
            <w:div w:id="1778333948">
              <w:marLeft w:val="0"/>
              <w:marRight w:val="0"/>
              <w:marTop w:val="0"/>
              <w:marBottom w:val="0"/>
              <w:divBdr>
                <w:top w:val="none" w:sz="0" w:space="0" w:color="auto"/>
                <w:left w:val="none" w:sz="0" w:space="0" w:color="auto"/>
                <w:bottom w:val="none" w:sz="0" w:space="0" w:color="auto"/>
                <w:right w:val="none" w:sz="0" w:space="0" w:color="auto"/>
              </w:divBdr>
            </w:div>
            <w:div w:id="998994044">
              <w:marLeft w:val="0"/>
              <w:marRight w:val="0"/>
              <w:marTop w:val="0"/>
              <w:marBottom w:val="0"/>
              <w:divBdr>
                <w:top w:val="none" w:sz="0" w:space="0" w:color="auto"/>
                <w:left w:val="none" w:sz="0" w:space="0" w:color="auto"/>
                <w:bottom w:val="none" w:sz="0" w:space="0" w:color="auto"/>
                <w:right w:val="none" w:sz="0" w:space="0" w:color="auto"/>
              </w:divBdr>
            </w:div>
            <w:div w:id="1818642421">
              <w:marLeft w:val="0"/>
              <w:marRight w:val="0"/>
              <w:marTop w:val="0"/>
              <w:marBottom w:val="0"/>
              <w:divBdr>
                <w:top w:val="none" w:sz="0" w:space="0" w:color="auto"/>
                <w:left w:val="none" w:sz="0" w:space="0" w:color="auto"/>
                <w:bottom w:val="none" w:sz="0" w:space="0" w:color="auto"/>
                <w:right w:val="none" w:sz="0" w:space="0" w:color="auto"/>
              </w:divBdr>
            </w:div>
            <w:div w:id="510411123">
              <w:marLeft w:val="0"/>
              <w:marRight w:val="0"/>
              <w:marTop w:val="0"/>
              <w:marBottom w:val="0"/>
              <w:divBdr>
                <w:top w:val="none" w:sz="0" w:space="0" w:color="auto"/>
                <w:left w:val="none" w:sz="0" w:space="0" w:color="auto"/>
                <w:bottom w:val="none" w:sz="0" w:space="0" w:color="auto"/>
                <w:right w:val="none" w:sz="0" w:space="0" w:color="auto"/>
              </w:divBdr>
            </w:div>
          </w:divsChild>
        </w:div>
        <w:div w:id="300307998">
          <w:marLeft w:val="0"/>
          <w:marRight w:val="0"/>
          <w:marTop w:val="0"/>
          <w:marBottom w:val="0"/>
          <w:divBdr>
            <w:top w:val="none" w:sz="0" w:space="0" w:color="auto"/>
            <w:left w:val="none" w:sz="0" w:space="0" w:color="auto"/>
            <w:bottom w:val="none" w:sz="0" w:space="0" w:color="auto"/>
            <w:right w:val="none" w:sz="0" w:space="0" w:color="auto"/>
          </w:divBdr>
          <w:divsChild>
            <w:div w:id="421294272">
              <w:marLeft w:val="0"/>
              <w:marRight w:val="0"/>
              <w:marTop w:val="0"/>
              <w:marBottom w:val="0"/>
              <w:divBdr>
                <w:top w:val="none" w:sz="0" w:space="0" w:color="auto"/>
                <w:left w:val="none" w:sz="0" w:space="0" w:color="auto"/>
                <w:bottom w:val="none" w:sz="0" w:space="0" w:color="auto"/>
                <w:right w:val="none" w:sz="0" w:space="0" w:color="auto"/>
              </w:divBdr>
            </w:div>
          </w:divsChild>
        </w:div>
        <w:div w:id="1574848651">
          <w:marLeft w:val="0"/>
          <w:marRight w:val="0"/>
          <w:marTop w:val="0"/>
          <w:marBottom w:val="0"/>
          <w:divBdr>
            <w:top w:val="none" w:sz="0" w:space="0" w:color="auto"/>
            <w:left w:val="none" w:sz="0" w:space="0" w:color="auto"/>
            <w:bottom w:val="none" w:sz="0" w:space="0" w:color="auto"/>
            <w:right w:val="none" w:sz="0" w:space="0" w:color="auto"/>
          </w:divBdr>
          <w:divsChild>
            <w:div w:id="1617709508">
              <w:marLeft w:val="0"/>
              <w:marRight w:val="0"/>
              <w:marTop w:val="0"/>
              <w:marBottom w:val="0"/>
              <w:divBdr>
                <w:top w:val="none" w:sz="0" w:space="0" w:color="auto"/>
                <w:left w:val="none" w:sz="0" w:space="0" w:color="auto"/>
                <w:bottom w:val="none" w:sz="0" w:space="0" w:color="auto"/>
                <w:right w:val="none" w:sz="0" w:space="0" w:color="auto"/>
              </w:divBdr>
            </w:div>
            <w:div w:id="1901749670">
              <w:marLeft w:val="0"/>
              <w:marRight w:val="0"/>
              <w:marTop w:val="0"/>
              <w:marBottom w:val="0"/>
              <w:divBdr>
                <w:top w:val="none" w:sz="0" w:space="0" w:color="auto"/>
                <w:left w:val="none" w:sz="0" w:space="0" w:color="auto"/>
                <w:bottom w:val="none" w:sz="0" w:space="0" w:color="auto"/>
                <w:right w:val="none" w:sz="0" w:space="0" w:color="auto"/>
              </w:divBdr>
            </w:div>
            <w:div w:id="992022685">
              <w:marLeft w:val="0"/>
              <w:marRight w:val="0"/>
              <w:marTop w:val="0"/>
              <w:marBottom w:val="0"/>
              <w:divBdr>
                <w:top w:val="none" w:sz="0" w:space="0" w:color="auto"/>
                <w:left w:val="none" w:sz="0" w:space="0" w:color="auto"/>
                <w:bottom w:val="none" w:sz="0" w:space="0" w:color="auto"/>
                <w:right w:val="none" w:sz="0" w:space="0" w:color="auto"/>
              </w:divBdr>
            </w:div>
          </w:divsChild>
        </w:div>
        <w:div w:id="1336155971">
          <w:marLeft w:val="0"/>
          <w:marRight w:val="0"/>
          <w:marTop w:val="0"/>
          <w:marBottom w:val="0"/>
          <w:divBdr>
            <w:top w:val="none" w:sz="0" w:space="0" w:color="auto"/>
            <w:left w:val="none" w:sz="0" w:space="0" w:color="auto"/>
            <w:bottom w:val="none" w:sz="0" w:space="0" w:color="auto"/>
            <w:right w:val="none" w:sz="0" w:space="0" w:color="auto"/>
          </w:divBdr>
          <w:divsChild>
            <w:div w:id="512112314">
              <w:marLeft w:val="0"/>
              <w:marRight w:val="0"/>
              <w:marTop w:val="0"/>
              <w:marBottom w:val="0"/>
              <w:divBdr>
                <w:top w:val="none" w:sz="0" w:space="0" w:color="auto"/>
                <w:left w:val="none" w:sz="0" w:space="0" w:color="auto"/>
                <w:bottom w:val="none" w:sz="0" w:space="0" w:color="auto"/>
                <w:right w:val="none" w:sz="0" w:space="0" w:color="auto"/>
              </w:divBdr>
            </w:div>
            <w:div w:id="91782992">
              <w:marLeft w:val="0"/>
              <w:marRight w:val="0"/>
              <w:marTop w:val="0"/>
              <w:marBottom w:val="0"/>
              <w:divBdr>
                <w:top w:val="none" w:sz="0" w:space="0" w:color="auto"/>
                <w:left w:val="none" w:sz="0" w:space="0" w:color="auto"/>
                <w:bottom w:val="none" w:sz="0" w:space="0" w:color="auto"/>
                <w:right w:val="none" w:sz="0" w:space="0" w:color="auto"/>
              </w:divBdr>
            </w:div>
            <w:div w:id="1540632748">
              <w:marLeft w:val="0"/>
              <w:marRight w:val="0"/>
              <w:marTop w:val="0"/>
              <w:marBottom w:val="0"/>
              <w:divBdr>
                <w:top w:val="none" w:sz="0" w:space="0" w:color="auto"/>
                <w:left w:val="none" w:sz="0" w:space="0" w:color="auto"/>
                <w:bottom w:val="none" w:sz="0" w:space="0" w:color="auto"/>
                <w:right w:val="none" w:sz="0" w:space="0" w:color="auto"/>
              </w:divBdr>
            </w:div>
          </w:divsChild>
        </w:div>
        <w:div w:id="1198592118">
          <w:marLeft w:val="0"/>
          <w:marRight w:val="0"/>
          <w:marTop w:val="0"/>
          <w:marBottom w:val="0"/>
          <w:divBdr>
            <w:top w:val="none" w:sz="0" w:space="0" w:color="auto"/>
            <w:left w:val="none" w:sz="0" w:space="0" w:color="auto"/>
            <w:bottom w:val="none" w:sz="0" w:space="0" w:color="auto"/>
            <w:right w:val="none" w:sz="0" w:space="0" w:color="auto"/>
          </w:divBdr>
          <w:divsChild>
            <w:div w:id="1476337749">
              <w:marLeft w:val="0"/>
              <w:marRight w:val="0"/>
              <w:marTop w:val="0"/>
              <w:marBottom w:val="0"/>
              <w:divBdr>
                <w:top w:val="none" w:sz="0" w:space="0" w:color="auto"/>
                <w:left w:val="none" w:sz="0" w:space="0" w:color="auto"/>
                <w:bottom w:val="none" w:sz="0" w:space="0" w:color="auto"/>
                <w:right w:val="none" w:sz="0" w:space="0" w:color="auto"/>
              </w:divBdr>
            </w:div>
            <w:div w:id="1797525800">
              <w:marLeft w:val="0"/>
              <w:marRight w:val="0"/>
              <w:marTop w:val="0"/>
              <w:marBottom w:val="0"/>
              <w:divBdr>
                <w:top w:val="none" w:sz="0" w:space="0" w:color="auto"/>
                <w:left w:val="none" w:sz="0" w:space="0" w:color="auto"/>
                <w:bottom w:val="none" w:sz="0" w:space="0" w:color="auto"/>
                <w:right w:val="none" w:sz="0" w:space="0" w:color="auto"/>
              </w:divBdr>
            </w:div>
            <w:div w:id="795297548">
              <w:marLeft w:val="0"/>
              <w:marRight w:val="0"/>
              <w:marTop w:val="0"/>
              <w:marBottom w:val="0"/>
              <w:divBdr>
                <w:top w:val="none" w:sz="0" w:space="0" w:color="auto"/>
                <w:left w:val="none" w:sz="0" w:space="0" w:color="auto"/>
                <w:bottom w:val="none" w:sz="0" w:space="0" w:color="auto"/>
                <w:right w:val="none" w:sz="0" w:space="0" w:color="auto"/>
              </w:divBdr>
            </w:div>
          </w:divsChild>
        </w:div>
        <w:div w:id="1448810160">
          <w:marLeft w:val="0"/>
          <w:marRight w:val="0"/>
          <w:marTop w:val="0"/>
          <w:marBottom w:val="0"/>
          <w:divBdr>
            <w:top w:val="none" w:sz="0" w:space="0" w:color="auto"/>
            <w:left w:val="none" w:sz="0" w:space="0" w:color="auto"/>
            <w:bottom w:val="none" w:sz="0" w:space="0" w:color="auto"/>
            <w:right w:val="none" w:sz="0" w:space="0" w:color="auto"/>
          </w:divBdr>
          <w:divsChild>
            <w:div w:id="231090334">
              <w:marLeft w:val="0"/>
              <w:marRight w:val="0"/>
              <w:marTop w:val="0"/>
              <w:marBottom w:val="0"/>
              <w:divBdr>
                <w:top w:val="none" w:sz="0" w:space="0" w:color="auto"/>
                <w:left w:val="none" w:sz="0" w:space="0" w:color="auto"/>
                <w:bottom w:val="none" w:sz="0" w:space="0" w:color="auto"/>
                <w:right w:val="none" w:sz="0" w:space="0" w:color="auto"/>
              </w:divBdr>
            </w:div>
          </w:divsChild>
        </w:div>
        <w:div w:id="1897618904">
          <w:marLeft w:val="0"/>
          <w:marRight w:val="0"/>
          <w:marTop w:val="0"/>
          <w:marBottom w:val="0"/>
          <w:divBdr>
            <w:top w:val="none" w:sz="0" w:space="0" w:color="auto"/>
            <w:left w:val="none" w:sz="0" w:space="0" w:color="auto"/>
            <w:bottom w:val="none" w:sz="0" w:space="0" w:color="auto"/>
            <w:right w:val="none" w:sz="0" w:space="0" w:color="auto"/>
          </w:divBdr>
          <w:divsChild>
            <w:div w:id="1844584633">
              <w:marLeft w:val="0"/>
              <w:marRight w:val="0"/>
              <w:marTop w:val="0"/>
              <w:marBottom w:val="0"/>
              <w:divBdr>
                <w:top w:val="none" w:sz="0" w:space="0" w:color="auto"/>
                <w:left w:val="none" w:sz="0" w:space="0" w:color="auto"/>
                <w:bottom w:val="none" w:sz="0" w:space="0" w:color="auto"/>
                <w:right w:val="none" w:sz="0" w:space="0" w:color="auto"/>
              </w:divBdr>
            </w:div>
          </w:divsChild>
        </w:div>
        <w:div w:id="339427275">
          <w:marLeft w:val="0"/>
          <w:marRight w:val="0"/>
          <w:marTop w:val="0"/>
          <w:marBottom w:val="0"/>
          <w:divBdr>
            <w:top w:val="none" w:sz="0" w:space="0" w:color="auto"/>
            <w:left w:val="none" w:sz="0" w:space="0" w:color="auto"/>
            <w:bottom w:val="none" w:sz="0" w:space="0" w:color="auto"/>
            <w:right w:val="none" w:sz="0" w:space="0" w:color="auto"/>
          </w:divBdr>
          <w:divsChild>
            <w:div w:id="1181771620">
              <w:marLeft w:val="0"/>
              <w:marRight w:val="0"/>
              <w:marTop w:val="0"/>
              <w:marBottom w:val="0"/>
              <w:divBdr>
                <w:top w:val="none" w:sz="0" w:space="0" w:color="auto"/>
                <w:left w:val="none" w:sz="0" w:space="0" w:color="auto"/>
                <w:bottom w:val="none" w:sz="0" w:space="0" w:color="auto"/>
                <w:right w:val="none" w:sz="0" w:space="0" w:color="auto"/>
              </w:divBdr>
            </w:div>
          </w:divsChild>
        </w:div>
        <w:div w:id="611327984">
          <w:marLeft w:val="0"/>
          <w:marRight w:val="0"/>
          <w:marTop w:val="0"/>
          <w:marBottom w:val="0"/>
          <w:divBdr>
            <w:top w:val="none" w:sz="0" w:space="0" w:color="auto"/>
            <w:left w:val="none" w:sz="0" w:space="0" w:color="auto"/>
            <w:bottom w:val="none" w:sz="0" w:space="0" w:color="auto"/>
            <w:right w:val="none" w:sz="0" w:space="0" w:color="auto"/>
          </w:divBdr>
          <w:divsChild>
            <w:div w:id="1868524389">
              <w:marLeft w:val="0"/>
              <w:marRight w:val="0"/>
              <w:marTop w:val="0"/>
              <w:marBottom w:val="0"/>
              <w:divBdr>
                <w:top w:val="none" w:sz="0" w:space="0" w:color="auto"/>
                <w:left w:val="none" w:sz="0" w:space="0" w:color="auto"/>
                <w:bottom w:val="none" w:sz="0" w:space="0" w:color="auto"/>
                <w:right w:val="none" w:sz="0" w:space="0" w:color="auto"/>
              </w:divBdr>
            </w:div>
          </w:divsChild>
        </w:div>
        <w:div w:id="1291595819">
          <w:marLeft w:val="0"/>
          <w:marRight w:val="0"/>
          <w:marTop w:val="0"/>
          <w:marBottom w:val="0"/>
          <w:divBdr>
            <w:top w:val="none" w:sz="0" w:space="0" w:color="auto"/>
            <w:left w:val="none" w:sz="0" w:space="0" w:color="auto"/>
            <w:bottom w:val="none" w:sz="0" w:space="0" w:color="auto"/>
            <w:right w:val="none" w:sz="0" w:space="0" w:color="auto"/>
          </w:divBdr>
          <w:divsChild>
            <w:div w:id="1168666610">
              <w:marLeft w:val="0"/>
              <w:marRight w:val="0"/>
              <w:marTop w:val="0"/>
              <w:marBottom w:val="0"/>
              <w:divBdr>
                <w:top w:val="none" w:sz="0" w:space="0" w:color="auto"/>
                <w:left w:val="none" w:sz="0" w:space="0" w:color="auto"/>
                <w:bottom w:val="none" w:sz="0" w:space="0" w:color="auto"/>
                <w:right w:val="none" w:sz="0" w:space="0" w:color="auto"/>
              </w:divBdr>
            </w:div>
          </w:divsChild>
        </w:div>
        <w:div w:id="745809985">
          <w:marLeft w:val="0"/>
          <w:marRight w:val="0"/>
          <w:marTop w:val="0"/>
          <w:marBottom w:val="0"/>
          <w:divBdr>
            <w:top w:val="none" w:sz="0" w:space="0" w:color="auto"/>
            <w:left w:val="none" w:sz="0" w:space="0" w:color="auto"/>
            <w:bottom w:val="none" w:sz="0" w:space="0" w:color="auto"/>
            <w:right w:val="none" w:sz="0" w:space="0" w:color="auto"/>
          </w:divBdr>
          <w:divsChild>
            <w:div w:id="181017713">
              <w:marLeft w:val="0"/>
              <w:marRight w:val="0"/>
              <w:marTop w:val="0"/>
              <w:marBottom w:val="0"/>
              <w:divBdr>
                <w:top w:val="none" w:sz="0" w:space="0" w:color="auto"/>
                <w:left w:val="none" w:sz="0" w:space="0" w:color="auto"/>
                <w:bottom w:val="none" w:sz="0" w:space="0" w:color="auto"/>
                <w:right w:val="none" w:sz="0" w:space="0" w:color="auto"/>
              </w:divBdr>
            </w:div>
            <w:div w:id="470486522">
              <w:marLeft w:val="0"/>
              <w:marRight w:val="0"/>
              <w:marTop w:val="0"/>
              <w:marBottom w:val="0"/>
              <w:divBdr>
                <w:top w:val="none" w:sz="0" w:space="0" w:color="auto"/>
                <w:left w:val="none" w:sz="0" w:space="0" w:color="auto"/>
                <w:bottom w:val="none" w:sz="0" w:space="0" w:color="auto"/>
                <w:right w:val="none" w:sz="0" w:space="0" w:color="auto"/>
              </w:divBdr>
            </w:div>
            <w:div w:id="1012294225">
              <w:marLeft w:val="0"/>
              <w:marRight w:val="0"/>
              <w:marTop w:val="0"/>
              <w:marBottom w:val="0"/>
              <w:divBdr>
                <w:top w:val="none" w:sz="0" w:space="0" w:color="auto"/>
                <w:left w:val="none" w:sz="0" w:space="0" w:color="auto"/>
                <w:bottom w:val="none" w:sz="0" w:space="0" w:color="auto"/>
                <w:right w:val="none" w:sz="0" w:space="0" w:color="auto"/>
              </w:divBdr>
            </w:div>
            <w:div w:id="1539464423">
              <w:marLeft w:val="0"/>
              <w:marRight w:val="0"/>
              <w:marTop w:val="0"/>
              <w:marBottom w:val="0"/>
              <w:divBdr>
                <w:top w:val="none" w:sz="0" w:space="0" w:color="auto"/>
                <w:left w:val="none" w:sz="0" w:space="0" w:color="auto"/>
                <w:bottom w:val="none" w:sz="0" w:space="0" w:color="auto"/>
                <w:right w:val="none" w:sz="0" w:space="0" w:color="auto"/>
              </w:divBdr>
            </w:div>
          </w:divsChild>
        </w:div>
        <w:div w:id="927151807">
          <w:marLeft w:val="0"/>
          <w:marRight w:val="0"/>
          <w:marTop w:val="0"/>
          <w:marBottom w:val="0"/>
          <w:divBdr>
            <w:top w:val="none" w:sz="0" w:space="0" w:color="auto"/>
            <w:left w:val="none" w:sz="0" w:space="0" w:color="auto"/>
            <w:bottom w:val="none" w:sz="0" w:space="0" w:color="auto"/>
            <w:right w:val="none" w:sz="0" w:space="0" w:color="auto"/>
          </w:divBdr>
          <w:divsChild>
            <w:div w:id="1694725096">
              <w:marLeft w:val="0"/>
              <w:marRight w:val="0"/>
              <w:marTop w:val="0"/>
              <w:marBottom w:val="0"/>
              <w:divBdr>
                <w:top w:val="none" w:sz="0" w:space="0" w:color="auto"/>
                <w:left w:val="none" w:sz="0" w:space="0" w:color="auto"/>
                <w:bottom w:val="none" w:sz="0" w:space="0" w:color="auto"/>
                <w:right w:val="none" w:sz="0" w:space="0" w:color="auto"/>
              </w:divBdr>
            </w:div>
            <w:div w:id="1017006292">
              <w:marLeft w:val="0"/>
              <w:marRight w:val="0"/>
              <w:marTop w:val="0"/>
              <w:marBottom w:val="0"/>
              <w:divBdr>
                <w:top w:val="none" w:sz="0" w:space="0" w:color="auto"/>
                <w:left w:val="none" w:sz="0" w:space="0" w:color="auto"/>
                <w:bottom w:val="none" w:sz="0" w:space="0" w:color="auto"/>
                <w:right w:val="none" w:sz="0" w:space="0" w:color="auto"/>
              </w:divBdr>
            </w:div>
            <w:div w:id="2011563509">
              <w:marLeft w:val="0"/>
              <w:marRight w:val="0"/>
              <w:marTop w:val="0"/>
              <w:marBottom w:val="0"/>
              <w:divBdr>
                <w:top w:val="none" w:sz="0" w:space="0" w:color="auto"/>
                <w:left w:val="none" w:sz="0" w:space="0" w:color="auto"/>
                <w:bottom w:val="none" w:sz="0" w:space="0" w:color="auto"/>
                <w:right w:val="none" w:sz="0" w:space="0" w:color="auto"/>
              </w:divBdr>
            </w:div>
            <w:div w:id="328873626">
              <w:marLeft w:val="0"/>
              <w:marRight w:val="0"/>
              <w:marTop w:val="0"/>
              <w:marBottom w:val="0"/>
              <w:divBdr>
                <w:top w:val="none" w:sz="0" w:space="0" w:color="auto"/>
                <w:left w:val="none" w:sz="0" w:space="0" w:color="auto"/>
                <w:bottom w:val="none" w:sz="0" w:space="0" w:color="auto"/>
                <w:right w:val="none" w:sz="0" w:space="0" w:color="auto"/>
              </w:divBdr>
            </w:div>
          </w:divsChild>
        </w:div>
        <w:div w:id="178814970">
          <w:marLeft w:val="0"/>
          <w:marRight w:val="0"/>
          <w:marTop w:val="0"/>
          <w:marBottom w:val="0"/>
          <w:divBdr>
            <w:top w:val="none" w:sz="0" w:space="0" w:color="auto"/>
            <w:left w:val="none" w:sz="0" w:space="0" w:color="auto"/>
            <w:bottom w:val="none" w:sz="0" w:space="0" w:color="auto"/>
            <w:right w:val="none" w:sz="0" w:space="0" w:color="auto"/>
          </w:divBdr>
          <w:divsChild>
            <w:div w:id="1512645477">
              <w:marLeft w:val="0"/>
              <w:marRight w:val="0"/>
              <w:marTop w:val="0"/>
              <w:marBottom w:val="0"/>
              <w:divBdr>
                <w:top w:val="none" w:sz="0" w:space="0" w:color="auto"/>
                <w:left w:val="none" w:sz="0" w:space="0" w:color="auto"/>
                <w:bottom w:val="none" w:sz="0" w:space="0" w:color="auto"/>
                <w:right w:val="none" w:sz="0" w:space="0" w:color="auto"/>
              </w:divBdr>
            </w:div>
            <w:div w:id="1941913864">
              <w:marLeft w:val="0"/>
              <w:marRight w:val="0"/>
              <w:marTop w:val="0"/>
              <w:marBottom w:val="0"/>
              <w:divBdr>
                <w:top w:val="none" w:sz="0" w:space="0" w:color="auto"/>
                <w:left w:val="none" w:sz="0" w:space="0" w:color="auto"/>
                <w:bottom w:val="none" w:sz="0" w:space="0" w:color="auto"/>
                <w:right w:val="none" w:sz="0" w:space="0" w:color="auto"/>
              </w:divBdr>
            </w:div>
            <w:div w:id="2039239413">
              <w:marLeft w:val="0"/>
              <w:marRight w:val="0"/>
              <w:marTop w:val="0"/>
              <w:marBottom w:val="0"/>
              <w:divBdr>
                <w:top w:val="none" w:sz="0" w:space="0" w:color="auto"/>
                <w:left w:val="none" w:sz="0" w:space="0" w:color="auto"/>
                <w:bottom w:val="none" w:sz="0" w:space="0" w:color="auto"/>
                <w:right w:val="none" w:sz="0" w:space="0" w:color="auto"/>
              </w:divBdr>
            </w:div>
            <w:div w:id="328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7995">
      <w:bodyDiv w:val="1"/>
      <w:marLeft w:val="0"/>
      <w:marRight w:val="0"/>
      <w:marTop w:val="0"/>
      <w:marBottom w:val="0"/>
      <w:divBdr>
        <w:top w:val="none" w:sz="0" w:space="0" w:color="auto"/>
        <w:left w:val="none" w:sz="0" w:space="0" w:color="auto"/>
        <w:bottom w:val="none" w:sz="0" w:space="0" w:color="auto"/>
        <w:right w:val="none" w:sz="0" w:space="0" w:color="auto"/>
      </w:divBdr>
      <w:divsChild>
        <w:div w:id="1340036975">
          <w:marLeft w:val="0"/>
          <w:marRight w:val="0"/>
          <w:marTop w:val="0"/>
          <w:marBottom w:val="0"/>
          <w:divBdr>
            <w:top w:val="none" w:sz="0" w:space="0" w:color="auto"/>
            <w:left w:val="none" w:sz="0" w:space="0" w:color="auto"/>
            <w:bottom w:val="none" w:sz="0" w:space="0" w:color="auto"/>
            <w:right w:val="none" w:sz="0" w:space="0" w:color="auto"/>
          </w:divBdr>
          <w:divsChild>
            <w:div w:id="1854418963">
              <w:marLeft w:val="0"/>
              <w:marRight w:val="0"/>
              <w:marTop w:val="0"/>
              <w:marBottom w:val="0"/>
              <w:divBdr>
                <w:top w:val="none" w:sz="0" w:space="0" w:color="auto"/>
                <w:left w:val="none" w:sz="0" w:space="0" w:color="auto"/>
                <w:bottom w:val="none" w:sz="0" w:space="0" w:color="auto"/>
                <w:right w:val="none" w:sz="0" w:space="0" w:color="auto"/>
              </w:divBdr>
            </w:div>
          </w:divsChild>
        </w:div>
        <w:div w:id="310453542">
          <w:marLeft w:val="0"/>
          <w:marRight w:val="0"/>
          <w:marTop w:val="0"/>
          <w:marBottom w:val="0"/>
          <w:divBdr>
            <w:top w:val="none" w:sz="0" w:space="0" w:color="auto"/>
            <w:left w:val="none" w:sz="0" w:space="0" w:color="auto"/>
            <w:bottom w:val="none" w:sz="0" w:space="0" w:color="auto"/>
            <w:right w:val="none" w:sz="0" w:space="0" w:color="auto"/>
          </w:divBdr>
          <w:divsChild>
            <w:div w:id="1861240310">
              <w:marLeft w:val="0"/>
              <w:marRight w:val="0"/>
              <w:marTop w:val="0"/>
              <w:marBottom w:val="0"/>
              <w:divBdr>
                <w:top w:val="none" w:sz="0" w:space="0" w:color="auto"/>
                <w:left w:val="none" w:sz="0" w:space="0" w:color="auto"/>
                <w:bottom w:val="none" w:sz="0" w:space="0" w:color="auto"/>
                <w:right w:val="none" w:sz="0" w:space="0" w:color="auto"/>
              </w:divBdr>
            </w:div>
          </w:divsChild>
        </w:div>
        <w:div w:id="2121221841">
          <w:marLeft w:val="0"/>
          <w:marRight w:val="0"/>
          <w:marTop w:val="0"/>
          <w:marBottom w:val="0"/>
          <w:divBdr>
            <w:top w:val="none" w:sz="0" w:space="0" w:color="auto"/>
            <w:left w:val="none" w:sz="0" w:space="0" w:color="auto"/>
            <w:bottom w:val="none" w:sz="0" w:space="0" w:color="auto"/>
            <w:right w:val="none" w:sz="0" w:space="0" w:color="auto"/>
          </w:divBdr>
          <w:divsChild>
            <w:div w:id="717634070">
              <w:marLeft w:val="0"/>
              <w:marRight w:val="0"/>
              <w:marTop w:val="0"/>
              <w:marBottom w:val="0"/>
              <w:divBdr>
                <w:top w:val="none" w:sz="0" w:space="0" w:color="auto"/>
                <w:left w:val="none" w:sz="0" w:space="0" w:color="auto"/>
                <w:bottom w:val="none" w:sz="0" w:space="0" w:color="auto"/>
                <w:right w:val="none" w:sz="0" w:space="0" w:color="auto"/>
              </w:divBdr>
            </w:div>
          </w:divsChild>
        </w:div>
        <w:div w:id="1621184164">
          <w:marLeft w:val="0"/>
          <w:marRight w:val="0"/>
          <w:marTop w:val="0"/>
          <w:marBottom w:val="0"/>
          <w:divBdr>
            <w:top w:val="none" w:sz="0" w:space="0" w:color="auto"/>
            <w:left w:val="none" w:sz="0" w:space="0" w:color="auto"/>
            <w:bottom w:val="none" w:sz="0" w:space="0" w:color="auto"/>
            <w:right w:val="none" w:sz="0" w:space="0" w:color="auto"/>
          </w:divBdr>
          <w:divsChild>
            <w:div w:id="1336498335">
              <w:marLeft w:val="0"/>
              <w:marRight w:val="0"/>
              <w:marTop w:val="0"/>
              <w:marBottom w:val="0"/>
              <w:divBdr>
                <w:top w:val="none" w:sz="0" w:space="0" w:color="auto"/>
                <w:left w:val="none" w:sz="0" w:space="0" w:color="auto"/>
                <w:bottom w:val="none" w:sz="0" w:space="0" w:color="auto"/>
                <w:right w:val="none" w:sz="0" w:space="0" w:color="auto"/>
              </w:divBdr>
            </w:div>
          </w:divsChild>
        </w:div>
        <w:div w:id="1137213417">
          <w:marLeft w:val="0"/>
          <w:marRight w:val="0"/>
          <w:marTop w:val="0"/>
          <w:marBottom w:val="0"/>
          <w:divBdr>
            <w:top w:val="none" w:sz="0" w:space="0" w:color="auto"/>
            <w:left w:val="none" w:sz="0" w:space="0" w:color="auto"/>
            <w:bottom w:val="none" w:sz="0" w:space="0" w:color="auto"/>
            <w:right w:val="none" w:sz="0" w:space="0" w:color="auto"/>
          </w:divBdr>
          <w:divsChild>
            <w:div w:id="2021201940">
              <w:marLeft w:val="0"/>
              <w:marRight w:val="0"/>
              <w:marTop w:val="0"/>
              <w:marBottom w:val="0"/>
              <w:divBdr>
                <w:top w:val="none" w:sz="0" w:space="0" w:color="auto"/>
                <w:left w:val="none" w:sz="0" w:space="0" w:color="auto"/>
                <w:bottom w:val="none" w:sz="0" w:space="0" w:color="auto"/>
                <w:right w:val="none" w:sz="0" w:space="0" w:color="auto"/>
              </w:divBdr>
            </w:div>
          </w:divsChild>
        </w:div>
        <w:div w:id="391781889">
          <w:marLeft w:val="0"/>
          <w:marRight w:val="0"/>
          <w:marTop w:val="0"/>
          <w:marBottom w:val="0"/>
          <w:divBdr>
            <w:top w:val="none" w:sz="0" w:space="0" w:color="auto"/>
            <w:left w:val="none" w:sz="0" w:space="0" w:color="auto"/>
            <w:bottom w:val="none" w:sz="0" w:space="0" w:color="auto"/>
            <w:right w:val="none" w:sz="0" w:space="0" w:color="auto"/>
          </w:divBdr>
          <w:divsChild>
            <w:div w:id="106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6769">
      <w:bodyDiv w:val="1"/>
      <w:marLeft w:val="0"/>
      <w:marRight w:val="0"/>
      <w:marTop w:val="0"/>
      <w:marBottom w:val="0"/>
      <w:divBdr>
        <w:top w:val="none" w:sz="0" w:space="0" w:color="auto"/>
        <w:left w:val="none" w:sz="0" w:space="0" w:color="auto"/>
        <w:bottom w:val="none" w:sz="0" w:space="0" w:color="auto"/>
        <w:right w:val="none" w:sz="0" w:space="0" w:color="auto"/>
      </w:divBdr>
      <w:divsChild>
        <w:div w:id="1800611683">
          <w:marLeft w:val="0"/>
          <w:marRight w:val="0"/>
          <w:marTop w:val="0"/>
          <w:marBottom w:val="0"/>
          <w:divBdr>
            <w:top w:val="none" w:sz="0" w:space="0" w:color="auto"/>
            <w:left w:val="none" w:sz="0" w:space="0" w:color="auto"/>
            <w:bottom w:val="none" w:sz="0" w:space="0" w:color="auto"/>
            <w:right w:val="none" w:sz="0" w:space="0" w:color="auto"/>
          </w:divBdr>
        </w:div>
        <w:div w:id="275453262">
          <w:marLeft w:val="0"/>
          <w:marRight w:val="0"/>
          <w:marTop w:val="0"/>
          <w:marBottom w:val="0"/>
          <w:divBdr>
            <w:top w:val="none" w:sz="0" w:space="0" w:color="auto"/>
            <w:left w:val="none" w:sz="0" w:space="0" w:color="auto"/>
            <w:bottom w:val="none" w:sz="0" w:space="0" w:color="auto"/>
            <w:right w:val="none" w:sz="0" w:space="0" w:color="auto"/>
          </w:divBdr>
        </w:div>
        <w:div w:id="1876962922">
          <w:marLeft w:val="0"/>
          <w:marRight w:val="0"/>
          <w:marTop w:val="0"/>
          <w:marBottom w:val="0"/>
          <w:divBdr>
            <w:top w:val="none" w:sz="0" w:space="0" w:color="auto"/>
            <w:left w:val="none" w:sz="0" w:space="0" w:color="auto"/>
            <w:bottom w:val="none" w:sz="0" w:space="0" w:color="auto"/>
            <w:right w:val="none" w:sz="0" w:space="0" w:color="auto"/>
          </w:divBdr>
        </w:div>
        <w:div w:id="1171069131">
          <w:marLeft w:val="0"/>
          <w:marRight w:val="0"/>
          <w:marTop w:val="0"/>
          <w:marBottom w:val="0"/>
          <w:divBdr>
            <w:top w:val="none" w:sz="0" w:space="0" w:color="auto"/>
            <w:left w:val="none" w:sz="0" w:space="0" w:color="auto"/>
            <w:bottom w:val="none" w:sz="0" w:space="0" w:color="auto"/>
            <w:right w:val="none" w:sz="0" w:space="0" w:color="auto"/>
          </w:divBdr>
          <w:divsChild>
            <w:div w:id="1221819616">
              <w:marLeft w:val="-75"/>
              <w:marRight w:val="0"/>
              <w:marTop w:val="30"/>
              <w:marBottom w:val="30"/>
              <w:divBdr>
                <w:top w:val="none" w:sz="0" w:space="0" w:color="auto"/>
                <w:left w:val="none" w:sz="0" w:space="0" w:color="auto"/>
                <w:bottom w:val="none" w:sz="0" w:space="0" w:color="auto"/>
                <w:right w:val="none" w:sz="0" w:space="0" w:color="auto"/>
              </w:divBdr>
              <w:divsChild>
                <w:div w:id="246889533">
                  <w:marLeft w:val="0"/>
                  <w:marRight w:val="0"/>
                  <w:marTop w:val="0"/>
                  <w:marBottom w:val="0"/>
                  <w:divBdr>
                    <w:top w:val="none" w:sz="0" w:space="0" w:color="auto"/>
                    <w:left w:val="none" w:sz="0" w:space="0" w:color="auto"/>
                    <w:bottom w:val="none" w:sz="0" w:space="0" w:color="auto"/>
                    <w:right w:val="none" w:sz="0" w:space="0" w:color="auto"/>
                  </w:divBdr>
                  <w:divsChild>
                    <w:div w:id="501430877">
                      <w:marLeft w:val="0"/>
                      <w:marRight w:val="0"/>
                      <w:marTop w:val="0"/>
                      <w:marBottom w:val="0"/>
                      <w:divBdr>
                        <w:top w:val="none" w:sz="0" w:space="0" w:color="auto"/>
                        <w:left w:val="none" w:sz="0" w:space="0" w:color="auto"/>
                        <w:bottom w:val="none" w:sz="0" w:space="0" w:color="auto"/>
                        <w:right w:val="none" w:sz="0" w:space="0" w:color="auto"/>
                      </w:divBdr>
                    </w:div>
                  </w:divsChild>
                </w:div>
                <w:div w:id="1660619651">
                  <w:marLeft w:val="0"/>
                  <w:marRight w:val="0"/>
                  <w:marTop w:val="0"/>
                  <w:marBottom w:val="0"/>
                  <w:divBdr>
                    <w:top w:val="none" w:sz="0" w:space="0" w:color="auto"/>
                    <w:left w:val="none" w:sz="0" w:space="0" w:color="auto"/>
                    <w:bottom w:val="none" w:sz="0" w:space="0" w:color="auto"/>
                    <w:right w:val="none" w:sz="0" w:space="0" w:color="auto"/>
                  </w:divBdr>
                  <w:divsChild>
                    <w:div w:id="480469134">
                      <w:marLeft w:val="0"/>
                      <w:marRight w:val="0"/>
                      <w:marTop w:val="0"/>
                      <w:marBottom w:val="0"/>
                      <w:divBdr>
                        <w:top w:val="none" w:sz="0" w:space="0" w:color="auto"/>
                        <w:left w:val="none" w:sz="0" w:space="0" w:color="auto"/>
                        <w:bottom w:val="none" w:sz="0" w:space="0" w:color="auto"/>
                        <w:right w:val="none" w:sz="0" w:space="0" w:color="auto"/>
                      </w:divBdr>
                    </w:div>
                    <w:div w:id="1410813813">
                      <w:marLeft w:val="0"/>
                      <w:marRight w:val="0"/>
                      <w:marTop w:val="0"/>
                      <w:marBottom w:val="0"/>
                      <w:divBdr>
                        <w:top w:val="none" w:sz="0" w:space="0" w:color="auto"/>
                        <w:left w:val="none" w:sz="0" w:space="0" w:color="auto"/>
                        <w:bottom w:val="none" w:sz="0" w:space="0" w:color="auto"/>
                        <w:right w:val="none" w:sz="0" w:space="0" w:color="auto"/>
                      </w:divBdr>
                    </w:div>
                  </w:divsChild>
                </w:div>
                <w:div w:id="549536587">
                  <w:marLeft w:val="0"/>
                  <w:marRight w:val="0"/>
                  <w:marTop w:val="0"/>
                  <w:marBottom w:val="0"/>
                  <w:divBdr>
                    <w:top w:val="none" w:sz="0" w:space="0" w:color="auto"/>
                    <w:left w:val="none" w:sz="0" w:space="0" w:color="auto"/>
                    <w:bottom w:val="none" w:sz="0" w:space="0" w:color="auto"/>
                    <w:right w:val="none" w:sz="0" w:space="0" w:color="auto"/>
                  </w:divBdr>
                  <w:divsChild>
                    <w:div w:id="772014288">
                      <w:marLeft w:val="0"/>
                      <w:marRight w:val="0"/>
                      <w:marTop w:val="0"/>
                      <w:marBottom w:val="0"/>
                      <w:divBdr>
                        <w:top w:val="none" w:sz="0" w:space="0" w:color="auto"/>
                        <w:left w:val="none" w:sz="0" w:space="0" w:color="auto"/>
                        <w:bottom w:val="none" w:sz="0" w:space="0" w:color="auto"/>
                        <w:right w:val="none" w:sz="0" w:space="0" w:color="auto"/>
                      </w:divBdr>
                    </w:div>
                    <w:div w:id="947152654">
                      <w:marLeft w:val="0"/>
                      <w:marRight w:val="0"/>
                      <w:marTop w:val="0"/>
                      <w:marBottom w:val="0"/>
                      <w:divBdr>
                        <w:top w:val="none" w:sz="0" w:space="0" w:color="auto"/>
                        <w:left w:val="none" w:sz="0" w:space="0" w:color="auto"/>
                        <w:bottom w:val="none" w:sz="0" w:space="0" w:color="auto"/>
                        <w:right w:val="none" w:sz="0" w:space="0" w:color="auto"/>
                      </w:divBdr>
                    </w:div>
                  </w:divsChild>
                </w:div>
                <w:div w:id="359430870">
                  <w:marLeft w:val="0"/>
                  <w:marRight w:val="0"/>
                  <w:marTop w:val="0"/>
                  <w:marBottom w:val="0"/>
                  <w:divBdr>
                    <w:top w:val="none" w:sz="0" w:space="0" w:color="auto"/>
                    <w:left w:val="none" w:sz="0" w:space="0" w:color="auto"/>
                    <w:bottom w:val="none" w:sz="0" w:space="0" w:color="auto"/>
                    <w:right w:val="none" w:sz="0" w:space="0" w:color="auto"/>
                  </w:divBdr>
                  <w:divsChild>
                    <w:div w:id="735711340">
                      <w:marLeft w:val="0"/>
                      <w:marRight w:val="0"/>
                      <w:marTop w:val="0"/>
                      <w:marBottom w:val="0"/>
                      <w:divBdr>
                        <w:top w:val="none" w:sz="0" w:space="0" w:color="auto"/>
                        <w:left w:val="none" w:sz="0" w:space="0" w:color="auto"/>
                        <w:bottom w:val="none" w:sz="0" w:space="0" w:color="auto"/>
                        <w:right w:val="none" w:sz="0" w:space="0" w:color="auto"/>
                      </w:divBdr>
                    </w:div>
                  </w:divsChild>
                </w:div>
                <w:div w:id="1664699245">
                  <w:marLeft w:val="0"/>
                  <w:marRight w:val="0"/>
                  <w:marTop w:val="0"/>
                  <w:marBottom w:val="0"/>
                  <w:divBdr>
                    <w:top w:val="none" w:sz="0" w:space="0" w:color="auto"/>
                    <w:left w:val="none" w:sz="0" w:space="0" w:color="auto"/>
                    <w:bottom w:val="none" w:sz="0" w:space="0" w:color="auto"/>
                    <w:right w:val="none" w:sz="0" w:space="0" w:color="auto"/>
                  </w:divBdr>
                  <w:divsChild>
                    <w:div w:id="238711955">
                      <w:marLeft w:val="0"/>
                      <w:marRight w:val="0"/>
                      <w:marTop w:val="0"/>
                      <w:marBottom w:val="0"/>
                      <w:divBdr>
                        <w:top w:val="none" w:sz="0" w:space="0" w:color="auto"/>
                        <w:left w:val="none" w:sz="0" w:space="0" w:color="auto"/>
                        <w:bottom w:val="none" w:sz="0" w:space="0" w:color="auto"/>
                        <w:right w:val="none" w:sz="0" w:space="0" w:color="auto"/>
                      </w:divBdr>
                    </w:div>
                  </w:divsChild>
                </w:div>
                <w:div w:id="394427164">
                  <w:marLeft w:val="0"/>
                  <w:marRight w:val="0"/>
                  <w:marTop w:val="0"/>
                  <w:marBottom w:val="0"/>
                  <w:divBdr>
                    <w:top w:val="none" w:sz="0" w:space="0" w:color="auto"/>
                    <w:left w:val="none" w:sz="0" w:space="0" w:color="auto"/>
                    <w:bottom w:val="none" w:sz="0" w:space="0" w:color="auto"/>
                    <w:right w:val="none" w:sz="0" w:space="0" w:color="auto"/>
                  </w:divBdr>
                  <w:divsChild>
                    <w:div w:id="595598118">
                      <w:marLeft w:val="0"/>
                      <w:marRight w:val="0"/>
                      <w:marTop w:val="0"/>
                      <w:marBottom w:val="0"/>
                      <w:divBdr>
                        <w:top w:val="none" w:sz="0" w:space="0" w:color="auto"/>
                        <w:left w:val="none" w:sz="0" w:space="0" w:color="auto"/>
                        <w:bottom w:val="none" w:sz="0" w:space="0" w:color="auto"/>
                        <w:right w:val="none" w:sz="0" w:space="0" w:color="auto"/>
                      </w:divBdr>
                    </w:div>
                  </w:divsChild>
                </w:div>
                <w:div w:id="756633846">
                  <w:marLeft w:val="0"/>
                  <w:marRight w:val="0"/>
                  <w:marTop w:val="0"/>
                  <w:marBottom w:val="0"/>
                  <w:divBdr>
                    <w:top w:val="none" w:sz="0" w:space="0" w:color="auto"/>
                    <w:left w:val="none" w:sz="0" w:space="0" w:color="auto"/>
                    <w:bottom w:val="none" w:sz="0" w:space="0" w:color="auto"/>
                    <w:right w:val="none" w:sz="0" w:space="0" w:color="auto"/>
                  </w:divBdr>
                  <w:divsChild>
                    <w:div w:id="308753042">
                      <w:marLeft w:val="0"/>
                      <w:marRight w:val="0"/>
                      <w:marTop w:val="0"/>
                      <w:marBottom w:val="0"/>
                      <w:divBdr>
                        <w:top w:val="none" w:sz="0" w:space="0" w:color="auto"/>
                        <w:left w:val="none" w:sz="0" w:space="0" w:color="auto"/>
                        <w:bottom w:val="none" w:sz="0" w:space="0" w:color="auto"/>
                        <w:right w:val="none" w:sz="0" w:space="0" w:color="auto"/>
                      </w:divBdr>
                    </w:div>
                  </w:divsChild>
                </w:div>
                <w:div w:id="577590850">
                  <w:marLeft w:val="0"/>
                  <w:marRight w:val="0"/>
                  <w:marTop w:val="0"/>
                  <w:marBottom w:val="0"/>
                  <w:divBdr>
                    <w:top w:val="none" w:sz="0" w:space="0" w:color="auto"/>
                    <w:left w:val="none" w:sz="0" w:space="0" w:color="auto"/>
                    <w:bottom w:val="none" w:sz="0" w:space="0" w:color="auto"/>
                    <w:right w:val="none" w:sz="0" w:space="0" w:color="auto"/>
                  </w:divBdr>
                  <w:divsChild>
                    <w:div w:id="437412070">
                      <w:marLeft w:val="0"/>
                      <w:marRight w:val="0"/>
                      <w:marTop w:val="0"/>
                      <w:marBottom w:val="0"/>
                      <w:divBdr>
                        <w:top w:val="none" w:sz="0" w:space="0" w:color="auto"/>
                        <w:left w:val="none" w:sz="0" w:space="0" w:color="auto"/>
                        <w:bottom w:val="none" w:sz="0" w:space="0" w:color="auto"/>
                        <w:right w:val="none" w:sz="0" w:space="0" w:color="auto"/>
                      </w:divBdr>
                    </w:div>
                    <w:div w:id="236325147">
                      <w:marLeft w:val="0"/>
                      <w:marRight w:val="0"/>
                      <w:marTop w:val="0"/>
                      <w:marBottom w:val="0"/>
                      <w:divBdr>
                        <w:top w:val="none" w:sz="0" w:space="0" w:color="auto"/>
                        <w:left w:val="none" w:sz="0" w:space="0" w:color="auto"/>
                        <w:bottom w:val="none" w:sz="0" w:space="0" w:color="auto"/>
                        <w:right w:val="none" w:sz="0" w:space="0" w:color="auto"/>
                      </w:divBdr>
                    </w:div>
                    <w:div w:id="1692489928">
                      <w:marLeft w:val="0"/>
                      <w:marRight w:val="0"/>
                      <w:marTop w:val="0"/>
                      <w:marBottom w:val="0"/>
                      <w:divBdr>
                        <w:top w:val="none" w:sz="0" w:space="0" w:color="auto"/>
                        <w:left w:val="none" w:sz="0" w:space="0" w:color="auto"/>
                        <w:bottom w:val="none" w:sz="0" w:space="0" w:color="auto"/>
                        <w:right w:val="none" w:sz="0" w:space="0" w:color="auto"/>
                      </w:divBdr>
                    </w:div>
                  </w:divsChild>
                </w:div>
                <w:div w:id="224992871">
                  <w:marLeft w:val="0"/>
                  <w:marRight w:val="0"/>
                  <w:marTop w:val="0"/>
                  <w:marBottom w:val="0"/>
                  <w:divBdr>
                    <w:top w:val="none" w:sz="0" w:space="0" w:color="auto"/>
                    <w:left w:val="none" w:sz="0" w:space="0" w:color="auto"/>
                    <w:bottom w:val="none" w:sz="0" w:space="0" w:color="auto"/>
                    <w:right w:val="none" w:sz="0" w:space="0" w:color="auto"/>
                  </w:divBdr>
                  <w:divsChild>
                    <w:div w:id="1234123204">
                      <w:marLeft w:val="0"/>
                      <w:marRight w:val="0"/>
                      <w:marTop w:val="0"/>
                      <w:marBottom w:val="0"/>
                      <w:divBdr>
                        <w:top w:val="none" w:sz="0" w:space="0" w:color="auto"/>
                        <w:left w:val="none" w:sz="0" w:space="0" w:color="auto"/>
                        <w:bottom w:val="none" w:sz="0" w:space="0" w:color="auto"/>
                        <w:right w:val="none" w:sz="0" w:space="0" w:color="auto"/>
                      </w:divBdr>
                    </w:div>
                    <w:div w:id="809401492">
                      <w:marLeft w:val="0"/>
                      <w:marRight w:val="0"/>
                      <w:marTop w:val="0"/>
                      <w:marBottom w:val="0"/>
                      <w:divBdr>
                        <w:top w:val="none" w:sz="0" w:space="0" w:color="auto"/>
                        <w:left w:val="none" w:sz="0" w:space="0" w:color="auto"/>
                        <w:bottom w:val="none" w:sz="0" w:space="0" w:color="auto"/>
                        <w:right w:val="none" w:sz="0" w:space="0" w:color="auto"/>
                      </w:divBdr>
                    </w:div>
                    <w:div w:id="1619990980">
                      <w:marLeft w:val="0"/>
                      <w:marRight w:val="0"/>
                      <w:marTop w:val="0"/>
                      <w:marBottom w:val="0"/>
                      <w:divBdr>
                        <w:top w:val="none" w:sz="0" w:space="0" w:color="auto"/>
                        <w:left w:val="none" w:sz="0" w:space="0" w:color="auto"/>
                        <w:bottom w:val="none" w:sz="0" w:space="0" w:color="auto"/>
                        <w:right w:val="none" w:sz="0" w:space="0" w:color="auto"/>
                      </w:divBdr>
                    </w:div>
                  </w:divsChild>
                </w:div>
                <w:div w:id="1360543668">
                  <w:marLeft w:val="0"/>
                  <w:marRight w:val="0"/>
                  <w:marTop w:val="0"/>
                  <w:marBottom w:val="0"/>
                  <w:divBdr>
                    <w:top w:val="none" w:sz="0" w:space="0" w:color="auto"/>
                    <w:left w:val="none" w:sz="0" w:space="0" w:color="auto"/>
                    <w:bottom w:val="none" w:sz="0" w:space="0" w:color="auto"/>
                    <w:right w:val="none" w:sz="0" w:space="0" w:color="auto"/>
                  </w:divBdr>
                  <w:divsChild>
                    <w:div w:id="1416127004">
                      <w:marLeft w:val="0"/>
                      <w:marRight w:val="0"/>
                      <w:marTop w:val="0"/>
                      <w:marBottom w:val="0"/>
                      <w:divBdr>
                        <w:top w:val="none" w:sz="0" w:space="0" w:color="auto"/>
                        <w:left w:val="none" w:sz="0" w:space="0" w:color="auto"/>
                        <w:bottom w:val="none" w:sz="0" w:space="0" w:color="auto"/>
                        <w:right w:val="none" w:sz="0" w:space="0" w:color="auto"/>
                      </w:divBdr>
                    </w:div>
                    <w:div w:id="2054228872">
                      <w:marLeft w:val="0"/>
                      <w:marRight w:val="0"/>
                      <w:marTop w:val="0"/>
                      <w:marBottom w:val="0"/>
                      <w:divBdr>
                        <w:top w:val="none" w:sz="0" w:space="0" w:color="auto"/>
                        <w:left w:val="none" w:sz="0" w:space="0" w:color="auto"/>
                        <w:bottom w:val="none" w:sz="0" w:space="0" w:color="auto"/>
                        <w:right w:val="none" w:sz="0" w:space="0" w:color="auto"/>
                      </w:divBdr>
                    </w:div>
                    <w:div w:id="1882668082">
                      <w:marLeft w:val="0"/>
                      <w:marRight w:val="0"/>
                      <w:marTop w:val="0"/>
                      <w:marBottom w:val="0"/>
                      <w:divBdr>
                        <w:top w:val="none" w:sz="0" w:space="0" w:color="auto"/>
                        <w:left w:val="none" w:sz="0" w:space="0" w:color="auto"/>
                        <w:bottom w:val="none" w:sz="0" w:space="0" w:color="auto"/>
                        <w:right w:val="none" w:sz="0" w:space="0" w:color="auto"/>
                      </w:divBdr>
                    </w:div>
                  </w:divsChild>
                </w:div>
                <w:div w:id="1016539200">
                  <w:marLeft w:val="0"/>
                  <w:marRight w:val="0"/>
                  <w:marTop w:val="0"/>
                  <w:marBottom w:val="0"/>
                  <w:divBdr>
                    <w:top w:val="none" w:sz="0" w:space="0" w:color="auto"/>
                    <w:left w:val="none" w:sz="0" w:space="0" w:color="auto"/>
                    <w:bottom w:val="none" w:sz="0" w:space="0" w:color="auto"/>
                    <w:right w:val="none" w:sz="0" w:space="0" w:color="auto"/>
                  </w:divBdr>
                  <w:divsChild>
                    <w:div w:id="64233045">
                      <w:marLeft w:val="0"/>
                      <w:marRight w:val="0"/>
                      <w:marTop w:val="0"/>
                      <w:marBottom w:val="0"/>
                      <w:divBdr>
                        <w:top w:val="none" w:sz="0" w:space="0" w:color="auto"/>
                        <w:left w:val="none" w:sz="0" w:space="0" w:color="auto"/>
                        <w:bottom w:val="none" w:sz="0" w:space="0" w:color="auto"/>
                        <w:right w:val="none" w:sz="0" w:space="0" w:color="auto"/>
                      </w:divBdr>
                    </w:div>
                  </w:divsChild>
                </w:div>
                <w:div w:id="360936682">
                  <w:marLeft w:val="0"/>
                  <w:marRight w:val="0"/>
                  <w:marTop w:val="0"/>
                  <w:marBottom w:val="0"/>
                  <w:divBdr>
                    <w:top w:val="none" w:sz="0" w:space="0" w:color="auto"/>
                    <w:left w:val="none" w:sz="0" w:space="0" w:color="auto"/>
                    <w:bottom w:val="none" w:sz="0" w:space="0" w:color="auto"/>
                    <w:right w:val="none" w:sz="0" w:space="0" w:color="auto"/>
                  </w:divBdr>
                  <w:divsChild>
                    <w:div w:id="1090153620">
                      <w:marLeft w:val="0"/>
                      <w:marRight w:val="0"/>
                      <w:marTop w:val="0"/>
                      <w:marBottom w:val="0"/>
                      <w:divBdr>
                        <w:top w:val="none" w:sz="0" w:space="0" w:color="auto"/>
                        <w:left w:val="none" w:sz="0" w:space="0" w:color="auto"/>
                        <w:bottom w:val="none" w:sz="0" w:space="0" w:color="auto"/>
                        <w:right w:val="none" w:sz="0" w:space="0" w:color="auto"/>
                      </w:divBdr>
                    </w:div>
                  </w:divsChild>
                </w:div>
                <w:div w:id="1008024530">
                  <w:marLeft w:val="0"/>
                  <w:marRight w:val="0"/>
                  <w:marTop w:val="0"/>
                  <w:marBottom w:val="0"/>
                  <w:divBdr>
                    <w:top w:val="none" w:sz="0" w:space="0" w:color="auto"/>
                    <w:left w:val="none" w:sz="0" w:space="0" w:color="auto"/>
                    <w:bottom w:val="none" w:sz="0" w:space="0" w:color="auto"/>
                    <w:right w:val="none" w:sz="0" w:space="0" w:color="auto"/>
                  </w:divBdr>
                  <w:divsChild>
                    <w:div w:id="1447458612">
                      <w:marLeft w:val="0"/>
                      <w:marRight w:val="0"/>
                      <w:marTop w:val="0"/>
                      <w:marBottom w:val="0"/>
                      <w:divBdr>
                        <w:top w:val="none" w:sz="0" w:space="0" w:color="auto"/>
                        <w:left w:val="none" w:sz="0" w:space="0" w:color="auto"/>
                        <w:bottom w:val="none" w:sz="0" w:space="0" w:color="auto"/>
                        <w:right w:val="none" w:sz="0" w:space="0" w:color="auto"/>
                      </w:divBdr>
                    </w:div>
                  </w:divsChild>
                </w:div>
                <w:div w:id="1336688749">
                  <w:marLeft w:val="0"/>
                  <w:marRight w:val="0"/>
                  <w:marTop w:val="0"/>
                  <w:marBottom w:val="0"/>
                  <w:divBdr>
                    <w:top w:val="none" w:sz="0" w:space="0" w:color="auto"/>
                    <w:left w:val="none" w:sz="0" w:space="0" w:color="auto"/>
                    <w:bottom w:val="none" w:sz="0" w:space="0" w:color="auto"/>
                    <w:right w:val="none" w:sz="0" w:space="0" w:color="auto"/>
                  </w:divBdr>
                  <w:divsChild>
                    <w:div w:id="297998386">
                      <w:marLeft w:val="0"/>
                      <w:marRight w:val="0"/>
                      <w:marTop w:val="0"/>
                      <w:marBottom w:val="0"/>
                      <w:divBdr>
                        <w:top w:val="none" w:sz="0" w:space="0" w:color="auto"/>
                        <w:left w:val="none" w:sz="0" w:space="0" w:color="auto"/>
                        <w:bottom w:val="none" w:sz="0" w:space="0" w:color="auto"/>
                        <w:right w:val="none" w:sz="0" w:space="0" w:color="auto"/>
                      </w:divBdr>
                    </w:div>
                  </w:divsChild>
                </w:div>
                <w:div w:id="1338193193">
                  <w:marLeft w:val="0"/>
                  <w:marRight w:val="0"/>
                  <w:marTop w:val="0"/>
                  <w:marBottom w:val="0"/>
                  <w:divBdr>
                    <w:top w:val="none" w:sz="0" w:space="0" w:color="auto"/>
                    <w:left w:val="none" w:sz="0" w:space="0" w:color="auto"/>
                    <w:bottom w:val="none" w:sz="0" w:space="0" w:color="auto"/>
                    <w:right w:val="none" w:sz="0" w:space="0" w:color="auto"/>
                  </w:divBdr>
                  <w:divsChild>
                    <w:div w:id="675427667">
                      <w:marLeft w:val="0"/>
                      <w:marRight w:val="0"/>
                      <w:marTop w:val="0"/>
                      <w:marBottom w:val="0"/>
                      <w:divBdr>
                        <w:top w:val="none" w:sz="0" w:space="0" w:color="auto"/>
                        <w:left w:val="none" w:sz="0" w:space="0" w:color="auto"/>
                        <w:bottom w:val="none" w:sz="0" w:space="0" w:color="auto"/>
                        <w:right w:val="none" w:sz="0" w:space="0" w:color="auto"/>
                      </w:divBdr>
                    </w:div>
                  </w:divsChild>
                </w:div>
                <w:div w:id="1153915266">
                  <w:marLeft w:val="0"/>
                  <w:marRight w:val="0"/>
                  <w:marTop w:val="0"/>
                  <w:marBottom w:val="0"/>
                  <w:divBdr>
                    <w:top w:val="none" w:sz="0" w:space="0" w:color="auto"/>
                    <w:left w:val="none" w:sz="0" w:space="0" w:color="auto"/>
                    <w:bottom w:val="none" w:sz="0" w:space="0" w:color="auto"/>
                    <w:right w:val="none" w:sz="0" w:space="0" w:color="auto"/>
                  </w:divBdr>
                  <w:divsChild>
                    <w:div w:id="31611941">
                      <w:marLeft w:val="0"/>
                      <w:marRight w:val="0"/>
                      <w:marTop w:val="0"/>
                      <w:marBottom w:val="0"/>
                      <w:divBdr>
                        <w:top w:val="none" w:sz="0" w:space="0" w:color="auto"/>
                        <w:left w:val="none" w:sz="0" w:space="0" w:color="auto"/>
                        <w:bottom w:val="none" w:sz="0" w:space="0" w:color="auto"/>
                        <w:right w:val="none" w:sz="0" w:space="0" w:color="auto"/>
                      </w:divBdr>
                    </w:div>
                    <w:div w:id="136143221">
                      <w:marLeft w:val="0"/>
                      <w:marRight w:val="0"/>
                      <w:marTop w:val="0"/>
                      <w:marBottom w:val="0"/>
                      <w:divBdr>
                        <w:top w:val="none" w:sz="0" w:space="0" w:color="auto"/>
                        <w:left w:val="none" w:sz="0" w:space="0" w:color="auto"/>
                        <w:bottom w:val="none" w:sz="0" w:space="0" w:color="auto"/>
                        <w:right w:val="none" w:sz="0" w:space="0" w:color="auto"/>
                      </w:divBdr>
                    </w:div>
                    <w:div w:id="1480340724">
                      <w:marLeft w:val="0"/>
                      <w:marRight w:val="0"/>
                      <w:marTop w:val="0"/>
                      <w:marBottom w:val="0"/>
                      <w:divBdr>
                        <w:top w:val="none" w:sz="0" w:space="0" w:color="auto"/>
                        <w:left w:val="none" w:sz="0" w:space="0" w:color="auto"/>
                        <w:bottom w:val="none" w:sz="0" w:space="0" w:color="auto"/>
                        <w:right w:val="none" w:sz="0" w:space="0" w:color="auto"/>
                      </w:divBdr>
                    </w:div>
                    <w:div w:id="11304907">
                      <w:marLeft w:val="0"/>
                      <w:marRight w:val="0"/>
                      <w:marTop w:val="0"/>
                      <w:marBottom w:val="0"/>
                      <w:divBdr>
                        <w:top w:val="none" w:sz="0" w:space="0" w:color="auto"/>
                        <w:left w:val="none" w:sz="0" w:space="0" w:color="auto"/>
                        <w:bottom w:val="none" w:sz="0" w:space="0" w:color="auto"/>
                        <w:right w:val="none" w:sz="0" w:space="0" w:color="auto"/>
                      </w:divBdr>
                    </w:div>
                  </w:divsChild>
                </w:div>
                <w:div w:id="352998712">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0"/>
                      <w:divBdr>
                        <w:top w:val="none" w:sz="0" w:space="0" w:color="auto"/>
                        <w:left w:val="none" w:sz="0" w:space="0" w:color="auto"/>
                        <w:bottom w:val="none" w:sz="0" w:space="0" w:color="auto"/>
                        <w:right w:val="none" w:sz="0" w:space="0" w:color="auto"/>
                      </w:divBdr>
                    </w:div>
                    <w:div w:id="4211185">
                      <w:marLeft w:val="0"/>
                      <w:marRight w:val="0"/>
                      <w:marTop w:val="0"/>
                      <w:marBottom w:val="0"/>
                      <w:divBdr>
                        <w:top w:val="none" w:sz="0" w:space="0" w:color="auto"/>
                        <w:left w:val="none" w:sz="0" w:space="0" w:color="auto"/>
                        <w:bottom w:val="none" w:sz="0" w:space="0" w:color="auto"/>
                        <w:right w:val="none" w:sz="0" w:space="0" w:color="auto"/>
                      </w:divBdr>
                    </w:div>
                    <w:div w:id="1353410049">
                      <w:marLeft w:val="0"/>
                      <w:marRight w:val="0"/>
                      <w:marTop w:val="0"/>
                      <w:marBottom w:val="0"/>
                      <w:divBdr>
                        <w:top w:val="none" w:sz="0" w:space="0" w:color="auto"/>
                        <w:left w:val="none" w:sz="0" w:space="0" w:color="auto"/>
                        <w:bottom w:val="none" w:sz="0" w:space="0" w:color="auto"/>
                        <w:right w:val="none" w:sz="0" w:space="0" w:color="auto"/>
                      </w:divBdr>
                    </w:div>
                    <w:div w:id="1827159752">
                      <w:marLeft w:val="0"/>
                      <w:marRight w:val="0"/>
                      <w:marTop w:val="0"/>
                      <w:marBottom w:val="0"/>
                      <w:divBdr>
                        <w:top w:val="none" w:sz="0" w:space="0" w:color="auto"/>
                        <w:left w:val="none" w:sz="0" w:space="0" w:color="auto"/>
                        <w:bottom w:val="none" w:sz="0" w:space="0" w:color="auto"/>
                        <w:right w:val="none" w:sz="0" w:space="0" w:color="auto"/>
                      </w:divBdr>
                    </w:div>
                  </w:divsChild>
                </w:div>
                <w:div w:id="672072757">
                  <w:marLeft w:val="0"/>
                  <w:marRight w:val="0"/>
                  <w:marTop w:val="0"/>
                  <w:marBottom w:val="0"/>
                  <w:divBdr>
                    <w:top w:val="none" w:sz="0" w:space="0" w:color="auto"/>
                    <w:left w:val="none" w:sz="0" w:space="0" w:color="auto"/>
                    <w:bottom w:val="none" w:sz="0" w:space="0" w:color="auto"/>
                    <w:right w:val="none" w:sz="0" w:space="0" w:color="auto"/>
                  </w:divBdr>
                  <w:divsChild>
                    <w:div w:id="1474567146">
                      <w:marLeft w:val="0"/>
                      <w:marRight w:val="0"/>
                      <w:marTop w:val="0"/>
                      <w:marBottom w:val="0"/>
                      <w:divBdr>
                        <w:top w:val="none" w:sz="0" w:space="0" w:color="auto"/>
                        <w:left w:val="none" w:sz="0" w:space="0" w:color="auto"/>
                        <w:bottom w:val="none" w:sz="0" w:space="0" w:color="auto"/>
                        <w:right w:val="none" w:sz="0" w:space="0" w:color="auto"/>
                      </w:divBdr>
                    </w:div>
                    <w:div w:id="2031451394">
                      <w:marLeft w:val="0"/>
                      <w:marRight w:val="0"/>
                      <w:marTop w:val="0"/>
                      <w:marBottom w:val="0"/>
                      <w:divBdr>
                        <w:top w:val="none" w:sz="0" w:space="0" w:color="auto"/>
                        <w:left w:val="none" w:sz="0" w:space="0" w:color="auto"/>
                        <w:bottom w:val="none" w:sz="0" w:space="0" w:color="auto"/>
                        <w:right w:val="none" w:sz="0" w:space="0" w:color="auto"/>
                      </w:divBdr>
                    </w:div>
                    <w:div w:id="1359963703">
                      <w:marLeft w:val="0"/>
                      <w:marRight w:val="0"/>
                      <w:marTop w:val="0"/>
                      <w:marBottom w:val="0"/>
                      <w:divBdr>
                        <w:top w:val="none" w:sz="0" w:space="0" w:color="auto"/>
                        <w:left w:val="none" w:sz="0" w:space="0" w:color="auto"/>
                        <w:bottom w:val="none" w:sz="0" w:space="0" w:color="auto"/>
                        <w:right w:val="none" w:sz="0" w:space="0" w:color="auto"/>
                      </w:divBdr>
                    </w:div>
                    <w:div w:id="1702515936">
                      <w:marLeft w:val="0"/>
                      <w:marRight w:val="0"/>
                      <w:marTop w:val="0"/>
                      <w:marBottom w:val="0"/>
                      <w:divBdr>
                        <w:top w:val="none" w:sz="0" w:space="0" w:color="auto"/>
                        <w:left w:val="none" w:sz="0" w:space="0" w:color="auto"/>
                        <w:bottom w:val="none" w:sz="0" w:space="0" w:color="auto"/>
                        <w:right w:val="none" w:sz="0" w:space="0" w:color="auto"/>
                      </w:divBdr>
                    </w:div>
                  </w:divsChild>
                </w:div>
                <w:div w:id="524752917">
                  <w:marLeft w:val="0"/>
                  <w:marRight w:val="0"/>
                  <w:marTop w:val="0"/>
                  <w:marBottom w:val="0"/>
                  <w:divBdr>
                    <w:top w:val="none" w:sz="0" w:space="0" w:color="auto"/>
                    <w:left w:val="none" w:sz="0" w:space="0" w:color="auto"/>
                    <w:bottom w:val="none" w:sz="0" w:space="0" w:color="auto"/>
                    <w:right w:val="none" w:sz="0" w:space="0" w:color="auto"/>
                  </w:divBdr>
                  <w:divsChild>
                    <w:div w:id="1543328411">
                      <w:marLeft w:val="0"/>
                      <w:marRight w:val="0"/>
                      <w:marTop w:val="0"/>
                      <w:marBottom w:val="0"/>
                      <w:divBdr>
                        <w:top w:val="none" w:sz="0" w:space="0" w:color="auto"/>
                        <w:left w:val="none" w:sz="0" w:space="0" w:color="auto"/>
                        <w:bottom w:val="none" w:sz="0" w:space="0" w:color="auto"/>
                        <w:right w:val="none" w:sz="0" w:space="0" w:color="auto"/>
                      </w:divBdr>
                    </w:div>
                  </w:divsChild>
                </w:div>
                <w:div w:id="915167692">
                  <w:marLeft w:val="0"/>
                  <w:marRight w:val="0"/>
                  <w:marTop w:val="0"/>
                  <w:marBottom w:val="0"/>
                  <w:divBdr>
                    <w:top w:val="none" w:sz="0" w:space="0" w:color="auto"/>
                    <w:left w:val="none" w:sz="0" w:space="0" w:color="auto"/>
                    <w:bottom w:val="none" w:sz="0" w:space="0" w:color="auto"/>
                    <w:right w:val="none" w:sz="0" w:space="0" w:color="auto"/>
                  </w:divBdr>
                  <w:divsChild>
                    <w:div w:id="1531186776">
                      <w:marLeft w:val="0"/>
                      <w:marRight w:val="0"/>
                      <w:marTop w:val="0"/>
                      <w:marBottom w:val="0"/>
                      <w:divBdr>
                        <w:top w:val="none" w:sz="0" w:space="0" w:color="auto"/>
                        <w:left w:val="none" w:sz="0" w:space="0" w:color="auto"/>
                        <w:bottom w:val="none" w:sz="0" w:space="0" w:color="auto"/>
                        <w:right w:val="none" w:sz="0" w:space="0" w:color="auto"/>
                      </w:divBdr>
                    </w:div>
                    <w:div w:id="1088116329">
                      <w:marLeft w:val="0"/>
                      <w:marRight w:val="0"/>
                      <w:marTop w:val="0"/>
                      <w:marBottom w:val="0"/>
                      <w:divBdr>
                        <w:top w:val="none" w:sz="0" w:space="0" w:color="auto"/>
                        <w:left w:val="none" w:sz="0" w:space="0" w:color="auto"/>
                        <w:bottom w:val="none" w:sz="0" w:space="0" w:color="auto"/>
                        <w:right w:val="none" w:sz="0" w:space="0" w:color="auto"/>
                      </w:divBdr>
                    </w:div>
                    <w:div w:id="646862158">
                      <w:marLeft w:val="0"/>
                      <w:marRight w:val="0"/>
                      <w:marTop w:val="0"/>
                      <w:marBottom w:val="0"/>
                      <w:divBdr>
                        <w:top w:val="none" w:sz="0" w:space="0" w:color="auto"/>
                        <w:left w:val="none" w:sz="0" w:space="0" w:color="auto"/>
                        <w:bottom w:val="none" w:sz="0" w:space="0" w:color="auto"/>
                        <w:right w:val="none" w:sz="0" w:space="0" w:color="auto"/>
                      </w:divBdr>
                    </w:div>
                  </w:divsChild>
                </w:div>
                <w:div w:id="1672445912">
                  <w:marLeft w:val="0"/>
                  <w:marRight w:val="0"/>
                  <w:marTop w:val="0"/>
                  <w:marBottom w:val="0"/>
                  <w:divBdr>
                    <w:top w:val="none" w:sz="0" w:space="0" w:color="auto"/>
                    <w:left w:val="none" w:sz="0" w:space="0" w:color="auto"/>
                    <w:bottom w:val="none" w:sz="0" w:space="0" w:color="auto"/>
                    <w:right w:val="none" w:sz="0" w:space="0" w:color="auto"/>
                  </w:divBdr>
                  <w:divsChild>
                    <w:div w:id="16589116">
                      <w:marLeft w:val="0"/>
                      <w:marRight w:val="0"/>
                      <w:marTop w:val="0"/>
                      <w:marBottom w:val="0"/>
                      <w:divBdr>
                        <w:top w:val="none" w:sz="0" w:space="0" w:color="auto"/>
                        <w:left w:val="none" w:sz="0" w:space="0" w:color="auto"/>
                        <w:bottom w:val="none" w:sz="0" w:space="0" w:color="auto"/>
                        <w:right w:val="none" w:sz="0" w:space="0" w:color="auto"/>
                      </w:divBdr>
                    </w:div>
                    <w:div w:id="2040620392">
                      <w:marLeft w:val="0"/>
                      <w:marRight w:val="0"/>
                      <w:marTop w:val="0"/>
                      <w:marBottom w:val="0"/>
                      <w:divBdr>
                        <w:top w:val="none" w:sz="0" w:space="0" w:color="auto"/>
                        <w:left w:val="none" w:sz="0" w:space="0" w:color="auto"/>
                        <w:bottom w:val="none" w:sz="0" w:space="0" w:color="auto"/>
                        <w:right w:val="none" w:sz="0" w:space="0" w:color="auto"/>
                      </w:divBdr>
                    </w:div>
                    <w:div w:id="2120366030">
                      <w:marLeft w:val="0"/>
                      <w:marRight w:val="0"/>
                      <w:marTop w:val="0"/>
                      <w:marBottom w:val="0"/>
                      <w:divBdr>
                        <w:top w:val="none" w:sz="0" w:space="0" w:color="auto"/>
                        <w:left w:val="none" w:sz="0" w:space="0" w:color="auto"/>
                        <w:bottom w:val="none" w:sz="0" w:space="0" w:color="auto"/>
                        <w:right w:val="none" w:sz="0" w:space="0" w:color="auto"/>
                      </w:divBdr>
                    </w:div>
                  </w:divsChild>
                </w:div>
                <w:div w:id="1260068146">
                  <w:marLeft w:val="0"/>
                  <w:marRight w:val="0"/>
                  <w:marTop w:val="0"/>
                  <w:marBottom w:val="0"/>
                  <w:divBdr>
                    <w:top w:val="none" w:sz="0" w:space="0" w:color="auto"/>
                    <w:left w:val="none" w:sz="0" w:space="0" w:color="auto"/>
                    <w:bottom w:val="none" w:sz="0" w:space="0" w:color="auto"/>
                    <w:right w:val="none" w:sz="0" w:space="0" w:color="auto"/>
                  </w:divBdr>
                  <w:divsChild>
                    <w:div w:id="508639651">
                      <w:marLeft w:val="0"/>
                      <w:marRight w:val="0"/>
                      <w:marTop w:val="0"/>
                      <w:marBottom w:val="0"/>
                      <w:divBdr>
                        <w:top w:val="none" w:sz="0" w:space="0" w:color="auto"/>
                        <w:left w:val="none" w:sz="0" w:space="0" w:color="auto"/>
                        <w:bottom w:val="none" w:sz="0" w:space="0" w:color="auto"/>
                        <w:right w:val="none" w:sz="0" w:space="0" w:color="auto"/>
                      </w:divBdr>
                    </w:div>
                    <w:div w:id="997804004">
                      <w:marLeft w:val="0"/>
                      <w:marRight w:val="0"/>
                      <w:marTop w:val="0"/>
                      <w:marBottom w:val="0"/>
                      <w:divBdr>
                        <w:top w:val="none" w:sz="0" w:space="0" w:color="auto"/>
                        <w:left w:val="none" w:sz="0" w:space="0" w:color="auto"/>
                        <w:bottom w:val="none" w:sz="0" w:space="0" w:color="auto"/>
                        <w:right w:val="none" w:sz="0" w:space="0" w:color="auto"/>
                      </w:divBdr>
                    </w:div>
                    <w:div w:id="260770205">
                      <w:marLeft w:val="0"/>
                      <w:marRight w:val="0"/>
                      <w:marTop w:val="0"/>
                      <w:marBottom w:val="0"/>
                      <w:divBdr>
                        <w:top w:val="none" w:sz="0" w:space="0" w:color="auto"/>
                        <w:left w:val="none" w:sz="0" w:space="0" w:color="auto"/>
                        <w:bottom w:val="none" w:sz="0" w:space="0" w:color="auto"/>
                        <w:right w:val="none" w:sz="0" w:space="0" w:color="auto"/>
                      </w:divBdr>
                    </w:div>
                  </w:divsChild>
                </w:div>
                <w:div w:id="980422327">
                  <w:marLeft w:val="0"/>
                  <w:marRight w:val="0"/>
                  <w:marTop w:val="0"/>
                  <w:marBottom w:val="0"/>
                  <w:divBdr>
                    <w:top w:val="none" w:sz="0" w:space="0" w:color="auto"/>
                    <w:left w:val="none" w:sz="0" w:space="0" w:color="auto"/>
                    <w:bottom w:val="none" w:sz="0" w:space="0" w:color="auto"/>
                    <w:right w:val="none" w:sz="0" w:space="0" w:color="auto"/>
                  </w:divBdr>
                  <w:divsChild>
                    <w:div w:id="125317045">
                      <w:marLeft w:val="0"/>
                      <w:marRight w:val="0"/>
                      <w:marTop w:val="0"/>
                      <w:marBottom w:val="0"/>
                      <w:divBdr>
                        <w:top w:val="none" w:sz="0" w:space="0" w:color="auto"/>
                        <w:left w:val="none" w:sz="0" w:space="0" w:color="auto"/>
                        <w:bottom w:val="none" w:sz="0" w:space="0" w:color="auto"/>
                        <w:right w:val="none" w:sz="0" w:space="0" w:color="auto"/>
                      </w:divBdr>
                    </w:div>
                  </w:divsChild>
                </w:div>
                <w:div w:id="1069154408">
                  <w:marLeft w:val="0"/>
                  <w:marRight w:val="0"/>
                  <w:marTop w:val="0"/>
                  <w:marBottom w:val="0"/>
                  <w:divBdr>
                    <w:top w:val="none" w:sz="0" w:space="0" w:color="auto"/>
                    <w:left w:val="none" w:sz="0" w:space="0" w:color="auto"/>
                    <w:bottom w:val="none" w:sz="0" w:space="0" w:color="auto"/>
                    <w:right w:val="none" w:sz="0" w:space="0" w:color="auto"/>
                  </w:divBdr>
                  <w:divsChild>
                    <w:div w:id="76481928">
                      <w:marLeft w:val="0"/>
                      <w:marRight w:val="0"/>
                      <w:marTop w:val="0"/>
                      <w:marBottom w:val="0"/>
                      <w:divBdr>
                        <w:top w:val="none" w:sz="0" w:space="0" w:color="auto"/>
                        <w:left w:val="none" w:sz="0" w:space="0" w:color="auto"/>
                        <w:bottom w:val="none" w:sz="0" w:space="0" w:color="auto"/>
                        <w:right w:val="none" w:sz="0" w:space="0" w:color="auto"/>
                      </w:divBdr>
                    </w:div>
                  </w:divsChild>
                </w:div>
                <w:div w:id="289554631">
                  <w:marLeft w:val="0"/>
                  <w:marRight w:val="0"/>
                  <w:marTop w:val="0"/>
                  <w:marBottom w:val="0"/>
                  <w:divBdr>
                    <w:top w:val="none" w:sz="0" w:space="0" w:color="auto"/>
                    <w:left w:val="none" w:sz="0" w:space="0" w:color="auto"/>
                    <w:bottom w:val="none" w:sz="0" w:space="0" w:color="auto"/>
                    <w:right w:val="none" w:sz="0" w:space="0" w:color="auto"/>
                  </w:divBdr>
                  <w:divsChild>
                    <w:div w:id="688219470">
                      <w:marLeft w:val="0"/>
                      <w:marRight w:val="0"/>
                      <w:marTop w:val="0"/>
                      <w:marBottom w:val="0"/>
                      <w:divBdr>
                        <w:top w:val="none" w:sz="0" w:space="0" w:color="auto"/>
                        <w:left w:val="none" w:sz="0" w:space="0" w:color="auto"/>
                        <w:bottom w:val="none" w:sz="0" w:space="0" w:color="auto"/>
                        <w:right w:val="none" w:sz="0" w:space="0" w:color="auto"/>
                      </w:divBdr>
                    </w:div>
                  </w:divsChild>
                </w:div>
                <w:div w:id="1550844227">
                  <w:marLeft w:val="0"/>
                  <w:marRight w:val="0"/>
                  <w:marTop w:val="0"/>
                  <w:marBottom w:val="0"/>
                  <w:divBdr>
                    <w:top w:val="none" w:sz="0" w:space="0" w:color="auto"/>
                    <w:left w:val="none" w:sz="0" w:space="0" w:color="auto"/>
                    <w:bottom w:val="none" w:sz="0" w:space="0" w:color="auto"/>
                    <w:right w:val="none" w:sz="0" w:space="0" w:color="auto"/>
                  </w:divBdr>
                  <w:divsChild>
                    <w:div w:id="800222888">
                      <w:marLeft w:val="0"/>
                      <w:marRight w:val="0"/>
                      <w:marTop w:val="0"/>
                      <w:marBottom w:val="0"/>
                      <w:divBdr>
                        <w:top w:val="none" w:sz="0" w:space="0" w:color="auto"/>
                        <w:left w:val="none" w:sz="0" w:space="0" w:color="auto"/>
                        <w:bottom w:val="none" w:sz="0" w:space="0" w:color="auto"/>
                        <w:right w:val="none" w:sz="0" w:space="0" w:color="auto"/>
                      </w:divBdr>
                    </w:div>
                  </w:divsChild>
                </w:div>
                <w:div w:id="250894809">
                  <w:marLeft w:val="0"/>
                  <w:marRight w:val="0"/>
                  <w:marTop w:val="0"/>
                  <w:marBottom w:val="0"/>
                  <w:divBdr>
                    <w:top w:val="none" w:sz="0" w:space="0" w:color="auto"/>
                    <w:left w:val="none" w:sz="0" w:space="0" w:color="auto"/>
                    <w:bottom w:val="none" w:sz="0" w:space="0" w:color="auto"/>
                    <w:right w:val="none" w:sz="0" w:space="0" w:color="auto"/>
                  </w:divBdr>
                  <w:divsChild>
                    <w:div w:id="1898082105">
                      <w:marLeft w:val="0"/>
                      <w:marRight w:val="0"/>
                      <w:marTop w:val="0"/>
                      <w:marBottom w:val="0"/>
                      <w:divBdr>
                        <w:top w:val="none" w:sz="0" w:space="0" w:color="auto"/>
                        <w:left w:val="none" w:sz="0" w:space="0" w:color="auto"/>
                        <w:bottom w:val="none" w:sz="0" w:space="0" w:color="auto"/>
                        <w:right w:val="none" w:sz="0" w:space="0" w:color="auto"/>
                      </w:divBdr>
                    </w:div>
                  </w:divsChild>
                </w:div>
                <w:div w:id="1069305834">
                  <w:marLeft w:val="0"/>
                  <w:marRight w:val="0"/>
                  <w:marTop w:val="0"/>
                  <w:marBottom w:val="0"/>
                  <w:divBdr>
                    <w:top w:val="none" w:sz="0" w:space="0" w:color="auto"/>
                    <w:left w:val="none" w:sz="0" w:space="0" w:color="auto"/>
                    <w:bottom w:val="none" w:sz="0" w:space="0" w:color="auto"/>
                    <w:right w:val="none" w:sz="0" w:space="0" w:color="auto"/>
                  </w:divBdr>
                  <w:divsChild>
                    <w:div w:id="84351101">
                      <w:marLeft w:val="0"/>
                      <w:marRight w:val="0"/>
                      <w:marTop w:val="0"/>
                      <w:marBottom w:val="0"/>
                      <w:divBdr>
                        <w:top w:val="none" w:sz="0" w:space="0" w:color="auto"/>
                        <w:left w:val="none" w:sz="0" w:space="0" w:color="auto"/>
                        <w:bottom w:val="none" w:sz="0" w:space="0" w:color="auto"/>
                        <w:right w:val="none" w:sz="0" w:space="0" w:color="auto"/>
                      </w:divBdr>
                    </w:div>
                    <w:div w:id="90900683">
                      <w:marLeft w:val="0"/>
                      <w:marRight w:val="0"/>
                      <w:marTop w:val="0"/>
                      <w:marBottom w:val="0"/>
                      <w:divBdr>
                        <w:top w:val="none" w:sz="0" w:space="0" w:color="auto"/>
                        <w:left w:val="none" w:sz="0" w:space="0" w:color="auto"/>
                        <w:bottom w:val="none" w:sz="0" w:space="0" w:color="auto"/>
                        <w:right w:val="none" w:sz="0" w:space="0" w:color="auto"/>
                      </w:divBdr>
                    </w:div>
                    <w:div w:id="1391029164">
                      <w:marLeft w:val="0"/>
                      <w:marRight w:val="0"/>
                      <w:marTop w:val="0"/>
                      <w:marBottom w:val="0"/>
                      <w:divBdr>
                        <w:top w:val="none" w:sz="0" w:space="0" w:color="auto"/>
                        <w:left w:val="none" w:sz="0" w:space="0" w:color="auto"/>
                        <w:bottom w:val="none" w:sz="0" w:space="0" w:color="auto"/>
                        <w:right w:val="none" w:sz="0" w:space="0" w:color="auto"/>
                      </w:divBdr>
                    </w:div>
                    <w:div w:id="992414105">
                      <w:marLeft w:val="0"/>
                      <w:marRight w:val="0"/>
                      <w:marTop w:val="0"/>
                      <w:marBottom w:val="0"/>
                      <w:divBdr>
                        <w:top w:val="none" w:sz="0" w:space="0" w:color="auto"/>
                        <w:left w:val="none" w:sz="0" w:space="0" w:color="auto"/>
                        <w:bottom w:val="none" w:sz="0" w:space="0" w:color="auto"/>
                        <w:right w:val="none" w:sz="0" w:space="0" w:color="auto"/>
                      </w:divBdr>
                    </w:div>
                  </w:divsChild>
                </w:div>
                <w:div w:id="1530412481">
                  <w:marLeft w:val="0"/>
                  <w:marRight w:val="0"/>
                  <w:marTop w:val="0"/>
                  <w:marBottom w:val="0"/>
                  <w:divBdr>
                    <w:top w:val="none" w:sz="0" w:space="0" w:color="auto"/>
                    <w:left w:val="none" w:sz="0" w:space="0" w:color="auto"/>
                    <w:bottom w:val="none" w:sz="0" w:space="0" w:color="auto"/>
                    <w:right w:val="none" w:sz="0" w:space="0" w:color="auto"/>
                  </w:divBdr>
                  <w:divsChild>
                    <w:div w:id="1684211515">
                      <w:marLeft w:val="0"/>
                      <w:marRight w:val="0"/>
                      <w:marTop w:val="0"/>
                      <w:marBottom w:val="0"/>
                      <w:divBdr>
                        <w:top w:val="none" w:sz="0" w:space="0" w:color="auto"/>
                        <w:left w:val="none" w:sz="0" w:space="0" w:color="auto"/>
                        <w:bottom w:val="none" w:sz="0" w:space="0" w:color="auto"/>
                        <w:right w:val="none" w:sz="0" w:space="0" w:color="auto"/>
                      </w:divBdr>
                    </w:div>
                    <w:div w:id="1623345488">
                      <w:marLeft w:val="0"/>
                      <w:marRight w:val="0"/>
                      <w:marTop w:val="0"/>
                      <w:marBottom w:val="0"/>
                      <w:divBdr>
                        <w:top w:val="none" w:sz="0" w:space="0" w:color="auto"/>
                        <w:left w:val="none" w:sz="0" w:space="0" w:color="auto"/>
                        <w:bottom w:val="none" w:sz="0" w:space="0" w:color="auto"/>
                        <w:right w:val="none" w:sz="0" w:space="0" w:color="auto"/>
                      </w:divBdr>
                    </w:div>
                    <w:div w:id="821508458">
                      <w:marLeft w:val="0"/>
                      <w:marRight w:val="0"/>
                      <w:marTop w:val="0"/>
                      <w:marBottom w:val="0"/>
                      <w:divBdr>
                        <w:top w:val="none" w:sz="0" w:space="0" w:color="auto"/>
                        <w:left w:val="none" w:sz="0" w:space="0" w:color="auto"/>
                        <w:bottom w:val="none" w:sz="0" w:space="0" w:color="auto"/>
                        <w:right w:val="none" w:sz="0" w:space="0" w:color="auto"/>
                      </w:divBdr>
                    </w:div>
                    <w:div w:id="566107841">
                      <w:marLeft w:val="0"/>
                      <w:marRight w:val="0"/>
                      <w:marTop w:val="0"/>
                      <w:marBottom w:val="0"/>
                      <w:divBdr>
                        <w:top w:val="none" w:sz="0" w:space="0" w:color="auto"/>
                        <w:left w:val="none" w:sz="0" w:space="0" w:color="auto"/>
                        <w:bottom w:val="none" w:sz="0" w:space="0" w:color="auto"/>
                        <w:right w:val="none" w:sz="0" w:space="0" w:color="auto"/>
                      </w:divBdr>
                    </w:div>
                  </w:divsChild>
                </w:div>
                <w:div w:id="2103792119">
                  <w:marLeft w:val="0"/>
                  <w:marRight w:val="0"/>
                  <w:marTop w:val="0"/>
                  <w:marBottom w:val="0"/>
                  <w:divBdr>
                    <w:top w:val="none" w:sz="0" w:space="0" w:color="auto"/>
                    <w:left w:val="none" w:sz="0" w:space="0" w:color="auto"/>
                    <w:bottom w:val="none" w:sz="0" w:space="0" w:color="auto"/>
                    <w:right w:val="none" w:sz="0" w:space="0" w:color="auto"/>
                  </w:divBdr>
                  <w:divsChild>
                    <w:div w:id="537544939">
                      <w:marLeft w:val="0"/>
                      <w:marRight w:val="0"/>
                      <w:marTop w:val="0"/>
                      <w:marBottom w:val="0"/>
                      <w:divBdr>
                        <w:top w:val="none" w:sz="0" w:space="0" w:color="auto"/>
                        <w:left w:val="none" w:sz="0" w:space="0" w:color="auto"/>
                        <w:bottom w:val="none" w:sz="0" w:space="0" w:color="auto"/>
                        <w:right w:val="none" w:sz="0" w:space="0" w:color="auto"/>
                      </w:divBdr>
                    </w:div>
                    <w:div w:id="232088667">
                      <w:marLeft w:val="0"/>
                      <w:marRight w:val="0"/>
                      <w:marTop w:val="0"/>
                      <w:marBottom w:val="0"/>
                      <w:divBdr>
                        <w:top w:val="none" w:sz="0" w:space="0" w:color="auto"/>
                        <w:left w:val="none" w:sz="0" w:space="0" w:color="auto"/>
                        <w:bottom w:val="none" w:sz="0" w:space="0" w:color="auto"/>
                        <w:right w:val="none" w:sz="0" w:space="0" w:color="auto"/>
                      </w:divBdr>
                    </w:div>
                    <w:div w:id="211040530">
                      <w:marLeft w:val="0"/>
                      <w:marRight w:val="0"/>
                      <w:marTop w:val="0"/>
                      <w:marBottom w:val="0"/>
                      <w:divBdr>
                        <w:top w:val="none" w:sz="0" w:space="0" w:color="auto"/>
                        <w:left w:val="none" w:sz="0" w:space="0" w:color="auto"/>
                        <w:bottom w:val="none" w:sz="0" w:space="0" w:color="auto"/>
                        <w:right w:val="none" w:sz="0" w:space="0" w:color="auto"/>
                      </w:divBdr>
                    </w:div>
                    <w:div w:id="20853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32191">
          <w:marLeft w:val="0"/>
          <w:marRight w:val="0"/>
          <w:marTop w:val="0"/>
          <w:marBottom w:val="0"/>
          <w:divBdr>
            <w:top w:val="none" w:sz="0" w:space="0" w:color="auto"/>
            <w:left w:val="none" w:sz="0" w:space="0" w:color="auto"/>
            <w:bottom w:val="none" w:sz="0" w:space="0" w:color="auto"/>
            <w:right w:val="none" w:sz="0" w:space="0" w:color="auto"/>
          </w:divBdr>
        </w:div>
        <w:div w:id="70809325">
          <w:marLeft w:val="0"/>
          <w:marRight w:val="0"/>
          <w:marTop w:val="0"/>
          <w:marBottom w:val="0"/>
          <w:divBdr>
            <w:top w:val="none" w:sz="0" w:space="0" w:color="auto"/>
            <w:left w:val="none" w:sz="0" w:space="0" w:color="auto"/>
            <w:bottom w:val="none" w:sz="0" w:space="0" w:color="auto"/>
            <w:right w:val="none" w:sz="0" w:space="0" w:color="auto"/>
          </w:divBdr>
        </w:div>
      </w:divsChild>
    </w:div>
    <w:div w:id="417871850">
      <w:bodyDiv w:val="1"/>
      <w:marLeft w:val="0"/>
      <w:marRight w:val="0"/>
      <w:marTop w:val="0"/>
      <w:marBottom w:val="0"/>
      <w:divBdr>
        <w:top w:val="none" w:sz="0" w:space="0" w:color="auto"/>
        <w:left w:val="none" w:sz="0" w:space="0" w:color="auto"/>
        <w:bottom w:val="none" w:sz="0" w:space="0" w:color="auto"/>
        <w:right w:val="none" w:sz="0" w:space="0" w:color="auto"/>
      </w:divBdr>
      <w:divsChild>
        <w:div w:id="248735702">
          <w:marLeft w:val="0"/>
          <w:marRight w:val="0"/>
          <w:marTop w:val="0"/>
          <w:marBottom w:val="0"/>
          <w:divBdr>
            <w:top w:val="none" w:sz="0" w:space="0" w:color="auto"/>
            <w:left w:val="none" w:sz="0" w:space="0" w:color="auto"/>
            <w:bottom w:val="none" w:sz="0" w:space="0" w:color="auto"/>
            <w:right w:val="none" w:sz="0" w:space="0" w:color="auto"/>
          </w:divBdr>
        </w:div>
        <w:div w:id="767386996">
          <w:marLeft w:val="0"/>
          <w:marRight w:val="0"/>
          <w:marTop w:val="0"/>
          <w:marBottom w:val="0"/>
          <w:divBdr>
            <w:top w:val="none" w:sz="0" w:space="0" w:color="auto"/>
            <w:left w:val="none" w:sz="0" w:space="0" w:color="auto"/>
            <w:bottom w:val="none" w:sz="0" w:space="0" w:color="auto"/>
            <w:right w:val="none" w:sz="0" w:space="0" w:color="auto"/>
          </w:divBdr>
        </w:div>
        <w:div w:id="831605042">
          <w:marLeft w:val="0"/>
          <w:marRight w:val="0"/>
          <w:marTop w:val="0"/>
          <w:marBottom w:val="0"/>
          <w:divBdr>
            <w:top w:val="none" w:sz="0" w:space="0" w:color="auto"/>
            <w:left w:val="none" w:sz="0" w:space="0" w:color="auto"/>
            <w:bottom w:val="none" w:sz="0" w:space="0" w:color="auto"/>
            <w:right w:val="none" w:sz="0" w:space="0" w:color="auto"/>
          </w:divBdr>
        </w:div>
        <w:div w:id="424620340">
          <w:marLeft w:val="0"/>
          <w:marRight w:val="0"/>
          <w:marTop w:val="0"/>
          <w:marBottom w:val="0"/>
          <w:divBdr>
            <w:top w:val="none" w:sz="0" w:space="0" w:color="auto"/>
            <w:left w:val="none" w:sz="0" w:space="0" w:color="auto"/>
            <w:bottom w:val="none" w:sz="0" w:space="0" w:color="auto"/>
            <w:right w:val="none" w:sz="0" w:space="0" w:color="auto"/>
          </w:divBdr>
        </w:div>
        <w:div w:id="566961670">
          <w:marLeft w:val="0"/>
          <w:marRight w:val="0"/>
          <w:marTop w:val="0"/>
          <w:marBottom w:val="0"/>
          <w:divBdr>
            <w:top w:val="none" w:sz="0" w:space="0" w:color="auto"/>
            <w:left w:val="none" w:sz="0" w:space="0" w:color="auto"/>
            <w:bottom w:val="none" w:sz="0" w:space="0" w:color="auto"/>
            <w:right w:val="none" w:sz="0" w:space="0" w:color="auto"/>
          </w:divBdr>
        </w:div>
        <w:div w:id="1292203780">
          <w:marLeft w:val="0"/>
          <w:marRight w:val="0"/>
          <w:marTop w:val="0"/>
          <w:marBottom w:val="0"/>
          <w:divBdr>
            <w:top w:val="none" w:sz="0" w:space="0" w:color="auto"/>
            <w:left w:val="none" w:sz="0" w:space="0" w:color="auto"/>
            <w:bottom w:val="none" w:sz="0" w:space="0" w:color="auto"/>
            <w:right w:val="none" w:sz="0" w:space="0" w:color="auto"/>
          </w:divBdr>
        </w:div>
        <w:div w:id="9529226">
          <w:marLeft w:val="0"/>
          <w:marRight w:val="0"/>
          <w:marTop w:val="0"/>
          <w:marBottom w:val="0"/>
          <w:divBdr>
            <w:top w:val="none" w:sz="0" w:space="0" w:color="auto"/>
            <w:left w:val="none" w:sz="0" w:space="0" w:color="auto"/>
            <w:bottom w:val="none" w:sz="0" w:space="0" w:color="auto"/>
            <w:right w:val="none" w:sz="0" w:space="0" w:color="auto"/>
          </w:divBdr>
        </w:div>
        <w:div w:id="820271917">
          <w:marLeft w:val="0"/>
          <w:marRight w:val="0"/>
          <w:marTop w:val="0"/>
          <w:marBottom w:val="0"/>
          <w:divBdr>
            <w:top w:val="none" w:sz="0" w:space="0" w:color="auto"/>
            <w:left w:val="none" w:sz="0" w:space="0" w:color="auto"/>
            <w:bottom w:val="none" w:sz="0" w:space="0" w:color="auto"/>
            <w:right w:val="none" w:sz="0" w:space="0" w:color="auto"/>
          </w:divBdr>
        </w:div>
        <w:div w:id="1988705336">
          <w:marLeft w:val="0"/>
          <w:marRight w:val="0"/>
          <w:marTop w:val="0"/>
          <w:marBottom w:val="0"/>
          <w:divBdr>
            <w:top w:val="none" w:sz="0" w:space="0" w:color="auto"/>
            <w:left w:val="none" w:sz="0" w:space="0" w:color="auto"/>
            <w:bottom w:val="none" w:sz="0" w:space="0" w:color="auto"/>
            <w:right w:val="none" w:sz="0" w:space="0" w:color="auto"/>
          </w:divBdr>
        </w:div>
        <w:div w:id="1305697945">
          <w:marLeft w:val="0"/>
          <w:marRight w:val="0"/>
          <w:marTop w:val="0"/>
          <w:marBottom w:val="0"/>
          <w:divBdr>
            <w:top w:val="none" w:sz="0" w:space="0" w:color="auto"/>
            <w:left w:val="none" w:sz="0" w:space="0" w:color="auto"/>
            <w:bottom w:val="none" w:sz="0" w:space="0" w:color="auto"/>
            <w:right w:val="none" w:sz="0" w:space="0" w:color="auto"/>
          </w:divBdr>
        </w:div>
        <w:div w:id="826675212">
          <w:marLeft w:val="0"/>
          <w:marRight w:val="0"/>
          <w:marTop w:val="0"/>
          <w:marBottom w:val="0"/>
          <w:divBdr>
            <w:top w:val="none" w:sz="0" w:space="0" w:color="auto"/>
            <w:left w:val="none" w:sz="0" w:space="0" w:color="auto"/>
            <w:bottom w:val="none" w:sz="0" w:space="0" w:color="auto"/>
            <w:right w:val="none" w:sz="0" w:space="0" w:color="auto"/>
          </w:divBdr>
        </w:div>
        <w:div w:id="720439577">
          <w:marLeft w:val="0"/>
          <w:marRight w:val="0"/>
          <w:marTop w:val="0"/>
          <w:marBottom w:val="0"/>
          <w:divBdr>
            <w:top w:val="none" w:sz="0" w:space="0" w:color="auto"/>
            <w:left w:val="none" w:sz="0" w:space="0" w:color="auto"/>
            <w:bottom w:val="none" w:sz="0" w:space="0" w:color="auto"/>
            <w:right w:val="none" w:sz="0" w:space="0" w:color="auto"/>
          </w:divBdr>
        </w:div>
      </w:divsChild>
    </w:div>
    <w:div w:id="425007778">
      <w:bodyDiv w:val="1"/>
      <w:marLeft w:val="0"/>
      <w:marRight w:val="0"/>
      <w:marTop w:val="0"/>
      <w:marBottom w:val="0"/>
      <w:divBdr>
        <w:top w:val="none" w:sz="0" w:space="0" w:color="auto"/>
        <w:left w:val="none" w:sz="0" w:space="0" w:color="auto"/>
        <w:bottom w:val="none" w:sz="0" w:space="0" w:color="auto"/>
        <w:right w:val="none" w:sz="0" w:space="0" w:color="auto"/>
      </w:divBdr>
      <w:divsChild>
        <w:div w:id="1062757698">
          <w:marLeft w:val="0"/>
          <w:marRight w:val="0"/>
          <w:marTop w:val="0"/>
          <w:marBottom w:val="0"/>
          <w:divBdr>
            <w:top w:val="none" w:sz="0" w:space="0" w:color="auto"/>
            <w:left w:val="none" w:sz="0" w:space="0" w:color="auto"/>
            <w:bottom w:val="none" w:sz="0" w:space="0" w:color="auto"/>
            <w:right w:val="none" w:sz="0" w:space="0" w:color="auto"/>
          </w:divBdr>
        </w:div>
        <w:div w:id="1814368498">
          <w:marLeft w:val="0"/>
          <w:marRight w:val="0"/>
          <w:marTop w:val="0"/>
          <w:marBottom w:val="0"/>
          <w:divBdr>
            <w:top w:val="none" w:sz="0" w:space="0" w:color="auto"/>
            <w:left w:val="none" w:sz="0" w:space="0" w:color="auto"/>
            <w:bottom w:val="none" w:sz="0" w:space="0" w:color="auto"/>
            <w:right w:val="none" w:sz="0" w:space="0" w:color="auto"/>
          </w:divBdr>
        </w:div>
        <w:div w:id="894311537">
          <w:marLeft w:val="0"/>
          <w:marRight w:val="0"/>
          <w:marTop w:val="0"/>
          <w:marBottom w:val="0"/>
          <w:divBdr>
            <w:top w:val="none" w:sz="0" w:space="0" w:color="auto"/>
            <w:left w:val="none" w:sz="0" w:space="0" w:color="auto"/>
            <w:bottom w:val="none" w:sz="0" w:space="0" w:color="auto"/>
            <w:right w:val="none" w:sz="0" w:space="0" w:color="auto"/>
          </w:divBdr>
        </w:div>
      </w:divsChild>
    </w:div>
    <w:div w:id="480538522">
      <w:bodyDiv w:val="1"/>
      <w:marLeft w:val="0"/>
      <w:marRight w:val="0"/>
      <w:marTop w:val="0"/>
      <w:marBottom w:val="0"/>
      <w:divBdr>
        <w:top w:val="none" w:sz="0" w:space="0" w:color="auto"/>
        <w:left w:val="none" w:sz="0" w:space="0" w:color="auto"/>
        <w:bottom w:val="none" w:sz="0" w:space="0" w:color="auto"/>
        <w:right w:val="none" w:sz="0" w:space="0" w:color="auto"/>
      </w:divBdr>
    </w:div>
    <w:div w:id="488207833">
      <w:bodyDiv w:val="1"/>
      <w:marLeft w:val="0"/>
      <w:marRight w:val="0"/>
      <w:marTop w:val="0"/>
      <w:marBottom w:val="0"/>
      <w:divBdr>
        <w:top w:val="none" w:sz="0" w:space="0" w:color="auto"/>
        <w:left w:val="none" w:sz="0" w:space="0" w:color="auto"/>
        <w:bottom w:val="none" w:sz="0" w:space="0" w:color="auto"/>
        <w:right w:val="none" w:sz="0" w:space="0" w:color="auto"/>
      </w:divBdr>
    </w:div>
    <w:div w:id="504520029">
      <w:bodyDiv w:val="1"/>
      <w:marLeft w:val="0"/>
      <w:marRight w:val="0"/>
      <w:marTop w:val="0"/>
      <w:marBottom w:val="0"/>
      <w:divBdr>
        <w:top w:val="none" w:sz="0" w:space="0" w:color="auto"/>
        <w:left w:val="none" w:sz="0" w:space="0" w:color="auto"/>
        <w:bottom w:val="none" w:sz="0" w:space="0" w:color="auto"/>
        <w:right w:val="none" w:sz="0" w:space="0" w:color="auto"/>
      </w:divBdr>
      <w:divsChild>
        <w:div w:id="1756590425">
          <w:marLeft w:val="0"/>
          <w:marRight w:val="0"/>
          <w:marTop w:val="0"/>
          <w:marBottom w:val="0"/>
          <w:divBdr>
            <w:top w:val="none" w:sz="0" w:space="0" w:color="auto"/>
            <w:left w:val="none" w:sz="0" w:space="0" w:color="auto"/>
            <w:bottom w:val="none" w:sz="0" w:space="0" w:color="auto"/>
            <w:right w:val="none" w:sz="0" w:space="0" w:color="auto"/>
          </w:divBdr>
        </w:div>
        <w:div w:id="81609577">
          <w:marLeft w:val="0"/>
          <w:marRight w:val="0"/>
          <w:marTop w:val="0"/>
          <w:marBottom w:val="0"/>
          <w:divBdr>
            <w:top w:val="none" w:sz="0" w:space="0" w:color="auto"/>
            <w:left w:val="none" w:sz="0" w:space="0" w:color="auto"/>
            <w:bottom w:val="none" w:sz="0" w:space="0" w:color="auto"/>
            <w:right w:val="none" w:sz="0" w:space="0" w:color="auto"/>
          </w:divBdr>
          <w:divsChild>
            <w:div w:id="679889108">
              <w:marLeft w:val="-75"/>
              <w:marRight w:val="0"/>
              <w:marTop w:val="30"/>
              <w:marBottom w:val="30"/>
              <w:divBdr>
                <w:top w:val="none" w:sz="0" w:space="0" w:color="auto"/>
                <w:left w:val="none" w:sz="0" w:space="0" w:color="auto"/>
                <w:bottom w:val="none" w:sz="0" w:space="0" w:color="auto"/>
                <w:right w:val="none" w:sz="0" w:space="0" w:color="auto"/>
              </w:divBdr>
              <w:divsChild>
                <w:div w:id="2106068327">
                  <w:marLeft w:val="0"/>
                  <w:marRight w:val="0"/>
                  <w:marTop w:val="0"/>
                  <w:marBottom w:val="0"/>
                  <w:divBdr>
                    <w:top w:val="none" w:sz="0" w:space="0" w:color="auto"/>
                    <w:left w:val="none" w:sz="0" w:space="0" w:color="auto"/>
                    <w:bottom w:val="none" w:sz="0" w:space="0" w:color="auto"/>
                    <w:right w:val="none" w:sz="0" w:space="0" w:color="auto"/>
                  </w:divBdr>
                  <w:divsChild>
                    <w:div w:id="117646725">
                      <w:marLeft w:val="0"/>
                      <w:marRight w:val="0"/>
                      <w:marTop w:val="0"/>
                      <w:marBottom w:val="0"/>
                      <w:divBdr>
                        <w:top w:val="none" w:sz="0" w:space="0" w:color="auto"/>
                        <w:left w:val="none" w:sz="0" w:space="0" w:color="auto"/>
                        <w:bottom w:val="none" w:sz="0" w:space="0" w:color="auto"/>
                        <w:right w:val="none" w:sz="0" w:space="0" w:color="auto"/>
                      </w:divBdr>
                    </w:div>
                  </w:divsChild>
                </w:div>
                <w:div w:id="1406100693">
                  <w:marLeft w:val="0"/>
                  <w:marRight w:val="0"/>
                  <w:marTop w:val="0"/>
                  <w:marBottom w:val="0"/>
                  <w:divBdr>
                    <w:top w:val="none" w:sz="0" w:space="0" w:color="auto"/>
                    <w:left w:val="none" w:sz="0" w:space="0" w:color="auto"/>
                    <w:bottom w:val="none" w:sz="0" w:space="0" w:color="auto"/>
                    <w:right w:val="none" w:sz="0" w:space="0" w:color="auto"/>
                  </w:divBdr>
                  <w:divsChild>
                    <w:div w:id="896671772">
                      <w:marLeft w:val="0"/>
                      <w:marRight w:val="0"/>
                      <w:marTop w:val="0"/>
                      <w:marBottom w:val="0"/>
                      <w:divBdr>
                        <w:top w:val="none" w:sz="0" w:space="0" w:color="auto"/>
                        <w:left w:val="none" w:sz="0" w:space="0" w:color="auto"/>
                        <w:bottom w:val="none" w:sz="0" w:space="0" w:color="auto"/>
                        <w:right w:val="none" w:sz="0" w:space="0" w:color="auto"/>
                      </w:divBdr>
                    </w:div>
                  </w:divsChild>
                </w:div>
                <w:div w:id="1297031130">
                  <w:marLeft w:val="0"/>
                  <w:marRight w:val="0"/>
                  <w:marTop w:val="0"/>
                  <w:marBottom w:val="0"/>
                  <w:divBdr>
                    <w:top w:val="none" w:sz="0" w:space="0" w:color="auto"/>
                    <w:left w:val="none" w:sz="0" w:space="0" w:color="auto"/>
                    <w:bottom w:val="none" w:sz="0" w:space="0" w:color="auto"/>
                    <w:right w:val="none" w:sz="0" w:space="0" w:color="auto"/>
                  </w:divBdr>
                  <w:divsChild>
                    <w:div w:id="1425414658">
                      <w:marLeft w:val="0"/>
                      <w:marRight w:val="0"/>
                      <w:marTop w:val="0"/>
                      <w:marBottom w:val="0"/>
                      <w:divBdr>
                        <w:top w:val="none" w:sz="0" w:space="0" w:color="auto"/>
                        <w:left w:val="none" w:sz="0" w:space="0" w:color="auto"/>
                        <w:bottom w:val="none" w:sz="0" w:space="0" w:color="auto"/>
                        <w:right w:val="none" w:sz="0" w:space="0" w:color="auto"/>
                      </w:divBdr>
                    </w:div>
                  </w:divsChild>
                </w:div>
                <w:div w:id="2110352690">
                  <w:marLeft w:val="0"/>
                  <w:marRight w:val="0"/>
                  <w:marTop w:val="0"/>
                  <w:marBottom w:val="0"/>
                  <w:divBdr>
                    <w:top w:val="none" w:sz="0" w:space="0" w:color="auto"/>
                    <w:left w:val="none" w:sz="0" w:space="0" w:color="auto"/>
                    <w:bottom w:val="none" w:sz="0" w:space="0" w:color="auto"/>
                    <w:right w:val="none" w:sz="0" w:space="0" w:color="auto"/>
                  </w:divBdr>
                  <w:divsChild>
                    <w:div w:id="1884823197">
                      <w:marLeft w:val="0"/>
                      <w:marRight w:val="0"/>
                      <w:marTop w:val="0"/>
                      <w:marBottom w:val="0"/>
                      <w:divBdr>
                        <w:top w:val="none" w:sz="0" w:space="0" w:color="auto"/>
                        <w:left w:val="none" w:sz="0" w:space="0" w:color="auto"/>
                        <w:bottom w:val="none" w:sz="0" w:space="0" w:color="auto"/>
                        <w:right w:val="none" w:sz="0" w:space="0" w:color="auto"/>
                      </w:divBdr>
                    </w:div>
                  </w:divsChild>
                </w:div>
                <w:div w:id="924076513">
                  <w:marLeft w:val="0"/>
                  <w:marRight w:val="0"/>
                  <w:marTop w:val="0"/>
                  <w:marBottom w:val="0"/>
                  <w:divBdr>
                    <w:top w:val="none" w:sz="0" w:space="0" w:color="auto"/>
                    <w:left w:val="none" w:sz="0" w:space="0" w:color="auto"/>
                    <w:bottom w:val="none" w:sz="0" w:space="0" w:color="auto"/>
                    <w:right w:val="none" w:sz="0" w:space="0" w:color="auto"/>
                  </w:divBdr>
                  <w:divsChild>
                    <w:div w:id="1310599509">
                      <w:marLeft w:val="0"/>
                      <w:marRight w:val="0"/>
                      <w:marTop w:val="0"/>
                      <w:marBottom w:val="0"/>
                      <w:divBdr>
                        <w:top w:val="none" w:sz="0" w:space="0" w:color="auto"/>
                        <w:left w:val="none" w:sz="0" w:space="0" w:color="auto"/>
                        <w:bottom w:val="none" w:sz="0" w:space="0" w:color="auto"/>
                        <w:right w:val="none" w:sz="0" w:space="0" w:color="auto"/>
                      </w:divBdr>
                    </w:div>
                    <w:div w:id="859321242">
                      <w:marLeft w:val="0"/>
                      <w:marRight w:val="0"/>
                      <w:marTop w:val="0"/>
                      <w:marBottom w:val="0"/>
                      <w:divBdr>
                        <w:top w:val="none" w:sz="0" w:space="0" w:color="auto"/>
                        <w:left w:val="none" w:sz="0" w:space="0" w:color="auto"/>
                        <w:bottom w:val="none" w:sz="0" w:space="0" w:color="auto"/>
                        <w:right w:val="none" w:sz="0" w:space="0" w:color="auto"/>
                      </w:divBdr>
                    </w:div>
                  </w:divsChild>
                </w:div>
                <w:div w:id="95174117">
                  <w:marLeft w:val="0"/>
                  <w:marRight w:val="0"/>
                  <w:marTop w:val="0"/>
                  <w:marBottom w:val="0"/>
                  <w:divBdr>
                    <w:top w:val="none" w:sz="0" w:space="0" w:color="auto"/>
                    <w:left w:val="none" w:sz="0" w:space="0" w:color="auto"/>
                    <w:bottom w:val="none" w:sz="0" w:space="0" w:color="auto"/>
                    <w:right w:val="none" w:sz="0" w:space="0" w:color="auto"/>
                  </w:divBdr>
                  <w:divsChild>
                    <w:div w:id="1808933142">
                      <w:marLeft w:val="0"/>
                      <w:marRight w:val="0"/>
                      <w:marTop w:val="0"/>
                      <w:marBottom w:val="0"/>
                      <w:divBdr>
                        <w:top w:val="none" w:sz="0" w:space="0" w:color="auto"/>
                        <w:left w:val="none" w:sz="0" w:space="0" w:color="auto"/>
                        <w:bottom w:val="none" w:sz="0" w:space="0" w:color="auto"/>
                        <w:right w:val="none" w:sz="0" w:space="0" w:color="auto"/>
                      </w:divBdr>
                    </w:div>
                    <w:div w:id="1505126821">
                      <w:marLeft w:val="0"/>
                      <w:marRight w:val="0"/>
                      <w:marTop w:val="0"/>
                      <w:marBottom w:val="0"/>
                      <w:divBdr>
                        <w:top w:val="none" w:sz="0" w:space="0" w:color="auto"/>
                        <w:left w:val="none" w:sz="0" w:space="0" w:color="auto"/>
                        <w:bottom w:val="none" w:sz="0" w:space="0" w:color="auto"/>
                        <w:right w:val="none" w:sz="0" w:space="0" w:color="auto"/>
                      </w:divBdr>
                    </w:div>
                  </w:divsChild>
                </w:div>
                <w:div w:id="611135842">
                  <w:marLeft w:val="0"/>
                  <w:marRight w:val="0"/>
                  <w:marTop w:val="0"/>
                  <w:marBottom w:val="0"/>
                  <w:divBdr>
                    <w:top w:val="none" w:sz="0" w:space="0" w:color="auto"/>
                    <w:left w:val="none" w:sz="0" w:space="0" w:color="auto"/>
                    <w:bottom w:val="none" w:sz="0" w:space="0" w:color="auto"/>
                    <w:right w:val="none" w:sz="0" w:space="0" w:color="auto"/>
                  </w:divBdr>
                  <w:divsChild>
                    <w:div w:id="276451441">
                      <w:marLeft w:val="0"/>
                      <w:marRight w:val="0"/>
                      <w:marTop w:val="0"/>
                      <w:marBottom w:val="0"/>
                      <w:divBdr>
                        <w:top w:val="none" w:sz="0" w:space="0" w:color="auto"/>
                        <w:left w:val="none" w:sz="0" w:space="0" w:color="auto"/>
                        <w:bottom w:val="none" w:sz="0" w:space="0" w:color="auto"/>
                        <w:right w:val="none" w:sz="0" w:space="0" w:color="auto"/>
                      </w:divBdr>
                    </w:div>
                  </w:divsChild>
                </w:div>
                <w:div w:id="1835754134">
                  <w:marLeft w:val="0"/>
                  <w:marRight w:val="0"/>
                  <w:marTop w:val="0"/>
                  <w:marBottom w:val="0"/>
                  <w:divBdr>
                    <w:top w:val="none" w:sz="0" w:space="0" w:color="auto"/>
                    <w:left w:val="none" w:sz="0" w:space="0" w:color="auto"/>
                    <w:bottom w:val="none" w:sz="0" w:space="0" w:color="auto"/>
                    <w:right w:val="none" w:sz="0" w:space="0" w:color="auto"/>
                  </w:divBdr>
                  <w:divsChild>
                    <w:div w:id="264654062">
                      <w:marLeft w:val="0"/>
                      <w:marRight w:val="0"/>
                      <w:marTop w:val="0"/>
                      <w:marBottom w:val="0"/>
                      <w:divBdr>
                        <w:top w:val="none" w:sz="0" w:space="0" w:color="auto"/>
                        <w:left w:val="none" w:sz="0" w:space="0" w:color="auto"/>
                        <w:bottom w:val="none" w:sz="0" w:space="0" w:color="auto"/>
                        <w:right w:val="none" w:sz="0" w:space="0" w:color="auto"/>
                      </w:divBdr>
                    </w:div>
                    <w:div w:id="1534808212">
                      <w:marLeft w:val="0"/>
                      <w:marRight w:val="0"/>
                      <w:marTop w:val="0"/>
                      <w:marBottom w:val="0"/>
                      <w:divBdr>
                        <w:top w:val="none" w:sz="0" w:space="0" w:color="auto"/>
                        <w:left w:val="none" w:sz="0" w:space="0" w:color="auto"/>
                        <w:bottom w:val="none" w:sz="0" w:space="0" w:color="auto"/>
                        <w:right w:val="none" w:sz="0" w:space="0" w:color="auto"/>
                      </w:divBdr>
                    </w:div>
                  </w:divsChild>
                </w:div>
                <w:div w:id="673917061">
                  <w:marLeft w:val="0"/>
                  <w:marRight w:val="0"/>
                  <w:marTop w:val="0"/>
                  <w:marBottom w:val="0"/>
                  <w:divBdr>
                    <w:top w:val="none" w:sz="0" w:space="0" w:color="auto"/>
                    <w:left w:val="none" w:sz="0" w:space="0" w:color="auto"/>
                    <w:bottom w:val="none" w:sz="0" w:space="0" w:color="auto"/>
                    <w:right w:val="none" w:sz="0" w:space="0" w:color="auto"/>
                  </w:divBdr>
                  <w:divsChild>
                    <w:div w:id="970747249">
                      <w:marLeft w:val="0"/>
                      <w:marRight w:val="0"/>
                      <w:marTop w:val="0"/>
                      <w:marBottom w:val="0"/>
                      <w:divBdr>
                        <w:top w:val="none" w:sz="0" w:space="0" w:color="auto"/>
                        <w:left w:val="none" w:sz="0" w:space="0" w:color="auto"/>
                        <w:bottom w:val="none" w:sz="0" w:space="0" w:color="auto"/>
                        <w:right w:val="none" w:sz="0" w:space="0" w:color="auto"/>
                      </w:divBdr>
                    </w:div>
                    <w:div w:id="957948508">
                      <w:marLeft w:val="0"/>
                      <w:marRight w:val="0"/>
                      <w:marTop w:val="0"/>
                      <w:marBottom w:val="0"/>
                      <w:divBdr>
                        <w:top w:val="none" w:sz="0" w:space="0" w:color="auto"/>
                        <w:left w:val="none" w:sz="0" w:space="0" w:color="auto"/>
                        <w:bottom w:val="none" w:sz="0" w:space="0" w:color="auto"/>
                        <w:right w:val="none" w:sz="0" w:space="0" w:color="auto"/>
                      </w:divBdr>
                    </w:div>
                  </w:divsChild>
                </w:div>
                <w:div w:id="2079865461">
                  <w:marLeft w:val="0"/>
                  <w:marRight w:val="0"/>
                  <w:marTop w:val="0"/>
                  <w:marBottom w:val="0"/>
                  <w:divBdr>
                    <w:top w:val="none" w:sz="0" w:space="0" w:color="auto"/>
                    <w:left w:val="none" w:sz="0" w:space="0" w:color="auto"/>
                    <w:bottom w:val="none" w:sz="0" w:space="0" w:color="auto"/>
                    <w:right w:val="none" w:sz="0" w:space="0" w:color="auto"/>
                  </w:divBdr>
                  <w:divsChild>
                    <w:div w:id="309483639">
                      <w:marLeft w:val="0"/>
                      <w:marRight w:val="0"/>
                      <w:marTop w:val="0"/>
                      <w:marBottom w:val="0"/>
                      <w:divBdr>
                        <w:top w:val="none" w:sz="0" w:space="0" w:color="auto"/>
                        <w:left w:val="none" w:sz="0" w:space="0" w:color="auto"/>
                        <w:bottom w:val="none" w:sz="0" w:space="0" w:color="auto"/>
                        <w:right w:val="none" w:sz="0" w:space="0" w:color="auto"/>
                      </w:divBdr>
                    </w:div>
                  </w:divsChild>
                </w:div>
                <w:div w:id="91361412">
                  <w:marLeft w:val="0"/>
                  <w:marRight w:val="0"/>
                  <w:marTop w:val="0"/>
                  <w:marBottom w:val="0"/>
                  <w:divBdr>
                    <w:top w:val="none" w:sz="0" w:space="0" w:color="auto"/>
                    <w:left w:val="none" w:sz="0" w:space="0" w:color="auto"/>
                    <w:bottom w:val="none" w:sz="0" w:space="0" w:color="auto"/>
                    <w:right w:val="none" w:sz="0" w:space="0" w:color="auto"/>
                  </w:divBdr>
                  <w:divsChild>
                    <w:div w:id="774978850">
                      <w:marLeft w:val="0"/>
                      <w:marRight w:val="0"/>
                      <w:marTop w:val="0"/>
                      <w:marBottom w:val="0"/>
                      <w:divBdr>
                        <w:top w:val="none" w:sz="0" w:space="0" w:color="auto"/>
                        <w:left w:val="none" w:sz="0" w:space="0" w:color="auto"/>
                        <w:bottom w:val="none" w:sz="0" w:space="0" w:color="auto"/>
                        <w:right w:val="none" w:sz="0" w:space="0" w:color="auto"/>
                      </w:divBdr>
                    </w:div>
                    <w:div w:id="1926302757">
                      <w:marLeft w:val="0"/>
                      <w:marRight w:val="0"/>
                      <w:marTop w:val="0"/>
                      <w:marBottom w:val="0"/>
                      <w:divBdr>
                        <w:top w:val="none" w:sz="0" w:space="0" w:color="auto"/>
                        <w:left w:val="none" w:sz="0" w:space="0" w:color="auto"/>
                        <w:bottom w:val="none" w:sz="0" w:space="0" w:color="auto"/>
                        <w:right w:val="none" w:sz="0" w:space="0" w:color="auto"/>
                      </w:divBdr>
                    </w:div>
                    <w:div w:id="1830948028">
                      <w:marLeft w:val="0"/>
                      <w:marRight w:val="0"/>
                      <w:marTop w:val="0"/>
                      <w:marBottom w:val="0"/>
                      <w:divBdr>
                        <w:top w:val="none" w:sz="0" w:space="0" w:color="auto"/>
                        <w:left w:val="none" w:sz="0" w:space="0" w:color="auto"/>
                        <w:bottom w:val="none" w:sz="0" w:space="0" w:color="auto"/>
                        <w:right w:val="none" w:sz="0" w:space="0" w:color="auto"/>
                      </w:divBdr>
                    </w:div>
                    <w:div w:id="359743296">
                      <w:marLeft w:val="0"/>
                      <w:marRight w:val="0"/>
                      <w:marTop w:val="0"/>
                      <w:marBottom w:val="0"/>
                      <w:divBdr>
                        <w:top w:val="none" w:sz="0" w:space="0" w:color="auto"/>
                        <w:left w:val="none" w:sz="0" w:space="0" w:color="auto"/>
                        <w:bottom w:val="none" w:sz="0" w:space="0" w:color="auto"/>
                        <w:right w:val="none" w:sz="0" w:space="0" w:color="auto"/>
                      </w:divBdr>
                    </w:div>
                  </w:divsChild>
                </w:div>
                <w:div w:id="2144492981">
                  <w:marLeft w:val="0"/>
                  <w:marRight w:val="0"/>
                  <w:marTop w:val="0"/>
                  <w:marBottom w:val="0"/>
                  <w:divBdr>
                    <w:top w:val="none" w:sz="0" w:space="0" w:color="auto"/>
                    <w:left w:val="none" w:sz="0" w:space="0" w:color="auto"/>
                    <w:bottom w:val="none" w:sz="0" w:space="0" w:color="auto"/>
                    <w:right w:val="none" w:sz="0" w:space="0" w:color="auto"/>
                  </w:divBdr>
                  <w:divsChild>
                    <w:div w:id="936594714">
                      <w:marLeft w:val="0"/>
                      <w:marRight w:val="0"/>
                      <w:marTop w:val="0"/>
                      <w:marBottom w:val="0"/>
                      <w:divBdr>
                        <w:top w:val="none" w:sz="0" w:space="0" w:color="auto"/>
                        <w:left w:val="none" w:sz="0" w:space="0" w:color="auto"/>
                        <w:bottom w:val="none" w:sz="0" w:space="0" w:color="auto"/>
                        <w:right w:val="none" w:sz="0" w:space="0" w:color="auto"/>
                      </w:divBdr>
                    </w:div>
                    <w:div w:id="217981216">
                      <w:marLeft w:val="0"/>
                      <w:marRight w:val="0"/>
                      <w:marTop w:val="0"/>
                      <w:marBottom w:val="0"/>
                      <w:divBdr>
                        <w:top w:val="none" w:sz="0" w:space="0" w:color="auto"/>
                        <w:left w:val="none" w:sz="0" w:space="0" w:color="auto"/>
                        <w:bottom w:val="none" w:sz="0" w:space="0" w:color="auto"/>
                        <w:right w:val="none" w:sz="0" w:space="0" w:color="auto"/>
                      </w:divBdr>
                    </w:div>
                    <w:div w:id="1374110038">
                      <w:marLeft w:val="0"/>
                      <w:marRight w:val="0"/>
                      <w:marTop w:val="0"/>
                      <w:marBottom w:val="0"/>
                      <w:divBdr>
                        <w:top w:val="none" w:sz="0" w:space="0" w:color="auto"/>
                        <w:left w:val="none" w:sz="0" w:space="0" w:color="auto"/>
                        <w:bottom w:val="none" w:sz="0" w:space="0" w:color="auto"/>
                        <w:right w:val="none" w:sz="0" w:space="0" w:color="auto"/>
                      </w:divBdr>
                    </w:div>
                    <w:div w:id="783883006">
                      <w:marLeft w:val="0"/>
                      <w:marRight w:val="0"/>
                      <w:marTop w:val="0"/>
                      <w:marBottom w:val="0"/>
                      <w:divBdr>
                        <w:top w:val="none" w:sz="0" w:space="0" w:color="auto"/>
                        <w:left w:val="none" w:sz="0" w:space="0" w:color="auto"/>
                        <w:bottom w:val="none" w:sz="0" w:space="0" w:color="auto"/>
                        <w:right w:val="none" w:sz="0" w:space="0" w:color="auto"/>
                      </w:divBdr>
                    </w:div>
                  </w:divsChild>
                </w:div>
                <w:div w:id="385446017">
                  <w:marLeft w:val="0"/>
                  <w:marRight w:val="0"/>
                  <w:marTop w:val="0"/>
                  <w:marBottom w:val="0"/>
                  <w:divBdr>
                    <w:top w:val="none" w:sz="0" w:space="0" w:color="auto"/>
                    <w:left w:val="none" w:sz="0" w:space="0" w:color="auto"/>
                    <w:bottom w:val="none" w:sz="0" w:space="0" w:color="auto"/>
                    <w:right w:val="none" w:sz="0" w:space="0" w:color="auto"/>
                  </w:divBdr>
                  <w:divsChild>
                    <w:div w:id="166333982">
                      <w:marLeft w:val="0"/>
                      <w:marRight w:val="0"/>
                      <w:marTop w:val="0"/>
                      <w:marBottom w:val="0"/>
                      <w:divBdr>
                        <w:top w:val="none" w:sz="0" w:space="0" w:color="auto"/>
                        <w:left w:val="none" w:sz="0" w:space="0" w:color="auto"/>
                        <w:bottom w:val="none" w:sz="0" w:space="0" w:color="auto"/>
                        <w:right w:val="none" w:sz="0" w:space="0" w:color="auto"/>
                      </w:divBdr>
                    </w:div>
                  </w:divsChild>
                </w:div>
                <w:div w:id="965895357">
                  <w:marLeft w:val="0"/>
                  <w:marRight w:val="0"/>
                  <w:marTop w:val="0"/>
                  <w:marBottom w:val="0"/>
                  <w:divBdr>
                    <w:top w:val="none" w:sz="0" w:space="0" w:color="auto"/>
                    <w:left w:val="none" w:sz="0" w:space="0" w:color="auto"/>
                    <w:bottom w:val="none" w:sz="0" w:space="0" w:color="auto"/>
                    <w:right w:val="none" w:sz="0" w:space="0" w:color="auto"/>
                  </w:divBdr>
                  <w:divsChild>
                    <w:div w:id="897134170">
                      <w:marLeft w:val="0"/>
                      <w:marRight w:val="0"/>
                      <w:marTop w:val="0"/>
                      <w:marBottom w:val="0"/>
                      <w:divBdr>
                        <w:top w:val="none" w:sz="0" w:space="0" w:color="auto"/>
                        <w:left w:val="none" w:sz="0" w:space="0" w:color="auto"/>
                        <w:bottom w:val="none" w:sz="0" w:space="0" w:color="auto"/>
                        <w:right w:val="none" w:sz="0" w:space="0" w:color="auto"/>
                      </w:divBdr>
                    </w:div>
                    <w:div w:id="1091969374">
                      <w:marLeft w:val="0"/>
                      <w:marRight w:val="0"/>
                      <w:marTop w:val="0"/>
                      <w:marBottom w:val="0"/>
                      <w:divBdr>
                        <w:top w:val="none" w:sz="0" w:space="0" w:color="auto"/>
                        <w:left w:val="none" w:sz="0" w:space="0" w:color="auto"/>
                        <w:bottom w:val="none" w:sz="0" w:space="0" w:color="auto"/>
                        <w:right w:val="none" w:sz="0" w:space="0" w:color="auto"/>
                      </w:divBdr>
                    </w:div>
                    <w:div w:id="251554536">
                      <w:marLeft w:val="0"/>
                      <w:marRight w:val="0"/>
                      <w:marTop w:val="0"/>
                      <w:marBottom w:val="0"/>
                      <w:divBdr>
                        <w:top w:val="none" w:sz="0" w:space="0" w:color="auto"/>
                        <w:left w:val="none" w:sz="0" w:space="0" w:color="auto"/>
                        <w:bottom w:val="none" w:sz="0" w:space="0" w:color="auto"/>
                        <w:right w:val="none" w:sz="0" w:space="0" w:color="auto"/>
                      </w:divBdr>
                    </w:div>
                    <w:div w:id="1588998843">
                      <w:marLeft w:val="0"/>
                      <w:marRight w:val="0"/>
                      <w:marTop w:val="0"/>
                      <w:marBottom w:val="0"/>
                      <w:divBdr>
                        <w:top w:val="none" w:sz="0" w:space="0" w:color="auto"/>
                        <w:left w:val="none" w:sz="0" w:space="0" w:color="auto"/>
                        <w:bottom w:val="none" w:sz="0" w:space="0" w:color="auto"/>
                        <w:right w:val="none" w:sz="0" w:space="0" w:color="auto"/>
                      </w:divBdr>
                    </w:div>
                  </w:divsChild>
                </w:div>
                <w:div w:id="1556427114">
                  <w:marLeft w:val="0"/>
                  <w:marRight w:val="0"/>
                  <w:marTop w:val="0"/>
                  <w:marBottom w:val="0"/>
                  <w:divBdr>
                    <w:top w:val="none" w:sz="0" w:space="0" w:color="auto"/>
                    <w:left w:val="none" w:sz="0" w:space="0" w:color="auto"/>
                    <w:bottom w:val="none" w:sz="0" w:space="0" w:color="auto"/>
                    <w:right w:val="none" w:sz="0" w:space="0" w:color="auto"/>
                  </w:divBdr>
                  <w:divsChild>
                    <w:div w:id="1521508835">
                      <w:marLeft w:val="0"/>
                      <w:marRight w:val="0"/>
                      <w:marTop w:val="0"/>
                      <w:marBottom w:val="0"/>
                      <w:divBdr>
                        <w:top w:val="none" w:sz="0" w:space="0" w:color="auto"/>
                        <w:left w:val="none" w:sz="0" w:space="0" w:color="auto"/>
                        <w:bottom w:val="none" w:sz="0" w:space="0" w:color="auto"/>
                        <w:right w:val="none" w:sz="0" w:space="0" w:color="auto"/>
                      </w:divBdr>
                    </w:div>
                    <w:div w:id="1451629545">
                      <w:marLeft w:val="0"/>
                      <w:marRight w:val="0"/>
                      <w:marTop w:val="0"/>
                      <w:marBottom w:val="0"/>
                      <w:divBdr>
                        <w:top w:val="none" w:sz="0" w:space="0" w:color="auto"/>
                        <w:left w:val="none" w:sz="0" w:space="0" w:color="auto"/>
                        <w:bottom w:val="none" w:sz="0" w:space="0" w:color="auto"/>
                        <w:right w:val="none" w:sz="0" w:space="0" w:color="auto"/>
                      </w:divBdr>
                    </w:div>
                    <w:div w:id="1770782729">
                      <w:marLeft w:val="0"/>
                      <w:marRight w:val="0"/>
                      <w:marTop w:val="0"/>
                      <w:marBottom w:val="0"/>
                      <w:divBdr>
                        <w:top w:val="none" w:sz="0" w:space="0" w:color="auto"/>
                        <w:left w:val="none" w:sz="0" w:space="0" w:color="auto"/>
                        <w:bottom w:val="none" w:sz="0" w:space="0" w:color="auto"/>
                        <w:right w:val="none" w:sz="0" w:space="0" w:color="auto"/>
                      </w:divBdr>
                    </w:div>
                  </w:divsChild>
                </w:div>
                <w:div w:id="1899391913">
                  <w:marLeft w:val="0"/>
                  <w:marRight w:val="0"/>
                  <w:marTop w:val="0"/>
                  <w:marBottom w:val="0"/>
                  <w:divBdr>
                    <w:top w:val="none" w:sz="0" w:space="0" w:color="auto"/>
                    <w:left w:val="none" w:sz="0" w:space="0" w:color="auto"/>
                    <w:bottom w:val="none" w:sz="0" w:space="0" w:color="auto"/>
                    <w:right w:val="none" w:sz="0" w:space="0" w:color="auto"/>
                  </w:divBdr>
                  <w:divsChild>
                    <w:div w:id="1320422193">
                      <w:marLeft w:val="0"/>
                      <w:marRight w:val="0"/>
                      <w:marTop w:val="0"/>
                      <w:marBottom w:val="0"/>
                      <w:divBdr>
                        <w:top w:val="none" w:sz="0" w:space="0" w:color="auto"/>
                        <w:left w:val="none" w:sz="0" w:space="0" w:color="auto"/>
                        <w:bottom w:val="none" w:sz="0" w:space="0" w:color="auto"/>
                        <w:right w:val="none" w:sz="0" w:space="0" w:color="auto"/>
                      </w:divBdr>
                    </w:div>
                  </w:divsChild>
                </w:div>
                <w:div w:id="629358798">
                  <w:marLeft w:val="0"/>
                  <w:marRight w:val="0"/>
                  <w:marTop w:val="0"/>
                  <w:marBottom w:val="0"/>
                  <w:divBdr>
                    <w:top w:val="none" w:sz="0" w:space="0" w:color="auto"/>
                    <w:left w:val="none" w:sz="0" w:space="0" w:color="auto"/>
                    <w:bottom w:val="none" w:sz="0" w:space="0" w:color="auto"/>
                    <w:right w:val="none" w:sz="0" w:space="0" w:color="auto"/>
                  </w:divBdr>
                  <w:divsChild>
                    <w:div w:id="1667247413">
                      <w:marLeft w:val="0"/>
                      <w:marRight w:val="0"/>
                      <w:marTop w:val="0"/>
                      <w:marBottom w:val="0"/>
                      <w:divBdr>
                        <w:top w:val="none" w:sz="0" w:space="0" w:color="auto"/>
                        <w:left w:val="none" w:sz="0" w:space="0" w:color="auto"/>
                        <w:bottom w:val="none" w:sz="0" w:space="0" w:color="auto"/>
                        <w:right w:val="none" w:sz="0" w:space="0" w:color="auto"/>
                      </w:divBdr>
                    </w:div>
                    <w:div w:id="1598715850">
                      <w:marLeft w:val="0"/>
                      <w:marRight w:val="0"/>
                      <w:marTop w:val="0"/>
                      <w:marBottom w:val="0"/>
                      <w:divBdr>
                        <w:top w:val="none" w:sz="0" w:space="0" w:color="auto"/>
                        <w:left w:val="none" w:sz="0" w:space="0" w:color="auto"/>
                        <w:bottom w:val="none" w:sz="0" w:space="0" w:color="auto"/>
                        <w:right w:val="none" w:sz="0" w:space="0" w:color="auto"/>
                      </w:divBdr>
                    </w:div>
                  </w:divsChild>
                </w:div>
                <w:div w:id="1039352094">
                  <w:marLeft w:val="0"/>
                  <w:marRight w:val="0"/>
                  <w:marTop w:val="0"/>
                  <w:marBottom w:val="0"/>
                  <w:divBdr>
                    <w:top w:val="none" w:sz="0" w:space="0" w:color="auto"/>
                    <w:left w:val="none" w:sz="0" w:space="0" w:color="auto"/>
                    <w:bottom w:val="none" w:sz="0" w:space="0" w:color="auto"/>
                    <w:right w:val="none" w:sz="0" w:space="0" w:color="auto"/>
                  </w:divBdr>
                  <w:divsChild>
                    <w:div w:id="1008293694">
                      <w:marLeft w:val="0"/>
                      <w:marRight w:val="0"/>
                      <w:marTop w:val="0"/>
                      <w:marBottom w:val="0"/>
                      <w:divBdr>
                        <w:top w:val="none" w:sz="0" w:space="0" w:color="auto"/>
                        <w:left w:val="none" w:sz="0" w:space="0" w:color="auto"/>
                        <w:bottom w:val="none" w:sz="0" w:space="0" w:color="auto"/>
                        <w:right w:val="none" w:sz="0" w:space="0" w:color="auto"/>
                      </w:divBdr>
                    </w:div>
                    <w:div w:id="405419233">
                      <w:marLeft w:val="0"/>
                      <w:marRight w:val="0"/>
                      <w:marTop w:val="0"/>
                      <w:marBottom w:val="0"/>
                      <w:divBdr>
                        <w:top w:val="none" w:sz="0" w:space="0" w:color="auto"/>
                        <w:left w:val="none" w:sz="0" w:space="0" w:color="auto"/>
                        <w:bottom w:val="none" w:sz="0" w:space="0" w:color="auto"/>
                        <w:right w:val="none" w:sz="0" w:space="0" w:color="auto"/>
                      </w:divBdr>
                    </w:div>
                  </w:divsChild>
                </w:div>
                <w:div w:id="1088427210">
                  <w:marLeft w:val="0"/>
                  <w:marRight w:val="0"/>
                  <w:marTop w:val="0"/>
                  <w:marBottom w:val="0"/>
                  <w:divBdr>
                    <w:top w:val="none" w:sz="0" w:space="0" w:color="auto"/>
                    <w:left w:val="none" w:sz="0" w:space="0" w:color="auto"/>
                    <w:bottom w:val="none" w:sz="0" w:space="0" w:color="auto"/>
                    <w:right w:val="none" w:sz="0" w:space="0" w:color="auto"/>
                  </w:divBdr>
                  <w:divsChild>
                    <w:div w:id="692193315">
                      <w:marLeft w:val="0"/>
                      <w:marRight w:val="0"/>
                      <w:marTop w:val="0"/>
                      <w:marBottom w:val="0"/>
                      <w:divBdr>
                        <w:top w:val="none" w:sz="0" w:space="0" w:color="auto"/>
                        <w:left w:val="none" w:sz="0" w:space="0" w:color="auto"/>
                        <w:bottom w:val="none" w:sz="0" w:space="0" w:color="auto"/>
                        <w:right w:val="none" w:sz="0" w:space="0" w:color="auto"/>
                      </w:divBdr>
                    </w:div>
                  </w:divsChild>
                </w:div>
                <w:div w:id="1158956786">
                  <w:marLeft w:val="0"/>
                  <w:marRight w:val="0"/>
                  <w:marTop w:val="0"/>
                  <w:marBottom w:val="0"/>
                  <w:divBdr>
                    <w:top w:val="none" w:sz="0" w:space="0" w:color="auto"/>
                    <w:left w:val="none" w:sz="0" w:space="0" w:color="auto"/>
                    <w:bottom w:val="none" w:sz="0" w:space="0" w:color="auto"/>
                    <w:right w:val="none" w:sz="0" w:space="0" w:color="auto"/>
                  </w:divBdr>
                  <w:divsChild>
                    <w:div w:id="256528205">
                      <w:marLeft w:val="0"/>
                      <w:marRight w:val="0"/>
                      <w:marTop w:val="0"/>
                      <w:marBottom w:val="0"/>
                      <w:divBdr>
                        <w:top w:val="none" w:sz="0" w:space="0" w:color="auto"/>
                        <w:left w:val="none" w:sz="0" w:space="0" w:color="auto"/>
                        <w:bottom w:val="none" w:sz="0" w:space="0" w:color="auto"/>
                        <w:right w:val="none" w:sz="0" w:space="0" w:color="auto"/>
                      </w:divBdr>
                    </w:div>
                    <w:div w:id="1730500109">
                      <w:marLeft w:val="0"/>
                      <w:marRight w:val="0"/>
                      <w:marTop w:val="0"/>
                      <w:marBottom w:val="0"/>
                      <w:divBdr>
                        <w:top w:val="none" w:sz="0" w:space="0" w:color="auto"/>
                        <w:left w:val="none" w:sz="0" w:space="0" w:color="auto"/>
                        <w:bottom w:val="none" w:sz="0" w:space="0" w:color="auto"/>
                        <w:right w:val="none" w:sz="0" w:space="0" w:color="auto"/>
                      </w:divBdr>
                    </w:div>
                  </w:divsChild>
                </w:div>
                <w:div w:id="1613778790">
                  <w:marLeft w:val="0"/>
                  <w:marRight w:val="0"/>
                  <w:marTop w:val="0"/>
                  <w:marBottom w:val="0"/>
                  <w:divBdr>
                    <w:top w:val="none" w:sz="0" w:space="0" w:color="auto"/>
                    <w:left w:val="none" w:sz="0" w:space="0" w:color="auto"/>
                    <w:bottom w:val="none" w:sz="0" w:space="0" w:color="auto"/>
                    <w:right w:val="none" w:sz="0" w:space="0" w:color="auto"/>
                  </w:divBdr>
                  <w:divsChild>
                    <w:div w:id="1356076399">
                      <w:marLeft w:val="0"/>
                      <w:marRight w:val="0"/>
                      <w:marTop w:val="0"/>
                      <w:marBottom w:val="0"/>
                      <w:divBdr>
                        <w:top w:val="none" w:sz="0" w:space="0" w:color="auto"/>
                        <w:left w:val="none" w:sz="0" w:space="0" w:color="auto"/>
                        <w:bottom w:val="none" w:sz="0" w:space="0" w:color="auto"/>
                        <w:right w:val="none" w:sz="0" w:space="0" w:color="auto"/>
                      </w:divBdr>
                    </w:div>
                  </w:divsChild>
                </w:div>
                <w:div w:id="2061050640">
                  <w:marLeft w:val="0"/>
                  <w:marRight w:val="0"/>
                  <w:marTop w:val="0"/>
                  <w:marBottom w:val="0"/>
                  <w:divBdr>
                    <w:top w:val="none" w:sz="0" w:space="0" w:color="auto"/>
                    <w:left w:val="none" w:sz="0" w:space="0" w:color="auto"/>
                    <w:bottom w:val="none" w:sz="0" w:space="0" w:color="auto"/>
                    <w:right w:val="none" w:sz="0" w:space="0" w:color="auto"/>
                  </w:divBdr>
                  <w:divsChild>
                    <w:div w:id="423301858">
                      <w:marLeft w:val="0"/>
                      <w:marRight w:val="0"/>
                      <w:marTop w:val="0"/>
                      <w:marBottom w:val="0"/>
                      <w:divBdr>
                        <w:top w:val="none" w:sz="0" w:space="0" w:color="auto"/>
                        <w:left w:val="none" w:sz="0" w:space="0" w:color="auto"/>
                        <w:bottom w:val="none" w:sz="0" w:space="0" w:color="auto"/>
                        <w:right w:val="none" w:sz="0" w:space="0" w:color="auto"/>
                      </w:divBdr>
                    </w:div>
                  </w:divsChild>
                </w:div>
                <w:div w:id="18095314">
                  <w:marLeft w:val="0"/>
                  <w:marRight w:val="0"/>
                  <w:marTop w:val="0"/>
                  <w:marBottom w:val="0"/>
                  <w:divBdr>
                    <w:top w:val="none" w:sz="0" w:space="0" w:color="auto"/>
                    <w:left w:val="none" w:sz="0" w:space="0" w:color="auto"/>
                    <w:bottom w:val="none" w:sz="0" w:space="0" w:color="auto"/>
                    <w:right w:val="none" w:sz="0" w:space="0" w:color="auto"/>
                  </w:divBdr>
                  <w:divsChild>
                    <w:div w:id="1092437734">
                      <w:marLeft w:val="0"/>
                      <w:marRight w:val="0"/>
                      <w:marTop w:val="0"/>
                      <w:marBottom w:val="0"/>
                      <w:divBdr>
                        <w:top w:val="none" w:sz="0" w:space="0" w:color="auto"/>
                        <w:left w:val="none" w:sz="0" w:space="0" w:color="auto"/>
                        <w:bottom w:val="none" w:sz="0" w:space="0" w:color="auto"/>
                        <w:right w:val="none" w:sz="0" w:space="0" w:color="auto"/>
                      </w:divBdr>
                    </w:div>
                  </w:divsChild>
                </w:div>
                <w:div w:id="1173835842">
                  <w:marLeft w:val="0"/>
                  <w:marRight w:val="0"/>
                  <w:marTop w:val="0"/>
                  <w:marBottom w:val="0"/>
                  <w:divBdr>
                    <w:top w:val="none" w:sz="0" w:space="0" w:color="auto"/>
                    <w:left w:val="none" w:sz="0" w:space="0" w:color="auto"/>
                    <w:bottom w:val="none" w:sz="0" w:space="0" w:color="auto"/>
                    <w:right w:val="none" w:sz="0" w:space="0" w:color="auto"/>
                  </w:divBdr>
                  <w:divsChild>
                    <w:div w:id="953291188">
                      <w:marLeft w:val="0"/>
                      <w:marRight w:val="0"/>
                      <w:marTop w:val="0"/>
                      <w:marBottom w:val="0"/>
                      <w:divBdr>
                        <w:top w:val="none" w:sz="0" w:space="0" w:color="auto"/>
                        <w:left w:val="none" w:sz="0" w:space="0" w:color="auto"/>
                        <w:bottom w:val="none" w:sz="0" w:space="0" w:color="auto"/>
                        <w:right w:val="none" w:sz="0" w:space="0" w:color="auto"/>
                      </w:divBdr>
                    </w:div>
                  </w:divsChild>
                </w:div>
                <w:div w:id="153688921">
                  <w:marLeft w:val="0"/>
                  <w:marRight w:val="0"/>
                  <w:marTop w:val="0"/>
                  <w:marBottom w:val="0"/>
                  <w:divBdr>
                    <w:top w:val="none" w:sz="0" w:space="0" w:color="auto"/>
                    <w:left w:val="none" w:sz="0" w:space="0" w:color="auto"/>
                    <w:bottom w:val="none" w:sz="0" w:space="0" w:color="auto"/>
                    <w:right w:val="none" w:sz="0" w:space="0" w:color="auto"/>
                  </w:divBdr>
                  <w:divsChild>
                    <w:div w:id="4606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3047">
          <w:marLeft w:val="0"/>
          <w:marRight w:val="0"/>
          <w:marTop w:val="0"/>
          <w:marBottom w:val="0"/>
          <w:divBdr>
            <w:top w:val="none" w:sz="0" w:space="0" w:color="auto"/>
            <w:left w:val="none" w:sz="0" w:space="0" w:color="auto"/>
            <w:bottom w:val="none" w:sz="0" w:space="0" w:color="auto"/>
            <w:right w:val="none" w:sz="0" w:space="0" w:color="auto"/>
          </w:divBdr>
        </w:div>
        <w:div w:id="1120033088">
          <w:marLeft w:val="0"/>
          <w:marRight w:val="0"/>
          <w:marTop w:val="0"/>
          <w:marBottom w:val="0"/>
          <w:divBdr>
            <w:top w:val="none" w:sz="0" w:space="0" w:color="auto"/>
            <w:left w:val="none" w:sz="0" w:space="0" w:color="auto"/>
            <w:bottom w:val="none" w:sz="0" w:space="0" w:color="auto"/>
            <w:right w:val="none" w:sz="0" w:space="0" w:color="auto"/>
          </w:divBdr>
        </w:div>
        <w:div w:id="40516830">
          <w:marLeft w:val="0"/>
          <w:marRight w:val="0"/>
          <w:marTop w:val="0"/>
          <w:marBottom w:val="0"/>
          <w:divBdr>
            <w:top w:val="none" w:sz="0" w:space="0" w:color="auto"/>
            <w:left w:val="none" w:sz="0" w:space="0" w:color="auto"/>
            <w:bottom w:val="none" w:sz="0" w:space="0" w:color="auto"/>
            <w:right w:val="none" w:sz="0" w:space="0" w:color="auto"/>
          </w:divBdr>
        </w:div>
        <w:div w:id="552426179">
          <w:marLeft w:val="0"/>
          <w:marRight w:val="0"/>
          <w:marTop w:val="0"/>
          <w:marBottom w:val="0"/>
          <w:divBdr>
            <w:top w:val="none" w:sz="0" w:space="0" w:color="auto"/>
            <w:left w:val="none" w:sz="0" w:space="0" w:color="auto"/>
            <w:bottom w:val="none" w:sz="0" w:space="0" w:color="auto"/>
            <w:right w:val="none" w:sz="0" w:space="0" w:color="auto"/>
          </w:divBdr>
        </w:div>
      </w:divsChild>
    </w:div>
    <w:div w:id="520124091">
      <w:bodyDiv w:val="1"/>
      <w:marLeft w:val="0"/>
      <w:marRight w:val="0"/>
      <w:marTop w:val="0"/>
      <w:marBottom w:val="0"/>
      <w:divBdr>
        <w:top w:val="none" w:sz="0" w:space="0" w:color="auto"/>
        <w:left w:val="none" w:sz="0" w:space="0" w:color="auto"/>
        <w:bottom w:val="none" w:sz="0" w:space="0" w:color="auto"/>
        <w:right w:val="none" w:sz="0" w:space="0" w:color="auto"/>
      </w:divBdr>
      <w:divsChild>
        <w:div w:id="1886746351">
          <w:marLeft w:val="0"/>
          <w:marRight w:val="0"/>
          <w:marTop w:val="0"/>
          <w:marBottom w:val="0"/>
          <w:divBdr>
            <w:top w:val="none" w:sz="0" w:space="0" w:color="auto"/>
            <w:left w:val="none" w:sz="0" w:space="0" w:color="auto"/>
            <w:bottom w:val="none" w:sz="0" w:space="0" w:color="auto"/>
            <w:right w:val="none" w:sz="0" w:space="0" w:color="auto"/>
          </w:divBdr>
        </w:div>
        <w:div w:id="1687751304">
          <w:marLeft w:val="0"/>
          <w:marRight w:val="0"/>
          <w:marTop w:val="0"/>
          <w:marBottom w:val="0"/>
          <w:divBdr>
            <w:top w:val="none" w:sz="0" w:space="0" w:color="auto"/>
            <w:left w:val="none" w:sz="0" w:space="0" w:color="auto"/>
            <w:bottom w:val="none" w:sz="0" w:space="0" w:color="auto"/>
            <w:right w:val="none" w:sz="0" w:space="0" w:color="auto"/>
          </w:divBdr>
        </w:div>
      </w:divsChild>
    </w:div>
    <w:div w:id="541988298">
      <w:bodyDiv w:val="1"/>
      <w:marLeft w:val="0"/>
      <w:marRight w:val="0"/>
      <w:marTop w:val="0"/>
      <w:marBottom w:val="0"/>
      <w:divBdr>
        <w:top w:val="none" w:sz="0" w:space="0" w:color="auto"/>
        <w:left w:val="none" w:sz="0" w:space="0" w:color="auto"/>
        <w:bottom w:val="none" w:sz="0" w:space="0" w:color="auto"/>
        <w:right w:val="none" w:sz="0" w:space="0" w:color="auto"/>
      </w:divBdr>
    </w:div>
    <w:div w:id="563371544">
      <w:bodyDiv w:val="1"/>
      <w:marLeft w:val="0"/>
      <w:marRight w:val="0"/>
      <w:marTop w:val="0"/>
      <w:marBottom w:val="0"/>
      <w:divBdr>
        <w:top w:val="none" w:sz="0" w:space="0" w:color="auto"/>
        <w:left w:val="none" w:sz="0" w:space="0" w:color="auto"/>
        <w:bottom w:val="none" w:sz="0" w:space="0" w:color="auto"/>
        <w:right w:val="none" w:sz="0" w:space="0" w:color="auto"/>
      </w:divBdr>
    </w:div>
    <w:div w:id="565726834">
      <w:bodyDiv w:val="1"/>
      <w:marLeft w:val="0"/>
      <w:marRight w:val="0"/>
      <w:marTop w:val="0"/>
      <w:marBottom w:val="0"/>
      <w:divBdr>
        <w:top w:val="none" w:sz="0" w:space="0" w:color="auto"/>
        <w:left w:val="none" w:sz="0" w:space="0" w:color="auto"/>
        <w:bottom w:val="none" w:sz="0" w:space="0" w:color="auto"/>
        <w:right w:val="none" w:sz="0" w:space="0" w:color="auto"/>
      </w:divBdr>
    </w:div>
    <w:div w:id="565923238">
      <w:bodyDiv w:val="1"/>
      <w:marLeft w:val="0"/>
      <w:marRight w:val="0"/>
      <w:marTop w:val="0"/>
      <w:marBottom w:val="0"/>
      <w:divBdr>
        <w:top w:val="none" w:sz="0" w:space="0" w:color="auto"/>
        <w:left w:val="none" w:sz="0" w:space="0" w:color="auto"/>
        <w:bottom w:val="none" w:sz="0" w:space="0" w:color="auto"/>
        <w:right w:val="none" w:sz="0" w:space="0" w:color="auto"/>
      </w:divBdr>
      <w:divsChild>
        <w:div w:id="574046749">
          <w:marLeft w:val="0"/>
          <w:marRight w:val="0"/>
          <w:marTop w:val="0"/>
          <w:marBottom w:val="0"/>
          <w:divBdr>
            <w:top w:val="none" w:sz="0" w:space="0" w:color="auto"/>
            <w:left w:val="none" w:sz="0" w:space="0" w:color="auto"/>
            <w:bottom w:val="none" w:sz="0" w:space="0" w:color="auto"/>
            <w:right w:val="none" w:sz="0" w:space="0" w:color="auto"/>
          </w:divBdr>
        </w:div>
        <w:div w:id="1874538297">
          <w:marLeft w:val="0"/>
          <w:marRight w:val="0"/>
          <w:marTop w:val="0"/>
          <w:marBottom w:val="0"/>
          <w:divBdr>
            <w:top w:val="none" w:sz="0" w:space="0" w:color="auto"/>
            <w:left w:val="none" w:sz="0" w:space="0" w:color="auto"/>
            <w:bottom w:val="none" w:sz="0" w:space="0" w:color="auto"/>
            <w:right w:val="none" w:sz="0" w:space="0" w:color="auto"/>
          </w:divBdr>
          <w:divsChild>
            <w:div w:id="733044115">
              <w:marLeft w:val="-75"/>
              <w:marRight w:val="0"/>
              <w:marTop w:val="30"/>
              <w:marBottom w:val="30"/>
              <w:divBdr>
                <w:top w:val="none" w:sz="0" w:space="0" w:color="auto"/>
                <w:left w:val="none" w:sz="0" w:space="0" w:color="auto"/>
                <w:bottom w:val="none" w:sz="0" w:space="0" w:color="auto"/>
                <w:right w:val="none" w:sz="0" w:space="0" w:color="auto"/>
              </w:divBdr>
              <w:divsChild>
                <w:div w:id="26376725">
                  <w:marLeft w:val="0"/>
                  <w:marRight w:val="0"/>
                  <w:marTop w:val="0"/>
                  <w:marBottom w:val="0"/>
                  <w:divBdr>
                    <w:top w:val="none" w:sz="0" w:space="0" w:color="auto"/>
                    <w:left w:val="none" w:sz="0" w:space="0" w:color="auto"/>
                    <w:bottom w:val="none" w:sz="0" w:space="0" w:color="auto"/>
                    <w:right w:val="none" w:sz="0" w:space="0" w:color="auto"/>
                  </w:divBdr>
                  <w:divsChild>
                    <w:div w:id="1578441506">
                      <w:marLeft w:val="0"/>
                      <w:marRight w:val="0"/>
                      <w:marTop w:val="0"/>
                      <w:marBottom w:val="0"/>
                      <w:divBdr>
                        <w:top w:val="none" w:sz="0" w:space="0" w:color="auto"/>
                        <w:left w:val="none" w:sz="0" w:space="0" w:color="auto"/>
                        <w:bottom w:val="none" w:sz="0" w:space="0" w:color="auto"/>
                        <w:right w:val="none" w:sz="0" w:space="0" w:color="auto"/>
                      </w:divBdr>
                    </w:div>
                  </w:divsChild>
                </w:div>
                <w:div w:id="869949282">
                  <w:marLeft w:val="0"/>
                  <w:marRight w:val="0"/>
                  <w:marTop w:val="0"/>
                  <w:marBottom w:val="0"/>
                  <w:divBdr>
                    <w:top w:val="none" w:sz="0" w:space="0" w:color="auto"/>
                    <w:left w:val="none" w:sz="0" w:space="0" w:color="auto"/>
                    <w:bottom w:val="none" w:sz="0" w:space="0" w:color="auto"/>
                    <w:right w:val="none" w:sz="0" w:space="0" w:color="auto"/>
                  </w:divBdr>
                  <w:divsChild>
                    <w:div w:id="805975859">
                      <w:marLeft w:val="0"/>
                      <w:marRight w:val="0"/>
                      <w:marTop w:val="0"/>
                      <w:marBottom w:val="0"/>
                      <w:divBdr>
                        <w:top w:val="none" w:sz="0" w:space="0" w:color="auto"/>
                        <w:left w:val="none" w:sz="0" w:space="0" w:color="auto"/>
                        <w:bottom w:val="none" w:sz="0" w:space="0" w:color="auto"/>
                        <w:right w:val="none" w:sz="0" w:space="0" w:color="auto"/>
                      </w:divBdr>
                    </w:div>
                  </w:divsChild>
                </w:div>
                <w:div w:id="612639788">
                  <w:marLeft w:val="0"/>
                  <w:marRight w:val="0"/>
                  <w:marTop w:val="0"/>
                  <w:marBottom w:val="0"/>
                  <w:divBdr>
                    <w:top w:val="none" w:sz="0" w:space="0" w:color="auto"/>
                    <w:left w:val="none" w:sz="0" w:space="0" w:color="auto"/>
                    <w:bottom w:val="none" w:sz="0" w:space="0" w:color="auto"/>
                    <w:right w:val="none" w:sz="0" w:space="0" w:color="auto"/>
                  </w:divBdr>
                  <w:divsChild>
                    <w:div w:id="1679698337">
                      <w:marLeft w:val="0"/>
                      <w:marRight w:val="0"/>
                      <w:marTop w:val="0"/>
                      <w:marBottom w:val="0"/>
                      <w:divBdr>
                        <w:top w:val="none" w:sz="0" w:space="0" w:color="auto"/>
                        <w:left w:val="none" w:sz="0" w:space="0" w:color="auto"/>
                        <w:bottom w:val="none" w:sz="0" w:space="0" w:color="auto"/>
                        <w:right w:val="none" w:sz="0" w:space="0" w:color="auto"/>
                      </w:divBdr>
                    </w:div>
                  </w:divsChild>
                </w:div>
                <w:div w:id="1495340630">
                  <w:marLeft w:val="0"/>
                  <w:marRight w:val="0"/>
                  <w:marTop w:val="0"/>
                  <w:marBottom w:val="0"/>
                  <w:divBdr>
                    <w:top w:val="none" w:sz="0" w:space="0" w:color="auto"/>
                    <w:left w:val="none" w:sz="0" w:space="0" w:color="auto"/>
                    <w:bottom w:val="none" w:sz="0" w:space="0" w:color="auto"/>
                    <w:right w:val="none" w:sz="0" w:space="0" w:color="auto"/>
                  </w:divBdr>
                  <w:divsChild>
                    <w:div w:id="961689696">
                      <w:marLeft w:val="0"/>
                      <w:marRight w:val="0"/>
                      <w:marTop w:val="0"/>
                      <w:marBottom w:val="0"/>
                      <w:divBdr>
                        <w:top w:val="none" w:sz="0" w:space="0" w:color="auto"/>
                        <w:left w:val="none" w:sz="0" w:space="0" w:color="auto"/>
                        <w:bottom w:val="none" w:sz="0" w:space="0" w:color="auto"/>
                        <w:right w:val="none" w:sz="0" w:space="0" w:color="auto"/>
                      </w:divBdr>
                    </w:div>
                  </w:divsChild>
                </w:div>
                <w:div w:id="768543992">
                  <w:marLeft w:val="0"/>
                  <w:marRight w:val="0"/>
                  <w:marTop w:val="0"/>
                  <w:marBottom w:val="0"/>
                  <w:divBdr>
                    <w:top w:val="none" w:sz="0" w:space="0" w:color="auto"/>
                    <w:left w:val="none" w:sz="0" w:space="0" w:color="auto"/>
                    <w:bottom w:val="none" w:sz="0" w:space="0" w:color="auto"/>
                    <w:right w:val="none" w:sz="0" w:space="0" w:color="auto"/>
                  </w:divBdr>
                  <w:divsChild>
                    <w:div w:id="1807775908">
                      <w:marLeft w:val="0"/>
                      <w:marRight w:val="0"/>
                      <w:marTop w:val="0"/>
                      <w:marBottom w:val="0"/>
                      <w:divBdr>
                        <w:top w:val="none" w:sz="0" w:space="0" w:color="auto"/>
                        <w:left w:val="none" w:sz="0" w:space="0" w:color="auto"/>
                        <w:bottom w:val="none" w:sz="0" w:space="0" w:color="auto"/>
                        <w:right w:val="none" w:sz="0" w:space="0" w:color="auto"/>
                      </w:divBdr>
                    </w:div>
                    <w:div w:id="1198276667">
                      <w:marLeft w:val="0"/>
                      <w:marRight w:val="0"/>
                      <w:marTop w:val="0"/>
                      <w:marBottom w:val="0"/>
                      <w:divBdr>
                        <w:top w:val="none" w:sz="0" w:space="0" w:color="auto"/>
                        <w:left w:val="none" w:sz="0" w:space="0" w:color="auto"/>
                        <w:bottom w:val="none" w:sz="0" w:space="0" w:color="auto"/>
                        <w:right w:val="none" w:sz="0" w:space="0" w:color="auto"/>
                      </w:divBdr>
                    </w:div>
                    <w:div w:id="1042558037">
                      <w:marLeft w:val="0"/>
                      <w:marRight w:val="0"/>
                      <w:marTop w:val="0"/>
                      <w:marBottom w:val="0"/>
                      <w:divBdr>
                        <w:top w:val="none" w:sz="0" w:space="0" w:color="auto"/>
                        <w:left w:val="none" w:sz="0" w:space="0" w:color="auto"/>
                        <w:bottom w:val="none" w:sz="0" w:space="0" w:color="auto"/>
                        <w:right w:val="none" w:sz="0" w:space="0" w:color="auto"/>
                      </w:divBdr>
                    </w:div>
                    <w:div w:id="1182207394">
                      <w:marLeft w:val="0"/>
                      <w:marRight w:val="0"/>
                      <w:marTop w:val="0"/>
                      <w:marBottom w:val="0"/>
                      <w:divBdr>
                        <w:top w:val="none" w:sz="0" w:space="0" w:color="auto"/>
                        <w:left w:val="none" w:sz="0" w:space="0" w:color="auto"/>
                        <w:bottom w:val="none" w:sz="0" w:space="0" w:color="auto"/>
                        <w:right w:val="none" w:sz="0" w:space="0" w:color="auto"/>
                      </w:divBdr>
                    </w:div>
                    <w:div w:id="937058684">
                      <w:marLeft w:val="0"/>
                      <w:marRight w:val="0"/>
                      <w:marTop w:val="0"/>
                      <w:marBottom w:val="0"/>
                      <w:divBdr>
                        <w:top w:val="none" w:sz="0" w:space="0" w:color="auto"/>
                        <w:left w:val="none" w:sz="0" w:space="0" w:color="auto"/>
                        <w:bottom w:val="none" w:sz="0" w:space="0" w:color="auto"/>
                        <w:right w:val="none" w:sz="0" w:space="0" w:color="auto"/>
                      </w:divBdr>
                    </w:div>
                    <w:div w:id="1685593825">
                      <w:marLeft w:val="0"/>
                      <w:marRight w:val="0"/>
                      <w:marTop w:val="0"/>
                      <w:marBottom w:val="0"/>
                      <w:divBdr>
                        <w:top w:val="none" w:sz="0" w:space="0" w:color="auto"/>
                        <w:left w:val="none" w:sz="0" w:space="0" w:color="auto"/>
                        <w:bottom w:val="none" w:sz="0" w:space="0" w:color="auto"/>
                        <w:right w:val="none" w:sz="0" w:space="0" w:color="auto"/>
                      </w:divBdr>
                    </w:div>
                    <w:div w:id="702678384">
                      <w:marLeft w:val="0"/>
                      <w:marRight w:val="0"/>
                      <w:marTop w:val="0"/>
                      <w:marBottom w:val="0"/>
                      <w:divBdr>
                        <w:top w:val="none" w:sz="0" w:space="0" w:color="auto"/>
                        <w:left w:val="none" w:sz="0" w:space="0" w:color="auto"/>
                        <w:bottom w:val="none" w:sz="0" w:space="0" w:color="auto"/>
                        <w:right w:val="none" w:sz="0" w:space="0" w:color="auto"/>
                      </w:divBdr>
                    </w:div>
                    <w:div w:id="1268350776">
                      <w:marLeft w:val="0"/>
                      <w:marRight w:val="0"/>
                      <w:marTop w:val="0"/>
                      <w:marBottom w:val="0"/>
                      <w:divBdr>
                        <w:top w:val="none" w:sz="0" w:space="0" w:color="auto"/>
                        <w:left w:val="none" w:sz="0" w:space="0" w:color="auto"/>
                        <w:bottom w:val="none" w:sz="0" w:space="0" w:color="auto"/>
                        <w:right w:val="none" w:sz="0" w:space="0" w:color="auto"/>
                      </w:divBdr>
                    </w:div>
                    <w:div w:id="573904036">
                      <w:marLeft w:val="0"/>
                      <w:marRight w:val="0"/>
                      <w:marTop w:val="0"/>
                      <w:marBottom w:val="0"/>
                      <w:divBdr>
                        <w:top w:val="none" w:sz="0" w:space="0" w:color="auto"/>
                        <w:left w:val="none" w:sz="0" w:space="0" w:color="auto"/>
                        <w:bottom w:val="none" w:sz="0" w:space="0" w:color="auto"/>
                        <w:right w:val="none" w:sz="0" w:space="0" w:color="auto"/>
                      </w:divBdr>
                    </w:div>
                    <w:div w:id="1933708966">
                      <w:marLeft w:val="0"/>
                      <w:marRight w:val="0"/>
                      <w:marTop w:val="0"/>
                      <w:marBottom w:val="0"/>
                      <w:divBdr>
                        <w:top w:val="none" w:sz="0" w:space="0" w:color="auto"/>
                        <w:left w:val="none" w:sz="0" w:space="0" w:color="auto"/>
                        <w:bottom w:val="none" w:sz="0" w:space="0" w:color="auto"/>
                        <w:right w:val="none" w:sz="0" w:space="0" w:color="auto"/>
                      </w:divBdr>
                    </w:div>
                    <w:div w:id="111557677">
                      <w:marLeft w:val="0"/>
                      <w:marRight w:val="0"/>
                      <w:marTop w:val="0"/>
                      <w:marBottom w:val="0"/>
                      <w:divBdr>
                        <w:top w:val="none" w:sz="0" w:space="0" w:color="auto"/>
                        <w:left w:val="none" w:sz="0" w:space="0" w:color="auto"/>
                        <w:bottom w:val="none" w:sz="0" w:space="0" w:color="auto"/>
                        <w:right w:val="none" w:sz="0" w:space="0" w:color="auto"/>
                      </w:divBdr>
                    </w:div>
                  </w:divsChild>
                </w:div>
                <w:div w:id="1631323627">
                  <w:marLeft w:val="0"/>
                  <w:marRight w:val="0"/>
                  <w:marTop w:val="0"/>
                  <w:marBottom w:val="0"/>
                  <w:divBdr>
                    <w:top w:val="none" w:sz="0" w:space="0" w:color="auto"/>
                    <w:left w:val="none" w:sz="0" w:space="0" w:color="auto"/>
                    <w:bottom w:val="none" w:sz="0" w:space="0" w:color="auto"/>
                    <w:right w:val="none" w:sz="0" w:space="0" w:color="auto"/>
                  </w:divBdr>
                  <w:divsChild>
                    <w:div w:id="496729578">
                      <w:marLeft w:val="0"/>
                      <w:marRight w:val="0"/>
                      <w:marTop w:val="0"/>
                      <w:marBottom w:val="0"/>
                      <w:divBdr>
                        <w:top w:val="none" w:sz="0" w:space="0" w:color="auto"/>
                        <w:left w:val="none" w:sz="0" w:space="0" w:color="auto"/>
                        <w:bottom w:val="none" w:sz="0" w:space="0" w:color="auto"/>
                        <w:right w:val="none" w:sz="0" w:space="0" w:color="auto"/>
                      </w:divBdr>
                    </w:div>
                    <w:div w:id="961347850">
                      <w:marLeft w:val="0"/>
                      <w:marRight w:val="0"/>
                      <w:marTop w:val="0"/>
                      <w:marBottom w:val="0"/>
                      <w:divBdr>
                        <w:top w:val="none" w:sz="0" w:space="0" w:color="auto"/>
                        <w:left w:val="none" w:sz="0" w:space="0" w:color="auto"/>
                        <w:bottom w:val="none" w:sz="0" w:space="0" w:color="auto"/>
                        <w:right w:val="none" w:sz="0" w:space="0" w:color="auto"/>
                      </w:divBdr>
                    </w:div>
                    <w:div w:id="1894190213">
                      <w:marLeft w:val="0"/>
                      <w:marRight w:val="0"/>
                      <w:marTop w:val="0"/>
                      <w:marBottom w:val="0"/>
                      <w:divBdr>
                        <w:top w:val="none" w:sz="0" w:space="0" w:color="auto"/>
                        <w:left w:val="none" w:sz="0" w:space="0" w:color="auto"/>
                        <w:bottom w:val="none" w:sz="0" w:space="0" w:color="auto"/>
                        <w:right w:val="none" w:sz="0" w:space="0" w:color="auto"/>
                      </w:divBdr>
                    </w:div>
                    <w:div w:id="1196307018">
                      <w:marLeft w:val="0"/>
                      <w:marRight w:val="0"/>
                      <w:marTop w:val="0"/>
                      <w:marBottom w:val="0"/>
                      <w:divBdr>
                        <w:top w:val="none" w:sz="0" w:space="0" w:color="auto"/>
                        <w:left w:val="none" w:sz="0" w:space="0" w:color="auto"/>
                        <w:bottom w:val="none" w:sz="0" w:space="0" w:color="auto"/>
                        <w:right w:val="none" w:sz="0" w:space="0" w:color="auto"/>
                      </w:divBdr>
                    </w:div>
                    <w:div w:id="1457062308">
                      <w:marLeft w:val="0"/>
                      <w:marRight w:val="0"/>
                      <w:marTop w:val="0"/>
                      <w:marBottom w:val="0"/>
                      <w:divBdr>
                        <w:top w:val="none" w:sz="0" w:space="0" w:color="auto"/>
                        <w:left w:val="none" w:sz="0" w:space="0" w:color="auto"/>
                        <w:bottom w:val="none" w:sz="0" w:space="0" w:color="auto"/>
                        <w:right w:val="none" w:sz="0" w:space="0" w:color="auto"/>
                      </w:divBdr>
                    </w:div>
                    <w:div w:id="1859856013">
                      <w:marLeft w:val="0"/>
                      <w:marRight w:val="0"/>
                      <w:marTop w:val="0"/>
                      <w:marBottom w:val="0"/>
                      <w:divBdr>
                        <w:top w:val="none" w:sz="0" w:space="0" w:color="auto"/>
                        <w:left w:val="none" w:sz="0" w:space="0" w:color="auto"/>
                        <w:bottom w:val="none" w:sz="0" w:space="0" w:color="auto"/>
                        <w:right w:val="none" w:sz="0" w:space="0" w:color="auto"/>
                      </w:divBdr>
                    </w:div>
                    <w:div w:id="164368776">
                      <w:marLeft w:val="0"/>
                      <w:marRight w:val="0"/>
                      <w:marTop w:val="0"/>
                      <w:marBottom w:val="0"/>
                      <w:divBdr>
                        <w:top w:val="none" w:sz="0" w:space="0" w:color="auto"/>
                        <w:left w:val="none" w:sz="0" w:space="0" w:color="auto"/>
                        <w:bottom w:val="none" w:sz="0" w:space="0" w:color="auto"/>
                        <w:right w:val="none" w:sz="0" w:space="0" w:color="auto"/>
                      </w:divBdr>
                    </w:div>
                    <w:div w:id="710229894">
                      <w:marLeft w:val="0"/>
                      <w:marRight w:val="0"/>
                      <w:marTop w:val="0"/>
                      <w:marBottom w:val="0"/>
                      <w:divBdr>
                        <w:top w:val="none" w:sz="0" w:space="0" w:color="auto"/>
                        <w:left w:val="none" w:sz="0" w:space="0" w:color="auto"/>
                        <w:bottom w:val="none" w:sz="0" w:space="0" w:color="auto"/>
                        <w:right w:val="none" w:sz="0" w:space="0" w:color="auto"/>
                      </w:divBdr>
                    </w:div>
                    <w:div w:id="506331724">
                      <w:marLeft w:val="0"/>
                      <w:marRight w:val="0"/>
                      <w:marTop w:val="0"/>
                      <w:marBottom w:val="0"/>
                      <w:divBdr>
                        <w:top w:val="none" w:sz="0" w:space="0" w:color="auto"/>
                        <w:left w:val="none" w:sz="0" w:space="0" w:color="auto"/>
                        <w:bottom w:val="none" w:sz="0" w:space="0" w:color="auto"/>
                        <w:right w:val="none" w:sz="0" w:space="0" w:color="auto"/>
                      </w:divBdr>
                    </w:div>
                    <w:div w:id="427240312">
                      <w:marLeft w:val="0"/>
                      <w:marRight w:val="0"/>
                      <w:marTop w:val="0"/>
                      <w:marBottom w:val="0"/>
                      <w:divBdr>
                        <w:top w:val="none" w:sz="0" w:space="0" w:color="auto"/>
                        <w:left w:val="none" w:sz="0" w:space="0" w:color="auto"/>
                        <w:bottom w:val="none" w:sz="0" w:space="0" w:color="auto"/>
                        <w:right w:val="none" w:sz="0" w:space="0" w:color="auto"/>
                      </w:divBdr>
                    </w:div>
                    <w:div w:id="2020303284">
                      <w:marLeft w:val="0"/>
                      <w:marRight w:val="0"/>
                      <w:marTop w:val="0"/>
                      <w:marBottom w:val="0"/>
                      <w:divBdr>
                        <w:top w:val="none" w:sz="0" w:space="0" w:color="auto"/>
                        <w:left w:val="none" w:sz="0" w:space="0" w:color="auto"/>
                        <w:bottom w:val="none" w:sz="0" w:space="0" w:color="auto"/>
                        <w:right w:val="none" w:sz="0" w:space="0" w:color="auto"/>
                      </w:divBdr>
                    </w:div>
                    <w:div w:id="1458640094">
                      <w:marLeft w:val="0"/>
                      <w:marRight w:val="0"/>
                      <w:marTop w:val="0"/>
                      <w:marBottom w:val="0"/>
                      <w:divBdr>
                        <w:top w:val="none" w:sz="0" w:space="0" w:color="auto"/>
                        <w:left w:val="none" w:sz="0" w:space="0" w:color="auto"/>
                        <w:bottom w:val="none" w:sz="0" w:space="0" w:color="auto"/>
                        <w:right w:val="none" w:sz="0" w:space="0" w:color="auto"/>
                      </w:divBdr>
                    </w:div>
                    <w:div w:id="470094645">
                      <w:marLeft w:val="0"/>
                      <w:marRight w:val="0"/>
                      <w:marTop w:val="0"/>
                      <w:marBottom w:val="0"/>
                      <w:divBdr>
                        <w:top w:val="none" w:sz="0" w:space="0" w:color="auto"/>
                        <w:left w:val="none" w:sz="0" w:space="0" w:color="auto"/>
                        <w:bottom w:val="none" w:sz="0" w:space="0" w:color="auto"/>
                        <w:right w:val="none" w:sz="0" w:space="0" w:color="auto"/>
                      </w:divBdr>
                    </w:div>
                    <w:div w:id="1847210510">
                      <w:marLeft w:val="0"/>
                      <w:marRight w:val="0"/>
                      <w:marTop w:val="0"/>
                      <w:marBottom w:val="0"/>
                      <w:divBdr>
                        <w:top w:val="none" w:sz="0" w:space="0" w:color="auto"/>
                        <w:left w:val="none" w:sz="0" w:space="0" w:color="auto"/>
                        <w:bottom w:val="none" w:sz="0" w:space="0" w:color="auto"/>
                        <w:right w:val="none" w:sz="0" w:space="0" w:color="auto"/>
                      </w:divBdr>
                    </w:div>
                    <w:div w:id="1713840857">
                      <w:marLeft w:val="0"/>
                      <w:marRight w:val="0"/>
                      <w:marTop w:val="0"/>
                      <w:marBottom w:val="0"/>
                      <w:divBdr>
                        <w:top w:val="none" w:sz="0" w:space="0" w:color="auto"/>
                        <w:left w:val="none" w:sz="0" w:space="0" w:color="auto"/>
                        <w:bottom w:val="none" w:sz="0" w:space="0" w:color="auto"/>
                        <w:right w:val="none" w:sz="0" w:space="0" w:color="auto"/>
                      </w:divBdr>
                    </w:div>
                  </w:divsChild>
                </w:div>
                <w:div w:id="1121652925">
                  <w:marLeft w:val="0"/>
                  <w:marRight w:val="0"/>
                  <w:marTop w:val="0"/>
                  <w:marBottom w:val="0"/>
                  <w:divBdr>
                    <w:top w:val="none" w:sz="0" w:space="0" w:color="auto"/>
                    <w:left w:val="none" w:sz="0" w:space="0" w:color="auto"/>
                    <w:bottom w:val="none" w:sz="0" w:space="0" w:color="auto"/>
                    <w:right w:val="none" w:sz="0" w:space="0" w:color="auto"/>
                  </w:divBdr>
                  <w:divsChild>
                    <w:div w:id="99180295">
                      <w:marLeft w:val="0"/>
                      <w:marRight w:val="0"/>
                      <w:marTop w:val="0"/>
                      <w:marBottom w:val="0"/>
                      <w:divBdr>
                        <w:top w:val="none" w:sz="0" w:space="0" w:color="auto"/>
                        <w:left w:val="none" w:sz="0" w:space="0" w:color="auto"/>
                        <w:bottom w:val="none" w:sz="0" w:space="0" w:color="auto"/>
                        <w:right w:val="none" w:sz="0" w:space="0" w:color="auto"/>
                      </w:divBdr>
                    </w:div>
                  </w:divsChild>
                </w:div>
                <w:div w:id="1379622484">
                  <w:marLeft w:val="0"/>
                  <w:marRight w:val="0"/>
                  <w:marTop w:val="0"/>
                  <w:marBottom w:val="0"/>
                  <w:divBdr>
                    <w:top w:val="none" w:sz="0" w:space="0" w:color="auto"/>
                    <w:left w:val="none" w:sz="0" w:space="0" w:color="auto"/>
                    <w:bottom w:val="none" w:sz="0" w:space="0" w:color="auto"/>
                    <w:right w:val="none" w:sz="0" w:space="0" w:color="auto"/>
                  </w:divBdr>
                  <w:divsChild>
                    <w:div w:id="913394880">
                      <w:marLeft w:val="0"/>
                      <w:marRight w:val="0"/>
                      <w:marTop w:val="0"/>
                      <w:marBottom w:val="0"/>
                      <w:divBdr>
                        <w:top w:val="none" w:sz="0" w:space="0" w:color="auto"/>
                        <w:left w:val="none" w:sz="0" w:space="0" w:color="auto"/>
                        <w:bottom w:val="none" w:sz="0" w:space="0" w:color="auto"/>
                        <w:right w:val="none" w:sz="0" w:space="0" w:color="auto"/>
                      </w:divBdr>
                    </w:div>
                    <w:div w:id="2120299099">
                      <w:marLeft w:val="0"/>
                      <w:marRight w:val="0"/>
                      <w:marTop w:val="0"/>
                      <w:marBottom w:val="0"/>
                      <w:divBdr>
                        <w:top w:val="none" w:sz="0" w:space="0" w:color="auto"/>
                        <w:left w:val="none" w:sz="0" w:space="0" w:color="auto"/>
                        <w:bottom w:val="none" w:sz="0" w:space="0" w:color="auto"/>
                        <w:right w:val="none" w:sz="0" w:space="0" w:color="auto"/>
                      </w:divBdr>
                    </w:div>
                    <w:div w:id="1629778779">
                      <w:marLeft w:val="0"/>
                      <w:marRight w:val="0"/>
                      <w:marTop w:val="0"/>
                      <w:marBottom w:val="0"/>
                      <w:divBdr>
                        <w:top w:val="none" w:sz="0" w:space="0" w:color="auto"/>
                        <w:left w:val="none" w:sz="0" w:space="0" w:color="auto"/>
                        <w:bottom w:val="none" w:sz="0" w:space="0" w:color="auto"/>
                        <w:right w:val="none" w:sz="0" w:space="0" w:color="auto"/>
                      </w:divBdr>
                    </w:div>
                    <w:div w:id="631909480">
                      <w:marLeft w:val="0"/>
                      <w:marRight w:val="0"/>
                      <w:marTop w:val="0"/>
                      <w:marBottom w:val="0"/>
                      <w:divBdr>
                        <w:top w:val="none" w:sz="0" w:space="0" w:color="auto"/>
                        <w:left w:val="none" w:sz="0" w:space="0" w:color="auto"/>
                        <w:bottom w:val="none" w:sz="0" w:space="0" w:color="auto"/>
                        <w:right w:val="none" w:sz="0" w:space="0" w:color="auto"/>
                      </w:divBdr>
                    </w:div>
                    <w:div w:id="1463840170">
                      <w:marLeft w:val="0"/>
                      <w:marRight w:val="0"/>
                      <w:marTop w:val="0"/>
                      <w:marBottom w:val="0"/>
                      <w:divBdr>
                        <w:top w:val="none" w:sz="0" w:space="0" w:color="auto"/>
                        <w:left w:val="none" w:sz="0" w:space="0" w:color="auto"/>
                        <w:bottom w:val="none" w:sz="0" w:space="0" w:color="auto"/>
                        <w:right w:val="none" w:sz="0" w:space="0" w:color="auto"/>
                      </w:divBdr>
                    </w:div>
                    <w:div w:id="1113397909">
                      <w:marLeft w:val="0"/>
                      <w:marRight w:val="0"/>
                      <w:marTop w:val="0"/>
                      <w:marBottom w:val="0"/>
                      <w:divBdr>
                        <w:top w:val="none" w:sz="0" w:space="0" w:color="auto"/>
                        <w:left w:val="none" w:sz="0" w:space="0" w:color="auto"/>
                        <w:bottom w:val="none" w:sz="0" w:space="0" w:color="auto"/>
                        <w:right w:val="none" w:sz="0" w:space="0" w:color="auto"/>
                      </w:divBdr>
                    </w:div>
                    <w:div w:id="1515917043">
                      <w:marLeft w:val="0"/>
                      <w:marRight w:val="0"/>
                      <w:marTop w:val="0"/>
                      <w:marBottom w:val="0"/>
                      <w:divBdr>
                        <w:top w:val="none" w:sz="0" w:space="0" w:color="auto"/>
                        <w:left w:val="none" w:sz="0" w:space="0" w:color="auto"/>
                        <w:bottom w:val="none" w:sz="0" w:space="0" w:color="auto"/>
                        <w:right w:val="none" w:sz="0" w:space="0" w:color="auto"/>
                      </w:divBdr>
                    </w:div>
                    <w:div w:id="1994554939">
                      <w:marLeft w:val="0"/>
                      <w:marRight w:val="0"/>
                      <w:marTop w:val="0"/>
                      <w:marBottom w:val="0"/>
                      <w:divBdr>
                        <w:top w:val="none" w:sz="0" w:space="0" w:color="auto"/>
                        <w:left w:val="none" w:sz="0" w:space="0" w:color="auto"/>
                        <w:bottom w:val="none" w:sz="0" w:space="0" w:color="auto"/>
                        <w:right w:val="none" w:sz="0" w:space="0" w:color="auto"/>
                      </w:divBdr>
                    </w:div>
                    <w:div w:id="1098864441">
                      <w:marLeft w:val="0"/>
                      <w:marRight w:val="0"/>
                      <w:marTop w:val="0"/>
                      <w:marBottom w:val="0"/>
                      <w:divBdr>
                        <w:top w:val="none" w:sz="0" w:space="0" w:color="auto"/>
                        <w:left w:val="none" w:sz="0" w:space="0" w:color="auto"/>
                        <w:bottom w:val="none" w:sz="0" w:space="0" w:color="auto"/>
                        <w:right w:val="none" w:sz="0" w:space="0" w:color="auto"/>
                      </w:divBdr>
                    </w:div>
                  </w:divsChild>
                </w:div>
                <w:div w:id="901335885">
                  <w:marLeft w:val="0"/>
                  <w:marRight w:val="0"/>
                  <w:marTop w:val="0"/>
                  <w:marBottom w:val="0"/>
                  <w:divBdr>
                    <w:top w:val="none" w:sz="0" w:space="0" w:color="auto"/>
                    <w:left w:val="none" w:sz="0" w:space="0" w:color="auto"/>
                    <w:bottom w:val="none" w:sz="0" w:space="0" w:color="auto"/>
                    <w:right w:val="none" w:sz="0" w:space="0" w:color="auto"/>
                  </w:divBdr>
                  <w:divsChild>
                    <w:div w:id="1847554742">
                      <w:marLeft w:val="0"/>
                      <w:marRight w:val="0"/>
                      <w:marTop w:val="0"/>
                      <w:marBottom w:val="0"/>
                      <w:divBdr>
                        <w:top w:val="none" w:sz="0" w:space="0" w:color="auto"/>
                        <w:left w:val="none" w:sz="0" w:space="0" w:color="auto"/>
                        <w:bottom w:val="none" w:sz="0" w:space="0" w:color="auto"/>
                        <w:right w:val="none" w:sz="0" w:space="0" w:color="auto"/>
                      </w:divBdr>
                    </w:div>
                    <w:div w:id="1662344199">
                      <w:marLeft w:val="0"/>
                      <w:marRight w:val="0"/>
                      <w:marTop w:val="0"/>
                      <w:marBottom w:val="0"/>
                      <w:divBdr>
                        <w:top w:val="none" w:sz="0" w:space="0" w:color="auto"/>
                        <w:left w:val="none" w:sz="0" w:space="0" w:color="auto"/>
                        <w:bottom w:val="none" w:sz="0" w:space="0" w:color="auto"/>
                        <w:right w:val="none" w:sz="0" w:space="0" w:color="auto"/>
                      </w:divBdr>
                    </w:div>
                    <w:div w:id="769202020">
                      <w:marLeft w:val="0"/>
                      <w:marRight w:val="0"/>
                      <w:marTop w:val="0"/>
                      <w:marBottom w:val="0"/>
                      <w:divBdr>
                        <w:top w:val="none" w:sz="0" w:space="0" w:color="auto"/>
                        <w:left w:val="none" w:sz="0" w:space="0" w:color="auto"/>
                        <w:bottom w:val="none" w:sz="0" w:space="0" w:color="auto"/>
                        <w:right w:val="none" w:sz="0" w:space="0" w:color="auto"/>
                      </w:divBdr>
                    </w:div>
                    <w:div w:id="1404570941">
                      <w:marLeft w:val="0"/>
                      <w:marRight w:val="0"/>
                      <w:marTop w:val="0"/>
                      <w:marBottom w:val="0"/>
                      <w:divBdr>
                        <w:top w:val="none" w:sz="0" w:space="0" w:color="auto"/>
                        <w:left w:val="none" w:sz="0" w:space="0" w:color="auto"/>
                        <w:bottom w:val="none" w:sz="0" w:space="0" w:color="auto"/>
                        <w:right w:val="none" w:sz="0" w:space="0" w:color="auto"/>
                      </w:divBdr>
                    </w:div>
                    <w:div w:id="1720855710">
                      <w:marLeft w:val="0"/>
                      <w:marRight w:val="0"/>
                      <w:marTop w:val="0"/>
                      <w:marBottom w:val="0"/>
                      <w:divBdr>
                        <w:top w:val="none" w:sz="0" w:space="0" w:color="auto"/>
                        <w:left w:val="none" w:sz="0" w:space="0" w:color="auto"/>
                        <w:bottom w:val="none" w:sz="0" w:space="0" w:color="auto"/>
                        <w:right w:val="none" w:sz="0" w:space="0" w:color="auto"/>
                      </w:divBdr>
                    </w:div>
                    <w:div w:id="845444420">
                      <w:marLeft w:val="0"/>
                      <w:marRight w:val="0"/>
                      <w:marTop w:val="0"/>
                      <w:marBottom w:val="0"/>
                      <w:divBdr>
                        <w:top w:val="none" w:sz="0" w:space="0" w:color="auto"/>
                        <w:left w:val="none" w:sz="0" w:space="0" w:color="auto"/>
                        <w:bottom w:val="none" w:sz="0" w:space="0" w:color="auto"/>
                        <w:right w:val="none" w:sz="0" w:space="0" w:color="auto"/>
                      </w:divBdr>
                    </w:div>
                    <w:div w:id="1403403150">
                      <w:marLeft w:val="0"/>
                      <w:marRight w:val="0"/>
                      <w:marTop w:val="0"/>
                      <w:marBottom w:val="0"/>
                      <w:divBdr>
                        <w:top w:val="none" w:sz="0" w:space="0" w:color="auto"/>
                        <w:left w:val="none" w:sz="0" w:space="0" w:color="auto"/>
                        <w:bottom w:val="none" w:sz="0" w:space="0" w:color="auto"/>
                        <w:right w:val="none" w:sz="0" w:space="0" w:color="auto"/>
                      </w:divBdr>
                    </w:div>
                    <w:div w:id="1030104366">
                      <w:marLeft w:val="0"/>
                      <w:marRight w:val="0"/>
                      <w:marTop w:val="0"/>
                      <w:marBottom w:val="0"/>
                      <w:divBdr>
                        <w:top w:val="none" w:sz="0" w:space="0" w:color="auto"/>
                        <w:left w:val="none" w:sz="0" w:space="0" w:color="auto"/>
                        <w:bottom w:val="none" w:sz="0" w:space="0" w:color="auto"/>
                        <w:right w:val="none" w:sz="0" w:space="0" w:color="auto"/>
                      </w:divBdr>
                    </w:div>
                    <w:div w:id="1915239622">
                      <w:marLeft w:val="0"/>
                      <w:marRight w:val="0"/>
                      <w:marTop w:val="0"/>
                      <w:marBottom w:val="0"/>
                      <w:divBdr>
                        <w:top w:val="none" w:sz="0" w:space="0" w:color="auto"/>
                        <w:left w:val="none" w:sz="0" w:space="0" w:color="auto"/>
                        <w:bottom w:val="none" w:sz="0" w:space="0" w:color="auto"/>
                        <w:right w:val="none" w:sz="0" w:space="0" w:color="auto"/>
                      </w:divBdr>
                    </w:div>
                    <w:div w:id="147524734">
                      <w:marLeft w:val="0"/>
                      <w:marRight w:val="0"/>
                      <w:marTop w:val="0"/>
                      <w:marBottom w:val="0"/>
                      <w:divBdr>
                        <w:top w:val="none" w:sz="0" w:space="0" w:color="auto"/>
                        <w:left w:val="none" w:sz="0" w:space="0" w:color="auto"/>
                        <w:bottom w:val="none" w:sz="0" w:space="0" w:color="auto"/>
                        <w:right w:val="none" w:sz="0" w:space="0" w:color="auto"/>
                      </w:divBdr>
                    </w:div>
                    <w:div w:id="1979915802">
                      <w:marLeft w:val="0"/>
                      <w:marRight w:val="0"/>
                      <w:marTop w:val="0"/>
                      <w:marBottom w:val="0"/>
                      <w:divBdr>
                        <w:top w:val="none" w:sz="0" w:space="0" w:color="auto"/>
                        <w:left w:val="none" w:sz="0" w:space="0" w:color="auto"/>
                        <w:bottom w:val="none" w:sz="0" w:space="0" w:color="auto"/>
                        <w:right w:val="none" w:sz="0" w:space="0" w:color="auto"/>
                      </w:divBdr>
                    </w:div>
                    <w:div w:id="1245609327">
                      <w:marLeft w:val="0"/>
                      <w:marRight w:val="0"/>
                      <w:marTop w:val="0"/>
                      <w:marBottom w:val="0"/>
                      <w:divBdr>
                        <w:top w:val="none" w:sz="0" w:space="0" w:color="auto"/>
                        <w:left w:val="none" w:sz="0" w:space="0" w:color="auto"/>
                        <w:bottom w:val="none" w:sz="0" w:space="0" w:color="auto"/>
                        <w:right w:val="none" w:sz="0" w:space="0" w:color="auto"/>
                      </w:divBdr>
                    </w:div>
                    <w:div w:id="1167481037">
                      <w:marLeft w:val="0"/>
                      <w:marRight w:val="0"/>
                      <w:marTop w:val="0"/>
                      <w:marBottom w:val="0"/>
                      <w:divBdr>
                        <w:top w:val="none" w:sz="0" w:space="0" w:color="auto"/>
                        <w:left w:val="none" w:sz="0" w:space="0" w:color="auto"/>
                        <w:bottom w:val="none" w:sz="0" w:space="0" w:color="auto"/>
                        <w:right w:val="none" w:sz="0" w:space="0" w:color="auto"/>
                      </w:divBdr>
                    </w:div>
                    <w:div w:id="12023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13723">
          <w:marLeft w:val="0"/>
          <w:marRight w:val="0"/>
          <w:marTop w:val="0"/>
          <w:marBottom w:val="0"/>
          <w:divBdr>
            <w:top w:val="none" w:sz="0" w:space="0" w:color="auto"/>
            <w:left w:val="none" w:sz="0" w:space="0" w:color="auto"/>
            <w:bottom w:val="none" w:sz="0" w:space="0" w:color="auto"/>
            <w:right w:val="none" w:sz="0" w:space="0" w:color="auto"/>
          </w:divBdr>
        </w:div>
        <w:div w:id="1139572144">
          <w:marLeft w:val="0"/>
          <w:marRight w:val="0"/>
          <w:marTop w:val="0"/>
          <w:marBottom w:val="0"/>
          <w:divBdr>
            <w:top w:val="none" w:sz="0" w:space="0" w:color="auto"/>
            <w:left w:val="none" w:sz="0" w:space="0" w:color="auto"/>
            <w:bottom w:val="none" w:sz="0" w:space="0" w:color="auto"/>
            <w:right w:val="none" w:sz="0" w:space="0" w:color="auto"/>
          </w:divBdr>
        </w:div>
        <w:div w:id="2115661186">
          <w:marLeft w:val="0"/>
          <w:marRight w:val="0"/>
          <w:marTop w:val="0"/>
          <w:marBottom w:val="0"/>
          <w:divBdr>
            <w:top w:val="none" w:sz="0" w:space="0" w:color="auto"/>
            <w:left w:val="none" w:sz="0" w:space="0" w:color="auto"/>
            <w:bottom w:val="none" w:sz="0" w:space="0" w:color="auto"/>
            <w:right w:val="none" w:sz="0" w:space="0" w:color="auto"/>
          </w:divBdr>
        </w:div>
        <w:div w:id="255066367">
          <w:marLeft w:val="0"/>
          <w:marRight w:val="0"/>
          <w:marTop w:val="0"/>
          <w:marBottom w:val="0"/>
          <w:divBdr>
            <w:top w:val="none" w:sz="0" w:space="0" w:color="auto"/>
            <w:left w:val="none" w:sz="0" w:space="0" w:color="auto"/>
            <w:bottom w:val="none" w:sz="0" w:space="0" w:color="auto"/>
            <w:right w:val="none" w:sz="0" w:space="0" w:color="auto"/>
          </w:divBdr>
          <w:divsChild>
            <w:div w:id="809710713">
              <w:marLeft w:val="-75"/>
              <w:marRight w:val="0"/>
              <w:marTop w:val="30"/>
              <w:marBottom w:val="30"/>
              <w:divBdr>
                <w:top w:val="none" w:sz="0" w:space="0" w:color="auto"/>
                <w:left w:val="none" w:sz="0" w:space="0" w:color="auto"/>
                <w:bottom w:val="none" w:sz="0" w:space="0" w:color="auto"/>
                <w:right w:val="none" w:sz="0" w:space="0" w:color="auto"/>
              </w:divBdr>
              <w:divsChild>
                <w:div w:id="412776933">
                  <w:marLeft w:val="0"/>
                  <w:marRight w:val="0"/>
                  <w:marTop w:val="0"/>
                  <w:marBottom w:val="0"/>
                  <w:divBdr>
                    <w:top w:val="none" w:sz="0" w:space="0" w:color="auto"/>
                    <w:left w:val="none" w:sz="0" w:space="0" w:color="auto"/>
                    <w:bottom w:val="none" w:sz="0" w:space="0" w:color="auto"/>
                    <w:right w:val="none" w:sz="0" w:space="0" w:color="auto"/>
                  </w:divBdr>
                  <w:divsChild>
                    <w:div w:id="763572128">
                      <w:marLeft w:val="0"/>
                      <w:marRight w:val="0"/>
                      <w:marTop w:val="0"/>
                      <w:marBottom w:val="0"/>
                      <w:divBdr>
                        <w:top w:val="none" w:sz="0" w:space="0" w:color="auto"/>
                        <w:left w:val="none" w:sz="0" w:space="0" w:color="auto"/>
                        <w:bottom w:val="none" w:sz="0" w:space="0" w:color="auto"/>
                        <w:right w:val="none" w:sz="0" w:space="0" w:color="auto"/>
                      </w:divBdr>
                    </w:div>
                  </w:divsChild>
                </w:div>
                <w:div w:id="553741247">
                  <w:marLeft w:val="0"/>
                  <w:marRight w:val="0"/>
                  <w:marTop w:val="0"/>
                  <w:marBottom w:val="0"/>
                  <w:divBdr>
                    <w:top w:val="none" w:sz="0" w:space="0" w:color="auto"/>
                    <w:left w:val="none" w:sz="0" w:space="0" w:color="auto"/>
                    <w:bottom w:val="none" w:sz="0" w:space="0" w:color="auto"/>
                    <w:right w:val="none" w:sz="0" w:space="0" w:color="auto"/>
                  </w:divBdr>
                  <w:divsChild>
                    <w:div w:id="1908689545">
                      <w:marLeft w:val="0"/>
                      <w:marRight w:val="0"/>
                      <w:marTop w:val="0"/>
                      <w:marBottom w:val="0"/>
                      <w:divBdr>
                        <w:top w:val="none" w:sz="0" w:space="0" w:color="auto"/>
                        <w:left w:val="none" w:sz="0" w:space="0" w:color="auto"/>
                        <w:bottom w:val="none" w:sz="0" w:space="0" w:color="auto"/>
                        <w:right w:val="none" w:sz="0" w:space="0" w:color="auto"/>
                      </w:divBdr>
                    </w:div>
                    <w:div w:id="403063073">
                      <w:marLeft w:val="0"/>
                      <w:marRight w:val="0"/>
                      <w:marTop w:val="0"/>
                      <w:marBottom w:val="0"/>
                      <w:divBdr>
                        <w:top w:val="none" w:sz="0" w:space="0" w:color="auto"/>
                        <w:left w:val="none" w:sz="0" w:space="0" w:color="auto"/>
                        <w:bottom w:val="none" w:sz="0" w:space="0" w:color="auto"/>
                        <w:right w:val="none" w:sz="0" w:space="0" w:color="auto"/>
                      </w:divBdr>
                    </w:div>
                  </w:divsChild>
                </w:div>
                <w:div w:id="1429160440">
                  <w:marLeft w:val="0"/>
                  <w:marRight w:val="0"/>
                  <w:marTop w:val="0"/>
                  <w:marBottom w:val="0"/>
                  <w:divBdr>
                    <w:top w:val="none" w:sz="0" w:space="0" w:color="auto"/>
                    <w:left w:val="none" w:sz="0" w:space="0" w:color="auto"/>
                    <w:bottom w:val="none" w:sz="0" w:space="0" w:color="auto"/>
                    <w:right w:val="none" w:sz="0" w:space="0" w:color="auto"/>
                  </w:divBdr>
                  <w:divsChild>
                    <w:div w:id="459298191">
                      <w:marLeft w:val="0"/>
                      <w:marRight w:val="0"/>
                      <w:marTop w:val="0"/>
                      <w:marBottom w:val="0"/>
                      <w:divBdr>
                        <w:top w:val="none" w:sz="0" w:space="0" w:color="auto"/>
                        <w:left w:val="none" w:sz="0" w:space="0" w:color="auto"/>
                        <w:bottom w:val="none" w:sz="0" w:space="0" w:color="auto"/>
                        <w:right w:val="none" w:sz="0" w:space="0" w:color="auto"/>
                      </w:divBdr>
                    </w:div>
                    <w:div w:id="1862667100">
                      <w:marLeft w:val="0"/>
                      <w:marRight w:val="0"/>
                      <w:marTop w:val="0"/>
                      <w:marBottom w:val="0"/>
                      <w:divBdr>
                        <w:top w:val="none" w:sz="0" w:space="0" w:color="auto"/>
                        <w:left w:val="none" w:sz="0" w:space="0" w:color="auto"/>
                        <w:bottom w:val="none" w:sz="0" w:space="0" w:color="auto"/>
                        <w:right w:val="none" w:sz="0" w:space="0" w:color="auto"/>
                      </w:divBdr>
                    </w:div>
                  </w:divsChild>
                </w:div>
                <w:div w:id="446387044">
                  <w:marLeft w:val="0"/>
                  <w:marRight w:val="0"/>
                  <w:marTop w:val="0"/>
                  <w:marBottom w:val="0"/>
                  <w:divBdr>
                    <w:top w:val="none" w:sz="0" w:space="0" w:color="auto"/>
                    <w:left w:val="none" w:sz="0" w:space="0" w:color="auto"/>
                    <w:bottom w:val="none" w:sz="0" w:space="0" w:color="auto"/>
                    <w:right w:val="none" w:sz="0" w:space="0" w:color="auto"/>
                  </w:divBdr>
                  <w:divsChild>
                    <w:div w:id="1908025828">
                      <w:marLeft w:val="0"/>
                      <w:marRight w:val="0"/>
                      <w:marTop w:val="0"/>
                      <w:marBottom w:val="0"/>
                      <w:divBdr>
                        <w:top w:val="none" w:sz="0" w:space="0" w:color="auto"/>
                        <w:left w:val="none" w:sz="0" w:space="0" w:color="auto"/>
                        <w:bottom w:val="none" w:sz="0" w:space="0" w:color="auto"/>
                        <w:right w:val="none" w:sz="0" w:space="0" w:color="auto"/>
                      </w:divBdr>
                    </w:div>
                  </w:divsChild>
                </w:div>
                <w:div w:id="1020083228">
                  <w:marLeft w:val="0"/>
                  <w:marRight w:val="0"/>
                  <w:marTop w:val="0"/>
                  <w:marBottom w:val="0"/>
                  <w:divBdr>
                    <w:top w:val="none" w:sz="0" w:space="0" w:color="auto"/>
                    <w:left w:val="none" w:sz="0" w:space="0" w:color="auto"/>
                    <w:bottom w:val="none" w:sz="0" w:space="0" w:color="auto"/>
                    <w:right w:val="none" w:sz="0" w:space="0" w:color="auto"/>
                  </w:divBdr>
                  <w:divsChild>
                    <w:div w:id="1412044810">
                      <w:marLeft w:val="0"/>
                      <w:marRight w:val="0"/>
                      <w:marTop w:val="0"/>
                      <w:marBottom w:val="0"/>
                      <w:divBdr>
                        <w:top w:val="none" w:sz="0" w:space="0" w:color="auto"/>
                        <w:left w:val="none" w:sz="0" w:space="0" w:color="auto"/>
                        <w:bottom w:val="none" w:sz="0" w:space="0" w:color="auto"/>
                        <w:right w:val="none" w:sz="0" w:space="0" w:color="auto"/>
                      </w:divBdr>
                    </w:div>
                  </w:divsChild>
                </w:div>
                <w:div w:id="974793878">
                  <w:marLeft w:val="0"/>
                  <w:marRight w:val="0"/>
                  <w:marTop w:val="0"/>
                  <w:marBottom w:val="0"/>
                  <w:divBdr>
                    <w:top w:val="none" w:sz="0" w:space="0" w:color="auto"/>
                    <w:left w:val="none" w:sz="0" w:space="0" w:color="auto"/>
                    <w:bottom w:val="none" w:sz="0" w:space="0" w:color="auto"/>
                    <w:right w:val="none" w:sz="0" w:space="0" w:color="auto"/>
                  </w:divBdr>
                  <w:divsChild>
                    <w:div w:id="328286928">
                      <w:marLeft w:val="0"/>
                      <w:marRight w:val="0"/>
                      <w:marTop w:val="0"/>
                      <w:marBottom w:val="0"/>
                      <w:divBdr>
                        <w:top w:val="none" w:sz="0" w:space="0" w:color="auto"/>
                        <w:left w:val="none" w:sz="0" w:space="0" w:color="auto"/>
                        <w:bottom w:val="none" w:sz="0" w:space="0" w:color="auto"/>
                        <w:right w:val="none" w:sz="0" w:space="0" w:color="auto"/>
                      </w:divBdr>
                    </w:div>
                  </w:divsChild>
                </w:div>
                <w:div w:id="1792626879">
                  <w:marLeft w:val="0"/>
                  <w:marRight w:val="0"/>
                  <w:marTop w:val="0"/>
                  <w:marBottom w:val="0"/>
                  <w:divBdr>
                    <w:top w:val="none" w:sz="0" w:space="0" w:color="auto"/>
                    <w:left w:val="none" w:sz="0" w:space="0" w:color="auto"/>
                    <w:bottom w:val="none" w:sz="0" w:space="0" w:color="auto"/>
                    <w:right w:val="none" w:sz="0" w:space="0" w:color="auto"/>
                  </w:divBdr>
                  <w:divsChild>
                    <w:div w:id="84040319">
                      <w:marLeft w:val="0"/>
                      <w:marRight w:val="0"/>
                      <w:marTop w:val="0"/>
                      <w:marBottom w:val="0"/>
                      <w:divBdr>
                        <w:top w:val="none" w:sz="0" w:space="0" w:color="auto"/>
                        <w:left w:val="none" w:sz="0" w:space="0" w:color="auto"/>
                        <w:bottom w:val="none" w:sz="0" w:space="0" w:color="auto"/>
                        <w:right w:val="none" w:sz="0" w:space="0" w:color="auto"/>
                      </w:divBdr>
                    </w:div>
                  </w:divsChild>
                </w:div>
                <w:div w:id="812059188">
                  <w:marLeft w:val="0"/>
                  <w:marRight w:val="0"/>
                  <w:marTop w:val="0"/>
                  <w:marBottom w:val="0"/>
                  <w:divBdr>
                    <w:top w:val="none" w:sz="0" w:space="0" w:color="auto"/>
                    <w:left w:val="none" w:sz="0" w:space="0" w:color="auto"/>
                    <w:bottom w:val="none" w:sz="0" w:space="0" w:color="auto"/>
                    <w:right w:val="none" w:sz="0" w:space="0" w:color="auto"/>
                  </w:divBdr>
                  <w:divsChild>
                    <w:div w:id="1480731352">
                      <w:marLeft w:val="0"/>
                      <w:marRight w:val="0"/>
                      <w:marTop w:val="0"/>
                      <w:marBottom w:val="0"/>
                      <w:divBdr>
                        <w:top w:val="none" w:sz="0" w:space="0" w:color="auto"/>
                        <w:left w:val="none" w:sz="0" w:space="0" w:color="auto"/>
                        <w:bottom w:val="none" w:sz="0" w:space="0" w:color="auto"/>
                        <w:right w:val="none" w:sz="0" w:space="0" w:color="auto"/>
                      </w:divBdr>
                    </w:div>
                  </w:divsChild>
                </w:div>
                <w:div w:id="1439717898">
                  <w:marLeft w:val="0"/>
                  <w:marRight w:val="0"/>
                  <w:marTop w:val="0"/>
                  <w:marBottom w:val="0"/>
                  <w:divBdr>
                    <w:top w:val="none" w:sz="0" w:space="0" w:color="auto"/>
                    <w:left w:val="none" w:sz="0" w:space="0" w:color="auto"/>
                    <w:bottom w:val="none" w:sz="0" w:space="0" w:color="auto"/>
                    <w:right w:val="none" w:sz="0" w:space="0" w:color="auto"/>
                  </w:divBdr>
                  <w:divsChild>
                    <w:div w:id="28730100">
                      <w:marLeft w:val="0"/>
                      <w:marRight w:val="0"/>
                      <w:marTop w:val="0"/>
                      <w:marBottom w:val="0"/>
                      <w:divBdr>
                        <w:top w:val="none" w:sz="0" w:space="0" w:color="auto"/>
                        <w:left w:val="none" w:sz="0" w:space="0" w:color="auto"/>
                        <w:bottom w:val="none" w:sz="0" w:space="0" w:color="auto"/>
                        <w:right w:val="none" w:sz="0" w:space="0" w:color="auto"/>
                      </w:divBdr>
                    </w:div>
                  </w:divsChild>
                </w:div>
                <w:div w:id="14352589">
                  <w:marLeft w:val="0"/>
                  <w:marRight w:val="0"/>
                  <w:marTop w:val="0"/>
                  <w:marBottom w:val="0"/>
                  <w:divBdr>
                    <w:top w:val="none" w:sz="0" w:space="0" w:color="auto"/>
                    <w:left w:val="none" w:sz="0" w:space="0" w:color="auto"/>
                    <w:bottom w:val="none" w:sz="0" w:space="0" w:color="auto"/>
                    <w:right w:val="none" w:sz="0" w:space="0" w:color="auto"/>
                  </w:divBdr>
                  <w:divsChild>
                    <w:div w:id="1609121129">
                      <w:marLeft w:val="0"/>
                      <w:marRight w:val="0"/>
                      <w:marTop w:val="0"/>
                      <w:marBottom w:val="0"/>
                      <w:divBdr>
                        <w:top w:val="none" w:sz="0" w:space="0" w:color="auto"/>
                        <w:left w:val="none" w:sz="0" w:space="0" w:color="auto"/>
                        <w:bottom w:val="none" w:sz="0" w:space="0" w:color="auto"/>
                        <w:right w:val="none" w:sz="0" w:space="0" w:color="auto"/>
                      </w:divBdr>
                    </w:div>
                  </w:divsChild>
                </w:div>
                <w:div w:id="1870415266">
                  <w:marLeft w:val="0"/>
                  <w:marRight w:val="0"/>
                  <w:marTop w:val="0"/>
                  <w:marBottom w:val="0"/>
                  <w:divBdr>
                    <w:top w:val="none" w:sz="0" w:space="0" w:color="auto"/>
                    <w:left w:val="none" w:sz="0" w:space="0" w:color="auto"/>
                    <w:bottom w:val="none" w:sz="0" w:space="0" w:color="auto"/>
                    <w:right w:val="none" w:sz="0" w:space="0" w:color="auto"/>
                  </w:divBdr>
                  <w:divsChild>
                    <w:div w:id="1328052299">
                      <w:marLeft w:val="0"/>
                      <w:marRight w:val="0"/>
                      <w:marTop w:val="0"/>
                      <w:marBottom w:val="0"/>
                      <w:divBdr>
                        <w:top w:val="none" w:sz="0" w:space="0" w:color="auto"/>
                        <w:left w:val="none" w:sz="0" w:space="0" w:color="auto"/>
                        <w:bottom w:val="none" w:sz="0" w:space="0" w:color="auto"/>
                        <w:right w:val="none" w:sz="0" w:space="0" w:color="auto"/>
                      </w:divBdr>
                    </w:div>
                  </w:divsChild>
                </w:div>
                <w:div w:id="609750736">
                  <w:marLeft w:val="0"/>
                  <w:marRight w:val="0"/>
                  <w:marTop w:val="0"/>
                  <w:marBottom w:val="0"/>
                  <w:divBdr>
                    <w:top w:val="none" w:sz="0" w:space="0" w:color="auto"/>
                    <w:left w:val="none" w:sz="0" w:space="0" w:color="auto"/>
                    <w:bottom w:val="none" w:sz="0" w:space="0" w:color="auto"/>
                    <w:right w:val="none" w:sz="0" w:space="0" w:color="auto"/>
                  </w:divBdr>
                  <w:divsChild>
                    <w:div w:id="1848329165">
                      <w:marLeft w:val="0"/>
                      <w:marRight w:val="0"/>
                      <w:marTop w:val="0"/>
                      <w:marBottom w:val="0"/>
                      <w:divBdr>
                        <w:top w:val="none" w:sz="0" w:space="0" w:color="auto"/>
                        <w:left w:val="none" w:sz="0" w:space="0" w:color="auto"/>
                        <w:bottom w:val="none" w:sz="0" w:space="0" w:color="auto"/>
                        <w:right w:val="none" w:sz="0" w:space="0" w:color="auto"/>
                      </w:divBdr>
                    </w:div>
                  </w:divsChild>
                </w:div>
                <w:div w:id="1825268921">
                  <w:marLeft w:val="0"/>
                  <w:marRight w:val="0"/>
                  <w:marTop w:val="0"/>
                  <w:marBottom w:val="0"/>
                  <w:divBdr>
                    <w:top w:val="none" w:sz="0" w:space="0" w:color="auto"/>
                    <w:left w:val="none" w:sz="0" w:space="0" w:color="auto"/>
                    <w:bottom w:val="none" w:sz="0" w:space="0" w:color="auto"/>
                    <w:right w:val="none" w:sz="0" w:space="0" w:color="auto"/>
                  </w:divBdr>
                  <w:divsChild>
                    <w:div w:id="1545488242">
                      <w:marLeft w:val="0"/>
                      <w:marRight w:val="0"/>
                      <w:marTop w:val="0"/>
                      <w:marBottom w:val="0"/>
                      <w:divBdr>
                        <w:top w:val="none" w:sz="0" w:space="0" w:color="auto"/>
                        <w:left w:val="none" w:sz="0" w:space="0" w:color="auto"/>
                        <w:bottom w:val="none" w:sz="0" w:space="0" w:color="auto"/>
                        <w:right w:val="none" w:sz="0" w:space="0" w:color="auto"/>
                      </w:divBdr>
                    </w:div>
                  </w:divsChild>
                </w:div>
                <w:div w:id="170294337">
                  <w:marLeft w:val="0"/>
                  <w:marRight w:val="0"/>
                  <w:marTop w:val="0"/>
                  <w:marBottom w:val="0"/>
                  <w:divBdr>
                    <w:top w:val="none" w:sz="0" w:space="0" w:color="auto"/>
                    <w:left w:val="none" w:sz="0" w:space="0" w:color="auto"/>
                    <w:bottom w:val="none" w:sz="0" w:space="0" w:color="auto"/>
                    <w:right w:val="none" w:sz="0" w:space="0" w:color="auto"/>
                  </w:divBdr>
                  <w:divsChild>
                    <w:div w:id="948852445">
                      <w:marLeft w:val="0"/>
                      <w:marRight w:val="0"/>
                      <w:marTop w:val="0"/>
                      <w:marBottom w:val="0"/>
                      <w:divBdr>
                        <w:top w:val="none" w:sz="0" w:space="0" w:color="auto"/>
                        <w:left w:val="none" w:sz="0" w:space="0" w:color="auto"/>
                        <w:bottom w:val="none" w:sz="0" w:space="0" w:color="auto"/>
                        <w:right w:val="none" w:sz="0" w:space="0" w:color="auto"/>
                      </w:divBdr>
                    </w:div>
                  </w:divsChild>
                </w:div>
                <w:div w:id="951667922">
                  <w:marLeft w:val="0"/>
                  <w:marRight w:val="0"/>
                  <w:marTop w:val="0"/>
                  <w:marBottom w:val="0"/>
                  <w:divBdr>
                    <w:top w:val="none" w:sz="0" w:space="0" w:color="auto"/>
                    <w:left w:val="none" w:sz="0" w:space="0" w:color="auto"/>
                    <w:bottom w:val="none" w:sz="0" w:space="0" w:color="auto"/>
                    <w:right w:val="none" w:sz="0" w:space="0" w:color="auto"/>
                  </w:divBdr>
                  <w:divsChild>
                    <w:div w:id="1924754421">
                      <w:marLeft w:val="0"/>
                      <w:marRight w:val="0"/>
                      <w:marTop w:val="0"/>
                      <w:marBottom w:val="0"/>
                      <w:divBdr>
                        <w:top w:val="none" w:sz="0" w:space="0" w:color="auto"/>
                        <w:left w:val="none" w:sz="0" w:space="0" w:color="auto"/>
                        <w:bottom w:val="none" w:sz="0" w:space="0" w:color="auto"/>
                        <w:right w:val="none" w:sz="0" w:space="0" w:color="auto"/>
                      </w:divBdr>
                    </w:div>
                  </w:divsChild>
                </w:div>
                <w:div w:id="1022901543">
                  <w:marLeft w:val="0"/>
                  <w:marRight w:val="0"/>
                  <w:marTop w:val="0"/>
                  <w:marBottom w:val="0"/>
                  <w:divBdr>
                    <w:top w:val="none" w:sz="0" w:space="0" w:color="auto"/>
                    <w:left w:val="none" w:sz="0" w:space="0" w:color="auto"/>
                    <w:bottom w:val="none" w:sz="0" w:space="0" w:color="auto"/>
                    <w:right w:val="none" w:sz="0" w:space="0" w:color="auto"/>
                  </w:divBdr>
                  <w:divsChild>
                    <w:div w:id="1128428921">
                      <w:marLeft w:val="0"/>
                      <w:marRight w:val="0"/>
                      <w:marTop w:val="0"/>
                      <w:marBottom w:val="0"/>
                      <w:divBdr>
                        <w:top w:val="none" w:sz="0" w:space="0" w:color="auto"/>
                        <w:left w:val="none" w:sz="0" w:space="0" w:color="auto"/>
                        <w:bottom w:val="none" w:sz="0" w:space="0" w:color="auto"/>
                        <w:right w:val="none" w:sz="0" w:space="0" w:color="auto"/>
                      </w:divBdr>
                    </w:div>
                  </w:divsChild>
                </w:div>
                <w:div w:id="619527984">
                  <w:marLeft w:val="0"/>
                  <w:marRight w:val="0"/>
                  <w:marTop w:val="0"/>
                  <w:marBottom w:val="0"/>
                  <w:divBdr>
                    <w:top w:val="none" w:sz="0" w:space="0" w:color="auto"/>
                    <w:left w:val="none" w:sz="0" w:space="0" w:color="auto"/>
                    <w:bottom w:val="none" w:sz="0" w:space="0" w:color="auto"/>
                    <w:right w:val="none" w:sz="0" w:space="0" w:color="auto"/>
                  </w:divBdr>
                  <w:divsChild>
                    <w:div w:id="552351982">
                      <w:marLeft w:val="0"/>
                      <w:marRight w:val="0"/>
                      <w:marTop w:val="0"/>
                      <w:marBottom w:val="0"/>
                      <w:divBdr>
                        <w:top w:val="none" w:sz="0" w:space="0" w:color="auto"/>
                        <w:left w:val="none" w:sz="0" w:space="0" w:color="auto"/>
                        <w:bottom w:val="none" w:sz="0" w:space="0" w:color="auto"/>
                        <w:right w:val="none" w:sz="0" w:space="0" w:color="auto"/>
                      </w:divBdr>
                    </w:div>
                  </w:divsChild>
                </w:div>
                <w:div w:id="8409422">
                  <w:marLeft w:val="0"/>
                  <w:marRight w:val="0"/>
                  <w:marTop w:val="0"/>
                  <w:marBottom w:val="0"/>
                  <w:divBdr>
                    <w:top w:val="none" w:sz="0" w:space="0" w:color="auto"/>
                    <w:left w:val="none" w:sz="0" w:space="0" w:color="auto"/>
                    <w:bottom w:val="none" w:sz="0" w:space="0" w:color="auto"/>
                    <w:right w:val="none" w:sz="0" w:space="0" w:color="auto"/>
                  </w:divBdr>
                  <w:divsChild>
                    <w:div w:id="801270291">
                      <w:marLeft w:val="0"/>
                      <w:marRight w:val="0"/>
                      <w:marTop w:val="0"/>
                      <w:marBottom w:val="0"/>
                      <w:divBdr>
                        <w:top w:val="none" w:sz="0" w:space="0" w:color="auto"/>
                        <w:left w:val="none" w:sz="0" w:space="0" w:color="auto"/>
                        <w:bottom w:val="none" w:sz="0" w:space="0" w:color="auto"/>
                        <w:right w:val="none" w:sz="0" w:space="0" w:color="auto"/>
                      </w:divBdr>
                    </w:div>
                  </w:divsChild>
                </w:div>
                <w:div w:id="494419711">
                  <w:marLeft w:val="0"/>
                  <w:marRight w:val="0"/>
                  <w:marTop w:val="0"/>
                  <w:marBottom w:val="0"/>
                  <w:divBdr>
                    <w:top w:val="none" w:sz="0" w:space="0" w:color="auto"/>
                    <w:left w:val="none" w:sz="0" w:space="0" w:color="auto"/>
                    <w:bottom w:val="none" w:sz="0" w:space="0" w:color="auto"/>
                    <w:right w:val="none" w:sz="0" w:space="0" w:color="auto"/>
                  </w:divBdr>
                  <w:divsChild>
                    <w:div w:id="1236627224">
                      <w:marLeft w:val="0"/>
                      <w:marRight w:val="0"/>
                      <w:marTop w:val="0"/>
                      <w:marBottom w:val="0"/>
                      <w:divBdr>
                        <w:top w:val="none" w:sz="0" w:space="0" w:color="auto"/>
                        <w:left w:val="none" w:sz="0" w:space="0" w:color="auto"/>
                        <w:bottom w:val="none" w:sz="0" w:space="0" w:color="auto"/>
                        <w:right w:val="none" w:sz="0" w:space="0" w:color="auto"/>
                      </w:divBdr>
                    </w:div>
                  </w:divsChild>
                </w:div>
                <w:div w:id="1360928594">
                  <w:marLeft w:val="0"/>
                  <w:marRight w:val="0"/>
                  <w:marTop w:val="0"/>
                  <w:marBottom w:val="0"/>
                  <w:divBdr>
                    <w:top w:val="none" w:sz="0" w:space="0" w:color="auto"/>
                    <w:left w:val="none" w:sz="0" w:space="0" w:color="auto"/>
                    <w:bottom w:val="none" w:sz="0" w:space="0" w:color="auto"/>
                    <w:right w:val="none" w:sz="0" w:space="0" w:color="auto"/>
                  </w:divBdr>
                  <w:divsChild>
                    <w:div w:id="1274093565">
                      <w:marLeft w:val="0"/>
                      <w:marRight w:val="0"/>
                      <w:marTop w:val="0"/>
                      <w:marBottom w:val="0"/>
                      <w:divBdr>
                        <w:top w:val="none" w:sz="0" w:space="0" w:color="auto"/>
                        <w:left w:val="none" w:sz="0" w:space="0" w:color="auto"/>
                        <w:bottom w:val="none" w:sz="0" w:space="0" w:color="auto"/>
                        <w:right w:val="none" w:sz="0" w:space="0" w:color="auto"/>
                      </w:divBdr>
                    </w:div>
                  </w:divsChild>
                </w:div>
                <w:div w:id="1281306804">
                  <w:marLeft w:val="0"/>
                  <w:marRight w:val="0"/>
                  <w:marTop w:val="0"/>
                  <w:marBottom w:val="0"/>
                  <w:divBdr>
                    <w:top w:val="none" w:sz="0" w:space="0" w:color="auto"/>
                    <w:left w:val="none" w:sz="0" w:space="0" w:color="auto"/>
                    <w:bottom w:val="none" w:sz="0" w:space="0" w:color="auto"/>
                    <w:right w:val="none" w:sz="0" w:space="0" w:color="auto"/>
                  </w:divBdr>
                  <w:divsChild>
                    <w:div w:id="609432518">
                      <w:marLeft w:val="0"/>
                      <w:marRight w:val="0"/>
                      <w:marTop w:val="0"/>
                      <w:marBottom w:val="0"/>
                      <w:divBdr>
                        <w:top w:val="none" w:sz="0" w:space="0" w:color="auto"/>
                        <w:left w:val="none" w:sz="0" w:space="0" w:color="auto"/>
                        <w:bottom w:val="none" w:sz="0" w:space="0" w:color="auto"/>
                        <w:right w:val="none" w:sz="0" w:space="0" w:color="auto"/>
                      </w:divBdr>
                    </w:div>
                  </w:divsChild>
                </w:div>
                <w:div w:id="1957911257">
                  <w:marLeft w:val="0"/>
                  <w:marRight w:val="0"/>
                  <w:marTop w:val="0"/>
                  <w:marBottom w:val="0"/>
                  <w:divBdr>
                    <w:top w:val="none" w:sz="0" w:space="0" w:color="auto"/>
                    <w:left w:val="none" w:sz="0" w:space="0" w:color="auto"/>
                    <w:bottom w:val="none" w:sz="0" w:space="0" w:color="auto"/>
                    <w:right w:val="none" w:sz="0" w:space="0" w:color="auto"/>
                  </w:divBdr>
                  <w:divsChild>
                    <w:div w:id="1962690268">
                      <w:marLeft w:val="0"/>
                      <w:marRight w:val="0"/>
                      <w:marTop w:val="0"/>
                      <w:marBottom w:val="0"/>
                      <w:divBdr>
                        <w:top w:val="none" w:sz="0" w:space="0" w:color="auto"/>
                        <w:left w:val="none" w:sz="0" w:space="0" w:color="auto"/>
                        <w:bottom w:val="none" w:sz="0" w:space="0" w:color="auto"/>
                        <w:right w:val="none" w:sz="0" w:space="0" w:color="auto"/>
                      </w:divBdr>
                    </w:div>
                  </w:divsChild>
                </w:div>
                <w:div w:id="1796173924">
                  <w:marLeft w:val="0"/>
                  <w:marRight w:val="0"/>
                  <w:marTop w:val="0"/>
                  <w:marBottom w:val="0"/>
                  <w:divBdr>
                    <w:top w:val="none" w:sz="0" w:space="0" w:color="auto"/>
                    <w:left w:val="none" w:sz="0" w:space="0" w:color="auto"/>
                    <w:bottom w:val="none" w:sz="0" w:space="0" w:color="auto"/>
                    <w:right w:val="none" w:sz="0" w:space="0" w:color="auto"/>
                  </w:divBdr>
                  <w:divsChild>
                    <w:div w:id="1641569049">
                      <w:marLeft w:val="0"/>
                      <w:marRight w:val="0"/>
                      <w:marTop w:val="0"/>
                      <w:marBottom w:val="0"/>
                      <w:divBdr>
                        <w:top w:val="none" w:sz="0" w:space="0" w:color="auto"/>
                        <w:left w:val="none" w:sz="0" w:space="0" w:color="auto"/>
                        <w:bottom w:val="none" w:sz="0" w:space="0" w:color="auto"/>
                        <w:right w:val="none" w:sz="0" w:space="0" w:color="auto"/>
                      </w:divBdr>
                    </w:div>
                  </w:divsChild>
                </w:div>
                <w:div w:id="1221789879">
                  <w:marLeft w:val="0"/>
                  <w:marRight w:val="0"/>
                  <w:marTop w:val="0"/>
                  <w:marBottom w:val="0"/>
                  <w:divBdr>
                    <w:top w:val="none" w:sz="0" w:space="0" w:color="auto"/>
                    <w:left w:val="none" w:sz="0" w:space="0" w:color="auto"/>
                    <w:bottom w:val="none" w:sz="0" w:space="0" w:color="auto"/>
                    <w:right w:val="none" w:sz="0" w:space="0" w:color="auto"/>
                  </w:divBdr>
                  <w:divsChild>
                    <w:div w:id="1504854583">
                      <w:marLeft w:val="0"/>
                      <w:marRight w:val="0"/>
                      <w:marTop w:val="0"/>
                      <w:marBottom w:val="0"/>
                      <w:divBdr>
                        <w:top w:val="none" w:sz="0" w:space="0" w:color="auto"/>
                        <w:left w:val="none" w:sz="0" w:space="0" w:color="auto"/>
                        <w:bottom w:val="none" w:sz="0" w:space="0" w:color="auto"/>
                        <w:right w:val="none" w:sz="0" w:space="0" w:color="auto"/>
                      </w:divBdr>
                    </w:div>
                  </w:divsChild>
                </w:div>
                <w:div w:id="2144035447">
                  <w:marLeft w:val="0"/>
                  <w:marRight w:val="0"/>
                  <w:marTop w:val="0"/>
                  <w:marBottom w:val="0"/>
                  <w:divBdr>
                    <w:top w:val="none" w:sz="0" w:space="0" w:color="auto"/>
                    <w:left w:val="none" w:sz="0" w:space="0" w:color="auto"/>
                    <w:bottom w:val="none" w:sz="0" w:space="0" w:color="auto"/>
                    <w:right w:val="none" w:sz="0" w:space="0" w:color="auto"/>
                  </w:divBdr>
                  <w:divsChild>
                    <w:div w:id="1876577379">
                      <w:marLeft w:val="0"/>
                      <w:marRight w:val="0"/>
                      <w:marTop w:val="0"/>
                      <w:marBottom w:val="0"/>
                      <w:divBdr>
                        <w:top w:val="none" w:sz="0" w:space="0" w:color="auto"/>
                        <w:left w:val="none" w:sz="0" w:space="0" w:color="auto"/>
                        <w:bottom w:val="none" w:sz="0" w:space="0" w:color="auto"/>
                        <w:right w:val="none" w:sz="0" w:space="0" w:color="auto"/>
                      </w:divBdr>
                    </w:div>
                  </w:divsChild>
                </w:div>
                <w:div w:id="1467240908">
                  <w:marLeft w:val="0"/>
                  <w:marRight w:val="0"/>
                  <w:marTop w:val="0"/>
                  <w:marBottom w:val="0"/>
                  <w:divBdr>
                    <w:top w:val="none" w:sz="0" w:space="0" w:color="auto"/>
                    <w:left w:val="none" w:sz="0" w:space="0" w:color="auto"/>
                    <w:bottom w:val="none" w:sz="0" w:space="0" w:color="auto"/>
                    <w:right w:val="none" w:sz="0" w:space="0" w:color="auto"/>
                  </w:divBdr>
                  <w:divsChild>
                    <w:div w:id="209462293">
                      <w:marLeft w:val="0"/>
                      <w:marRight w:val="0"/>
                      <w:marTop w:val="0"/>
                      <w:marBottom w:val="0"/>
                      <w:divBdr>
                        <w:top w:val="none" w:sz="0" w:space="0" w:color="auto"/>
                        <w:left w:val="none" w:sz="0" w:space="0" w:color="auto"/>
                        <w:bottom w:val="none" w:sz="0" w:space="0" w:color="auto"/>
                        <w:right w:val="none" w:sz="0" w:space="0" w:color="auto"/>
                      </w:divBdr>
                    </w:div>
                  </w:divsChild>
                </w:div>
                <w:div w:id="1591352060">
                  <w:marLeft w:val="0"/>
                  <w:marRight w:val="0"/>
                  <w:marTop w:val="0"/>
                  <w:marBottom w:val="0"/>
                  <w:divBdr>
                    <w:top w:val="none" w:sz="0" w:space="0" w:color="auto"/>
                    <w:left w:val="none" w:sz="0" w:space="0" w:color="auto"/>
                    <w:bottom w:val="none" w:sz="0" w:space="0" w:color="auto"/>
                    <w:right w:val="none" w:sz="0" w:space="0" w:color="auto"/>
                  </w:divBdr>
                  <w:divsChild>
                    <w:div w:id="641235745">
                      <w:marLeft w:val="0"/>
                      <w:marRight w:val="0"/>
                      <w:marTop w:val="0"/>
                      <w:marBottom w:val="0"/>
                      <w:divBdr>
                        <w:top w:val="none" w:sz="0" w:space="0" w:color="auto"/>
                        <w:left w:val="none" w:sz="0" w:space="0" w:color="auto"/>
                        <w:bottom w:val="none" w:sz="0" w:space="0" w:color="auto"/>
                        <w:right w:val="none" w:sz="0" w:space="0" w:color="auto"/>
                      </w:divBdr>
                    </w:div>
                  </w:divsChild>
                </w:div>
                <w:div w:id="1720980631">
                  <w:marLeft w:val="0"/>
                  <w:marRight w:val="0"/>
                  <w:marTop w:val="0"/>
                  <w:marBottom w:val="0"/>
                  <w:divBdr>
                    <w:top w:val="none" w:sz="0" w:space="0" w:color="auto"/>
                    <w:left w:val="none" w:sz="0" w:space="0" w:color="auto"/>
                    <w:bottom w:val="none" w:sz="0" w:space="0" w:color="auto"/>
                    <w:right w:val="none" w:sz="0" w:space="0" w:color="auto"/>
                  </w:divBdr>
                  <w:divsChild>
                    <w:div w:id="1152721695">
                      <w:marLeft w:val="0"/>
                      <w:marRight w:val="0"/>
                      <w:marTop w:val="0"/>
                      <w:marBottom w:val="0"/>
                      <w:divBdr>
                        <w:top w:val="none" w:sz="0" w:space="0" w:color="auto"/>
                        <w:left w:val="none" w:sz="0" w:space="0" w:color="auto"/>
                        <w:bottom w:val="none" w:sz="0" w:space="0" w:color="auto"/>
                        <w:right w:val="none" w:sz="0" w:space="0" w:color="auto"/>
                      </w:divBdr>
                    </w:div>
                  </w:divsChild>
                </w:div>
                <w:div w:id="41373496">
                  <w:marLeft w:val="0"/>
                  <w:marRight w:val="0"/>
                  <w:marTop w:val="0"/>
                  <w:marBottom w:val="0"/>
                  <w:divBdr>
                    <w:top w:val="none" w:sz="0" w:space="0" w:color="auto"/>
                    <w:left w:val="none" w:sz="0" w:space="0" w:color="auto"/>
                    <w:bottom w:val="none" w:sz="0" w:space="0" w:color="auto"/>
                    <w:right w:val="none" w:sz="0" w:space="0" w:color="auto"/>
                  </w:divBdr>
                  <w:divsChild>
                    <w:div w:id="77293202">
                      <w:marLeft w:val="0"/>
                      <w:marRight w:val="0"/>
                      <w:marTop w:val="0"/>
                      <w:marBottom w:val="0"/>
                      <w:divBdr>
                        <w:top w:val="none" w:sz="0" w:space="0" w:color="auto"/>
                        <w:left w:val="none" w:sz="0" w:space="0" w:color="auto"/>
                        <w:bottom w:val="none" w:sz="0" w:space="0" w:color="auto"/>
                        <w:right w:val="none" w:sz="0" w:space="0" w:color="auto"/>
                      </w:divBdr>
                    </w:div>
                  </w:divsChild>
                </w:div>
                <w:div w:id="1812013561">
                  <w:marLeft w:val="0"/>
                  <w:marRight w:val="0"/>
                  <w:marTop w:val="0"/>
                  <w:marBottom w:val="0"/>
                  <w:divBdr>
                    <w:top w:val="none" w:sz="0" w:space="0" w:color="auto"/>
                    <w:left w:val="none" w:sz="0" w:space="0" w:color="auto"/>
                    <w:bottom w:val="none" w:sz="0" w:space="0" w:color="auto"/>
                    <w:right w:val="none" w:sz="0" w:space="0" w:color="auto"/>
                  </w:divBdr>
                  <w:divsChild>
                    <w:div w:id="664553166">
                      <w:marLeft w:val="0"/>
                      <w:marRight w:val="0"/>
                      <w:marTop w:val="0"/>
                      <w:marBottom w:val="0"/>
                      <w:divBdr>
                        <w:top w:val="none" w:sz="0" w:space="0" w:color="auto"/>
                        <w:left w:val="none" w:sz="0" w:space="0" w:color="auto"/>
                        <w:bottom w:val="none" w:sz="0" w:space="0" w:color="auto"/>
                        <w:right w:val="none" w:sz="0" w:space="0" w:color="auto"/>
                      </w:divBdr>
                    </w:div>
                  </w:divsChild>
                </w:div>
                <w:div w:id="769274350">
                  <w:marLeft w:val="0"/>
                  <w:marRight w:val="0"/>
                  <w:marTop w:val="0"/>
                  <w:marBottom w:val="0"/>
                  <w:divBdr>
                    <w:top w:val="none" w:sz="0" w:space="0" w:color="auto"/>
                    <w:left w:val="none" w:sz="0" w:space="0" w:color="auto"/>
                    <w:bottom w:val="none" w:sz="0" w:space="0" w:color="auto"/>
                    <w:right w:val="none" w:sz="0" w:space="0" w:color="auto"/>
                  </w:divBdr>
                  <w:divsChild>
                    <w:div w:id="1765564167">
                      <w:marLeft w:val="0"/>
                      <w:marRight w:val="0"/>
                      <w:marTop w:val="0"/>
                      <w:marBottom w:val="0"/>
                      <w:divBdr>
                        <w:top w:val="none" w:sz="0" w:space="0" w:color="auto"/>
                        <w:left w:val="none" w:sz="0" w:space="0" w:color="auto"/>
                        <w:bottom w:val="none" w:sz="0" w:space="0" w:color="auto"/>
                        <w:right w:val="none" w:sz="0" w:space="0" w:color="auto"/>
                      </w:divBdr>
                    </w:div>
                  </w:divsChild>
                </w:div>
                <w:div w:id="700589528">
                  <w:marLeft w:val="0"/>
                  <w:marRight w:val="0"/>
                  <w:marTop w:val="0"/>
                  <w:marBottom w:val="0"/>
                  <w:divBdr>
                    <w:top w:val="none" w:sz="0" w:space="0" w:color="auto"/>
                    <w:left w:val="none" w:sz="0" w:space="0" w:color="auto"/>
                    <w:bottom w:val="none" w:sz="0" w:space="0" w:color="auto"/>
                    <w:right w:val="none" w:sz="0" w:space="0" w:color="auto"/>
                  </w:divBdr>
                  <w:divsChild>
                    <w:div w:id="337732462">
                      <w:marLeft w:val="0"/>
                      <w:marRight w:val="0"/>
                      <w:marTop w:val="0"/>
                      <w:marBottom w:val="0"/>
                      <w:divBdr>
                        <w:top w:val="none" w:sz="0" w:space="0" w:color="auto"/>
                        <w:left w:val="none" w:sz="0" w:space="0" w:color="auto"/>
                        <w:bottom w:val="none" w:sz="0" w:space="0" w:color="auto"/>
                        <w:right w:val="none" w:sz="0" w:space="0" w:color="auto"/>
                      </w:divBdr>
                    </w:div>
                  </w:divsChild>
                </w:div>
                <w:div w:id="2068993379">
                  <w:marLeft w:val="0"/>
                  <w:marRight w:val="0"/>
                  <w:marTop w:val="0"/>
                  <w:marBottom w:val="0"/>
                  <w:divBdr>
                    <w:top w:val="none" w:sz="0" w:space="0" w:color="auto"/>
                    <w:left w:val="none" w:sz="0" w:space="0" w:color="auto"/>
                    <w:bottom w:val="none" w:sz="0" w:space="0" w:color="auto"/>
                    <w:right w:val="none" w:sz="0" w:space="0" w:color="auto"/>
                  </w:divBdr>
                  <w:divsChild>
                    <w:div w:id="1947342946">
                      <w:marLeft w:val="0"/>
                      <w:marRight w:val="0"/>
                      <w:marTop w:val="0"/>
                      <w:marBottom w:val="0"/>
                      <w:divBdr>
                        <w:top w:val="none" w:sz="0" w:space="0" w:color="auto"/>
                        <w:left w:val="none" w:sz="0" w:space="0" w:color="auto"/>
                        <w:bottom w:val="none" w:sz="0" w:space="0" w:color="auto"/>
                        <w:right w:val="none" w:sz="0" w:space="0" w:color="auto"/>
                      </w:divBdr>
                    </w:div>
                  </w:divsChild>
                </w:div>
                <w:div w:id="1019355259">
                  <w:marLeft w:val="0"/>
                  <w:marRight w:val="0"/>
                  <w:marTop w:val="0"/>
                  <w:marBottom w:val="0"/>
                  <w:divBdr>
                    <w:top w:val="none" w:sz="0" w:space="0" w:color="auto"/>
                    <w:left w:val="none" w:sz="0" w:space="0" w:color="auto"/>
                    <w:bottom w:val="none" w:sz="0" w:space="0" w:color="auto"/>
                    <w:right w:val="none" w:sz="0" w:space="0" w:color="auto"/>
                  </w:divBdr>
                  <w:divsChild>
                    <w:div w:id="1283995270">
                      <w:marLeft w:val="0"/>
                      <w:marRight w:val="0"/>
                      <w:marTop w:val="0"/>
                      <w:marBottom w:val="0"/>
                      <w:divBdr>
                        <w:top w:val="none" w:sz="0" w:space="0" w:color="auto"/>
                        <w:left w:val="none" w:sz="0" w:space="0" w:color="auto"/>
                        <w:bottom w:val="none" w:sz="0" w:space="0" w:color="auto"/>
                        <w:right w:val="none" w:sz="0" w:space="0" w:color="auto"/>
                      </w:divBdr>
                    </w:div>
                  </w:divsChild>
                </w:div>
                <w:div w:id="1394498624">
                  <w:marLeft w:val="0"/>
                  <w:marRight w:val="0"/>
                  <w:marTop w:val="0"/>
                  <w:marBottom w:val="0"/>
                  <w:divBdr>
                    <w:top w:val="none" w:sz="0" w:space="0" w:color="auto"/>
                    <w:left w:val="none" w:sz="0" w:space="0" w:color="auto"/>
                    <w:bottom w:val="none" w:sz="0" w:space="0" w:color="auto"/>
                    <w:right w:val="none" w:sz="0" w:space="0" w:color="auto"/>
                  </w:divBdr>
                  <w:divsChild>
                    <w:div w:id="738753090">
                      <w:marLeft w:val="0"/>
                      <w:marRight w:val="0"/>
                      <w:marTop w:val="0"/>
                      <w:marBottom w:val="0"/>
                      <w:divBdr>
                        <w:top w:val="none" w:sz="0" w:space="0" w:color="auto"/>
                        <w:left w:val="none" w:sz="0" w:space="0" w:color="auto"/>
                        <w:bottom w:val="none" w:sz="0" w:space="0" w:color="auto"/>
                        <w:right w:val="none" w:sz="0" w:space="0" w:color="auto"/>
                      </w:divBdr>
                    </w:div>
                  </w:divsChild>
                </w:div>
                <w:div w:id="110170032">
                  <w:marLeft w:val="0"/>
                  <w:marRight w:val="0"/>
                  <w:marTop w:val="0"/>
                  <w:marBottom w:val="0"/>
                  <w:divBdr>
                    <w:top w:val="none" w:sz="0" w:space="0" w:color="auto"/>
                    <w:left w:val="none" w:sz="0" w:space="0" w:color="auto"/>
                    <w:bottom w:val="none" w:sz="0" w:space="0" w:color="auto"/>
                    <w:right w:val="none" w:sz="0" w:space="0" w:color="auto"/>
                  </w:divBdr>
                  <w:divsChild>
                    <w:div w:id="654650321">
                      <w:marLeft w:val="0"/>
                      <w:marRight w:val="0"/>
                      <w:marTop w:val="0"/>
                      <w:marBottom w:val="0"/>
                      <w:divBdr>
                        <w:top w:val="none" w:sz="0" w:space="0" w:color="auto"/>
                        <w:left w:val="none" w:sz="0" w:space="0" w:color="auto"/>
                        <w:bottom w:val="none" w:sz="0" w:space="0" w:color="auto"/>
                        <w:right w:val="none" w:sz="0" w:space="0" w:color="auto"/>
                      </w:divBdr>
                    </w:div>
                  </w:divsChild>
                </w:div>
                <w:div w:id="2118519275">
                  <w:marLeft w:val="0"/>
                  <w:marRight w:val="0"/>
                  <w:marTop w:val="0"/>
                  <w:marBottom w:val="0"/>
                  <w:divBdr>
                    <w:top w:val="none" w:sz="0" w:space="0" w:color="auto"/>
                    <w:left w:val="none" w:sz="0" w:space="0" w:color="auto"/>
                    <w:bottom w:val="none" w:sz="0" w:space="0" w:color="auto"/>
                    <w:right w:val="none" w:sz="0" w:space="0" w:color="auto"/>
                  </w:divBdr>
                  <w:divsChild>
                    <w:div w:id="1654291925">
                      <w:marLeft w:val="0"/>
                      <w:marRight w:val="0"/>
                      <w:marTop w:val="0"/>
                      <w:marBottom w:val="0"/>
                      <w:divBdr>
                        <w:top w:val="none" w:sz="0" w:space="0" w:color="auto"/>
                        <w:left w:val="none" w:sz="0" w:space="0" w:color="auto"/>
                        <w:bottom w:val="none" w:sz="0" w:space="0" w:color="auto"/>
                        <w:right w:val="none" w:sz="0" w:space="0" w:color="auto"/>
                      </w:divBdr>
                    </w:div>
                  </w:divsChild>
                </w:div>
                <w:div w:id="51588982">
                  <w:marLeft w:val="0"/>
                  <w:marRight w:val="0"/>
                  <w:marTop w:val="0"/>
                  <w:marBottom w:val="0"/>
                  <w:divBdr>
                    <w:top w:val="none" w:sz="0" w:space="0" w:color="auto"/>
                    <w:left w:val="none" w:sz="0" w:space="0" w:color="auto"/>
                    <w:bottom w:val="none" w:sz="0" w:space="0" w:color="auto"/>
                    <w:right w:val="none" w:sz="0" w:space="0" w:color="auto"/>
                  </w:divBdr>
                  <w:divsChild>
                    <w:div w:id="72439087">
                      <w:marLeft w:val="0"/>
                      <w:marRight w:val="0"/>
                      <w:marTop w:val="0"/>
                      <w:marBottom w:val="0"/>
                      <w:divBdr>
                        <w:top w:val="none" w:sz="0" w:space="0" w:color="auto"/>
                        <w:left w:val="none" w:sz="0" w:space="0" w:color="auto"/>
                        <w:bottom w:val="none" w:sz="0" w:space="0" w:color="auto"/>
                        <w:right w:val="none" w:sz="0" w:space="0" w:color="auto"/>
                      </w:divBdr>
                    </w:div>
                  </w:divsChild>
                </w:div>
                <w:div w:id="521893533">
                  <w:marLeft w:val="0"/>
                  <w:marRight w:val="0"/>
                  <w:marTop w:val="0"/>
                  <w:marBottom w:val="0"/>
                  <w:divBdr>
                    <w:top w:val="none" w:sz="0" w:space="0" w:color="auto"/>
                    <w:left w:val="none" w:sz="0" w:space="0" w:color="auto"/>
                    <w:bottom w:val="none" w:sz="0" w:space="0" w:color="auto"/>
                    <w:right w:val="none" w:sz="0" w:space="0" w:color="auto"/>
                  </w:divBdr>
                  <w:divsChild>
                    <w:div w:id="1286935254">
                      <w:marLeft w:val="0"/>
                      <w:marRight w:val="0"/>
                      <w:marTop w:val="0"/>
                      <w:marBottom w:val="0"/>
                      <w:divBdr>
                        <w:top w:val="none" w:sz="0" w:space="0" w:color="auto"/>
                        <w:left w:val="none" w:sz="0" w:space="0" w:color="auto"/>
                        <w:bottom w:val="none" w:sz="0" w:space="0" w:color="auto"/>
                        <w:right w:val="none" w:sz="0" w:space="0" w:color="auto"/>
                      </w:divBdr>
                    </w:div>
                  </w:divsChild>
                </w:div>
                <w:div w:id="1722947354">
                  <w:marLeft w:val="0"/>
                  <w:marRight w:val="0"/>
                  <w:marTop w:val="0"/>
                  <w:marBottom w:val="0"/>
                  <w:divBdr>
                    <w:top w:val="none" w:sz="0" w:space="0" w:color="auto"/>
                    <w:left w:val="none" w:sz="0" w:space="0" w:color="auto"/>
                    <w:bottom w:val="none" w:sz="0" w:space="0" w:color="auto"/>
                    <w:right w:val="none" w:sz="0" w:space="0" w:color="auto"/>
                  </w:divBdr>
                  <w:divsChild>
                    <w:div w:id="548221524">
                      <w:marLeft w:val="0"/>
                      <w:marRight w:val="0"/>
                      <w:marTop w:val="0"/>
                      <w:marBottom w:val="0"/>
                      <w:divBdr>
                        <w:top w:val="none" w:sz="0" w:space="0" w:color="auto"/>
                        <w:left w:val="none" w:sz="0" w:space="0" w:color="auto"/>
                        <w:bottom w:val="none" w:sz="0" w:space="0" w:color="auto"/>
                        <w:right w:val="none" w:sz="0" w:space="0" w:color="auto"/>
                      </w:divBdr>
                    </w:div>
                  </w:divsChild>
                </w:div>
                <w:div w:id="1820262700">
                  <w:marLeft w:val="0"/>
                  <w:marRight w:val="0"/>
                  <w:marTop w:val="0"/>
                  <w:marBottom w:val="0"/>
                  <w:divBdr>
                    <w:top w:val="none" w:sz="0" w:space="0" w:color="auto"/>
                    <w:left w:val="none" w:sz="0" w:space="0" w:color="auto"/>
                    <w:bottom w:val="none" w:sz="0" w:space="0" w:color="auto"/>
                    <w:right w:val="none" w:sz="0" w:space="0" w:color="auto"/>
                  </w:divBdr>
                  <w:divsChild>
                    <w:div w:id="1493447002">
                      <w:marLeft w:val="0"/>
                      <w:marRight w:val="0"/>
                      <w:marTop w:val="0"/>
                      <w:marBottom w:val="0"/>
                      <w:divBdr>
                        <w:top w:val="none" w:sz="0" w:space="0" w:color="auto"/>
                        <w:left w:val="none" w:sz="0" w:space="0" w:color="auto"/>
                        <w:bottom w:val="none" w:sz="0" w:space="0" w:color="auto"/>
                        <w:right w:val="none" w:sz="0" w:space="0" w:color="auto"/>
                      </w:divBdr>
                    </w:div>
                  </w:divsChild>
                </w:div>
                <w:div w:id="176623996">
                  <w:marLeft w:val="0"/>
                  <w:marRight w:val="0"/>
                  <w:marTop w:val="0"/>
                  <w:marBottom w:val="0"/>
                  <w:divBdr>
                    <w:top w:val="none" w:sz="0" w:space="0" w:color="auto"/>
                    <w:left w:val="none" w:sz="0" w:space="0" w:color="auto"/>
                    <w:bottom w:val="none" w:sz="0" w:space="0" w:color="auto"/>
                    <w:right w:val="none" w:sz="0" w:space="0" w:color="auto"/>
                  </w:divBdr>
                  <w:divsChild>
                    <w:div w:id="162286724">
                      <w:marLeft w:val="0"/>
                      <w:marRight w:val="0"/>
                      <w:marTop w:val="0"/>
                      <w:marBottom w:val="0"/>
                      <w:divBdr>
                        <w:top w:val="none" w:sz="0" w:space="0" w:color="auto"/>
                        <w:left w:val="none" w:sz="0" w:space="0" w:color="auto"/>
                        <w:bottom w:val="none" w:sz="0" w:space="0" w:color="auto"/>
                        <w:right w:val="none" w:sz="0" w:space="0" w:color="auto"/>
                      </w:divBdr>
                    </w:div>
                  </w:divsChild>
                </w:div>
                <w:div w:id="343174147">
                  <w:marLeft w:val="0"/>
                  <w:marRight w:val="0"/>
                  <w:marTop w:val="0"/>
                  <w:marBottom w:val="0"/>
                  <w:divBdr>
                    <w:top w:val="none" w:sz="0" w:space="0" w:color="auto"/>
                    <w:left w:val="none" w:sz="0" w:space="0" w:color="auto"/>
                    <w:bottom w:val="none" w:sz="0" w:space="0" w:color="auto"/>
                    <w:right w:val="none" w:sz="0" w:space="0" w:color="auto"/>
                  </w:divBdr>
                  <w:divsChild>
                    <w:div w:id="1302537789">
                      <w:marLeft w:val="0"/>
                      <w:marRight w:val="0"/>
                      <w:marTop w:val="0"/>
                      <w:marBottom w:val="0"/>
                      <w:divBdr>
                        <w:top w:val="none" w:sz="0" w:space="0" w:color="auto"/>
                        <w:left w:val="none" w:sz="0" w:space="0" w:color="auto"/>
                        <w:bottom w:val="none" w:sz="0" w:space="0" w:color="auto"/>
                        <w:right w:val="none" w:sz="0" w:space="0" w:color="auto"/>
                      </w:divBdr>
                    </w:div>
                  </w:divsChild>
                </w:div>
                <w:div w:id="1619028129">
                  <w:marLeft w:val="0"/>
                  <w:marRight w:val="0"/>
                  <w:marTop w:val="0"/>
                  <w:marBottom w:val="0"/>
                  <w:divBdr>
                    <w:top w:val="none" w:sz="0" w:space="0" w:color="auto"/>
                    <w:left w:val="none" w:sz="0" w:space="0" w:color="auto"/>
                    <w:bottom w:val="none" w:sz="0" w:space="0" w:color="auto"/>
                    <w:right w:val="none" w:sz="0" w:space="0" w:color="auto"/>
                  </w:divBdr>
                  <w:divsChild>
                    <w:div w:id="1366754680">
                      <w:marLeft w:val="0"/>
                      <w:marRight w:val="0"/>
                      <w:marTop w:val="0"/>
                      <w:marBottom w:val="0"/>
                      <w:divBdr>
                        <w:top w:val="none" w:sz="0" w:space="0" w:color="auto"/>
                        <w:left w:val="none" w:sz="0" w:space="0" w:color="auto"/>
                        <w:bottom w:val="none" w:sz="0" w:space="0" w:color="auto"/>
                        <w:right w:val="none" w:sz="0" w:space="0" w:color="auto"/>
                      </w:divBdr>
                    </w:div>
                  </w:divsChild>
                </w:div>
                <w:div w:id="2120906530">
                  <w:marLeft w:val="0"/>
                  <w:marRight w:val="0"/>
                  <w:marTop w:val="0"/>
                  <w:marBottom w:val="0"/>
                  <w:divBdr>
                    <w:top w:val="none" w:sz="0" w:space="0" w:color="auto"/>
                    <w:left w:val="none" w:sz="0" w:space="0" w:color="auto"/>
                    <w:bottom w:val="none" w:sz="0" w:space="0" w:color="auto"/>
                    <w:right w:val="none" w:sz="0" w:space="0" w:color="auto"/>
                  </w:divBdr>
                  <w:divsChild>
                    <w:div w:id="56367152">
                      <w:marLeft w:val="0"/>
                      <w:marRight w:val="0"/>
                      <w:marTop w:val="0"/>
                      <w:marBottom w:val="0"/>
                      <w:divBdr>
                        <w:top w:val="none" w:sz="0" w:space="0" w:color="auto"/>
                        <w:left w:val="none" w:sz="0" w:space="0" w:color="auto"/>
                        <w:bottom w:val="none" w:sz="0" w:space="0" w:color="auto"/>
                        <w:right w:val="none" w:sz="0" w:space="0" w:color="auto"/>
                      </w:divBdr>
                    </w:div>
                  </w:divsChild>
                </w:div>
                <w:div w:id="1587348438">
                  <w:marLeft w:val="0"/>
                  <w:marRight w:val="0"/>
                  <w:marTop w:val="0"/>
                  <w:marBottom w:val="0"/>
                  <w:divBdr>
                    <w:top w:val="none" w:sz="0" w:space="0" w:color="auto"/>
                    <w:left w:val="none" w:sz="0" w:space="0" w:color="auto"/>
                    <w:bottom w:val="none" w:sz="0" w:space="0" w:color="auto"/>
                    <w:right w:val="none" w:sz="0" w:space="0" w:color="auto"/>
                  </w:divBdr>
                  <w:divsChild>
                    <w:div w:id="1910262722">
                      <w:marLeft w:val="0"/>
                      <w:marRight w:val="0"/>
                      <w:marTop w:val="0"/>
                      <w:marBottom w:val="0"/>
                      <w:divBdr>
                        <w:top w:val="none" w:sz="0" w:space="0" w:color="auto"/>
                        <w:left w:val="none" w:sz="0" w:space="0" w:color="auto"/>
                        <w:bottom w:val="none" w:sz="0" w:space="0" w:color="auto"/>
                        <w:right w:val="none" w:sz="0" w:space="0" w:color="auto"/>
                      </w:divBdr>
                    </w:div>
                  </w:divsChild>
                </w:div>
                <w:div w:id="158153024">
                  <w:marLeft w:val="0"/>
                  <w:marRight w:val="0"/>
                  <w:marTop w:val="0"/>
                  <w:marBottom w:val="0"/>
                  <w:divBdr>
                    <w:top w:val="none" w:sz="0" w:space="0" w:color="auto"/>
                    <w:left w:val="none" w:sz="0" w:space="0" w:color="auto"/>
                    <w:bottom w:val="none" w:sz="0" w:space="0" w:color="auto"/>
                    <w:right w:val="none" w:sz="0" w:space="0" w:color="auto"/>
                  </w:divBdr>
                  <w:divsChild>
                    <w:div w:id="764111776">
                      <w:marLeft w:val="0"/>
                      <w:marRight w:val="0"/>
                      <w:marTop w:val="0"/>
                      <w:marBottom w:val="0"/>
                      <w:divBdr>
                        <w:top w:val="none" w:sz="0" w:space="0" w:color="auto"/>
                        <w:left w:val="none" w:sz="0" w:space="0" w:color="auto"/>
                        <w:bottom w:val="none" w:sz="0" w:space="0" w:color="auto"/>
                        <w:right w:val="none" w:sz="0" w:space="0" w:color="auto"/>
                      </w:divBdr>
                    </w:div>
                  </w:divsChild>
                </w:div>
                <w:div w:id="815537264">
                  <w:marLeft w:val="0"/>
                  <w:marRight w:val="0"/>
                  <w:marTop w:val="0"/>
                  <w:marBottom w:val="0"/>
                  <w:divBdr>
                    <w:top w:val="none" w:sz="0" w:space="0" w:color="auto"/>
                    <w:left w:val="none" w:sz="0" w:space="0" w:color="auto"/>
                    <w:bottom w:val="none" w:sz="0" w:space="0" w:color="auto"/>
                    <w:right w:val="none" w:sz="0" w:space="0" w:color="auto"/>
                  </w:divBdr>
                  <w:divsChild>
                    <w:div w:id="1756591771">
                      <w:marLeft w:val="0"/>
                      <w:marRight w:val="0"/>
                      <w:marTop w:val="0"/>
                      <w:marBottom w:val="0"/>
                      <w:divBdr>
                        <w:top w:val="none" w:sz="0" w:space="0" w:color="auto"/>
                        <w:left w:val="none" w:sz="0" w:space="0" w:color="auto"/>
                        <w:bottom w:val="none" w:sz="0" w:space="0" w:color="auto"/>
                        <w:right w:val="none" w:sz="0" w:space="0" w:color="auto"/>
                      </w:divBdr>
                    </w:div>
                  </w:divsChild>
                </w:div>
                <w:div w:id="1148743926">
                  <w:marLeft w:val="0"/>
                  <w:marRight w:val="0"/>
                  <w:marTop w:val="0"/>
                  <w:marBottom w:val="0"/>
                  <w:divBdr>
                    <w:top w:val="none" w:sz="0" w:space="0" w:color="auto"/>
                    <w:left w:val="none" w:sz="0" w:space="0" w:color="auto"/>
                    <w:bottom w:val="none" w:sz="0" w:space="0" w:color="auto"/>
                    <w:right w:val="none" w:sz="0" w:space="0" w:color="auto"/>
                  </w:divBdr>
                  <w:divsChild>
                    <w:div w:id="2023318627">
                      <w:marLeft w:val="0"/>
                      <w:marRight w:val="0"/>
                      <w:marTop w:val="0"/>
                      <w:marBottom w:val="0"/>
                      <w:divBdr>
                        <w:top w:val="none" w:sz="0" w:space="0" w:color="auto"/>
                        <w:left w:val="none" w:sz="0" w:space="0" w:color="auto"/>
                        <w:bottom w:val="none" w:sz="0" w:space="0" w:color="auto"/>
                        <w:right w:val="none" w:sz="0" w:space="0" w:color="auto"/>
                      </w:divBdr>
                    </w:div>
                  </w:divsChild>
                </w:div>
                <w:div w:id="993876848">
                  <w:marLeft w:val="0"/>
                  <w:marRight w:val="0"/>
                  <w:marTop w:val="0"/>
                  <w:marBottom w:val="0"/>
                  <w:divBdr>
                    <w:top w:val="none" w:sz="0" w:space="0" w:color="auto"/>
                    <w:left w:val="none" w:sz="0" w:space="0" w:color="auto"/>
                    <w:bottom w:val="none" w:sz="0" w:space="0" w:color="auto"/>
                    <w:right w:val="none" w:sz="0" w:space="0" w:color="auto"/>
                  </w:divBdr>
                  <w:divsChild>
                    <w:div w:id="1178927356">
                      <w:marLeft w:val="0"/>
                      <w:marRight w:val="0"/>
                      <w:marTop w:val="0"/>
                      <w:marBottom w:val="0"/>
                      <w:divBdr>
                        <w:top w:val="none" w:sz="0" w:space="0" w:color="auto"/>
                        <w:left w:val="none" w:sz="0" w:space="0" w:color="auto"/>
                        <w:bottom w:val="none" w:sz="0" w:space="0" w:color="auto"/>
                        <w:right w:val="none" w:sz="0" w:space="0" w:color="auto"/>
                      </w:divBdr>
                    </w:div>
                  </w:divsChild>
                </w:div>
                <w:div w:id="1657798728">
                  <w:marLeft w:val="0"/>
                  <w:marRight w:val="0"/>
                  <w:marTop w:val="0"/>
                  <w:marBottom w:val="0"/>
                  <w:divBdr>
                    <w:top w:val="none" w:sz="0" w:space="0" w:color="auto"/>
                    <w:left w:val="none" w:sz="0" w:space="0" w:color="auto"/>
                    <w:bottom w:val="none" w:sz="0" w:space="0" w:color="auto"/>
                    <w:right w:val="none" w:sz="0" w:space="0" w:color="auto"/>
                  </w:divBdr>
                  <w:divsChild>
                    <w:div w:id="43067284">
                      <w:marLeft w:val="0"/>
                      <w:marRight w:val="0"/>
                      <w:marTop w:val="0"/>
                      <w:marBottom w:val="0"/>
                      <w:divBdr>
                        <w:top w:val="none" w:sz="0" w:space="0" w:color="auto"/>
                        <w:left w:val="none" w:sz="0" w:space="0" w:color="auto"/>
                        <w:bottom w:val="none" w:sz="0" w:space="0" w:color="auto"/>
                        <w:right w:val="none" w:sz="0" w:space="0" w:color="auto"/>
                      </w:divBdr>
                    </w:div>
                  </w:divsChild>
                </w:div>
                <w:div w:id="954409475">
                  <w:marLeft w:val="0"/>
                  <w:marRight w:val="0"/>
                  <w:marTop w:val="0"/>
                  <w:marBottom w:val="0"/>
                  <w:divBdr>
                    <w:top w:val="none" w:sz="0" w:space="0" w:color="auto"/>
                    <w:left w:val="none" w:sz="0" w:space="0" w:color="auto"/>
                    <w:bottom w:val="none" w:sz="0" w:space="0" w:color="auto"/>
                    <w:right w:val="none" w:sz="0" w:space="0" w:color="auto"/>
                  </w:divBdr>
                  <w:divsChild>
                    <w:div w:id="1077290939">
                      <w:marLeft w:val="0"/>
                      <w:marRight w:val="0"/>
                      <w:marTop w:val="0"/>
                      <w:marBottom w:val="0"/>
                      <w:divBdr>
                        <w:top w:val="none" w:sz="0" w:space="0" w:color="auto"/>
                        <w:left w:val="none" w:sz="0" w:space="0" w:color="auto"/>
                        <w:bottom w:val="none" w:sz="0" w:space="0" w:color="auto"/>
                        <w:right w:val="none" w:sz="0" w:space="0" w:color="auto"/>
                      </w:divBdr>
                    </w:div>
                  </w:divsChild>
                </w:div>
                <w:div w:id="157430497">
                  <w:marLeft w:val="0"/>
                  <w:marRight w:val="0"/>
                  <w:marTop w:val="0"/>
                  <w:marBottom w:val="0"/>
                  <w:divBdr>
                    <w:top w:val="none" w:sz="0" w:space="0" w:color="auto"/>
                    <w:left w:val="none" w:sz="0" w:space="0" w:color="auto"/>
                    <w:bottom w:val="none" w:sz="0" w:space="0" w:color="auto"/>
                    <w:right w:val="none" w:sz="0" w:space="0" w:color="auto"/>
                  </w:divBdr>
                  <w:divsChild>
                    <w:div w:id="1886793488">
                      <w:marLeft w:val="0"/>
                      <w:marRight w:val="0"/>
                      <w:marTop w:val="0"/>
                      <w:marBottom w:val="0"/>
                      <w:divBdr>
                        <w:top w:val="none" w:sz="0" w:space="0" w:color="auto"/>
                        <w:left w:val="none" w:sz="0" w:space="0" w:color="auto"/>
                        <w:bottom w:val="none" w:sz="0" w:space="0" w:color="auto"/>
                        <w:right w:val="none" w:sz="0" w:space="0" w:color="auto"/>
                      </w:divBdr>
                    </w:div>
                  </w:divsChild>
                </w:div>
                <w:div w:id="348259778">
                  <w:marLeft w:val="0"/>
                  <w:marRight w:val="0"/>
                  <w:marTop w:val="0"/>
                  <w:marBottom w:val="0"/>
                  <w:divBdr>
                    <w:top w:val="none" w:sz="0" w:space="0" w:color="auto"/>
                    <w:left w:val="none" w:sz="0" w:space="0" w:color="auto"/>
                    <w:bottom w:val="none" w:sz="0" w:space="0" w:color="auto"/>
                    <w:right w:val="none" w:sz="0" w:space="0" w:color="auto"/>
                  </w:divBdr>
                  <w:divsChild>
                    <w:div w:id="186414382">
                      <w:marLeft w:val="0"/>
                      <w:marRight w:val="0"/>
                      <w:marTop w:val="0"/>
                      <w:marBottom w:val="0"/>
                      <w:divBdr>
                        <w:top w:val="none" w:sz="0" w:space="0" w:color="auto"/>
                        <w:left w:val="none" w:sz="0" w:space="0" w:color="auto"/>
                        <w:bottom w:val="none" w:sz="0" w:space="0" w:color="auto"/>
                        <w:right w:val="none" w:sz="0" w:space="0" w:color="auto"/>
                      </w:divBdr>
                    </w:div>
                  </w:divsChild>
                </w:div>
                <w:div w:id="1875536198">
                  <w:marLeft w:val="0"/>
                  <w:marRight w:val="0"/>
                  <w:marTop w:val="0"/>
                  <w:marBottom w:val="0"/>
                  <w:divBdr>
                    <w:top w:val="none" w:sz="0" w:space="0" w:color="auto"/>
                    <w:left w:val="none" w:sz="0" w:space="0" w:color="auto"/>
                    <w:bottom w:val="none" w:sz="0" w:space="0" w:color="auto"/>
                    <w:right w:val="none" w:sz="0" w:space="0" w:color="auto"/>
                  </w:divBdr>
                  <w:divsChild>
                    <w:div w:id="1693456749">
                      <w:marLeft w:val="0"/>
                      <w:marRight w:val="0"/>
                      <w:marTop w:val="0"/>
                      <w:marBottom w:val="0"/>
                      <w:divBdr>
                        <w:top w:val="none" w:sz="0" w:space="0" w:color="auto"/>
                        <w:left w:val="none" w:sz="0" w:space="0" w:color="auto"/>
                        <w:bottom w:val="none" w:sz="0" w:space="0" w:color="auto"/>
                        <w:right w:val="none" w:sz="0" w:space="0" w:color="auto"/>
                      </w:divBdr>
                    </w:div>
                  </w:divsChild>
                </w:div>
                <w:div w:id="669673940">
                  <w:marLeft w:val="0"/>
                  <w:marRight w:val="0"/>
                  <w:marTop w:val="0"/>
                  <w:marBottom w:val="0"/>
                  <w:divBdr>
                    <w:top w:val="none" w:sz="0" w:space="0" w:color="auto"/>
                    <w:left w:val="none" w:sz="0" w:space="0" w:color="auto"/>
                    <w:bottom w:val="none" w:sz="0" w:space="0" w:color="auto"/>
                    <w:right w:val="none" w:sz="0" w:space="0" w:color="auto"/>
                  </w:divBdr>
                  <w:divsChild>
                    <w:div w:id="1504661017">
                      <w:marLeft w:val="0"/>
                      <w:marRight w:val="0"/>
                      <w:marTop w:val="0"/>
                      <w:marBottom w:val="0"/>
                      <w:divBdr>
                        <w:top w:val="none" w:sz="0" w:space="0" w:color="auto"/>
                        <w:left w:val="none" w:sz="0" w:space="0" w:color="auto"/>
                        <w:bottom w:val="none" w:sz="0" w:space="0" w:color="auto"/>
                        <w:right w:val="none" w:sz="0" w:space="0" w:color="auto"/>
                      </w:divBdr>
                    </w:div>
                  </w:divsChild>
                </w:div>
                <w:div w:id="1383410036">
                  <w:marLeft w:val="0"/>
                  <w:marRight w:val="0"/>
                  <w:marTop w:val="0"/>
                  <w:marBottom w:val="0"/>
                  <w:divBdr>
                    <w:top w:val="none" w:sz="0" w:space="0" w:color="auto"/>
                    <w:left w:val="none" w:sz="0" w:space="0" w:color="auto"/>
                    <w:bottom w:val="none" w:sz="0" w:space="0" w:color="auto"/>
                    <w:right w:val="none" w:sz="0" w:space="0" w:color="auto"/>
                  </w:divBdr>
                  <w:divsChild>
                    <w:div w:id="414857762">
                      <w:marLeft w:val="0"/>
                      <w:marRight w:val="0"/>
                      <w:marTop w:val="0"/>
                      <w:marBottom w:val="0"/>
                      <w:divBdr>
                        <w:top w:val="none" w:sz="0" w:space="0" w:color="auto"/>
                        <w:left w:val="none" w:sz="0" w:space="0" w:color="auto"/>
                        <w:bottom w:val="none" w:sz="0" w:space="0" w:color="auto"/>
                        <w:right w:val="none" w:sz="0" w:space="0" w:color="auto"/>
                      </w:divBdr>
                    </w:div>
                  </w:divsChild>
                </w:div>
                <w:div w:id="1750082128">
                  <w:marLeft w:val="0"/>
                  <w:marRight w:val="0"/>
                  <w:marTop w:val="0"/>
                  <w:marBottom w:val="0"/>
                  <w:divBdr>
                    <w:top w:val="none" w:sz="0" w:space="0" w:color="auto"/>
                    <w:left w:val="none" w:sz="0" w:space="0" w:color="auto"/>
                    <w:bottom w:val="none" w:sz="0" w:space="0" w:color="auto"/>
                    <w:right w:val="none" w:sz="0" w:space="0" w:color="auto"/>
                  </w:divBdr>
                  <w:divsChild>
                    <w:div w:id="1255892635">
                      <w:marLeft w:val="0"/>
                      <w:marRight w:val="0"/>
                      <w:marTop w:val="0"/>
                      <w:marBottom w:val="0"/>
                      <w:divBdr>
                        <w:top w:val="none" w:sz="0" w:space="0" w:color="auto"/>
                        <w:left w:val="none" w:sz="0" w:space="0" w:color="auto"/>
                        <w:bottom w:val="none" w:sz="0" w:space="0" w:color="auto"/>
                        <w:right w:val="none" w:sz="0" w:space="0" w:color="auto"/>
                      </w:divBdr>
                    </w:div>
                  </w:divsChild>
                </w:div>
                <w:div w:id="1377000534">
                  <w:marLeft w:val="0"/>
                  <w:marRight w:val="0"/>
                  <w:marTop w:val="0"/>
                  <w:marBottom w:val="0"/>
                  <w:divBdr>
                    <w:top w:val="none" w:sz="0" w:space="0" w:color="auto"/>
                    <w:left w:val="none" w:sz="0" w:space="0" w:color="auto"/>
                    <w:bottom w:val="none" w:sz="0" w:space="0" w:color="auto"/>
                    <w:right w:val="none" w:sz="0" w:space="0" w:color="auto"/>
                  </w:divBdr>
                  <w:divsChild>
                    <w:div w:id="1478452967">
                      <w:marLeft w:val="0"/>
                      <w:marRight w:val="0"/>
                      <w:marTop w:val="0"/>
                      <w:marBottom w:val="0"/>
                      <w:divBdr>
                        <w:top w:val="none" w:sz="0" w:space="0" w:color="auto"/>
                        <w:left w:val="none" w:sz="0" w:space="0" w:color="auto"/>
                        <w:bottom w:val="none" w:sz="0" w:space="0" w:color="auto"/>
                        <w:right w:val="none" w:sz="0" w:space="0" w:color="auto"/>
                      </w:divBdr>
                    </w:div>
                  </w:divsChild>
                </w:div>
                <w:div w:id="274362756">
                  <w:marLeft w:val="0"/>
                  <w:marRight w:val="0"/>
                  <w:marTop w:val="0"/>
                  <w:marBottom w:val="0"/>
                  <w:divBdr>
                    <w:top w:val="none" w:sz="0" w:space="0" w:color="auto"/>
                    <w:left w:val="none" w:sz="0" w:space="0" w:color="auto"/>
                    <w:bottom w:val="none" w:sz="0" w:space="0" w:color="auto"/>
                    <w:right w:val="none" w:sz="0" w:space="0" w:color="auto"/>
                  </w:divBdr>
                  <w:divsChild>
                    <w:div w:id="1777631018">
                      <w:marLeft w:val="0"/>
                      <w:marRight w:val="0"/>
                      <w:marTop w:val="0"/>
                      <w:marBottom w:val="0"/>
                      <w:divBdr>
                        <w:top w:val="none" w:sz="0" w:space="0" w:color="auto"/>
                        <w:left w:val="none" w:sz="0" w:space="0" w:color="auto"/>
                        <w:bottom w:val="none" w:sz="0" w:space="0" w:color="auto"/>
                        <w:right w:val="none" w:sz="0" w:space="0" w:color="auto"/>
                      </w:divBdr>
                    </w:div>
                  </w:divsChild>
                </w:div>
                <w:div w:id="19403800">
                  <w:marLeft w:val="0"/>
                  <w:marRight w:val="0"/>
                  <w:marTop w:val="0"/>
                  <w:marBottom w:val="0"/>
                  <w:divBdr>
                    <w:top w:val="none" w:sz="0" w:space="0" w:color="auto"/>
                    <w:left w:val="none" w:sz="0" w:space="0" w:color="auto"/>
                    <w:bottom w:val="none" w:sz="0" w:space="0" w:color="auto"/>
                    <w:right w:val="none" w:sz="0" w:space="0" w:color="auto"/>
                  </w:divBdr>
                  <w:divsChild>
                    <w:div w:id="23798299">
                      <w:marLeft w:val="0"/>
                      <w:marRight w:val="0"/>
                      <w:marTop w:val="0"/>
                      <w:marBottom w:val="0"/>
                      <w:divBdr>
                        <w:top w:val="none" w:sz="0" w:space="0" w:color="auto"/>
                        <w:left w:val="none" w:sz="0" w:space="0" w:color="auto"/>
                        <w:bottom w:val="none" w:sz="0" w:space="0" w:color="auto"/>
                        <w:right w:val="none" w:sz="0" w:space="0" w:color="auto"/>
                      </w:divBdr>
                    </w:div>
                  </w:divsChild>
                </w:div>
                <w:div w:id="634529264">
                  <w:marLeft w:val="0"/>
                  <w:marRight w:val="0"/>
                  <w:marTop w:val="0"/>
                  <w:marBottom w:val="0"/>
                  <w:divBdr>
                    <w:top w:val="none" w:sz="0" w:space="0" w:color="auto"/>
                    <w:left w:val="none" w:sz="0" w:space="0" w:color="auto"/>
                    <w:bottom w:val="none" w:sz="0" w:space="0" w:color="auto"/>
                    <w:right w:val="none" w:sz="0" w:space="0" w:color="auto"/>
                  </w:divBdr>
                  <w:divsChild>
                    <w:div w:id="1545604391">
                      <w:marLeft w:val="0"/>
                      <w:marRight w:val="0"/>
                      <w:marTop w:val="0"/>
                      <w:marBottom w:val="0"/>
                      <w:divBdr>
                        <w:top w:val="none" w:sz="0" w:space="0" w:color="auto"/>
                        <w:left w:val="none" w:sz="0" w:space="0" w:color="auto"/>
                        <w:bottom w:val="none" w:sz="0" w:space="0" w:color="auto"/>
                        <w:right w:val="none" w:sz="0" w:space="0" w:color="auto"/>
                      </w:divBdr>
                    </w:div>
                  </w:divsChild>
                </w:div>
                <w:div w:id="1425152318">
                  <w:marLeft w:val="0"/>
                  <w:marRight w:val="0"/>
                  <w:marTop w:val="0"/>
                  <w:marBottom w:val="0"/>
                  <w:divBdr>
                    <w:top w:val="none" w:sz="0" w:space="0" w:color="auto"/>
                    <w:left w:val="none" w:sz="0" w:space="0" w:color="auto"/>
                    <w:bottom w:val="none" w:sz="0" w:space="0" w:color="auto"/>
                    <w:right w:val="none" w:sz="0" w:space="0" w:color="auto"/>
                  </w:divBdr>
                  <w:divsChild>
                    <w:div w:id="1900357090">
                      <w:marLeft w:val="0"/>
                      <w:marRight w:val="0"/>
                      <w:marTop w:val="0"/>
                      <w:marBottom w:val="0"/>
                      <w:divBdr>
                        <w:top w:val="none" w:sz="0" w:space="0" w:color="auto"/>
                        <w:left w:val="none" w:sz="0" w:space="0" w:color="auto"/>
                        <w:bottom w:val="none" w:sz="0" w:space="0" w:color="auto"/>
                        <w:right w:val="none" w:sz="0" w:space="0" w:color="auto"/>
                      </w:divBdr>
                    </w:div>
                  </w:divsChild>
                </w:div>
                <w:div w:id="1258513746">
                  <w:marLeft w:val="0"/>
                  <w:marRight w:val="0"/>
                  <w:marTop w:val="0"/>
                  <w:marBottom w:val="0"/>
                  <w:divBdr>
                    <w:top w:val="none" w:sz="0" w:space="0" w:color="auto"/>
                    <w:left w:val="none" w:sz="0" w:space="0" w:color="auto"/>
                    <w:bottom w:val="none" w:sz="0" w:space="0" w:color="auto"/>
                    <w:right w:val="none" w:sz="0" w:space="0" w:color="auto"/>
                  </w:divBdr>
                  <w:divsChild>
                    <w:div w:id="2120374287">
                      <w:marLeft w:val="0"/>
                      <w:marRight w:val="0"/>
                      <w:marTop w:val="0"/>
                      <w:marBottom w:val="0"/>
                      <w:divBdr>
                        <w:top w:val="none" w:sz="0" w:space="0" w:color="auto"/>
                        <w:left w:val="none" w:sz="0" w:space="0" w:color="auto"/>
                        <w:bottom w:val="none" w:sz="0" w:space="0" w:color="auto"/>
                        <w:right w:val="none" w:sz="0" w:space="0" w:color="auto"/>
                      </w:divBdr>
                    </w:div>
                  </w:divsChild>
                </w:div>
                <w:div w:id="77988504">
                  <w:marLeft w:val="0"/>
                  <w:marRight w:val="0"/>
                  <w:marTop w:val="0"/>
                  <w:marBottom w:val="0"/>
                  <w:divBdr>
                    <w:top w:val="none" w:sz="0" w:space="0" w:color="auto"/>
                    <w:left w:val="none" w:sz="0" w:space="0" w:color="auto"/>
                    <w:bottom w:val="none" w:sz="0" w:space="0" w:color="auto"/>
                    <w:right w:val="none" w:sz="0" w:space="0" w:color="auto"/>
                  </w:divBdr>
                  <w:divsChild>
                    <w:div w:id="532425771">
                      <w:marLeft w:val="0"/>
                      <w:marRight w:val="0"/>
                      <w:marTop w:val="0"/>
                      <w:marBottom w:val="0"/>
                      <w:divBdr>
                        <w:top w:val="none" w:sz="0" w:space="0" w:color="auto"/>
                        <w:left w:val="none" w:sz="0" w:space="0" w:color="auto"/>
                        <w:bottom w:val="none" w:sz="0" w:space="0" w:color="auto"/>
                        <w:right w:val="none" w:sz="0" w:space="0" w:color="auto"/>
                      </w:divBdr>
                    </w:div>
                  </w:divsChild>
                </w:div>
                <w:div w:id="448738643">
                  <w:marLeft w:val="0"/>
                  <w:marRight w:val="0"/>
                  <w:marTop w:val="0"/>
                  <w:marBottom w:val="0"/>
                  <w:divBdr>
                    <w:top w:val="none" w:sz="0" w:space="0" w:color="auto"/>
                    <w:left w:val="none" w:sz="0" w:space="0" w:color="auto"/>
                    <w:bottom w:val="none" w:sz="0" w:space="0" w:color="auto"/>
                    <w:right w:val="none" w:sz="0" w:space="0" w:color="auto"/>
                  </w:divBdr>
                  <w:divsChild>
                    <w:div w:id="1992640364">
                      <w:marLeft w:val="0"/>
                      <w:marRight w:val="0"/>
                      <w:marTop w:val="0"/>
                      <w:marBottom w:val="0"/>
                      <w:divBdr>
                        <w:top w:val="none" w:sz="0" w:space="0" w:color="auto"/>
                        <w:left w:val="none" w:sz="0" w:space="0" w:color="auto"/>
                        <w:bottom w:val="none" w:sz="0" w:space="0" w:color="auto"/>
                        <w:right w:val="none" w:sz="0" w:space="0" w:color="auto"/>
                      </w:divBdr>
                    </w:div>
                  </w:divsChild>
                </w:div>
                <w:div w:id="1328097423">
                  <w:marLeft w:val="0"/>
                  <w:marRight w:val="0"/>
                  <w:marTop w:val="0"/>
                  <w:marBottom w:val="0"/>
                  <w:divBdr>
                    <w:top w:val="none" w:sz="0" w:space="0" w:color="auto"/>
                    <w:left w:val="none" w:sz="0" w:space="0" w:color="auto"/>
                    <w:bottom w:val="none" w:sz="0" w:space="0" w:color="auto"/>
                    <w:right w:val="none" w:sz="0" w:space="0" w:color="auto"/>
                  </w:divBdr>
                  <w:divsChild>
                    <w:div w:id="1131443200">
                      <w:marLeft w:val="0"/>
                      <w:marRight w:val="0"/>
                      <w:marTop w:val="0"/>
                      <w:marBottom w:val="0"/>
                      <w:divBdr>
                        <w:top w:val="none" w:sz="0" w:space="0" w:color="auto"/>
                        <w:left w:val="none" w:sz="0" w:space="0" w:color="auto"/>
                        <w:bottom w:val="none" w:sz="0" w:space="0" w:color="auto"/>
                        <w:right w:val="none" w:sz="0" w:space="0" w:color="auto"/>
                      </w:divBdr>
                    </w:div>
                  </w:divsChild>
                </w:div>
                <w:div w:id="507445687">
                  <w:marLeft w:val="0"/>
                  <w:marRight w:val="0"/>
                  <w:marTop w:val="0"/>
                  <w:marBottom w:val="0"/>
                  <w:divBdr>
                    <w:top w:val="none" w:sz="0" w:space="0" w:color="auto"/>
                    <w:left w:val="none" w:sz="0" w:space="0" w:color="auto"/>
                    <w:bottom w:val="none" w:sz="0" w:space="0" w:color="auto"/>
                    <w:right w:val="none" w:sz="0" w:space="0" w:color="auto"/>
                  </w:divBdr>
                  <w:divsChild>
                    <w:div w:id="411584304">
                      <w:marLeft w:val="0"/>
                      <w:marRight w:val="0"/>
                      <w:marTop w:val="0"/>
                      <w:marBottom w:val="0"/>
                      <w:divBdr>
                        <w:top w:val="none" w:sz="0" w:space="0" w:color="auto"/>
                        <w:left w:val="none" w:sz="0" w:space="0" w:color="auto"/>
                        <w:bottom w:val="none" w:sz="0" w:space="0" w:color="auto"/>
                        <w:right w:val="none" w:sz="0" w:space="0" w:color="auto"/>
                      </w:divBdr>
                    </w:div>
                  </w:divsChild>
                </w:div>
                <w:div w:id="929659260">
                  <w:marLeft w:val="0"/>
                  <w:marRight w:val="0"/>
                  <w:marTop w:val="0"/>
                  <w:marBottom w:val="0"/>
                  <w:divBdr>
                    <w:top w:val="none" w:sz="0" w:space="0" w:color="auto"/>
                    <w:left w:val="none" w:sz="0" w:space="0" w:color="auto"/>
                    <w:bottom w:val="none" w:sz="0" w:space="0" w:color="auto"/>
                    <w:right w:val="none" w:sz="0" w:space="0" w:color="auto"/>
                  </w:divBdr>
                  <w:divsChild>
                    <w:div w:id="1561793996">
                      <w:marLeft w:val="0"/>
                      <w:marRight w:val="0"/>
                      <w:marTop w:val="0"/>
                      <w:marBottom w:val="0"/>
                      <w:divBdr>
                        <w:top w:val="none" w:sz="0" w:space="0" w:color="auto"/>
                        <w:left w:val="none" w:sz="0" w:space="0" w:color="auto"/>
                        <w:bottom w:val="none" w:sz="0" w:space="0" w:color="auto"/>
                        <w:right w:val="none" w:sz="0" w:space="0" w:color="auto"/>
                      </w:divBdr>
                    </w:div>
                  </w:divsChild>
                </w:div>
                <w:div w:id="1271011399">
                  <w:marLeft w:val="0"/>
                  <w:marRight w:val="0"/>
                  <w:marTop w:val="0"/>
                  <w:marBottom w:val="0"/>
                  <w:divBdr>
                    <w:top w:val="none" w:sz="0" w:space="0" w:color="auto"/>
                    <w:left w:val="none" w:sz="0" w:space="0" w:color="auto"/>
                    <w:bottom w:val="none" w:sz="0" w:space="0" w:color="auto"/>
                    <w:right w:val="none" w:sz="0" w:space="0" w:color="auto"/>
                  </w:divBdr>
                  <w:divsChild>
                    <w:div w:id="649333969">
                      <w:marLeft w:val="0"/>
                      <w:marRight w:val="0"/>
                      <w:marTop w:val="0"/>
                      <w:marBottom w:val="0"/>
                      <w:divBdr>
                        <w:top w:val="none" w:sz="0" w:space="0" w:color="auto"/>
                        <w:left w:val="none" w:sz="0" w:space="0" w:color="auto"/>
                        <w:bottom w:val="none" w:sz="0" w:space="0" w:color="auto"/>
                        <w:right w:val="none" w:sz="0" w:space="0" w:color="auto"/>
                      </w:divBdr>
                    </w:div>
                  </w:divsChild>
                </w:div>
                <w:div w:id="1554778601">
                  <w:marLeft w:val="0"/>
                  <w:marRight w:val="0"/>
                  <w:marTop w:val="0"/>
                  <w:marBottom w:val="0"/>
                  <w:divBdr>
                    <w:top w:val="none" w:sz="0" w:space="0" w:color="auto"/>
                    <w:left w:val="none" w:sz="0" w:space="0" w:color="auto"/>
                    <w:bottom w:val="none" w:sz="0" w:space="0" w:color="auto"/>
                    <w:right w:val="none" w:sz="0" w:space="0" w:color="auto"/>
                  </w:divBdr>
                  <w:divsChild>
                    <w:div w:id="1743405740">
                      <w:marLeft w:val="0"/>
                      <w:marRight w:val="0"/>
                      <w:marTop w:val="0"/>
                      <w:marBottom w:val="0"/>
                      <w:divBdr>
                        <w:top w:val="none" w:sz="0" w:space="0" w:color="auto"/>
                        <w:left w:val="none" w:sz="0" w:space="0" w:color="auto"/>
                        <w:bottom w:val="none" w:sz="0" w:space="0" w:color="auto"/>
                        <w:right w:val="none" w:sz="0" w:space="0" w:color="auto"/>
                      </w:divBdr>
                    </w:div>
                  </w:divsChild>
                </w:div>
                <w:div w:id="2128231247">
                  <w:marLeft w:val="0"/>
                  <w:marRight w:val="0"/>
                  <w:marTop w:val="0"/>
                  <w:marBottom w:val="0"/>
                  <w:divBdr>
                    <w:top w:val="none" w:sz="0" w:space="0" w:color="auto"/>
                    <w:left w:val="none" w:sz="0" w:space="0" w:color="auto"/>
                    <w:bottom w:val="none" w:sz="0" w:space="0" w:color="auto"/>
                    <w:right w:val="none" w:sz="0" w:space="0" w:color="auto"/>
                  </w:divBdr>
                  <w:divsChild>
                    <w:div w:id="1257594603">
                      <w:marLeft w:val="0"/>
                      <w:marRight w:val="0"/>
                      <w:marTop w:val="0"/>
                      <w:marBottom w:val="0"/>
                      <w:divBdr>
                        <w:top w:val="none" w:sz="0" w:space="0" w:color="auto"/>
                        <w:left w:val="none" w:sz="0" w:space="0" w:color="auto"/>
                        <w:bottom w:val="none" w:sz="0" w:space="0" w:color="auto"/>
                        <w:right w:val="none" w:sz="0" w:space="0" w:color="auto"/>
                      </w:divBdr>
                    </w:div>
                  </w:divsChild>
                </w:div>
                <w:div w:id="1305624920">
                  <w:marLeft w:val="0"/>
                  <w:marRight w:val="0"/>
                  <w:marTop w:val="0"/>
                  <w:marBottom w:val="0"/>
                  <w:divBdr>
                    <w:top w:val="none" w:sz="0" w:space="0" w:color="auto"/>
                    <w:left w:val="none" w:sz="0" w:space="0" w:color="auto"/>
                    <w:bottom w:val="none" w:sz="0" w:space="0" w:color="auto"/>
                    <w:right w:val="none" w:sz="0" w:space="0" w:color="auto"/>
                  </w:divBdr>
                  <w:divsChild>
                    <w:div w:id="1869099113">
                      <w:marLeft w:val="0"/>
                      <w:marRight w:val="0"/>
                      <w:marTop w:val="0"/>
                      <w:marBottom w:val="0"/>
                      <w:divBdr>
                        <w:top w:val="none" w:sz="0" w:space="0" w:color="auto"/>
                        <w:left w:val="none" w:sz="0" w:space="0" w:color="auto"/>
                        <w:bottom w:val="none" w:sz="0" w:space="0" w:color="auto"/>
                        <w:right w:val="none" w:sz="0" w:space="0" w:color="auto"/>
                      </w:divBdr>
                    </w:div>
                  </w:divsChild>
                </w:div>
                <w:div w:id="565456415">
                  <w:marLeft w:val="0"/>
                  <w:marRight w:val="0"/>
                  <w:marTop w:val="0"/>
                  <w:marBottom w:val="0"/>
                  <w:divBdr>
                    <w:top w:val="none" w:sz="0" w:space="0" w:color="auto"/>
                    <w:left w:val="none" w:sz="0" w:space="0" w:color="auto"/>
                    <w:bottom w:val="none" w:sz="0" w:space="0" w:color="auto"/>
                    <w:right w:val="none" w:sz="0" w:space="0" w:color="auto"/>
                  </w:divBdr>
                  <w:divsChild>
                    <w:div w:id="1706561838">
                      <w:marLeft w:val="0"/>
                      <w:marRight w:val="0"/>
                      <w:marTop w:val="0"/>
                      <w:marBottom w:val="0"/>
                      <w:divBdr>
                        <w:top w:val="none" w:sz="0" w:space="0" w:color="auto"/>
                        <w:left w:val="none" w:sz="0" w:space="0" w:color="auto"/>
                        <w:bottom w:val="none" w:sz="0" w:space="0" w:color="auto"/>
                        <w:right w:val="none" w:sz="0" w:space="0" w:color="auto"/>
                      </w:divBdr>
                    </w:div>
                  </w:divsChild>
                </w:div>
                <w:div w:id="48499932">
                  <w:marLeft w:val="0"/>
                  <w:marRight w:val="0"/>
                  <w:marTop w:val="0"/>
                  <w:marBottom w:val="0"/>
                  <w:divBdr>
                    <w:top w:val="none" w:sz="0" w:space="0" w:color="auto"/>
                    <w:left w:val="none" w:sz="0" w:space="0" w:color="auto"/>
                    <w:bottom w:val="none" w:sz="0" w:space="0" w:color="auto"/>
                    <w:right w:val="none" w:sz="0" w:space="0" w:color="auto"/>
                  </w:divBdr>
                  <w:divsChild>
                    <w:div w:id="2059084836">
                      <w:marLeft w:val="0"/>
                      <w:marRight w:val="0"/>
                      <w:marTop w:val="0"/>
                      <w:marBottom w:val="0"/>
                      <w:divBdr>
                        <w:top w:val="none" w:sz="0" w:space="0" w:color="auto"/>
                        <w:left w:val="none" w:sz="0" w:space="0" w:color="auto"/>
                        <w:bottom w:val="none" w:sz="0" w:space="0" w:color="auto"/>
                        <w:right w:val="none" w:sz="0" w:space="0" w:color="auto"/>
                      </w:divBdr>
                    </w:div>
                  </w:divsChild>
                </w:div>
                <w:div w:id="259878813">
                  <w:marLeft w:val="0"/>
                  <w:marRight w:val="0"/>
                  <w:marTop w:val="0"/>
                  <w:marBottom w:val="0"/>
                  <w:divBdr>
                    <w:top w:val="none" w:sz="0" w:space="0" w:color="auto"/>
                    <w:left w:val="none" w:sz="0" w:space="0" w:color="auto"/>
                    <w:bottom w:val="none" w:sz="0" w:space="0" w:color="auto"/>
                    <w:right w:val="none" w:sz="0" w:space="0" w:color="auto"/>
                  </w:divBdr>
                  <w:divsChild>
                    <w:div w:id="1762793921">
                      <w:marLeft w:val="0"/>
                      <w:marRight w:val="0"/>
                      <w:marTop w:val="0"/>
                      <w:marBottom w:val="0"/>
                      <w:divBdr>
                        <w:top w:val="none" w:sz="0" w:space="0" w:color="auto"/>
                        <w:left w:val="none" w:sz="0" w:space="0" w:color="auto"/>
                        <w:bottom w:val="none" w:sz="0" w:space="0" w:color="auto"/>
                        <w:right w:val="none" w:sz="0" w:space="0" w:color="auto"/>
                      </w:divBdr>
                    </w:div>
                  </w:divsChild>
                </w:div>
                <w:div w:id="357195067">
                  <w:marLeft w:val="0"/>
                  <w:marRight w:val="0"/>
                  <w:marTop w:val="0"/>
                  <w:marBottom w:val="0"/>
                  <w:divBdr>
                    <w:top w:val="none" w:sz="0" w:space="0" w:color="auto"/>
                    <w:left w:val="none" w:sz="0" w:space="0" w:color="auto"/>
                    <w:bottom w:val="none" w:sz="0" w:space="0" w:color="auto"/>
                    <w:right w:val="none" w:sz="0" w:space="0" w:color="auto"/>
                  </w:divBdr>
                  <w:divsChild>
                    <w:div w:id="1884633356">
                      <w:marLeft w:val="0"/>
                      <w:marRight w:val="0"/>
                      <w:marTop w:val="0"/>
                      <w:marBottom w:val="0"/>
                      <w:divBdr>
                        <w:top w:val="none" w:sz="0" w:space="0" w:color="auto"/>
                        <w:left w:val="none" w:sz="0" w:space="0" w:color="auto"/>
                        <w:bottom w:val="none" w:sz="0" w:space="0" w:color="auto"/>
                        <w:right w:val="none" w:sz="0" w:space="0" w:color="auto"/>
                      </w:divBdr>
                    </w:div>
                  </w:divsChild>
                </w:div>
                <w:div w:id="2126077857">
                  <w:marLeft w:val="0"/>
                  <w:marRight w:val="0"/>
                  <w:marTop w:val="0"/>
                  <w:marBottom w:val="0"/>
                  <w:divBdr>
                    <w:top w:val="none" w:sz="0" w:space="0" w:color="auto"/>
                    <w:left w:val="none" w:sz="0" w:space="0" w:color="auto"/>
                    <w:bottom w:val="none" w:sz="0" w:space="0" w:color="auto"/>
                    <w:right w:val="none" w:sz="0" w:space="0" w:color="auto"/>
                  </w:divBdr>
                  <w:divsChild>
                    <w:div w:id="1087457965">
                      <w:marLeft w:val="0"/>
                      <w:marRight w:val="0"/>
                      <w:marTop w:val="0"/>
                      <w:marBottom w:val="0"/>
                      <w:divBdr>
                        <w:top w:val="none" w:sz="0" w:space="0" w:color="auto"/>
                        <w:left w:val="none" w:sz="0" w:space="0" w:color="auto"/>
                        <w:bottom w:val="none" w:sz="0" w:space="0" w:color="auto"/>
                        <w:right w:val="none" w:sz="0" w:space="0" w:color="auto"/>
                      </w:divBdr>
                    </w:div>
                  </w:divsChild>
                </w:div>
                <w:div w:id="1766800997">
                  <w:marLeft w:val="0"/>
                  <w:marRight w:val="0"/>
                  <w:marTop w:val="0"/>
                  <w:marBottom w:val="0"/>
                  <w:divBdr>
                    <w:top w:val="none" w:sz="0" w:space="0" w:color="auto"/>
                    <w:left w:val="none" w:sz="0" w:space="0" w:color="auto"/>
                    <w:bottom w:val="none" w:sz="0" w:space="0" w:color="auto"/>
                    <w:right w:val="none" w:sz="0" w:space="0" w:color="auto"/>
                  </w:divBdr>
                  <w:divsChild>
                    <w:div w:id="1184825410">
                      <w:marLeft w:val="0"/>
                      <w:marRight w:val="0"/>
                      <w:marTop w:val="0"/>
                      <w:marBottom w:val="0"/>
                      <w:divBdr>
                        <w:top w:val="none" w:sz="0" w:space="0" w:color="auto"/>
                        <w:left w:val="none" w:sz="0" w:space="0" w:color="auto"/>
                        <w:bottom w:val="none" w:sz="0" w:space="0" w:color="auto"/>
                        <w:right w:val="none" w:sz="0" w:space="0" w:color="auto"/>
                      </w:divBdr>
                    </w:div>
                  </w:divsChild>
                </w:div>
                <w:div w:id="1859081687">
                  <w:marLeft w:val="0"/>
                  <w:marRight w:val="0"/>
                  <w:marTop w:val="0"/>
                  <w:marBottom w:val="0"/>
                  <w:divBdr>
                    <w:top w:val="none" w:sz="0" w:space="0" w:color="auto"/>
                    <w:left w:val="none" w:sz="0" w:space="0" w:color="auto"/>
                    <w:bottom w:val="none" w:sz="0" w:space="0" w:color="auto"/>
                    <w:right w:val="none" w:sz="0" w:space="0" w:color="auto"/>
                  </w:divBdr>
                  <w:divsChild>
                    <w:div w:id="887572121">
                      <w:marLeft w:val="0"/>
                      <w:marRight w:val="0"/>
                      <w:marTop w:val="0"/>
                      <w:marBottom w:val="0"/>
                      <w:divBdr>
                        <w:top w:val="none" w:sz="0" w:space="0" w:color="auto"/>
                        <w:left w:val="none" w:sz="0" w:space="0" w:color="auto"/>
                        <w:bottom w:val="none" w:sz="0" w:space="0" w:color="auto"/>
                        <w:right w:val="none" w:sz="0" w:space="0" w:color="auto"/>
                      </w:divBdr>
                    </w:div>
                  </w:divsChild>
                </w:div>
                <w:div w:id="1536654361">
                  <w:marLeft w:val="0"/>
                  <w:marRight w:val="0"/>
                  <w:marTop w:val="0"/>
                  <w:marBottom w:val="0"/>
                  <w:divBdr>
                    <w:top w:val="none" w:sz="0" w:space="0" w:color="auto"/>
                    <w:left w:val="none" w:sz="0" w:space="0" w:color="auto"/>
                    <w:bottom w:val="none" w:sz="0" w:space="0" w:color="auto"/>
                    <w:right w:val="none" w:sz="0" w:space="0" w:color="auto"/>
                  </w:divBdr>
                  <w:divsChild>
                    <w:div w:id="662976355">
                      <w:marLeft w:val="0"/>
                      <w:marRight w:val="0"/>
                      <w:marTop w:val="0"/>
                      <w:marBottom w:val="0"/>
                      <w:divBdr>
                        <w:top w:val="none" w:sz="0" w:space="0" w:color="auto"/>
                        <w:left w:val="none" w:sz="0" w:space="0" w:color="auto"/>
                        <w:bottom w:val="none" w:sz="0" w:space="0" w:color="auto"/>
                        <w:right w:val="none" w:sz="0" w:space="0" w:color="auto"/>
                      </w:divBdr>
                    </w:div>
                  </w:divsChild>
                </w:div>
                <w:div w:id="757095160">
                  <w:marLeft w:val="0"/>
                  <w:marRight w:val="0"/>
                  <w:marTop w:val="0"/>
                  <w:marBottom w:val="0"/>
                  <w:divBdr>
                    <w:top w:val="none" w:sz="0" w:space="0" w:color="auto"/>
                    <w:left w:val="none" w:sz="0" w:space="0" w:color="auto"/>
                    <w:bottom w:val="none" w:sz="0" w:space="0" w:color="auto"/>
                    <w:right w:val="none" w:sz="0" w:space="0" w:color="auto"/>
                  </w:divBdr>
                  <w:divsChild>
                    <w:div w:id="2009477468">
                      <w:marLeft w:val="0"/>
                      <w:marRight w:val="0"/>
                      <w:marTop w:val="0"/>
                      <w:marBottom w:val="0"/>
                      <w:divBdr>
                        <w:top w:val="none" w:sz="0" w:space="0" w:color="auto"/>
                        <w:left w:val="none" w:sz="0" w:space="0" w:color="auto"/>
                        <w:bottom w:val="none" w:sz="0" w:space="0" w:color="auto"/>
                        <w:right w:val="none" w:sz="0" w:space="0" w:color="auto"/>
                      </w:divBdr>
                    </w:div>
                  </w:divsChild>
                </w:div>
                <w:div w:id="671958232">
                  <w:marLeft w:val="0"/>
                  <w:marRight w:val="0"/>
                  <w:marTop w:val="0"/>
                  <w:marBottom w:val="0"/>
                  <w:divBdr>
                    <w:top w:val="none" w:sz="0" w:space="0" w:color="auto"/>
                    <w:left w:val="none" w:sz="0" w:space="0" w:color="auto"/>
                    <w:bottom w:val="none" w:sz="0" w:space="0" w:color="auto"/>
                    <w:right w:val="none" w:sz="0" w:space="0" w:color="auto"/>
                  </w:divBdr>
                  <w:divsChild>
                    <w:div w:id="120198964">
                      <w:marLeft w:val="0"/>
                      <w:marRight w:val="0"/>
                      <w:marTop w:val="0"/>
                      <w:marBottom w:val="0"/>
                      <w:divBdr>
                        <w:top w:val="none" w:sz="0" w:space="0" w:color="auto"/>
                        <w:left w:val="none" w:sz="0" w:space="0" w:color="auto"/>
                        <w:bottom w:val="none" w:sz="0" w:space="0" w:color="auto"/>
                        <w:right w:val="none" w:sz="0" w:space="0" w:color="auto"/>
                      </w:divBdr>
                    </w:div>
                  </w:divsChild>
                </w:div>
                <w:div w:id="1643004210">
                  <w:marLeft w:val="0"/>
                  <w:marRight w:val="0"/>
                  <w:marTop w:val="0"/>
                  <w:marBottom w:val="0"/>
                  <w:divBdr>
                    <w:top w:val="none" w:sz="0" w:space="0" w:color="auto"/>
                    <w:left w:val="none" w:sz="0" w:space="0" w:color="auto"/>
                    <w:bottom w:val="none" w:sz="0" w:space="0" w:color="auto"/>
                    <w:right w:val="none" w:sz="0" w:space="0" w:color="auto"/>
                  </w:divBdr>
                  <w:divsChild>
                    <w:div w:id="787696594">
                      <w:marLeft w:val="0"/>
                      <w:marRight w:val="0"/>
                      <w:marTop w:val="0"/>
                      <w:marBottom w:val="0"/>
                      <w:divBdr>
                        <w:top w:val="none" w:sz="0" w:space="0" w:color="auto"/>
                        <w:left w:val="none" w:sz="0" w:space="0" w:color="auto"/>
                        <w:bottom w:val="none" w:sz="0" w:space="0" w:color="auto"/>
                        <w:right w:val="none" w:sz="0" w:space="0" w:color="auto"/>
                      </w:divBdr>
                    </w:div>
                  </w:divsChild>
                </w:div>
                <w:div w:id="565535810">
                  <w:marLeft w:val="0"/>
                  <w:marRight w:val="0"/>
                  <w:marTop w:val="0"/>
                  <w:marBottom w:val="0"/>
                  <w:divBdr>
                    <w:top w:val="none" w:sz="0" w:space="0" w:color="auto"/>
                    <w:left w:val="none" w:sz="0" w:space="0" w:color="auto"/>
                    <w:bottom w:val="none" w:sz="0" w:space="0" w:color="auto"/>
                    <w:right w:val="none" w:sz="0" w:space="0" w:color="auto"/>
                  </w:divBdr>
                  <w:divsChild>
                    <w:div w:id="1131820991">
                      <w:marLeft w:val="0"/>
                      <w:marRight w:val="0"/>
                      <w:marTop w:val="0"/>
                      <w:marBottom w:val="0"/>
                      <w:divBdr>
                        <w:top w:val="none" w:sz="0" w:space="0" w:color="auto"/>
                        <w:left w:val="none" w:sz="0" w:space="0" w:color="auto"/>
                        <w:bottom w:val="none" w:sz="0" w:space="0" w:color="auto"/>
                        <w:right w:val="none" w:sz="0" w:space="0" w:color="auto"/>
                      </w:divBdr>
                    </w:div>
                  </w:divsChild>
                </w:div>
                <w:div w:id="48187630">
                  <w:marLeft w:val="0"/>
                  <w:marRight w:val="0"/>
                  <w:marTop w:val="0"/>
                  <w:marBottom w:val="0"/>
                  <w:divBdr>
                    <w:top w:val="none" w:sz="0" w:space="0" w:color="auto"/>
                    <w:left w:val="none" w:sz="0" w:space="0" w:color="auto"/>
                    <w:bottom w:val="none" w:sz="0" w:space="0" w:color="auto"/>
                    <w:right w:val="none" w:sz="0" w:space="0" w:color="auto"/>
                  </w:divBdr>
                  <w:divsChild>
                    <w:div w:id="1467115210">
                      <w:marLeft w:val="0"/>
                      <w:marRight w:val="0"/>
                      <w:marTop w:val="0"/>
                      <w:marBottom w:val="0"/>
                      <w:divBdr>
                        <w:top w:val="none" w:sz="0" w:space="0" w:color="auto"/>
                        <w:left w:val="none" w:sz="0" w:space="0" w:color="auto"/>
                        <w:bottom w:val="none" w:sz="0" w:space="0" w:color="auto"/>
                        <w:right w:val="none" w:sz="0" w:space="0" w:color="auto"/>
                      </w:divBdr>
                    </w:div>
                  </w:divsChild>
                </w:div>
                <w:div w:id="667488865">
                  <w:marLeft w:val="0"/>
                  <w:marRight w:val="0"/>
                  <w:marTop w:val="0"/>
                  <w:marBottom w:val="0"/>
                  <w:divBdr>
                    <w:top w:val="none" w:sz="0" w:space="0" w:color="auto"/>
                    <w:left w:val="none" w:sz="0" w:space="0" w:color="auto"/>
                    <w:bottom w:val="none" w:sz="0" w:space="0" w:color="auto"/>
                    <w:right w:val="none" w:sz="0" w:space="0" w:color="auto"/>
                  </w:divBdr>
                  <w:divsChild>
                    <w:div w:id="1712655008">
                      <w:marLeft w:val="0"/>
                      <w:marRight w:val="0"/>
                      <w:marTop w:val="0"/>
                      <w:marBottom w:val="0"/>
                      <w:divBdr>
                        <w:top w:val="none" w:sz="0" w:space="0" w:color="auto"/>
                        <w:left w:val="none" w:sz="0" w:space="0" w:color="auto"/>
                        <w:bottom w:val="none" w:sz="0" w:space="0" w:color="auto"/>
                        <w:right w:val="none" w:sz="0" w:space="0" w:color="auto"/>
                      </w:divBdr>
                    </w:div>
                  </w:divsChild>
                </w:div>
                <w:div w:id="1861550253">
                  <w:marLeft w:val="0"/>
                  <w:marRight w:val="0"/>
                  <w:marTop w:val="0"/>
                  <w:marBottom w:val="0"/>
                  <w:divBdr>
                    <w:top w:val="none" w:sz="0" w:space="0" w:color="auto"/>
                    <w:left w:val="none" w:sz="0" w:space="0" w:color="auto"/>
                    <w:bottom w:val="none" w:sz="0" w:space="0" w:color="auto"/>
                    <w:right w:val="none" w:sz="0" w:space="0" w:color="auto"/>
                  </w:divBdr>
                  <w:divsChild>
                    <w:div w:id="532622175">
                      <w:marLeft w:val="0"/>
                      <w:marRight w:val="0"/>
                      <w:marTop w:val="0"/>
                      <w:marBottom w:val="0"/>
                      <w:divBdr>
                        <w:top w:val="none" w:sz="0" w:space="0" w:color="auto"/>
                        <w:left w:val="none" w:sz="0" w:space="0" w:color="auto"/>
                        <w:bottom w:val="none" w:sz="0" w:space="0" w:color="auto"/>
                        <w:right w:val="none" w:sz="0" w:space="0" w:color="auto"/>
                      </w:divBdr>
                    </w:div>
                  </w:divsChild>
                </w:div>
                <w:div w:id="1191457991">
                  <w:marLeft w:val="0"/>
                  <w:marRight w:val="0"/>
                  <w:marTop w:val="0"/>
                  <w:marBottom w:val="0"/>
                  <w:divBdr>
                    <w:top w:val="none" w:sz="0" w:space="0" w:color="auto"/>
                    <w:left w:val="none" w:sz="0" w:space="0" w:color="auto"/>
                    <w:bottom w:val="none" w:sz="0" w:space="0" w:color="auto"/>
                    <w:right w:val="none" w:sz="0" w:space="0" w:color="auto"/>
                  </w:divBdr>
                  <w:divsChild>
                    <w:div w:id="2089031723">
                      <w:marLeft w:val="0"/>
                      <w:marRight w:val="0"/>
                      <w:marTop w:val="0"/>
                      <w:marBottom w:val="0"/>
                      <w:divBdr>
                        <w:top w:val="none" w:sz="0" w:space="0" w:color="auto"/>
                        <w:left w:val="none" w:sz="0" w:space="0" w:color="auto"/>
                        <w:bottom w:val="none" w:sz="0" w:space="0" w:color="auto"/>
                        <w:right w:val="none" w:sz="0" w:space="0" w:color="auto"/>
                      </w:divBdr>
                    </w:div>
                  </w:divsChild>
                </w:div>
                <w:div w:id="912467990">
                  <w:marLeft w:val="0"/>
                  <w:marRight w:val="0"/>
                  <w:marTop w:val="0"/>
                  <w:marBottom w:val="0"/>
                  <w:divBdr>
                    <w:top w:val="none" w:sz="0" w:space="0" w:color="auto"/>
                    <w:left w:val="none" w:sz="0" w:space="0" w:color="auto"/>
                    <w:bottom w:val="none" w:sz="0" w:space="0" w:color="auto"/>
                    <w:right w:val="none" w:sz="0" w:space="0" w:color="auto"/>
                  </w:divBdr>
                  <w:divsChild>
                    <w:div w:id="1280264896">
                      <w:marLeft w:val="0"/>
                      <w:marRight w:val="0"/>
                      <w:marTop w:val="0"/>
                      <w:marBottom w:val="0"/>
                      <w:divBdr>
                        <w:top w:val="none" w:sz="0" w:space="0" w:color="auto"/>
                        <w:left w:val="none" w:sz="0" w:space="0" w:color="auto"/>
                        <w:bottom w:val="none" w:sz="0" w:space="0" w:color="auto"/>
                        <w:right w:val="none" w:sz="0" w:space="0" w:color="auto"/>
                      </w:divBdr>
                    </w:div>
                  </w:divsChild>
                </w:div>
                <w:div w:id="2041318804">
                  <w:marLeft w:val="0"/>
                  <w:marRight w:val="0"/>
                  <w:marTop w:val="0"/>
                  <w:marBottom w:val="0"/>
                  <w:divBdr>
                    <w:top w:val="none" w:sz="0" w:space="0" w:color="auto"/>
                    <w:left w:val="none" w:sz="0" w:space="0" w:color="auto"/>
                    <w:bottom w:val="none" w:sz="0" w:space="0" w:color="auto"/>
                    <w:right w:val="none" w:sz="0" w:space="0" w:color="auto"/>
                  </w:divBdr>
                  <w:divsChild>
                    <w:div w:id="1507749462">
                      <w:marLeft w:val="0"/>
                      <w:marRight w:val="0"/>
                      <w:marTop w:val="0"/>
                      <w:marBottom w:val="0"/>
                      <w:divBdr>
                        <w:top w:val="none" w:sz="0" w:space="0" w:color="auto"/>
                        <w:left w:val="none" w:sz="0" w:space="0" w:color="auto"/>
                        <w:bottom w:val="none" w:sz="0" w:space="0" w:color="auto"/>
                        <w:right w:val="none" w:sz="0" w:space="0" w:color="auto"/>
                      </w:divBdr>
                    </w:div>
                  </w:divsChild>
                </w:div>
                <w:div w:id="1532454085">
                  <w:marLeft w:val="0"/>
                  <w:marRight w:val="0"/>
                  <w:marTop w:val="0"/>
                  <w:marBottom w:val="0"/>
                  <w:divBdr>
                    <w:top w:val="none" w:sz="0" w:space="0" w:color="auto"/>
                    <w:left w:val="none" w:sz="0" w:space="0" w:color="auto"/>
                    <w:bottom w:val="none" w:sz="0" w:space="0" w:color="auto"/>
                    <w:right w:val="none" w:sz="0" w:space="0" w:color="auto"/>
                  </w:divBdr>
                  <w:divsChild>
                    <w:div w:id="1979148421">
                      <w:marLeft w:val="0"/>
                      <w:marRight w:val="0"/>
                      <w:marTop w:val="0"/>
                      <w:marBottom w:val="0"/>
                      <w:divBdr>
                        <w:top w:val="none" w:sz="0" w:space="0" w:color="auto"/>
                        <w:left w:val="none" w:sz="0" w:space="0" w:color="auto"/>
                        <w:bottom w:val="none" w:sz="0" w:space="0" w:color="auto"/>
                        <w:right w:val="none" w:sz="0" w:space="0" w:color="auto"/>
                      </w:divBdr>
                    </w:div>
                  </w:divsChild>
                </w:div>
                <w:div w:id="1623537474">
                  <w:marLeft w:val="0"/>
                  <w:marRight w:val="0"/>
                  <w:marTop w:val="0"/>
                  <w:marBottom w:val="0"/>
                  <w:divBdr>
                    <w:top w:val="none" w:sz="0" w:space="0" w:color="auto"/>
                    <w:left w:val="none" w:sz="0" w:space="0" w:color="auto"/>
                    <w:bottom w:val="none" w:sz="0" w:space="0" w:color="auto"/>
                    <w:right w:val="none" w:sz="0" w:space="0" w:color="auto"/>
                  </w:divBdr>
                  <w:divsChild>
                    <w:div w:id="1916012013">
                      <w:marLeft w:val="0"/>
                      <w:marRight w:val="0"/>
                      <w:marTop w:val="0"/>
                      <w:marBottom w:val="0"/>
                      <w:divBdr>
                        <w:top w:val="none" w:sz="0" w:space="0" w:color="auto"/>
                        <w:left w:val="none" w:sz="0" w:space="0" w:color="auto"/>
                        <w:bottom w:val="none" w:sz="0" w:space="0" w:color="auto"/>
                        <w:right w:val="none" w:sz="0" w:space="0" w:color="auto"/>
                      </w:divBdr>
                    </w:div>
                  </w:divsChild>
                </w:div>
                <w:div w:id="155807127">
                  <w:marLeft w:val="0"/>
                  <w:marRight w:val="0"/>
                  <w:marTop w:val="0"/>
                  <w:marBottom w:val="0"/>
                  <w:divBdr>
                    <w:top w:val="none" w:sz="0" w:space="0" w:color="auto"/>
                    <w:left w:val="none" w:sz="0" w:space="0" w:color="auto"/>
                    <w:bottom w:val="none" w:sz="0" w:space="0" w:color="auto"/>
                    <w:right w:val="none" w:sz="0" w:space="0" w:color="auto"/>
                  </w:divBdr>
                  <w:divsChild>
                    <w:div w:id="1981616760">
                      <w:marLeft w:val="0"/>
                      <w:marRight w:val="0"/>
                      <w:marTop w:val="0"/>
                      <w:marBottom w:val="0"/>
                      <w:divBdr>
                        <w:top w:val="none" w:sz="0" w:space="0" w:color="auto"/>
                        <w:left w:val="none" w:sz="0" w:space="0" w:color="auto"/>
                        <w:bottom w:val="none" w:sz="0" w:space="0" w:color="auto"/>
                        <w:right w:val="none" w:sz="0" w:space="0" w:color="auto"/>
                      </w:divBdr>
                    </w:div>
                  </w:divsChild>
                </w:div>
                <w:div w:id="1383099556">
                  <w:marLeft w:val="0"/>
                  <w:marRight w:val="0"/>
                  <w:marTop w:val="0"/>
                  <w:marBottom w:val="0"/>
                  <w:divBdr>
                    <w:top w:val="none" w:sz="0" w:space="0" w:color="auto"/>
                    <w:left w:val="none" w:sz="0" w:space="0" w:color="auto"/>
                    <w:bottom w:val="none" w:sz="0" w:space="0" w:color="auto"/>
                    <w:right w:val="none" w:sz="0" w:space="0" w:color="auto"/>
                  </w:divBdr>
                  <w:divsChild>
                    <w:div w:id="1913005337">
                      <w:marLeft w:val="0"/>
                      <w:marRight w:val="0"/>
                      <w:marTop w:val="0"/>
                      <w:marBottom w:val="0"/>
                      <w:divBdr>
                        <w:top w:val="none" w:sz="0" w:space="0" w:color="auto"/>
                        <w:left w:val="none" w:sz="0" w:space="0" w:color="auto"/>
                        <w:bottom w:val="none" w:sz="0" w:space="0" w:color="auto"/>
                        <w:right w:val="none" w:sz="0" w:space="0" w:color="auto"/>
                      </w:divBdr>
                    </w:div>
                  </w:divsChild>
                </w:div>
                <w:div w:id="326325027">
                  <w:marLeft w:val="0"/>
                  <w:marRight w:val="0"/>
                  <w:marTop w:val="0"/>
                  <w:marBottom w:val="0"/>
                  <w:divBdr>
                    <w:top w:val="none" w:sz="0" w:space="0" w:color="auto"/>
                    <w:left w:val="none" w:sz="0" w:space="0" w:color="auto"/>
                    <w:bottom w:val="none" w:sz="0" w:space="0" w:color="auto"/>
                    <w:right w:val="none" w:sz="0" w:space="0" w:color="auto"/>
                  </w:divBdr>
                  <w:divsChild>
                    <w:div w:id="1738435058">
                      <w:marLeft w:val="0"/>
                      <w:marRight w:val="0"/>
                      <w:marTop w:val="0"/>
                      <w:marBottom w:val="0"/>
                      <w:divBdr>
                        <w:top w:val="none" w:sz="0" w:space="0" w:color="auto"/>
                        <w:left w:val="none" w:sz="0" w:space="0" w:color="auto"/>
                        <w:bottom w:val="none" w:sz="0" w:space="0" w:color="auto"/>
                        <w:right w:val="none" w:sz="0" w:space="0" w:color="auto"/>
                      </w:divBdr>
                    </w:div>
                  </w:divsChild>
                </w:div>
                <w:div w:id="636648483">
                  <w:marLeft w:val="0"/>
                  <w:marRight w:val="0"/>
                  <w:marTop w:val="0"/>
                  <w:marBottom w:val="0"/>
                  <w:divBdr>
                    <w:top w:val="none" w:sz="0" w:space="0" w:color="auto"/>
                    <w:left w:val="none" w:sz="0" w:space="0" w:color="auto"/>
                    <w:bottom w:val="none" w:sz="0" w:space="0" w:color="auto"/>
                    <w:right w:val="none" w:sz="0" w:space="0" w:color="auto"/>
                  </w:divBdr>
                  <w:divsChild>
                    <w:div w:id="291980123">
                      <w:marLeft w:val="0"/>
                      <w:marRight w:val="0"/>
                      <w:marTop w:val="0"/>
                      <w:marBottom w:val="0"/>
                      <w:divBdr>
                        <w:top w:val="none" w:sz="0" w:space="0" w:color="auto"/>
                        <w:left w:val="none" w:sz="0" w:space="0" w:color="auto"/>
                        <w:bottom w:val="none" w:sz="0" w:space="0" w:color="auto"/>
                        <w:right w:val="none" w:sz="0" w:space="0" w:color="auto"/>
                      </w:divBdr>
                    </w:div>
                  </w:divsChild>
                </w:div>
                <w:div w:id="70348302">
                  <w:marLeft w:val="0"/>
                  <w:marRight w:val="0"/>
                  <w:marTop w:val="0"/>
                  <w:marBottom w:val="0"/>
                  <w:divBdr>
                    <w:top w:val="none" w:sz="0" w:space="0" w:color="auto"/>
                    <w:left w:val="none" w:sz="0" w:space="0" w:color="auto"/>
                    <w:bottom w:val="none" w:sz="0" w:space="0" w:color="auto"/>
                    <w:right w:val="none" w:sz="0" w:space="0" w:color="auto"/>
                  </w:divBdr>
                  <w:divsChild>
                    <w:div w:id="17237943">
                      <w:marLeft w:val="0"/>
                      <w:marRight w:val="0"/>
                      <w:marTop w:val="0"/>
                      <w:marBottom w:val="0"/>
                      <w:divBdr>
                        <w:top w:val="none" w:sz="0" w:space="0" w:color="auto"/>
                        <w:left w:val="none" w:sz="0" w:space="0" w:color="auto"/>
                        <w:bottom w:val="none" w:sz="0" w:space="0" w:color="auto"/>
                        <w:right w:val="none" w:sz="0" w:space="0" w:color="auto"/>
                      </w:divBdr>
                    </w:div>
                  </w:divsChild>
                </w:div>
                <w:div w:id="866723170">
                  <w:marLeft w:val="0"/>
                  <w:marRight w:val="0"/>
                  <w:marTop w:val="0"/>
                  <w:marBottom w:val="0"/>
                  <w:divBdr>
                    <w:top w:val="none" w:sz="0" w:space="0" w:color="auto"/>
                    <w:left w:val="none" w:sz="0" w:space="0" w:color="auto"/>
                    <w:bottom w:val="none" w:sz="0" w:space="0" w:color="auto"/>
                    <w:right w:val="none" w:sz="0" w:space="0" w:color="auto"/>
                  </w:divBdr>
                  <w:divsChild>
                    <w:div w:id="763261975">
                      <w:marLeft w:val="0"/>
                      <w:marRight w:val="0"/>
                      <w:marTop w:val="0"/>
                      <w:marBottom w:val="0"/>
                      <w:divBdr>
                        <w:top w:val="none" w:sz="0" w:space="0" w:color="auto"/>
                        <w:left w:val="none" w:sz="0" w:space="0" w:color="auto"/>
                        <w:bottom w:val="none" w:sz="0" w:space="0" w:color="auto"/>
                        <w:right w:val="none" w:sz="0" w:space="0" w:color="auto"/>
                      </w:divBdr>
                    </w:div>
                  </w:divsChild>
                </w:div>
                <w:div w:id="863059494">
                  <w:marLeft w:val="0"/>
                  <w:marRight w:val="0"/>
                  <w:marTop w:val="0"/>
                  <w:marBottom w:val="0"/>
                  <w:divBdr>
                    <w:top w:val="none" w:sz="0" w:space="0" w:color="auto"/>
                    <w:left w:val="none" w:sz="0" w:space="0" w:color="auto"/>
                    <w:bottom w:val="none" w:sz="0" w:space="0" w:color="auto"/>
                    <w:right w:val="none" w:sz="0" w:space="0" w:color="auto"/>
                  </w:divBdr>
                  <w:divsChild>
                    <w:div w:id="956909728">
                      <w:marLeft w:val="0"/>
                      <w:marRight w:val="0"/>
                      <w:marTop w:val="0"/>
                      <w:marBottom w:val="0"/>
                      <w:divBdr>
                        <w:top w:val="none" w:sz="0" w:space="0" w:color="auto"/>
                        <w:left w:val="none" w:sz="0" w:space="0" w:color="auto"/>
                        <w:bottom w:val="none" w:sz="0" w:space="0" w:color="auto"/>
                        <w:right w:val="none" w:sz="0" w:space="0" w:color="auto"/>
                      </w:divBdr>
                    </w:div>
                  </w:divsChild>
                </w:div>
                <w:div w:id="1402408172">
                  <w:marLeft w:val="0"/>
                  <w:marRight w:val="0"/>
                  <w:marTop w:val="0"/>
                  <w:marBottom w:val="0"/>
                  <w:divBdr>
                    <w:top w:val="none" w:sz="0" w:space="0" w:color="auto"/>
                    <w:left w:val="none" w:sz="0" w:space="0" w:color="auto"/>
                    <w:bottom w:val="none" w:sz="0" w:space="0" w:color="auto"/>
                    <w:right w:val="none" w:sz="0" w:space="0" w:color="auto"/>
                  </w:divBdr>
                  <w:divsChild>
                    <w:div w:id="1159346666">
                      <w:marLeft w:val="0"/>
                      <w:marRight w:val="0"/>
                      <w:marTop w:val="0"/>
                      <w:marBottom w:val="0"/>
                      <w:divBdr>
                        <w:top w:val="none" w:sz="0" w:space="0" w:color="auto"/>
                        <w:left w:val="none" w:sz="0" w:space="0" w:color="auto"/>
                        <w:bottom w:val="none" w:sz="0" w:space="0" w:color="auto"/>
                        <w:right w:val="none" w:sz="0" w:space="0" w:color="auto"/>
                      </w:divBdr>
                    </w:div>
                  </w:divsChild>
                </w:div>
                <w:div w:id="584994372">
                  <w:marLeft w:val="0"/>
                  <w:marRight w:val="0"/>
                  <w:marTop w:val="0"/>
                  <w:marBottom w:val="0"/>
                  <w:divBdr>
                    <w:top w:val="none" w:sz="0" w:space="0" w:color="auto"/>
                    <w:left w:val="none" w:sz="0" w:space="0" w:color="auto"/>
                    <w:bottom w:val="none" w:sz="0" w:space="0" w:color="auto"/>
                    <w:right w:val="none" w:sz="0" w:space="0" w:color="auto"/>
                  </w:divBdr>
                  <w:divsChild>
                    <w:div w:id="990904751">
                      <w:marLeft w:val="0"/>
                      <w:marRight w:val="0"/>
                      <w:marTop w:val="0"/>
                      <w:marBottom w:val="0"/>
                      <w:divBdr>
                        <w:top w:val="none" w:sz="0" w:space="0" w:color="auto"/>
                        <w:left w:val="none" w:sz="0" w:space="0" w:color="auto"/>
                        <w:bottom w:val="none" w:sz="0" w:space="0" w:color="auto"/>
                        <w:right w:val="none" w:sz="0" w:space="0" w:color="auto"/>
                      </w:divBdr>
                    </w:div>
                  </w:divsChild>
                </w:div>
                <w:div w:id="733359484">
                  <w:marLeft w:val="0"/>
                  <w:marRight w:val="0"/>
                  <w:marTop w:val="0"/>
                  <w:marBottom w:val="0"/>
                  <w:divBdr>
                    <w:top w:val="none" w:sz="0" w:space="0" w:color="auto"/>
                    <w:left w:val="none" w:sz="0" w:space="0" w:color="auto"/>
                    <w:bottom w:val="none" w:sz="0" w:space="0" w:color="auto"/>
                    <w:right w:val="none" w:sz="0" w:space="0" w:color="auto"/>
                  </w:divBdr>
                  <w:divsChild>
                    <w:div w:id="806239938">
                      <w:marLeft w:val="0"/>
                      <w:marRight w:val="0"/>
                      <w:marTop w:val="0"/>
                      <w:marBottom w:val="0"/>
                      <w:divBdr>
                        <w:top w:val="none" w:sz="0" w:space="0" w:color="auto"/>
                        <w:left w:val="none" w:sz="0" w:space="0" w:color="auto"/>
                        <w:bottom w:val="none" w:sz="0" w:space="0" w:color="auto"/>
                        <w:right w:val="none" w:sz="0" w:space="0" w:color="auto"/>
                      </w:divBdr>
                    </w:div>
                  </w:divsChild>
                </w:div>
                <w:div w:id="6903727">
                  <w:marLeft w:val="0"/>
                  <w:marRight w:val="0"/>
                  <w:marTop w:val="0"/>
                  <w:marBottom w:val="0"/>
                  <w:divBdr>
                    <w:top w:val="none" w:sz="0" w:space="0" w:color="auto"/>
                    <w:left w:val="none" w:sz="0" w:space="0" w:color="auto"/>
                    <w:bottom w:val="none" w:sz="0" w:space="0" w:color="auto"/>
                    <w:right w:val="none" w:sz="0" w:space="0" w:color="auto"/>
                  </w:divBdr>
                  <w:divsChild>
                    <w:div w:id="339698114">
                      <w:marLeft w:val="0"/>
                      <w:marRight w:val="0"/>
                      <w:marTop w:val="0"/>
                      <w:marBottom w:val="0"/>
                      <w:divBdr>
                        <w:top w:val="none" w:sz="0" w:space="0" w:color="auto"/>
                        <w:left w:val="none" w:sz="0" w:space="0" w:color="auto"/>
                        <w:bottom w:val="none" w:sz="0" w:space="0" w:color="auto"/>
                        <w:right w:val="none" w:sz="0" w:space="0" w:color="auto"/>
                      </w:divBdr>
                    </w:div>
                  </w:divsChild>
                </w:div>
                <w:div w:id="611519776">
                  <w:marLeft w:val="0"/>
                  <w:marRight w:val="0"/>
                  <w:marTop w:val="0"/>
                  <w:marBottom w:val="0"/>
                  <w:divBdr>
                    <w:top w:val="none" w:sz="0" w:space="0" w:color="auto"/>
                    <w:left w:val="none" w:sz="0" w:space="0" w:color="auto"/>
                    <w:bottom w:val="none" w:sz="0" w:space="0" w:color="auto"/>
                    <w:right w:val="none" w:sz="0" w:space="0" w:color="auto"/>
                  </w:divBdr>
                  <w:divsChild>
                    <w:div w:id="1914588139">
                      <w:marLeft w:val="0"/>
                      <w:marRight w:val="0"/>
                      <w:marTop w:val="0"/>
                      <w:marBottom w:val="0"/>
                      <w:divBdr>
                        <w:top w:val="none" w:sz="0" w:space="0" w:color="auto"/>
                        <w:left w:val="none" w:sz="0" w:space="0" w:color="auto"/>
                        <w:bottom w:val="none" w:sz="0" w:space="0" w:color="auto"/>
                        <w:right w:val="none" w:sz="0" w:space="0" w:color="auto"/>
                      </w:divBdr>
                    </w:div>
                  </w:divsChild>
                </w:div>
                <w:div w:id="1930574777">
                  <w:marLeft w:val="0"/>
                  <w:marRight w:val="0"/>
                  <w:marTop w:val="0"/>
                  <w:marBottom w:val="0"/>
                  <w:divBdr>
                    <w:top w:val="none" w:sz="0" w:space="0" w:color="auto"/>
                    <w:left w:val="none" w:sz="0" w:space="0" w:color="auto"/>
                    <w:bottom w:val="none" w:sz="0" w:space="0" w:color="auto"/>
                    <w:right w:val="none" w:sz="0" w:space="0" w:color="auto"/>
                  </w:divBdr>
                  <w:divsChild>
                    <w:div w:id="368378826">
                      <w:marLeft w:val="0"/>
                      <w:marRight w:val="0"/>
                      <w:marTop w:val="0"/>
                      <w:marBottom w:val="0"/>
                      <w:divBdr>
                        <w:top w:val="none" w:sz="0" w:space="0" w:color="auto"/>
                        <w:left w:val="none" w:sz="0" w:space="0" w:color="auto"/>
                        <w:bottom w:val="none" w:sz="0" w:space="0" w:color="auto"/>
                        <w:right w:val="none" w:sz="0" w:space="0" w:color="auto"/>
                      </w:divBdr>
                    </w:div>
                  </w:divsChild>
                </w:div>
                <w:div w:id="276720182">
                  <w:marLeft w:val="0"/>
                  <w:marRight w:val="0"/>
                  <w:marTop w:val="0"/>
                  <w:marBottom w:val="0"/>
                  <w:divBdr>
                    <w:top w:val="none" w:sz="0" w:space="0" w:color="auto"/>
                    <w:left w:val="none" w:sz="0" w:space="0" w:color="auto"/>
                    <w:bottom w:val="none" w:sz="0" w:space="0" w:color="auto"/>
                    <w:right w:val="none" w:sz="0" w:space="0" w:color="auto"/>
                  </w:divBdr>
                  <w:divsChild>
                    <w:div w:id="1314335080">
                      <w:marLeft w:val="0"/>
                      <w:marRight w:val="0"/>
                      <w:marTop w:val="0"/>
                      <w:marBottom w:val="0"/>
                      <w:divBdr>
                        <w:top w:val="none" w:sz="0" w:space="0" w:color="auto"/>
                        <w:left w:val="none" w:sz="0" w:space="0" w:color="auto"/>
                        <w:bottom w:val="none" w:sz="0" w:space="0" w:color="auto"/>
                        <w:right w:val="none" w:sz="0" w:space="0" w:color="auto"/>
                      </w:divBdr>
                    </w:div>
                  </w:divsChild>
                </w:div>
                <w:div w:id="656766954">
                  <w:marLeft w:val="0"/>
                  <w:marRight w:val="0"/>
                  <w:marTop w:val="0"/>
                  <w:marBottom w:val="0"/>
                  <w:divBdr>
                    <w:top w:val="none" w:sz="0" w:space="0" w:color="auto"/>
                    <w:left w:val="none" w:sz="0" w:space="0" w:color="auto"/>
                    <w:bottom w:val="none" w:sz="0" w:space="0" w:color="auto"/>
                    <w:right w:val="none" w:sz="0" w:space="0" w:color="auto"/>
                  </w:divBdr>
                  <w:divsChild>
                    <w:div w:id="1190073226">
                      <w:marLeft w:val="0"/>
                      <w:marRight w:val="0"/>
                      <w:marTop w:val="0"/>
                      <w:marBottom w:val="0"/>
                      <w:divBdr>
                        <w:top w:val="none" w:sz="0" w:space="0" w:color="auto"/>
                        <w:left w:val="none" w:sz="0" w:space="0" w:color="auto"/>
                        <w:bottom w:val="none" w:sz="0" w:space="0" w:color="auto"/>
                        <w:right w:val="none" w:sz="0" w:space="0" w:color="auto"/>
                      </w:divBdr>
                    </w:div>
                  </w:divsChild>
                </w:div>
                <w:div w:id="1895505151">
                  <w:marLeft w:val="0"/>
                  <w:marRight w:val="0"/>
                  <w:marTop w:val="0"/>
                  <w:marBottom w:val="0"/>
                  <w:divBdr>
                    <w:top w:val="none" w:sz="0" w:space="0" w:color="auto"/>
                    <w:left w:val="none" w:sz="0" w:space="0" w:color="auto"/>
                    <w:bottom w:val="none" w:sz="0" w:space="0" w:color="auto"/>
                    <w:right w:val="none" w:sz="0" w:space="0" w:color="auto"/>
                  </w:divBdr>
                  <w:divsChild>
                    <w:div w:id="1785227865">
                      <w:marLeft w:val="0"/>
                      <w:marRight w:val="0"/>
                      <w:marTop w:val="0"/>
                      <w:marBottom w:val="0"/>
                      <w:divBdr>
                        <w:top w:val="none" w:sz="0" w:space="0" w:color="auto"/>
                        <w:left w:val="none" w:sz="0" w:space="0" w:color="auto"/>
                        <w:bottom w:val="none" w:sz="0" w:space="0" w:color="auto"/>
                        <w:right w:val="none" w:sz="0" w:space="0" w:color="auto"/>
                      </w:divBdr>
                    </w:div>
                  </w:divsChild>
                </w:div>
                <w:div w:id="1339776032">
                  <w:marLeft w:val="0"/>
                  <w:marRight w:val="0"/>
                  <w:marTop w:val="0"/>
                  <w:marBottom w:val="0"/>
                  <w:divBdr>
                    <w:top w:val="none" w:sz="0" w:space="0" w:color="auto"/>
                    <w:left w:val="none" w:sz="0" w:space="0" w:color="auto"/>
                    <w:bottom w:val="none" w:sz="0" w:space="0" w:color="auto"/>
                    <w:right w:val="none" w:sz="0" w:space="0" w:color="auto"/>
                  </w:divBdr>
                  <w:divsChild>
                    <w:div w:id="2012903197">
                      <w:marLeft w:val="0"/>
                      <w:marRight w:val="0"/>
                      <w:marTop w:val="0"/>
                      <w:marBottom w:val="0"/>
                      <w:divBdr>
                        <w:top w:val="none" w:sz="0" w:space="0" w:color="auto"/>
                        <w:left w:val="none" w:sz="0" w:space="0" w:color="auto"/>
                        <w:bottom w:val="none" w:sz="0" w:space="0" w:color="auto"/>
                        <w:right w:val="none" w:sz="0" w:space="0" w:color="auto"/>
                      </w:divBdr>
                    </w:div>
                  </w:divsChild>
                </w:div>
                <w:div w:id="564606577">
                  <w:marLeft w:val="0"/>
                  <w:marRight w:val="0"/>
                  <w:marTop w:val="0"/>
                  <w:marBottom w:val="0"/>
                  <w:divBdr>
                    <w:top w:val="none" w:sz="0" w:space="0" w:color="auto"/>
                    <w:left w:val="none" w:sz="0" w:space="0" w:color="auto"/>
                    <w:bottom w:val="none" w:sz="0" w:space="0" w:color="auto"/>
                    <w:right w:val="none" w:sz="0" w:space="0" w:color="auto"/>
                  </w:divBdr>
                  <w:divsChild>
                    <w:div w:id="1443918413">
                      <w:marLeft w:val="0"/>
                      <w:marRight w:val="0"/>
                      <w:marTop w:val="0"/>
                      <w:marBottom w:val="0"/>
                      <w:divBdr>
                        <w:top w:val="none" w:sz="0" w:space="0" w:color="auto"/>
                        <w:left w:val="none" w:sz="0" w:space="0" w:color="auto"/>
                        <w:bottom w:val="none" w:sz="0" w:space="0" w:color="auto"/>
                        <w:right w:val="none" w:sz="0" w:space="0" w:color="auto"/>
                      </w:divBdr>
                    </w:div>
                  </w:divsChild>
                </w:div>
                <w:div w:id="2023047819">
                  <w:marLeft w:val="0"/>
                  <w:marRight w:val="0"/>
                  <w:marTop w:val="0"/>
                  <w:marBottom w:val="0"/>
                  <w:divBdr>
                    <w:top w:val="none" w:sz="0" w:space="0" w:color="auto"/>
                    <w:left w:val="none" w:sz="0" w:space="0" w:color="auto"/>
                    <w:bottom w:val="none" w:sz="0" w:space="0" w:color="auto"/>
                    <w:right w:val="none" w:sz="0" w:space="0" w:color="auto"/>
                  </w:divBdr>
                  <w:divsChild>
                    <w:div w:id="446853284">
                      <w:marLeft w:val="0"/>
                      <w:marRight w:val="0"/>
                      <w:marTop w:val="0"/>
                      <w:marBottom w:val="0"/>
                      <w:divBdr>
                        <w:top w:val="none" w:sz="0" w:space="0" w:color="auto"/>
                        <w:left w:val="none" w:sz="0" w:space="0" w:color="auto"/>
                        <w:bottom w:val="none" w:sz="0" w:space="0" w:color="auto"/>
                        <w:right w:val="none" w:sz="0" w:space="0" w:color="auto"/>
                      </w:divBdr>
                    </w:div>
                  </w:divsChild>
                </w:div>
                <w:div w:id="882402600">
                  <w:marLeft w:val="0"/>
                  <w:marRight w:val="0"/>
                  <w:marTop w:val="0"/>
                  <w:marBottom w:val="0"/>
                  <w:divBdr>
                    <w:top w:val="none" w:sz="0" w:space="0" w:color="auto"/>
                    <w:left w:val="none" w:sz="0" w:space="0" w:color="auto"/>
                    <w:bottom w:val="none" w:sz="0" w:space="0" w:color="auto"/>
                    <w:right w:val="none" w:sz="0" w:space="0" w:color="auto"/>
                  </w:divBdr>
                  <w:divsChild>
                    <w:div w:id="1966497613">
                      <w:marLeft w:val="0"/>
                      <w:marRight w:val="0"/>
                      <w:marTop w:val="0"/>
                      <w:marBottom w:val="0"/>
                      <w:divBdr>
                        <w:top w:val="none" w:sz="0" w:space="0" w:color="auto"/>
                        <w:left w:val="none" w:sz="0" w:space="0" w:color="auto"/>
                        <w:bottom w:val="none" w:sz="0" w:space="0" w:color="auto"/>
                        <w:right w:val="none" w:sz="0" w:space="0" w:color="auto"/>
                      </w:divBdr>
                    </w:div>
                  </w:divsChild>
                </w:div>
                <w:div w:id="1059129743">
                  <w:marLeft w:val="0"/>
                  <w:marRight w:val="0"/>
                  <w:marTop w:val="0"/>
                  <w:marBottom w:val="0"/>
                  <w:divBdr>
                    <w:top w:val="none" w:sz="0" w:space="0" w:color="auto"/>
                    <w:left w:val="none" w:sz="0" w:space="0" w:color="auto"/>
                    <w:bottom w:val="none" w:sz="0" w:space="0" w:color="auto"/>
                    <w:right w:val="none" w:sz="0" w:space="0" w:color="auto"/>
                  </w:divBdr>
                  <w:divsChild>
                    <w:div w:id="1232154492">
                      <w:marLeft w:val="0"/>
                      <w:marRight w:val="0"/>
                      <w:marTop w:val="0"/>
                      <w:marBottom w:val="0"/>
                      <w:divBdr>
                        <w:top w:val="none" w:sz="0" w:space="0" w:color="auto"/>
                        <w:left w:val="none" w:sz="0" w:space="0" w:color="auto"/>
                        <w:bottom w:val="none" w:sz="0" w:space="0" w:color="auto"/>
                        <w:right w:val="none" w:sz="0" w:space="0" w:color="auto"/>
                      </w:divBdr>
                    </w:div>
                  </w:divsChild>
                </w:div>
                <w:div w:id="482547550">
                  <w:marLeft w:val="0"/>
                  <w:marRight w:val="0"/>
                  <w:marTop w:val="0"/>
                  <w:marBottom w:val="0"/>
                  <w:divBdr>
                    <w:top w:val="none" w:sz="0" w:space="0" w:color="auto"/>
                    <w:left w:val="none" w:sz="0" w:space="0" w:color="auto"/>
                    <w:bottom w:val="none" w:sz="0" w:space="0" w:color="auto"/>
                    <w:right w:val="none" w:sz="0" w:space="0" w:color="auto"/>
                  </w:divBdr>
                  <w:divsChild>
                    <w:div w:id="1035732262">
                      <w:marLeft w:val="0"/>
                      <w:marRight w:val="0"/>
                      <w:marTop w:val="0"/>
                      <w:marBottom w:val="0"/>
                      <w:divBdr>
                        <w:top w:val="none" w:sz="0" w:space="0" w:color="auto"/>
                        <w:left w:val="none" w:sz="0" w:space="0" w:color="auto"/>
                        <w:bottom w:val="none" w:sz="0" w:space="0" w:color="auto"/>
                        <w:right w:val="none" w:sz="0" w:space="0" w:color="auto"/>
                      </w:divBdr>
                    </w:div>
                  </w:divsChild>
                </w:div>
                <w:div w:id="1690448276">
                  <w:marLeft w:val="0"/>
                  <w:marRight w:val="0"/>
                  <w:marTop w:val="0"/>
                  <w:marBottom w:val="0"/>
                  <w:divBdr>
                    <w:top w:val="none" w:sz="0" w:space="0" w:color="auto"/>
                    <w:left w:val="none" w:sz="0" w:space="0" w:color="auto"/>
                    <w:bottom w:val="none" w:sz="0" w:space="0" w:color="auto"/>
                    <w:right w:val="none" w:sz="0" w:space="0" w:color="auto"/>
                  </w:divBdr>
                  <w:divsChild>
                    <w:div w:id="98719049">
                      <w:marLeft w:val="0"/>
                      <w:marRight w:val="0"/>
                      <w:marTop w:val="0"/>
                      <w:marBottom w:val="0"/>
                      <w:divBdr>
                        <w:top w:val="none" w:sz="0" w:space="0" w:color="auto"/>
                        <w:left w:val="none" w:sz="0" w:space="0" w:color="auto"/>
                        <w:bottom w:val="none" w:sz="0" w:space="0" w:color="auto"/>
                        <w:right w:val="none" w:sz="0" w:space="0" w:color="auto"/>
                      </w:divBdr>
                    </w:div>
                  </w:divsChild>
                </w:div>
                <w:div w:id="1122652386">
                  <w:marLeft w:val="0"/>
                  <w:marRight w:val="0"/>
                  <w:marTop w:val="0"/>
                  <w:marBottom w:val="0"/>
                  <w:divBdr>
                    <w:top w:val="none" w:sz="0" w:space="0" w:color="auto"/>
                    <w:left w:val="none" w:sz="0" w:space="0" w:color="auto"/>
                    <w:bottom w:val="none" w:sz="0" w:space="0" w:color="auto"/>
                    <w:right w:val="none" w:sz="0" w:space="0" w:color="auto"/>
                  </w:divBdr>
                  <w:divsChild>
                    <w:div w:id="328482308">
                      <w:marLeft w:val="0"/>
                      <w:marRight w:val="0"/>
                      <w:marTop w:val="0"/>
                      <w:marBottom w:val="0"/>
                      <w:divBdr>
                        <w:top w:val="none" w:sz="0" w:space="0" w:color="auto"/>
                        <w:left w:val="none" w:sz="0" w:space="0" w:color="auto"/>
                        <w:bottom w:val="none" w:sz="0" w:space="0" w:color="auto"/>
                        <w:right w:val="none" w:sz="0" w:space="0" w:color="auto"/>
                      </w:divBdr>
                    </w:div>
                  </w:divsChild>
                </w:div>
                <w:div w:id="442262814">
                  <w:marLeft w:val="0"/>
                  <w:marRight w:val="0"/>
                  <w:marTop w:val="0"/>
                  <w:marBottom w:val="0"/>
                  <w:divBdr>
                    <w:top w:val="none" w:sz="0" w:space="0" w:color="auto"/>
                    <w:left w:val="none" w:sz="0" w:space="0" w:color="auto"/>
                    <w:bottom w:val="none" w:sz="0" w:space="0" w:color="auto"/>
                    <w:right w:val="none" w:sz="0" w:space="0" w:color="auto"/>
                  </w:divBdr>
                  <w:divsChild>
                    <w:div w:id="551355119">
                      <w:marLeft w:val="0"/>
                      <w:marRight w:val="0"/>
                      <w:marTop w:val="0"/>
                      <w:marBottom w:val="0"/>
                      <w:divBdr>
                        <w:top w:val="none" w:sz="0" w:space="0" w:color="auto"/>
                        <w:left w:val="none" w:sz="0" w:space="0" w:color="auto"/>
                        <w:bottom w:val="none" w:sz="0" w:space="0" w:color="auto"/>
                        <w:right w:val="none" w:sz="0" w:space="0" w:color="auto"/>
                      </w:divBdr>
                    </w:div>
                  </w:divsChild>
                </w:div>
                <w:div w:id="1799109017">
                  <w:marLeft w:val="0"/>
                  <w:marRight w:val="0"/>
                  <w:marTop w:val="0"/>
                  <w:marBottom w:val="0"/>
                  <w:divBdr>
                    <w:top w:val="none" w:sz="0" w:space="0" w:color="auto"/>
                    <w:left w:val="none" w:sz="0" w:space="0" w:color="auto"/>
                    <w:bottom w:val="none" w:sz="0" w:space="0" w:color="auto"/>
                    <w:right w:val="none" w:sz="0" w:space="0" w:color="auto"/>
                  </w:divBdr>
                  <w:divsChild>
                    <w:div w:id="1700273644">
                      <w:marLeft w:val="0"/>
                      <w:marRight w:val="0"/>
                      <w:marTop w:val="0"/>
                      <w:marBottom w:val="0"/>
                      <w:divBdr>
                        <w:top w:val="none" w:sz="0" w:space="0" w:color="auto"/>
                        <w:left w:val="none" w:sz="0" w:space="0" w:color="auto"/>
                        <w:bottom w:val="none" w:sz="0" w:space="0" w:color="auto"/>
                        <w:right w:val="none" w:sz="0" w:space="0" w:color="auto"/>
                      </w:divBdr>
                    </w:div>
                  </w:divsChild>
                </w:div>
                <w:div w:id="1323508219">
                  <w:marLeft w:val="0"/>
                  <w:marRight w:val="0"/>
                  <w:marTop w:val="0"/>
                  <w:marBottom w:val="0"/>
                  <w:divBdr>
                    <w:top w:val="none" w:sz="0" w:space="0" w:color="auto"/>
                    <w:left w:val="none" w:sz="0" w:space="0" w:color="auto"/>
                    <w:bottom w:val="none" w:sz="0" w:space="0" w:color="auto"/>
                    <w:right w:val="none" w:sz="0" w:space="0" w:color="auto"/>
                  </w:divBdr>
                  <w:divsChild>
                    <w:div w:id="680543512">
                      <w:marLeft w:val="0"/>
                      <w:marRight w:val="0"/>
                      <w:marTop w:val="0"/>
                      <w:marBottom w:val="0"/>
                      <w:divBdr>
                        <w:top w:val="none" w:sz="0" w:space="0" w:color="auto"/>
                        <w:left w:val="none" w:sz="0" w:space="0" w:color="auto"/>
                        <w:bottom w:val="none" w:sz="0" w:space="0" w:color="auto"/>
                        <w:right w:val="none" w:sz="0" w:space="0" w:color="auto"/>
                      </w:divBdr>
                    </w:div>
                  </w:divsChild>
                </w:div>
                <w:div w:id="1693338975">
                  <w:marLeft w:val="0"/>
                  <w:marRight w:val="0"/>
                  <w:marTop w:val="0"/>
                  <w:marBottom w:val="0"/>
                  <w:divBdr>
                    <w:top w:val="none" w:sz="0" w:space="0" w:color="auto"/>
                    <w:left w:val="none" w:sz="0" w:space="0" w:color="auto"/>
                    <w:bottom w:val="none" w:sz="0" w:space="0" w:color="auto"/>
                    <w:right w:val="none" w:sz="0" w:space="0" w:color="auto"/>
                  </w:divBdr>
                  <w:divsChild>
                    <w:div w:id="432670563">
                      <w:marLeft w:val="0"/>
                      <w:marRight w:val="0"/>
                      <w:marTop w:val="0"/>
                      <w:marBottom w:val="0"/>
                      <w:divBdr>
                        <w:top w:val="none" w:sz="0" w:space="0" w:color="auto"/>
                        <w:left w:val="none" w:sz="0" w:space="0" w:color="auto"/>
                        <w:bottom w:val="none" w:sz="0" w:space="0" w:color="auto"/>
                        <w:right w:val="none" w:sz="0" w:space="0" w:color="auto"/>
                      </w:divBdr>
                    </w:div>
                  </w:divsChild>
                </w:div>
                <w:div w:id="538973459">
                  <w:marLeft w:val="0"/>
                  <w:marRight w:val="0"/>
                  <w:marTop w:val="0"/>
                  <w:marBottom w:val="0"/>
                  <w:divBdr>
                    <w:top w:val="none" w:sz="0" w:space="0" w:color="auto"/>
                    <w:left w:val="none" w:sz="0" w:space="0" w:color="auto"/>
                    <w:bottom w:val="none" w:sz="0" w:space="0" w:color="auto"/>
                    <w:right w:val="none" w:sz="0" w:space="0" w:color="auto"/>
                  </w:divBdr>
                  <w:divsChild>
                    <w:div w:id="1616643633">
                      <w:marLeft w:val="0"/>
                      <w:marRight w:val="0"/>
                      <w:marTop w:val="0"/>
                      <w:marBottom w:val="0"/>
                      <w:divBdr>
                        <w:top w:val="none" w:sz="0" w:space="0" w:color="auto"/>
                        <w:left w:val="none" w:sz="0" w:space="0" w:color="auto"/>
                        <w:bottom w:val="none" w:sz="0" w:space="0" w:color="auto"/>
                        <w:right w:val="none" w:sz="0" w:space="0" w:color="auto"/>
                      </w:divBdr>
                    </w:div>
                  </w:divsChild>
                </w:div>
                <w:div w:id="1756633844">
                  <w:marLeft w:val="0"/>
                  <w:marRight w:val="0"/>
                  <w:marTop w:val="0"/>
                  <w:marBottom w:val="0"/>
                  <w:divBdr>
                    <w:top w:val="none" w:sz="0" w:space="0" w:color="auto"/>
                    <w:left w:val="none" w:sz="0" w:space="0" w:color="auto"/>
                    <w:bottom w:val="none" w:sz="0" w:space="0" w:color="auto"/>
                    <w:right w:val="none" w:sz="0" w:space="0" w:color="auto"/>
                  </w:divBdr>
                  <w:divsChild>
                    <w:div w:id="351683791">
                      <w:marLeft w:val="0"/>
                      <w:marRight w:val="0"/>
                      <w:marTop w:val="0"/>
                      <w:marBottom w:val="0"/>
                      <w:divBdr>
                        <w:top w:val="none" w:sz="0" w:space="0" w:color="auto"/>
                        <w:left w:val="none" w:sz="0" w:space="0" w:color="auto"/>
                        <w:bottom w:val="none" w:sz="0" w:space="0" w:color="auto"/>
                        <w:right w:val="none" w:sz="0" w:space="0" w:color="auto"/>
                      </w:divBdr>
                    </w:div>
                  </w:divsChild>
                </w:div>
                <w:div w:id="1729378825">
                  <w:marLeft w:val="0"/>
                  <w:marRight w:val="0"/>
                  <w:marTop w:val="0"/>
                  <w:marBottom w:val="0"/>
                  <w:divBdr>
                    <w:top w:val="none" w:sz="0" w:space="0" w:color="auto"/>
                    <w:left w:val="none" w:sz="0" w:space="0" w:color="auto"/>
                    <w:bottom w:val="none" w:sz="0" w:space="0" w:color="auto"/>
                    <w:right w:val="none" w:sz="0" w:space="0" w:color="auto"/>
                  </w:divBdr>
                  <w:divsChild>
                    <w:div w:id="491023831">
                      <w:marLeft w:val="0"/>
                      <w:marRight w:val="0"/>
                      <w:marTop w:val="0"/>
                      <w:marBottom w:val="0"/>
                      <w:divBdr>
                        <w:top w:val="none" w:sz="0" w:space="0" w:color="auto"/>
                        <w:left w:val="none" w:sz="0" w:space="0" w:color="auto"/>
                        <w:bottom w:val="none" w:sz="0" w:space="0" w:color="auto"/>
                        <w:right w:val="none" w:sz="0" w:space="0" w:color="auto"/>
                      </w:divBdr>
                    </w:div>
                  </w:divsChild>
                </w:div>
                <w:div w:id="1158495304">
                  <w:marLeft w:val="0"/>
                  <w:marRight w:val="0"/>
                  <w:marTop w:val="0"/>
                  <w:marBottom w:val="0"/>
                  <w:divBdr>
                    <w:top w:val="none" w:sz="0" w:space="0" w:color="auto"/>
                    <w:left w:val="none" w:sz="0" w:space="0" w:color="auto"/>
                    <w:bottom w:val="none" w:sz="0" w:space="0" w:color="auto"/>
                    <w:right w:val="none" w:sz="0" w:space="0" w:color="auto"/>
                  </w:divBdr>
                  <w:divsChild>
                    <w:div w:id="128675142">
                      <w:marLeft w:val="0"/>
                      <w:marRight w:val="0"/>
                      <w:marTop w:val="0"/>
                      <w:marBottom w:val="0"/>
                      <w:divBdr>
                        <w:top w:val="none" w:sz="0" w:space="0" w:color="auto"/>
                        <w:left w:val="none" w:sz="0" w:space="0" w:color="auto"/>
                        <w:bottom w:val="none" w:sz="0" w:space="0" w:color="auto"/>
                        <w:right w:val="none" w:sz="0" w:space="0" w:color="auto"/>
                      </w:divBdr>
                    </w:div>
                  </w:divsChild>
                </w:div>
                <w:div w:id="1278678282">
                  <w:marLeft w:val="0"/>
                  <w:marRight w:val="0"/>
                  <w:marTop w:val="0"/>
                  <w:marBottom w:val="0"/>
                  <w:divBdr>
                    <w:top w:val="none" w:sz="0" w:space="0" w:color="auto"/>
                    <w:left w:val="none" w:sz="0" w:space="0" w:color="auto"/>
                    <w:bottom w:val="none" w:sz="0" w:space="0" w:color="auto"/>
                    <w:right w:val="none" w:sz="0" w:space="0" w:color="auto"/>
                  </w:divBdr>
                  <w:divsChild>
                    <w:div w:id="776483148">
                      <w:marLeft w:val="0"/>
                      <w:marRight w:val="0"/>
                      <w:marTop w:val="0"/>
                      <w:marBottom w:val="0"/>
                      <w:divBdr>
                        <w:top w:val="none" w:sz="0" w:space="0" w:color="auto"/>
                        <w:left w:val="none" w:sz="0" w:space="0" w:color="auto"/>
                        <w:bottom w:val="none" w:sz="0" w:space="0" w:color="auto"/>
                        <w:right w:val="none" w:sz="0" w:space="0" w:color="auto"/>
                      </w:divBdr>
                    </w:div>
                  </w:divsChild>
                </w:div>
                <w:div w:id="834223619">
                  <w:marLeft w:val="0"/>
                  <w:marRight w:val="0"/>
                  <w:marTop w:val="0"/>
                  <w:marBottom w:val="0"/>
                  <w:divBdr>
                    <w:top w:val="none" w:sz="0" w:space="0" w:color="auto"/>
                    <w:left w:val="none" w:sz="0" w:space="0" w:color="auto"/>
                    <w:bottom w:val="none" w:sz="0" w:space="0" w:color="auto"/>
                    <w:right w:val="none" w:sz="0" w:space="0" w:color="auto"/>
                  </w:divBdr>
                  <w:divsChild>
                    <w:div w:id="651494451">
                      <w:marLeft w:val="0"/>
                      <w:marRight w:val="0"/>
                      <w:marTop w:val="0"/>
                      <w:marBottom w:val="0"/>
                      <w:divBdr>
                        <w:top w:val="none" w:sz="0" w:space="0" w:color="auto"/>
                        <w:left w:val="none" w:sz="0" w:space="0" w:color="auto"/>
                        <w:bottom w:val="none" w:sz="0" w:space="0" w:color="auto"/>
                        <w:right w:val="none" w:sz="0" w:space="0" w:color="auto"/>
                      </w:divBdr>
                    </w:div>
                  </w:divsChild>
                </w:div>
                <w:div w:id="830953374">
                  <w:marLeft w:val="0"/>
                  <w:marRight w:val="0"/>
                  <w:marTop w:val="0"/>
                  <w:marBottom w:val="0"/>
                  <w:divBdr>
                    <w:top w:val="none" w:sz="0" w:space="0" w:color="auto"/>
                    <w:left w:val="none" w:sz="0" w:space="0" w:color="auto"/>
                    <w:bottom w:val="none" w:sz="0" w:space="0" w:color="auto"/>
                    <w:right w:val="none" w:sz="0" w:space="0" w:color="auto"/>
                  </w:divBdr>
                  <w:divsChild>
                    <w:div w:id="364909711">
                      <w:marLeft w:val="0"/>
                      <w:marRight w:val="0"/>
                      <w:marTop w:val="0"/>
                      <w:marBottom w:val="0"/>
                      <w:divBdr>
                        <w:top w:val="none" w:sz="0" w:space="0" w:color="auto"/>
                        <w:left w:val="none" w:sz="0" w:space="0" w:color="auto"/>
                        <w:bottom w:val="none" w:sz="0" w:space="0" w:color="auto"/>
                        <w:right w:val="none" w:sz="0" w:space="0" w:color="auto"/>
                      </w:divBdr>
                    </w:div>
                  </w:divsChild>
                </w:div>
                <w:div w:id="566692644">
                  <w:marLeft w:val="0"/>
                  <w:marRight w:val="0"/>
                  <w:marTop w:val="0"/>
                  <w:marBottom w:val="0"/>
                  <w:divBdr>
                    <w:top w:val="none" w:sz="0" w:space="0" w:color="auto"/>
                    <w:left w:val="none" w:sz="0" w:space="0" w:color="auto"/>
                    <w:bottom w:val="none" w:sz="0" w:space="0" w:color="auto"/>
                    <w:right w:val="none" w:sz="0" w:space="0" w:color="auto"/>
                  </w:divBdr>
                  <w:divsChild>
                    <w:div w:id="2022273463">
                      <w:marLeft w:val="0"/>
                      <w:marRight w:val="0"/>
                      <w:marTop w:val="0"/>
                      <w:marBottom w:val="0"/>
                      <w:divBdr>
                        <w:top w:val="none" w:sz="0" w:space="0" w:color="auto"/>
                        <w:left w:val="none" w:sz="0" w:space="0" w:color="auto"/>
                        <w:bottom w:val="none" w:sz="0" w:space="0" w:color="auto"/>
                        <w:right w:val="none" w:sz="0" w:space="0" w:color="auto"/>
                      </w:divBdr>
                    </w:div>
                  </w:divsChild>
                </w:div>
                <w:div w:id="1875533088">
                  <w:marLeft w:val="0"/>
                  <w:marRight w:val="0"/>
                  <w:marTop w:val="0"/>
                  <w:marBottom w:val="0"/>
                  <w:divBdr>
                    <w:top w:val="none" w:sz="0" w:space="0" w:color="auto"/>
                    <w:left w:val="none" w:sz="0" w:space="0" w:color="auto"/>
                    <w:bottom w:val="none" w:sz="0" w:space="0" w:color="auto"/>
                    <w:right w:val="none" w:sz="0" w:space="0" w:color="auto"/>
                  </w:divBdr>
                  <w:divsChild>
                    <w:div w:id="9528019">
                      <w:marLeft w:val="0"/>
                      <w:marRight w:val="0"/>
                      <w:marTop w:val="0"/>
                      <w:marBottom w:val="0"/>
                      <w:divBdr>
                        <w:top w:val="none" w:sz="0" w:space="0" w:color="auto"/>
                        <w:left w:val="none" w:sz="0" w:space="0" w:color="auto"/>
                        <w:bottom w:val="none" w:sz="0" w:space="0" w:color="auto"/>
                        <w:right w:val="none" w:sz="0" w:space="0" w:color="auto"/>
                      </w:divBdr>
                    </w:div>
                  </w:divsChild>
                </w:div>
                <w:div w:id="830220208">
                  <w:marLeft w:val="0"/>
                  <w:marRight w:val="0"/>
                  <w:marTop w:val="0"/>
                  <w:marBottom w:val="0"/>
                  <w:divBdr>
                    <w:top w:val="none" w:sz="0" w:space="0" w:color="auto"/>
                    <w:left w:val="none" w:sz="0" w:space="0" w:color="auto"/>
                    <w:bottom w:val="none" w:sz="0" w:space="0" w:color="auto"/>
                    <w:right w:val="none" w:sz="0" w:space="0" w:color="auto"/>
                  </w:divBdr>
                  <w:divsChild>
                    <w:div w:id="1121994274">
                      <w:marLeft w:val="0"/>
                      <w:marRight w:val="0"/>
                      <w:marTop w:val="0"/>
                      <w:marBottom w:val="0"/>
                      <w:divBdr>
                        <w:top w:val="none" w:sz="0" w:space="0" w:color="auto"/>
                        <w:left w:val="none" w:sz="0" w:space="0" w:color="auto"/>
                        <w:bottom w:val="none" w:sz="0" w:space="0" w:color="auto"/>
                        <w:right w:val="none" w:sz="0" w:space="0" w:color="auto"/>
                      </w:divBdr>
                    </w:div>
                  </w:divsChild>
                </w:div>
                <w:div w:id="1968780977">
                  <w:marLeft w:val="0"/>
                  <w:marRight w:val="0"/>
                  <w:marTop w:val="0"/>
                  <w:marBottom w:val="0"/>
                  <w:divBdr>
                    <w:top w:val="none" w:sz="0" w:space="0" w:color="auto"/>
                    <w:left w:val="none" w:sz="0" w:space="0" w:color="auto"/>
                    <w:bottom w:val="none" w:sz="0" w:space="0" w:color="auto"/>
                    <w:right w:val="none" w:sz="0" w:space="0" w:color="auto"/>
                  </w:divBdr>
                  <w:divsChild>
                    <w:div w:id="652759195">
                      <w:marLeft w:val="0"/>
                      <w:marRight w:val="0"/>
                      <w:marTop w:val="0"/>
                      <w:marBottom w:val="0"/>
                      <w:divBdr>
                        <w:top w:val="none" w:sz="0" w:space="0" w:color="auto"/>
                        <w:left w:val="none" w:sz="0" w:space="0" w:color="auto"/>
                        <w:bottom w:val="none" w:sz="0" w:space="0" w:color="auto"/>
                        <w:right w:val="none" w:sz="0" w:space="0" w:color="auto"/>
                      </w:divBdr>
                    </w:div>
                  </w:divsChild>
                </w:div>
                <w:div w:id="1005472890">
                  <w:marLeft w:val="0"/>
                  <w:marRight w:val="0"/>
                  <w:marTop w:val="0"/>
                  <w:marBottom w:val="0"/>
                  <w:divBdr>
                    <w:top w:val="none" w:sz="0" w:space="0" w:color="auto"/>
                    <w:left w:val="none" w:sz="0" w:space="0" w:color="auto"/>
                    <w:bottom w:val="none" w:sz="0" w:space="0" w:color="auto"/>
                    <w:right w:val="none" w:sz="0" w:space="0" w:color="auto"/>
                  </w:divBdr>
                  <w:divsChild>
                    <w:div w:id="928196489">
                      <w:marLeft w:val="0"/>
                      <w:marRight w:val="0"/>
                      <w:marTop w:val="0"/>
                      <w:marBottom w:val="0"/>
                      <w:divBdr>
                        <w:top w:val="none" w:sz="0" w:space="0" w:color="auto"/>
                        <w:left w:val="none" w:sz="0" w:space="0" w:color="auto"/>
                        <w:bottom w:val="none" w:sz="0" w:space="0" w:color="auto"/>
                        <w:right w:val="none" w:sz="0" w:space="0" w:color="auto"/>
                      </w:divBdr>
                    </w:div>
                  </w:divsChild>
                </w:div>
                <w:div w:id="343214780">
                  <w:marLeft w:val="0"/>
                  <w:marRight w:val="0"/>
                  <w:marTop w:val="0"/>
                  <w:marBottom w:val="0"/>
                  <w:divBdr>
                    <w:top w:val="none" w:sz="0" w:space="0" w:color="auto"/>
                    <w:left w:val="none" w:sz="0" w:space="0" w:color="auto"/>
                    <w:bottom w:val="none" w:sz="0" w:space="0" w:color="auto"/>
                    <w:right w:val="none" w:sz="0" w:space="0" w:color="auto"/>
                  </w:divBdr>
                  <w:divsChild>
                    <w:div w:id="2035962092">
                      <w:marLeft w:val="0"/>
                      <w:marRight w:val="0"/>
                      <w:marTop w:val="0"/>
                      <w:marBottom w:val="0"/>
                      <w:divBdr>
                        <w:top w:val="none" w:sz="0" w:space="0" w:color="auto"/>
                        <w:left w:val="none" w:sz="0" w:space="0" w:color="auto"/>
                        <w:bottom w:val="none" w:sz="0" w:space="0" w:color="auto"/>
                        <w:right w:val="none" w:sz="0" w:space="0" w:color="auto"/>
                      </w:divBdr>
                    </w:div>
                  </w:divsChild>
                </w:div>
                <w:div w:id="1689017617">
                  <w:marLeft w:val="0"/>
                  <w:marRight w:val="0"/>
                  <w:marTop w:val="0"/>
                  <w:marBottom w:val="0"/>
                  <w:divBdr>
                    <w:top w:val="none" w:sz="0" w:space="0" w:color="auto"/>
                    <w:left w:val="none" w:sz="0" w:space="0" w:color="auto"/>
                    <w:bottom w:val="none" w:sz="0" w:space="0" w:color="auto"/>
                    <w:right w:val="none" w:sz="0" w:space="0" w:color="auto"/>
                  </w:divBdr>
                  <w:divsChild>
                    <w:div w:id="1288732100">
                      <w:marLeft w:val="0"/>
                      <w:marRight w:val="0"/>
                      <w:marTop w:val="0"/>
                      <w:marBottom w:val="0"/>
                      <w:divBdr>
                        <w:top w:val="none" w:sz="0" w:space="0" w:color="auto"/>
                        <w:left w:val="none" w:sz="0" w:space="0" w:color="auto"/>
                        <w:bottom w:val="none" w:sz="0" w:space="0" w:color="auto"/>
                        <w:right w:val="none" w:sz="0" w:space="0" w:color="auto"/>
                      </w:divBdr>
                    </w:div>
                  </w:divsChild>
                </w:div>
                <w:div w:id="109974188">
                  <w:marLeft w:val="0"/>
                  <w:marRight w:val="0"/>
                  <w:marTop w:val="0"/>
                  <w:marBottom w:val="0"/>
                  <w:divBdr>
                    <w:top w:val="none" w:sz="0" w:space="0" w:color="auto"/>
                    <w:left w:val="none" w:sz="0" w:space="0" w:color="auto"/>
                    <w:bottom w:val="none" w:sz="0" w:space="0" w:color="auto"/>
                    <w:right w:val="none" w:sz="0" w:space="0" w:color="auto"/>
                  </w:divBdr>
                  <w:divsChild>
                    <w:div w:id="2074771028">
                      <w:marLeft w:val="0"/>
                      <w:marRight w:val="0"/>
                      <w:marTop w:val="0"/>
                      <w:marBottom w:val="0"/>
                      <w:divBdr>
                        <w:top w:val="none" w:sz="0" w:space="0" w:color="auto"/>
                        <w:left w:val="none" w:sz="0" w:space="0" w:color="auto"/>
                        <w:bottom w:val="none" w:sz="0" w:space="0" w:color="auto"/>
                        <w:right w:val="none" w:sz="0" w:space="0" w:color="auto"/>
                      </w:divBdr>
                    </w:div>
                  </w:divsChild>
                </w:div>
                <w:div w:id="1757633092">
                  <w:marLeft w:val="0"/>
                  <w:marRight w:val="0"/>
                  <w:marTop w:val="0"/>
                  <w:marBottom w:val="0"/>
                  <w:divBdr>
                    <w:top w:val="none" w:sz="0" w:space="0" w:color="auto"/>
                    <w:left w:val="none" w:sz="0" w:space="0" w:color="auto"/>
                    <w:bottom w:val="none" w:sz="0" w:space="0" w:color="auto"/>
                    <w:right w:val="none" w:sz="0" w:space="0" w:color="auto"/>
                  </w:divBdr>
                  <w:divsChild>
                    <w:div w:id="1564411226">
                      <w:marLeft w:val="0"/>
                      <w:marRight w:val="0"/>
                      <w:marTop w:val="0"/>
                      <w:marBottom w:val="0"/>
                      <w:divBdr>
                        <w:top w:val="none" w:sz="0" w:space="0" w:color="auto"/>
                        <w:left w:val="none" w:sz="0" w:space="0" w:color="auto"/>
                        <w:bottom w:val="none" w:sz="0" w:space="0" w:color="auto"/>
                        <w:right w:val="none" w:sz="0" w:space="0" w:color="auto"/>
                      </w:divBdr>
                    </w:div>
                  </w:divsChild>
                </w:div>
                <w:div w:id="450905822">
                  <w:marLeft w:val="0"/>
                  <w:marRight w:val="0"/>
                  <w:marTop w:val="0"/>
                  <w:marBottom w:val="0"/>
                  <w:divBdr>
                    <w:top w:val="none" w:sz="0" w:space="0" w:color="auto"/>
                    <w:left w:val="none" w:sz="0" w:space="0" w:color="auto"/>
                    <w:bottom w:val="none" w:sz="0" w:space="0" w:color="auto"/>
                    <w:right w:val="none" w:sz="0" w:space="0" w:color="auto"/>
                  </w:divBdr>
                  <w:divsChild>
                    <w:div w:id="301813526">
                      <w:marLeft w:val="0"/>
                      <w:marRight w:val="0"/>
                      <w:marTop w:val="0"/>
                      <w:marBottom w:val="0"/>
                      <w:divBdr>
                        <w:top w:val="none" w:sz="0" w:space="0" w:color="auto"/>
                        <w:left w:val="none" w:sz="0" w:space="0" w:color="auto"/>
                        <w:bottom w:val="none" w:sz="0" w:space="0" w:color="auto"/>
                        <w:right w:val="none" w:sz="0" w:space="0" w:color="auto"/>
                      </w:divBdr>
                    </w:div>
                  </w:divsChild>
                </w:div>
                <w:div w:id="1520436981">
                  <w:marLeft w:val="0"/>
                  <w:marRight w:val="0"/>
                  <w:marTop w:val="0"/>
                  <w:marBottom w:val="0"/>
                  <w:divBdr>
                    <w:top w:val="none" w:sz="0" w:space="0" w:color="auto"/>
                    <w:left w:val="none" w:sz="0" w:space="0" w:color="auto"/>
                    <w:bottom w:val="none" w:sz="0" w:space="0" w:color="auto"/>
                    <w:right w:val="none" w:sz="0" w:space="0" w:color="auto"/>
                  </w:divBdr>
                  <w:divsChild>
                    <w:div w:id="1484618366">
                      <w:marLeft w:val="0"/>
                      <w:marRight w:val="0"/>
                      <w:marTop w:val="0"/>
                      <w:marBottom w:val="0"/>
                      <w:divBdr>
                        <w:top w:val="none" w:sz="0" w:space="0" w:color="auto"/>
                        <w:left w:val="none" w:sz="0" w:space="0" w:color="auto"/>
                        <w:bottom w:val="none" w:sz="0" w:space="0" w:color="auto"/>
                        <w:right w:val="none" w:sz="0" w:space="0" w:color="auto"/>
                      </w:divBdr>
                    </w:div>
                  </w:divsChild>
                </w:div>
                <w:div w:id="1337145636">
                  <w:marLeft w:val="0"/>
                  <w:marRight w:val="0"/>
                  <w:marTop w:val="0"/>
                  <w:marBottom w:val="0"/>
                  <w:divBdr>
                    <w:top w:val="none" w:sz="0" w:space="0" w:color="auto"/>
                    <w:left w:val="none" w:sz="0" w:space="0" w:color="auto"/>
                    <w:bottom w:val="none" w:sz="0" w:space="0" w:color="auto"/>
                    <w:right w:val="none" w:sz="0" w:space="0" w:color="auto"/>
                  </w:divBdr>
                  <w:divsChild>
                    <w:div w:id="1593009872">
                      <w:marLeft w:val="0"/>
                      <w:marRight w:val="0"/>
                      <w:marTop w:val="0"/>
                      <w:marBottom w:val="0"/>
                      <w:divBdr>
                        <w:top w:val="none" w:sz="0" w:space="0" w:color="auto"/>
                        <w:left w:val="none" w:sz="0" w:space="0" w:color="auto"/>
                        <w:bottom w:val="none" w:sz="0" w:space="0" w:color="auto"/>
                        <w:right w:val="none" w:sz="0" w:space="0" w:color="auto"/>
                      </w:divBdr>
                    </w:div>
                  </w:divsChild>
                </w:div>
                <w:div w:id="1813253027">
                  <w:marLeft w:val="0"/>
                  <w:marRight w:val="0"/>
                  <w:marTop w:val="0"/>
                  <w:marBottom w:val="0"/>
                  <w:divBdr>
                    <w:top w:val="none" w:sz="0" w:space="0" w:color="auto"/>
                    <w:left w:val="none" w:sz="0" w:space="0" w:color="auto"/>
                    <w:bottom w:val="none" w:sz="0" w:space="0" w:color="auto"/>
                    <w:right w:val="none" w:sz="0" w:space="0" w:color="auto"/>
                  </w:divBdr>
                  <w:divsChild>
                    <w:div w:id="703022034">
                      <w:marLeft w:val="0"/>
                      <w:marRight w:val="0"/>
                      <w:marTop w:val="0"/>
                      <w:marBottom w:val="0"/>
                      <w:divBdr>
                        <w:top w:val="none" w:sz="0" w:space="0" w:color="auto"/>
                        <w:left w:val="none" w:sz="0" w:space="0" w:color="auto"/>
                        <w:bottom w:val="none" w:sz="0" w:space="0" w:color="auto"/>
                        <w:right w:val="none" w:sz="0" w:space="0" w:color="auto"/>
                      </w:divBdr>
                    </w:div>
                  </w:divsChild>
                </w:div>
                <w:div w:id="995492332">
                  <w:marLeft w:val="0"/>
                  <w:marRight w:val="0"/>
                  <w:marTop w:val="0"/>
                  <w:marBottom w:val="0"/>
                  <w:divBdr>
                    <w:top w:val="none" w:sz="0" w:space="0" w:color="auto"/>
                    <w:left w:val="none" w:sz="0" w:space="0" w:color="auto"/>
                    <w:bottom w:val="none" w:sz="0" w:space="0" w:color="auto"/>
                    <w:right w:val="none" w:sz="0" w:space="0" w:color="auto"/>
                  </w:divBdr>
                  <w:divsChild>
                    <w:div w:id="1961104440">
                      <w:marLeft w:val="0"/>
                      <w:marRight w:val="0"/>
                      <w:marTop w:val="0"/>
                      <w:marBottom w:val="0"/>
                      <w:divBdr>
                        <w:top w:val="none" w:sz="0" w:space="0" w:color="auto"/>
                        <w:left w:val="none" w:sz="0" w:space="0" w:color="auto"/>
                        <w:bottom w:val="none" w:sz="0" w:space="0" w:color="auto"/>
                        <w:right w:val="none" w:sz="0" w:space="0" w:color="auto"/>
                      </w:divBdr>
                    </w:div>
                  </w:divsChild>
                </w:div>
                <w:div w:id="936131679">
                  <w:marLeft w:val="0"/>
                  <w:marRight w:val="0"/>
                  <w:marTop w:val="0"/>
                  <w:marBottom w:val="0"/>
                  <w:divBdr>
                    <w:top w:val="none" w:sz="0" w:space="0" w:color="auto"/>
                    <w:left w:val="none" w:sz="0" w:space="0" w:color="auto"/>
                    <w:bottom w:val="none" w:sz="0" w:space="0" w:color="auto"/>
                    <w:right w:val="none" w:sz="0" w:space="0" w:color="auto"/>
                  </w:divBdr>
                  <w:divsChild>
                    <w:div w:id="1383285659">
                      <w:marLeft w:val="0"/>
                      <w:marRight w:val="0"/>
                      <w:marTop w:val="0"/>
                      <w:marBottom w:val="0"/>
                      <w:divBdr>
                        <w:top w:val="none" w:sz="0" w:space="0" w:color="auto"/>
                        <w:left w:val="none" w:sz="0" w:space="0" w:color="auto"/>
                        <w:bottom w:val="none" w:sz="0" w:space="0" w:color="auto"/>
                        <w:right w:val="none" w:sz="0" w:space="0" w:color="auto"/>
                      </w:divBdr>
                    </w:div>
                  </w:divsChild>
                </w:div>
                <w:div w:id="1560364110">
                  <w:marLeft w:val="0"/>
                  <w:marRight w:val="0"/>
                  <w:marTop w:val="0"/>
                  <w:marBottom w:val="0"/>
                  <w:divBdr>
                    <w:top w:val="none" w:sz="0" w:space="0" w:color="auto"/>
                    <w:left w:val="none" w:sz="0" w:space="0" w:color="auto"/>
                    <w:bottom w:val="none" w:sz="0" w:space="0" w:color="auto"/>
                    <w:right w:val="none" w:sz="0" w:space="0" w:color="auto"/>
                  </w:divBdr>
                  <w:divsChild>
                    <w:div w:id="348412470">
                      <w:marLeft w:val="0"/>
                      <w:marRight w:val="0"/>
                      <w:marTop w:val="0"/>
                      <w:marBottom w:val="0"/>
                      <w:divBdr>
                        <w:top w:val="none" w:sz="0" w:space="0" w:color="auto"/>
                        <w:left w:val="none" w:sz="0" w:space="0" w:color="auto"/>
                        <w:bottom w:val="none" w:sz="0" w:space="0" w:color="auto"/>
                        <w:right w:val="none" w:sz="0" w:space="0" w:color="auto"/>
                      </w:divBdr>
                    </w:div>
                  </w:divsChild>
                </w:div>
                <w:div w:id="431826957">
                  <w:marLeft w:val="0"/>
                  <w:marRight w:val="0"/>
                  <w:marTop w:val="0"/>
                  <w:marBottom w:val="0"/>
                  <w:divBdr>
                    <w:top w:val="none" w:sz="0" w:space="0" w:color="auto"/>
                    <w:left w:val="none" w:sz="0" w:space="0" w:color="auto"/>
                    <w:bottom w:val="none" w:sz="0" w:space="0" w:color="auto"/>
                    <w:right w:val="none" w:sz="0" w:space="0" w:color="auto"/>
                  </w:divBdr>
                  <w:divsChild>
                    <w:div w:id="1838615323">
                      <w:marLeft w:val="0"/>
                      <w:marRight w:val="0"/>
                      <w:marTop w:val="0"/>
                      <w:marBottom w:val="0"/>
                      <w:divBdr>
                        <w:top w:val="none" w:sz="0" w:space="0" w:color="auto"/>
                        <w:left w:val="none" w:sz="0" w:space="0" w:color="auto"/>
                        <w:bottom w:val="none" w:sz="0" w:space="0" w:color="auto"/>
                        <w:right w:val="none" w:sz="0" w:space="0" w:color="auto"/>
                      </w:divBdr>
                    </w:div>
                  </w:divsChild>
                </w:div>
                <w:div w:id="1339695691">
                  <w:marLeft w:val="0"/>
                  <w:marRight w:val="0"/>
                  <w:marTop w:val="0"/>
                  <w:marBottom w:val="0"/>
                  <w:divBdr>
                    <w:top w:val="none" w:sz="0" w:space="0" w:color="auto"/>
                    <w:left w:val="none" w:sz="0" w:space="0" w:color="auto"/>
                    <w:bottom w:val="none" w:sz="0" w:space="0" w:color="auto"/>
                    <w:right w:val="none" w:sz="0" w:space="0" w:color="auto"/>
                  </w:divBdr>
                  <w:divsChild>
                    <w:div w:id="491678663">
                      <w:marLeft w:val="0"/>
                      <w:marRight w:val="0"/>
                      <w:marTop w:val="0"/>
                      <w:marBottom w:val="0"/>
                      <w:divBdr>
                        <w:top w:val="none" w:sz="0" w:space="0" w:color="auto"/>
                        <w:left w:val="none" w:sz="0" w:space="0" w:color="auto"/>
                        <w:bottom w:val="none" w:sz="0" w:space="0" w:color="auto"/>
                        <w:right w:val="none" w:sz="0" w:space="0" w:color="auto"/>
                      </w:divBdr>
                    </w:div>
                  </w:divsChild>
                </w:div>
                <w:div w:id="414132562">
                  <w:marLeft w:val="0"/>
                  <w:marRight w:val="0"/>
                  <w:marTop w:val="0"/>
                  <w:marBottom w:val="0"/>
                  <w:divBdr>
                    <w:top w:val="none" w:sz="0" w:space="0" w:color="auto"/>
                    <w:left w:val="none" w:sz="0" w:space="0" w:color="auto"/>
                    <w:bottom w:val="none" w:sz="0" w:space="0" w:color="auto"/>
                    <w:right w:val="none" w:sz="0" w:space="0" w:color="auto"/>
                  </w:divBdr>
                  <w:divsChild>
                    <w:div w:id="729691430">
                      <w:marLeft w:val="0"/>
                      <w:marRight w:val="0"/>
                      <w:marTop w:val="0"/>
                      <w:marBottom w:val="0"/>
                      <w:divBdr>
                        <w:top w:val="none" w:sz="0" w:space="0" w:color="auto"/>
                        <w:left w:val="none" w:sz="0" w:space="0" w:color="auto"/>
                        <w:bottom w:val="none" w:sz="0" w:space="0" w:color="auto"/>
                        <w:right w:val="none" w:sz="0" w:space="0" w:color="auto"/>
                      </w:divBdr>
                    </w:div>
                  </w:divsChild>
                </w:div>
                <w:div w:id="392199559">
                  <w:marLeft w:val="0"/>
                  <w:marRight w:val="0"/>
                  <w:marTop w:val="0"/>
                  <w:marBottom w:val="0"/>
                  <w:divBdr>
                    <w:top w:val="none" w:sz="0" w:space="0" w:color="auto"/>
                    <w:left w:val="none" w:sz="0" w:space="0" w:color="auto"/>
                    <w:bottom w:val="none" w:sz="0" w:space="0" w:color="auto"/>
                    <w:right w:val="none" w:sz="0" w:space="0" w:color="auto"/>
                  </w:divBdr>
                  <w:divsChild>
                    <w:div w:id="1070078304">
                      <w:marLeft w:val="0"/>
                      <w:marRight w:val="0"/>
                      <w:marTop w:val="0"/>
                      <w:marBottom w:val="0"/>
                      <w:divBdr>
                        <w:top w:val="none" w:sz="0" w:space="0" w:color="auto"/>
                        <w:left w:val="none" w:sz="0" w:space="0" w:color="auto"/>
                        <w:bottom w:val="none" w:sz="0" w:space="0" w:color="auto"/>
                        <w:right w:val="none" w:sz="0" w:space="0" w:color="auto"/>
                      </w:divBdr>
                    </w:div>
                  </w:divsChild>
                </w:div>
                <w:div w:id="818618228">
                  <w:marLeft w:val="0"/>
                  <w:marRight w:val="0"/>
                  <w:marTop w:val="0"/>
                  <w:marBottom w:val="0"/>
                  <w:divBdr>
                    <w:top w:val="none" w:sz="0" w:space="0" w:color="auto"/>
                    <w:left w:val="none" w:sz="0" w:space="0" w:color="auto"/>
                    <w:bottom w:val="none" w:sz="0" w:space="0" w:color="auto"/>
                    <w:right w:val="none" w:sz="0" w:space="0" w:color="auto"/>
                  </w:divBdr>
                  <w:divsChild>
                    <w:div w:id="1336835989">
                      <w:marLeft w:val="0"/>
                      <w:marRight w:val="0"/>
                      <w:marTop w:val="0"/>
                      <w:marBottom w:val="0"/>
                      <w:divBdr>
                        <w:top w:val="none" w:sz="0" w:space="0" w:color="auto"/>
                        <w:left w:val="none" w:sz="0" w:space="0" w:color="auto"/>
                        <w:bottom w:val="none" w:sz="0" w:space="0" w:color="auto"/>
                        <w:right w:val="none" w:sz="0" w:space="0" w:color="auto"/>
                      </w:divBdr>
                    </w:div>
                  </w:divsChild>
                </w:div>
                <w:div w:id="1420250422">
                  <w:marLeft w:val="0"/>
                  <w:marRight w:val="0"/>
                  <w:marTop w:val="0"/>
                  <w:marBottom w:val="0"/>
                  <w:divBdr>
                    <w:top w:val="none" w:sz="0" w:space="0" w:color="auto"/>
                    <w:left w:val="none" w:sz="0" w:space="0" w:color="auto"/>
                    <w:bottom w:val="none" w:sz="0" w:space="0" w:color="auto"/>
                    <w:right w:val="none" w:sz="0" w:space="0" w:color="auto"/>
                  </w:divBdr>
                  <w:divsChild>
                    <w:div w:id="937912026">
                      <w:marLeft w:val="0"/>
                      <w:marRight w:val="0"/>
                      <w:marTop w:val="0"/>
                      <w:marBottom w:val="0"/>
                      <w:divBdr>
                        <w:top w:val="none" w:sz="0" w:space="0" w:color="auto"/>
                        <w:left w:val="none" w:sz="0" w:space="0" w:color="auto"/>
                        <w:bottom w:val="none" w:sz="0" w:space="0" w:color="auto"/>
                        <w:right w:val="none" w:sz="0" w:space="0" w:color="auto"/>
                      </w:divBdr>
                    </w:div>
                  </w:divsChild>
                </w:div>
                <w:div w:id="1178037563">
                  <w:marLeft w:val="0"/>
                  <w:marRight w:val="0"/>
                  <w:marTop w:val="0"/>
                  <w:marBottom w:val="0"/>
                  <w:divBdr>
                    <w:top w:val="none" w:sz="0" w:space="0" w:color="auto"/>
                    <w:left w:val="none" w:sz="0" w:space="0" w:color="auto"/>
                    <w:bottom w:val="none" w:sz="0" w:space="0" w:color="auto"/>
                    <w:right w:val="none" w:sz="0" w:space="0" w:color="auto"/>
                  </w:divBdr>
                  <w:divsChild>
                    <w:div w:id="866210687">
                      <w:marLeft w:val="0"/>
                      <w:marRight w:val="0"/>
                      <w:marTop w:val="0"/>
                      <w:marBottom w:val="0"/>
                      <w:divBdr>
                        <w:top w:val="none" w:sz="0" w:space="0" w:color="auto"/>
                        <w:left w:val="none" w:sz="0" w:space="0" w:color="auto"/>
                        <w:bottom w:val="none" w:sz="0" w:space="0" w:color="auto"/>
                        <w:right w:val="none" w:sz="0" w:space="0" w:color="auto"/>
                      </w:divBdr>
                    </w:div>
                  </w:divsChild>
                </w:div>
                <w:div w:id="1890262694">
                  <w:marLeft w:val="0"/>
                  <w:marRight w:val="0"/>
                  <w:marTop w:val="0"/>
                  <w:marBottom w:val="0"/>
                  <w:divBdr>
                    <w:top w:val="none" w:sz="0" w:space="0" w:color="auto"/>
                    <w:left w:val="none" w:sz="0" w:space="0" w:color="auto"/>
                    <w:bottom w:val="none" w:sz="0" w:space="0" w:color="auto"/>
                    <w:right w:val="none" w:sz="0" w:space="0" w:color="auto"/>
                  </w:divBdr>
                  <w:divsChild>
                    <w:div w:id="582953433">
                      <w:marLeft w:val="0"/>
                      <w:marRight w:val="0"/>
                      <w:marTop w:val="0"/>
                      <w:marBottom w:val="0"/>
                      <w:divBdr>
                        <w:top w:val="none" w:sz="0" w:space="0" w:color="auto"/>
                        <w:left w:val="none" w:sz="0" w:space="0" w:color="auto"/>
                        <w:bottom w:val="none" w:sz="0" w:space="0" w:color="auto"/>
                        <w:right w:val="none" w:sz="0" w:space="0" w:color="auto"/>
                      </w:divBdr>
                    </w:div>
                  </w:divsChild>
                </w:div>
                <w:div w:id="459567277">
                  <w:marLeft w:val="0"/>
                  <w:marRight w:val="0"/>
                  <w:marTop w:val="0"/>
                  <w:marBottom w:val="0"/>
                  <w:divBdr>
                    <w:top w:val="none" w:sz="0" w:space="0" w:color="auto"/>
                    <w:left w:val="none" w:sz="0" w:space="0" w:color="auto"/>
                    <w:bottom w:val="none" w:sz="0" w:space="0" w:color="auto"/>
                    <w:right w:val="none" w:sz="0" w:space="0" w:color="auto"/>
                  </w:divBdr>
                  <w:divsChild>
                    <w:div w:id="1599635302">
                      <w:marLeft w:val="0"/>
                      <w:marRight w:val="0"/>
                      <w:marTop w:val="0"/>
                      <w:marBottom w:val="0"/>
                      <w:divBdr>
                        <w:top w:val="none" w:sz="0" w:space="0" w:color="auto"/>
                        <w:left w:val="none" w:sz="0" w:space="0" w:color="auto"/>
                        <w:bottom w:val="none" w:sz="0" w:space="0" w:color="auto"/>
                        <w:right w:val="none" w:sz="0" w:space="0" w:color="auto"/>
                      </w:divBdr>
                    </w:div>
                  </w:divsChild>
                </w:div>
                <w:div w:id="1251812978">
                  <w:marLeft w:val="0"/>
                  <w:marRight w:val="0"/>
                  <w:marTop w:val="0"/>
                  <w:marBottom w:val="0"/>
                  <w:divBdr>
                    <w:top w:val="none" w:sz="0" w:space="0" w:color="auto"/>
                    <w:left w:val="none" w:sz="0" w:space="0" w:color="auto"/>
                    <w:bottom w:val="none" w:sz="0" w:space="0" w:color="auto"/>
                    <w:right w:val="none" w:sz="0" w:space="0" w:color="auto"/>
                  </w:divBdr>
                  <w:divsChild>
                    <w:div w:id="973951320">
                      <w:marLeft w:val="0"/>
                      <w:marRight w:val="0"/>
                      <w:marTop w:val="0"/>
                      <w:marBottom w:val="0"/>
                      <w:divBdr>
                        <w:top w:val="none" w:sz="0" w:space="0" w:color="auto"/>
                        <w:left w:val="none" w:sz="0" w:space="0" w:color="auto"/>
                        <w:bottom w:val="none" w:sz="0" w:space="0" w:color="auto"/>
                        <w:right w:val="none" w:sz="0" w:space="0" w:color="auto"/>
                      </w:divBdr>
                    </w:div>
                  </w:divsChild>
                </w:div>
                <w:div w:id="1771317753">
                  <w:marLeft w:val="0"/>
                  <w:marRight w:val="0"/>
                  <w:marTop w:val="0"/>
                  <w:marBottom w:val="0"/>
                  <w:divBdr>
                    <w:top w:val="none" w:sz="0" w:space="0" w:color="auto"/>
                    <w:left w:val="none" w:sz="0" w:space="0" w:color="auto"/>
                    <w:bottom w:val="none" w:sz="0" w:space="0" w:color="auto"/>
                    <w:right w:val="none" w:sz="0" w:space="0" w:color="auto"/>
                  </w:divBdr>
                  <w:divsChild>
                    <w:div w:id="2092237743">
                      <w:marLeft w:val="0"/>
                      <w:marRight w:val="0"/>
                      <w:marTop w:val="0"/>
                      <w:marBottom w:val="0"/>
                      <w:divBdr>
                        <w:top w:val="none" w:sz="0" w:space="0" w:color="auto"/>
                        <w:left w:val="none" w:sz="0" w:space="0" w:color="auto"/>
                        <w:bottom w:val="none" w:sz="0" w:space="0" w:color="auto"/>
                        <w:right w:val="none" w:sz="0" w:space="0" w:color="auto"/>
                      </w:divBdr>
                    </w:div>
                  </w:divsChild>
                </w:div>
                <w:div w:id="247080214">
                  <w:marLeft w:val="0"/>
                  <w:marRight w:val="0"/>
                  <w:marTop w:val="0"/>
                  <w:marBottom w:val="0"/>
                  <w:divBdr>
                    <w:top w:val="none" w:sz="0" w:space="0" w:color="auto"/>
                    <w:left w:val="none" w:sz="0" w:space="0" w:color="auto"/>
                    <w:bottom w:val="none" w:sz="0" w:space="0" w:color="auto"/>
                    <w:right w:val="none" w:sz="0" w:space="0" w:color="auto"/>
                  </w:divBdr>
                  <w:divsChild>
                    <w:div w:id="918176169">
                      <w:marLeft w:val="0"/>
                      <w:marRight w:val="0"/>
                      <w:marTop w:val="0"/>
                      <w:marBottom w:val="0"/>
                      <w:divBdr>
                        <w:top w:val="none" w:sz="0" w:space="0" w:color="auto"/>
                        <w:left w:val="none" w:sz="0" w:space="0" w:color="auto"/>
                        <w:bottom w:val="none" w:sz="0" w:space="0" w:color="auto"/>
                        <w:right w:val="none" w:sz="0" w:space="0" w:color="auto"/>
                      </w:divBdr>
                    </w:div>
                  </w:divsChild>
                </w:div>
                <w:div w:id="1356805037">
                  <w:marLeft w:val="0"/>
                  <w:marRight w:val="0"/>
                  <w:marTop w:val="0"/>
                  <w:marBottom w:val="0"/>
                  <w:divBdr>
                    <w:top w:val="none" w:sz="0" w:space="0" w:color="auto"/>
                    <w:left w:val="none" w:sz="0" w:space="0" w:color="auto"/>
                    <w:bottom w:val="none" w:sz="0" w:space="0" w:color="auto"/>
                    <w:right w:val="none" w:sz="0" w:space="0" w:color="auto"/>
                  </w:divBdr>
                  <w:divsChild>
                    <w:div w:id="1062681553">
                      <w:marLeft w:val="0"/>
                      <w:marRight w:val="0"/>
                      <w:marTop w:val="0"/>
                      <w:marBottom w:val="0"/>
                      <w:divBdr>
                        <w:top w:val="none" w:sz="0" w:space="0" w:color="auto"/>
                        <w:left w:val="none" w:sz="0" w:space="0" w:color="auto"/>
                        <w:bottom w:val="none" w:sz="0" w:space="0" w:color="auto"/>
                        <w:right w:val="none" w:sz="0" w:space="0" w:color="auto"/>
                      </w:divBdr>
                    </w:div>
                  </w:divsChild>
                </w:div>
                <w:div w:id="1288973961">
                  <w:marLeft w:val="0"/>
                  <w:marRight w:val="0"/>
                  <w:marTop w:val="0"/>
                  <w:marBottom w:val="0"/>
                  <w:divBdr>
                    <w:top w:val="none" w:sz="0" w:space="0" w:color="auto"/>
                    <w:left w:val="none" w:sz="0" w:space="0" w:color="auto"/>
                    <w:bottom w:val="none" w:sz="0" w:space="0" w:color="auto"/>
                    <w:right w:val="none" w:sz="0" w:space="0" w:color="auto"/>
                  </w:divBdr>
                  <w:divsChild>
                    <w:div w:id="433481524">
                      <w:marLeft w:val="0"/>
                      <w:marRight w:val="0"/>
                      <w:marTop w:val="0"/>
                      <w:marBottom w:val="0"/>
                      <w:divBdr>
                        <w:top w:val="none" w:sz="0" w:space="0" w:color="auto"/>
                        <w:left w:val="none" w:sz="0" w:space="0" w:color="auto"/>
                        <w:bottom w:val="none" w:sz="0" w:space="0" w:color="auto"/>
                        <w:right w:val="none" w:sz="0" w:space="0" w:color="auto"/>
                      </w:divBdr>
                    </w:div>
                  </w:divsChild>
                </w:div>
                <w:div w:id="1174027980">
                  <w:marLeft w:val="0"/>
                  <w:marRight w:val="0"/>
                  <w:marTop w:val="0"/>
                  <w:marBottom w:val="0"/>
                  <w:divBdr>
                    <w:top w:val="none" w:sz="0" w:space="0" w:color="auto"/>
                    <w:left w:val="none" w:sz="0" w:space="0" w:color="auto"/>
                    <w:bottom w:val="none" w:sz="0" w:space="0" w:color="auto"/>
                    <w:right w:val="none" w:sz="0" w:space="0" w:color="auto"/>
                  </w:divBdr>
                  <w:divsChild>
                    <w:div w:id="1692994786">
                      <w:marLeft w:val="0"/>
                      <w:marRight w:val="0"/>
                      <w:marTop w:val="0"/>
                      <w:marBottom w:val="0"/>
                      <w:divBdr>
                        <w:top w:val="none" w:sz="0" w:space="0" w:color="auto"/>
                        <w:left w:val="none" w:sz="0" w:space="0" w:color="auto"/>
                        <w:bottom w:val="none" w:sz="0" w:space="0" w:color="auto"/>
                        <w:right w:val="none" w:sz="0" w:space="0" w:color="auto"/>
                      </w:divBdr>
                    </w:div>
                  </w:divsChild>
                </w:div>
                <w:div w:id="1319194160">
                  <w:marLeft w:val="0"/>
                  <w:marRight w:val="0"/>
                  <w:marTop w:val="0"/>
                  <w:marBottom w:val="0"/>
                  <w:divBdr>
                    <w:top w:val="none" w:sz="0" w:space="0" w:color="auto"/>
                    <w:left w:val="none" w:sz="0" w:space="0" w:color="auto"/>
                    <w:bottom w:val="none" w:sz="0" w:space="0" w:color="auto"/>
                    <w:right w:val="none" w:sz="0" w:space="0" w:color="auto"/>
                  </w:divBdr>
                  <w:divsChild>
                    <w:div w:id="760679280">
                      <w:marLeft w:val="0"/>
                      <w:marRight w:val="0"/>
                      <w:marTop w:val="0"/>
                      <w:marBottom w:val="0"/>
                      <w:divBdr>
                        <w:top w:val="none" w:sz="0" w:space="0" w:color="auto"/>
                        <w:left w:val="none" w:sz="0" w:space="0" w:color="auto"/>
                        <w:bottom w:val="none" w:sz="0" w:space="0" w:color="auto"/>
                        <w:right w:val="none" w:sz="0" w:space="0" w:color="auto"/>
                      </w:divBdr>
                    </w:div>
                  </w:divsChild>
                </w:div>
                <w:div w:id="123626680">
                  <w:marLeft w:val="0"/>
                  <w:marRight w:val="0"/>
                  <w:marTop w:val="0"/>
                  <w:marBottom w:val="0"/>
                  <w:divBdr>
                    <w:top w:val="none" w:sz="0" w:space="0" w:color="auto"/>
                    <w:left w:val="none" w:sz="0" w:space="0" w:color="auto"/>
                    <w:bottom w:val="none" w:sz="0" w:space="0" w:color="auto"/>
                    <w:right w:val="none" w:sz="0" w:space="0" w:color="auto"/>
                  </w:divBdr>
                  <w:divsChild>
                    <w:div w:id="455173691">
                      <w:marLeft w:val="0"/>
                      <w:marRight w:val="0"/>
                      <w:marTop w:val="0"/>
                      <w:marBottom w:val="0"/>
                      <w:divBdr>
                        <w:top w:val="none" w:sz="0" w:space="0" w:color="auto"/>
                        <w:left w:val="none" w:sz="0" w:space="0" w:color="auto"/>
                        <w:bottom w:val="none" w:sz="0" w:space="0" w:color="auto"/>
                        <w:right w:val="none" w:sz="0" w:space="0" w:color="auto"/>
                      </w:divBdr>
                    </w:div>
                  </w:divsChild>
                </w:div>
                <w:div w:id="1585459125">
                  <w:marLeft w:val="0"/>
                  <w:marRight w:val="0"/>
                  <w:marTop w:val="0"/>
                  <w:marBottom w:val="0"/>
                  <w:divBdr>
                    <w:top w:val="none" w:sz="0" w:space="0" w:color="auto"/>
                    <w:left w:val="none" w:sz="0" w:space="0" w:color="auto"/>
                    <w:bottom w:val="none" w:sz="0" w:space="0" w:color="auto"/>
                    <w:right w:val="none" w:sz="0" w:space="0" w:color="auto"/>
                  </w:divBdr>
                  <w:divsChild>
                    <w:div w:id="408963129">
                      <w:marLeft w:val="0"/>
                      <w:marRight w:val="0"/>
                      <w:marTop w:val="0"/>
                      <w:marBottom w:val="0"/>
                      <w:divBdr>
                        <w:top w:val="none" w:sz="0" w:space="0" w:color="auto"/>
                        <w:left w:val="none" w:sz="0" w:space="0" w:color="auto"/>
                        <w:bottom w:val="none" w:sz="0" w:space="0" w:color="auto"/>
                        <w:right w:val="none" w:sz="0" w:space="0" w:color="auto"/>
                      </w:divBdr>
                    </w:div>
                  </w:divsChild>
                </w:div>
                <w:div w:id="188220309">
                  <w:marLeft w:val="0"/>
                  <w:marRight w:val="0"/>
                  <w:marTop w:val="0"/>
                  <w:marBottom w:val="0"/>
                  <w:divBdr>
                    <w:top w:val="none" w:sz="0" w:space="0" w:color="auto"/>
                    <w:left w:val="none" w:sz="0" w:space="0" w:color="auto"/>
                    <w:bottom w:val="none" w:sz="0" w:space="0" w:color="auto"/>
                    <w:right w:val="none" w:sz="0" w:space="0" w:color="auto"/>
                  </w:divBdr>
                  <w:divsChild>
                    <w:div w:id="1054693572">
                      <w:marLeft w:val="0"/>
                      <w:marRight w:val="0"/>
                      <w:marTop w:val="0"/>
                      <w:marBottom w:val="0"/>
                      <w:divBdr>
                        <w:top w:val="none" w:sz="0" w:space="0" w:color="auto"/>
                        <w:left w:val="none" w:sz="0" w:space="0" w:color="auto"/>
                        <w:bottom w:val="none" w:sz="0" w:space="0" w:color="auto"/>
                        <w:right w:val="none" w:sz="0" w:space="0" w:color="auto"/>
                      </w:divBdr>
                    </w:div>
                  </w:divsChild>
                </w:div>
                <w:div w:id="1808740793">
                  <w:marLeft w:val="0"/>
                  <w:marRight w:val="0"/>
                  <w:marTop w:val="0"/>
                  <w:marBottom w:val="0"/>
                  <w:divBdr>
                    <w:top w:val="none" w:sz="0" w:space="0" w:color="auto"/>
                    <w:left w:val="none" w:sz="0" w:space="0" w:color="auto"/>
                    <w:bottom w:val="none" w:sz="0" w:space="0" w:color="auto"/>
                    <w:right w:val="none" w:sz="0" w:space="0" w:color="auto"/>
                  </w:divBdr>
                  <w:divsChild>
                    <w:div w:id="1957256061">
                      <w:marLeft w:val="0"/>
                      <w:marRight w:val="0"/>
                      <w:marTop w:val="0"/>
                      <w:marBottom w:val="0"/>
                      <w:divBdr>
                        <w:top w:val="none" w:sz="0" w:space="0" w:color="auto"/>
                        <w:left w:val="none" w:sz="0" w:space="0" w:color="auto"/>
                        <w:bottom w:val="none" w:sz="0" w:space="0" w:color="auto"/>
                        <w:right w:val="none" w:sz="0" w:space="0" w:color="auto"/>
                      </w:divBdr>
                    </w:div>
                  </w:divsChild>
                </w:div>
                <w:div w:id="1901669266">
                  <w:marLeft w:val="0"/>
                  <w:marRight w:val="0"/>
                  <w:marTop w:val="0"/>
                  <w:marBottom w:val="0"/>
                  <w:divBdr>
                    <w:top w:val="none" w:sz="0" w:space="0" w:color="auto"/>
                    <w:left w:val="none" w:sz="0" w:space="0" w:color="auto"/>
                    <w:bottom w:val="none" w:sz="0" w:space="0" w:color="auto"/>
                    <w:right w:val="none" w:sz="0" w:space="0" w:color="auto"/>
                  </w:divBdr>
                  <w:divsChild>
                    <w:div w:id="622080243">
                      <w:marLeft w:val="0"/>
                      <w:marRight w:val="0"/>
                      <w:marTop w:val="0"/>
                      <w:marBottom w:val="0"/>
                      <w:divBdr>
                        <w:top w:val="none" w:sz="0" w:space="0" w:color="auto"/>
                        <w:left w:val="none" w:sz="0" w:space="0" w:color="auto"/>
                        <w:bottom w:val="none" w:sz="0" w:space="0" w:color="auto"/>
                        <w:right w:val="none" w:sz="0" w:space="0" w:color="auto"/>
                      </w:divBdr>
                    </w:div>
                  </w:divsChild>
                </w:div>
                <w:div w:id="1421875556">
                  <w:marLeft w:val="0"/>
                  <w:marRight w:val="0"/>
                  <w:marTop w:val="0"/>
                  <w:marBottom w:val="0"/>
                  <w:divBdr>
                    <w:top w:val="none" w:sz="0" w:space="0" w:color="auto"/>
                    <w:left w:val="none" w:sz="0" w:space="0" w:color="auto"/>
                    <w:bottom w:val="none" w:sz="0" w:space="0" w:color="auto"/>
                    <w:right w:val="none" w:sz="0" w:space="0" w:color="auto"/>
                  </w:divBdr>
                  <w:divsChild>
                    <w:div w:id="531111183">
                      <w:marLeft w:val="0"/>
                      <w:marRight w:val="0"/>
                      <w:marTop w:val="0"/>
                      <w:marBottom w:val="0"/>
                      <w:divBdr>
                        <w:top w:val="none" w:sz="0" w:space="0" w:color="auto"/>
                        <w:left w:val="none" w:sz="0" w:space="0" w:color="auto"/>
                        <w:bottom w:val="none" w:sz="0" w:space="0" w:color="auto"/>
                        <w:right w:val="none" w:sz="0" w:space="0" w:color="auto"/>
                      </w:divBdr>
                    </w:div>
                  </w:divsChild>
                </w:div>
                <w:div w:id="135883289">
                  <w:marLeft w:val="0"/>
                  <w:marRight w:val="0"/>
                  <w:marTop w:val="0"/>
                  <w:marBottom w:val="0"/>
                  <w:divBdr>
                    <w:top w:val="none" w:sz="0" w:space="0" w:color="auto"/>
                    <w:left w:val="none" w:sz="0" w:space="0" w:color="auto"/>
                    <w:bottom w:val="none" w:sz="0" w:space="0" w:color="auto"/>
                    <w:right w:val="none" w:sz="0" w:space="0" w:color="auto"/>
                  </w:divBdr>
                  <w:divsChild>
                    <w:div w:id="651328197">
                      <w:marLeft w:val="0"/>
                      <w:marRight w:val="0"/>
                      <w:marTop w:val="0"/>
                      <w:marBottom w:val="0"/>
                      <w:divBdr>
                        <w:top w:val="none" w:sz="0" w:space="0" w:color="auto"/>
                        <w:left w:val="none" w:sz="0" w:space="0" w:color="auto"/>
                        <w:bottom w:val="none" w:sz="0" w:space="0" w:color="auto"/>
                        <w:right w:val="none" w:sz="0" w:space="0" w:color="auto"/>
                      </w:divBdr>
                    </w:div>
                  </w:divsChild>
                </w:div>
                <w:div w:id="2050182994">
                  <w:marLeft w:val="0"/>
                  <w:marRight w:val="0"/>
                  <w:marTop w:val="0"/>
                  <w:marBottom w:val="0"/>
                  <w:divBdr>
                    <w:top w:val="none" w:sz="0" w:space="0" w:color="auto"/>
                    <w:left w:val="none" w:sz="0" w:space="0" w:color="auto"/>
                    <w:bottom w:val="none" w:sz="0" w:space="0" w:color="auto"/>
                    <w:right w:val="none" w:sz="0" w:space="0" w:color="auto"/>
                  </w:divBdr>
                  <w:divsChild>
                    <w:div w:id="1749576911">
                      <w:marLeft w:val="0"/>
                      <w:marRight w:val="0"/>
                      <w:marTop w:val="0"/>
                      <w:marBottom w:val="0"/>
                      <w:divBdr>
                        <w:top w:val="none" w:sz="0" w:space="0" w:color="auto"/>
                        <w:left w:val="none" w:sz="0" w:space="0" w:color="auto"/>
                        <w:bottom w:val="none" w:sz="0" w:space="0" w:color="auto"/>
                        <w:right w:val="none" w:sz="0" w:space="0" w:color="auto"/>
                      </w:divBdr>
                    </w:div>
                  </w:divsChild>
                </w:div>
                <w:div w:id="453983008">
                  <w:marLeft w:val="0"/>
                  <w:marRight w:val="0"/>
                  <w:marTop w:val="0"/>
                  <w:marBottom w:val="0"/>
                  <w:divBdr>
                    <w:top w:val="none" w:sz="0" w:space="0" w:color="auto"/>
                    <w:left w:val="none" w:sz="0" w:space="0" w:color="auto"/>
                    <w:bottom w:val="none" w:sz="0" w:space="0" w:color="auto"/>
                    <w:right w:val="none" w:sz="0" w:space="0" w:color="auto"/>
                  </w:divBdr>
                  <w:divsChild>
                    <w:div w:id="563757748">
                      <w:marLeft w:val="0"/>
                      <w:marRight w:val="0"/>
                      <w:marTop w:val="0"/>
                      <w:marBottom w:val="0"/>
                      <w:divBdr>
                        <w:top w:val="none" w:sz="0" w:space="0" w:color="auto"/>
                        <w:left w:val="none" w:sz="0" w:space="0" w:color="auto"/>
                        <w:bottom w:val="none" w:sz="0" w:space="0" w:color="auto"/>
                        <w:right w:val="none" w:sz="0" w:space="0" w:color="auto"/>
                      </w:divBdr>
                    </w:div>
                  </w:divsChild>
                </w:div>
                <w:div w:id="1586913344">
                  <w:marLeft w:val="0"/>
                  <w:marRight w:val="0"/>
                  <w:marTop w:val="0"/>
                  <w:marBottom w:val="0"/>
                  <w:divBdr>
                    <w:top w:val="none" w:sz="0" w:space="0" w:color="auto"/>
                    <w:left w:val="none" w:sz="0" w:space="0" w:color="auto"/>
                    <w:bottom w:val="none" w:sz="0" w:space="0" w:color="auto"/>
                    <w:right w:val="none" w:sz="0" w:space="0" w:color="auto"/>
                  </w:divBdr>
                  <w:divsChild>
                    <w:div w:id="1183204166">
                      <w:marLeft w:val="0"/>
                      <w:marRight w:val="0"/>
                      <w:marTop w:val="0"/>
                      <w:marBottom w:val="0"/>
                      <w:divBdr>
                        <w:top w:val="none" w:sz="0" w:space="0" w:color="auto"/>
                        <w:left w:val="none" w:sz="0" w:space="0" w:color="auto"/>
                        <w:bottom w:val="none" w:sz="0" w:space="0" w:color="auto"/>
                        <w:right w:val="none" w:sz="0" w:space="0" w:color="auto"/>
                      </w:divBdr>
                    </w:div>
                  </w:divsChild>
                </w:div>
                <w:div w:id="792988391">
                  <w:marLeft w:val="0"/>
                  <w:marRight w:val="0"/>
                  <w:marTop w:val="0"/>
                  <w:marBottom w:val="0"/>
                  <w:divBdr>
                    <w:top w:val="none" w:sz="0" w:space="0" w:color="auto"/>
                    <w:left w:val="none" w:sz="0" w:space="0" w:color="auto"/>
                    <w:bottom w:val="none" w:sz="0" w:space="0" w:color="auto"/>
                    <w:right w:val="none" w:sz="0" w:space="0" w:color="auto"/>
                  </w:divBdr>
                  <w:divsChild>
                    <w:div w:id="397829395">
                      <w:marLeft w:val="0"/>
                      <w:marRight w:val="0"/>
                      <w:marTop w:val="0"/>
                      <w:marBottom w:val="0"/>
                      <w:divBdr>
                        <w:top w:val="none" w:sz="0" w:space="0" w:color="auto"/>
                        <w:left w:val="none" w:sz="0" w:space="0" w:color="auto"/>
                        <w:bottom w:val="none" w:sz="0" w:space="0" w:color="auto"/>
                        <w:right w:val="none" w:sz="0" w:space="0" w:color="auto"/>
                      </w:divBdr>
                    </w:div>
                  </w:divsChild>
                </w:div>
                <w:div w:id="819687726">
                  <w:marLeft w:val="0"/>
                  <w:marRight w:val="0"/>
                  <w:marTop w:val="0"/>
                  <w:marBottom w:val="0"/>
                  <w:divBdr>
                    <w:top w:val="none" w:sz="0" w:space="0" w:color="auto"/>
                    <w:left w:val="none" w:sz="0" w:space="0" w:color="auto"/>
                    <w:bottom w:val="none" w:sz="0" w:space="0" w:color="auto"/>
                    <w:right w:val="none" w:sz="0" w:space="0" w:color="auto"/>
                  </w:divBdr>
                  <w:divsChild>
                    <w:div w:id="1364597293">
                      <w:marLeft w:val="0"/>
                      <w:marRight w:val="0"/>
                      <w:marTop w:val="0"/>
                      <w:marBottom w:val="0"/>
                      <w:divBdr>
                        <w:top w:val="none" w:sz="0" w:space="0" w:color="auto"/>
                        <w:left w:val="none" w:sz="0" w:space="0" w:color="auto"/>
                        <w:bottom w:val="none" w:sz="0" w:space="0" w:color="auto"/>
                        <w:right w:val="none" w:sz="0" w:space="0" w:color="auto"/>
                      </w:divBdr>
                    </w:div>
                  </w:divsChild>
                </w:div>
                <w:div w:id="311562492">
                  <w:marLeft w:val="0"/>
                  <w:marRight w:val="0"/>
                  <w:marTop w:val="0"/>
                  <w:marBottom w:val="0"/>
                  <w:divBdr>
                    <w:top w:val="none" w:sz="0" w:space="0" w:color="auto"/>
                    <w:left w:val="none" w:sz="0" w:space="0" w:color="auto"/>
                    <w:bottom w:val="none" w:sz="0" w:space="0" w:color="auto"/>
                    <w:right w:val="none" w:sz="0" w:space="0" w:color="auto"/>
                  </w:divBdr>
                  <w:divsChild>
                    <w:div w:id="262761383">
                      <w:marLeft w:val="0"/>
                      <w:marRight w:val="0"/>
                      <w:marTop w:val="0"/>
                      <w:marBottom w:val="0"/>
                      <w:divBdr>
                        <w:top w:val="none" w:sz="0" w:space="0" w:color="auto"/>
                        <w:left w:val="none" w:sz="0" w:space="0" w:color="auto"/>
                        <w:bottom w:val="none" w:sz="0" w:space="0" w:color="auto"/>
                        <w:right w:val="none" w:sz="0" w:space="0" w:color="auto"/>
                      </w:divBdr>
                    </w:div>
                  </w:divsChild>
                </w:div>
                <w:div w:id="2007394313">
                  <w:marLeft w:val="0"/>
                  <w:marRight w:val="0"/>
                  <w:marTop w:val="0"/>
                  <w:marBottom w:val="0"/>
                  <w:divBdr>
                    <w:top w:val="none" w:sz="0" w:space="0" w:color="auto"/>
                    <w:left w:val="none" w:sz="0" w:space="0" w:color="auto"/>
                    <w:bottom w:val="none" w:sz="0" w:space="0" w:color="auto"/>
                    <w:right w:val="none" w:sz="0" w:space="0" w:color="auto"/>
                  </w:divBdr>
                  <w:divsChild>
                    <w:div w:id="427624622">
                      <w:marLeft w:val="0"/>
                      <w:marRight w:val="0"/>
                      <w:marTop w:val="0"/>
                      <w:marBottom w:val="0"/>
                      <w:divBdr>
                        <w:top w:val="none" w:sz="0" w:space="0" w:color="auto"/>
                        <w:left w:val="none" w:sz="0" w:space="0" w:color="auto"/>
                        <w:bottom w:val="none" w:sz="0" w:space="0" w:color="auto"/>
                        <w:right w:val="none" w:sz="0" w:space="0" w:color="auto"/>
                      </w:divBdr>
                    </w:div>
                  </w:divsChild>
                </w:div>
                <w:div w:id="146171214">
                  <w:marLeft w:val="0"/>
                  <w:marRight w:val="0"/>
                  <w:marTop w:val="0"/>
                  <w:marBottom w:val="0"/>
                  <w:divBdr>
                    <w:top w:val="none" w:sz="0" w:space="0" w:color="auto"/>
                    <w:left w:val="none" w:sz="0" w:space="0" w:color="auto"/>
                    <w:bottom w:val="none" w:sz="0" w:space="0" w:color="auto"/>
                    <w:right w:val="none" w:sz="0" w:space="0" w:color="auto"/>
                  </w:divBdr>
                  <w:divsChild>
                    <w:div w:id="1255243525">
                      <w:marLeft w:val="0"/>
                      <w:marRight w:val="0"/>
                      <w:marTop w:val="0"/>
                      <w:marBottom w:val="0"/>
                      <w:divBdr>
                        <w:top w:val="none" w:sz="0" w:space="0" w:color="auto"/>
                        <w:left w:val="none" w:sz="0" w:space="0" w:color="auto"/>
                        <w:bottom w:val="none" w:sz="0" w:space="0" w:color="auto"/>
                        <w:right w:val="none" w:sz="0" w:space="0" w:color="auto"/>
                      </w:divBdr>
                    </w:div>
                  </w:divsChild>
                </w:div>
                <w:div w:id="1400861276">
                  <w:marLeft w:val="0"/>
                  <w:marRight w:val="0"/>
                  <w:marTop w:val="0"/>
                  <w:marBottom w:val="0"/>
                  <w:divBdr>
                    <w:top w:val="none" w:sz="0" w:space="0" w:color="auto"/>
                    <w:left w:val="none" w:sz="0" w:space="0" w:color="auto"/>
                    <w:bottom w:val="none" w:sz="0" w:space="0" w:color="auto"/>
                    <w:right w:val="none" w:sz="0" w:space="0" w:color="auto"/>
                  </w:divBdr>
                  <w:divsChild>
                    <w:div w:id="411925995">
                      <w:marLeft w:val="0"/>
                      <w:marRight w:val="0"/>
                      <w:marTop w:val="0"/>
                      <w:marBottom w:val="0"/>
                      <w:divBdr>
                        <w:top w:val="none" w:sz="0" w:space="0" w:color="auto"/>
                        <w:left w:val="none" w:sz="0" w:space="0" w:color="auto"/>
                        <w:bottom w:val="none" w:sz="0" w:space="0" w:color="auto"/>
                        <w:right w:val="none" w:sz="0" w:space="0" w:color="auto"/>
                      </w:divBdr>
                    </w:div>
                  </w:divsChild>
                </w:div>
                <w:div w:id="1638997233">
                  <w:marLeft w:val="0"/>
                  <w:marRight w:val="0"/>
                  <w:marTop w:val="0"/>
                  <w:marBottom w:val="0"/>
                  <w:divBdr>
                    <w:top w:val="none" w:sz="0" w:space="0" w:color="auto"/>
                    <w:left w:val="none" w:sz="0" w:space="0" w:color="auto"/>
                    <w:bottom w:val="none" w:sz="0" w:space="0" w:color="auto"/>
                    <w:right w:val="none" w:sz="0" w:space="0" w:color="auto"/>
                  </w:divBdr>
                  <w:divsChild>
                    <w:div w:id="1395003716">
                      <w:marLeft w:val="0"/>
                      <w:marRight w:val="0"/>
                      <w:marTop w:val="0"/>
                      <w:marBottom w:val="0"/>
                      <w:divBdr>
                        <w:top w:val="none" w:sz="0" w:space="0" w:color="auto"/>
                        <w:left w:val="none" w:sz="0" w:space="0" w:color="auto"/>
                        <w:bottom w:val="none" w:sz="0" w:space="0" w:color="auto"/>
                        <w:right w:val="none" w:sz="0" w:space="0" w:color="auto"/>
                      </w:divBdr>
                    </w:div>
                  </w:divsChild>
                </w:div>
                <w:div w:id="55512686">
                  <w:marLeft w:val="0"/>
                  <w:marRight w:val="0"/>
                  <w:marTop w:val="0"/>
                  <w:marBottom w:val="0"/>
                  <w:divBdr>
                    <w:top w:val="none" w:sz="0" w:space="0" w:color="auto"/>
                    <w:left w:val="none" w:sz="0" w:space="0" w:color="auto"/>
                    <w:bottom w:val="none" w:sz="0" w:space="0" w:color="auto"/>
                    <w:right w:val="none" w:sz="0" w:space="0" w:color="auto"/>
                  </w:divBdr>
                  <w:divsChild>
                    <w:div w:id="1493567128">
                      <w:marLeft w:val="0"/>
                      <w:marRight w:val="0"/>
                      <w:marTop w:val="0"/>
                      <w:marBottom w:val="0"/>
                      <w:divBdr>
                        <w:top w:val="none" w:sz="0" w:space="0" w:color="auto"/>
                        <w:left w:val="none" w:sz="0" w:space="0" w:color="auto"/>
                        <w:bottom w:val="none" w:sz="0" w:space="0" w:color="auto"/>
                        <w:right w:val="none" w:sz="0" w:space="0" w:color="auto"/>
                      </w:divBdr>
                    </w:div>
                  </w:divsChild>
                </w:div>
                <w:div w:id="681786292">
                  <w:marLeft w:val="0"/>
                  <w:marRight w:val="0"/>
                  <w:marTop w:val="0"/>
                  <w:marBottom w:val="0"/>
                  <w:divBdr>
                    <w:top w:val="none" w:sz="0" w:space="0" w:color="auto"/>
                    <w:left w:val="none" w:sz="0" w:space="0" w:color="auto"/>
                    <w:bottom w:val="none" w:sz="0" w:space="0" w:color="auto"/>
                    <w:right w:val="none" w:sz="0" w:space="0" w:color="auto"/>
                  </w:divBdr>
                  <w:divsChild>
                    <w:div w:id="327096846">
                      <w:marLeft w:val="0"/>
                      <w:marRight w:val="0"/>
                      <w:marTop w:val="0"/>
                      <w:marBottom w:val="0"/>
                      <w:divBdr>
                        <w:top w:val="none" w:sz="0" w:space="0" w:color="auto"/>
                        <w:left w:val="none" w:sz="0" w:space="0" w:color="auto"/>
                        <w:bottom w:val="none" w:sz="0" w:space="0" w:color="auto"/>
                        <w:right w:val="none" w:sz="0" w:space="0" w:color="auto"/>
                      </w:divBdr>
                    </w:div>
                  </w:divsChild>
                </w:div>
                <w:div w:id="1933969647">
                  <w:marLeft w:val="0"/>
                  <w:marRight w:val="0"/>
                  <w:marTop w:val="0"/>
                  <w:marBottom w:val="0"/>
                  <w:divBdr>
                    <w:top w:val="none" w:sz="0" w:space="0" w:color="auto"/>
                    <w:left w:val="none" w:sz="0" w:space="0" w:color="auto"/>
                    <w:bottom w:val="none" w:sz="0" w:space="0" w:color="auto"/>
                    <w:right w:val="none" w:sz="0" w:space="0" w:color="auto"/>
                  </w:divBdr>
                  <w:divsChild>
                    <w:div w:id="2058161232">
                      <w:marLeft w:val="0"/>
                      <w:marRight w:val="0"/>
                      <w:marTop w:val="0"/>
                      <w:marBottom w:val="0"/>
                      <w:divBdr>
                        <w:top w:val="none" w:sz="0" w:space="0" w:color="auto"/>
                        <w:left w:val="none" w:sz="0" w:space="0" w:color="auto"/>
                        <w:bottom w:val="none" w:sz="0" w:space="0" w:color="auto"/>
                        <w:right w:val="none" w:sz="0" w:space="0" w:color="auto"/>
                      </w:divBdr>
                    </w:div>
                  </w:divsChild>
                </w:div>
                <w:div w:id="843321890">
                  <w:marLeft w:val="0"/>
                  <w:marRight w:val="0"/>
                  <w:marTop w:val="0"/>
                  <w:marBottom w:val="0"/>
                  <w:divBdr>
                    <w:top w:val="none" w:sz="0" w:space="0" w:color="auto"/>
                    <w:left w:val="none" w:sz="0" w:space="0" w:color="auto"/>
                    <w:bottom w:val="none" w:sz="0" w:space="0" w:color="auto"/>
                    <w:right w:val="none" w:sz="0" w:space="0" w:color="auto"/>
                  </w:divBdr>
                  <w:divsChild>
                    <w:div w:id="1302154070">
                      <w:marLeft w:val="0"/>
                      <w:marRight w:val="0"/>
                      <w:marTop w:val="0"/>
                      <w:marBottom w:val="0"/>
                      <w:divBdr>
                        <w:top w:val="none" w:sz="0" w:space="0" w:color="auto"/>
                        <w:left w:val="none" w:sz="0" w:space="0" w:color="auto"/>
                        <w:bottom w:val="none" w:sz="0" w:space="0" w:color="auto"/>
                        <w:right w:val="none" w:sz="0" w:space="0" w:color="auto"/>
                      </w:divBdr>
                    </w:div>
                  </w:divsChild>
                </w:div>
                <w:div w:id="971515489">
                  <w:marLeft w:val="0"/>
                  <w:marRight w:val="0"/>
                  <w:marTop w:val="0"/>
                  <w:marBottom w:val="0"/>
                  <w:divBdr>
                    <w:top w:val="none" w:sz="0" w:space="0" w:color="auto"/>
                    <w:left w:val="none" w:sz="0" w:space="0" w:color="auto"/>
                    <w:bottom w:val="none" w:sz="0" w:space="0" w:color="auto"/>
                    <w:right w:val="none" w:sz="0" w:space="0" w:color="auto"/>
                  </w:divBdr>
                  <w:divsChild>
                    <w:div w:id="1075708079">
                      <w:marLeft w:val="0"/>
                      <w:marRight w:val="0"/>
                      <w:marTop w:val="0"/>
                      <w:marBottom w:val="0"/>
                      <w:divBdr>
                        <w:top w:val="none" w:sz="0" w:space="0" w:color="auto"/>
                        <w:left w:val="none" w:sz="0" w:space="0" w:color="auto"/>
                        <w:bottom w:val="none" w:sz="0" w:space="0" w:color="auto"/>
                        <w:right w:val="none" w:sz="0" w:space="0" w:color="auto"/>
                      </w:divBdr>
                    </w:div>
                  </w:divsChild>
                </w:div>
                <w:div w:id="1048534170">
                  <w:marLeft w:val="0"/>
                  <w:marRight w:val="0"/>
                  <w:marTop w:val="0"/>
                  <w:marBottom w:val="0"/>
                  <w:divBdr>
                    <w:top w:val="none" w:sz="0" w:space="0" w:color="auto"/>
                    <w:left w:val="none" w:sz="0" w:space="0" w:color="auto"/>
                    <w:bottom w:val="none" w:sz="0" w:space="0" w:color="auto"/>
                    <w:right w:val="none" w:sz="0" w:space="0" w:color="auto"/>
                  </w:divBdr>
                  <w:divsChild>
                    <w:div w:id="1504855203">
                      <w:marLeft w:val="0"/>
                      <w:marRight w:val="0"/>
                      <w:marTop w:val="0"/>
                      <w:marBottom w:val="0"/>
                      <w:divBdr>
                        <w:top w:val="none" w:sz="0" w:space="0" w:color="auto"/>
                        <w:left w:val="none" w:sz="0" w:space="0" w:color="auto"/>
                        <w:bottom w:val="none" w:sz="0" w:space="0" w:color="auto"/>
                        <w:right w:val="none" w:sz="0" w:space="0" w:color="auto"/>
                      </w:divBdr>
                    </w:div>
                  </w:divsChild>
                </w:div>
                <w:div w:id="1408461505">
                  <w:marLeft w:val="0"/>
                  <w:marRight w:val="0"/>
                  <w:marTop w:val="0"/>
                  <w:marBottom w:val="0"/>
                  <w:divBdr>
                    <w:top w:val="none" w:sz="0" w:space="0" w:color="auto"/>
                    <w:left w:val="none" w:sz="0" w:space="0" w:color="auto"/>
                    <w:bottom w:val="none" w:sz="0" w:space="0" w:color="auto"/>
                    <w:right w:val="none" w:sz="0" w:space="0" w:color="auto"/>
                  </w:divBdr>
                  <w:divsChild>
                    <w:div w:id="376586830">
                      <w:marLeft w:val="0"/>
                      <w:marRight w:val="0"/>
                      <w:marTop w:val="0"/>
                      <w:marBottom w:val="0"/>
                      <w:divBdr>
                        <w:top w:val="none" w:sz="0" w:space="0" w:color="auto"/>
                        <w:left w:val="none" w:sz="0" w:space="0" w:color="auto"/>
                        <w:bottom w:val="none" w:sz="0" w:space="0" w:color="auto"/>
                        <w:right w:val="none" w:sz="0" w:space="0" w:color="auto"/>
                      </w:divBdr>
                    </w:div>
                  </w:divsChild>
                </w:div>
                <w:div w:id="1499425135">
                  <w:marLeft w:val="0"/>
                  <w:marRight w:val="0"/>
                  <w:marTop w:val="0"/>
                  <w:marBottom w:val="0"/>
                  <w:divBdr>
                    <w:top w:val="none" w:sz="0" w:space="0" w:color="auto"/>
                    <w:left w:val="none" w:sz="0" w:space="0" w:color="auto"/>
                    <w:bottom w:val="none" w:sz="0" w:space="0" w:color="auto"/>
                    <w:right w:val="none" w:sz="0" w:space="0" w:color="auto"/>
                  </w:divBdr>
                  <w:divsChild>
                    <w:div w:id="101458862">
                      <w:marLeft w:val="0"/>
                      <w:marRight w:val="0"/>
                      <w:marTop w:val="0"/>
                      <w:marBottom w:val="0"/>
                      <w:divBdr>
                        <w:top w:val="none" w:sz="0" w:space="0" w:color="auto"/>
                        <w:left w:val="none" w:sz="0" w:space="0" w:color="auto"/>
                        <w:bottom w:val="none" w:sz="0" w:space="0" w:color="auto"/>
                        <w:right w:val="none" w:sz="0" w:space="0" w:color="auto"/>
                      </w:divBdr>
                    </w:div>
                  </w:divsChild>
                </w:div>
                <w:div w:id="69623895">
                  <w:marLeft w:val="0"/>
                  <w:marRight w:val="0"/>
                  <w:marTop w:val="0"/>
                  <w:marBottom w:val="0"/>
                  <w:divBdr>
                    <w:top w:val="none" w:sz="0" w:space="0" w:color="auto"/>
                    <w:left w:val="none" w:sz="0" w:space="0" w:color="auto"/>
                    <w:bottom w:val="none" w:sz="0" w:space="0" w:color="auto"/>
                    <w:right w:val="none" w:sz="0" w:space="0" w:color="auto"/>
                  </w:divBdr>
                  <w:divsChild>
                    <w:div w:id="1604721936">
                      <w:marLeft w:val="0"/>
                      <w:marRight w:val="0"/>
                      <w:marTop w:val="0"/>
                      <w:marBottom w:val="0"/>
                      <w:divBdr>
                        <w:top w:val="none" w:sz="0" w:space="0" w:color="auto"/>
                        <w:left w:val="none" w:sz="0" w:space="0" w:color="auto"/>
                        <w:bottom w:val="none" w:sz="0" w:space="0" w:color="auto"/>
                        <w:right w:val="none" w:sz="0" w:space="0" w:color="auto"/>
                      </w:divBdr>
                    </w:div>
                  </w:divsChild>
                </w:div>
                <w:div w:id="453642767">
                  <w:marLeft w:val="0"/>
                  <w:marRight w:val="0"/>
                  <w:marTop w:val="0"/>
                  <w:marBottom w:val="0"/>
                  <w:divBdr>
                    <w:top w:val="none" w:sz="0" w:space="0" w:color="auto"/>
                    <w:left w:val="none" w:sz="0" w:space="0" w:color="auto"/>
                    <w:bottom w:val="none" w:sz="0" w:space="0" w:color="auto"/>
                    <w:right w:val="none" w:sz="0" w:space="0" w:color="auto"/>
                  </w:divBdr>
                  <w:divsChild>
                    <w:div w:id="47539154">
                      <w:marLeft w:val="0"/>
                      <w:marRight w:val="0"/>
                      <w:marTop w:val="0"/>
                      <w:marBottom w:val="0"/>
                      <w:divBdr>
                        <w:top w:val="none" w:sz="0" w:space="0" w:color="auto"/>
                        <w:left w:val="none" w:sz="0" w:space="0" w:color="auto"/>
                        <w:bottom w:val="none" w:sz="0" w:space="0" w:color="auto"/>
                        <w:right w:val="none" w:sz="0" w:space="0" w:color="auto"/>
                      </w:divBdr>
                    </w:div>
                  </w:divsChild>
                </w:div>
                <w:div w:id="192037149">
                  <w:marLeft w:val="0"/>
                  <w:marRight w:val="0"/>
                  <w:marTop w:val="0"/>
                  <w:marBottom w:val="0"/>
                  <w:divBdr>
                    <w:top w:val="none" w:sz="0" w:space="0" w:color="auto"/>
                    <w:left w:val="none" w:sz="0" w:space="0" w:color="auto"/>
                    <w:bottom w:val="none" w:sz="0" w:space="0" w:color="auto"/>
                    <w:right w:val="none" w:sz="0" w:space="0" w:color="auto"/>
                  </w:divBdr>
                  <w:divsChild>
                    <w:div w:id="1922107406">
                      <w:marLeft w:val="0"/>
                      <w:marRight w:val="0"/>
                      <w:marTop w:val="0"/>
                      <w:marBottom w:val="0"/>
                      <w:divBdr>
                        <w:top w:val="none" w:sz="0" w:space="0" w:color="auto"/>
                        <w:left w:val="none" w:sz="0" w:space="0" w:color="auto"/>
                        <w:bottom w:val="none" w:sz="0" w:space="0" w:color="auto"/>
                        <w:right w:val="none" w:sz="0" w:space="0" w:color="auto"/>
                      </w:divBdr>
                    </w:div>
                  </w:divsChild>
                </w:div>
                <w:div w:id="1299334536">
                  <w:marLeft w:val="0"/>
                  <w:marRight w:val="0"/>
                  <w:marTop w:val="0"/>
                  <w:marBottom w:val="0"/>
                  <w:divBdr>
                    <w:top w:val="none" w:sz="0" w:space="0" w:color="auto"/>
                    <w:left w:val="none" w:sz="0" w:space="0" w:color="auto"/>
                    <w:bottom w:val="none" w:sz="0" w:space="0" w:color="auto"/>
                    <w:right w:val="none" w:sz="0" w:space="0" w:color="auto"/>
                  </w:divBdr>
                  <w:divsChild>
                    <w:div w:id="597951900">
                      <w:marLeft w:val="0"/>
                      <w:marRight w:val="0"/>
                      <w:marTop w:val="0"/>
                      <w:marBottom w:val="0"/>
                      <w:divBdr>
                        <w:top w:val="none" w:sz="0" w:space="0" w:color="auto"/>
                        <w:left w:val="none" w:sz="0" w:space="0" w:color="auto"/>
                        <w:bottom w:val="none" w:sz="0" w:space="0" w:color="auto"/>
                        <w:right w:val="none" w:sz="0" w:space="0" w:color="auto"/>
                      </w:divBdr>
                    </w:div>
                  </w:divsChild>
                </w:div>
                <w:div w:id="1162740646">
                  <w:marLeft w:val="0"/>
                  <w:marRight w:val="0"/>
                  <w:marTop w:val="0"/>
                  <w:marBottom w:val="0"/>
                  <w:divBdr>
                    <w:top w:val="none" w:sz="0" w:space="0" w:color="auto"/>
                    <w:left w:val="none" w:sz="0" w:space="0" w:color="auto"/>
                    <w:bottom w:val="none" w:sz="0" w:space="0" w:color="auto"/>
                    <w:right w:val="none" w:sz="0" w:space="0" w:color="auto"/>
                  </w:divBdr>
                  <w:divsChild>
                    <w:div w:id="252132548">
                      <w:marLeft w:val="0"/>
                      <w:marRight w:val="0"/>
                      <w:marTop w:val="0"/>
                      <w:marBottom w:val="0"/>
                      <w:divBdr>
                        <w:top w:val="none" w:sz="0" w:space="0" w:color="auto"/>
                        <w:left w:val="none" w:sz="0" w:space="0" w:color="auto"/>
                        <w:bottom w:val="none" w:sz="0" w:space="0" w:color="auto"/>
                        <w:right w:val="none" w:sz="0" w:space="0" w:color="auto"/>
                      </w:divBdr>
                    </w:div>
                  </w:divsChild>
                </w:div>
                <w:div w:id="1704284872">
                  <w:marLeft w:val="0"/>
                  <w:marRight w:val="0"/>
                  <w:marTop w:val="0"/>
                  <w:marBottom w:val="0"/>
                  <w:divBdr>
                    <w:top w:val="none" w:sz="0" w:space="0" w:color="auto"/>
                    <w:left w:val="none" w:sz="0" w:space="0" w:color="auto"/>
                    <w:bottom w:val="none" w:sz="0" w:space="0" w:color="auto"/>
                    <w:right w:val="none" w:sz="0" w:space="0" w:color="auto"/>
                  </w:divBdr>
                  <w:divsChild>
                    <w:div w:id="155650628">
                      <w:marLeft w:val="0"/>
                      <w:marRight w:val="0"/>
                      <w:marTop w:val="0"/>
                      <w:marBottom w:val="0"/>
                      <w:divBdr>
                        <w:top w:val="none" w:sz="0" w:space="0" w:color="auto"/>
                        <w:left w:val="none" w:sz="0" w:space="0" w:color="auto"/>
                        <w:bottom w:val="none" w:sz="0" w:space="0" w:color="auto"/>
                        <w:right w:val="none" w:sz="0" w:space="0" w:color="auto"/>
                      </w:divBdr>
                    </w:div>
                  </w:divsChild>
                </w:div>
                <w:div w:id="177352579">
                  <w:marLeft w:val="0"/>
                  <w:marRight w:val="0"/>
                  <w:marTop w:val="0"/>
                  <w:marBottom w:val="0"/>
                  <w:divBdr>
                    <w:top w:val="none" w:sz="0" w:space="0" w:color="auto"/>
                    <w:left w:val="none" w:sz="0" w:space="0" w:color="auto"/>
                    <w:bottom w:val="none" w:sz="0" w:space="0" w:color="auto"/>
                    <w:right w:val="none" w:sz="0" w:space="0" w:color="auto"/>
                  </w:divBdr>
                  <w:divsChild>
                    <w:div w:id="1648320282">
                      <w:marLeft w:val="0"/>
                      <w:marRight w:val="0"/>
                      <w:marTop w:val="0"/>
                      <w:marBottom w:val="0"/>
                      <w:divBdr>
                        <w:top w:val="none" w:sz="0" w:space="0" w:color="auto"/>
                        <w:left w:val="none" w:sz="0" w:space="0" w:color="auto"/>
                        <w:bottom w:val="none" w:sz="0" w:space="0" w:color="auto"/>
                        <w:right w:val="none" w:sz="0" w:space="0" w:color="auto"/>
                      </w:divBdr>
                    </w:div>
                  </w:divsChild>
                </w:div>
                <w:div w:id="1675301460">
                  <w:marLeft w:val="0"/>
                  <w:marRight w:val="0"/>
                  <w:marTop w:val="0"/>
                  <w:marBottom w:val="0"/>
                  <w:divBdr>
                    <w:top w:val="none" w:sz="0" w:space="0" w:color="auto"/>
                    <w:left w:val="none" w:sz="0" w:space="0" w:color="auto"/>
                    <w:bottom w:val="none" w:sz="0" w:space="0" w:color="auto"/>
                    <w:right w:val="none" w:sz="0" w:space="0" w:color="auto"/>
                  </w:divBdr>
                  <w:divsChild>
                    <w:div w:id="1047560117">
                      <w:marLeft w:val="0"/>
                      <w:marRight w:val="0"/>
                      <w:marTop w:val="0"/>
                      <w:marBottom w:val="0"/>
                      <w:divBdr>
                        <w:top w:val="none" w:sz="0" w:space="0" w:color="auto"/>
                        <w:left w:val="none" w:sz="0" w:space="0" w:color="auto"/>
                        <w:bottom w:val="none" w:sz="0" w:space="0" w:color="auto"/>
                        <w:right w:val="none" w:sz="0" w:space="0" w:color="auto"/>
                      </w:divBdr>
                    </w:div>
                  </w:divsChild>
                </w:div>
                <w:div w:id="402300">
                  <w:marLeft w:val="0"/>
                  <w:marRight w:val="0"/>
                  <w:marTop w:val="0"/>
                  <w:marBottom w:val="0"/>
                  <w:divBdr>
                    <w:top w:val="none" w:sz="0" w:space="0" w:color="auto"/>
                    <w:left w:val="none" w:sz="0" w:space="0" w:color="auto"/>
                    <w:bottom w:val="none" w:sz="0" w:space="0" w:color="auto"/>
                    <w:right w:val="none" w:sz="0" w:space="0" w:color="auto"/>
                  </w:divBdr>
                  <w:divsChild>
                    <w:div w:id="963585133">
                      <w:marLeft w:val="0"/>
                      <w:marRight w:val="0"/>
                      <w:marTop w:val="0"/>
                      <w:marBottom w:val="0"/>
                      <w:divBdr>
                        <w:top w:val="none" w:sz="0" w:space="0" w:color="auto"/>
                        <w:left w:val="none" w:sz="0" w:space="0" w:color="auto"/>
                        <w:bottom w:val="none" w:sz="0" w:space="0" w:color="auto"/>
                        <w:right w:val="none" w:sz="0" w:space="0" w:color="auto"/>
                      </w:divBdr>
                    </w:div>
                  </w:divsChild>
                </w:div>
                <w:div w:id="1867592450">
                  <w:marLeft w:val="0"/>
                  <w:marRight w:val="0"/>
                  <w:marTop w:val="0"/>
                  <w:marBottom w:val="0"/>
                  <w:divBdr>
                    <w:top w:val="none" w:sz="0" w:space="0" w:color="auto"/>
                    <w:left w:val="none" w:sz="0" w:space="0" w:color="auto"/>
                    <w:bottom w:val="none" w:sz="0" w:space="0" w:color="auto"/>
                    <w:right w:val="none" w:sz="0" w:space="0" w:color="auto"/>
                  </w:divBdr>
                  <w:divsChild>
                    <w:div w:id="1424108133">
                      <w:marLeft w:val="0"/>
                      <w:marRight w:val="0"/>
                      <w:marTop w:val="0"/>
                      <w:marBottom w:val="0"/>
                      <w:divBdr>
                        <w:top w:val="none" w:sz="0" w:space="0" w:color="auto"/>
                        <w:left w:val="none" w:sz="0" w:space="0" w:color="auto"/>
                        <w:bottom w:val="none" w:sz="0" w:space="0" w:color="auto"/>
                        <w:right w:val="none" w:sz="0" w:space="0" w:color="auto"/>
                      </w:divBdr>
                    </w:div>
                  </w:divsChild>
                </w:div>
                <w:div w:id="1841776111">
                  <w:marLeft w:val="0"/>
                  <w:marRight w:val="0"/>
                  <w:marTop w:val="0"/>
                  <w:marBottom w:val="0"/>
                  <w:divBdr>
                    <w:top w:val="none" w:sz="0" w:space="0" w:color="auto"/>
                    <w:left w:val="none" w:sz="0" w:space="0" w:color="auto"/>
                    <w:bottom w:val="none" w:sz="0" w:space="0" w:color="auto"/>
                    <w:right w:val="none" w:sz="0" w:space="0" w:color="auto"/>
                  </w:divBdr>
                  <w:divsChild>
                    <w:div w:id="1562209063">
                      <w:marLeft w:val="0"/>
                      <w:marRight w:val="0"/>
                      <w:marTop w:val="0"/>
                      <w:marBottom w:val="0"/>
                      <w:divBdr>
                        <w:top w:val="none" w:sz="0" w:space="0" w:color="auto"/>
                        <w:left w:val="none" w:sz="0" w:space="0" w:color="auto"/>
                        <w:bottom w:val="none" w:sz="0" w:space="0" w:color="auto"/>
                        <w:right w:val="none" w:sz="0" w:space="0" w:color="auto"/>
                      </w:divBdr>
                    </w:div>
                  </w:divsChild>
                </w:div>
                <w:div w:id="1534001527">
                  <w:marLeft w:val="0"/>
                  <w:marRight w:val="0"/>
                  <w:marTop w:val="0"/>
                  <w:marBottom w:val="0"/>
                  <w:divBdr>
                    <w:top w:val="none" w:sz="0" w:space="0" w:color="auto"/>
                    <w:left w:val="none" w:sz="0" w:space="0" w:color="auto"/>
                    <w:bottom w:val="none" w:sz="0" w:space="0" w:color="auto"/>
                    <w:right w:val="none" w:sz="0" w:space="0" w:color="auto"/>
                  </w:divBdr>
                  <w:divsChild>
                    <w:div w:id="2001813964">
                      <w:marLeft w:val="0"/>
                      <w:marRight w:val="0"/>
                      <w:marTop w:val="0"/>
                      <w:marBottom w:val="0"/>
                      <w:divBdr>
                        <w:top w:val="none" w:sz="0" w:space="0" w:color="auto"/>
                        <w:left w:val="none" w:sz="0" w:space="0" w:color="auto"/>
                        <w:bottom w:val="none" w:sz="0" w:space="0" w:color="auto"/>
                        <w:right w:val="none" w:sz="0" w:space="0" w:color="auto"/>
                      </w:divBdr>
                    </w:div>
                  </w:divsChild>
                </w:div>
                <w:div w:id="1393432151">
                  <w:marLeft w:val="0"/>
                  <w:marRight w:val="0"/>
                  <w:marTop w:val="0"/>
                  <w:marBottom w:val="0"/>
                  <w:divBdr>
                    <w:top w:val="none" w:sz="0" w:space="0" w:color="auto"/>
                    <w:left w:val="none" w:sz="0" w:space="0" w:color="auto"/>
                    <w:bottom w:val="none" w:sz="0" w:space="0" w:color="auto"/>
                    <w:right w:val="none" w:sz="0" w:space="0" w:color="auto"/>
                  </w:divBdr>
                  <w:divsChild>
                    <w:div w:id="893080280">
                      <w:marLeft w:val="0"/>
                      <w:marRight w:val="0"/>
                      <w:marTop w:val="0"/>
                      <w:marBottom w:val="0"/>
                      <w:divBdr>
                        <w:top w:val="none" w:sz="0" w:space="0" w:color="auto"/>
                        <w:left w:val="none" w:sz="0" w:space="0" w:color="auto"/>
                        <w:bottom w:val="none" w:sz="0" w:space="0" w:color="auto"/>
                        <w:right w:val="none" w:sz="0" w:space="0" w:color="auto"/>
                      </w:divBdr>
                    </w:div>
                  </w:divsChild>
                </w:div>
                <w:div w:id="1302611003">
                  <w:marLeft w:val="0"/>
                  <w:marRight w:val="0"/>
                  <w:marTop w:val="0"/>
                  <w:marBottom w:val="0"/>
                  <w:divBdr>
                    <w:top w:val="none" w:sz="0" w:space="0" w:color="auto"/>
                    <w:left w:val="none" w:sz="0" w:space="0" w:color="auto"/>
                    <w:bottom w:val="none" w:sz="0" w:space="0" w:color="auto"/>
                    <w:right w:val="none" w:sz="0" w:space="0" w:color="auto"/>
                  </w:divBdr>
                  <w:divsChild>
                    <w:div w:id="567613967">
                      <w:marLeft w:val="0"/>
                      <w:marRight w:val="0"/>
                      <w:marTop w:val="0"/>
                      <w:marBottom w:val="0"/>
                      <w:divBdr>
                        <w:top w:val="none" w:sz="0" w:space="0" w:color="auto"/>
                        <w:left w:val="none" w:sz="0" w:space="0" w:color="auto"/>
                        <w:bottom w:val="none" w:sz="0" w:space="0" w:color="auto"/>
                        <w:right w:val="none" w:sz="0" w:space="0" w:color="auto"/>
                      </w:divBdr>
                    </w:div>
                  </w:divsChild>
                </w:div>
                <w:div w:id="1280259702">
                  <w:marLeft w:val="0"/>
                  <w:marRight w:val="0"/>
                  <w:marTop w:val="0"/>
                  <w:marBottom w:val="0"/>
                  <w:divBdr>
                    <w:top w:val="none" w:sz="0" w:space="0" w:color="auto"/>
                    <w:left w:val="none" w:sz="0" w:space="0" w:color="auto"/>
                    <w:bottom w:val="none" w:sz="0" w:space="0" w:color="auto"/>
                    <w:right w:val="none" w:sz="0" w:space="0" w:color="auto"/>
                  </w:divBdr>
                  <w:divsChild>
                    <w:div w:id="861477818">
                      <w:marLeft w:val="0"/>
                      <w:marRight w:val="0"/>
                      <w:marTop w:val="0"/>
                      <w:marBottom w:val="0"/>
                      <w:divBdr>
                        <w:top w:val="none" w:sz="0" w:space="0" w:color="auto"/>
                        <w:left w:val="none" w:sz="0" w:space="0" w:color="auto"/>
                        <w:bottom w:val="none" w:sz="0" w:space="0" w:color="auto"/>
                        <w:right w:val="none" w:sz="0" w:space="0" w:color="auto"/>
                      </w:divBdr>
                    </w:div>
                  </w:divsChild>
                </w:div>
                <w:div w:id="803620767">
                  <w:marLeft w:val="0"/>
                  <w:marRight w:val="0"/>
                  <w:marTop w:val="0"/>
                  <w:marBottom w:val="0"/>
                  <w:divBdr>
                    <w:top w:val="none" w:sz="0" w:space="0" w:color="auto"/>
                    <w:left w:val="none" w:sz="0" w:space="0" w:color="auto"/>
                    <w:bottom w:val="none" w:sz="0" w:space="0" w:color="auto"/>
                    <w:right w:val="none" w:sz="0" w:space="0" w:color="auto"/>
                  </w:divBdr>
                  <w:divsChild>
                    <w:div w:id="1612466843">
                      <w:marLeft w:val="0"/>
                      <w:marRight w:val="0"/>
                      <w:marTop w:val="0"/>
                      <w:marBottom w:val="0"/>
                      <w:divBdr>
                        <w:top w:val="none" w:sz="0" w:space="0" w:color="auto"/>
                        <w:left w:val="none" w:sz="0" w:space="0" w:color="auto"/>
                        <w:bottom w:val="none" w:sz="0" w:space="0" w:color="auto"/>
                        <w:right w:val="none" w:sz="0" w:space="0" w:color="auto"/>
                      </w:divBdr>
                    </w:div>
                  </w:divsChild>
                </w:div>
                <w:div w:id="1220239778">
                  <w:marLeft w:val="0"/>
                  <w:marRight w:val="0"/>
                  <w:marTop w:val="0"/>
                  <w:marBottom w:val="0"/>
                  <w:divBdr>
                    <w:top w:val="none" w:sz="0" w:space="0" w:color="auto"/>
                    <w:left w:val="none" w:sz="0" w:space="0" w:color="auto"/>
                    <w:bottom w:val="none" w:sz="0" w:space="0" w:color="auto"/>
                    <w:right w:val="none" w:sz="0" w:space="0" w:color="auto"/>
                  </w:divBdr>
                  <w:divsChild>
                    <w:div w:id="798452462">
                      <w:marLeft w:val="0"/>
                      <w:marRight w:val="0"/>
                      <w:marTop w:val="0"/>
                      <w:marBottom w:val="0"/>
                      <w:divBdr>
                        <w:top w:val="none" w:sz="0" w:space="0" w:color="auto"/>
                        <w:left w:val="none" w:sz="0" w:space="0" w:color="auto"/>
                        <w:bottom w:val="none" w:sz="0" w:space="0" w:color="auto"/>
                        <w:right w:val="none" w:sz="0" w:space="0" w:color="auto"/>
                      </w:divBdr>
                    </w:div>
                  </w:divsChild>
                </w:div>
                <w:div w:id="284509708">
                  <w:marLeft w:val="0"/>
                  <w:marRight w:val="0"/>
                  <w:marTop w:val="0"/>
                  <w:marBottom w:val="0"/>
                  <w:divBdr>
                    <w:top w:val="none" w:sz="0" w:space="0" w:color="auto"/>
                    <w:left w:val="none" w:sz="0" w:space="0" w:color="auto"/>
                    <w:bottom w:val="none" w:sz="0" w:space="0" w:color="auto"/>
                    <w:right w:val="none" w:sz="0" w:space="0" w:color="auto"/>
                  </w:divBdr>
                  <w:divsChild>
                    <w:div w:id="8361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
        <w:div w:id="270402965">
          <w:marLeft w:val="0"/>
          <w:marRight w:val="0"/>
          <w:marTop w:val="0"/>
          <w:marBottom w:val="0"/>
          <w:divBdr>
            <w:top w:val="none" w:sz="0" w:space="0" w:color="auto"/>
            <w:left w:val="none" w:sz="0" w:space="0" w:color="auto"/>
            <w:bottom w:val="none" w:sz="0" w:space="0" w:color="auto"/>
            <w:right w:val="none" w:sz="0" w:space="0" w:color="auto"/>
          </w:divBdr>
        </w:div>
        <w:div w:id="718747390">
          <w:marLeft w:val="0"/>
          <w:marRight w:val="0"/>
          <w:marTop w:val="0"/>
          <w:marBottom w:val="0"/>
          <w:divBdr>
            <w:top w:val="none" w:sz="0" w:space="0" w:color="auto"/>
            <w:left w:val="none" w:sz="0" w:space="0" w:color="auto"/>
            <w:bottom w:val="none" w:sz="0" w:space="0" w:color="auto"/>
            <w:right w:val="none" w:sz="0" w:space="0" w:color="auto"/>
          </w:divBdr>
        </w:div>
        <w:div w:id="1119451138">
          <w:marLeft w:val="0"/>
          <w:marRight w:val="0"/>
          <w:marTop w:val="0"/>
          <w:marBottom w:val="0"/>
          <w:divBdr>
            <w:top w:val="none" w:sz="0" w:space="0" w:color="auto"/>
            <w:left w:val="none" w:sz="0" w:space="0" w:color="auto"/>
            <w:bottom w:val="none" w:sz="0" w:space="0" w:color="auto"/>
            <w:right w:val="none" w:sz="0" w:space="0" w:color="auto"/>
          </w:divBdr>
        </w:div>
        <w:div w:id="200896331">
          <w:marLeft w:val="0"/>
          <w:marRight w:val="0"/>
          <w:marTop w:val="0"/>
          <w:marBottom w:val="0"/>
          <w:divBdr>
            <w:top w:val="none" w:sz="0" w:space="0" w:color="auto"/>
            <w:left w:val="none" w:sz="0" w:space="0" w:color="auto"/>
            <w:bottom w:val="none" w:sz="0" w:space="0" w:color="auto"/>
            <w:right w:val="none" w:sz="0" w:space="0" w:color="auto"/>
          </w:divBdr>
          <w:divsChild>
            <w:div w:id="1593666277">
              <w:marLeft w:val="-75"/>
              <w:marRight w:val="0"/>
              <w:marTop w:val="30"/>
              <w:marBottom w:val="30"/>
              <w:divBdr>
                <w:top w:val="none" w:sz="0" w:space="0" w:color="auto"/>
                <w:left w:val="none" w:sz="0" w:space="0" w:color="auto"/>
                <w:bottom w:val="none" w:sz="0" w:space="0" w:color="auto"/>
                <w:right w:val="none" w:sz="0" w:space="0" w:color="auto"/>
              </w:divBdr>
              <w:divsChild>
                <w:div w:id="1072504011">
                  <w:marLeft w:val="0"/>
                  <w:marRight w:val="0"/>
                  <w:marTop w:val="0"/>
                  <w:marBottom w:val="0"/>
                  <w:divBdr>
                    <w:top w:val="none" w:sz="0" w:space="0" w:color="auto"/>
                    <w:left w:val="none" w:sz="0" w:space="0" w:color="auto"/>
                    <w:bottom w:val="none" w:sz="0" w:space="0" w:color="auto"/>
                    <w:right w:val="none" w:sz="0" w:space="0" w:color="auto"/>
                  </w:divBdr>
                  <w:divsChild>
                    <w:div w:id="23022515">
                      <w:marLeft w:val="0"/>
                      <w:marRight w:val="0"/>
                      <w:marTop w:val="0"/>
                      <w:marBottom w:val="0"/>
                      <w:divBdr>
                        <w:top w:val="none" w:sz="0" w:space="0" w:color="auto"/>
                        <w:left w:val="none" w:sz="0" w:space="0" w:color="auto"/>
                        <w:bottom w:val="none" w:sz="0" w:space="0" w:color="auto"/>
                        <w:right w:val="none" w:sz="0" w:space="0" w:color="auto"/>
                      </w:divBdr>
                    </w:div>
                  </w:divsChild>
                </w:div>
                <w:div w:id="905803742">
                  <w:marLeft w:val="0"/>
                  <w:marRight w:val="0"/>
                  <w:marTop w:val="0"/>
                  <w:marBottom w:val="0"/>
                  <w:divBdr>
                    <w:top w:val="none" w:sz="0" w:space="0" w:color="auto"/>
                    <w:left w:val="none" w:sz="0" w:space="0" w:color="auto"/>
                    <w:bottom w:val="none" w:sz="0" w:space="0" w:color="auto"/>
                    <w:right w:val="none" w:sz="0" w:space="0" w:color="auto"/>
                  </w:divBdr>
                  <w:divsChild>
                    <w:div w:id="952904128">
                      <w:marLeft w:val="0"/>
                      <w:marRight w:val="0"/>
                      <w:marTop w:val="0"/>
                      <w:marBottom w:val="0"/>
                      <w:divBdr>
                        <w:top w:val="none" w:sz="0" w:space="0" w:color="auto"/>
                        <w:left w:val="none" w:sz="0" w:space="0" w:color="auto"/>
                        <w:bottom w:val="none" w:sz="0" w:space="0" w:color="auto"/>
                        <w:right w:val="none" w:sz="0" w:space="0" w:color="auto"/>
                      </w:divBdr>
                    </w:div>
                  </w:divsChild>
                </w:div>
                <w:div w:id="2113167230">
                  <w:marLeft w:val="0"/>
                  <w:marRight w:val="0"/>
                  <w:marTop w:val="0"/>
                  <w:marBottom w:val="0"/>
                  <w:divBdr>
                    <w:top w:val="none" w:sz="0" w:space="0" w:color="auto"/>
                    <w:left w:val="none" w:sz="0" w:space="0" w:color="auto"/>
                    <w:bottom w:val="none" w:sz="0" w:space="0" w:color="auto"/>
                    <w:right w:val="none" w:sz="0" w:space="0" w:color="auto"/>
                  </w:divBdr>
                  <w:divsChild>
                    <w:div w:id="896167256">
                      <w:marLeft w:val="0"/>
                      <w:marRight w:val="0"/>
                      <w:marTop w:val="0"/>
                      <w:marBottom w:val="0"/>
                      <w:divBdr>
                        <w:top w:val="none" w:sz="0" w:space="0" w:color="auto"/>
                        <w:left w:val="none" w:sz="0" w:space="0" w:color="auto"/>
                        <w:bottom w:val="none" w:sz="0" w:space="0" w:color="auto"/>
                        <w:right w:val="none" w:sz="0" w:space="0" w:color="auto"/>
                      </w:divBdr>
                    </w:div>
                  </w:divsChild>
                </w:div>
                <w:div w:id="572354565">
                  <w:marLeft w:val="0"/>
                  <w:marRight w:val="0"/>
                  <w:marTop w:val="0"/>
                  <w:marBottom w:val="0"/>
                  <w:divBdr>
                    <w:top w:val="none" w:sz="0" w:space="0" w:color="auto"/>
                    <w:left w:val="none" w:sz="0" w:space="0" w:color="auto"/>
                    <w:bottom w:val="none" w:sz="0" w:space="0" w:color="auto"/>
                    <w:right w:val="none" w:sz="0" w:space="0" w:color="auto"/>
                  </w:divBdr>
                  <w:divsChild>
                    <w:div w:id="472988600">
                      <w:marLeft w:val="0"/>
                      <w:marRight w:val="0"/>
                      <w:marTop w:val="0"/>
                      <w:marBottom w:val="0"/>
                      <w:divBdr>
                        <w:top w:val="none" w:sz="0" w:space="0" w:color="auto"/>
                        <w:left w:val="none" w:sz="0" w:space="0" w:color="auto"/>
                        <w:bottom w:val="none" w:sz="0" w:space="0" w:color="auto"/>
                        <w:right w:val="none" w:sz="0" w:space="0" w:color="auto"/>
                      </w:divBdr>
                    </w:div>
                  </w:divsChild>
                </w:div>
                <w:div w:id="288556704">
                  <w:marLeft w:val="0"/>
                  <w:marRight w:val="0"/>
                  <w:marTop w:val="0"/>
                  <w:marBottom w:val="0"/>
                  <w:divBdr>
                    <w:top w:val="none" w:sz="0" w:space="0" w:color="auto"/>
                    <w:left w:val="none" w:sz="0" w:space="0" w:color="auto"/>
                    <w:bottom w:val="none" w:sz="0" w:space="0" w:color="auto"/>
                    <w:right w:val="none" w:sz="0" w:space="0" w:color="auto"/>
                  </w:divBdr>
                  <w:divsChild>
                    <w:div w:id="107626561">
                      <w:marLeft w:val="0"/>
                      <w:marRight w:val="0"/>
                      <w:marTop w:val="0"/>
                      <w:marBottom w:val="0"/>
                      <w:divBdr>
                        <w:top w:val="none" w:sz="0" w:space="0" w:color="auto"/>
                        <w:left w:val="none" w:sz="0" w:space="0" w:color="auto"/>
                        <w:bottom w:val="none" w:sz="0" w:space="0" w:color="auto"/>
                        <w:right w:val="none" w:sz="0" w:space="0" w:color="auto"/>
                      </w:divBdr>
                    </w:div>
                    <w:div w:id="295839270">
                      <w:marLeft w:val="0"/>
                      <w:marRight w:val="0"/>
                      <w:marTop w:val="0"/>
                      <w:marBottom w:val="0"/>
                      <w:divBdr>
                        <w:top w:val="none" w:sz="0" w:space="0" w:color="auto"/>
                        <w:left w:val="none" w:sz="0" w:space="0" w:color="auto"/>
                        <w:bottom w:val="none" w:sz="0" w:space="0" w:color="auto"/>
                        <w:right w:val="none" w:sz="0" w:space="0" w:color="auto"/>
                      </w:divBdr>
                    </w:div>
                    <w:div w:id="439959003">
                      <w:marLeft w:val="0"/>
                      <w:marRight w:val="0"/>
                      <w:marTop w:val="0"/>
                      <w:marBottom w:val="0"/>
                      <w:divBdr>
                        <w:top w:val="none" w:sz="0" w:space="0" w:color="auto"/>
                        <w:left w:val="none" w:sz="0" w:space="0" w:color="auto"/>
                        <w:bottom w:val="none" w:sz="0" w:space="0" w:color="auto"/>
                        <w:right w:val="none" w:sz="0" w:space="0" w:color="auto"/>
                      </w:divBdr>
                    </w:div>
                  </w:divsChild>
                </w:div>
                <w:div w:id="228617323">
                  <w:marLeft w:val="0"/>
                  <w:marRight w:val="0"/>
                  <w:marTop w:val="0"/>
                  <w:marBottom w:val="0"/>
                  <w:divBdr>
                    <w:top w:val="none" w:sz="0" w:space="0" w:color="auto"/>
                    <w:left w:val="none" w:sz="0" w:space="0" w:color="auto"/>
                    <w:bottom w:val="none" w:sz="0" w:space="0" w:color="auto"/>
                    <w:right w:val="none" w:sz="0" w:space="0" w:color="auto"/>
                  </w:divBdr>
                  <w:divsChild>
                    <w:div w:id="621621229">
                      <w:marLeft w:val="0"/>
                      <w:marRight w:val="0"/>
                      <w:marTop w:val="0"/>
                      <w:marBottom w:val="0"/>
                      <w:divBdr>
                        <w:top w:val="none" w:sz="0" w:space="0" w:color="auto"/>
                        <w:left w:val="none" w:sz="0" w:space="0" w:color="auto"/>
                        <w:bottom w:val="none" w:sz="0" w:space="0" w:color="auto"/>
                        <w:right w:val="none" w:sz="0" w:space="0" w:color="auto"/>
                      </w:divBdr>
                    </w:div>
                    <w:div w:id="939338781">
                      <w:marLeft w:val="0"/>
                      <w:marRight w:val="0"/>
                      <w:marTop w:val="0"/>
                      <w:marBottom w:val="0"/>
                      <w:divBdr>
                        <w:top w:val="none" w:sz="0" w:space="0" w:color="auto"/>
                        <w:left w:val="none" w:sz="0" w:space="0" w:color="auto"/>
                        <w:bottom w:val="none" w:sz="0" w:space="0" w:color="auto"/>
                        <w:right w:val="none" w:sz="0" w:space="0" w:color="auto"/>
                      </w:divBdr>
                    </w:div>
                    <w:div w:id="1800225426">
                      <w:marLeft w:val="0"/>
                      <w:marRight w:val="0"/>
                      <w:marTop w:val="0"/>
                      <w:marBottom w:val="0"/>
                      <w:divBdr>
                        <w:top w:val="none" w:sz="0" w:space="0" w:color="auto"/>
                        <w:left w:val="none" w:sz="0" w:space="0" w:color="auto"/>
                        <w:bottom w:val="none" w:sz="0" w:space="0" w:color="auto"/>
                        <w:right w:val="none" w:sz="0" w:space="0" w:color="auto"/>
                      </w:divBdr>
                    </w:div>
                    <w:div w:id="1717775457">
                      <w:marLeft w:val="0"/>
                      <w:marRight w:val="0"/>
                      <w:marTop w:val="0"/>
                      <w:marBottom w:val="0"/>
                      <w:divBdr>
                        <w:top w:val="none" w:sz="0" w:space="0" w:color="auto"/>
                        <w:left w:val="none" w:sz="0" w:space="0" w:color="auto"/>
                        <w:bottom w:val="none" w:sz="0" w:space="0" w:color="auto"/>
                        <w:right w:val="none" w:sz="0" w:space="0" w:color="auto"/>
                      </w:divBdr>
                    </w:div>
                    <w:div w:id="588738479">
                      <w:marLeft w:val="0"/>
                      <w:marRight w:val="0"/>
                      <w:marTop w:val="0"/>
                      <w:marBottom w:val="0"/>
                      <w:divBdr>
                        <w:top w:val="none" w:sz="0" w:space="0" w:color="auto"/>
                        <w:left w:val="none" w:sz="0" w:space="0" w:color="auto"/>
                        <w:bottom w:val="none" w:sz="0" w:space="0" w:color="auto"/>
                        <w:right w:val="none" w:sz="0" w:space="0" w:color="auto"/>
                      </w:divBdr>
                    </w:div>
                    <w:div w:id="585695779">
                      <w:marLeft w:val="0"/>
                      <w:marRight w:val="0"/>
                      <w:marTop w:val="0"/>
                      <w:marBottom w:val="0"/>
                      <w:divBdr>
                        <w:top w:val="none" w:sz="0" w:space="0" w:color="auto"/>
                        <w:left w:val="none" w:sz="0" w:space="0" w:color="auto"/>
                        <w:bottom w:val="none" w:sz="0" w:space="0" w:color="auto"/>
                        <w:right w:val="none" w:sz="0" w:space="0" w:color="auto"/>
                      </w:divBdr>
                    </w:div>
                  </w:divsChild>
                </w:div>
                <w:div w:id="786511221">
                  <w:marLeft w:val="0"/>
                  <w:marRight w:val="0"/>
                  <w:marTop w:val="0"/>
                  <w:marBottom w:val="0"/>
                  <w:divBdr>
                    <w:top w:val="none" w:sz="0" w:space="0" w:color="auto"/>
                    <w:left w:val="none" w:sz="0" w:space="0" w:color="auto"/>
                    <w:bottom w:val="none" w:sz="0" w:space="0" w:color="auto"/>
                    <w:right w:val="none" w:sz="0" w:space="0" w:color="auto"/>
                  </w:divBdr>
                  <w:divsChild>
                    <w:div w:id="1700548868">
                      <w:marLeft w:val="0"/>
                      <w:marRight w:val="0"/>
                      <w:marTop w:val="0"/>
                      <w:marBottom w:val="0"/>
                      <w:divBdr>
                        <w:top w:val="none" w:sz="0" w:space="0" w:color="auto"/>
                        <w:left w:val="none" w:sz="0" w:space="0" w:color="auto"/>
                        <w:bottom w:val="none" w:sz="0" w:space="0" w:color="auto"/>
                        <w:right w:val="none" w:sz="0" w:space="0" w:color="auto"/>
                      </w:divBdr>
                    </w:div>
                  </w:divsChild>
                </w:div>
                <w:div w:id="1536505570">
                  <w:marLeft w:val="0"/>
                  <w:marRight w:val="0"/>
                  <w:marTop w:val="0"/>
                  <w:marBottom w:val="0"/>
                  <w:divBdr>
                    <w:top w:val="none" w:sz="0" w:space="0" w:color="auto"/>
                    <w:left w:val="none" w:sz="0" w:space="0" w:color="auto"/>
                    <w:bottom w:val="none" w:sz="0" w:space="0" w:color="auto"/>
                    <w:right w:val="none" w:sz="0" w:space="0" w:color="auto"/>
                  </w:divBdr>
                  <w:divsChild>
                    <w:div w:id="1635674508">
                      <w:marLeft w:val="0"/>
                      <w:marRight w:val="0"/>
                      <w:marTop w:val="0"/>
                      <w:marBottom w:val="0"/>
                      <w:divBdr>
                        <w:top w:val="none" w:sz="0" w:space="0" w:color="auto"/>
                        <w:left w:val="none" w:sz="0" w:space="0" w:color="auto"/>
                        <w:bottom w:val="none" w:sz="0" w:space="0" w:color="auto"/>
                        <w:right w:val="none" w:sz="0" w:space="0" w:color="auto"/>
                      </w:divBdr>
                    </w:div>
                    <w:div w:id="1323659618">
                      <w:marLeft w:val="0"/>
                      <w:marRight w:val="0"/>
                      <w:marTop w:val="0"/>
                      <w:marBottom w:val="0"/>
                      <w:divBdr>
                        <w:top w:val="none" w:sz="0" w:space="0" w:color="auto"/>
                        <w:left w:val="none" w:sz="0" w:space="0" w:color="auto"/>
                        <w:bottom w:val="none" w:sz="0" w:space="0" w:color="auto"/>
                        <w:right w:val="none" w:sz="0" w:space="0" w:color="auto"/>
                      </w:divBdr>
                    </w:div>
                    <w:div w:id="1422217708">
                      <w:marLeft w:val="0"/>
                      <w:marRight w:val="0"/>
                      <w:marTop w:val="0"/>
                      <w:marBottom w:val="0"/>
                      <w:divBdr>
                        <w:top w:val="none" w:sz="0" w:space="0" w:color="auto"/>
                        <w:left w:val="none" w:sz="0" w:space="0" w:color="auto"/>
                        <w:bottom w:val="none" w:sz="0" w:space="0" w:color="auto"/>
                        <w:right w:val="none" w:sz="0" w:space="0" w:color="auto"/>
                      </w:divBdr>
                    </w:div>
                  </w:divsChild>
                </w:div>
                <w:div w:id="645159648">
                  <w:marLeft w:val="0"/>
                  <w:marRight w:val="0"/>
                  <w:marTop w:val="0"/>
                  <w:marBottom w:val="0"/>
                  <w:divBdr>
                    <w:top w:val="none" w:sz="0" w:space="0" w:color="auto"/>
                    <w:left w:val="none" w:sz="0" w:space="0" w:color="auto"/>
                    <w:bottom w:val="none" w:sz="0" w:space="0" w:color="auto"/>
                    <w:right w:val="none" w:sz="0" w:space="0" w:color="auto"/>
                  </w:divBdr>
                  <w:divsChild>
                    <w:div w:id="58016324">
                      <w:marLeft w:val="0"/>
                      <w:marRight w:val="0"/>
                      <w:marTop w:val="0"/>
                      <w:marBottom w:val="0"/>
                      <w:divBdr>
                        <w:top w:val="none" w:sz="0" w:space="0" w:color="auto"/>
                        <w:left w:val="none" w:sz="0" w:space="0" w:color="auto"/>
                        <w:bottom w:val="none" w:sz="0" w:space="0" w:color="auto"/>
                        <w:right w:val="none" w:sz="0" w:space="0" w:color="auto"/>
                      </w:divBdr>
                    </w:div>
                    <w:div w:id="918832442">
                      <w:marLeft w:val="0"/>
                      <w:marRight w:val="0"/>
                      <w:marTop w:val="0"/>
                      <w:marBottom w:val="0"/>
                      <w:divBdr>
                        <w:top w:val="none" w:sz="0" w:space="0" w:color="auto"/>
                        <w:left w:val="none" w:sz="0" w:space="0" w:color="auto"/>
                        <w:bottom w:val="none" w:sz="0" w:space="0" w:color="auto"/>
                        <w:right w:val="none" w:sz="0" w:space="0" w:color="auto"/>
                      </w:divBdr>
                    </w:div>
                    <w:div w:id="1471245124">
                      <w:marLeft w:val="0"/>
                      <w:marRight w:val="0"/>
                      <w:marTop w:val="0"/>
                      <w:marBottom w:val="0"/>
                      <w:divBdr>
                        <w:top w:val="none" w:sz="0" w:space="0" w:color="auto"/>
                        <w:left w:val="none" w:sz="0" w:space="0" w:color="auto"/>
                        <w:bottom w:val="none" w:sz="0" w:space="0" w:color="auto"/>
                        <w:right w:val="none" w:sz="0" w:space="0" w:color="auto"/>
                      </w:divBdr>
                    </w:div>
                    <w:div w:id="724107550">
                      <w:marLeft w:val="0"/>
                      <w:marRight w:val="0"/>
                      <w:marTop w:val="0"/>
                      <w:marBottom w:val="0"/>
                      <w:divBdr>
                        <w:top w:val="none" w:sz="0" w:space="0" w:color="auto"/>
                        <w:left w:val="none" w:sz="0" w:space="0" w:color="auto"/>
                        <w:bottom w:val="none" w:sz="0" w:space="0" w:color="auto"/>
                        <w:right w:val="none" w:sz="0" w:space="0" w:color="auto"/>
                      </w:divBdr>
                    </w:div>
                    <w:div w:id="1800951113">
                      <w:marLeft w:val="0"/>
                      <w:marRight w:val="0"/>
                      <w:marTop w:val="0"/>
                      <w:marBottom w:val="0"/>
                      <w:divBdr>
                        <w:top w:val="none" w:sz="0" w:space="0" w:color="auto"/>
                        <w:left w:val="none" w:sz="0" w:space="0" w:color="auto"/>
                        <w:bottom w:val="none" w:sz="0" w:space="0" w:color="auto"/>
                        <w:right w:val="none" w:sz="0" w:space="0" w:color="auto"/>
                      </w:divBdr>
                    </w:div>
                    <w:div w:id="19651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43143">
          <w:marLeft w:val="0"/>
          <w:marRight w:val="0"/>
          <w:marTop w:val="0"/>
          <w:marBottom w:val="0"/>
          <w:divBdr>
            <w:top w:val="none" w:sz="0" w:space="0" w:color="auto"/>
            <w:left w:val="none" w:sz="0" w:space="0" w:color="auto"/>
            <w:bottom w:val="none" w:sz="0" w:space="0" w:color="auto"/>
            <w:right w:val="none" w:sz="0" w:space="0" w:color="auto"/>
          </w:divBdr>
        </w:div>
        <w:div w:id="1474638038">
          <w:marLeft w:val="0"/>
          <w:marRight w:val="0"/>
          <w:marTop w:val="0"/>
          <w:marBottom w:val="0"/>
          <w:divBdr>
            <w:top w:val="none" w:sz="0" w:space="0" w:color="auto"/>
            <w:left w:val="none" w:sz="0" w:space="0" w:color="auto"/>
            <w:bottom w:val="none" w:sz="0" w:space="0" w:color="auto"/>
            <w:right w:val="none" w:sz="0" w:space="0" w:color="auto"/>
          </w:divBdr>
        </w:div>
      </w:divsChild>
    </w:div>
    <w:div w:id="590161207">
      <w:bodyDiv w:val="1"/>
      <w:marLeft w:val="0"/>
      <w:marRight w:val="0"/>
      <w:marTop w:val="0"/>
      <w:marBottom w:val="0"/>
      <w:divBdr>
        <w:top w:val="none" w:sz="0" w:space="0" w:color="auto"/>
        <w:left w:val="none" w:sz="0" w:space="0" w:color="auto"/>
        <w:bottom w:val="none" w:sz="0" w:space="0" w:color="auto"/>
        <w:right w:val="none" w:sz="0" w:space="0" w:color="auto"/>
      </w:divBdr>
    </w:div>
    <w:div w:id="649331284">
      <w:bodyDiv w:val="1"/>
      <w:marLeft w:val="0"/>
      <w:marRight w:val="0"/>
      <w:marTop w:val="0"/>
      <w:marBottom w:val="0"/>
      <w:divBdr>
        <w:top w:val="none" w:sz="0" w:space="0" w:color="auto"/>
        <w:left w:val="none" w:sz="0" w:space="0" w:color="auto"/>
        <w:bottom w:val="none" w:sz="0" w:space="0" w:color="auto"/>
        <w:right w:val="none" w:sz="0" w:space="0" w:color="auto"/>
      </w:divBdr>
    </w:div>
    <w:div w:id="736709882">
      <w:bodyDiv w:val="1"/>
      <w:marLeft w:val="0"/>
      <w:marRight w:val="0"/>
      <w:marTop w:val="0"/>
      <w:marBottom w:val="0"/>
      <w:divBdr>
        <w:top w:val="none" w:sz="0" w:space="0" w:color="auto"/>
        <w:left w:val="none" w:sz="0" w:space="0" w:color="auto"/>
        <w:bottom w:val="none" w:sz="0" w:space="0" w:color="auto"/>
        <w:right w:val="none" w:sz="0" w:space="0" w:color="auto"/>
      </w:divBdr>
      <w:divsChild>
        <w:div w:id="1350326934">
          <w:marLeft w:val="0"/>
          <w:marRight w:val="0"/>
          <w:marTop w:val="0"/>
          <w:marBottom w:val="0"/>
          <w:divBdr>
            <w:top w:val="none" w:sz="0" w:space="0" w:color="auto"/>
            <w:left w:val="none" w:sz="0" w:space="0" w:color="auto"/>
            <w:bottom w:val="none" w:sz="0" w:space="0" w:color="auto"/>
            <w:right w:val="none" w:sz="0" w:space="0" w:color="auto"/>
          </w:divBdr>
        </w:div>
        <w:div w:id="1580678430">
          <w:marLeft w:val="0"/>
          <w:marRight w:val="0"/>
          <w:marTop w:val="0"/>
          <w:marBottom w:val="0"/>
          <w:divBdr>
            <w:top w:val="none" w:sz="0" w:space="0" w:color="auto"/>
            <w:left w:val="none" w:sz="0" w:space="0" w:color="auto"/>
            <w:bottom w:val="none" w:sz="0" w:space="0" w:color="auto"/>
            <w:right w:val="none" w:sz="0" w:space="0" w:color="auto"/>
          </w:divBdr>
        </w:div>
        <w:div w:id="973753126">
          <w:marLeft w:val="0"/>
          <w:marRight w:val="0"/>
          <w:marTop w:val="0"/>
          <w:marBottom w:val="0"/>
          <w:divBdr>
            <w:top w:val="none" w:sz="0" w:space="0" w:color="auto"/>
            <w:left w:val="none" w:sz="0" w:space="0" w:color="auto"/>
            <w:bottom w:val="none" w:sz="0" w:space="0" w:color="auto"/>
            <w:right w:val="none" w:sz="0" w:space="0" w:color="auto"/>
          </w:divBdr>
        </w:div>
        <w:div w:id="2096976862">
          <w:marLeft w:val="0"/>
          <w:marRight w:val="0"/>
          <w:marTop w:val="0"/>
          <w:marBottom w:val="0"/>
          <w:divBdr>
            <w:top w:val="none" w:sz="0" w:space="0" w:color="auto"/>
            <w:left w:val="none" w:sz="0" w:space="0" w:color="auto"/>
            <w:bottom w:val="none" w:sz="0" w:space="0" w:color="auto"/>
            <w:right w:val="none" w:sz="0" w:space="0" w:color="auto"/>
          </w:divBdr>
        </w:div>
        <w:div w:id="26102043">
          <w:marLeft w:val="0"/>
          <w:marRight w:val="0"/>
          <w:marTop w:val="0"/>
          <w:marBottom w:val="0"/>
          <w:divBdr>
            <w:top w:val="none" w:sz="0" w:space="0" w:color="auto"/>
            <w:left w:val="none" w:sz="0" w:space="0" w:color="auto"/>
            <w:bottom w:val="none" w:sz="0" w:space="0" w:color="auto"/>
            <w:right w:val="none" w:sz="0" w:space="0" w:color="auto"/>
          </w:divBdr>
        </w:div>
        <w:div w:id="829954062">
          <w:marLeft w:val="0"/>
          <w:marRight w:val="0"/>
          <w:marTop w:val="0"/>
          <w:marBottom w:val="0"/>
          <w:divBdr>
            <w:top w:val="none" w:sz="0" w:space="0" w:color="auto"/>
            <w:left w:val="none" w:sz="0" w:space="0" w:color="auto"/>
            <w:bottom w:val="none" w:sz="0" w:space="0" w:color="auto"/>
            <w:right w:val="none" w:sz="0" w:space="0" w:color="auto"/>
          </w:divBdr>
          <w:divsChild>
            <w:div w:id="1011179905">
              <w:marLeft w:val="-75"/>
              <w:marRight w:val="0"/>
              <w:marTop w:val="30"/>
              <w:marBottom w:val="30"/>
              <w:divBdr>
                <w:top w:val="none" w:sz="0" w:space="0" w:color="auto"/>
                <w:left w:val="none" w:sz="0" w:space="0" w:color="auto"/>
                <w:bottom w:val="none" w:sz="0" w:space="0" w:color="auto"/>
                <w:right w:val="none" w:sz="0" w:space="0" w:color="auto"/>
              </w:divBdr>
              <w:divsChild>
                <w:div w:id="1202401373">
                  <w:marLeft w:val="0"/>
                  <w:marRight w:val="0"/>
                  <w:marTop w:val="0"/>
                  <w:marBottom w:val="0"/>
                  <w:divBdr>
                    <w:top w:val="none" w:sz="0" w:space="0" w:color="auto"/>
                    <w:left w:val="none" w:sz="0" w:space="0" w:color="auto"/>
                    <w:bottom w:val="none" w:sz="0" w:space="0" w:color="auto"/>
                    <w:right w:val="none" w:sz="0" w:space="0" w:color="auto"/>
                  </w:divBdr>
                  <w:divsChild>
                    <w:div w:id="782578500">
                      <w:marLeft w:val="0"/>
                      <w:marRight w:val="0"/>
                      <w:marTop w:val="0"/>
                      <w:marBottom w:val="0"/>
                      <w:divBdr>
                        <w:top w:val="none" w:sz="0" w:space="0" w:color="auto"/>
                        <w:left w:val="none" w:sz="0" w:space="0" w:color="auto"/>
                        <w:bottom w:val="none" w:sz="0" w:space="0" w:color="auto"/>
                        <w:right w:val="none" w:sz="0" w:space="0" w:color="auto"/>
                      </w:divBdr>
                    </w:div>
                  </w:divsChild>
                </w:div>
                <w:div w:id="620578847">
                  <w:marLeft w:val="0"/>
                  <w:marRight w:val="0"/>
                  <w:marTop w:val="0"/>
                  <w:marBottom w:val="0"/>
                  <w:divBdr>
                    <w:top w:val="none" w:sz="0" w:space="0" w:color="auto"/>
                    <w:left w:val="none" w:sz="0" w:space="0" w:color="auto"/>
                    <w:bottom w:val="none" w:sz="0" w:space="0" w:color="auto"/>
                    <w:right w:val="none" w:sz="0" w:space="0" w:color="auto"/>
                  </w:divBdr>
                  <w:divsChild>
                    <w:div w:id="1876964450">
                      <w:marLeft w:val="0"/>
                      <w:marRight w:val="0"/>
                      <w:marTop w:val="0"/>
                      <w:marBottom w:val="0"/>
                      <w:divBdr>
                        <w:top w:val="none" w:sz="0" w:space="0" w:color="auto"/>
                        <w:left w:val="none" w:sz="0" w:space="0" w:color="auto"/>
                        <w:bottom w:val="none" w:sz="0" w:space="0" w:color="auto"/>
                        <w:right w:val="none" w:sz="0" w:space="0" w:color="auto"/>
                      </w:divBdr>
                    </w:div>
                  </w:divsChild>
                </w:div>
                <w:div w:id="1028222017">
                  <w:marLeft w:val="0"/>
                  <w:marRight w:val="0"/>
                  <w:marTop w:val="0"/>
                  <w:marBottom w:val="0"/>
                  <w:divBdr>
                    <w:top w:val="none" w:sz="0" w:space="0" w:color="auto"/>
                    <w:left w:val="none" w:sz="0" w:space="0" w:color="auto"/>
                    <w:bottom w:val="none" w:sz="0" w:space="0" w:color="auto"/>
                    <w:right w:val="none" w:sz="0" w:space="0" w:color="auto"/>
                  </w:divBdr>
                  <w:divsChild>
                    <w:div w:id="1494907677">
                      <w:marLeft w:val="0"/>
                      <w:marRight w:val="0"/>
                      <w:marTop w:val="0"/>
                      <w:marBottom w:val="0"/>
                      <w:divBdr>
                        <w:top w:val="none" w:sz="0" w:space="0" w:color="auto"/>
                        <w:left w:val="none" w:sz="0" w:space="0" w:color="auto"/>
                        <w:bottom w:val="none" w:sz="0" w:space="0" w:color="auto"/>
                        <w:right w:val="none" w:sz="0" w:space="0" w:color="auto"/>
                      </w:divBdr>
                    </w:div>
                  </w:divsChild>
                </w:div>
                <w:div w:id="217789129">
                  <w:marLeft w:val="0"/>
                  <w:marRight w:val="0"/>
                  <w:marTop w:val="0"/>
                  <w:marBottom w:val="0"/>
                  <w:divBdr>
                    <w:top w:val="none" w:sz="0" w:space="0" w:color="auto"/>
                    <w:left w:val="none" w:sz="0" w:space="0" w:color="auto"/>
                    <w:bottom w:val="none" w:sz="0" w:space="0" w:color="auto"/>
                    <w:right w:val="none" w:sz="0" w:space="0" w:color="auto"/>
                  </w:divBdr>
                  <w:divsChild>
                    <w:div w:id="623313717">
                      <w:marLeft w:val="0"/>
                      <w:marRight w:val="0"/>
                      <w:marTop w:val="0"/>
                      <w:marBottom w:val="0"/>
                      <w:divBdr>
                        <w:top w:val="none" w:sz="0" w:space="0" w:color="auto"/>
                        <w:left w:val="none" w:sz="0" w:space="0" w:color="auto"/>
                        <w:bottom w:val="none" w:sz="0" w:space="0" w:color="auto"/>
                        <w:right w:val="none" w:sz="0" w:space="0" w:color="auto"/>
                      </w:divBdr>
                    </w:div>
                  </w:divsChild>
                </w:div>
                <w:div w:id="522524667">
                  <w:marLeft w:val="0"/>
                  <w:marRight w:val="0"/>
                  <w:marTop w:val="0"/>
                  <w:marBottom w:val="0"/>
                  <w:divBdr>
                    <w:top w:val="none" w:sz="0" w:space="0" w:color="auto"/>
                    <w:left w:val="none" w:sz="0" w:space="0" w:color="auto"/>
                    <w:bottom w:val="none" w:sz="0" w:space="0" w:color="auto"/>
                    <w:right w:val="none" w:sz="0" w:space="0" w:color="auto"/>
                  </w:divBdr>
                  <w:divsChild>
                    <w:div w:id="1309896125">
                      <w:marLeft w:val="0"/>
                      <w:marRight w:val="0"/>
                      <w:marTop w:val="0"/>
                      <w:marBottom w:val="0"/>
                      <w:divBdr>
                        <w:top w:val="none" w:sz="0" w:space="0" w:color="auto"/>
                        <w:left w:val="none" w:sz="0" w:space="0" w:color="auto"/>
                        <w:bottom w:val="none" w:sz="0" w:space="0" w:color="auto"/>
                        <w:right w:val="none" w:sz="0" w:space="0" w:color="auto"/>
                      </w:divBdr>
                    </w:div>
                    <w:div w:id="256210503">
                      <w:marLeft w:val="0"/>
                      <w:marRight w:val="0"/>
                      <w:marTop w:val="0"/>
                      <w:marBottom w:val="0"/>
                      <w:divBdr>
                        <w:top w:val="none" w:sz="0" w:space="0" w:color="auto"/>
                        <w:left w:val="none" w:sz="0" w:space="0" w:color="auto"/>
                        <w:bottom w:val="none" w:sz="0" w:space="0" w:color="auto"/>
                        <w:right w:val="none" w:sz="0" w:space="0" w:color="auto"/>
                      </w:divBdr>
                    </w:div>
                  </w:divsChild>
                </w:div>
                <w:div w:id="140271849">
                  <w:marLeft w:val="0"/>
                  <w:marRight w:val="0"/>
                  <w:marTop w:val="0"/>
                  <w:marBottom w:val="0"/>
                  <w:divBdr>
                    <w:top w:val="none" w:sz="0" w:space="0" w:color="auto"/>
                    <w:left w:val="none" w:sz="0" w:space="0" w:color="auto"/>
                    <w:bottom w:val="none" w:sz="0" w:space="0" w:color="auto"/>
                    <w:right w:val="none" w:sz="0" w:space="0" w:color="auto"/>
                  </w:divBdr>
                  <w:divsChild>
                    <w:div w:id="23873449">
                      <w:marLeft w:val="0"/>
                      <w:marRight w:val="0"/>
                      <w:marTop w:val="0"/>
                      <w:marBottom w:val="0"/>
                      <w:divBdr>
                        <w:top w:val="none" w:sz="0" w:space="0" w:color="auto"/>
                        <w:left w:val="none" w:sz="0" w:space="0" w:color="auto"/>
                        <w:bottom w:val="none" w:sz="0" w:space="0" w:color="auto"/>
                        <w:right w:val="none" w:sz="0" w:space="0" w:color="auto"/>
                      </w:divBdr>
                    </w:div>
                    <w:div w:id="847869940">
                      <w:marLeft w:val="0"/>
                      <w:marRight w:val="0"/>
                      <w:marTop w:val="0"/>
                      <w:marBottom w:val="0"/>
                      <w:divBdr>
                        <w:top w:val="none" w:sz="0" w:space="0" w:color="auto"/>
                        <w:left w:val="none" w:sz="0" w:space="0" w:color="auto"/>
                        <w:bottom w:val="none" w:sz="0" w:space="0" w:color="auto"/>
                        <w:right w:val="none" w:sz="0" w:space="0" w:color="auto"/>
                      </w:divBdr>
                    </w:div>
                  </w:divsChild>
                </w:div>
                <w:div w:id="2075464254">
                  <w:marLeft w:val="0"/>
                  <w:marRight w:val="0"/>
                  <w:marTop w:val="0"/>
                  <w:marBottom w:val="0"/>
                  <w:divBdr>
                    <w:top w:val="none" w:sz="0" w:space="0" w:color="auto"/>
                    <w:left w:val="none" w:sz="0" w:space="0" w:color="auto"/>
                    <w:bottom w:val="none" w:sz="0" w:space="0" w:color="auto"/>
                    <w:right w:val="none" w:sz="0" w:space="0" w:color="auto"/>
                  </w:divBdr>
                  <w:divsChild>
                    <w:div w:id="1924947010">
                      <w:marLeft w:val="0"/>
                      <w:marRight w:val="0"/>
                      <w:marTop w:val="0"/>
                      <w:marBottom w:val="0"/>
                      <w:divBdr>
                        <w:top w:val="none" w:sz="0" w:space="0" w:color="auto"/>
                        <w:left w:val="none" w:sz="0" w:space="0" w:color="auto"/>
                        <w:bottom w:val="none" w:sz="0" w:space="0" w:color="auto"/>
                        <w:right w:val="none" w:sz="0" w:space="0" w:color="auto"/>
                      </w:divBdr>
                    </w:div>
                  </w:divsChild>
                </w:div>
                <w:div w:id="515268610">
                  <w:marLeft w:val="0"/>
                  <w:marRight w:val="0"/>
                  <w:marTop w:val="0"/>
                  <w:marBottom w:val="0"/>
                  <w:divBdr>
                    <w:top w:val="none" w:sz="0" w:space="0" w:color="auto"/>
                    <w:left w:val="none" w:sz="0" w:space="0" w:color="auto"/>
                    <w:bottom w:val="none" w:sz="0" w:space="0" w:color="auto"/>
                    <w:right w:val="none" w:sz="0" w:space="0" w:color="auto"/>
                  </w:divBdr>
                  <w:divsChild>
                    <w:div w:id="1578129321">
                      <w:marLeft w:val="0"/>
                      <w:marRight w:val="0"/>
                      <w:marTop w:val="0"/>
                      <w:marBottom w:val="0"/>
                      <w:divBdr>
                        <w:top w:val="none" w:sz="0" w:space="0" w:color="auto"/>
                        <w:left w:val="none" w:sz="0" w:space="0" w:color="auto"/>
                        <w:bottom w:val="none" w:sz="0" w:space="0" w:color="auto"/>
                        <w:right w:val="none" w:sz="0" w:space="0" w:color="auto"/>
                      </w:divBdr>
                    </w:div>
                  </w:divsChild>
                </w:div>
                <w:div w:id="545679733">
                  <w:marLeft w:val="0"/>
                  <w:marRight w:val="0"/>
                  <w:marTop w:val="0"/>
                  <w:marBottom w:val="0"/>
                  <w:divBdr>
                    <w:top w:val="none" w:sz="0" w:space="0" w:color="auto"/>
                    <w:left w:val="none" w:sz="0" w:space="0" w:color="auto"/>
                    <w:bottom w:val="none" w:sz="0" w:space="0" w:color="auto"/>
                    <w:right w:val="none" w:sz="0" w:space="0" w:color="auto"/>
                  </w:divBdr>
                  <w:divsChild>
                    <w:div w:id="1478838912">
                      <w:marLeft w:val="0"/>
                      <w:marRight w:val="0"/>
                      <w:marTop w:val="0"/>
                      <w:marBottom w:val="0"/>
                      <w:divBdr>
                        <w:top w:val="none" w:sz="0" w:space="0" w:color="auto"/>
                        <w:left w:val="none" w:sz="0" w:space="0" w:color="auto"/>
                        <w:bottom w:val="none" w:sz="0" w:space="0" w:color="auto"/>
                        <w:right w:val="none" w:sz="0" w:space="0" w:color="auto"/>
                      </w:divBdr>
                    </w:div>
                  </w:divsChild>
                </w:div>
                <w:div w:id="797143860">
                  <w:marLeft w:val="0"/>
                  <w:marRight w:val="0"/>
                  <w:marTop w:val="0"/>
                  <w:marBottom w:val="0"/>
                  <w:divBdr>
                    <w:top w:val="none" w:sz="0" w:space="0" w:color="auto"/>
                    <w:left w:val="none" w:sz="0" w:space="0" w:color="auto"/>
                    <w:bottom w:val="none" w:sz="0" w:space="0" w:color="auto"/>
                    <w:right w:val="none" w:sz="0" w:space="0" w:color="auto"/>
                  </w:divBdr>
                  <w:divsChild>
                    <w:div w:id="1661349279">
                      <w:marLeft w:val="0"/>
                      <w:marRight w:val="0"/>
                      <w:marTop w:val="0"/>
                      <w:marBottom w:val="0"/>
                      <w:divBdr>
                        <w:top w:val="none" w:sz="0" w:space="0" w:color="auto"/>
                        <w:left w:val="none" w:sz="0" w:space="0" w:color="auto"/>
                        <w:bottom w:val="none" w:sz="0" w:space="0" w:color="auto"/>
                        <w:right w:val="none" w:sz="0" w:space="0" w:color="auto"/>
                      </w:divBdr>
                    </w:div>
                  </w:divsChild>
                </w:div>
                <w:div w:id="1749764574">
                  <w:marLeft w:val="0"/>
                  <w:marRight w:val="0"/>
                  <w:marTop w:val="0"/>
                  <w:marBottom w:val="0"/>
                  <w:divBdr>
                    <w:top w:val="none" w:sz="0" w:space="0" w:color="auto"/>
                    <w:left w:val="none" w:sz="0" w:space="0" w:color="auto"/>
                    <w:bottom w:val="none" w:sz="0" w:space="0" w:color="auto"/>
                    <w:right w:val="none" w:sz="0" w:space="0" w:color="auto"/>
                  </w:divBdr>
                  <w:divsChild>
                    <w:div w:id="1191410145">
                      <w:marLeft w:val="0"/>
                      <w:marRight w:val="0"/>
                      <w:marTop w:val="0"/>
                      <w:marBottom w:val="0"/>
                      <w:divBdr>
                        <w:top w:val="none" w:sz="0" w:space="0" w:color="auto"/>
                        <w:left w:val="none" w:sz="0" w:space="0" w:color="auto"/>
                        <w:bottom w:val="none" w:sz="0" w:space="0" w:color="auto"/>
                        <w:right w:val="none" w:sz="0" w:space="0" w:color="auto"/>
                      </w:divBdr>
                    </w:div>
                  </w:divsChild>
                </w:div>
                <w:div w:id="1947274599">
                  <w:marLeft w:val="0"/>
                  <w:marRight w:val="0"/>
                  <w:marTop w:val="0"/>
                  <w:marBottom w:val="0"/>
                  <w:divBdr>
                    <w:top w:val="none" w:sz="0" w:space="0" w:color="auto"/>
                    <w:left w:val="none" w:sz="0" w:space="0" w:color="auto"/>
                    <w:bottom w:val="none" w:sz="0" w:space="0" w:color="auto"/>
                    <w:right w:val="none" w:sz="0" w:space="0" w:color="auto"/>
                  </w:divBdr>
                  <w:divsChild>
                    <w:div w:id="1600092582">
                      <w:marLeft w:val="0"/>
                      <w:marRight w:val="0"/>
                      <w:marTop w:val="0"/>
                      <w:marBottom w:val="0"/>
                      <w:divBdr>
                        <w:top w:val="none" w:sz="0" w:space="0" w:color="auto"/>
                        <w:left w:val="none" w:sz="0" w:space="0" w:color="auto"/>
                        <w:bottom w:val="none" w:sz="0" w:space="0" w:color="auto"/>
                        <w:right w:val="none" w:sz="0" w:space="0" w:color="auto"/>
                      </w:divBdr>
                    </w:div>
                  </w:divsChild>
                </w:div>
                <w:div w:id="309333948">
                  <w:marLeft w:val="0"/>
                  <w:marRight w:val="0"/>
                  <w:marTop w:val="0"/>
                  <w:marBottom w:val="0"/>
                  <w:divBdr>
                    <w:top w:val="none" w:sz="0" w:space="0" w:color="auto"/>
                    <w:left w:val="none" w:sz="0" w:space="0" w:color="auto"/>
                    <w:bottom w:val="none" w:sz="0" w:space="0" w:color="auto"/>
                    <w:right w:val="none" w:sz="0" w:space="0" w:color="auto"/>
                  </w:divBdr>
                  <w:divsChild>
                    <w:div w:id="691078712">
                      <w:marLeft w:val="0"/>
                      <w:marRight w:val="0"/>
                      <w:marTop w:val="0"/>
                      <w:marBottom w:val="0"/>
                      <w:divBdr>
                        <w:top w:val="none" w:sz="0" w:space="0" w:color="auto"/>
                        <w:left w:val="none" w:sz="0" w:space="0" w:color="auto"/>
                        <w:bottom w:val="none" w:sz="0" w:space="0" w:color="auto"/>
                        <w:right w:val="none" w:sz="0" w:space="0" w:color="auto"/>
                      </w:divBdr>
                    </w:div>
                  </w:divsChild>
                </w:div>
                <w:div w:id="805585325">
                  <w:marLeft w:val="0"/>
                  <w:marRight w:val="0"/>
                  <w:marTop w:val="0"/>
                  <w:marBottom w:val="0"/>
                  <w:divBdr>
                    <w:top w:val="none" w:sz="0" w:space="0" w:color="auto"/>
                    <w:left w:val="none" w:sz="0" w:space="0" w:color="auto"/>
                    <w:bottom w:val="none" w:sz="0" w:space="0" w:color="auto"/>
                    <w:right w:val="none" w:sz="0" w:space="0" w:color="auto"/>
                  </w:divBdr>
                  <w:divsChild>
                    <w:div w:id="931933875">
                      <w:marLeft w:val="0"/>
                      <w:marRight w:val="0"/>
                      <w:marTop w:val="0"/>
                      <w:marBottom w:val="0"/>
                      <w:divBdr>
                        <w:top w:val="none" w:sz="0" w:space="0" w:color="auto"/>
                        <w:left w:val="none" w:sz="0" w:space="0" w:color="auto"/>
                        <w:bottom w:val="none" w:sz="0" w:space="0" w:color="auto"/>
                        <w:right w:val="none" w:sz="0" w:space="0" w:color="auto"/>
                      </w:divBdr>
                    </w:div>
                  </w:divsChild>
                </w:div>
                <w:div w:id="1726248336">
                  <w:marLeft w:val="0"/>
                  <w:marRight w:val="0"/>
                  <w:marTop w:val="0"/>
                  <w:marBottom w:val="0"/>
                  <w:divBdr>
                    <w:top w:val="none" w:sz="0" w:space="0" w:color="auto"/>
                    <w:left w:val="none" w:sz="0" w:space="0" w:color="auto"/>
                    <w:bottom w:val="none" w:sz="0" w:space="0" w:color="auto"/>
                    <w:right w:val="none" w:sz="0" w:space="0" w:color="auto"/>
                  </w:divBdr>
                  <w:divsChild>
                    <w:div w:id="560291262">
                      <w:marLeft w:val="0"/>
                      <w:marRight w:val="0"/>
                      <w:marTop w:val="0"/>
                      <w:marBottom w:val="0"/>
                      <w:divBdr>
                        <w:top w:val="none" w:sz="0" w:space="0" w:color="auto"/>
                        <w:left w:val="none" w:sz="0" w:space="0" w:color="auto"/>
                        <w:bottom w:val="none" w:sz="0" w:space="0" w:color="auto"/>
                        <w:right w:val="none" w:sz="0" w:space="0" w:color="auto"/>
                      </w:divBdr>
                    </w:div>
                  </w:divsChild>
                </w:div>
                <w:div w:id="925651880">
                  <w:marLeft w:val="0"/>
                  <w:marRight w:val="0"/>
                  <w:marTop w:val="0"/>
                  <w:marBottom w:val="0"/>
                  <w:divBdr>
                    <w:top w:val="none" w:sz="0" w:space="0" w:color="auto"/>
                    <w:left w:val="none" w:sz="0" w:space="0" w:color="auto"/>
                    <w:bottom w:val="none" w:sz="0" w:space="0" w:color="auto"/>
                    <w:right w:val="none" w:sz="0" w:space="0" w:color="auto"/>
                  </w:divBdr>
                  <w:divsChild>
                    <w:div w:id="1082411391">
                      <w:marLeft w:val="0"/>
                      <w:marRight w:val="0"/>
                      <w:marTop w:val="0"/>
                      <w:marBottom w:val="0"/>
                      <w:divBdr>
                        <w:top w:val="none" w:sz="0" w:space="0" w:color="auto"/>
                        <w:left w:val="none" w:sz="0" w:space="0" w:color="auto"/>
                        <w:bottom w:val="none" w:sz="0" w:space="0" w:color="auto"/>
                        <w:right w:val="none" w:sz="0" w:space="0" w:color="auto"/>
                      </w:divBdr>
                    </w:div>
                  </w:divsChild>
                </w:div>
                <w:div w:id="722944044">
                  <w:marLeft w:val="0"/>
                  <w:marRight w:val="0"/>
                  <w:marTop w:val="0"/>
                  <w:marBottom w:val="0"/>
                  <w:divBdr>
                    <w:top w:val="none" w:sz="0" w:space="0" w:color="auto"/>
                    <w:left w:val="none" w:sz="0" w:space="0" w:color="auto"/>
                    <w:bottom w:val="none" w:sz="0" w:space="0" w:color="auto"/>
                    <w:right w:val="none" w:sz="0" w:space="0" w:color="auto"/>
                  </w:divBdr>
                  <w:divsChild>
                    <w:div w:id="119804814">
                      <w:marLeft w:val="0"/>
                      <w:marRight w:val="0"/>
                      <w:marTop w:val="0"/>
                      <w:marBottom w:val="0"/>
                      <w:divBdr>
                        <w:top w:val="none" w:sz="0" w:space="0" w:color="auto"/>
                        <w:left w:val="none" w:sz="0" w:space="0" w:color="auto"/>
                        <w:bottom w:val="none" w:sz="0" w:space="0" w:color="auto"/>
                        <w:right w:val="none" w:sz="0" w:space="0" w:color="auto"/>
                      </w:divBdr>
                    </w:div>
                  </w:divsChild>
                </w:div>
                <w:div w:id="170801941">
                  <w:marLeft w:val="0"/>
                  <w:marRight w:val="0"/>
                  <w:marTop w:val="0"/>
                  <w:marBottom w:val="0"/>
                  <w:divBdr>
                    <w:top w:val="none" w:sz="0" w:space="0" w:color="auto"/>
                    <w:left w:val="none" w:sz="0" w:space="0" w:color="auto"/>
                    <w:bottom w:val="none" w:sz="0" w:space="0" w:color="auto"/>
                    <w:right w:val="none" w:sz="0" w:space="0" w:color="auto"/>
                  </w:divBdr>
                  <w:divsChild>
                    <w:div w:id="2014868972">
                      <w:marLeft w:val="0"/>
                      <w:marRight w:val="0"/>
                      <w:marTop w:val="0"/>
                      <w:marBottom w:val="0"/>
                      <w:divBdr>
                        <w:top w:val="none" w:sz="0" w:space="0" w:color="auto"/>
                        <w:left w:val="none" w:sz="0" w:space="0" w:color="auto"/>
                        <w:bottom w:val="none" w:sz="0" w:space="0" w:color="auto"/>
                        <w:right w:val="none" w:sz="0" w:space="0" w:color="auto"/>
                      </w:divBdr>
                    </w:div>
                  </w:divsChild>
                </w:div>
                <w:div w:id="747966681">
                  <w:marLeft w:val="0"/>
                  <w:marRight w:val="0"/>
                  <w:marTop w:val="0"/>
                  <w:marBottom w:val="0"/>
                  <w:divBdr>
                    <w:top w:val="none" w:sz="0" w:space="0" w:color="auto"/>
                    <w:left w:val="none" w:sz="0" w:space="0" w:color="auto"/>
                    <w:bottom w:val="none" w:sz="0" w:space="0" w:color="auto"/>
                    <w:right w:val="none" w:sz="0" w:space="0" w:color="auto"/>
                  </w:divBdr>
                  <w:divsChild>
                    <w:div w:id="781651730">
                      <w:marLeft w:val="0"/>
                      <w:marRight w:val="0"/>
                      <w:marTop w:val="0"/>
                      <w:marBottom w:val="0"/>
                      <w:divBdr>
                        <w:top w:val="none" w:sz="0" w:space="0" w:color="auto"/>
                        <w:left w:val="none" w:sz="0" w:space="0" w:color="auto"/>
                        <w:bottom w:val="none" w:sz="0" w:space="0" w:color="auto"/>
                        <w:right w:val="none" w:sz="0" w:space="0" w:color="auto"/>
                      </w:divBdr>
                    </w:div>
                  </w:divsChild>
                </w:div>
                <w:div w:id="1613435530">
                  <w:marLeft w:val="0"/>
                  <w:marRight w:val="0"/>
                  <w:marTop w:val="0"/>
                  <w:marBottom w:val="0"/>
                  <w:divBdr>
                    <w:top w:val="none" w:sz="0" w:space="0" w:color="auto"/>
                    <w:left w:val="none" w:sz="0" w:space="0" w:color="auto"/>
                    <w:bottom w:val="none" w:sz="0" w:space="0" w:color="auto"/>
                    <w:right w:val="none" w:sz="0" w:space="0" w:color="auto"/>
                  </w:divBdr>
                  <w:divsChild>
                    <w:div w:id="1774787839">
                      <w:marLeft w:val="0"/>
                      <w:marRight w:val="0"/>
                      <w:marTop w:val="0"/>
                      <w:marBottom w:val="0"/>
                      <w:divBdr>
                        <w:top w:val="none" w:sz="0" w:space="0" w:color="auto"/>
                        <w:left w:val="none" w:sz="0" w:space="0" w:color="auto"/>
                        <w:bottom w:val="none" w:sz="0" w:space="0" w:color="auto"/>
                        <w:right w:val="none" w:sz="0" w:space="0" w:color="auto"/>
                      </w:divBdr>
                    </w:div>
                  </w:divsChild>
                </w:div>
                <w:div w:id="1900357320">
                  <w:marLeft w:val="0"/>
                  <w:marRight w:val="0"/>
                  <w:marTop w:val="0"/>
                  <w:marBottom w:val="0"/>
                  <w:divBdr>
                    <w:top w:val="none" w:sz="0" w:space="0" w:color="auto"/>
                    <w:left w:val="none" w:sz="0" w:space="0" w:color="auto"/>
                    <w:bottom w:val="none" w:sz="0" w:space="0" w:color="auto"/>
                    <w:right w:val="none" w:sz="0" w:space="0" w:color="auto"/>
                  </w:divBdr>
                  <w:divsChild>
                    <w:div w:id="1479691816">
                      <w:marLeft w:val="0"/>
                      <w:marRight w:val="0"/>
                      <w:marTop w:val="0"/>
                      <w:marBottom w:val="0"/>
                      <w:divBdr>
                        <w:top w:val="none" w:sz="0" w:space="0" w:color="auto"/>
                        <w:left w:val="none" w:sz="0" w:space="0" w:color="auto"/>
                        <w:bottom w:val="none" w:sz="0" w:space="0" w:color="auto"/>
                        <w:right w:val="none" w:sz="0" w:space="0" w:color="auto"/>
                      </w:divBdr>
                    </w:div>
                  </w:divsChild>
                </w:div>
                <w:div w:id="1996369974">
                  <w:marLeft w:val="0"/>
                  <w:marRight w:val="0"/>
                  <w:marTop w:val="0"/>
                  <w:marBottom w:val="0"/>
                  <w:divBdr>
                    <w:top w:val="none" w:sz="0" w:space="0" w:color="auto"/>
                    <w:left w:val="none" w:sz="0" w:space="0" w:color="auto"/>
                    <w:bottom w:val="none" w:sz="0" w:space="0" w:color="auto"/>
                    <w:right w:val="none" w:sz="0" w:space="0" w:color="auto"/>
                  </w:divBdr>
                  <w:divsChild>
                    <w:div w:id="1364671382">
                      <w:marLeft w:val="0"/>
                      <w:marRight w:val="0"/>
                      <w:marTop w:val="0"/>
                      <w:marBottom w:val="0"/>
                      <w:divBdr>
                        <w:top w:val="none" w:sz="0" w:space="0" w:color="auto"/>
                        <w:left w:val="none" w:sz="0" w:space="0" w:color="auto"/>
                        <w:bottom w:val="none" w:sz="0" w:space="0" w:color="auto"/>
                        <w:right w:val="none" w:sz="0" w:space="0" w:color="auto"/>
                      </w:divBdr>
                    </w:div>
                  </w:divsChild>
                </w:div>
                <w:div w:id="394738758">
                  <w:marLeft w:val="0"/>
                  <w:marRight w:val="0"/>
                  <w:marTop w:val="0"/>
                  <w:marBottom w:val="0"/>
                  <w:divBdr>
                    <w:top w:val="none" w:sz="0" w:space="0" w:color="auto"/>
                    <w:left w:val="none" w:sz="0" w:space="0" w:color="auto"/>
                    <w:bottom w:val="none" w:sz="0" w:space="0" w:color="auto"/>
                    <w:right w:val="none" w:sz="0" w:space="0" w:color="auto"/>
                  </w:divBdr>
                  <w:divsChild>
                    <w:div w:id="640230129">
                      <w:marLeft w:val="0"/>
                      <w:marRight w:val="0"/>
                      <w:marTop w:val="0"/>
                      <w:marBottom w:val="0"/>
                      <w:divBdr>
                        <w:top w:val="none" w:sz="0" w:space="0" w:color="auto"/>
                        <w:left w:val="none" w:sz="0" w:space="0" w:color="auto"/>
                        <w:bottom w:val="none" w:sz="0" w:space="0" w:color="auto"/>
                        <w:right w:val="none" w:sz="0" w:space="0" w:color="auto"/>
                      </w:divBdr>
                    </w:div>
                  </w:divsChild>
                </w:div>
                <w:div w:id="1023289841">
                  <w:marLeft w:val="0"/>
                  <w:marRight w:val="0"/>
                  <w:marTop w:val="0"/>
                  <w:marBottom w:val="0"/>
                  <w:divBdr>
                    <w:top w:val="none" w:sz="0" w:space="0" w:color="auto"/>
                    <w:left w:val="none" w:sz="0" w:space="0" w:color="auto"/>
                    <w:bottom w:val="none" w:sz="0" w:space="0" w:color="auto"/>
                    <w:right w:val="none" w:sz="0" w:space="0" w:color="auto"/>
                  </w:divBdr>
                  <w:divsChild>
                    <w:div w:id="1608385818">
                      <w:marLeft w:val="0"/>
                      <w:marRight w:val="0"/>
                      <w:marTop w:val="0"/>
                      <w:marBottom w:val="0"/>
                      <w:divBdr>
                        <w:top w:val="none" w:sz="0" w:space="0" w:color="auto"/>
                        <w:left w:val="none" w:sz="0" w:space="0" w:color="auto"/>
                        <w:bottom w:val="none" w:sz="0" w:space="0" w:color="auto"/>
                        <w:right w:val="none" w:sz="0" w:space="0" w:color="auto"/>
                      </w:divBdr>
                    </w:div>
                  </w:divsChild>
                </w:div>
                <w:div w:id="1032682930">
                  <w:marLeft w:val="0"/>
                  <w:marRight w:val="0"/>
                  <w:marTop w:val="0"/>
                  <w:marBottom w:val="0"/>
                  <w:divBdr>
                    <w:top w:val="none" w:sz="0" w:space="0" w:color="auto"/>
                    <w:left w:val="none" w:sz="0" w:space="0" w:color="auto"/>
                    <w:bottom w:val="none" w:sz="0" w:space="0" w:color="auto"/>
                    <w:right w:val="none" w:sz="0" w:space="0" w:color="auto"/>
                  </w:divBdr>
                  <w:divsChild>
                    <w:div w:id="390425799">
                      <w:marLeft w:val="0"/>
                      <w:marRight w:val="0"/>
                      <w:marTop w:val="0"/>
                      <w:marBottom w:val="0"/>
                      <w:divBdr>
                        <w:top w:val="none" w:sz="0" w:space="0" w:color="auto"/>
                        <w:left w:val="none" w:sz="0" w:space="0" w:color="auto"/>
                        <w:bottom w:val="none" w:sz="0" w:space="0" w:color="auto"/>
                        <w:right w:val="none" w:sz="0" w:space="0" w:color="auto"/>
                      </w:divBdr>
                    </w:div>
                  </w:divsChild>
                </w:div>
                <w:div w:id="532156184">
                  <w:marLeft w:val="0"/>
                  <w:marRight w:val="0"/>
                  <w:marTop w:val="0"/>
                  <w:marBottom w:val="0"/>
                  <w:divBdr>
                    <w:top w:val="none" w:sz="0" w:space="0" w:color="auto"/>
                    <w:left w:val="none" w:sz="0" w:space="0" w:color="auto"/>
                    <w:bottom w:val="none" w:sz="0" w:space="0" w:color="auto"/>
                    <w:right w:val="none" w:sz="0" w:space="0" w:color="auto"/>
                  </w:divBdr>
                  <w:divsChild>
                    <w:div w:id="939918300">
                      <w:marLeft w:val="0"/>
                      <w:marRight w:val="0"/>
                      <w:marTop w:val="0"/>
                      <w:marBottom w:val="0"/>
                      <w:divBdr>
                        <w:top w:val="none" w:sz="0" w:space="0" w:color="auto"/>
                        <w:left w:val="none" w:sz="0" w:space="0" w:color="auto"/>
                        <w:bottom w:val="none" w:sz="0" w:space="0" w:color="auto"/>
                        <w:right w:val="none" w:sz="0" w:space="0" w:color="auto"/>
                      </w:divBdr>
                    </w:div>
                  </w:divsChild>
                </w:div>
                <w:div w:id="356346008">
                  <w:marLeft w:val="0"/>
                  <w:marRight w:val="0"/>
                  <w:marTop w:val="0"/>
                  <w:marBottom w:val="0"/>
                  <w:divBdr>
                    <w:top w:val="none" w:sz="0" w:space="0" w:color="auto"/>
                    <w:left w:val="none" w:sz="0" w:space="0" w:color="auto"/>
                    <w:bottom w:val="none" w:sz="0" w:space="0" w:color="auto"/>
                    <w:right w:val="none" w:sz="0" w:space="0" w:color="auto"/>
                  </w:divBdr>
                  <w:divsChild>
                    <w:div w:id="725645141">
                      <w:marLeft w:val="0"/>
                      <w:marRight w:val="0"/>
                      <w:marTop w:val="0"/>
                      <w:marBottom w:val="0"/>
                      <w:divBdr>
                        <w:top w:val="none" w:sz="0" w:space="0" w:color="auto"/>
                        <w:left w:val="none" w:sz="0" w:space="0" w:color="auto"/>
                        <w:bottom w:val="none" w:sz="0" w:space="0" w:color="auto"/>
                        <w:right w:val="none" w:sz="0" w:space="0" w:color="auto"/>
                      </w:divBdr>
                    </w:div>
                  </w:divsChild>
                </w:div>
                <w:div w:id="97407094">
                  <w:marLeft w:val="0"/>
                  <w:marRight w:val="0"/>
                  <w:marTop w:val="0"/>
                  <w:marBottom w:val="0"/>
                  <w:divBdr>
                    <w:top w:val="none" w:sz="0" w:space="0" w:color="auto"/>
                    <w:left w:val="none" w:sz="0" w:space="0" w:color="auto"/>
                    <w:bottom w:val="none" w:sz="0" w:space="0" w:color="auto"/>
                    <w:right w:val="none" w:sz="0" w:space="0" w:color="auto"/>
                  </w:divBdr>
                  <w:divsChild>
                    <w:div w:id="1222711181">
                      <w:marLeft w:val="0"/>
                      <w:marRight w:val="0"/>
                      <w:marTop w:val="0"/>
                      <w:marBottom w:val="0"/>
                      <w:divBdr>
                        <w:top w:val="none" w:sz="0" w:space="0" w:color="auto"/>
                        <w:left w:val="none" w:sz="0" w:space="0" w:color="auto"/>
                        <w:bottom w:val="none" w:sz="0" w:space="0" w:color="auto"/>
                        <w:right w:val="none" w:sz="0" w:space="0" w:color="auto"/>
                      </w:divBdr>
                    </w:div>
                  </w:divsChild>
                </w:div>
                <w:div w:id="776145445">
                  <w:marLeft w:val="0"/>
                  <w:marRight w:val="0"/>
                  <w:marTop w:val="0"/>
                  <w:marBottom w:val="0"/>
                  <w:divBdr>
                    <w:top w:val="none" w:sz="0" w:space="0" w:color="auto"/>
                    <w:left w:val="none" w:sz="0" w:space="0" w:color="auto"/>
                    <w:bottom w:val="none" w:sz="0" w:space="0" w:color="auto"/>
                    <w:right w:val="none" w:sz="0" w:space="0" w:color="auto"/>
                  </w:divBdr>
                  <w:divsChild>
                    <w:div w:id="1436554566">
                      <w:marLeft w:val="0"/>
                      <w:marRight w:val="0"/>
                      <w:marTop w:val="0"/>
                      <w:marBottom w:val="0"/>
                      <w:divBdr>
                        <w:top w:val="none" w:sz="0" w:space="0" w:color="auto"/>
                        <w:left w:val="none" w:sz="0" w:space="0" w:color="auto"/>
                        <w:bottom w:val="none" w:sz="0" w:space="0" w:color="auto"/>
                        <w:right w:val="none" w:sz="0" w:space="0" w:color="auto"/>
                      </w:divBdr>
                    </w:div>
                  </w:divsChild>
                </w:div>
                <w:div w:id="732850636">
                  <w:marLeft w:val="0"/>
                  <w:marRight w:val="0"/>
                  <w:marTop w:val="0"/>
                  <w:marBottom w:val="0"/>
                  <w:divBdr>
                    <w:top w:val="none" w:sz="0" w:space="0" w:color="auto"/>
                    <w:left w:val="none" w:sz="0" w:space="0" w:color="auto"/>
                    <w:bottom w:val="none" w:sz="0" w:space="0" w:color="auto"/>
                    <w:right w:val="none" w:sz="0" w:space="0" w:color="auto"/>
                  </w:divBdr>
                  <w:divsChild>
                    <w:div w:id="1179463858">
                      <w:marLeft w:val="0"/>
                      <w:marRight w:val="0"/>
                      <w:marTop w:val="0"/>
                      <w:marBottom w:val="0"/>
                      <w:divBdr>
                        <w:top w:val="none" w:sz="0" w:space="0" w:color="auto"/>
                        <w:left w:val="none" w:sz="0" w:space="0" w:color="auto"/>
                        <w:bottom w:val="none" w:sz="0" w:space="0" w:color="auto"/>
                        <w:right w:val="none" w:sz="0" w:space="0" w:color="auto"/>
                      </w:divBdr>
                    </w:div>
                  </w:divsChild>
                </w:div>
                <w:div w:id="1530148392">
                  <w:marLeft w:val="0"/>
                  <w:marRight w:val="0"/>
                  <w:marTop w:val="0"/>
                  <w:marBottom w:val="0"/>
                  <w:divBdr>
                    <w:top w:val="none" w:sz="0" w:space="0" w:color="auto"/>
                    <w:left w:val="none" w:sz="0" w:space="0" w:color="auto"/>
                    <w:bottom w:val="none" w:sz="0" w:space="0" w:color="auto"/>
                    <w:right w:val="none" w:sz="0" w:space="0" w:color="auto"/>
                  </w:divBdr>
                  <w:divsChild>
                    <w:div w:id="1375543537">
                      <w:marLeft w:val="0"/>
                      <w:marRight w:val="0"/>
                      <w:marTop w:val="0"/>
                      <w:marBottom w:val="0"/>
                      <w:divBdr>
                        <w:top w:val="none" w:sz="0" w:space="0" w:color="auto"/>
                        <w:left w:val="none" w:sz="0" w:space="0" w:color="auto"/>
                        <w:bottom w:val="none" w:sz="0" w:space="0" w:color="auto"/>
                        <w:right w:val="none" w:sz="0" w:space="0" w:color="auto"/>
                      </w:divBdr>
                    </w:div>
                  </w:divsChild>
                </w:div>
                <w:div w:id="1066999890">
                  <w:marLeft w:val="0"/>
                  <w:marRight w:val="0"/>
                  <w:marTop w:val="0"/>
                  <w:marBottom w:val="0"/>
                  <w:divBdr>
                    <w:top w:val="none" w:sz="0" w:space="0" w:color="auto"/>
                    <w:left w:val="none" w:sz="0" w:space="0" w:color="auto"/>
                    <w:bottom w:val="none" w:sz="0" w:space="0" w:color="auto"/>
                    <w:right w:val="none" w:sz="0" w:space="0" w:color="auto"/>
                  </w:divBdr>
                  <w:divsChild>
                    <w:div w:id="637103196">
                      <w:marLeft w:val="0"/>
                      <w:marRight w:val="0"/>
                      <w:marTop w:val="0"/>
                      <w:marBottom w:val="0"/>
                      <w:divBdr>
                        <w:top w:val="none" w:sz="0" w:space="0" w:color="auto"/>
                        <w:left w:val="none" w:sz="0" w:space="0" w:color="auto"/>
                        <w:bottom w:val="none" w:sz="0" w:space="0" w:color="auto"/>
                        <w:right w:val="none" w:sz="0" w:space="0" w:color="auto"/>
                      </w:divBdr>
                    </w:div>
                  </w:divsChild>
                </w:div>
                <w:div w:id="1617448657">
                  <w:marLeft w:val="0"/>
                  <w:marRight w:val="0"/>
                  <w:marTop w:val="0"/>
                  <w:marBottom w:val="0"/>
                  <w:divBdr>
                    <w:top w:val="none" w:sz="0" w:space="0" w:color="auto"/>
                    <w:left w:val="none" w:sz="0" w:space="0" w:color="auto"/>
                    <w:bottom w:val="none" w:sz="0" w:space="0" w:color="auto"/>
                    <w:right w:val="none" w:sz="0" w:space="0" w:color="auto"/>
                  </w:divBdr>
                  <w:divsChild>
                    <w:div w:id="1833986201">
                      <w:marLeft w:val="0"/>
                      <w:marRight w:val="0"/>
                      <w:marTop w:val="0"/>
                      <w:marBottom w:val="0"/>
                      <w:divBdr>
                        <w:top w:val="none" w:sz="0" w:space="0" w:color="auto"/>
                        <w:left w:val="none" w:sz="0" w:space="0" w:color="auto"/>
                        <w:bottom w:val="none" w:sz="0" w:space="0" w:color="auto"/>
                        <w:right w:val="none" w:sz="0" w:space="0" w:color="auto"/>
                      </w:divBdr>
                    </w:div>
                  </w:divsChild>
                </w:div>
                <w:div w:id="20057077">
                  <w:marLeft w:val="0"/>
                  <w:marRight w:val="0"/>
                  <w:marTop w:val="0"/>
                  <w:marBottom w:val="0"/>
                  <w:divBdr>
                    <w:top w:val="none" w:sz="0" w:space="0" w:color="auto"/>
                    <w:left w:val="none" w:sz="0" w:space="0" w:color="auto"/>
                    <w:bottom w:val="none" w:sz="0" w:space="0" w:color="auto"/>
                    <w:right w:val="none" w:sz="0" w:space="0" w:color="auto"/>
                  </w:divBdr>
                  <w:divsChild>
                    <w:div w:id="1448625006">
                      <w:marLeft w:val="0"/>
                      <w:marRight w:val="0"/>
                      <w:marTop w:val="0"/>
                      <w:marBottom w:val="0"/>
                      <w:divBdr>
                        <w:top w:val="none" w:sz="0" w:space="0" w:color="auto"/>
                        <w:left w:val="none" w:sz="0" w:space="0" w:color="auto"/>
                        <w:bottom w:val="none" w:sz="0" w:space="0" w:color="auto"/>
                        <w:right w:val="none" w:sz="0" w:space="0" w:color="auto"/>
                      </w:divBdr>
                    </w:div>
                  </w:divsChild>
                </w:div>
                <w:div w:id="1388529593">
                  <w:marLeft w:val="0"/>
                  <w:marRight w:val="0"/>
                  <w:marTop w:val="0"/>
                  <w:marBottom w:val="0"/>
                  <w:divBdr>
                    <w:top w:val="none" w:sz="0" w:space="0" w:color="auto"/>
                    <w:left w:val="none" w:sz="0" w:space="0" w:color="auto"/>
                    <w:bottom w:val="none" w:sz="0" w:space="0" w:color="auto"/>
                    <w:right w:val="none" w:sz="0" w:space="0" w:color="auto"/>
                  </w:divBdr>
                  <w:divsChild>
                    <w:div w:id="13737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2196">
          <w:marLeft w:val="0"/>
          <w:marRight w:val="0"/>
          <w:marTop w:val="0"/>
          <w:marBottom w:val="0"/>
          <w:divBdr>
            <w:top w:val="none" w:sz="0" w:space="0" w:color="auto"/>
            <w:left w:val="none" w:sz="0" w:space="0" w:color="auto"/>
            <w:bottom w:val="none" w:sz="0" w:space="0" w:color="auto"/>
            <w:right w:val="none" w:sz="0" w:space="0" w:color="auto"/>
          </w:divBdr>
        </w:div>
        <w:div w:id="505020881">
          <w:marLeft w:val="0"/>
          <w:marRight w:val="0"/>
          <w:marTop w:val="0"/>
          <w:marBottom w:val="0"/>
          <w:divBdr>
            <w:top w:val="none" w:sz="0" w:space="0" w:color="auto"/>
            <w:left w:val="none" w:sz="0" w:space="0" w:color="auto"/>
            <w:bottom w:val="none" w:sz="0" w:space="0" w:color="auto"/>
            <w:right w:val="none" w:sz="0" w:space="0" w:color="auto"/>
          </w:divBdr>
        </w:div>
        <w:div w:id="683631583">
          <w:marLeft w:val="0"/>
          <w:marRight w:val="0"/>
          <w:marTop w:val="0"/>
          <w:marBottom w:val="0"/>
          <w:divBdr>
            <w:top w:val="none" w:sz="0" w:space="0" w:color="auto"/>
            <w:left w:val="none" w:sz="0" w:space="0" w:color="auto"/>
            <w:bottom w:val="none" w:sz="0" w:space="0" w:color="auto"/>
            <w:right w:val="none" w:sz="0" w:space="0" w:color="auto"/>
          </w:divBdr>
        </w:div>
        <w:div w:id="369500715">
          <w:marLeft w:val="0"/>
          <w:marRight w:val="0"/>
          <w:marTop w:val="0"/>
          <w:marBottom w:val="0"/>
          <w:divBdr>
            <w:top w:val="none" w:sz="0" w:space="0" w:color="auto"/>
            <w:left w:val="none" w:sz="0" w:space="0" w:color="auto"/>
            <w:bottom w:val="none" w:sz="0" w:space="0" w:color="auto"/>
            <w:right w:val="none" w:sz="0" w:space="0" w:color="auto"/>
          </w:divBdr>
        </w:div>
        <w:div w:id="1597597668">
          <w:marLeft w:val="0"/>
          <w:marRight w:val="0"/>
          <w:marTop w:val="0"/>
          <w:marBottom w:val="0"/>
          <w:divBdr>
            <w:top w:val="none" w:sz="0" w:space="0" w:color="auto"/>
            <w:left w:val="none" w:sz="0" w:space="0" w:color="auto"/>
            <w:bottom w:val="none" w:sz="0" w:space="0" w:color="auto"/>
            <w:right w:val="none" w:sz="0" w:space="0" w:color="auto"/>
          </w:divBdr>
        </w:div>
      </w:divsChild>
    </w:div>
    <w:div w:id="768500430">
      <w:bodyDiv w:val="1"/>
      <w:marLeft w:val="0"/>
      <w:marRight w:val="0"/>
      <w:marTop w:val="0"/>
      <w:marBottom w:val="0"/>
      <w:divBdr>
        <w:top w:val="none" w:sz="0" w:space="0" w:color="auto"/>
        <w:left w:val="none" w:sz="0" w:space="0" w:color="auto"/>
        <w:bottom w:val="none" w:sz="0" w:space="0" w:color="auto"/>
        <w:right w:val="none" w:sz="0" w:space="0" w:color="auto"/>
      </w:divBdr>
      <w:divsChild>
        <w:div w:id="1917012301">
          <w:marLeft w:val="0"/>
          <w:marRight w:val="0"/>
          <w:marTop w:val="0"/>
          <w:marBottom w:val="0"/>
          <w:divBdr>
            <w:top w:val="none" w:sz="0" w:space="0" w:color="auto"/>
            <w:left w:val="none" w:sz="0" w:space="0" w:color="auto"/>
            <w:bottom w:val="none" w:sz="0" w:space="0" w:color="auto"/>
            <w:right w:val="none" w:sz="0" w:space="0" w:color="auto"/>
          </w:divBdr>
        </w:div>
        <w:div w:id="674767310">
          <w:marLeft w:val="0"/>
          <w:marRight w:val="0"/>
          <w:marTop w:val="0"/>
          <w:marBottom w:val="0"/>
          <w:divBdr>
            <w:top w:val="none" w:sz="0" w:space="0" w:color="auto"/>
            <w:left w:val="none" w:sz="0" w:space="0" w:color="auto"/>
            <w:bottom w:val="none" w:sz="0" w:space="0" w:color="auto"/>
            <w:right w:val="none" w:sz="0" w:space="0" w:color="auto"/>
          </w:divBdr>
        </w:div>
        <w:div w:id="1888058326">
          <w:marLeft w:val="0"/>
          <w:marRight w:val="0"/>
          <w:marTop w:val="0"/>
          <w:marBottom w:val="0"/>
          <w:divBdr>
            <w:top w:val="none" w:sz="0" w:space="0" w:color="auto"/>
            <w:left w:val="none" w:sz="0" w:space="0" w:color="auto"/>
            <w:bottom w:val="none" w:sz="0" w:space="0" w:color="auto"/>
            <w:right w:val="none" w:sz="0" w:space="0" w:color="auto"/>
          </w:divBdr>
        </w:div>
        <w:div w:id="1530948100">
          <w:marLeft w:val="0"/>
          <w:marRight w:val="0"/>
          <w:marTop w:val="0"/>
          <w:marBottom w:val="0"/>
          <w:divBdr>
            <w:top w:val="none" w:sz="0" w:space="0" w:color="auto"/>
            <w:left w:val="none" w:sz="0" w:space="0" w:color="auto"/>
            <w:bottom w:val="none" w:sz="0" w:space="0" w:color="auto"/>
            <w:right w:val="none" w:sz="0" w:space="0" w:color="auto"/>
          </w:divBdr>
        </w:div>
        <w:div w:id="1039670590">
          <w:marLeft w:val="0"/>
          <w:marRight w:val="0"/>
          <w:marTop w:val="0"/>
          <w:marBottom w:val="0"/>
          <w:divBdr>
            <w:top w:val="none" w:sz="0" w:space="0" w:color="auto"/>
            <w:left w:val="none" w:sz="0" w:space="0" w:color="auto"/>
            <w:bottom w:val="none" w:sz="0" w:space="0" w:color="auto"/>
            <w:right w:val="none" w:sz="0" w:space="0" w:color="auto"/>
          </w:divBdr>
        </w:div>
        <w:div w:id="1688946702">
          <w:marLeft w:val="0"/>
          <w:marRight w:val="0"/>
          <w:marTop w:val="0"/>
          <w:marBottom w:val="0"/>
          <w:divBdr>
            <w:top w:val="none" w:sz="0" w:space="0" w:color="auto"/>
            <w:left w:val="none" w:sz="0" w:space="0" w:color="auto"/>
            <w:bottom w:val="none" w:sz="0" w:space="0" w:color="auto"/>
            <w:right w:val="none" w:sz="0" w:space="0" w:color="auto"/>
          </w:divBdr>
        </w:div>
        <w:div w:id="1901476329">
          <w:marLeft w:val="0"/>
          <w:marRight w:val="0"/>
          <w:marTop w:val="0"/>
          <w:marBottom w:val="0"/>
          <w:divBdr>
            <w:top w:val="none" w:sz="0" w:space="0" w:color="auto"/>
            <w:left w:val="none" w:sz="0" w:space="0" w:color="auto"/>
            <w:bottom w:val="none" w:sz="0" w:space="0" w:color="auto"/>
            <w:right w:val="none" w:sz="0" w:space="0" w:color="auto"/>
          </w:divBdr>
        </w:div>
      </w:divsChild>
    </w:div>
    <w:div w:id="822892732">
      <w:bodyDiv w:val="1"/>
      <w:marLeft w:val="0"/>
      <w:marRight w:val="0"/>
      <w:marTop w:val="0"/>
      <w:marBottom w:val="0"/>
      <w:divBdr>
        <w:top w:val="none" w:sz="0" w:space="0" w:color="auto"/>
        <w:left w:val="none" w:sz="0" w:space="0" w:color="auto"/>
        <w:bottom w:val="none" w:sz="0" w:space="0" w:color="auto"/>
        <w:right w:val="none" w:sz="0" w:space="0" w:color="auto"/>
      </w:divBdr>
    </w:div>
    <w:div w:id="82597959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6718285">
      <w:bodyDiv w:val="1"/>
      <w:marLeft w:val="0"/>
      <w:marRight w:val="0"/>
      <w:marTop w:val="0"/>
      <w:marBottom w:val="0"/>
      <w:divBdr>
        <w:top w:val="none" w:sz="0" w:space="0" w:color="auto"/>
        <w:left w:val="none" w:sz="0" w:space="0" w:color="auto"/>
        <w:bottom w:val="none" w:sz="0" w:space="0" w:color="auto"/>
        <w:right w:val="none" w:sz="0" w:space="0" w:color="auto"/>
      </w:divBdr>
      <w:divsChild>
        <w:div w:id="1527257904">
          <w:marLeft w:val="0"/>
          <w:marRight w:val="0"/>
          <w:marTop w:val="0"/>
          <w:marBottom w:val="0"/>
          <w:divBdr>
            <w:top w:val="none" w:sz="0" w:space="0" w:color="auto"/>
            <w:left w:val="none" w:sz="0" w:space="0" w:color="auto"/>
            <w:bottom w:val="none" w:sz="0" w:space="0" w:color="auto"/>
            <w:right w:val="none" w:sz="0" w:space="0" w:color="auto"/>
          </w:divBdr>
          <w:divsChild>
            <w:div w:id="2021855936">
              <w:marLeft w:val="0"/>
              <w:marRight w:val="0"/>
              <w:marTop w:val="0"/>
              <w:marBottom w:val="0"/>
              <w:divBdr>
                <w:top w:val="none" w:sz="0" w:space="0" w:color="auto"/>
                <w:left w:val="none" w:sz="0" w:space="0" w:color="auto"/>
                <w:bottom w:val="none" w:sz="0" w:space="0" w:color="auto"/>
                <w:right w:val="none" w:sz="0" w:space="0" w:color="auto"/>
              </w:divBdr>
            </w:div>
          </w:divsChild>
        </w:div>
        <w:div w:id="823086405">
          <w:marLeft w:val="0"/>
          <w:marRight w:val="0"/>
          <w:marTop w:val="0"/>
          <w:marBottom w:val="0"/>
          <w:divBdr>
            <w:top w:val="none" w:sz="0" w:space="0" w:color="auto"/>
            <w:left w:val="none" w:sz="0" w:space="0" w:color="auto"/>
            <w:bottom w:val="none" w:sz="0" w:space="0" w:color="auto"/>
            <w:right w:val="none" w:sz="0" w:space="0" w:color="auto"/>
          </w:divBdr>
          <w:divsChild>
            <w:div w:id="561674446">
              <w:marLeft w:val="0"/>
              <w:marRight w:val="0"/>
              <w:marTop w:val="0"/>
              <w:marBottom w:val="0"/>
              <w:divBdr>
                <w:top w:val="none" w:sz="0" w:space="0" w:color="auto"/>
                <w:left w:val="none" w:sz="0" w:space="0" w:color="auto"/>
                <w:bottom w:val="none" w:sz="0" w:space="0" w:color="auto"/>
                <w:right w:val="none" w:sz="0" w:space="0" w:color="auto"/>
              </w:divBdr>
            </w:div>
          </w:divsChild>
        </w:div>
        <w:div w:id="1207765887">
          <w:marLeft w:val="0"/>
          <w:marRight w:val="0"/>
          <w:marTop w:val="0"/>
          <w:marBottom w:val="0"/>
          <w:divBdr>
            <w:top w:val="none" w:sz="0" w:space="0" w:color="auto"/>
            <w:left w:val="none" w:sz="0" w:space="0" w:color="auto"/>
            <w:bottom w:val="none" w:sz="0" w:space="0" w:color="auto"/>
            <w:right w:val="none" w:sz="0" w:space="0" w:color="auto"/>
          </w:divBdr>
          <w:divsChild>
            <w:div w:id="2100327634">
              <w:marLeft w:val="0"/>
              <w:marRight w:val="0"/>
              <w:marTop w:val="0"/>
              <w:marBottom w:val="0"/>
              <w:divBdr>
                <w:top w:val="none" w:sz="0" w:space="0" w:color="auto"/>
                <w:left w:val="none" w:sz="0" w:space="0" w:color="auto"/>
                <w:bottom w:val="none" w:sz="0" w:space="0" w:color="auto"/>
                <w:right w:val="none" w:sz="0" w:space="0" w:color="auto"/>
              </w:divBdr>
            </w:div>
          </w:divsChild>
        </w:div>
        <w:div w:id="1997950408">
          <w:marLeft w:val="0"/>
          <w:marRight w:val="0"/>
          <w:marTop w:val="0"/>
          <w:marBottom w:val="0"/>
          <w:divBdr>
            <w:top w:val="none" w:sz="0" w:space="0" w:color="auto"/>
            <w:left w:val="none" w:sz="0" w:space="0" w:color="auto"/>
            <w:bottom w:val="none" w:sz="0" w:space="0" w:color="auto"/>
            <w:right w:val="none" w:sz="0" w:space="0" w:color="auto"/>
          </w:divBdr>
          <w:divsChild>
            <w:div w:id="2470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4880">
      <w:bodyDiv w:val="1"/>
      <w:marLeft w:val="0"/>
      <w:marRight w:val="0"/>
      <w:marTop w:val="0"/>
      <w:marBottom w:val="0"/>
      <w:divBdr>
        <w:top w:val="none" w:sz="0" w:space="0" w:color="auto"/>
        <w:left w:val="none" w:sz="0" w:space="0" w:color="auto"/>
        <w:bottom w:val="none" w:sz="0" w:space="0" w:color="auto"/>
        <w:right w:val="none" w:sz="0" w:space="0" w:color="auto"/>
      </w:divBdr>
    </w:div>
    <w:div w:id="1059863355">
      <w:bodyDiv w:val="1"/>
      <w:marLeft w:val="0"/>
      <w:marRight w:val="0"/>
      <w:marTop w:val="0"/>
      <w:marBottom w:val="0"/>
      <w:divBdr>
        <w:top w:val="none" w:sz="0" w:space="0" w:color="auto"/>
        <w:left w:val="none" w:sz="0" w:space="0" w:color="auto"/>
        <w:bottom w:val="none" w:sz="0" w:space="0" w:color="auto"/>
        <w:right w:val="none" w:sz="0" w:space="0" w:color="auto"/>
      </w:divBdr>
    </w:div>
    <w:div w:id="1101530131">
      <w:bodyDiv w:val="1"/>
      <w:marLeft w:val="0"/>
      <w:marRight w:val="0"/>
      <w:marTop w:val="0"/>
      <w:marBottom w:val="0"/>
      <w:divBdr>
        <w:top w:val="none" w:sz="0" w:space="0" w:color="auto"/>
        <w:left w:val="none" w:sz="0" w:space="0" w:color="auto"/>
        <w:bottom w:val="none" w:sz="0" w:space="0" w:color="auto"/>
        <w:right w:val="none" w:sz="0" w:space="0" w:color="auto"/>
      </w:divBdr>
    </w:div>
    <w:div w:id="1169976650">
      <w:bodyDiv w:val="1"/>
      <w:marLeft w:val="0"/>
      <w:marRight w:val="0"/>
      <w:marTop w:val="0"/>
      <w:marBottom w:val="0"/>
      <w:divBdr>
        <w:top w:val="none" w:sz="0" w:space="0" w:color="auto"/>
        <w:left w:val="none" w:sz="0" w:space="0" w:color="auto"/>
        <w:bottom w:val="none" w:sz="0" w:space="0" w:color="auto"/>
        <w:right w:val="none" w:sz="0" w:space="0" w:color="auto"/>
      </w:divBdr>
      <w:divsChild>
        <w:div w:id="350691955">
          <w:marLeft w:val="0"/>
          <w:marRight w:val="0"/>
          <w:marTop w:val="0"/>
          <w:marBottom w:val="0"/>
          <w:divBdr>
            <w:top w:val="none" w:sz="0" w:space="0" w:color="auto"/>
            <w:left w:val="none" w:sz="0" w:space="0" w:color="auto"/>
            <w:bottom w:val="none" w:sz="0" w:space="0" w:color="auto"/>
            <w:right w:val="none" w:sz="0" w:space="0" w:color="auto"/>
          </w:divBdr>
        </w:div>
        <w:div w:id="809597954">
          <w:marLeft w:val="0"/>
          <w:marRight w:val="0"/>
          <w:marTop w:val="0"/>
          <w:marBottom w:val="0"/>
          <w:divBdr>
            <w:top w:val="none" w:sz="0" w:space="0" w:color="auto"/>
            <w:left w:val="none" w:sz="0" w:space="0" w:color="auto"/>
            <w:bottom w:val="none" w:sz="0" w:space="0" w:color="auto"/>
            <w:right w:val="none" w:sz="0" w:space="0" w:color="auto"/>
          </w:divBdr>
        </w:div>
        <w:div w:id="293171329">
          <w:marLeft w:val="0"/>
          <w:marRight w:val="0"/>
          <w:marTop w:val="0"/>
          <w:marBottom w:val="0"/>
          <w:divBdr>
            <w:top w:val="none" w:sz="0" w:space="0" w:color="auto"/>
            <w:left w:val="none" w:sz="0" w:space="0" w:color="auto"/>
            <w:bottom w:val="none" w:sz="0" w:space="0" w:color="auto"/>
            <w:right w:val="none" w:sz="0" w:space="0" w:color="auto"/>
          </w:divBdr>
        </w:div>
        <w:div w:id="1361324754">
          <w:marLeft w:val="0"/>
          <w:marRight w:val="0"/>
          <w:marTop w:val="0"/>
          <w:marBottom w:val="0"/>
          <w:divBdr>
            <w:top w:val="none" w:sz="0" w:space="0" w:color="auto"/>
            <w:left w:val="none" w:sz="0" w:space="0" w:color="auto"/>
            <w:bottom w:val="none" w:sz="0" w:space="0" w:color="auto"/>
            <w:right w:val="none" w:sz="0" w:space="0" w:color="auto"/>
          </w:divBdr>
          <w:divsChild>
            <w:div w:id="773864678">
              <w:marLeft w:val="0"/>
              <w:marRight w:val="0"/>
              <w:marTop w:val="30"/>
              <w:marBottom w:val="30"/>
              <w:divBdr>
                <w:top w:val="none" w:sz="0" w:space="0" w:color="auto"/>
                <w:left w:val="none" w:sz="0" w:space="0" w:color="auto"/>
                <w:bottom w:val="none" w:sz="0" w:space="0" w:color="auto"/>
                <w:right w:val="none" w:sz="0" w:space="0" w:color="auto"/>
              </w:divBdr>
              <w:divsChild>
                <w:div w:id="1230916881">
                  <w:marLeft w:val="0"/>
                  <w:marRight w:val="0"/>
                  <w:marTop w:val="0"/>
                  <w:marBottom w:val="0"/>
                  <w:divBdr>
                    <w:top w:val="none" w:sz="0" w:space="0" w:color="auto"/>
                    <w:left w:val="none" w:sz="0" w:space="0" w:color="auto"/>
                    <w:bottom w:val="none" w:sz="0" w:space="0" w:color="auto"/>
                    <w:right w:val="none" w:sz="0" w:space="0" w:color="auto"/>
                  </w:divBdr>
                  <w:divsChild>
                    <w:div w:id="1053116653">
                      <w:marLeft w:val="0"/>
                      <w:marRight w:val="0"/>
                      <w:marTop w:val="0"/>
                      <w:marBottom w:val="0"/>
                      <w:divBdr>
                        <w:top w:val="none" w:sz="0" w:space="0" w:color="auto"/>
                        <w:left w:val="none" w:sz="0" w:space="0" w:color="auto"/>
                        <w:bottom w:val="none" w:sz="0" w:space="0" w:color="auto"/>
                        <w:right w:val="none" w:sz="0" w:space="0" w:color="auto"/>
                      </w:divBdr>
                    </w:div>
                  </w:divsChild>
                </w:div>
                <w:div w:id="1869365276">
                  <w:marLeft w:val="0"/>
                  <w:marRight w:val="0"/>
                  <w:marTop w:val="0"/>
                  <w:marBottom w:val="0"/>
                  <w:divBdr>
                    <w:top w:val="none" w:sz="0" w:space="0" w:color="auto"/>
                    <w:left w:val="none" w:sz="0" w:space="0" w:color="auto"/>
                    <w:bottom w:val="none" w:sz="0" w:space="0" w:color="auto"/>
                    <w:right w:val="none" w:sz="0" w:space="0" w:color="auto"/>
                  </w:divBdr>
                  <w:divsChild>
                    <w:div w:id="761805681">
                      <w:marLeft w:val="0"/>
                      <w:marRight w:val="0"/>
                      <w:marTop w:val="0"/>
                      <w:marBottom w:val="0"/>
                      <w:divBdr>
                        <w:top w:val="none" w:sz="0" w:space="0" w:color="auto"/>
                        <w:left w:val="none" w:sz="0" w:space="0" w:color="auto"/>
                        <w:bottom w:val="none" w:sz="0" w:space="0" w:color="auto"/>
                        <w:right w:val="none" w:sz="0" w:space="0" w:color="auto"/>
                      </w:divBdr>
                    </w:div>
                  </w:divsChild>
                </w:div>
                <w:div w:id="1842159108">
                  <w:marLeft w:val="0"/>
                  <w:marRight w:val="0"/>
                  <w:marTop w:val="0"/>
                  <w:marBottom w:val="0"/>
                  <w:divBdr>
                    <w:top w:val="none" w:sz="0" w:space="0" w:color="auto"/>
                    <w:left w:val="none" w:sz="0" w:space="0" w:color="auto"/>
                    <w:bottom w:val="none" w:sz="0" w:space="0" w:color="auto"/>
                    <w:right w:val="none" w:sz="0" w:space="0" w:color="auto"/>
                  </w:divBdr>
                  <w:divsChild>
                    <w:div w:id="20713202">
                      <w:marLeft w:val="0"/>
                      <w:marRight w:val="0"/>
                      <w:marTop w:val="0"/>
                      <w:marBottom w:val="0"/>
                      <w:divBdr>
                        <w:top w:val="none" w:sz="0" w:space="0" w:color="auto"/>
                        <w:left w:val="none" w:sz="0" w:space="0" w:color="auto"/>
                        <w:bottom w:val="none" w:sz="0" w:space="0" w:color="auto"/>
                        <w:right w:val="none" w:sz="0" w:space="0" w:color="auto"/>
                      </w:divBdr>
                    </w:div>
                  </w:divsChild>
                </w:div>
                <w:div w:id="642734356">
                  <w:marLeft w:val="0"/>
                  <w:marRight w:val="0"/>
                  <w:marTop w:val="0"/>
                  <w:marBottom w:val="0"/>
                  <w:divBdr>
                    <w:top w:val="none" w:sz="0" w:space="0" w:color="auto"/>
                    <w:left w:val="none" w:sz="0" w:space="0" w:color="auto"/>
                    <w:bottom w:val="none" w:sz="0" w:space="0" w:color="auto"/>
                    <w:right w:val="none" w:sz="0" w:space="0" w:color="auto"/>
                  </w:divBdr>
                  <w:divsChild>
                    <w:div w:id="384523748">
                      <w:marLeft w:val="0"/>
                      <w:marRight w:val="0"/>
                      <w:marTop w:val="0"/>
                      <w:marBottom w:val="0"/>
                      <w:divBdr>
                        <w:top w:val="none" w:sz="0" w:space="0" w:color="auto"/>
                        <w:left w:val="none" w:sz="0" w:space="0" w:color="auto"/>
                        <w:bottom w:val="none" w:sz="0" w:space="0" w:color="auto"/>
                        <w:right w:val="none" w:sz="0" w:space="0" w:color="auto"/>
                      </w:divBdr>
                    </w:div>
                    <w:div w:id="713313240">
                      <w:marLeft w:val="0"/>
                      <w:marRight w:val="0"/>
                      <w:marTop w:val="0"/>
                      <w:marBottom w:val="0"/>
                      <w:divBdr>
                        <w:top w:val="none" w:sz="0" w:space="0" w:color="auto"/>
                        <w:left w:val="none" w:sz="0" w:space="0" w:color="auto"/>
                        <w:bottom w:val="none" w:sz="0" w:space="0" w:color="auto"/>
                        <w:right w:val="none" w:sz="0" w:space="0" w:color="auto"/>
                      </w:divBdr>
                    </w:div>
                    <w:div w:id="1236892541">
                      <w:marLeft w:val="0"/>
                      <w:marRight w:val="0"/>
                      <w:marTop w:val="0"/>
                      <w:marBottom w:val="0"/>
                      <w:divBdr>
                        <w:top w:val="none" w:sz="0" w:space="0" w:color="auto"/>
                        <w:left w:val="none" w:sz="0" w:space="0" w:color="auto"/>
                        <w:bottom w:val="none" w:sz="0" w:space="0" w:color="auto"/>
                        <w:right w:val="none" w:sz="0" w:space="0" w:color="auto"/>
                      </w:divBdr>
                    </w:div>
                    <w:div w:id="438725467">
                      <w:marLeft w:val="0"/>
                      <w:marRight w:val="0"/>
                      <w:marTop w:val="0"/>
                      <w:marBottom w:val="0"/>
                      <w:divBdr>
                        <w:top w:val="none" w:sz="0" w:space="0" w:color="auto"/>
                        <w:left w:val="none" w:sz="0" w:space="0" w:color="auto"/>
                        <w:bottom w:val="none" w:sz="0" w:space="0" w:color="auto"/>
                        <w:right w:val="none" w:sz="0" w:space="0" w:color="auto"/>
                      </w:divBdr>
                    </w:div>
                  </w:divsChild>
                </w:div>
                <w:div w:id="1799839987">
                  <w:marLeft w:val="0"/>
                  <w:marRight w:val="0"/>
                  <w:marTop w:val="0"/>
                  <w:marBottom w:val="0"/>
                  <w:divBdr>
                    <w:top w:val="none" w:sz="0" w:space="0" w:color="auto"/>
                    <w:left w:val="none" w:sz="0" w:space="0" w:color="auto"/>
                    <w:bottom w:val="none" w:sz="0" w:space="0" w:color="auto"/>
                    <w:right w:val="none" w:sz="0" w:space="0" w:color="auto"/>
                  </w:divBdr>
                  <w:divsChild>
                    <w:div w:id="2112041690">
                      <w:marLeft w:val="0"/>
                      <w:marRight w:val="0"/>
                      <w:marTop w:val="0"/>
                      <w:marBottom w:val="0"/>
                      <w:divBdr>
                        <w:top w:val="none" w:sz="0" w:space="0" w:color="auto"/>
                        <w:left w:val="none" w:sz="0" w:space="0" w:color="auto"/>
                        <w:bottom w:val="none" w:sz="0" w:space="0" w:color="auto"/>
                        <w:right w:val="none" w:sz="0" w:space="0" w:color="auto"/>
                      </w:divBdr>
                    </w:div>
                  </w:divsChild>
                </w:div>
                <w:div w:id="411853370">
                  <w:marLeft w:val="0"/>
                  <w:marRight w:val="0"/>
                  <w:marTop w:val="0"/>
                  <w:marBottom w:val="0"/>
                  <w:divBdr>
                    <w:top w:val="none" w:sz="0" w:space="0" w:color="auto"/>
                    <w:left w:val="none" w:sz="0" w:space="0" w:color="auto"/>
                    <w:bottom w:val="none" w:sz="0" w:space="0" w:color="auto"/>
                    <w:right w:val="none" w:sz="0" w:space="0" w:color="auto"/>
                  </w:divBdr>
                  <w:divsChild>
                    <w:div w:id="1577518320">
                      <w:marLeft w:val="0"/>
                      <w:marRight w:val="0"/>
                      <w:marTop w:val="0"/>
                      <w:marBottom w:val="0"/>
                      <w:divBdr>
                        <w:top w:val="none" w:sz="0" w:space="0" w:color="auto"/>
                        <w:left w:val="none" w:sz="0" w:space="0" w:color="auto"/>
                        <w:bottom w:val="none" w:sz="0" w:space="0" w:color="auto"/>
                        <w:right w:val="none" w:sz="0" w:space="0" w:color="auto"/>
                      </w:divBdr>
                    </w:div>
                    <w:div w:id="1935554775">
                      <w:marLeft w:val="0"/>
                      <w:marRight w:val="0"/>
                      <w:marTop w:val="0"/>
                      <w:marBottom w:val="0"/>
                      <w:divBdr>
                        <w:top w:val="none" w:sz="0" w:space="0" w:color="auto"/>
                        <w:left w:val="none" w:sz="0" w:space="0" w:color="auto"/>
                        <w:bottom w:val="none" w:sz="0" w:space="0" w:color="auto"/>
                        <w:right w:val="none" w:sz="0" w:space="0" w:color="auto"/>
                      </w:divBdr>
                    </w:div>
                    <w:div w:id="877165397">
                      <w:marLeft w:val="0"/>
                      <w:marRight w:val="0"/>
                      <w:marTop w:val="0"/>
                      <w:marBottom w:val="0"/>
                      <w:divBdr>
                        <w:top w:val="none" w:sz="0" w:space="0" w:color="auto"/>
                        <w:left w:val="none" w:sz="0" w:space="0" w:color="auto"/>
                        <w:bottom w:val="none" w:sz="0" w:space="0" w:color="auto"/>
                        <w:right w:val="none" w:sz="0" w:space="0" w:color="auto"/>
                      </w:divBdr>
                    </w:div>
                    <w:div w:id="3946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0944357">
      <w:bodyDiv w:val="1"/>
      <w:marLeft w:val="0"/>
      <w:marRight w:val="0"/>
      <w:marTop w:val="0"/>
      <w:marBottom w:val="0"/>
      <w:divBdr>
        <w:top w:val="none" w:sz="0" w:space="0" w:color="auto"/>
        <w:left w:val="none" w:sz="0" w:space="0" w:color="auto"/>
        <w:bottom w:val="none" w:sz="0" w:space="0" w:color="auto"/>
        <w:right w:val="none" w:sz="0" w:space="0" w:color="auto"/>
      </w:divBdr>
      <w:divsChild>
        <w:div w:id="2041587367">
          <w:marLeft w:val="0"/>
          <w:marRight w:val="0"/>
          <w:marTop w:val="0"/>
          <w:marBottom w:val="0"/>
          <w:divBdr>
            <w:top w:val="none" w:sz="0" w:space="0" w:color="auto"/>
            <w:left w:val="none" w:sz="0" w:space="0" w:color="auto"/>
            <w:bottom w:val="none" w:sz="0" w:space="0" w:color="auto"/>
            <w:right w:val="none" w:sz="0" w:space="0" w:color="auto"/>
          </w:divBdr>
        </w:div>
        <w:div w:id="1278023796">
          <w:marLeft w:val="0"/>
          <w:marRight w:val="0"/>
          <w:marTop w:val="0"/>
          <w:marBottom w:val="0"/>
          <w:divBdr>
            <w:top w:val="none" w:sz="0" w:space="0" w:color="auto"/>
            <w:left w:val="none" w:sz="0" w:space="0" w:color="auto"/>
            <w:bottom w:val="none" w:sz="0" w:space="0" w:color="auto"/>
            <w:right w:val="none" w:sz="0" w:space="0" w:color="auto"/>
          </w:divBdr>
          <w:divsChild>
            <w:div w:id="2076199156">
              <w:marLeft w:val="-75"/>
              <w:marRight w:val="0"/>
              <w:marTop w:val="30"/>
              <w:marBottom w:val="30"/>
              <w:divBdr>
                <w:top w:val="none" w:sz="0" w:space="0" w:color="auto"/>
                <w:left w:val="none" w:sz="0" w:space="0" w:color="auto"/>
                <w:bottom w:val="none" w:sz="0" w:space="0" w:color="auto"/>
                <w:right w:val="none" w:sz="0" w:space="0" w:color="auto"/>
              </w:divBdr>
              <w:divsChild>
                <w:div w:id="140200799">
                  <w:marLeft w:val="0"/>
                  <w:marRight w:val="0"/>
                  <w:marTop w:val="0"/>
                  <w:marBottom w:val="0"/>
                  <w:divBdr>
                    <w:top w:val="none" w:sz="0" w:space="0" w:color="auto"/>
                    <w:left w:val="none" w:sz="0" w:space="0" w:color="auto"/>
                    <w:bottom w:val="none" w:sz="0" w:space="0" w:color="auto"/>
                    <w:right w:val="none" w:sz="0" w:space="0" w:color="auto"/>
                  </w:divBdr>
                  <w:divsChild>
                    <w:div w:id="2022776354">
                      <w:marLeft w:val="0"/>
                      <w:marRight w:val="0"/>
                      <w:marTop w:val="0"/>
                      <w:marBottom w:val="0"/>
                      <w:divBdr>
                        <w:top w:val="none" w:sz="0" w:space="0" w:color="auto"/>
                        <w:left w:val="none" w:sz="0" w:space="0" w:color="auto"/>
                        <w:bottom w:val="none" w:sz="0" w:space="0" w:color="auto"/>
                        <w:right w:val="none" w:sz="0" w:space="0" w:color="auto"/>
                      </w:divBdr>
                    </w:div>
                  </w:divsChild>
                </w:div>
                <w:div w:id="578249555">
                  <w:marLeft w:val="0"/>
                  <w:marRight w:val="0"/>
                  <w:marTop w:val="0"/>
                  <w:marBottom w:val="0"/>
                  <w:divBdr>
                    <w:top w:val="none" w:sz="0" w:space="0" w:color="auto"/>
                    <w:left w:val="none" w:sz="0" w:space="0" w:color="auto"/>
                    <w:bottom w:val="none" w:sz="0" w:space="0" w:color="auto"/>
                    <w:right w:val="none" w:sz="0" w:space="0" w:color="auto"/>
                  </w:divBdr>
                  <w:divsChild>
                    <w:div w:id="494342790">
                      <w:marLeft w:val="0"/>
                      <w:marRight w:val="0"/>
                      <w:marTop w:val="0"/>
                      <w:marBottom w:val="0"/>
                      <w:divBdr>
                        <w:top w:val="none" w:sz="0" w:space="0" w:color="auto"/>
                        <w:left w:val="none" w:sz="0" w:space="0" w:color="auto"/>
                        <w:bottom w:val="none" w:sz="0" w:space="0" w:color="auto"/>
                        <w:right w:val="none" w:sz="0" w:space="0" w:color="auto"/>
                      </w:divBdr>
                    </w:div>
                  </w:divsChild>
                </w:div>
                <w:div w:id="254944539">
                  <w:marLeft w:val="0"/>
                  <w:marRight w:val="0"/>
                  <w:marTop w:val="0"/>
                  <w:marBottom w:val="0"/>
                  <w:divBdr>
                    <w:top w:val="none" w:sz="0" w:space="0" w:color="auto"/>
                    <w:left w:val="none" w:sz="0" w:space="0" w:color="auto"/>
                    <w:bottom w:val="none" w:sz="0" w:space="0" w:color="auto"/>
                    <w:right w:val="none" w:sz="0" w:space="0" w:color="auto"/>
                  </w:divBdr>
                  <w:divsChild>
                    <w:div w:id="46147714">
                      <w:marLeft w:val="0"/>
                      <w:marRight w:val="0"/>
                      <w:marTop w:val="0"/>
                      <w:marBottom w:val="0"/>
                      <w:divBdr>
                        <w:top w:val="none" w:sz="0" w:space="0" w:color="auto"/>
                        <w:left w:val="none" w:sz="0" w:space="0" w:color="auto"/>
                        <w:bottom w:val="none" w:sz="0" w:space="0" w:color="auto"/>
                        <w:right w:val="none" w:sz="0" w:space="0" w:color="auto"/>
                      </w:divBdr>
                    </w:div>
                  </w:divsChild>
                </w:div>
                <w:div w:id="847522854">
                  <w:marLeft w:val="0"/>
                  <w:marRight w:val="0"/>
                  <w:marTop w:val="0"/>
                  <w:marBottom w:val="0"/>
                  <w:divBdr>
                    <w:top w:val="none" w:sz="0" w:space="0" w:color="auto"/>
                    <w:left w:val="none" w:sz="0" w:space="0" w:color="auto"/>
                    <w:bottom w:val="none" w:sz="0" w:space="0" w:color="auto"/>
                    <w:right w:val="none" w:sz="0" w:space="0" w:color="auto"/>
                  </w:divBdr>
                  <w:divsChild>
                    <w:div w:id="175579781">
                      <w:marLeft w:val="0"/>
                      <w:marRight w:val="0"/>
                      <w:marTop w:val="0"/>
                      <w:marBottom w:val="0"/>
                      <w:divBdr>
                        <w:top w:val="none" w:sz="0" w:space="0" w:color="auto"/>
                        <w:left w:val="none" w:sz="0" w:space="0" w:color="auto"/>
                        <w:bottom w:val="none" w:sz="0" w:space="0" w:color="auto"/>
                        <w:right w:val="none" w:sz="0" w:space="0" w:color="auto"/>
                      </w:divBdr>
                    </w:div>
                    <w:div w:id="1792703138">
                      <w:marLeft w:val="0"/>
                      <w:marRight w:val="0"/>
                      <w:marTop w:val="0"/>
                      <w:marBottom w:val="0"/>
                      <w:divBdr>
                        <w:top w:val="none" w:sz="0" w:space="0" w:color="auto"/>
                        <w:left w:val="none" w:sz="0" w:space="0" w:color="auto"/>
                        <w:bottom w:val="none" w:sz="0" w:space="0" w:color="auto"/>
                        <w:right w:val="none" w:sz="0" w:space="0" w:color="auto"/>
                      </w:divBdr>
                    </w:div>
                  </w:divsChild>
                </w:div>
                <w:div w:id="1242328427">
                  <w:marLeft w:val="0"/>
                  <w:marRight w:val="0"/>
                  <w:marTop w:val="0"/>
                  <w:marBottom w:val="0"/>
                  <w:divBdr>
                    <w:top w:val="none" w:sz="0" w:space="0" w:color="auto"/>
                    <w:left w:val="none" w:sz="0" w:space="0" w:color="auto"/>
                    <w:bottom w:val="none" w:sz="0" w:space="0" w:color="auto"/>
                    <w:right w:val="none" w:sz="0" w:space="0" w:color="auto"/>
                  </w:divBdr>
                  <w:divsChild>
                    <w:div w:id="1344740626">
                      <w:marLeft w:val="0"/>
                      <w:marRight w:val="0"/>
                      <w:marTop w:val="0"/>
                      <w:marBottom w:val="0"/>
                      <w:divBdr>
                        <w:top w:val="none" w:sz="0" w:space="0" w:color="auto"/>
                        <w:left w:val="none" w:sz="0" w:space="0" w:color="auto"/>
                        <w:bottom w:val="none" w:sz="0" w:space="0" w:color="auto"/>
                        <w:right w:val="none" w:sz="0" w:space="0" w:color="auto"/>
                      </w:divBdr>
                    </w:div>
                    <w:div w:id="1237474029">
                      <w:marLeft w:val="0"/>
                      <w:marRight w:val="0"/>
                      <w:marTop w:val="0"/>
                      <w:marBottom w:val="0"/>
                      <w:divBdr>
                        <w:top w:val="none" w:sz="0" w:space="0" w:color="auto"/>
                        <w:left w:val="none" w:sz="0" w:space="0" w:color="auto"/>
                        <w:bottom w:val="none" w:sz="0" w:space="0" w:color="auto"/>
                        <w:right w:val="none" w:sz="0" w:space="0" w:color="auto"/>
                      </w:divBdr>
                    </w:div>
                  </w:divsChild>
                </w:div>
                <w:div w:id="1157498176">
                  <w:marLeft w:val="0"/>
                  <w:marRight w:val="0"/>
                  <w:marTop w:val="0"/>
                  <w:marBottom w:val="0"/>
                  <w:divBdr>
                    <w:top w:val="none" w:sz="0" w:space="0" w:color="auto"/>
                    <w:left w:val="none" w:sz="0" w:space="0" w:color="auto"/>
                    <w:bottom w:val="none" w:sz="0" w:space="0" w:color="auto"/>
                    <w:right w:val="none" w:sz="0" w:space="0" w:color="auto"/>
                  </w:divBdr>
                  <w:divsChild>
                    <w:div w:id="1490096240">
                      <w:marLeft w:val="0"/>
                      <w:marRight w:val="0"/>
                      <w:marTop w:val="0"/>
                      <w:marBottom w:val="0"/>
                      <w:divBdr>
                        <w:top w:val="none" w:sz="0" w:space="0" w:color="auto"/>
                        <w:left w:val="none" w:sz="0" w:space="0" w:color="auto"/>
                        <w:bottom w:val="none" w:sz="0" w:space="0" w:color="auto"/>
                        <w:right w:val="none" w:sz="0" w:space="0" w:color="auto"/>
                      </w:divBdr>
                    </w:div>
                    <w:div w:id="836189660">
                      <w:marLeft w:val="0"/>
                      <w:marRight w:val="0"/>
                      <w:marTop w:val="0"/>
                      <w:marBottom w:val="0"/>
                      <w:divBdr>
                        <w:top w:val="none" w:sz="0" w:space="0" w:color="auto"/>
                        <w:left w:val="none" w:sz="0" w:space="0" w:color="auto"/>
                        <w:bottom w:val="none" w:sz="0" w:space="0" w:color="auto"/>
                        <w:right w:val="none" w:sz="0" w:space="0" w:color="auto"/>
                      </w:divBdr>
                    </w:div>
                  </w:divsChild>
                </w:div>
                <w:div w:id="713165078">
                  <w:marLeft w:val="0"/>
                  <w:marRight w:val="0"/>
                  <w:marTop w:val="0"/>
                  <w:marBottom w:val="0"/>
                  <w:divBdr>
                    <w:top w:val="none" w:sz="0" w:space="0" w:color="auto"/>
                    <w:left w:val="none" w:sz="0" w:space="0" w:color="auto"/>
                    <w:bottom w:val="none" w:sz="0" w:space="0" w:color="auto"/>
                    <w:right w:val="none" w:sz="0" w:space="0" w:color="auto"/>
                  </w:divBdr>
                  <w:divsChild>
                    <w:div w:id="1854228143">
                      <w:marLeft w:val="0"/>
                      <w:marRight w:val="0"/>
                      <w:marTop w:val="0"/>
                      <w:marBottom w:val="0"/>
                      <w:divBdr>
                        <w:top w:val="none" w:sz="0" w:space="0" w:color="auto"/>
                        <w:left w:val="none" w:sz="0" w:space="0" w:color="auto"/>
                        <w:bottom w:val="none" w:sz="0" w:space="0" w:color="auto"/>
                        <w:right w:val="none" w:sz="0" w:space="0" w:color="auto"/>
                      </w:divBdr>
                    </w:div>
                    <w:div w:id="1326474752">
                      <w:marLeft w:val="0"/>
                      <w:marRight w:val="0"/>
                      <w:marTop w:val="0"/>
                      <w:marBottom w:val="0"/>
                      <w:divBdr>
                        <w:top w:val="none" w:sz="0" w:space="0" w:color="auto"/>
                        <w:left w:val="none" w:sz="0" w:space="0" w:color="auto"/>
                        <w:bottom w:val="none" w:sz="0" w:space="0" w:color="auto"/>
                        <w:right w:val="none" w:sz="0" w:space="0" w:color="auto"/>
                      </w:divBdr>
                    </w:div>
                  </w:divsChild>
                </w:div>
                <w:div w:id="332075966">
                  <w:marLeft w:val="0"/>
                  <w:marRight w:val="0"/>
                  <w:marTop w:val="0"/>
                  <w:marBottom w:val="0"/>
                  <w:divBdr>
                    <w:top w:val="none" w:sz="0" w:space="0" w:color="auto"/>
                    <w:left w:val="none" w:sz="0" w:space="0" w:color="auto"/>
                    <w:bottom w:val="none" w:sz="0" w:space="0" w:color="auto"/>
                    <w:right w:val="none" w:sz="0" w:space="0" w:color="auto"/>
                  </w:divBdr>
                  <w:divsChild>
                    <w:div w:id="494803997">
                      <w:marLeft w:val="0"/>
                      <w:marRight w:val="0"/>
                      <w:marTop w:val="0"/>
                      <w:marBottom w:val="0"/>
                      <w:divBdr>
                        <w:top w:val="none" w:sz="0" w:space="0" w:color="auto"/>
                        <w:left w:val="none" w:sz="0" w:space="0" w:color="auto"/>
                        <w:bottom w:val="none" w:sz="0" w:space="0" w:color="auto"/>
                        <w:right w:val="none" w:sz="0" w:space="0" w:color="auto"/>
                      </w:divBdr>
                    </w:div>
                  </w:divsChild>
                </w:div>
                <w:div w:id="855970618">
                  <w:marLeft w:val="0"/>
                  <w:marRight w:val="0"/>
                  <w:marTop w:val="0"/>
                  <w:marBottom w:val="0"/>
                  <w:divBdr>
                    <w:top w:val="none" w:sz="0" w:space="0" w:color="auto"/>
                    <w:left w:val="none" w:sz="0" w:space="0" w:color="auto"/>
                    <w:bottom w:val="none" w:sz="0" w:space="0" w:color="auto"/>
                    <w:right w:val="none" w:sz="0" w:space="0" w:color="auto"/>
                  </w:divBdr>
                  <w:divsChild>
                    <w:div w:id="1540699411">
                      <w:marLeft w:val="0"/>
                      <w:marRight w:val="0"/>
                      <w:marTop w:val="0"/>
                      <w:marBottom w:val="0"/>
                      <w:divBdr>
                        <w:top w:val="none" w:sz="0" w:space="0" w:color="auto"/>
                        <w:left w:val="none" w:sz="0" w:space="0" w:color="auto"/>
                        <w:bottom w:val="none" w:sz="0" w:space="0" w:color="auto"/>
                        <w:right w:val="none" w:sz="0" w:space="0" w:color="auto"/>
                      </w:divBdr>
                    </w:div>
                  </w:divsChild>
                </w:div>
                <w:div w:id="935334582">
                  <w:marLeft w:val="0"/>
                  <w:marRight w:val="0"/>
                  <w:marTop w:val="0"/>
                  <w:marBottom w:val="0"/>
                  <w:divBdr>
                    <w:top w:val="none" w:sz="0" w:space="0" w:color="auto"/>
                    <w:left w:val="none" w:sz="0" w:space="0" w:color="auto"/>
                    <w:bottom w:val="none" w:sz="0" w:space="0" w:color="auto"/>
                    <w:right w:val="none" w:sz="0" w:space="0" w:color="auto"/>
                  </w:divBdr>
                  <w:divsChild>
                    <w:div w:id="703097281">
                      <w:marLeft w:val="0"/>
                      <w:marRight w:val="0"/>
                      <w:marTop w:val="0"/>
                      <w:marBottom w:val="0"/>
                      <w:divBdr>
                        <w:top w:val="none" w:sz="0" w:space="0" w:color="auto"/>
                        <w:left w:val="none" w:sz="0" w:space="0" w:color="auto"/>
                        <w:bottom w:val="none" w:sz="0" w:space="0" w:color="auto"/>
                        <w:right w:val="none" w:sz="0" w:space="0" w:color="auto"/>
                      </w:divBdr>
                    </w:div>
                  </w:divsChild>
                </w:div>
                <w:div w:id="614485613">
                  <w:marLeft w:val="0"/>
                  <w:marRight w:val="0"/>
                  <w:marTop w:val="0"/>
                  <w:marBottom w:val="0"/>
                  <w:divBdr>
                    <w:top w:val="none" w:sz="0" w:space="0" w:color="auto"/>
                    <w:left w:val="none" w:sz="0" w:space="0" w:color="auto"/>
                    <w:bottom w:val="none" w:sz="0" w:space="0" w:color="auto"/>
                    <w:right w:val="none" w:sz="0" w:space="0" w:color="auto"/>
                  </w:divBdr>
                  <w:divsChild>
                    <w:div w:id="1373387731">
                      <w:marLeft w:val="0"/>
                      <w:marRight w:val="0"/>
                      <w:marTop w:val="0"/>
                      <w:marBottom w:val="0"/>
                      <w:divBdr>
                        <w:top w:val="none" w:sz="0" w:space="0" w:color="auto"/>
                        <w:left w:val="none" w:sz="0" w:space="0" w:color="auto"/>
                        <w:bottom w:val="none" w:sz="0" w:space="0" w:color="auto"/>
                        <w:right w:val="none" w:sz="0" w:space="0" w:color="auto"/>
                      </w:divBdr>
                    </w:div>
                  </w:divsChild>
                </w:div>
                <w:div w:id="215775003">
                  <w:marLeft w:val="0"/>
                  <w:marRight w:val="0"/>
                  <w:marTop w:val="0"/>
                  <w:marBottom w:val="0"/>
                  <w:divBdr>
                    <w:top w:val="none" w:sz="0" w:space="0" w:color="auto"/>
                    <w:left w:val="none" w:sz="0" w:space="0" w:color="auto"/>
                    <w:bottom w:val="none" w:sz="0" w:space="0" w:color="auto"/>
                    <w:right w:val="none" w:sz="0" w:space="0" w:color="auto"/>
                  </w:divBdr>
                  <w:divsChild>
                    <w:div w:id="1105467154">
                      <w:marLeft w:val="0"/>
                      <w:marRight w:val="0"/>
                      <w:marTop w:val="0"/>
                      <w:marBottom w:val="0"/>
                      <w:divBdr>
                        <w:top w:val="none" w:sz="0" w:space="0" w:color="auto"/>
                        <w:left w:val="none" w:sz="0" w:space="0" w:color="auto"/>
                        <w:bottom w:val="none" w:sz="0" w:space="0" w:color="auto"/>
                        <w:right w:val="none" w:sz="0" w:space="0" w:color="auto"/>
                      </w:divBdr>
                    </w:div>
                  </w:divsChild>
                </w:div>
                <w:div w:id="556010481">
                  <w:marLeft w:val="0"/>
                  <w:marRight w:val="0"/>
                  <w:marTop w:val="0"/>
                  <w:marBottom w:val="0"/>
                  <w:divBdr>
                    <w:top w:val="none" w:sz="0" w:space="0" w:color="auto"/>
                    <w:left w:val="none" w:sz="0" w:space="0" w:color="auto"/>
                    <w:bottom w:val="none" w:sz="0" w:space="0" w:color="auto"/>
                    <w:right w:val="none" w:sz="0" w:space="0" w:color="auto"/>
                  </w:divBdr>
                  <w:divsChild>
                    <w:div w:id="538127614">
                      <w:marLeft w:val="0"/>
                      <w:marRight w:val="0"/>
                      <w:marTop w:val="0"/>
                      <w:marBottom w:val="0"/>
                      <w:divBdr>
                        <w:top w:val="none" w:sz="0" w:space="0" w:color="auto"/>
                        <w:left w:val="none" w:sz="0" w:space="0" w:color="auto"/>
                        <w:bottom w:val="none" w:sz="0" w:space="0" w:color="auto"/>
                        <w:right w:val="none" w:sz="0" w:space="0" w:color="auto"/>
                      </w:divBdr>
                    </w:div>
                  </w:divsChild>
                </w:div>
                <w:div w:id="1191575642">
                  <w:marLeft w:val="0"/>
                  <w:marRight w:val="0"/>
                  <w:marTop w:val="0"/>
                  <w:marBottom w:val="0"/>
                  <w:divBdr>
                    <w:top w:val="none" w:sz="0" w:space="0" w:color="auto"/>
                    <w:left w:val="none" w:sz="0" w:space="0" w:color="auto"/>
                    <w:bottom w:val="none" w:sz="0" w:space="0" w:color="auto"/>
                    <w:right w:val="none" w:sz="0" w:space="0" w:color="auto"/>
                  </w:divBdr>
                  <w:divsChild>
                    <w:div w:id="576979796">
                      <w:marLeft w:val="0"/>
                      <w:marRight w:val="0"/>
                      <w:marTop w:val="0"/>
                      <w:marBottom w:val="0"/>
                      <w:divBdr>
                        <w:top w:val="none" w:sz="0" w:space="0" w:color="auto"/>
                        <w:left w:val="none" w:sz="0" w:space="0" w:color="auto"/>
                        <w:bottom w:val="none" w:sz="0" w:space="0" w:color="auto"/>
                        <w:right w:val="none" w:sz="0" w:space="0" w:color="auto"/>
                      </w:divBdr>
                    </w:div>
                  </w:divsChild>
                </w:div>
                <w:div w:id="792137460">
                  <w:marLeft w:val="0"/>
                  <w:marRight w:val="0"/>
                  <w:marTop w:val="0"/>
                  <w:marBottom w:val="0"/>
                  <w:divBdr>
                    <w:top w:val="none" w:sz="0" w:space="0" w:color="auto"/>
                    <w:left w:val="none" w:sz="0" w:space="0" w:color="auto"/>
                    <w:bottom w:val="none" w:sz="0" w:space="0" w:color="auto"/>
                    <w:right w:val="none" w:sz="0" w:space="0" w:color="auto"/>
                  </w:divBdr>
                  <w:divsChild>
                    <w:div w:id="260722441">
                      <w:marLeft w:val="0"/>
                      <w:marRight w:val="0"/>
                      <w:marTop w:val="0"/>
                      <w:marBottom w:val="0"/>
                      <w:divBdr>
                        <w:top w:val="none" w:sz="0" w:space="0" w:color="auto"/>
                        <w:left w:val="none" w:sz="0" w:space="0" w:color="auto"/>
                        <w:bottom w:val="none" w:sz="0" w:space="0" w:color="auto"/>
                        <w:right w:val="none" w:sz="0" w:space="0" w:color="auto"/>
                      </w:divBdr>
                    </w:div>
                  </w:divsChild>
                </w:div>
                <w:div w:id="996345037">
                  <w:marLeft w:val="0"/>
                  <w:marRight w:val="0"/>
                  <w:marTop w:val="0"/>
                  <w:marBottom w:val="0"/>
                  <w:divBdr>
                    <w:top w:val="none" w:sz="0" w:space="0" w:color="auto"/>
                    <w:left w:val="none" w:sz="0" w:space="0" w:color="auto"/>
                    <w:bottom w:val="none" w:sz="0" w:space="0" w:color="auto"/>
                    <w:right w:val="none" w:sz="0" w:space="0" w:color="auto"/>
                  </w:divBdr>
                  <w:divsChild>
                    <w:div w:id="1077288710">
                      <w:marLeft w:val="0"/>
                      <w:marRight w:val="0"/>
                      <w:marTop w:val="0"/>
                      <w:marBottom w:val="0"/>
                      <w:divBdr>
                        <w:top w:val="none" w:sz="0" w:space="0" w:color="auto"/>
                        <w:left w:val="none" w:sz="0" w:space="0" w:color="auto"/>
                        <w:bottom w:val="none" w:sz="0" w:space="0" w:color="auto"/>
                        <w:right w:val="none" w:sz="0" w:space="0" w:color="auto"/>
                      </w:divBdr>
                    </w:div>
                  </w:divsChild>
                </w:div>
                <w:div w:id="1898857213">
                  <w:marLeft w:val="0"/>
                  <w:marRight w:val="0"/>
                  <w:marTop w:val="0"/>
                  <w:marBottom w:val="0"/>
                  <w:divBdr>
                    <w:top w:val="none" w:sz="0" w:space="0" w:color="auto"/>
                    <w:left w:val="none" w:sz="0" w:space="0" w:color="auto"/>
                    <w:bottom w:val="none" w:sz="0" w:space="0" w:color="auto"/>
                    <w:right w:val="none" w:sz="0" w:space="0" w:color="auto"/>
                  </w:divBdr>
                  <w:divsChild>
                    <w:div w:id="788931399">
                      <w:marLeft w:val="0"/>
                      <w:marRight w:val="0"/>
                      <w:marTop w:val="0"/>
                      <w:marBottom w:val="0"/>
                      <w:divBdr>
                        <w:top w:val="none" w:sz="0" w:space="0" w:color="auto"/>
                        <w:left w:val="none" w:sz="0" w:space="0" w:color="auto"/>
                        <w:bottom w:val="none" w:sz="0" w:space="0" w:color="auto"/>
                        <w:right w:val="none" w:sz="0" w:space="0" w:color="auto"/>
                      </w:divBdr>
                    </w:div>
                  </w:divsChild>
                </w:div>
                <w:div w:id="653920027">
                  <w:marLeft w:val="0"/>
                  <w:marRight w:val="0"/>
                  <w:marTop w:val="0"/>
                  <w:marBottom w:val="0"/>
                  <w:divBdr>
                    <w:top w:val="none" w:sz="0" w:space="0" w:color="auto"/>
                    <w:left w:val="none" w:sz="0" w:space="0" w:color="auto"/>
                    <w:bottom w:val="none" w:sz="0" w:space="0" w:color="auto"/>
                    <w:right w:val="none" w:sz="0" w:space="0" w:color="auto"/>
                  </w:divBdr>
                  <w:divsChild>
                    <w:div w:id="916397429">
                      <w:marLeft w:val="0"/>
                      <w:marRight w:val="0"/>
                      <w:marTop w:val="0"/>
                      <w:marBottom w:val="0"/>
                      <w:divBdr>
                        <w:top w:val="none" w:sz="0" w:space="0" w:color="auto"/>
                        <w:left w:val="none" w:sz="0" w:space="0" w:color="auto"/>
                        <w:bottom w:val="none" w:sz="0" w:space="0" w:color="auto"/>
                        <w:right w:val="none" w:sz="0" w:space="0" w:color="auto"/>
                      </w:divBdr>
                    </w:div>
                  </w:divsChild>
                </w:div>
                <w:div w:id="724109103">
                  <w:marLeft w:val="0"/>
                  <w:marRight w:val="0"/>
                  <w:marTop w:val="0"/>
                  <w:marBottom w:val="0"/>
                  <w:divBdr>
                    <w:top w:val="none" w:sz="0" w:space="0" w:color="auto"/>
                    <w:left w:val="none" w:sz="0" w:space="0" w:color="auto"/>
                    <w:bottom w:val="none" w:sz="0" w:space="0" w:color="auto"/>
                    <w:right w:val="none" w:sz="0" w:space="0" w:color="auto"/>
                  </w:divBdr>
                  <w:divsChild>
                    <w:div w:id="398283499">
                      <w:marLeft w:val="0"/>
                      <w:marRight w:val="0"/>
                      <w:marTop w:val="0"/>
                      <w:marBottom w:val="0"/>
                      <w:divBdr>
                        <w:top w:val="none" w:sz="0" w:space="0" w:color="auto"/>
                        <w:left w:val="none" w:sz="0" w:space="0" w:color="auto"/>
                        <w:bottom w:val="none" w:sz="0" w:space="0" w:color="auto"/>
                        <w:right w:val="none" w:sz="0" w:space="0" w:color="auto"/>
                      </w:divBdr>
                    </w:div>
                  </w:divsChild>
                </w:div>
                <w:div w:id="609944312">
                  <w:marLeft w:val="0"/>
                  <w:marRight w:val="0"/>
                  <w:marTop w:val="0"/>
                  <w:marBottom w:val="0"/>
                  <w:divBdr>
                    <w:top w:val="none" w:sz="0" w:space="0" w:color="auto"/>
                    <w:left w:val="none" w:sz="0" w:space="0" w:color="auto"/>
                    <w:bottom w:val="none" w:sz="0" w:space="0" w:color="auto"/>
                    <w:right w:val="none" w:sz="0" w:space="0" w:color="auto"/>
                  </w:divBdr>
                  <w:divsChild>
                    <w:div w:id="741878428">
                      <w:marLeft w:val="0"/>
                      <w:marRight w:val="0"/>
                      <w:marTop w:val="0"/>
                      <w:marBottom w:val="0"/>
                      <w:divBdr>
                        <w:top w:val="none" w:sz="0" w:space="0" w:color="auto"/>
                        <w:left w:val="none" w:sz="0" w:space="0" w:color="auto"/>
                        <w:bottom w:val="none" w:sz="0" w:space="0" w:color="auto"/>
                        <w:right w:val="none" w:sz="0" w:space="0" w:color="auto"/>
                      </w:divBdr>
                    </w:div>
                  </w:divsChild>
                </w:div>
                <w:div w:id="61878547">
                  <w:marLeft w:val="0"/>
                  <w:marRight w:val="0"/>
                  <w:marTop w:val="0"/>
                  <w:marBottom w:val="0"/>
                  <w:divBdr>
                    <w:top w:val="none" w:sz="0" w:space="0" w:color="auto"/>
                    <w:left w:val="none" w:sz="0" w:space="0" w:color="auto"/>
                    <w:bottom w:val="none" w:sz="0" w:space="0" w:color="auto"/>
                    <w:right w:val="none" w:sz="0" w:space="0" w:color="auto"/>
                  </w:divBdr>
                  <w:divsChild>
                    <w:div w:id="1990360600">
                      <w:marLeft w:val="0"/>
                      <w:marRight w:val="0"/>
                      <w:marTop w:val="0"/>
                      <w:marBottom w:val="0"/>
                      <w:divBdr>
                        <w:top w:val="none" w:sz="0" w:space="0" w:color="auto"/>
                        <w:left w:val="none" w:sz="0" w:space="0" w:color="auto"/>
                        <w:bottom w:val="none" w:sz="0" w:space="0" w:color="auto"/>
                        <w:right w:val="none" w:sz="0" w:space="0" w:color="auto"/>
                      </w:divBdr>
                    </w:div>
                  </w:divsChild>
                </w:div>
                <w:div w:id="1206990033">
                  <w:marLeft w:val="0"/>
                  <w:marRight w:val="0"/>
                  <w:marTop w:val="0"/>
                  <w:marBottom w:val="0"/>
                  <w:divBdr>
                    <w:top w:val="none" w:sz="0" w:space="0" w:color="auto"/>
                    <w:left w:val="none" w:sz="0" w:space="0" w:color="auto"/>
                    <w:bottom w:val="none" w:sz="0" w:space="0" w:color="auto"/>
                    <w:right w:val="none" w:sz="0" w:space="0" w:color="auto"/>
                  </w:divBdr>
                  <w:divsChild>
                    <w:div w:id="872499917">
                      <w:marLeft w:val="0"/>
                      <w:marRight w:val="0"/>
                      <w:marTop w:val="0"/>
                      <w:marBottom w:val="0"/>
                      <w:divBdr>
                        <w:top w:val="none" w:sz="0" w:space="0" w:color="auto"/>
                        <w:left w:val="none" w:sz="0" w:space="0" w:color="auto"/>
                        <w:bottom w:val="none" w:sz="0" w:space="0" w:color="auto"/>
                        <w:right w:val="none" w:sz="0" w:space="0" w:color="auto"/>
                      </w:divBdr>
                    </w:div>
                  </w:divsChild>
                </w:div>
                <w:div w:id="1090420565">
                  <w:marLeft w:val="0"/>
                  <w:marRight w:val="0"/>
                  <w:marTop w:val="0"/>
                  <w:marBottom w:val="0"/>
                  <w:divBdr>
                    <w:top w:val="none" w:sz="0" w:space="0" w:color="auto"/>
                    <w:left w:val="none" w:sz="0" w:space="0" w:color="auto"/>
                    <w:bottom w:val="none" w:sz="0" w:space="0" w:color="auto"/>
                    <w:right w:val="none" w:sz="0" w:space="0" w:color="auto"/>
                  </w:divBdr>
                  <w:divsChild>
                    <w:div w:id="1330055627">
                      <w:marLeft w:val="0"/>
                      <w:marRight w:val="0"/>
                      <w:marTop w:val="0"/>
                      <w:marBottom w:val="0"/>
                      <w:divBdr>
                        <w:top w:val="none" w:sz="0" w:space="0" w:color="auto"/>
                        <w:left w:val="none" w:sz="0" w:space="0" w:color="auto"/>
                        <w:bottom w:val="none" w:sz="0" w:space="0" w:color="auto"/>
                        <w:right w:val="none" w:sz="0" w:space="0" w:color="auto"/>
                      </w:divBdr>
                    </w:div>
                  </w:divsChild>
                </w:div>
                <w:div w:id="2120372002">
                  <w:marLeft w:val="0"/>
                  <w:marRight w:val="0"/>
                  <w:marTop w:val="0"/>
                  <w:marBottom w:val="0"/>
                  <w:divBdr>
                    <w:top w:val="none" w:sz="0" w:space="0" w:color="auto"/>
                    <w:left w:val="none" w:sz="0" w:space="0" w:color="auto"/>
                    <w:bottom w:val="none" w:sz="0" w:space="0" w:color="auto"/>
                    <w:right w:val="none" w:sz="0" w:space="0" w:color="auto"/>
                  </w:divBdr>
                  <w:divsChild>
                    <w:div w:id="520317866">
                      <w:marLeft w:val="0"/>
                      <w:marRight w:val="0"/>
                      <w:marTop w:val="0"/>
                      <w:marBottom w:val="0"/>
                      <w:divBdr>
                        <w:top w:val="none" w:sz="0" w:space="0" w:color="auto"/>
                        <w:left w:val="none" w:sz="0" w:space="0" w:color="auto"/>
                        <w:bottom w:val="none" w:sz="0" w:space="0" w:color="auto"/>
                        <w:right w:val="none" w:sz="0" w:space="0" w:color="auto"/>
                      </w:divBdr>
                    </w:div>
                  </w:divsChild>
                </w:div>
                <w:div w:id="1506171812">
                  <w:marLeft w:val="0"/>
                  <w:marRight w:val="0"/>
                  <w:marTop w:val="0"/>
                  <w:marBottom w:val="0"/>
                  <w:divBdr>
                    <w:top w:val="none" w:sz="0" w:space="0" w:color="auto"/>
                    <w:left w:val="none" w:sz="0" w:space="0" w:color="auto"/>
                    <w:bottom w:val="none" w:sz="0" w:space="0" w:color="auto"/>
                    <w:right w:val="none" w:sz="0" w:space="0" w:color="auto"/>
                  </w:divBdr>
                  <w:divsChild>
                    <w:div w:id="1819689267">
                      <w:marLeft w:val="0"/>
                      <w:marRight w:val="0"/>
                      <w:marTop w:val="0"/>
                      <w:marBottom w:val="0"/>
                      <w:divBdr>
                        <w:top w:val="none" w:sz="0" w:space="0" w:color="auto"/>
                        <w:left w:val="none" w:sz="0" w:space="0" w:color="auto"/>
                        <w:bottom w:val="none" w:sz="0" w:space="0" w:color="auto"/>
                        <w:right w:val="none" w:sz="0" w:space="0" w:color="auto"/>
                      </w:divBdr>
                    </w:div>
                  </w:divsChild>
                </w:div>
                <w:div w:id="1967080085">
                  <w:marLeft w:val="0"/>
                  <w:marRight w:val="0"/>
                  <w:marTop w:val="0"/>
                  <w:marBottom w:val="0"/>
                  <w:divBdr>
                    <w:top w:val="none" w:sz="0" w:space="0" w:color="auto"/>
                    <w:left w:val="none" w:sz="0" w:space="0" w:color="auto"/>
                    <w:bottom w:val="none" w:sz="0" w:space="0" w:color="auto"/>
                    <w:right w:val="none" w:sz="0" w:space="0" w:color="auto"/>
                  </w:divBdr>
                  <w:divsChild>
                    <w:div w:id="1364286870">
                      <w:marLeft w:val="0"/>
                      <w:marRight w:val="0"/>
                      <w:marTop w:val="0"/>
                      <w:marBottom w:val="0"/>
                      <w:divBdr>
                        <w:top w:val="none" w:sz="0" w:space="0" w:color="auto"/>
                        <w:left w:val="none" w:sz="0" w:space="0" w:color="auto"/>
                        <w:bottom w:val="none" w:sz="0" w:space="0" w:color="auto"/>
                        <w:right w:val="none" w:sz="0" w:space="0" w:color="auto"/>
                      </w:divBdr>
                    </w:div>
                  </w:divsChild>
                </w:div>
                <w:div w:id="1527056248">
                  <w:marLeft w:val="0"/>
                  <w:marRight w:val="0"/>
                  <w:marTop w:val="0"/>
                  <w:marBottom w:val="0"/>
                  <w:divBdr>
                    <w:top w:val="none" w:sz="0" w:space="0" w:color="auto"/>
                    <w:left w:val="none" w:sz="0" w:space="0" w:color="auto"/>
                    <w:bottom w:val="none" w:sz="0" w:space="0" w:color="auto"/>
                    <w:right w:val="none" w:sz="0" w:space="0" w:color="auto"/>
                  </w:divBdr>
                  <w:divsChild>
                    <w:div w:id="1580871919">
                      <w:marLeft w:val="0"/>
                      <w:marRight w:val="0"/>
                      <w:marTop w:val="0"/>
                      <w:marBottom w:val="0"/>
                      <w:divBdr>
                        <w:top w:val="none" w:sz="0" w:space="0" w:color="auto"/>
                        <w:left w:val="none" w:sz="0" w:space="0" w:color="auto"/>
                        <w:bottom w:val="none" w:sz="0" w:space="0" w:color="auto"/>
                        <w:right w:val="none" w:sz="0" w:space="0" w:color="auto"/>
                      </w:divBdr>
                    </w:div>
                  </w:divsChild>
                </w:div>
                <w:div w:id="1397245501">
                  <w:marLeft w:val="0"/>
                  <w:marRight w:val="0"/>
                  <w:marTop w:val="0"/>
                  <w:marBottom w:val="0"/>
                  <w:divBdr>
                    <w:top w:val="none" w:sz="0" w:space="0" w:color="auto"/>
                    <w:left w:val="none" w:sz="0" w:space="0" w:color="auto"/>
                    <w:bottom w:val="none" w:sz="0" w:space="0" w:color="auto"/>
                    <w:right w:val="none" w:sz="0" w:space="0" w:color="auto"/>
                  </w:divBdr>
                  <w:divsChild>
                    <w:div w:id="258178946">
                      <w:marLeft w:val="0"/>
                      <w:marRight w:val="0"/>
                      <w:marTop w:val="0"/>
                      <w:marBottom w:val="0"/>
                      <w:divBdr>
                        <w:top w:val="none" w:sz="0" w:space="0" w:color="auto"/>
                        <w:left w:val="none" w:sz="0" w:space="0" w:color="auto"/>
                        <w:bottom w:val="none" w:sz="0" w:space="0" w:color="auto"/>
                        <w:right w:val="none" w:sz="0" w:space="0" w:color="auto"/>
                      </w:divBdr>
                    </w:div>
                  </w:divsChild>
                </w:div>
                <w:div w:id="39281396">
                  <w:marLeft w:val="0"/>
                  <w:marRight w:val="0"/>
                  <w:marTop w:val="0"/>
                  <w:marBottom w:val="0"/>
                  <w:divBdr>
                    <w:top w:val="none" w:sz="0" w:space="0" w:color="auto"/>
                    <w:left w:val="none" w:sz="0" w:space="0" w:color="auto"/>
                    <w:bottom w:val="none" w:sz="0" w:space="0" w:color="auto"/>
                    <w:right w:val="none" w:sz="0" w:space="0" w:color="auto"/>
                  </w:divBdr>
                  <w:divsChild>
                    <w:div w:id="630747824">
                      <w:marLeft w:val="0"/>
                      <w:marRight w:val="0"/>
                      <w:marTop w:val="0"/>
                      <w:marBottom w:val="0"/>
                      <w:divBdr>
                        <w:top w:val="none" w:sz="0" w:space="0" w:color="auto"/>
                        <w:left w:val="none" w:sz="0" w:space="0" w:color="auto"/>
                        <w:bottom w:val="none" w:sz="0" w:space="0" w:color="auto"/>
                        <w:right w:val="none" w:sz="0" w:space="0" w:color="auto"/>
                      </w:divBdr>
                    </w:div>
                  </w:divsChild>
                </w:div>
                <w:div w:id="1088041144">
                  <w:marLeft w:val="0"/>
                  <w:marRight w:val="0"/>
                  <w:marTop w:val="0"/>
                  <w:marBottom w:val="0"/>
                  <w:divBdr>
                    <w:top w:val="none" w:sz="0" w:space="0" w:color="auto"/>
                    <w:left w:val="none" w:sz="0" w:space="0" w:color="auto"/>
                    <w:bottom w:val="none" w:sz="0" w:space="0" w:color="auto"/>
                    <w:right w:val="none" w:sz="0" w:space="0" w:color="auto"/>
                  </w:divBdr>
                  <w:divsChild>
                    <w:div w:id="1115364646">
                      <w:marLeft w:val="0"/>
                      <w:marRight w:val="0"/>
                      <w:marTop w:val="0"/>
                      <w:marBottom w:val="0"/>
                      <w:divBdr>
                        <w:top w:val="none" w:sz="0" w:space="0" w:color="auto"/>
                        <w:left w:val="none" w:sz="0" w:space="0" w:color="auto"/>
                        <w:bottom w:val="none" w:sz="0" w:space="0" w:color="auto"/>
                        <w:right w:val="none" w:sz="0" w:space="0" w:color="auto"/>
                      </w:divBdr>
                    </w:div>
                  </w:divsChild>
                </w:div>
                <w:div w:id="1876623389">
                  <w:marLeft w:val="0"/>
                  <w:marRight w:val="0"/>
                  <w:marTop w:val="0"/>
                  <w:marBottom w:val="0"/>
                  <w:divBdr>
                    <w:top w:val="none" w:sz="0" w:space="0" w:color="auto"/>
                    <w:left w:val="none" w:sz="0" w:space="0" w:color="auto"/>
                    <w:bottom w:val="none" w:sz="0" w:space="0" w:color="auto"/>
                    <w:right w:val="none" w:sz="0" w:space="0" w:color="auto"/>
                  </w:divBdr>
                  <w:divsChild>
                    <w:div w:id="745301606">
                      <w:marLeft w:val="0"/>
                      <w:marRight w:val="0"/>
                      <w:marTop w:val="0"/>
                      <w:marBottom w:val="0"/>
                      <w:divBdr>
                        <w:top w:val="none" w:sz="0" w:space="0" w:color="auto"/>
                        <w:left w:val="none" w:sz="0" w:space="0" w:color="auto"/>
                        <w:bottom w:val="none" w:sz="0" w:space="0" w:color="auto"/>
                        <w:right w:val="none" w:sz="0" w:space="0" w:color="auto"/>
                      </w:divBdr>
                    </w:div>
                  </w:divsChild>
                </w:div>
                <w:div w:id="916325202">
                  <w:marLeft w:val="0"/>
                  <w:marRight w:val="0"/>
                  <w:marTop w:val="0"/>
                  <w:marBottom w:val="0"/>
                  <w:divBdr>
                    <w:top w:val="none" w:sz="0" w:space="0" w:color="auto"/>
                    <w:left w:val="none" w:sz="0" w:space="0" w:color="auto"/>
                    <w:bottom w:val="none" w:sz="0" w:space="0" w:color="auto"/>
                    <w:right w:val="none" w:sz="0" w:space="0" w:color="auto"/>
                  </w:divBdr>
                  <w:divsChild>
                    <w:div w:id="1542789203">
                      <w:marLeft w:val="0"/>
                      <w:marRight w:val="0"/>
                      <w:marTop w:val="0"/>
                      <w:marBottom w:val="0"/>
                      <w:divBdr>
                        <w:top w:val="none" w:sz="0" w:space="0" w:color="auto"/>
                        <w:left w:val="none" w:sz="0" w:space="0" w:color="auto"/>
                        <w:bottom w:val="none" w:sz="0" w:space="0" w:color="auto"/>
                        <w:right w:val="none" w:sz="0" w:space="0" w:color="auto"/>
                      </w:divBdr>
                    </w:div>
                  </w:divsChild>
                </w:div>
                <w:div w:id="1034425231">
                  <w:marLeft w:val="0"/>
                  <w:marRight w:val="0"/>
                  <w:marTop w:val="0"/>
                  <w:marBottom w:val="0"/>
                  <w:divBdr>
                    <w:top w:val="none" w:sz="0" w:space="0" w:color="auto"/>
                    <w:left w:val="none" w:sz="0" w:space="0" w:color="auto"/>
                    <w:bottom w:val="none" w:sz="0" w:space="0" w:color="auto"/>
                    <w:right w:val="none" w:sz="0" w:space="0" w:color="auto"/>
                  </w:divBdr>
                  <w:divsChild>
                    <w:div w:id="673071700">
                      <w:marLeft w:val="0"/>
                      <w:marRight w:val="0"/>
                      <w:marTop w:val="0"/>
                      <w:marBottom w:val="0"/>
                      <w:divBdr>
                        <w:top w:val="none" w:sz="0" w:space="0" w:color="auto"/>
                        <w:left w:val="none" w:sz="0" w:space="0" w:color="auto"/>
                        <w:bottom w:val="none" w:sz="0" w:space="0" w:color="auto"/>
                        <w:right w:val="none" w:sz="0" w:space="0" w:color="auto"/>
                      </w:divBdr>
                    </w:div>
                  </w:divsChild>
                </w:div>
                <w:div w:id="1201939677">
                  <w:marLeft w:val="0"/>
                  <w:marRight w:val="0"/>
                  <w:marTop w:val="0"/>
                  <w:marBottom w:val="0"/>
                  <w:divBdr>
                    <w:top w:val="none" w:sz="0" w:space="0" w:color="auto"/>
                    <w:left w:val="none" w:sz="0" w:space="0" w:color="auto"/>
                    <w:bottom w:val="none" w:sz="0" w:space="0" w:color="auto"/>
                    <w:right w:val="none" w:sz="0" w:space="0" w:color="auto"/>
                  </w:divBdr>
                  <w:divsChild>
                    <w:div w:id="1864441610">
                      <w:marLeft w:val="0"/>
                      <w:marRight w:val="0"/>
                      <w:marTop w:val="0"/>
                      <w:marBottom w:val="0"/>
                      <w:divBdr>
                        <w:top w:val="none" w:sz="0" w:space="0" w:color="auto"/>
                        <w:left w:val="none" w:sz="0" w:space="0" w:color="auto"/>
                        <w:bottom w:val="none" w:sz="0" w:space="0" w:color="auto"/>
                        <w:right w:val="none" w:sz="0" w:space="0" w:color="auto"/>
                      </w:divBdr>
                    </w:div>
                  </w:divsChild>
                </w:div>
                <w:div w:id="235671640">
                  <w:marLeft w:val="0"/>
                  <w:marRight w:val="0"/>
                  <w:marTop w:val="0"/>
                  <w:marBottom w:val="0"/>
                  <w:divBdr>
                    <w:top w:val="none" w:sz="0" w:space="0" w:color="auto"/>
                    <w:left w:val="none" w:sz="0" w:space="0" w:color="auto"/>
                    <w:bottom w:val="none" w:sz="0" w:space="0" w:color="auto"/>
                    <w:right w:val="none" w:sz="0" w:space="0" w:color="auto"/>
                  </w:divBdr>
                  <w:divsChild>
                    <w:div w:id="1271208155">
                      <w:marLeft w:val="0"/>
                      <w:marRight w:val="0"/>
                      <w:marTop w:val="0"/>
                      <w:marBottom w:val="0"/>
                      <w:divBdr>
                        <w:top w:val="none" w:sz="0" w:space="0" w:color="auto"/>
                        <w:left w:val="none" w:sz="0" w:space="0" w:color="auto"/>
                        <w:bottom w:val="none" w:sz="0" w:space="0" w:color="auto"/>
                        <w:right w:val="none" w:sz="0" w:space="0" w:color="auto"/>
                      </w:divBdr>
                    </w:div>
                  </w:divsChild>
                </w:div>
                <w:div w:id="1587378234">
                  <w:marLeft w:val="0"/>
                  <w:marRight w:val="0"/>
                  <w:marTop w:val="0"/>
                  <w:marBottom w:val="0"/>
                  <w:divBdr>
                    <w:top w:val="none" w:sz="0" w:space="0" w:color="auto"/>
                    <w:left w:val="none" w:sz="0" w:space="0" w:color="auto"/>
                    <w:bottom w:val="none" w:sz="0" w:space="0" w:color="auto"/>
                    <w:right w:val="none" w:sz="0" w:space="0" w:color="auto"/>
                  </w:divBdr>
                  <w:divsChild>
                    <w:div w:id="524027883">
                      <w:marLeft w:val="0"/>
                      <w:marRight w:val="0"/>
                      <w:marTop w:val="0"/>
                      <w:marBottom w:val="0"/>
                      <w:divBdr>
                        <w:top w:val="none" w:sz="0" w:space="0" w:color="auto"/>
                        <w:left w:val="none" w:sz="0" w:space="0" w:color="auto"/>
                        <w:bottom w:val="none" w:sz="0" w:space="0" w:color="auto"/>
                        <w:right w:val="none" w:sz="0" w:space="0" w:color="auto"/>
                      </w:divBdr>
                    </w:div>
                  </w:divsChild>
                </w:div>
                <w:div w:id="539821219">
                  <w:marLeft w:val="0"/>
                  <w:marRight w:val="0"/>
                  <w:marTop w:val="0"/>
                  <w:marBottom w:val="0"/>
                  <w:divBdr>
                    <w:top w:val="none" w:sz="0" w:space="0" w:color="auto"/>
                    <w:left w:val="none" w:sz="0" w:space="0" w:color="auto"/>
                    <w:bottom w:val="none" w:sz="0" w:space="0" w:color="auto"/>
                    <w:right w:val="none" w:sz="0" w:space="0" w:color="auto"/>
                  </w:divBdr>
                  <w:divsChild>
                    <w:div w:id="2013295458">
                      <w:marLeft w:val="0"/>
                      <w:marRight w:val="0"/>
                      <w:marTop w:val="0"/>
                      <w:marBottom w:val="0"/>
                      <w:divBdr>
                        <w:top w:val="none" w:sz="0" w:space="0" w:color="auto"/>
                        <w:left w:val="none" w:sz="0" w:space="0" w:color="auto"/>
                        <w:bottom w:val="none" w:sz="0" w:space="0" w:color="auto"/>
                        <w:right w:val="none" w:sz="0" w:space="0" w:color="auto"/>
                      </w:divBdr>
                    </w:div>
                  </w:divsChild>
                </w:div>
                <w:div w:id="243607479">
                  <w:marLeft w:val="0"/>
                  <w:marRight w:val="0"/>
                  <w:marTop w:val="0"/>
                  <w:marBottom w:val="0"/>
                  <w:divBdr>
                    <w:top w:val="none" w:sz="0" w:space="0" w:color="auto"/>
                    <w:left w:val="none" w:sz="0" w:space="0" w:color="auto"/>
                    <w:bottom w:val="none" w:sz="0" w:space="0" w:color="auto"/>
                    <w:right w:val="none" w:sz="0" w:space="0" w:color="auto"/>
                  </w:divBdr>
                  <w:divsChild>
                    <w:div w:id="1231308305">
                      <w:marLeft w:val="0"/>
                      <w:marRight w:val="0"/>
                      <w:marTop w:val="0"/>
                      <w:marBottom w:val="0"/>
                      <w:divBdr>
                        <w:top w:val="none" w:sz="0" w:space="0" w:color="auto"/>
                        <w:left w:val="none" w:sz="0" w:space="0" w:color="auto"/>
                        <w:bottom w:val="none" w:sz="0" w:space="0" w:color="auto"/>
                        <w:right w:val="none" w:sz="0" w:space="0" w:color="auto"/>
                      </w:divBdr>
                    </w:div>
                  </w:divsChild>
                </w:div>
                <w:div w:id="724573049">
                  <w:marLeft w:val="0"/>
                  <w:marRight w:val="0"/>
                  <w:marTop w:val="0"/>
                  <w:marBottom w:val="0"/>
                  <w:divBdr>
                    <w:top w:val="none" w:sz="0" w:space="0" w:color="auto"/>
                    <w:left w:val="none" w:sz="0" w:space="0" w:color="auto"/>
                    <w:bottom w:val="none" w:sz="0" w:space="0" w:color="auto"/>
                    <w:right w:val="none" w:sz="0" w:space="0" w:color="auto"/>
                  </w:divBdr>
                  <w:divsChild>
                    <w:div w:id="861435993">
                      <w:marLeft w:val="0"/>
                      <w:marRight w:val="0"/>
                      <w:marTop w:val="0"/>
                      <w:marBottom w:val="0"/>
                      <w:divBdr>
                        <w:top w:val="none" w:sz="0" w:space="0" w:color="auto"/>
                        <w:left w:val="none" w:sz="0" w:space="0" w:color="auto"/>
                        <w:bottom w:val="none" w:sz="0" w:space="0" w:color="auto"/>
                        <w:right w:val="none" w:sz="0" w:space="0" w:color="auto"/>
                      </w:divBdr>
                    </w:div>
                  </w:divsChild>
                </w:div>
                <w:div w:id="830482333">
                  <w:marLeft w:val="0"/>
                  <w:marRight w:val="0"/>
                  <w:marTop w:val="0"/>
                  <w:marBottom w:val="0"/>
                  <w:divBdr>
                    <w:top w:val="none" w:sz="0" w:space="0" w:color="auto"/>
                    <w:left w:val="none" w:sz="0" w:space="0" w:color="auto"/>
                    <w:bottom w:val="none" w:sz="0" w:space="0" w:color="auto"/>
                    <w:right w:val="none" w:sz="0" w:space="0" w:color="auto"/>
                  </w:divBdr>
                  <w:divsChild>
                    <w:div w:id="1989018088">
                      <w:marLeft w:val="0"/>
                      <w:marRight w:val="0"/>
                      <w:marTop w:val="0"/>
                      <w:marBottom w:val="0"/>
                      <w:divBdr>
                        <w:top w:val="none" w:sz="0" w:space="0" w:color="auto"/>
                        <w:left w:val="none" w:sz="0" w:space="0" w:color="auto"/>
                        <w:bottom w:val="none" w:sz="0" w:space="0" w:color="auto"/>
                        <w:right w:val="none" w:sz="0" w:space="0" w:color="auto"/>
                      </w:divBdr>
                    </w:div>
                  </w:divsChild>
                </w:div>
                <w:div w:id="844594170">
                  <w:marLeft w:val="0"/>
                  <w:marRight w:val="0"/>
                  <w:marTop w:val="0"/>
                  <w:marBottom w:val="0"/>
                  <w:divBdr>
                    <w:top w:val="none" w:sz="0" w:space="0" w:color="auto"/>
                    <w:left w:val="none" w:sz="0" w:space="0" w:color="auto"/>
                    <w:bottom w:val="none" w:sz="0" w:space="0" w:color="auto"/>
                    <w:right w:val="none" w:sz="0" w:space="0" w:color="auto"/>
                  </w:divBdr>
                  <w:divsChild>
                    <w:div w:id="990980367">
                      <w:marLeft w:val="0"/>
                      <w:marRight w:val="0"/>
                      <w:marTop w:val="0"/>
                      <w:marBottom w:val="0"/>
                      <w:divBdr>
                        <w:top w:val="none" w:sz="0" w:space="0" w:color="auto"/>
                        <w:left w:val="none" w:sz="0" w:space="0" w:color="auto"/>
                        <w:bottom w:val="none" w:sz="0" w:space="0" w:color="auto"/>
                        <w:right w:val="none" w:sz="0" w:space="0" w:color="auto"/>
                      </w:divBdr>
                    </w:div>
                  </w:divsChild>
                </w:div>
                <w:div w:id="1322731761">
                  <w:marLeft w:val="0"/>
                  <w:marRight w:val="0"/>
                  <w:marTop w:val="0"/>
                  <w:marBottom w:val="0"/>
                  <w:divBdr>
                    <w:top w:val="none" w:sz="0" w:space="0" w:color="auto"/>
                    <w:left w:val="none" w:sz="0" w:space="0" w:color="auto"/>
                    <w:bottom w:val="none" w:sz="0" w:space="0" w:color="auto"/>
                    <w:right w:val="none" w:sz="0" w:space="0" w:color="auto"/>
                  </w:divBdr>
                  <w:divsChild>
                    <w:div w:id="1137917945">
                      <w:marLeft w:val="0"/>
                      <w:marRight w:val="0"/>
                      <w:marTop w:val="0"/>
                      <w:marBottom w:val="0"/>
                      <w:divBdr>
                        <w:top w:val="none" w:sz="0" w:space="0" w:color="auto"/>
                        <w:left w:val="none" w:sz="0" w:space="0" w:color="auto"/>
                        <w:bottom w:val="none" w:sz="0" w:space="0" w:color="auto"/>
                        <w:right w:val="none" w:sz="0" w:space="0" w:color="auto"/>
                      </w:divBdr>
                    </w:div>
                  </w:divsChild>
                </w:div>
                <w:div w:id="698166471">
                  <w:marLeft w:val="0"/>
                  <w:marRight w:val="0"/>
                  <w:marTop w:val="0"/>
                  <w:marBottom w:val="0"/>
                  <w:divBdr>
                    <w:top w:val="none" w:sz="0" w:space="0" w:color="auto"/>
                    <w:left w:val="none" w:sz="0" w:space="0" w:color="auto"/>
                    <w:bottom w:val="none" w:sz="0" w:space="0" w:color="auto"/>
                    <w:right w:val="none" w:sz="0" w:space="0" w:color="auto"/>
                  </w:divBdr>
                  <w:divsChild>
                    <w:div w:id="491795704">
                      <w:marLeft w:val="0"/>
                      <w:marRight w:val="0"/>
                      <w:marTop w:val="0"/>
                      <w:marBottom w:val="0"/>
                      <w:divBdr>
                        <w:top w:val="none" w:sz="0" w:space="0" w:color="auto"/>
                        <w:left w:val="none" w:sz="0" w:space="0" w:color="auto"/>
                        <w:bottom w:val="none" w:sz="0" w:space="0" w:color="auto"/>
                        <w:right w:val="none" w:sz="0" w:space="0" w:color="auto"/>
                      </w:divBdr>
                    </w:div>
                  </w:divsChild>
                </w:div>
                <w:div w:id="1522205349">
                  <w:marLeft w:val="0"/>
                  <w:marRight w:val="0"/>
                  <w:marTop w:val="0"/>
                  <w:marBottom w:val="0"/>
                  <w:divBdr>
                    <w:top w:val="none" w:sz="0" w:space="0" w:color="auto"/>
                    <w:left w:val="none" w:sz="0" w:space="0" w:color="auto"/>
                    <w:bottom w:val="none" w:sz="0" w:space="0" w:color="auto"/>
                    <w:right w:val="none" w:sz="0" w:space="0" w:color="auto"/>
                  </w:divBdr>
                  <w:divsChild>
                    <w:div w:id="1476222685">
                      <w:marLeft w:val="0"/>
                      <w:marRight w:val="0"/>
                      <w:marTop w:val="0"/>
                      <w:marBottom w:val="0"/>
                      <w:divBdr>
                        <w:top w:val="none" w:sz="0" w:space="0" w:color="auto"/>
                        <w:left w:val="none" w:sz="0" w:space="0" w:color="auto"/>
                        <w:bottom w:val="none" w:sz="0" w:space="0" w:color="auto"/>
                        <w:right w:val="none" w:sz="0" w:space="0" w:color="auto"/>
                      </w:divBdr>
                    </w:div>
                  </w:divsChild>
                </w:div>
                <w:div w:id="2519611">
                  <w:marLeft w:val="0"/>
                  <w:marRight w:val="0"/>
                  <w:marTop w:val="0"/>
                  <w:marBottom w:val="0"/>
                  <w:divBdr>
                    <w:top w:val="none" w:sz="0" w:space="0" w:color="auto"/>
                    <w:left w:val="none" w:sz="0" w:space="0" w:color="auto"/>
                    <w:bottom w:val="none" w:sz="0" w:space="0" w:color="auto"/>
                    <w:right w:val="none" w:sz="0" w:space="0" w:color="auto"/>
                  </w:divBdr>
                  <w:divsChild>
                    <w:div w:id="37316398">
                      <w:marLeft w:val="0"/>
                      <w:marRight w:val="0"/>
                      <w:marTop w:val="0"/>
                      <w:marBottom w:val="0"/>
                      <w:divBdr>
                        <w:top w:val="none" w:sz="0" w:space="0" w:color="auto"/>
                        <w:left w:val="none" w:sz="0" w:space="0" w:color="auto"/>
                        <w:bottom w:val="none" w:sz="0" w:space="0" w:color="auto"/>
                        <w:right w:val="none" w:sz="0" w:space="0" w:color="auto"/>
                      </w:divBdr>
                    </w:div>
                  </w:divsChild>
                </w:div>
                <w:div w:id="2078361324">
                  <w:marLeft w:val="0"/>
                  <w:marRight w:val="0"/>
                  <w:marTop w:val="0"/>
                  <w:marBottom w:val="0"/>
                  <w:divBdr>
                    <w:top w:val="none" w:sz="0" w:space="0" w:color="auto"/>
                    <w:left w:val="none" w:sz="0" w:space="0" w:color="auto"/>
                    <w:bottom w:val="none" w:sz="0" w:space="0" w:color="auto"/>
                    <w:right w:val="none" w:sz="0" w:space="0" w:color="auto"/>
                  </w:divBdr>
                  <w:divsChild>
                    <w:div w:id="1746100994">
                      <w:marLeft w:val="0"/>
                      <w:marRight w:val="0"/>
                      <w:marTop w:val="0"/>
                      <w:marBottom w:val="0"/>
                      <w:divBdr>
                        <w:top w:val="none" w:sz="0" w:space="0" w:color="auto"/>
                        <w:left w:val="none" w:sz="0" w:space="0" w:color="auto"/>
                        <w:bottom w:val="none" w:sz="0" w:space="0" w:color="auto"/>
                        <w:right w:val="none" w:sz="0" w:space="0" w:color="auto"/>
                      </w:divBdr>
                    </w:div>
                  </w:divsChild>
                </w:div>
                <w:div w:id="1315180653">
                  <w:marLeft w:val="0"/>
                  <w:marRight w:val="0"/>
                  <w:marTop w:val="0"/>
                  <w:marBottom w:val="0"/>
                  <w:divBdr>
                    <w:top w:val="none" w:sz="0" w:space="0" w:color="auto"/>
                    <w:left w:val="none" w:sz="0" w:space="0" w:color="auto"/>
                    <w:bottom w:val="none" w:sz="0" w:space="0" w:color="auto"/>
                    <w:right w:val="none" w:sz="0" w:space="0" w:color="auto"/>
                  </w:divBdr>
                  <w:divsChild>
                    <w:div w:id="2021934053">
                      <w:marLeft w:val="0"/>
                      <w:marRight w:val="0"/>
                      <w:marTop w:val="0"/>
                      <w:marBottom w:val="0"/>
                      <w:divBdr>
                        <w:top w:val="none" w:sz="0" w:space="0" w:color="auto"/>
                        <w:left w:val="none" w:sz="0" w:space="0" w:color="auto"/>
                        <w:bottom w:val="none" w:sz="0" w:space="0" w:color="auto"/>
                        <w:right w:val="none" w:sz="0" w:space="0" w:color="auto"/>
                      </w:divBdr>
                    </w:div>
                  </w:divsChild>
                </w:div>
                <w:div w:id="71121455">
                  <w:marLeft w:val="0"/>
                  <w:marRight w:val="0"/>
                  <w:marTop w:val="0"/>
                  <w:marBottom w:val="0"/>
                  <w:divBdr>
                    <w:top w:val="none" w:sz="0" w:space="0" w:color="auto"/>
                    <w:left w:val="none" w:sz="0" w:space="0" w:color="auto"/>
                    <w:bottom w:val="none" w:sz="0" w:space="0" w:color="auto"/>
                    <w:right w:val="none" w:sz="0" w:space="0" w:color="auto"/>
                  </w:divBdr>
                  <w:divsChild>
                    <w:div w:id="1655064141">
                      <w:marLeft w:val="0"/>
                      <w:marRight w:val="0"/>
                      <w:marTop w:val="0"/>
                      <w:marBottom w:val="0"/>
                      <w:divBdr>
                        <w:top w:val="none" w:sz="0" w:space="0" w:color="auto"/>
                        <w:left w:val="none" w:sz="0" w:space="0" w:color="auto"/>
                        <w:bottom w:val="none" w:sz="0" w:space="0" w:color="auto"/>
                        <w:right w:val="none" w:sz="0" w:space="0" w:color="auto"/>
                      </w:divBdr>
                    </w:div>
                  </w:divsChild>
                </w:div>
                <w:div w:id="1721245493">
                  <w:marLeft w:val="0"/>
                  <w:marRight w:val="0"/>
                  <w:marTop w:val="0"/>
                  <w:marBottom w:val="0"/>
                  <w:divBdr>
                    <w:top w:val="none" w:sz="0" w:space="0" w:color="auto"/>
                    <w:left w:val="none" w:sz="0" w:space="0" w:color="auto"/>
                    <w:bottom w:val="none" w:sz="0" w:space="0" w:color="auto"/>
                    <w:right w:val="none" w:sz="0" w:space="0" w:color="auto"/>
                  </w:divBdr>
                  <w:divsChild>
                    <w:div w:id="903879418">
                      <w:marLeft w:val="0"/>
                      <w:marRight w:val="0"/>
                      <w:marTop w:val="0"/>
                      <w:marBottom w:val="0"/>
                      <w:divBdr>
                        <w:top w:val="none" w:sz="0" w:space="0" w:color="auto"/>
                        <w:left w:val="none" w:sz="0" w:space="0" w:color="auto"/>
                        <w:bottom w:val="none" w:sz="0" w:space="0" w:color="auto"/>
                        <w:right w:val="none" w:sz="0" w:space="0" w:color="auto"/>
                      </w:divBdr>
                    </w:div>
                  </w:divsChild>
                </w:div>
                <w:div w:id="1905022958">
                  <w:marLeft w:val="0"/>
                  <w:marRight w:val="0"/>
                  <w:marTop w:val="0"/>
                  <w:marBottom w:val="0"/>
                  <w:divBdr>
                    <w:top w:val="none" w:sz="0" w:space="0" w:color="auto"/>
                    <w:left w:val="none" w:sz="0" w:space="0" w:color="auto"/>
                    <w:bottom w:val="none" w:sz="0" w:space="0" w:color="auto"/>
                    <w:right w:val="none" w:sz="0" w:space="0" w:color="auto"/>
                  </w:divBdr>
                  <w:divsChild>
                    <w:div w:id="1385830121">
                      <w:marLeft w:val="0"/>
                      <w:marRight w:val="0"/>
                      <w:marTop w:val="0"/>
                      <w:marBottom w:val="0"/>
                      <w:divBdr>
                        <w:top w:val="none" w:sz="0" w:space="0" w:color="auto"/>
                        <w:left w:val="none" w:sz="0" w:space="0" w:color="auto"/>
                        <w:bottom w:val="none" w:sz="0" w:space="0" w:color="auto"/>
                        <w:right w:val="none" w:sz="0" w:space="0" w:color="auto"/>
                      </w:divBdr>
                    </w:div>
                  </w:divsChild>
                </w:div>
                <w:div w:id="910964892">
                  <w:marLeft w:val="0"/>
                  <w:marRight w:val="0"/>
                  <w:marTop w:val="0"/>
                  <w:marBottom w:val="0"/>
                  <w:divBdr>
                    <w:top w:val="none" w:sz="0" w:space="0" w:color="auto"/>
                    <w:left w:val="none" w:sz="0" w:space="0" w:color="auto"/>
                    <w:bottom w:val="none" w:sz="0" w:space="0" w:color="auto"/>
                    <w:right w:val="none" w:sz="0" w:space="0" w:color="auto"/>
                  </w:divBdr>
                  <w:divsChild>
                    <w:div w:id="1588074929">
                      <w:marLeft w:val="0"/>
                      <w:marRight w:val="0"/>
                      <w:marTop w:val="0"/>
                      <w:marBottom w:val="0"/>
                      <w:divBdr>
                        <w:top w:val="none" w:sz="0" w:space="0" w:color="auto"/>
                        <w:left w:val="none" w:sz="0" w:space="0" w:color="auto"/>
                        <w:bottom w:val="none" w:sz="0" w:space="0" w:color="auto"/>
                        <w:right w:val="none" w:sz="0" w:space="0" w:color="auto"/>
                      </w:divBdr>
                    </w:div>
                  </w:divsChild>
                </w:div>
                <w:div w:id="538856533">
                  <w:marLeft w:val="0"/>
                  <w:marRight w:val="0"/>
                  <w:marTop w:val="0"/>
                  <w:marBottom w:val="0"/>
                  <w:divBdr>
                    <w:top w:val="none" w:sz="0" w:space="0" w:color="auto"/>
                    <w:left w:val="none" w:sz="0" w:space="0" w:color="auto"/>
                    <w:bottom w:val="none" w:sz="0" w:space="0" w:color="auto"/>
                    <w:right w:val="none" w:sz="0" w:space="0" w:color="auto"/>
                  </w:divBdr>
                  <w:divsChild>
                    <w:div w:id="1256136030">
                      <w:marLeft w:val="0"/>
                      <w:marRight w:val="0"/>
                      <w:marTop w:val="0"/>
                      <w:marBottom w:val="0"/>
                      <w:divBdr>
                        <w:top w:val="none" w:sz="0" w:space="0" w:color="auto"/>
                        <w:left w:val="none" w:sz="0" w:space="0" w:color="auto"/>
                        <w:bottom w:val="none" w:sz="0" w:space="0" w:color="auto"/>
                        <w:right w:val="none" w:sz="0" w:space="0" w:color="auto"/>
                      </w:divBdr>
                    </w:div>
                  </w:divsChild>
                </w:div>
                <w:div w:id="1085804242">
                  <w:marLeft w:val="0"/>
                  <w:marRight w:val="0"/>
                  <w:marTop w:val="0"/>
                  <w:marBottom w:val="0"/>
                  <w:divBdr>
                    <w:top w:val="none" w:sz="0" w:space="0" w:color="auto"/>
                    <w:left w:val="none" w:sz="0" w:space="0" w:color="auto"/>
                    <w:bottom w:val="none" w:sz="0" w:space="0" w:color="auto"/>
                    <w:right w:val="none" w:sz="0" w:space="0" w:color="auto"/>
                  </w:divBdr>
                  <w:divsChild>
                    <w:div w:id="1300955538">
                      <w:marLeft w:val="0"/>
                      <w:marRight w:val="0"/>
                      <w:marTop w:val="0"/>
                      <w:marBottom w:val="0"/>
                      <w:divBdr>
                        <w:top w:val="none" w:sz="0" w:space="0" w:color="auto"/>
                        <w:left w:val="none" w:sz="0" w:space="0" w:color="auto"/>
                        <w:bottom w:val="none" w:sz="0" w:space="0" w:color="auto"/>
                        <w:right w:val="none" w:sz="0" w:space="0" w:color="auto"/>
                      </w:divBdr>
                    </w:div>
                  </w:divsChild>
                </w:div>
                <w:div w:id="364212932">
                  <w:marLeft w:val="0"/>
                  <w:marRight w:val="0"/>
                  <w:marTop w:val="0"/>
                  <w:marBottom w:val="0"/>
                  <w:divBdr>
                    <w:top w:val="none" w:sz="0" w:space="0" w:color="auto"/>
                    <w:left w:val="none" w:sz="0" w:space="0" w:color="auto"/>
                    <w:bottom w:val="none" w:sz="0" w:space="0" w:color="auto"/>
                    <w:right w:val="none" w:sz="0" w:space="0" w:color="auto"/>
                  </w:divBdr>
                  <w:divsChild>
                    <w:div w:id="446657831">
                      <w:marLeft w:val="0"/>
                      <w:marRight w:val="0"/>
                      <w:marTop w:val="0"/>
                      <w:marBottom w:val="0"/>
                      <w:divBdr>
                        <w:top w:val="none" w:sz="0" w:space="0" w:color="auto"/>
                        <w:left w:val="none" w:sz="0" w:space="0" w:color="auto"/>
                        <w:bottom w:val="none" w:sz="0" w:space="0" w:color="auto"/>
                        <w:right w:val="none" w:sz="0" w:space="0" w:color="auto"/>
                      </w:divBdr>
                    </w:div>
                  </w:divsChild>
                </w:div>
                <w:div w:id="1745295239">
                  <w:marLeft w:val="0"/>
                  <w:marRight w:val="0"/>
                  <w:marTop w:val="0"/>
                  <w:marBottom w:val="0"/>
                  <w:divBdr>
                    <w:top w:val="none" w:sz="0" w:space="0" w:color="auto"/>
                    <w:left w:val="none" w:sz="0" w:space="0" w:color="auto"/>
                    <w:bottom w:val="none" w:sz="0" w:space="0" w:color="auto"/>
                    <w:right w:val="none" w:sz="0" w:space="0" w:color="auto"/>
                  </w:divBdr>
                  <w:divsChild>
                    <w:div w:id="1679968587">
                      <w:marLeft w:val="0"/>
                      <w:marRight w:val="0"/>
                      <w:marTop w:val="0"/>
                      <w:marBottom w:val="0"/>
                      <w:divBdr>
                        <w:top w:val="none" w:sz="0" w:space="0" w:color="auto"/>
                        <w:left w:val="none" w:sz="0" w:space="0" w:color="auto"/>
                        <w:bottom w:val="none" w:sz="0" w:space="0" w:color="auto"/>
                        <w:right w:val="none" w:sz="0" w:space="0" w:color="auto"/>
                      </w:divBdr>
                    </w:div>
                  </w:divsChild>
                </w:div>
                <w:div w:id="1232690498">
                  <w:marLeft w:val="0"/>
                  <w:marRight w:val="0"/>
                  <w:marTop w:val="0"/>
                  <w:marBottom w:val="0"/>
                  <w:divBdr>
                    <w:top w:val="none" w:sz="0" w:space="0" w:color="auto"/>
                    <w:left w:val="none" w:sz="0" w:space="0" w:color="auto"/>
                    <w:bottom w:val="none" w:sz="0" w:space="0" w:color="auto"/>
                    <w:right w:val="none" w:sz="0" w:space="0" w:color="auto"/>
                  </w:divBdr>
                  <w:divsChild>
                    <w:div w:id="908617951">
                      <w:marLeft w:val="0"/>
                      <w:marRight w:val="0"/>
                      <w:marTop w:val="0"/>
                      <w:marBottom w:val="0"/>
                      <w:divBdr>
                        <w:top w:val="none" w:sz="0" w:space="0" w:color="auto"/>
                        <w:left w:val="none" w:sz="0" w:space="0" w:color="auto"/>
                        <w:bottom w:val="none" w:sz="0" w:space="0" w:color="auto"/>
                        <w:right w:val="none" w:sz="0" w:space="0" w:color="auto"/>
                      </w:divBdr>
                    </w:div>
                  </w:divsChild>
                </w:div>
                <w:div w:id="110169642">
                  <w:marLeft w:val="0"/>
                  <w:marRight w:val="0"/>
                  <w:marTop w:val="0"/>
                  <w:marBottom w:val="0"/>
                  <w:divBdr>
                    <w:top w:val="none" w:sz="0" w:space="0" w:color="auto"/>
                    <w:left w:val="none" w:sz="0" w:space="0" w:color="auto"/>
                    <w:bottom w:val="none" w:sz="0" w:space="0" w:color="auto"/>
                    <w:right w:val="none" w:sz="0" w:space="0" w:color="auto"/>
                  </w:divBdr>
                  <w:divsChild>
                    <w:div w:id="1566377981">
                      <w:marLeft w:val="0"/>
                      <w:marRight w:val="0"/>
                      <w:marTop w:val="0"/>
                      <w:marBottom w:val="0"/>
                      <w:divBdr>
                        <w:top w:val="none" w:sz="0" w:space="0" w:color="auto"/>
                        <w:left w:val="none" w:sz="0" w:space="0" w:color="auto"/>
                        <w:bottom w:val="none" w:sz="0" w:space="0" w:color="auto"/>
                        <w:right w:val="none" w:sz="0" w:space="0" w:color="auto"/>
                      </w:divBdr>
                    </w:div>
                  </w:divsChild>
                </w:div>
                <w:div w:id="581911427">
                  <w:marLeft w:val="0"/>
                  <w:marRight w:val="0"/>
                  <w:marTop w:val="0"/>
                  <w:marBottom w:val="0"/>
                  <w:divBdr>
                    <w:top w:val="none" w:sz="0" w:space="0" w:color="auto"/>
                    <w:left w:val="none" w:sz="0" w:space="0" w:color="auto"/>
                    <w:bottom w:val="none" w:sz="0" w:space="0" w:color="auto"/>
                    <w:right w:val="none" w:sz="0" w:space="0" w:color="auto"/>
                  </w:divBdr>
                  <w:divsChild>
                    <w:div w:id="2077582594">
                      <w:marLeft w:val="0"/>
                      <w:marRight w:val="0"/>
                      <w:marTop w:val="0"/>
                      <w:marBottom w:val="0"/>
                      <w:divBdr>
                        <w:top w:val="none" w:sz="0" w:space="0" w:color="auto"/>
                        <w:left w:val="none" w:sz="0" w:space="0" w:color="auto"/>
                        <w:bottom w:val="none" w:sz="0" w:space="0" w:color="auto"/>
                        <w:right w:val="none" w:sz="0" w:space="0" w:color="auto"/>
                      </w:divBdr>
                    </w:div>
                  </w:divsChild>
                </w:div>
                <w:div w:id="2094744034">
                  <w:marLeft w:val="0"/>
                  <w:marRight w:val="0"/>
                  <w:marTop w:val="0"/>
                  <w:marBottom w:val="0"/>
                  <w:divBdr>
                    <w:top w:val="none" w:sz="0" w:space="0" w:color="auto"/>
                    <w:left w:val="none" w:sz="0" w:space="0" w:color="auto"/>
                    <w:bottom w:val="none" w:sz="0" w:space="0" w:color="auto"/>
                    <w:right w:val="none" w:sz="0" w:space="0" w:color="auto"/>
                  </w:divBdr>
                  <w:divsChild>
                    <w:div w:id="361056097">
                      <w:marLeft w:val="0"/>
                      <w:marRight w:val="0"/>
                      <w:marTop w:val="0"/>
                      <w:marBottom w:val="0"/>
                      <w:divBdr>
                        <w:top w:val="none" w:sz="0" w:space="0" w:color="auto"/>
                        <w:left w:val="none" w:sz="0" w:space="0" w:color="auto"/>
                        <w:bottom w:val="none" w:sz="0" w:space="0" w:color="auto"/>
                        <w:right w:val="none" w:sz="0" w:space="0" w:color="auto"/>
                      </w:divBdr>
                    </w:div>
                  </w:divsChild>
                </w:div>
                <w:div w:id="565531497">
                  <w:marLeft w:val="0"/>
                  <w:marRight w:val="0"/>
                  <w:marTop w:val="0"/>
                  <w:marBottom w:val="0"/>
                  <w:divBdr>
                    <w:top w:val="none" w:sz="0" w:space="0" w:color="auto"/>
                    <w:left w:val="none" w:sz="0" w:space="0" w:color="auto"/>
                    <w:bottom w:val="none" w:sz="0" w:space="0" w:color="auto"/>
                    <w:right w:val="none" w:sz="0" w:space="0" w:color="auto"/>
                  </w:divBdr>
                  <w:divsChild>
                    <w:div w:id="329456299">
                      <w:marLeft w:val="0"/>
                      <w:marRight w:val="0"/>
                      <w:marTop w:val="0"/>
                      <w:marBottom w:val="0"/>
                      <w:divBdr>
                        <w:top w:val="none" w:sz="0" w:space="0" w:color="auto"/>
                        <w:left w:val="none" w:sz="0" w:space="0" w:color="auto"/>
                        <w:bottom w:val="none" w:sz="0" w:space="0" w:color="auto"/>
                        <w:right w:val="none" w:sz="0" w:space="0" w:color="auto"/>
                      </w:divBdr>
                    </w:div>
                  </w:divsChild>
                </w:div>
                <w:div w:id="416874947">
                  <w:marLeft w:val="0"/>
                  <w:marRight w:val="0"/>
                  <w:marTop w:val="0"/>
                  <w:marBottom w:val="0"/>
                  <w:divBdr>
                    <w:top w:val="none" w:sz="0" w:space="0" w:color="auto"/>
                    <w:left w:val="none" w:sz="0" w:space="0" w:color="auto"/>
                    <w:bottom w:val="none" w:sz="0" w:space="0" w:color="auto"/>
                    <w:right w:val="none" w:sz="0" w:space="0" w:color="auto"/>
                  </w:divBdr>
                  <w:divsChild>
                    <w:div w:id="238171474">
                      <w:marLeft w:val="0"/>
                      <w:marRight w:val="0"/>
                      <w:marTop w:val="0"/>
                      <w:marBottom w:val="0"/>
                      <w:divBdr>
                        <w:top w:val="none" w:sz="0" w:space="0" w:color="auto"/>
                        <w:left w:val="none" w:sz="0" w:space="0" w:color="auto"/>
                        <w:bottom w:val="none" w:sz="0" w:space="0" w:color="auto"/>
                        <w:right w:val="none" w:sz="0" w:space="0" w:color="auto"/>
                      </w:divBdr>
                    </w:div>
                  </w:divsChild>
                </w:div>
                <w:div w:id="1174956628">
                  <w:marLeft w:val="0"/>
                  <w:marRight w:val="0"/>
                  <w:marTop w:val="0"/>
                  <w:marBottom w:val="0"/>
                  <w:divBdr>
                    <w:top w:val="none" w:sz="0" w:space="0" w:color="auto"/>
                    <w:left w:val="none" w:sz="0" w:space="0" w:color="auto"/>
                    <w:bottom w:val="none" w:sz="0" w:space="0" w:color="auto"/>
                    <w:right w:val="none" w:sz="0" w:space="0" w:color="auto"/>
                  </w:divBdr>
                  <w:divsChild>
                    <w:div w:id="2662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8026">
          <w:marLeft w:val="0"/>
          <w:marRight w:val="0"/>
          <w:marTop w:val="0"/>
          <w:marBottom w:val="0"/>
          <w:divBdr>
            <w:top w:val="none" w:sz="0" w:space="0" w:color="auto"/>
            <w:left w:val="none" w:sz="0" w:space="0" w:color="auto"/>
            <w:bottom w:val="none" w:sz="0" w:space="0" w:color="auto"/>
            <w:right w:val="none" w:sz="0" w:space="0" w:color="auto"/>
          </w:divBdr>
        </w:div>
        <w:div w:id="180169263">
          <w:marLeft w:val="0"/>
          <w:marRight w:val="0"/>
          <w:marTop w:val="0"/>
          <w:marBottom w:val="0"/>
          <w:divBdr>
            <w:top w:val="none" w:sz="0" w:space="0" w:color="auto"/>
            <w:left w:val="none" w:sz="0" w:space="0" w:color="auto"/>
            <w:bottom w:val="none" w:sz="0" w:space="0" w:color="auto"/>
            <w:right w:val="none" w:sz="0" w:space="0" w:color="auto"/>
          </w:divBdr>
        </w:div>
        <w:div w:id="1417049672">
          <w:marLeft w:val="0"/>
          <w:marRight w:val="0"/>
          <w:marTop w:val="0"/>
          <w:marBottom w:val="0"/>
          <w:divBdr>
            <w:top w:val="none" w:sz="0" w:space="0" w:color="auto"/>
            <w:left w:val="none" w:sz="0" w:space="0" w:color="auto"/>
            <w:bottom w:val="none" w:sz="0" w:space="0" w:color="auto"/>
            <w:right w:val="none" w:sz="0" w:space="0" w:color="auto"/>
          </w:divBdr>
        </w:div>
      </w:divsChild>
    </w:div>
    <w:div w:id="1267273382">
      <w:bodyDiv w:val="1"/>
      <w:marLeft w:val="0"/>
      <w:marRight w:val="0"/>
      <w:marTop w:val="0"/>
      <w:marBottom w:val="0"/>
      <w:divBdr>
        <w:top w:val="none" w:sz="0" w:space="0" w:color="auto"/>
        <w:left w:val="none" w:sz="0" w:space="0" w:color="auto"/>
        <w:bottom w:val="none" w:sz="0" w:space="0" w:color="auto"/>
        <w:right w:val="none" w:sz="0" w:space="0" w:color="auto"/>
      </w:divBdr>
      <w:divsChild>
        <w:div w:id="1087728942">
          <w:marLeft w:val="0"/>
          <w:marRight w:val="0"/>
          <w:marTop w:val="0"/>
          <w:marBottom w:val="0"/>
          <w:divBdr>
            <w:top w:val="none" w:sz="0" w:space="0" w:color="auto"/>
            <w:left w:val="none" w:sz="0" w:space="0" w:color="auto"/>
            <w:bottom w:val="none" w:sz="0" w:space="0" w:color="auto"/>
            <w:right w:val="none" w:sz="0" w:space="0" w:color="auto"/>
          </w:divBdr>
        </w:div>
        <w:div w:id="1955820431">
          <w:marLeft w:val="0"/>
          <w:marRight w:val="0"/>
          <w:marTop w:val="0"/>
          <w:marBottom w:val="0"/>
          <w:divBdr>
            <w:top w:val="none" w:sz="0" w:space="0" w:color="auto"/>
            <w:left w:val="none" w:sz="0" w:space="0" w:color="auto"/>
            <w:bottom w:val="none" w:sz="0" w:space="0" w:color="auto"/>
            <w:right w:val="none" w:sz="0" w:space="0" w:color="auto"/>
          </w:divBdr>
        </w:div>
        <w:div w:id="1870795913">
          <w:marLeft w:val="0"/>
          <w:marRight w:val="0"/>
          <w:marTop w:val="0"/>
          <w:marBottom w:val="0"/>
          <w:divBdr>
            <w:top w:val="none" w:sz="0" w:space="0" w:color="auto"/>
            <w:left w:val="none" w:sz="0" w:space="0" w:color="auto"/>
            <w:bottom w:val="none" w:sz="0" w:space="0" w:color="auto"/>
            <w:right w:val="none" w:sz="0" w:space="0" w:color="auto"/>
          </w:divBdr>
        </w:div>
      </w:divsChild>
    </w:div>
    <w:div w:id="1287468257">
      <w:bodyDiv w:val="1"/>
      <w:marLeft w:val="0"/>
      <w:marRight w:val="0"/>
      <w:marTop w:val="0"/>
      <w:marBottom w:val="0"/>
      <w:divBdr>
        <w:top w:val="none" w:sz="0" w:space="0" w:color="auto"/>
        <w:left w:val="none" w:sz="0" w:space="0" w:color="auto"/>
        <w:bottom w:val="none" w:sz="0" w:space="0" w:color="auto"/>
        <w:right w:val="none" w:sz="0" w:space="0" w:color="auto"/>
      </w:divBdr>
      <w:divsChild>
        <w:div w:id="1067996978">
          <w:marLeft w:val="0"/>
          <w:marRight w:val="0"/>
          <w:marTop w:val="0"/>
          <w:marBottom w:val="0"/>
          <w:divBdr>
            <w:top w:val="none" w:sz="0" w:space="0" w:color="auto"/>
            <w:left w:val="none" w:sz="0" w:space="0" w:color="auto"/>
            <w:bottom w:val="none" w:sz="0" w:space="0" w:color="auto"/>
            <w:right w:val="none" w:sz="0" w:space="0" w:color="auto"/>
          </w:divBdr>
        </w:div>
        <w:div w:id="745803308">
          <w:marLeft w:val="0"/>
          <w:marRight w:val="0"/>
          <w:marTop w:val="0"/>
          <w:marBottom w:val="0"/>
          <w:divBdr>
            <w:top w:val="none" w:sz="0" w:space="0" w:color="auto"/>
            <w:left w:val="none" w:sz="0" w:space="0" w:color="auto"/>
            <w:bottom w:val="none" w:sz="0" w:space="0" w:color="auto"/>
            <w:right w:val="none" w:sz="0" w:space="0" w:color="auto"/>
          </w:divBdr>
        </w:div>
      </w:divsChild>
    </w:div>
    <w:div w:id="1318612481">
      <w:bodyDiv w:val="1"/>
      <w:marLeft w:val="0"/>
      <w:marRight w:val="0"/>
      <w:marTop w:val="0"/>
      <w:marBottom w:val="0"/>
      <w:divBdr>
        <w:top w:val="none" w:sz="0" w:space="0" w:color="auto"/>
        <w:left w:val="none" w:sz="0" w:space="0" w:color="auto"/>
        <w:bottom w:val="none" w:sz="0" w:space="0" w:color="auto"/>
        <w:right w:val="none" w:sz="0" w:space="0" w:color="auto"/>
      </w:divBdr>
      <w:divsChild>
        <w:div w:id="1125654385">
          <w:marLeft w:val="0"/>
          <w:marRight w:val="0"/>
          <w:marTop w:val="0"/>
          <w:marBottom w:val="0"/>
          <w:divBdr>
            <w:top w:val="none" w:sz="0" w:space="0" w:color="auto"/>
            <w:left w:val="none" w:sz="0" w:space="0" w:color="auto"/>
            <w:bottom w:val="none" w:sz="0" w:space="0" w:color="auto"/>
            <w:right w:val="none" w:sz="0" w:space="0" w:color="auto"/>
          </w:divBdr>
        </w:div>
        <w:div w:id="1000695732">
          <w:marLeft w:val="0"/>
          <w:marRight w:val="0"/>
          <w:marTop w:val="0"/>
          <w:marBottom w:val="0"/>
          <w:divBdr>
            <w:top w:val="none" w:sz="0" w:space="0" w:color="auto"/>
            <w:left w:val="none" w:sz="0" w:space="0" w:color="auto"/>
            <w:bottom w:val="none" w:sz="0" w:space="0" w:color="auto"/>
            <w:right w:val="none" w:sz="0" w:space="0" w:color="auto"/>
          </w:divBdr>
        </w:div>
        <w:div w:id="379479046">
          <w:marLeft w:val="0"/>
          <w:marRight w:val="0"/>
          <w:marTop w:val="0"/>
          <w:marBottom w:val="0"/>
          <w:divBdr>
            <w:top w:val="none" w:sz="0" w:space="0" w:color="auto"/>
            <w:left w:val="none" w:sz="0" w:space="0" w:color="auto"/>
            <w:bottom w:val="none" w:sz="0" w:space="0" w:color="auto"/>
            <w:right w:val="none" w:sz="0" w:space="0" w:color="auto"/>
          </w:divBdr>
        </w:div>
      </w:divsChild>
    </w:div>
    <w:div w:id="1321038780">
      <w:bodyDiv w:val="1"/>
      <w:marLeft w:val="0"/>
      <w:marRight w:val="0"/>
      <w:marTop w:val="0"/>
      <w:marBottom w:val="0"/>
      <w:divBdr>
        <w:top w:val="none" w:sz="0" w:space="0" w:color="auto"/>
        <w:left w:val="none" w:sz="0" w:space="0" w:color="auto"/>
        <w:bottom w:val="none" w:sz="0" w:space="0" w:color="auto"/>
        <w:right w:val="none" w:sz="0" w:space="0" w:color="auto"/>
      </w:divBdr>
      <w:divsChild>
        <w:div w:id="704253191">
          <w:marLeft w:val="0"/>
          <w:marRight w:val="0"/>
          <w:marTop w:val="0"/>
          <w:marBottom w:val="0"/>
          <w:divBdr>
            <w:top w:val="none" w:sz="0" w:space="0" w:color="auto"/>
            <w:left w:val="none" w:sz="0" w:space="0" w:color="auto"/>
            <w:bottom w:val="none" w:sz="0" w:space="0" w:color="auto"/>
            <w:right w:val="none" w:sz="0" w:space="0" w:color="auto"/>
          </w:divBdr>
          <w:divsChild>
            <w:div w:id="1042246951">
              <w:marLeft w:val="0"/>
              <w:marRight w:val="0"/>
              <w:marTop w:val="0"/>
              <w:marBottom w:val="0"/>
              <w:divBdr>
                <w:top w:val="none" w:sz="0" w:space="0" w:color="auto"/>
                <w:left w:val="none" w:sz="0" w:space="0" w:color="auto"/>
                <w:bottom w:val="none" w:sz="0" w:space="0" w:color="auto"/>
                <w:right w:val="none" w:sz="0" w:space="0" w:color="auto"/>
              </w:divBdr>
            </w:div>
          </w:divsChild>
        </w:div>
        <w:div w:id="844326597">
          <w:marLeft w:val="0"/>
          <w:marRight w:val="0"/>
          <w:marTop w:val="0"/>
          <w:marBottom w:val="0"/>
          <w:divBdr>
            <w:top w:val="none" w:sz="0" w:space="0" w:color="auto"/>
            <w:left w:val="none" w:sz="0" w:space="0" w:color="auto"/>
            <w:bottom w:val="none" w:sz="0" w:space="0" w:color="auto"/>
            <w:right w:val="none" w:sz="0" w:space="0" w:color="auto"/>
          </w:divBdr>
          <w:divsChild>
            <w:div w:id="1610237581">
              <w:marLeft w:val="0"/>
              <w:marRight w:val="0"/>
              <w:marTop w:val="0"/>
              <w:marBottom w:val="0"/>
              <w:divBdr>
                <w:top w:val="none" w:sz="0" w:space="0" w:color="auto"/>
                <w:left w:val="none" w:sz="0" w:space="0" w:color="auto"/>
                <w:bottom w:val="none" w:sz="0" w:space="0" w:color="auto"/>
                <w:right w:val="none" w:sz="0" w:space="0" w:color="auto"/>
              </w:divBdr>
            </w:div>
          </w:divsChild>
        </w:div>
        <w:div w:id="752044444">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 w:id="301809864">
          <w:marLeft w:val="0"/>
          <w:marRight w:val="0"/>
          <w:marTop w:val="0"/>
          <w:marBottom w:val="0"/>
          <w:divBdr>
            <w:top w:val="none" w:sz="0" w:space="0" w:color="auto"/>
            <w:left w:val="none" w:sz="0" w:space="0" w:color="auto"/>
            <w:bottom w:val="none" w:sz="0" w:space="0" w:color="auto"/>
            <w:right w:val="none" w:sz="0" w:space="0" w:color="auto"/>
          </w:divBdr>
          <w:divsChild>
            <w:div w:id="80564580">
              <w:marLeft w:val="0"/>
              <w:marRight w:val="0"/>
              <w:marTop w:val="0"/>
              <w:marBottom w:val="0"/>
              <w:divBdr>
                <w:top w:val="none" w:sz="0" w:space="0" w:color="auto"/>
                <w:left w:val="none" w:sz="0" w:space="0" w:color="auto"/>
                <w:bottom w:val="none" w:sz="0" w:space="0" w:color="auto"/>
                <w:right w:val="none" w:sz="0" w:space="0" w:color="auto"/>
              </w:divBdr>
            </w:div>
          </w:divsChild>
        </w:div>
        <w:div w:id="167134304">
          <w:marLeft w:val="0"/>
          <w:marRight w:val="0"/>
          <w:marTop w:val="0"/>
          <w:marBottom w:val="0"/>
          <w:divBdr>
            <w:top w:val="none" w:sz="0" w:space="0" w:color="auto"/>
            <w:left w:val="none" w:sz="0" w:space="0" w:color="auto"/>
            <w:bottom w:val="none" w:sz="0" w:space="0" w:color="auto"/>
            <w:right w:val="none" w:sz="0" w:space="0" w:color="auto"/>
          </w:divBdr>
          <w:divsChild>
            <w:div w:id="1696078500">
              <w:marLeft w:val="0"/>
              <w:marRight w:val="0"/>
              <w:marTop w:val="0"/>
              <w:marBottom w:val="0"/>
              <w:divBdr>
                <w:top w:val="none" w:sz="0" w:space="0" w:color="auto"/>
                <w:left w:val="none" w:sz="0" w:space="0" w:color="auto"/>
                <w:bottom w:val="none" w:sz="0" w:space="0" w:color="auto"/>
                <w:right w:val="none" w:sz="0" w:space="0" w:color="auto"/>
              </w:divBdr>
            </w:div>
          </w:divsChild>
        </w:div>
        <w:div w:id="187302246">
          <w:marLeft w:val="0"/>
          <w:marRight w:val="0"/>
          <w:marTop w:val="0"/>
          <w:marBottom w:val="0"/>
          <w:divBdr>
            <w:top w:val="none" w:sz="0" w:space="0" w:color="auto"/>
            <w:left w:val="none" w:sz="0" w:space="0" w:color="auto"/>
            <w:bottom w:val="none" w:sz="0" w:space="0" w:color="auto"/>
            <w:right w:val="none" w:sz="0" w:space="0" w:color="auto"/>
          </w:divBdr>
          <w:divsChild>
            <w:div w:id="596716013">
              <w:marLeft w:val="0"/>
              <w:marRight w:val="0"/>
              <w:marTop w:val="0"/>
              <w:marBottom w:val="0"/>
              <w:divBdr>
                <w:top w:val="none" w:sz="0" w:space="0" w:color="auto"/>
                <w:left w:val="none" w:sz="0" w:space="0" w:color="auto"/>
                <w:bottom w:val="none" w:sz="0" w:space="0" w:color="auto"/>
                <w:right w:val="none" w:sz="0" w:space="0" w:color="auto"/>
              </w:divBdr>
            </w:div>
          </w:divsChild>
        </w:div>
        <w:div w:id="1225145932">
          <w:marLeft w:val="0"/>
          <w:marRight w:val="0"/>
          <w:marTop w:val="0"/>
          <w:marBottom w:val="0"/>
          <w:divBdr>
            <w:top w:val="none" w:sz="0" w:space="0" w:color="auto"/>
            <w:left w:val="none" w:sz="0" w:space="0" w:color="auto"/>
            <w:bottom w:val="none" w:sz="0" w:space="0" w:color="auto"/>
            <w:right w:val="none" w:sz="0" w:space="0" w:color="auto"/>
          </w:divBdr>
          <w:divsChild>
            <w:div w:id="665286629">
              <w:marLeft w:val="0"/>
              <w:marRight w:val="0"/>
              <w:marTop w:val="0"/>
              <w:marBottom w:val="0"/>
              <w:divBdr>
                <w:top w:val="none" w:sz="0" w:space="0" w:color="auto"/>
                <w:left w:val="none" w:sz="0" w:space="0" w:color="auto"/>
                <w:bottom w:val="none" w:sz="0" w:space="0" w:color="auto"/>
                <w:right w:val="none" w:sz="0" w:space="0" w:color="auto"/>
              </w:divBdr>
            </w:div>
          </w:divsChild>
        </w:div>
        <w:div w:id="558856748">
          <w:marLeft w:val="0"/>
          <w:marRight w:val="0"/>
          <w:marTop w:val="0"/>
          <w:marBottom w:val="0"/>
          <w:divBdr>
            <w:top w:val="none" w:sz="0" w:space="0" w:color="auto"/>
            <w:left w:val="none" w:sz="0" w:space="0" w:color="auto"/>
            <w:bottom w:val="none" w:sz="0" w:space="0" w:color="auto"/>
            <w:right w:val="none" w:sz="0" w:space="0" w:color="auto"/>
          </w:divBdr>
          <w:divsChild>
            <w:div w:id="316616018">
              <w:marLeft w:val="0"/>
              <w:marRight w:val="0"/>
              <w:marTop w:val="0"/>
              <w:marBottom w:val="0"/>
              <w:divBdr>
                <w:top w:val="none" w:sz="0" w:space="0" w:color="auto"/>
                <w:left w:val="none" w:sz="0" w:space="0" w:color="auto"/>
                <w:bottom w:val="none" w:sz="0" w:space="0" w:color="auto"/>
                <w:right w:val="none" w:sz="0" w:space="0" w:color="auto"/>
              </w:divBdr>
            </w:div>
            <w:div w:id="876969950">
              <w:marLeft w:val="0"/>
              <w:marRight w:val="0"/>
              <w:marTop w:val="0"/>
              <w:marBottom w:val="0"/>
              <w:divBdr>
                <w:top w:val="none" w:sz="0" w:space="0" w:color="auto"/>
                <w:left w:val="none" w:sz="0" w:space="0" w:color="auto"/>
                <w:bottom w:val="none" w:sz="0" w:space="0" w:color="auto"/>
                <w:right w:val="none" w:sz="0" w:space="0" w:color="auto"/>
              </w:divBdr>
            </w:div>
          </w:divsChild>
        </w:div>
        <w:div w:id="1442413606">
          <w:marLeft w:val="0"/>
          <w:marRight w:val="0"/>
          <w:marTop w:val="0"/>
          <w:marBottom w:val="0"/>
          <w:divBdr>
            <w:top w:val="none" w:sz="0" w:space="0" w:color="auto"/>
            <w:left w:val="none" w:sz="0" w:space="0" w:color="auto"/>
            <w:bottom w:val="none" w:sz="0" w:space="0" w:color="auto"/>
            <w:right w:val="none" w:sz="0" w:space="0" w:color="auto"/>
          </w:divBdr>
          <w:divsChild>
            <w:div w:id="293827301">
              <w:marLeft w:val="0"/>
              <w:marRight w:val="0"/>
              <w:marTop w:val="0"/>
              <w:marBottom w:val="0"/>
              <w:divBdr>
                <w:top w:val="none" w:sz="0" w:space="0" w:color="auto"/>
                <w:left w:val="none" w:sz="0" w:space="0" w:color="auto"/>
                <w:bottom w:val="none" w:sz="0" w:space="0" w:color="auto"/>
                <w:right w:val="none" w:sz="0" w:space="0" w:color="auto"/>
              </w:divBdr>
            </w:div>
          </w:divsChild>
        </w:div>
        <w:div w:id="1891334515">
          <w:marLeft w:val="0"/>
          <w:marRight w:val="0"/>
          <w:marTop w:val="0"/>
          <w:marBottom w:val="0"/>
          <w:divBdr>
            <w:top w:val="none" w:sz="0" w:space="0" w:color="auto"/>
            <w:left w:val="none" w:sz="0" w:space="0" w:color="auto"/>
            <w:bottom w:val="none" w:sz="0" w:space="0" w:color="auto"/>
            <w:right w:val="none" w:sz="0" w:space="0" w:color="auto"/>
          </w:divBdr>
          <w:divsChild>
            <w:div w:id="1933928088">
              <w:marLeft w:val="0"/>
              <w:marRight w:val="0"/>
              <w:marTop w:val="0"/>
              <w:marBottom w:val="0"/>
              <w:divBdr>
                <w:top w:val="none" w:sz="0" w:space="0" w:color="auto"/>
                <w:left w:val="none" w:sz="0" w:space="0" w:color="auto"/>
                <w:bottom w:val="none" w:sz="0" w:space="0" w:color="auto"/>
                <w:right w:val="none" w:sz="0" w:space="0" w:color="auto"/>
              </w:divBdr>
            </w:div>
          </w:divsChild>
        </w:div>
        <w:div w:id="579221838">
          <w:marLeft w:val="0"/>
          <w:marRight w:val="0"/>
          <w:marTop w:val="0"/>
          <w:marBottom w:val="0"/>
          <w:divBdr>
            <w:top w:val="none" w:sz="0" w:space="0" w:color="auto"/>
            <w:left w:val="none" w:sz="0" w:space="0" w:color="auto"/>
            <w:bottom w:val="none" w:sz="0" w:space="0" w:color="auto"/>
            <w:right w:val="none" w:sz="0" w:space="0" w:color="auto"/>
          </w:divBdr>
          <w:divsChild>
            <w:div w:id="1352493371">
              <w:marLeft w:val="0"/>
              <w:marRight w:val="0"/>
              <w:marTop w:val="0"/>
              <w:marBottom w:val="0"/>
              <w:divBdr>
                <w:top w:val="none" w:sz="0" w:space="0" w:color="auto"/>
                <w:left w:val="none" w:sz="0" w:space="0" w:color="auto"/>
                <w:bottom w:val="none" w:sz="0" w:space="0" w:color="auto"/>
                <w:right w:val="none" w:sz="0" w:space="0" w:color="auto"/>
              </w:divBdr>
            </w:div>
          </w:divsChild>
        </w:div>
        <w:div w:id="870725107">
          <w:marLeft w:val="0"/>
          <w:marRight w:val="0"/>
          <w:marTop w:val="0"/>
          <w:marBottom w:val="0"/>
          <w:divBdr>
            <w:top w:val="none" w:sz="0" w:space="0" w:color="auto"/>
            <w:left w:val="none" w:sz="0" w:space="0" w:color="auto"/>
            <w:bottom w:val="none" w:sz="0" w:space="0" w:color="auto"/>
            <w:right w:val="none" w:sz="0" w:space="0" w:color="auto"/>
          </w:divBdr>
          <w:divsChild>
            <w:div w:id="286204661">
              <w:marLeft w:val="0"/>
              <w:marRight w:val="0"/>
              <w:marTop w:val="0"/>
              <w:marBottom w:val="0"/>
              <w:divBdr>
                <w:top w:val="none" w:sz="0" w:space="0" w:color="auto"/>
                <w:left w:val="none" w:sz="0" w:space="0" w:color="auto"/>
                <w:bottom w:val="none" w:sz="0" w:space="0" w:color="auto"/>
                <w:right w:val="none" w:sz="0" w:space="0" w:color="auto"/>
              </w:divBdr>
            </w:div>
          </w:divsChild>
        </w:div>
        <w:div w:id="798064348">
          <w:marLeft w:val="0"/>
          <w:marRight w:val="0"/>
          <w:marTop w:val="0"/>
          <w:marBottom w:val="0"/>
          <w:divBdr>
            <w:top w:val="none" w:sz="0" w:space="0" w:color="auto"/>
            <w:left w:val="none" w:sz="0" w:space="0" w:color="auto"/>
            <w:bottom w:val="none" w:sz="0" w:space="0" w:color="auto"/>
            <w:right w:val="none" w:sz="0" w:space="0" w:color="auto"/>
          </w:divBdr>
          <w:divsChild>
            <w:div w:id="963729128">
              <w:marLeft w:val="0"/>
              <w:marRight w:val="0"/>
              <w:marTop w:val="0"/>
              <w:marBottom w:val="0"/>
              <w:divBdr>
                <w:top w:val="none" w:sz="0" w:space="0" w:color="auto"/>
                <w:left w:val="none" w:sz="0" w:space="0" w:color="auto"/>
                <w:bottom w:val="none" w:sz="0" w:space="0" w:color="auto"/>
                <w:right w:val="none" w:sz="0" w:space="0" w:color="auto"/>
              </w:divBdr>
            </w:div>
          </w:divsChild>
        </w:div>
        <w:div w:id="1184440528">
          <w:marLeft w:val="0"/>
          <w:marRight w:val="0"/>
          <w:marTop w:val="0"/>
          <w:marBottom w:val="0"/>
          <w:divBdr>
            <w:top w:val="none" w:sz="0" w:space="0" w:color="auto"/>
            <w:left w:val="none" w:sz="0" w:space="0" w:color="auto"/>
            <w:bottom w:val="none" w:sz="0" w:space="0" w:color="auto"/>
            <w:right w:val="none" w:sz="0" w:space="0" w:color="auto"/>
          </w:divBdr>
          <w:divsChild>
            <w:div w:id="1683123485">
              <w:marLeft w:val="0"/>
              <w:marRight w:val="0"/>
              <w:marTop w:val="0"/>
              <w:marBottom w:val="0"/>
              <w:divBdr>
                <w:top w:val="none" w:sz="0" w:space="0" w:color="auto"/>
                <w:left w:val="none" w:sz="0" w:space="0" w:color="auto"/>
                <w:bottom w:val="none" w:sz="0" w:space="0" w:color="auto"/>
                <w:right w:val="none" w:sz="0" w:space="0" w:color="auto"/>
              </w:divBdr>
            </w:div>
            <w:div w:id="609896818">
              <w:marLeft w:val="0"/>
              <w:marRight w:val="0"/>
              <w:marTop w:val="0"/>
              <w:marBottom w:val="0"/>
              <w:divBdr>
                <w:top w:val="none" w:sz="0" w:space="0" w:color="auto"/>
                <w:left w:val="none" w:sz="0" w:space="0" w:color="auto"/>
                <w:bottom w:val="none" w:sz="0" w:space="0" w:color="auto"/>
                <w:right w:val="none" w:sz="0" w:space="0" w:color="auto"/>
              </w:divBdr>
            </w:div>
          </w:divsChild>
        </w:div>
        <w:div w:id="163085152">
          <w:marLeft w:val="0"/>
          <w:marRight w:val="0"/>
          <w:marTop w:val="0"/>
          <w:marBottom w:val="0"/>
          <w:divBdr>
            <w:top w:val="none" w:sz="0" w:space="0" w:color="auto"/>
            <w:left w:val="none" w:sz="0" w:space="0" w:color="auto"/>
            <w:bottom w:val="none" w:sz="0" w:space="0" w:color="auto"/>
            <w:right w:val="none" w:sz="0" w:space="0" w:color="auto"/>
          </w:divBdr>
          <w:divsChild>
            <w:div w:id="1801796956">
              <w:marLeft w:val="0"/>
              <w:marRight w:val="0"/>
              <w:marTop w:val="0"/>
              <w:marBottom w:val="0"/>
              <w:divBdr>
                <w:top w:val="none" w:sz="0" w:space="0" w:color="auto"/>
                <w:left w:val="none" w:sz="0" w:space="0" w:color="auto"/>
                <w:bottom w:val="none" w:sz="0" w:space="0" w:color="auto"/>
                <w:right w:val="none" w:sz="0" w:space="0" w:color="auto"/>
              </w:divBdr>
            </w:div>
          </w:divsChild>
        </w:div>
        <w:div w:id="322050552">
          <w:marLeft w:val="0"/>
          <w:marRight w:val="0"/>
          <w:marTop w:val="0"/>
          <w:marBottom w:val="0"/>
          <w:divBdr>
            <w:top w:val="none" w:sz="0" w:space="0" w:color="auto"/>
            <w:left w:val="none" w:sz="0" w:space="0" w:color="auto"/>
            <w:bottom w:val="none" w:sz="0" w:space="0" w:color="auto"/>
            <w:right w:val="none" w:sz="0" w:space="0" w:color="auto"/>
          </w:divBdr>
          <w:divsChild>
            <w:div w:id="13410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3767">
      <w:bodyDiv w:val="1"/>
      <w:marLeft w:val="0"/>
      <w:marRight w:val="0"/>
      <w:marTop w:val="0"/>
      <w:marBottom w:val="0"/>
      <w:divBdr>
        <w:top w:val="none" w:sz="0" w:space="0" w:color="auto"/>
        <w:left w:val="none" w:sz="0" w:space="0" w:color="auto"/>
        <w:bottom w:val="none" w:sz="0" w:space="0" w:color="auto"/>
        <w:right w:val="none" w:sz="0" w:space="0" w:color="auto"/>
      </w:divBdr>
    </w:div>
    <w:div w:id="1360935644">
      <w:bodyDiv w:val="1"/>
      <w:marLeft w:val="0"/>
      <w:marRight w:val="0"/>
      <w:marTop w:val="0"/>
      <w:marBottom w:val="0"/>
      <w:divBdr>
        <w:top w:val="none" w:sz="0" w:space="0" w:color="auto"/>
        <w:left w:val="none" w:sz="0" w:space="0" w:color="auto"/>
        <w:bottom w:val="none" w:sz="0" w:space="0" w:color="auto"/>
        <w:right w:val="none" w:sz="0" w:space="0" w:color="auto"/>
      </w:divBdr>
    </w:div>
    <w:div w:id="1399938912">
      <w:bodyDiv w:val="1"/>
      <w:marLeft w:val="0"/>
      <w:marRight w:val="0"/>
      <w:marTop w:val="0"/>
      <w:marBottom w:val="0"/>
      <w:divBdr>
        <w:top w:val="none" w:sz="0" w:space="0" w:color="auto"/>
        <w:left w:val="none" w:sz="0" w:space="0" w:color="auto"/>
        <w:bottom w:val="none" w:sz="0" w:space="0" w:color="auto"/>
        <w:right w:val="none" w:sz="0" w:space="0" w:color="auto"/>
      </w:divBdr>
      <w:divsChild>
        <w:div w:id="716583910">
          <w:marLeft w:val="0"/>
          <w:marRight w:val="0"/>
          <w:marTop w:val="0"/>
          <w:marBottom w:val="0"/>
          <w:divBdr>
            <w:top w:val="none" w:sz="0" w:space="0" w:color="auto"/>
            <w:left w:val="none" w:sz="0" w:space="0" w:color="auto"/>
            <w:bottom w:val="none" w:sz="0" w:space="0" w:color="auto"/>
            <w:right w:val="none" w:sz="0" w:space="0" w:color="auto"/>
          </w:divBdr>
        </w:div>
        <w:div w:id="397629407">
          <w:marLeft w:val="0"/>
          <w:marRight w:val="0"/>
          <w:marTop w:val="0"/>
          <w:marBottom w:val="0"/>
          <w:divBdr>
            <w:top w:val="none" w:sz="0" w:space="0" w:color="auto"/>
            <w:left w:val="none" w:sz="0" w:space="0" w:color="auto"/>
            <w:bottom w:val="none" w:sz="0" w:space="0" w:color="auto"/>
            <w:right w:val="none" w:sz="0" w:space="0" w:color="auto"/>
          </w:divBdr>
        </w:div>
        <w:div w:id="865488589">
          <w:marLeft w:val="0"/>
          <w:marRight w:val="0"/>
          <w:marTop w:val="0"/>
          <w:marBottom w:val="0"/>
          <w:divBdr>
            <w:top w:val="none" w:sz="0" w:space="0" w:color="auto"/>
            <w:left w:val="none" w:sz="0" w:space="0" w:color="auto"/>
            <w:bottom w:val="none" w:sz="0" w:space="0" w:color="auto"/>
            <w:right w:val="none" w:sz="0" w:space="0" w:color="auto"/>
          </w:divBdr>
        </w:div>
        <w:div w:id="491919675">
          <w:marLeft w:val="0"/>
          <w:marRight w:val="0"/>
          <w:marTop w:val="0"/>
          <w:marBottom w:val="0"/>
          <w:divBdr>
            <w:top w:val="none" w:sz="0" w:space="0" w:color="auto"/>
            <w:left w:val="none" w:sz="0" w:space="0" w:color="auto"/>
            <w:bottom w:val="none" w:sz="0" w:space="0" w:color="auto"/>
            <w:right w:val="none" w:sz="0" w:space="0" w:color="auto"/>
          </w:divBdr>
        </w:div>
        <w:div w:id="1899783291">
          <w:marLeft w:val="0"/>
          <w:marRight w:val="0"/>
          <w:marTop w:val="0"/>
          <w:marBottom w:val="0"/>
          <w:divBdr>
            <w:top w:val="none" w:sz="0" w:space="0" w:color="auto"/>
            <w:left w:val="none" w:sz="0" w:space="0" w:color="auto"/>
            <w:bottom w:val="none" w:sz="0" w:space="0" w:color="auto"/>
            <w:right w:val="none" w:sz="0" w:space="0" w:color="auto"/>
          </w:divBdr>
        </w:div>
        <w:div w:id="1935700291">
          <w:marLeft w:val="0"/>
          <w:marRight w:val="0"/>
          <w:marTop w:val="0"/>
          <w:marBottom w:val="0"/>
          <w:divBdr>
            <w:top w:val="none" w:sz="0" w:space="0" w:color="auto"/>
            <w:left w:val="none" w:sz="0" w:space="0" w:color="auto"/>
            <w:bottom w:val="none" w:sz="0" w:space="0" w:color="auto"/>
            <w:right w:val="none" w:sz="0" w:space="0" w:color="auto"/>
          </w:divBdr>
        </w:div>
        <w:div w:id="1234123285">
          <w:marLeft w:val="0"/>
          <w:marRight w:val="0"/>
          <w:marTop w:val="0"/>
          <w:marBottom w:val="0"/>
          <w:divBdr>
            <w:top w:val="none" w:sz="0" w:space="0" w:color="auto"/>
            <w:left w:val="none" w:sz="0" w:space="0" w:color="auto"/>
            <w:bottom w:val="none" w:sz="0" w:space="0" w:color="auto"/>
            <w:right w:val="none" w:sz="0" w:space="0" w:color="auto"/>
          </w:divBdr>
        </w:div>
        <w:div w:id="1549029443">
          <w:marLeft w:val="0"/>
          <w:marRight w:val="0"/>
          <w:marTop w:val="0"/>
          <w:marBottom w:val="0"/>
          <w:divBdr>
            <w:top w:val="none" w:sz="0" w:space="0" w:color="auto"/>
            <w:left w:val="none" w:sz="0" w:space="0" w:color="auto"/>
            <w:bottom w:val="none" w:sz="0" w:space="0" w:color="auto"/>
            <w:right w:val="none" w:sz="0" w:space="0" w:color="auto"/>
          </w:divBdr>
        </w:div>
        <w:div w:id="733968706">
          <w:marLeft w:val="0"/>
          <w:marRight w:val="0"/>
          <w:marTop w:val="0"/>
          <w:marBottom w:val="0"/>
          <w:divBdr>
            <w:top w:val="none" w:sz="0" w:space="0" w:color="auto"/>
            <w:left w:val="none" w:sz="0" w:space="0" w:color="auto"/>
            <w:bottom w:val="none" w:sz="0" w:space="0" w:color="auto"/>
            <w:right w:val="none" w:sz="0" w:space="0" w:color="auto"/>
          </w:divBdr>
        </w:div>
        <w:div w:id="1971470599">
          <w:marLeft w:val="0"/>
          <w:marRight w:val="0"/>
          <w:marTop w:val="0"/>
          <w:marBottom w:val="0"/>
          <w:divBdr>
            <w:top w:val="none" w:sz="0" w:space="0" w:color="auto"/>
            <w:left w:val="none" w:sz="0" w:space="0" w:color="auto"/>
            <w:bottom w:val="none" w:sz="0" w:space="0" w:color="auto"/>
            <w:right w:val="none" w:sz="0" w:space="0" w:color="auto"/>
          </w:divBdr>
        </w:div>
        <w:div w:id="962805780">
          <w:marLeft w:val="0"/>
          <w:marRight w:val="0"/>
          <w:marTop w:val="0"/>
          <w:marBottom w:val="0"/>
          <w:divBdr>
            <w:top w:val="none" w:sz="0" w:space="0" w:color="auto"/>
            <w:left w:val="none" w:sz="0" w:space="0" w:color="auto"/>
            <w:bottom w:val="none" w:sz="0" w:space="0" w:color="auto"/>
            <w:right w:val="none" w:sz="0" w:space="0" w:color="auto"/>
          </w:divBdr>
        </w:div>
      </w:divsChild>
    </w:div>
    <w:div w:id="1400322982">
      <w:bodyDiv w:val="1"/>
      <w:marLeft w:val="0"/>
      <w:marRight w:val="0"/>
      <w:marTop w:val="0"/>
      <w:marBottom w:val="0"/>
      <w:divBdr>
        <w:top w:val="none" w:sz="0" w:space="0" w:color="auto"/>
        <w:left w:val="none" w:sz="0" w:space="0" w:color="auto"/>
        <w:bottom w:val="none" w:sz="0" w:space="0" w:color="auto"/>
        <w:right w:val="none" w:sz="0" w:space="0" w:color="auto"/>
      </w:divBdr>
      <w:divsChild>
        <w:div w:id="1165780278">
          <w:marLeft w:val="0"/>
          <w:marRight w:val="0"/>
          <w:marTop w:val="0"/>
          <w:marBottom w:val="0"/>
          <w:divBdr>
            <w:top w:val="none" w:sz="0" w:space="0" w:color="auto"/>
            <w:left w:val="none" w:sz="0" w:space="0" w:color="auto"/>
            <w:bottom w:val="none" w:sz="0" w:space="0" w:color="auto"/>
            <w:right w:val="none" w:sz="0" w:space="0" w:color="auto"/>
          </w:divBdr>
        </w:div>
        <w:div w:id="2080785687">
          <w:marLeft w:val="0"/>
          <w:marRight w:val="0"/>
          <w:marTop w:val="0"/>
          <w:marBottom w:val="0"/>
          <w:divBdr>
            <w:top w:val="none" w:sz="0" w:space="0" w:color="auto"/>
            <w:left w:val="none" w:sz="0" w:space="0" w:color="auto"/>
            <w:bottom w:val="none" w:sz="0" w:space="0" w:color="auto"/>
            <w:right w:val="none" w:sz="0" w:space="0" w:color="auto"/>
          </w:divBdr>
        </w:div>
        <w:div w:id="706640897">
          <w:marLeft w:val="0"/>
          <w:marRight w:val="0"/>
          <w:marTop w:val="0"/>
          <w:marBottom w:val="0"/>
          <w:divBdr>
            <w:top w:val="none" w:sz="0" w:space="0" w:color="auto"/>
            <w:left w:val="none" w:sz="0" w:space="0" w:color="auto"/>
            <w:bottom w:val="none" w:sz="0" w:space="0" w:color="auto"/>
            <w:right w:val="none" w:sz="0" w:space="0" w:color="auto"/>
          </w:divBdr>
        </w:div>
      </w:divsChild>
    </w:div>
    <w:div w:id="1407655506">
      <w:bodyDiv w:val="1"/>
      <w:marLeft w:val="0"/>
      <w:marRight w:val="0"/>
      <w:marTop w:val="0"/>
      <w:marBottom w:val="0"/>
      <w:divBdr>
        <w:top w:val="none" w:sz="0" w:space="0" w:color="auto"/>
        <w:left w:val="none" w:sz="0" w:space="0" w:color="auto"/>
        <w:bottom w:val="none" w:sz="0" w:space="0" w:color="auto"/>
        <w:right w:val="none" w:sz="0" w:space="0" w:color="auto"/>
      </w:divBdr>
    </w:div>
    <w:div w:id="1426999664">
      <w:bodyDiv w:val="1"/>
      <w:marLeft w:val="0"/>
      <w:marRight w:val="0"/>
      <w:marTop w:val="0"/>
      <w:marBottom w:val="0"/>
      <w:divBdr>
        <w:top w:val="none" w:sz="0" w:space="0" w:color="auto"/>
        <w:left w:val="none" w:sz="0" w:space="0" w:color="auto"/>
        <w:bottom w:val="none" w:sz="0" w:space="0" w:color="auto"/>
        <w:right w:val="none" w:sz="0" w:space="0" w:color="auto"/>
      </w:divBdr>
    </w:div>
    <w:div w:id="1429160914">
      <w:bodyDiv w:val="1"/>
      <w:marLeft w:val="0"/>
      <w:marRight w:val="0"/>
      <w:marTop w:val="0"/>
      <w:marBottom w:val="0"/>
      <w:divBdr>
        <w:top w:val="none" w:sz="0" w:space="0" w:color="auto"/>
        <w:left w:val="none" w:sz="0" w:space="0" w:color="auto"/>
        <w:bottom w:val="none" w:sz="0" w:space="0" w:color="auto"/>
        <w:right w:val="none" w:sz="0" w:space="0" w:color="auto"/>
      </w:divBdr>
      <w:divsChild>
        <w:div w:id="1179007950">
          <w:marLeft w:val="0"/>
          <w:marRight w:val="0"/>
          <w:marTop w:val="0"/>
          <w:marBottom w:val="0"/>
          <w:divBdr>
            <w:top w:val="none" w:sz="0" w:space="0" w:color="auto"/>
            <w:left w:val="none" w:sz="0" w:space="0" w:color="auto"/>
            <w:bottom w:val="none" w:sz="0" w:space="0" w:color="auto"/>
            <w:right w:val="none" w:sz="0" w:space="0" w:color="auto"/>
          </w:divBdr>
        </w:div>
        <w:div w:id="2010020294">
          <w:marLeft w:val="0"/>
          <w:marRight w:val="0"/>
          <w:marTop w:val="0"/>
          <w:marBottom w:val="0"/>
          <w:divBdr>
            <w:top w:val="none" w:sz="0" w:space="0" w:color="auto"/>
            <w:left w:val="none" w:sz="0" w:space="0" w:color="auto"/>
            <w:bottom w:val="none" w:sz="0" w:space="0" w:color="auto"/>
            <w:right w:val="none" w:sz="0" w:space="0" w:color="auto"/>
          </w:divBdr>
          <w:divsChild>
            <w:div w:id="1645936761">
              <w:marLeft w:val="0"/>
              <w:marRight w:val="0"/>
              <w:marTop w:val="0"/>
              <w:marBottom w:val="0"/>
              <w:divBdr>
                <w:top w:val="none" w:sz="0" w:space="0" w:color="auto"/>
                <w:left w:val="none" w:sz="0" w:space="0" w:color="auto"/>
                <w:bottom w:val="none" w:sz="0" w:space="0" w:color="auto"/>
                <w:right w:val="none" w:sz="0" w:space="0" w:color="auto"/>
              </w:divBdr>
            </w:div>
            <w:div w:id="896355900">
              <w:marLeft w:val="0"/>
              <w:marRight w:val="0"/>
              <w:marTop w:val="0"/>
              <w:marBottom w:val="0"/>
              <w:divBdr>
                <w:top w:val="none" w:sz="0" w:space="0" w:color="auto"/>
                <w:left w:val="none" w:sz="0" w:space="0" w:color="auto"/>
                <w:bottom w:val="none" w:sz="0" w:space="0" w:color="auto"/>
                <w:right w:val="none" w:sz="0" w:space="0" w:color="auto"/>
              </w:divBdr>
            </w:div>
          </w:divsChild>
        </w:div>
        <w:div w:id="1122961244">
          <w:marLeft w:val="0"/>
          <w:marRight w:val="0"/>
          <w:marTop w:val="0"/>
          <w:marBottom w:val="0"/>
          <w:divBdr>
            <w:top w:val="none" w:sz="0" w:space="0" w:color="auto"/>
            <w:left w:val="none" w:sz="0" w:space="0" w:color="auto"/>
            <w:bottom w:val="none" w:sz="0" w:space="0" w:color="auto"/>
            <w:right w:val="none" w:sz="0" w:space="0" w:color="auto"/>
          </w:divBdr>
        </w:div>
        <w:div w:id="1763987929">
          <w:marLeft w:val="0"/>
          <w:marRight w:val="0"/>
          <w:marTop w:val="0"/>
          <w:marBottom w:val="0"/>
          <w:divBdr>
            <w:top w:val="none" w:sz="0" w:space="0" w:color="auto"/>
            <w:left w:val="none" w:sz="0" w:space="0" w:color="auto"/>
            <w:bottom w:val="none" w:sz="0" w:space="0" w:color="auto"/>
            <w:right w:val="none" w:sz="0" w:space="0" w:color="auto"/>
          </w:divBdr>
        </w:div>
        <w:div w:id="579291837">
          <w:marLeft w:val="0"/>
          <w:marRight w:val="0"/>
          <w:marTop w:val="0"/>
          <w:marBottom w:val="0"/>
          <w:divBdr>
            <w:top w:val="none" w:sz="0" w:space="0" w:color="auto"/>
            <w:left w:val="none" w:sz="0" w:space="0" w:color="auto"/>
            <w:bottom w:val="none" w:sz="0" w:space="0" w:color="auto"/>
            <w:right w:val="none" w:sz="0" w:space="0" w:color="auto"/>
          </w:divBdr>
        </w:div>
        <w:div w:id="1690570139">
          <w:marLeft w:val="0"/>
          <w:marRight w:val="0"/>
          <w:marTop w:val="0"/>
          <w:marBottom w:val="0"/>
          <w:divBdr>
            <w:top w:val="none" w:sz="0" w:space="0" w:color="auto"/>
            <w:left w:val="none" w:sz="0" w:space="0" w:color="auto"/>
            <w:bottom w:val="none" w:sz="0" w:space="0" w:color="auto"/>
            <w:right w:val="none" w:sz="0" w:space="0" w:color="auto"/>
          </w:divBdr>
        </w:div>
        <w:div w:id="1920405753">
          <w:marLeft w:val="0"/>
          <w:marRight w:val="0"/>
          <w:marTop w:val="0"/>
          <w:marBottom w:val="0"/>
          <w:divBdr>
            <w:top w:val="none" w:sz="0" w:space="0" w:color="auto"/>
            <w:left w:val="none" w:sz="0" w:space="0" w:color="auto"/>
            <w:bottom w:val="none" w:sz="0" w:space="0" w:color="auto"/>
            <w:right w:val="none" w:sz="0" w:space="0" w:color="auto"/>
          </w:divBdr>
        </w:div>
        <w:div w:id="908150192">
          <w:marLeft w:val="0"/>
          <w:marRight w:val="0"/>
          <w:marTop w:val="0"/>
          <w:marBottom w:val="0"/>
          <w:divBdr>
            <w:top w:val="none" w:sz="0" w:space="0" w:color="auto"/>
            <w:left w:val="none" w:sz="0" w:space="0" w:color="auto"/>
            <w:bottom w:val="none" w:sz="0" w:space="0" w:color="auto"/>
            <w:right w:val="none" w:sz="0" w:space="0" w:color="auto"/>
          </w:divBdr>
        </w:div>
        <w:div w:id="271591511">
          <w:marLeft w:val="0"/>
          <w:marRight w:val="0"/>
          <w:marTop w:val="0"/>
          <w:marBottom w:val="0"/>
          <w:divBdr>
            <w:top w:val="none" w:sz="0" w:space="0" w:color="auto"/>
            <w:left w:val="none" w:sz="0" w:space="0" w:color="auto"/>
            <w:bottom w:val="none" w:sz="0" w:space="0" w:color="auto"/>
            <w:right w:val="none" w:sz="0" w:space="0" w:color="auto"/>
          </w:divBdr>
        </w:div>
        <w:div w:id="353264566">
          <w:marLeft w:val="0"/>
          <w:marRight w:val="0"/>
          <w:marTop w:val="0"/>
          <w:marBottom w:val="0"/>
          <w:divBdr>
            <w:top w:val="none" w:sz="0" w:space="0" w:color="auto"/>
            <w:left w:val="none" w:sz="0" w:space="0" w:color="auto"/>
            <w:bottom w:val="none" w:sz="0" w:space="0" w:color="auto"/>
            <w:right w:val="none" w:sz="0" w:space="0" w:color="auto"/>
          </w:divBdr>
        </w:div>
        <w:div w:id="1428233097">
          <w:marLeft w:val="0"/>
          <w:marRight w:val="0"/>
          <w:marTop w:val="0"/>
          <w:marBottom w:val="0"/>
          <w:divBdr>
            <w:top w:val="none" w:sz="0" w:space="0" w:color="auto"/>
            <w:left w:val="none" w:sz="0" w:space="0" w:color="auto"/>
            <w:bottom w:val="none" w:sz="0" w:space="0" w:color="auto"/>
            <w:right w:val="none" w:sz="0" w:space="0" w:color="auto"/>
          </w:divBdr>
        </w:div>
        <w:div w:id="1678075431">
          <w:marLeft w:val="0"/>
          <w:marRight w:val="0"/>
          <w:marTop w:val="0"/>
          <w:marBottom w:val="0"/>
          <w:divBdr>
            <w:top w:val="none" w:sz="0" w:space="0" w:color="auto"/>
            <w:left w:val="none" w:sz="0" w:space="0" w:color="auto"/>
            <w:bottom w:val="none" w:sz="0" w:space="0" w:color="auto"/>
            <w:right w:val="none" w:sz="0" w:space="0" w:color="auto"/>
          </w:divBdr>
        </w:div>
        <w:div w:id="63601580">
          <w:marLeft w:val="0"/>
          <w:marRight w:val="0"/>
          <w:marTop w:val="0"/>
          <w:marBottom w:val="0"/>
          <w:divBdr>
            <w:top w:val="none" w:sz="0" w:space="0" w:color="auto"/>
            <w:left w:val="none" w:sz="0" w:space="0" w:color="auto"/>
            <w:bottom w:val="none" w:sz="0" w:space="0" w:color="auto"/>
            <w:right w:val="none" w:sz="0" w:space="0" w:color="auto"/>
          </w:divBdr>
        </w:div>
        <w:div w:id="578097111">
          <w:marLeft w:val="0"/>
          <w:marRight w:val="0"/>
          <w:marTop w:val="0"/>
          <w:marBottom w:val="0"/>
          <w:divBdr>
            <w:top w:val="none" w:sz="0" w:space="0" w:color="auto"/>
            <w:left w:val="none" w:sz="0" w:space="0" w:color="auto"/>
            <w:bottom w:val="none" w:sz="0" w:space="0" w:color="auto"/>
            <w:right w:val="none" w:sz="0" w:space="0" w:color="auto"/>
          </w:divBdr>
        </w:div>
        <w:div w:id="806320489">
          <w:marLeft w:val="0"/>
          <w:marRight w:val="0"/>
          <w:marTop w:val="0"/>
          <w:marBottom w:val="0"/>
          <w:divBdr>
            <w:top w:val="none" w:sz="0" w:space="0" w:color="auto"/>
            <w:left w:val="none" w:sz="0" w:space="0" w:color="auto"/>
            <w:bottom w:val="none" w:sz="0" w:space="0" w:color="auto"/>
            <w:right w:val="none" w:sz="0" w:space="0" w:color="auto"/>
          </w:divBdr>
        </w:div>
        <w:div w:id="1331635977">
          <w:marLeft w:val="0"/>
          <w:marRight w:val="0"/>
          <w:marTop w:val="0"/>
          <w:marBottom w:val="0"/>
          <w:divBdr>
            <w:top w:val="none" w:sz="0" w:space="0" w:color="auto"/>
            <w:left w:val="none" w:sz="0" w:space="0" w:color="auto"/>
            <w:bottom w:val="none" w:sz="0" w:space="0" w:color="auto"/>
            <w:right w:val="none" w:sz="0" w:space="0" w:color="auto"/>
          </w:divBdr>
        </w:div>
        <w:div w:id="186137624">
          <w:marLeft w:val="0"/>
          <w:marRight w:val="0"/>
          <w:marTop w:val="0"/>
          <w:marBottom w:val="0"/>
          <w:divBdr>
            <w:top w:val="none" w:sz="0" w:space="0" w:color="auto"/>
            <w:left w:val="none" w:sz="0" w:space="0" w:color="auto"/>
            <w:bottom w:val="none" w:sz="0" w:space="0" w:color="auto"/>
            <w:right w:val="none" w:sz="0" w:space="0" w:color="auto"/>
          </w:divBdr>
        </w:div>
        <w:div w:id="1835997441">
          <w:marLeft w:val="0"/>
          <w:marRight w:val="0"/>
          <w:marTop w:val="0"/>
          <w:marBottom w:val="0"/>
          <w:divBdr>
            <w:top w:val="none" w:sz="0" w:space="0" w:color="auto"/>
            <w:left w:val="none" w:sz="0" w:space="0" w:color="auto"/>
            <w:bottom w:val="none" w:sz="0" w:space="0" w:color="auto"/>
            <w:right w:val="none" w:sz="0" w:space="0" w:color="auto"/>
          </w:divBdr>
        </w:div>
        <w:div w:id="1007168784">
          <w:marLeft w:val="0"/>
          <w:marRight w:val="0"/>
          <w:marTop w:val="0"/>
          <w:marBottom w:val="0"/>
          <w:divBdr>
            <w:top w:val="none" w:sz="0" w:space="0" w:color="auto"/>
            <w:left w:val="none" w:sz="0" w:space="0" w:color="auto"/>
            <w:bottom w:val="none" w:sz="0" w:space="0" w:color="auto"/>
            <w:right w:val="none" w:sz="0" w:space="0" w:color="auto"/>
          </w:divBdr>
        </w:div>
        <w:div w:id="1266697129">
          <w:marLeft w:val="0"/>
          <w:marRight w:val="0"/>
          <w:marTop w:val="0"/>
          <w:marBottom w:val="0"/>
          <w:divBdr>
            <w:top w:val="none" w:sz="0" w:space="0" w:color="auto"/>
            <w:left w:val="none" w:sz="0" w:space="0" w:color="auto"/>
            <w:bottom w:val="none" w:sz="0" w:space="0" w:color="auto"/>
            <w:right w:val="none" w:sz="0" w:space="0" w:color="auto"/>
          </w:divBdr>
        </w:div>
        <w:div w:id="964433310">
          <w:marLeft w:val="0"/>
          <w:marRight w:val="0"/>
          <w:marTop w:val="0"/>
          <w:marBottom w:val="0"/>
          <w:divBdr>
            <w:top w:val="none" w:sz="0" w:space="0" w:color="auto"/>
            <w:left w:val="none" w:sz="0" w:space="0" w:color="auto"/>
            <w:bottom w:val="none" w:sz="0" w:space="0" w:color="auto"/>
            <w:right w:val="none" w:sz="0" w:space="0" w:color="auto"/>
          </w:divBdr>
        </w:div>
        <w:div w:id="1400716363">
          <w:marLeft w:val="0"/>
          <w:marRight w:val="0"/>
          <w:marTop w:val="0"/>
          <w:marBottom w:val="0"/>
          <w:divBdr>
            <w:top w:val="none" w:sz="0" w:space="0" w:color="auto"/>
            <w:left w:val="none" w:sz="0" w:space="0" w:color="auto"/>
            <w:bottom w:val="none" w:sz="0" w:space="0" w:color="auto"/>
            <w:right w:val="none" w:sz="0" w:space="0" w:color="auto"/>
          </w:divBdr>
        </w:div>
        <w:div w:id="661473831">
          <w:marLeft w:val="0"/>
          <w:marRight w:val="0"/>
          <w:marTop w:val="0"/>
          <w:marBottom w:val="0"/>
          <w:divBdr>
            <w:top w:val="none" w:sz="0" w:space="0" w:color="auto"/>
            <w:left w:val="none" w:sz="0" w:space="0" w:color="auto"/>
            <w:bottom w:val="none" w:sz="0" w:space="0" w:color="auto"/>
            <w:right w:val="none" w:sz="0" w:space="0" w:color="auto"/>
          </w:divBdr>
        </w:div>
        <w:div w:id="143131927">
          <w:marLeft w:val="0"/>
          <w:marRight w:val="0"/>
          <w:marTop w:val="0"/>
          <w:marBottom w:val="0"/>
          <w:divBdr>
            <w:top w:val="none" w:sz="0" w:space="0" w:color="auto"/>
            <w:left w:val="none" w:sz="0" w:space="0" w:color="auto"/>
            <w:bottom w:val="none" w:sz="0" w:space="0" w:color="auto"/>
            <w:right w:val="none" w:sz="0" w:space="0" w:color="auto"/>
          </w:divBdr>
          <w:divsChild>
            <w:div w:id="1800150692">
              <w:marLeft w:val="-75"/>
              <w:marRight w:val="0"/>
              <w:marTop w:val="30"/>
              <w:marBottom w:val="30"/>
              <w:divBdr>
                <w:top w:val="none" w:sz="0" w:space="0" w:color="auto"/>
                <w:left w:val="none" w:sz="0" w:space="0" w:color="auto"/>
                <w:bottom w:val="none" w:sz="0" w:space="0" w:color="auto"/>
                <w:right w:val="none" w:sz="0" w:space="0" w:color="auto"/>
              </w:divBdr>
              <w:divsChild>
                <w:div w:id="1553269045">
                  <w:marLeft w:val="0"/>
                  <w:marRight w:val="0"/>
                  <w:marTop w:val="0"/>
                  <w:marBottom w:val="0"/>
                  <w:divBdr>
                    <w:top w:val="none" w:sz="0" w:space="0" w:color="auto"/>
                    <w:left w:val="none" w:sz="0" w:space="0" w:color="auto"/>
                    <w:bottom w:val="none" w:sz="0" w:space="0" w:color="auto"/>
                    <w:right w:val="none" w:sz="0" w:space="0" w:color="auto"/>
                  </w:divBdr>
                  <w:divsChild>
                    <w:div w:id="1750418072">
                      <w:marLeft w:val="0"/>
                      <w:marRight w:val="0"/>
                      <w:marTop w:val="0"/>
                      <w:marBottom w:val="0"/>
                      <w:divBdr>
                        <w:top w:val="none" w:sz="0" w:space="0" w:color="auto"/>
                        <w:left w:val="none" w:sz="0" w:space="0" w:color="auto"/>
                        <w:bottom w:val="none" w:sz="0" w:space="0" w:color="auto"/>
                        <w:right w:val="none" w:sz="0" w:space="0" w:color="auto"/>
                      </w:divBdr>
                    </w:div>
                  </w:divsChild>
                </w:div>
                <w:div w:id="2138405915">
                  <w:marLeft w:val="0"/>
                  <w:marRight w:val="0"/>
                  <w:marTop w:val="0"/>
                  <w:marBottom w:val="0"/>
                  <w:divBdr>
                    <w:top w:val="none" w:sz="0" w:space="0" w:color="auto"/>
                    <w:left w:val="none" w:sz="0" w:space="0" w:color="auto"/>
                    <w:bottom w:val="none" w:sz="0" w:space="0" w:color="auto"/>
                    <w:right w:val="none" w:sz="0" w:space="0" w:color="auto"/>
                  </w:divBdr>
                  <w:divsChild>
                    <w:div w:id="1652364815">
                      <w:marLeft w:val="0"/>
                      <w:marRight w:val="0"/>
                      <w:marTop w:val="0"/>
                      <w:marBottom w:val="0"/>
                      <w:divBdr>
                        <w:top w:val="none" w:sz="0" w:space="0" w:color="auto"/>
                        <w:left w:val="none" w:sz="0" w:space="0" w:color="auto"/>
                        <w:bottom w:val="none" w:sz="0" w:space="0" w:color="auto"/>
                        <w:right w:val="none" w:sz="0" w:space="0" w:color="auto"/>
                      </w:divBdr>
                    </w:div>
                    <w:div w:id="1184322915">
                      <w:marLeft w:val="0"/>
                      <w:marRight w:val="0"/>
                      <w:marTop w:val="0"/>
                      <w:marBottom w:val="0"/>
                      <w:divBdr>
                        <w:top w:val="none" w:sz="0" w:space="0" w:color="auto"/>
                        <w:left w:val="none" w:sz="0" w:space="0" w:color="auto"/>
                        <w:bottom w:val="none" w:sz="0" w:space="0" w:color="auto"/>
                        <w:right w:val="none" w:sz="0" w:space="0" w:color="auto"/>
                      </w:divBdr>
                    </w:div>
                    <w:div w:id="1195853055">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0"/>
                  <w:marBottom w:val="0"/>
                  <w:divBdr>
                    <w:top w:val="none" w:sz="0" w:space="0" w:color="auto"/>
                    <w:left w:val="none" w:sz="0" w:space="0" w:color="auto"/>
                    <w:bottom w:val="none" w:sz="0" w:space="0" w:color="auto"/>
                    <w:right w:val="none" w:sz="0" w:space="0" w:color="auto"/>
                  </w:divBdr>
                  <w:divsChild>
                    <w:div w:id="879706840">
                      <w:marLeft w:val="0"/>
                      <w:marRight w:val="0"/>
                      <w:marTop w:val="0"/>
                      <w:marBottom w:val="0"/>
                      <w:divBdr>
                        <w:top w:val="none" w:sz="0" w:space="0" w:color="auto"/>
                        <w:left w:val="none" w:sz="0" w:space="0" w:color="auto"/>
                        <w:bottom w:val="none" w:sz="0" w:space="0" w:color="auto"/>
                        <w:right w:val="none" w:sz="0" w:space="0" w:color="auto"/>
                      </w:divBdr>
                    </w:div>
                    <w:div w:id="1958173378">
                      <w:marLeft w:val="0"/>
                      <w:marRight w:val="0"/>
                      <w:marTop w:val="0"/>
                      <w:marBottom w:val="0"/>
                      <w:divBdr>
                        <w:top w:val="none" w:sz="0" w:space="0" w:color="auto"/>
                        <w:left w:val="none" w:sz="0" w:space="0" w:color="auto"/>
                        <w:bottom w:val="none" w:sz="0" w:space="0" w:color="auto"/>
                        <w:right w:val="none" w:sz="0" w:space="0" w:color="auto"/>
                      </w:divBdr>
                    </w:div>
                  </w:divsChild>
                </w:div>
                <w:div w:id="1389525213">
                  <w:marLeft w:val="0"/>
                  <w:marRight w:val="0"/>
                  <w:marTop w:val="0"/>
                  <w:marBottom w:val="0"/>
                  <w:divBdr>
                    <w:top w:val="none" w:sz="0" w:space="0" w:color="auto"/>
                    <w:left w:val="none" w:sz="0" w:space="0" w:color="auto"/>
                    <w:bottom w:val="none" w:sz="0" w:space="0" w:color="auto"/>
                    <w:right w:val="none" w:sz="0" w:space="0" w:color="auto"/>
                  </w:divBdr>
                  <w:divsChild>
                    <w:div w:id="19863292">
                      <w:marLeft w:val="0"/>
                      <w:marRight w:val="0"/>
                      <w:marTop w:val="0"/>
                      <w:marBottom w:val="0"/>
                      <w:divBdr>
                        <w:top w:val="none" w:sz="0" w:space="0" w:color="auto"/>
                        <w:left w:val="none" w:sz="0" w:space="0" w:color="auto"/>
                        <w:bottom w:val="none" w:sz="0" w:space="0" w:color="auto"/>
                        <w:right w:val="none" w:sz="0" w:space="0" w:color="auto"/>
                      </w:divBdr>
                    </w:div>
                  </w:divsChild>
                </w:div>
                <w:div w:id="1693845291">
                  <w:marLeft w:val="0"/>
                  <w:marRight w:val="0"/>
                  <w:marTop w:val="0"/>
                  <w:marBottom w:val="0"/>
                  <w:divBdr>
                    <w:top w:val="none" w:sz="0" w:space="0" w:color="auto"/>
                    <w:left w:val="none" w:sz="0" w:space="0" w:color="auto"/>
                    <w:bottom w:val="none" w:sz="0" w:space="0" w:color="auto"/>
                    <w:right w:val="none" w:sz="0" w:space="0" w:color="auto"/>
                  </w:divBdr>
                  <w:divsChild>
                    <w:div w:id="1580600514">
                      <w:marLeft w:val="0"/>
                      <w:marRight w:val="0"/>
                      <w:marTop w:val="0"/>
                      <w:marBottom w:val="0"/>
                      <w:divBdr>
                        <w:top w:val="none" w:sz="0" w:space="0" w:color="auto"/>
                        <w:left w:val="none" w:sz="0" w:space="0" w:color="auto"/>
                        <w:bottom w:val="none" w:sz="0" w:space="0" w:color="auto"/>
                        <w:right w:val="none" w:sz="0" w:space="0" w:color="auto"/>
                      </w:divBdr>
                    </w:div>
                    <w:div w:id="1994751039">
                      <w:marLeft w:val="0"/>
                      <w:marRight w:val="0"/>
                      <w:marTop w:val="0"/>
                      <w:marBottom w:val="0"/>
                      <w:divBdr>
                        <w:top w:val="none" w:sz="0" w:space="0" w:color="auto"/>
                        <w:left w:val="none" w:sz="0" w:space="0" w:color="auto"/>
                        <w:bottom w:val="none" w:sz="0" w:space="0" w:color="auto"/>
                        <w:right w:val="none" w:sz="0" w:space="0" w:color="auto"/>
                      </w:divBdr>
                    </w:div>
                    <w:div w:id="392435132">
                      <w:marLeft w:val="0"/>
                      <w:marRight w:val="0"/>
                      <w:marTop w:val="0"/>
                      <w:marBottom w:val="0"/>
                      <w:divBdr>
                        <w:top w:val="none" w:sz="0" w:space="0" w:color="auto"/>
                        <w:left w:val="none" w:sz="0" w:space="0" w:color="auto"/>
                        <w:bottom w:val="none" w:sz="0" w:space="0" w:color="auto"/>
                        <w:right w:val="none" w:sz="0" w:space="0" w:color="auto"/>
                      </w:divBdr>
                    </w:div>
                  </w:divsChild>
                </w:div>
                <w:div w:id="860902273">
                  <w:marLeft w:val="0"/>
                  <w:marRight w:val="0"/>
                  <w:marTop w:val="0"/>
                  <w:marBottom w:val="0"/>
                  <w:divBdr>
                    <w:top w:val="none" w:sz="0" w:space="0" w:color="auto"/>
                    <w:left w:val="none" w:sz="0" w:space="0" w:color="auto"/>
                    <w:bottom w:val="none" w:sz="0" w:space="0" w:color="auto"/>
                    <w:right w:val="none" w:sz="0" w:space="0" w:color="auto"/>
                  </w:divBdr>
                  <w:divsChild>
                    <w:div w:id="257253074">
                      <w:marLeft w:val="0"/>
                      <w:marRight w:val="0"/>
                      <w:marTop w:val="0"/>
                      <w:marBottom w:val="0"/>
                      <w:divBdr>
                        <w:top w:val="none" w:sz="0" w:space="0" w:color="auto"/>
                        <w:left w:val="none" w:sz="0" w:space="0" w:color="auto"/>
                        <w:bottom w:val="none" w:sz="0" w:space="0" w:color="auto"/>
                        <w:right w:val="none" w:sz="0" w:space="0" w:color="auto"/>
                      </w:divBdr>
                    </w:div>
                  </w:divsChild>
                </w:div>
                <w:div w:id="961031840">
                  <w:marLeft w:val="0"/>
                  <w:marRight w:val="0"/>
                  <w:marTop w:val="0"/>
                  <w:marBottom w:val="0"/>
                  <w:divBdr>
                    <w:top w:val="none" w:sz="0" w:space="0" w:color="auto"/>
                    <w:left w:val="none" w:sz="0" w:space="0" w:color="auto"/>
                    <w:bottom w:val="none" w:sz="0" w:space="0" w:color="auto"/>
                    <w:right w:val="none" w:sz="0" w:space="0" w:color="auto"/>
                  </w:divBdr>
                  <w:divsChild>
                    <w:div w:id="604194692">
                      <w:marLeft w:val="0"/>
                      <w:marRight w:val="0"/>
                      <w:marTop w:val="0"/>
                      <w:marBottom w:val="0"/>
                      <w:divBdr>
                        <w:top w:val="none" w:sz="0" w:space="0" w:color="auto"/>
                        <w:left w:val="none" w:sz="0" w:space="0" w:color="auto"/>
                        <w:bottom w:val="none" w:sz="0" w:space="0" w:color="auto"/>
                        <w:right w:val="none" w:sz="0" w:space="0" w:color="auto"/>
                      </w:divBdr>
                    </w:div>
                  </w:divsChild>
                </w:div>
                <w:div w:id="615479580">
                  <w:marLeft w:val="0"/>
                  <w:marRight w:val="0"/>
                  <w:marTop w:val="0"/>
                  <w:marBottom w:val="0"/>
                  <w:divBdr>
                    <w:top w:val="none" w:sz="0" w:space="0" w:color="auto"/>
                    <w:left w:val="none" w:sz="0" w:space="0" w:color="auto"/>
                    <w:bottom w:val="none" w:sz="0" w:space="0" w:color="auto"/>
                    <w:right w:val="none" w:sz="0" w:space="0" w:color="auto"/>
                  </w:divBdr>
                  <w:divsChild>
                    <w:div w:id="1338923038">
                      <w:marLeft w:val="0"/>
                      <w:marRight w:val="0"/>
                      <w:marTop w:val="0"/>
                      <w:marBottom w:val="0"/>
                      <w:divBdr>
                        <w:top w:val="none" w:sz="0" w:space="0" w:color="auto"/>
                        <w:left w:val="none" w:sz="0" w:space="0" w:color="auto"/>
                        <w:bottom w:val="none" w:sz="0" w:space="0" w:color="auto"/>
                        <w:right w:val="none" w:sz="0" w:space="0" w:color="auto"/>
                      </w:divBdr>
                    </w:div>
                  </w:divsChild>
                </w:div>
                <w:div w:id="10645630">
                  <w:marLeft w:val="0"/>
                  <w:marRight w:val="0"/>
                  <w:marTop w:val="0"/>
                  <w:marBottom w:val="0"/>
                  <w:divBdr>
                    <w:top w:val="none" w:sz="0" w:space="0" w:color="auto"/>
                    <w:left w:val="none" w:sz="0" w:space="0" w:color="auto"/>
                    <w:bottom w:val="none" w:sz="0" w:space="0" w:color="auto"/>
                    <w:right w:val="none" w:sz="0" w:space="0" w:color="auto"/>
                  </w:divBdr>
                  <w:divsChild>
                    <w:div w:id="1672564304">
                      <w:marLeft w:val="0"/>
                      <w:marRight w:val="0"/>
                      <w:marTop w:val="0"/>
                      <w:marBottom w:val="0"/>
                      <w:divBdr>
                        <w:top w:val="none" w:sz="0" w:space="0" w:color="auto"/>
                        <w:left w:val="none" w:sz="0" w:space="0" w:color="auto"/>
                        <w:bottom w:val="none" w:sz="0" w:space="0" w:color="auto"/>
                        <w:right w:val="none" w:sz="0" w:space="0" w:color="auto"/>
                      </w:divBdr>
                    </w:div>
                  </w:divsChild>
                </w:div>
                <w:div w:id="1632176704">
                  <w:marLeft w:val="0"/>
                  <w:marRight w:val="0"/>
                  <w:marTop w:val="0"/>
                  <w:marBottom w:val="0"/>
                  <w:divBdr>
                    <w:top w:val="none" w:sz="0" w:space="0" w:color="auto"/>
                    <w:left w:val="none" w:sz="0" w:space="0" w:color="auto"/>
                    <w:bottom w:val="none" w:sz="0" w:space="0" w:color="auto"/>
                    <w:right w:val="none" w:sz="0" w:space="0" w:color="auto"/>
                  </w:divBdr>
                  <w:divsChild>
                    <w:div w:id="840585758">
                      <w:marLeft w:val="0"/>
                      <w:marRight w:val="0"/>
                      <w:marTop w:val="0"/>
                      <w:marBottom w:val="0"/>
                      <w:divBdr>
                        <w:top w:val="none" w:sz="0" w:space="0" w:color="auto"/>
                        <w:left w:val="none" w:sz="0" w:space="0" w:color="auto"/>
                        <w:bottom w:val="none" w:sz="0" w:space="0" w:color="auto"/>
                        <w:right w:val="none" w:sz="0" w:space="0" w:color="auto"/>
                      </w:divBdr>
                    </w:div>
                  </w:divsChild>
                </w:div>
                <w:div w:id="2000229791">
                  <w:marLeft w:val="0"/>
                  <w:marRight w:val="0"/>
                  <w:marTop w:val="0"/>
                  <w:marBottom w:val="0"/>
                  <w:divBdr>
                    <w:top w:val="none" w:sz="0" w:space="0" w:color="auto"/>
                    <w:left w:val="none" w:sz="0" w:space="0" w:color="auto"/>
                    <w:bottom w:val="none" w:sz="0" w:space="0" w:color="auto"/>
                    <w:right w:val="none" w:sz="0" w:space="0" w:color="auto"/>
                  </w:divBdr>
                  <w:divsChild>
                    <w:div w:id="874849372">
                      <w:marLeft w:val="0"/>
                      <w:marRight w:val="0"/>
                      <w:marTop w:val="0"/>
                      <w:marBottom w:val="0"/>
                      <w:divBdr>
                        <w:top w:val="none" w:sz="0" w:space="0" w:color="auto"/>
                        <w:left w:val="none" w:sz="0" w:space="0" w:color="auto"/>
                        <w:bottom w:val="none" w:sz="0" w:space="0" w:color="auto"/>
                        <w:right w:val="none" w:sz="0" w:space="0" w:color="auto"/>
                      </w:divBdr>
                    </w:div>
                  </w:divsChild>
                </w:div>
                <w:div w:id="706952952">
                  <w:marLeft w:val="0"/>
                  <w:marRight w:val="0"/>
                  <w:marTop w:val="0"/>
                  <w:marBottom w:val="0"/>
                  <w:divBdr>
                    <w:top w:val="none" w:sz="0" w:space="0" w:color="auto"/>
                    <w:left w:val="none" w:sz="0" w:space="0" w:color="auto"/>
                    <w:bottom w:val="none" w:sz="0" w:space="0" w:color="auto"/>
                    <w:right w:val="none" w:sz="0" w:space="0" w:color="auto"/>
                  </w:divBdr>
                  <w:divsChild>
                    <w:div w:id="2044597794">
                      <w:marLeft w:val="0"/>
                      <w:marRight w:val="0"/>
                      <w:marTop w:val="0"/>
                      <w:marBottom w:val="0"/>
                      <w:divBdr>
                        <w:top w:val="none" w:sz="0" w:space="0" w:color="auto"/>
                        <w:left w:val="none" w:sz="0" w:space="0" w:color="auto"/>
                        <w:bottom w:val="none" w:sz="0" w:space="0" w:color="auto"/>
                        <w:right w:val="none" w:sz="0" w:space="0" w:color="auto"/>
                      </w:divBdr>
                    </w:div>
                  </w:divsChild>
                </w:div>
                <w:div w:id="762604452">
                  <w:marLeft w:val="0"/>
                  <w:marRight w:val="0"/>
                  <w:marTop w:val="0"/>
                  <w:marBottom w:val="0"/>
                  <w:divBdr>
                    <w:top w:val="none" w:sz="0" w:space="0" w:color="auto"/>
                    <w:left w:val="none" w:sz="0" w:space="0" w:color="auto"/>
                    <w:bottom w:val="none" w:sz="0" w:space="0" w:color="auto"/>
                    <w:right w:val="none" w:sz="0" w:space="0" w:color="auto"/>
                  </w:divBdr>
                  <w:divsChild>
                    <w:div w:id="1505433846">
                      <w:marLeft w:val="0"/>
                      <w:marRight w:val="0"/>
                      <w:marTop w:val="0"/>
                      <w:marBottom w:val="0"/>
                      <w:divBdr>
                        <w:top w:val="none" w:sz="0" w:space="0" w:color="auto"/>
                        <w:left w:val="none" w:sz="0" w:space="0" w:color="auto"/>
                        <w:bottom w:val="none" w:sz="0" w:space="0" w:color="auto"/>
                        <w:right w:val="none" w:sz="0" w:space="0" w:color="auto"/>
                      </w:divBdr>
                    </w:div>
                  </w:divsChild>
                </w:div>
                <w:div w:id="605503693">
                  <w:marLeft w:val="0"/>
                  <w:marRight w:val="0"/>
                  <w:marTop w:val="0"/>
                  <w:marBottom w:val="0"/>
                  <w:divBdr>
                    <w:top w:val="none" w:sz="0" w:space="0" w:color="auto"/>
                    <w:left w:val="none" w:sz="0" w:space="0" w:color="auto"/>
                    <w:bottom w:val="none" w:sz="0" w:space="0" w:color="auto"/>
                    <w:right w:val="none" w:sz="0" w:space="0" w:color="auto"/>
                  </w:divBdr>
                  <w:divsChild>
                    <w:div w:id="343366209">
                      <w:marLeft w:val="0"/>
                      <w:marRight w:val="0"/>
                      <w:marTop w:val="0"/>
                      <w:marBottom w:val="0"/>
                      <w:divBdr>
                        <w:top w:val="none" w:sz="0" w:space="0" w:color="auto"/>
                        <w:left w:val="none" w:sz="0" w:space="0" w:color="auto"/>
                        <w:bottom w:val="none" w:sz="0" w:space="0" w:color="auto"/>
                        <w:right w:val="none" w:sz="0" w:space="0" w:color="auto"/>
                      </w:divBdr>
                    </w:div>
                  </w:divsChild>
                </w:div>
                <w:div w:id="70781061">
                  <w:marLeft w:val="0"/>
                  <w:marRight w:val="0"/>
                  <w:marTop w:val="0"/>
                  <w:marBottom w:val="0"/>
                  <w:divBdr>
                    <w:top w:val="none" w:sz="0" w:space="0" w:color="auto"/>
                    <w:left w:val="none" w:sz="0" w:space="0" w:color="auto"/>
                    <w:bottom w:val="none" w:sz="0" w:space="0" w:color="auto"/>
                    <w:right w:val="none" w:sz="0" w:space="0" w:color="auto"/>
                  </w:divBdr>
                  <w:divsChild>
                    <w:div w:id="373778820">
                      <w:marLeft w:val="0"/>
                      <w:marRight w:val="0"/>
                      <w:marTop w:val="0"/>
                      <w:marBottom w:val="0"/>
                      <w:divBdr>
                        <w:top w:val="none" w:sz="0" w:space="0" w:color="auto"/>
                        <w:left w:val="none" w:sz="0" w:space="0" w:color="auto"/>
                        <w:bottom w:val="none" w:sz="0" w:space="0" w:color="auto"/>
                        <w:right w:val="none" w:sz="0" w:space="0" w:color="auto"/>
                      </w:divBdr>
                    </w:div>
                  </w:divsChild>
                </w:div>
                <w:div w:id="1219976960">
                  <w:marLeft w:val="0"/>
                  <w:marRight w:val="0"/>
                  <w:marTop w:val="0"/>
                  <w:marBottom w:val="0"/>
                  <w:divBdr>
                    <w:top w:val="none" w:sz="0" w:space="0" w:color="auto"/>
                    <w:left w:val="none" w:sz="0" w:space="0" w:color="auto"/>
                    <w:bottom w:val="none" w:sz="0" w:space="0" w:color="auto"/>
                    <w:right w:val="none" w:sz="0" w:space="0" w:color="auto"/>
                  </w:divBdr>
                  <w:divsChild>
                    <w:div w:id="1919245524">
                      <w:marLeft w:val="0"/>
                      <w:marRight w:val="0"/>
                      <w:marTop w:val="0"/>
                      <w:marBottom w:val="0"/>
                      <w:divBdr>
                        <w:top w:val="none" w:sz="0" w:space="0" w:color="auto"/>
                        <w:left w:val="none" w:sz="0" w:space="0" w:color="auto"/>
                        <w:bottom w:val="none" w:sz="0" w:space="0" w:color="auto"/>
                        <w:right w:val="none" w:sz="0" w:space="0" w:color="auto"/>
                      </w:divBdr>
                    </w:div>
                  </w:divsChild>
                </w:div>
                <w:div w:id="1256748733">
                  <w:marLeft w:val="0"/>
                  <w:marRight w:val="0"/>
                  <w:marTop w:val="0"/>
                  <w:marBottom w:val="0"/>
                  <w:divBdr>
                    <w:top w:val="none" w:sz="0" w:space="0" w:color="auto"/>
                    <w:left w:val="none" w:sz="0" w:space="0" w:color="auto"/>
                    <w:bottom w:val="none" w:sz="0" w:space="0" w:color="auto"/>
                    <w:right w:val="none" w:sz="0" w:space="0" w:color="auto"/>
                  </w:divBdr>
                  <w:divsChild>
                    <w:div w:id="910313309">
                      <w:marLeft w:val="0"/>
                      <w:marRight w:val="0"/>
                      <w:marTop w:val="0"/>
                      <w:marBottom w:val="0"/>
                      <w:divBdr>
                        <w:top w:val="none" w:sz="0" w:space="0" w:color="auto"/>
                        <w:left w:val="none" w:sz="0" w:space="0" w:color="auto"/>
                        <w:bottom w:val="none" w:sz="0" w:space="0" w:color="auto"/>
                        <w:right w:val="none" w:sz="0" w:space="0" w:color="auto"/>
                      </w:divBdr>
                    </w:div>
                  </w:divsChild>
                </w:div>
                <w:div w:id="1911227256">
                  <w:marLeft w:val="0"/>
                  <w:marRight w:val="0"/>
                  <w:marTop w:val="0"/>
                  <w:marBottom w:val="0"/>
                  <w:divBdr>
                    <w:top w:val="none" w:sz="0" w:space="0" w:color="auto"/>
                    <w:left w:val="none" w:sz="0" w:space="0" w:color="auto"/>
                    <w:bottom w:val="none" w:sz="0" w:space="0" w:color="auto"/>
                    <w:right w:val="none" w:sz="0" w:space="0" w:color="auto"/>
                  </w:divBdr>
                  <w:divsChild>
                    <w:div w:id="1459959288">
                      <w:marLeft w:val="0"/>
                      <w:marRight w:val="0"/>
                      <w:marTop w:val="0"/>
                      <w:marBottom w:val="0"/>
                      <w:divBdr>
                        <w:top w:val="none" w:sz="0" w:space="0" w:color="auto"/>
                        <w:left w:val="none" w:sz="0" w:space="0" w:color="auto"/>
                        <w:bottom w:val="none" w:sz="0" w:space="0" w:color="auto"/>
                        <w:right w:val="none" w:sz="0" w:space="0" w:color="auto"/>
                      </w:divBdr>
                    </w:div>
                  </w:divsChild>
                </w:div>
                <w:div w:id="551775334">
                  <w:marLeft w:val="0"/>
                  <w:marRight w:val="0"/>
                  <w:marTop w:val="0"/>
                  <w:marBottom w:val="0"/>
                  <w:divBdr>
                    <w:top w:val="none" w:sz="0" w:space="0" w:color="auto"/>
                    <w:left w:val="none" w:sz="0" w:space="0" w:color="auto"/>
                    <w:bottom w:val="none" w:sz="0" w:space="0" w:color="auto"/>
                    <w:right w:val="none" w:sz="0" w:space="0" w:color="auto"/>
                  </w:divBdr>
                  <w:divsChild>
                    <w:div w:id="649796764">
                      <w:marLeft w:val="0"/>
                      <w:marRight w:val="0"/>
                      <w:marTop w:val="0"/>
                      <w:marBottom w:val="0"/>
                      <w:divBdr>
                        <w:top w:val="none" w:sz="0" w:space="0" w:color="auto"/>
                        <w:left w:val="none" w:sz="0" w:space="0" w:color="auto"/>
                        <w:bottom w:val="none" w:sz="0" w:space="0" w:color="auto"/>
                        <w:right w:val="none" w:sz="0" w:space="0" w:color="auto"/>
                      </w:divBdr>
                    </w:div>
                  </w:divsChild>
                </w:div>
                <w:div w:id="1615749893">
                  <w:marLeft w:val="0"/>
                  <w:marRight w:val="0"/>
                  <w:marTop w:val="0"/>
                  <w:marBottom w:val="0"/>
                  <w:divBdr>
                    <w:top w:val="none" w:sz="0" w:space="0" w:color="auto"/>
                    <w:left w:val="none" w:sz="0" w:space="0" w:color="auto"/>
                    <w:bottom w:val="none" w:sz="0" w:space="0" w:color="auto"/>
                    <w:right w:val="none" w:sz="0" w:space="0" w:color="auto"/>
                  </w:divBdr>
                  <w:divsChild>
                    <w:div w:id="593586893">
                      <w:marLeft w:val="0"/>
                      <w:marRight w:val="0"/>
                      <w:marTop w:val="0"/>
                      <w:marBottom w:val="0"/>
                      <w:divBdr>
                        <w:top w:val="none" w:sz="0" w:space="0" w:color="auto"/>
                        <w:left w:val="none" w:sz="0" w:space="0" w:color="auto"/>
                        <w:bottom w:val="none" w:sz="0" w:space="0" w:color="auto"/>
                        <w:right w:val="none" w:sz="0" w:space="0" w:color="auto"/>
                      </w:divBdr>
                    </w:div>
                  </w:divsChild>
                </w:div>
                <w:div w:id="2065788862">
                  <w:marLeft w:val="0"/>
                  <w:marRight w:val="0"/>
                  <w:marTop w:val="0"/>
                  <w:marBottom w:val="0"/>
                  <w:divBdr>
                    <w:top w:val="none" w:sz="0" w:space="0" w:color="auto"/>
                    <w:left w:val="none" w:sz="0" w:space="0" w:color="auto"/>
                    <w:bottom w:val="none" w:sz="0" w:space="0" w:color="auto"/>
                    <w:right w:val="none" w:sz="0" w:space="0" w:color="auto"/>
                  </w:divBdr>
                  <w:divsChild>
                    <w:div w:id="1526484250">
                      <w:marLeft w:val="0"/>
                      <w:marRight w:val="0"/>
                      <w:marTop w:val="0"/>
                      <w:marBottom w:val="0"/>
                      <w:divBdr>
                        <w:top w:val="none" w:sz="0" w:space="0" w:color="auto"/>
                        <w:left w:val="none" w:sz="0" w:space="0" w:color="auto"/>
                        <w:bottom w:val="none" w:sz="0" w:space="0" w:color="auto"/>
                        <w:right w:val="none" w:sz="0" w:space="0" w:color="auto"/>
                      </w:divBdr>
                    </w:div>
                  </w:divsChild>
                </w:div>
                <w:div w:id="39939444">
                  <w:marLeft w:val="0"/>
                  <w:marRight w:val="0"/>
                  <w:marTop w:val="0"/>
                  <w:marBottom w:val="0"/>
                  <w:divBdr>
                    <w:top w:val="none" w:sz="0" w:space="0" w:color="auto"/>
                    <w:left w:val="none" w:sz="0" w:space="0" w:color="auto"/>
                    <w:bottom w:val="none" w:sz="0" w:space="0" w:color="auto"/>
                    <w:right w:val="none" w:sz="0" w:space="0" w:color="auto"/>
                  </w:divBdr>
                  <w:divsChild>
                    <w:div w:id="1855148558">
                      <w:marLeft w:val="0"/>
                      <w:marRight w:val="0"/>
                      <w:marTop w:val="0"/>
                      <w:marBottom w:val="0"/>
                      <w:divBdr>
                        <w:top w:val="none" w:sz="0" w:space="0" w:color="auto"/>
                        <w:left w:val="none" w:sz="0" w:space="0" w:color="auto"/>
                        <w:bottom w:val="none" w:sz="0" w:space="0" w:color="auto"/>
                        <w:right w:val="none" w:sz="0" w:space="0" w:color="auto"/>
                      </w:divBdr>
                    </w:div>
                  </w:divsChild>
                </w:div>
                <w:div w:id="232012247">
                  <w:marLeft w:val="0"/>
                  <w:marRight w:val="0"/>
                  <w:marTop w:val="0"/>
                  <w:marBottom w:val="0"/>
                  <w:divBdr>
                    <w:top w:val="none" w:sz="0" w:space="0" w:color="auto"/>
                    <w:left w:val="none" w:sz="0" w:space="0" w:color="auto"/>
                    <w:bottom w:val="none" w:sz="0" w:space="0" w:color="auto"/>
                    <w:right w:val="none" w:sz="0" w:space="0" w:color="auto"/>
                  </w:divBdr>
                  <w:divsChild>
                    <w:div w:id="693849047">
                      <w:marLeft w:val="0"/>
                      <w:marRight w:val="0"/>
                      <w:marTop w:val="0"/>
                      <w:marBottom w:val="0"/>
                      <w:divBdr>
                        <w:top w:val="none" w:sz="0" w:space="0" w:color="auto"/>
                        <w:left w:val="none" w:sz="0" w:space="0" w:color="auto"/>
                        <w:bottom w:val="none" w:sz="0" w:space="0" w:color="auto"/>
                        <w:right w:val="none" w:sz="0" w:space="0" w:color="auto"/>
                      </w:divBdr>
                    </w:div>
                  </w:divsChild>
                </w:div>
                <w:div w:id="1904872894">
                  <w:marLeft w:val="0"/>
                  <w:marRight w:val="0"/>
                  <w:marTop w:val="0"/>
                  <w:marBottom w:val="0"/>
                  <w:divBdr>
                    <w:top w:val="none" w:sz="0" w:space="0" w:color="auto"/>
                    <w:left w:val="none" w:sz="0" w:space="0" w:color="auto"/>
                    <w:bottom w:val="none" w:sz="0" w:space="0" w:color="auto"/>
                    <w:right w:val="none" w:sz="0" w:space="0" w:color="auto"/>
                  </w:divBdr>
                  <w:divsChild>
                    <w:div w:id="243732868">
                      <w:marLeft w:val="0"/>
                      <w:marRight w:val="0"/>
                      <w:marTop w:val="0"/>
                      <w:marBottom w:val="0"/>
                      <w:divBdr>
                        <w:top w:val="none" w:sz="0" w:space="0" w:color="auto"/>
                        <w:left w:val="none" w:sz="0" w:space="0" w:color="auto"/>
                        <w:bottom w:val="none" w:sz="0" w:space="0" w:color="auto"/>
                        <w:right w:val="none" w:sz="0" w:space="0" w:color="auto"/>
                      </w:divBdr>
                    </w:div>
                  </w:divsChild>
                </w:div>
                <w:div w:id="1987320117">
                  <w:marLeft w:val="0"/>
                  <w:marRight w:val="0"/>
                  <w:marTop w:val="0"/>
                  <w:marBottom w:val="0"/>
                  <w:divBdr>
                    <w:top w:val="none" w:sz="0" w:space="0" w:color="auto"/>
                    <w:left w:val="none" w:sz="0" w:space="0" w:color="auto"/>
                    <w:bottom w:val="none" w:sz="0" w:space="0" w:color="auto"/>
                    <w:right w:val="none" w:sz="0" w:space="0" w:color="auto"/>
                  </w:divBdr>
                  <w:divsChild>
                    <w:div w:id="826945562">
                      <w:marLeft w:val="0"/>
                      <w:marRight w:val="0"/>
                      <w:marTop w:val="0"/>
                      <w:marBottom w:val="0"/>
                      <w:divBdr>
                        <w:top w:val="none" w:sz="0" w:space="0" w:color="auto"/>
                        <w:left w:val="none" w:sz="0" w:space="0" w:color="auto"/>
                        <w:bottom w:val="none" w:sz="0" w:space="0" w:color="auto"/>
                        <w:right w:val="none" w:sz="0" w:space="0" w:color="auto"/>
                      </w:divBdr>
                    </w:div>
                  </w:divsChild>
                </w:div>
                <w:div w:id="71973526">
                  <w:marLeft w:val="0"/>
                  <w:marRight w:val="0"/>
                  <w:marTop w:val="0"/>
                  <w:marBottom w:val="0"/>
                  <w:divBdr>
                    <w:top w:val="none" w:sz="0" w:space="0" w:color="auto"/>
                    <w:left w:val="none" w:sz="0" w:space="0" w:color="auto"/>
                    <w:bottom w:val="none" w:sz="0" w:space="0" w:color="auto"/>
                    <w:right w:val="none" w:sz="0" w:space="0" w:color="auto"/>
                  </w:divBdr>
                  <w:divsChild>
                    <w:div w:id="674497059">
                      <w:marLeft w:val="0"/>
                      <w:marRight w:val="0"/>
                      <w:marTop w:val="0"/>
                      <w:marBottom w:val="0"/>
                      <w:divBdr>
                        <w:top w:val="none" w:sz="0" w:space="0" w:color="auto"/>
                        <w:left w:val="none" w:sz="0" w:space="0" w:color="auto"/>
                        <w:bottom w:val="none" w:sz="0" w:space="0" w:color="auto"/>
                        <w:right w:val="none" w:sz="0" w:space="0" w:color="auto"/>
                      </w:divBdr>
                    </w:div>
                  </w:divsChild>
                </w:div>
                <w:div w:id="1963530424">
                  <w:marLeft w:val="0"/>
                  <w:marRight w:val="0"/>
                  <w:marTop w:val="0"/>
                  <w:marBottom w:val="0"/>
                  <w:divBdr>
                    <w:top w:val="none" w:sz="0" w:space="0" w:color="auto"/>
                    <w:left w:val="none" w:sz="0" w:space="0" w:color="auto"/>
                    <w:bottom w:val="none" w:sz="0" w:space="0" w:color="auto"/>
                    <w:right w:val="none" w:sz="0" w:space="0" w:color="auto"/>
                  </w:divBdr>
                  <w:divsChild>
                    <w:div w:id="552160651">
                      <w:marLeft w:val="0"/>
                      <w:marRight w:val="0"/>
                      <w:marTop w:val="0"/>
                      <w:marBottom w:val="0"/>
                      <w:divBdr>
                        <w:top w:val="none" w:sz="0" w:space="0" w:color="auto"/>
                        <w:left w:val="none" w:sz="0" w:space="0" w:color="auto"/>
                        <w:bottom w:val="none" w:sz="0" w:space="0" w:color="auto"/>
                        <w:right w:val="none" w:sz="0" w:space="0" w:color="auto"/>
                      </w:divBdr>
                    </w:div>
                  </w:divsChild>
                </w:div>
                <w:div w:id="2020934849">
                  <w:marLeft w:val="0"/>
                  <w:marRight w:val="0"/>
                  <w:marTop w:val="0"/>
                  <w:marBottom w:val="0"/>
                  <w:divBdr>
                    <w:top w:val="none" w:sz="0" w:space="0" w:color="auto"/>
                    <w:left w:val="none" w:sz="0" w:space="0" w:color="auto"/>
                    <w:bottom w:val="none" w:sz="0" w:space="0" w:color="auto"/>
                    <w:right w:val="none" w:sz="0" w:space="0" w:color="auto"/>
                  </w:divBdr>
                  <w:divsChild>
                    <w:div w:id="1315796136">
                      <w:marLeft w:val="0"/>
                      <w:marRight w:val="0"/>
                      <w:marTop w:val="0"/>
                      <w:marBottom w:val="0"/>
                      <w:divBdr>
                        <w:top w:val="none" w:sz="0" w:space="0" w:color="auto"/>
                        <w:left w:val="none" w:sz="0" w:space="0" w:color="auto"/>
                        <w:bottom w:val="none" w:sz="0" w:space="0" w:color="auto"/>
                        <w:right w:val="none" w:sz="0" w:space="0" w:color="auto"/>
                      </w:divBdr>
                    </w:div>
                  </w:divsChild>
                </w:div>
                <w:div w:id="1127234317">
                  <w:marLeft w:val="0"/>
                  <w:marRight w:val="0"/>
                  <w:marTop w:val="0"/>
                  <w:marBottom w:val="0"/>
                  <w:divBdr>
                    <w:top w:val="none" w:sz="0" w:space="0" w:color="auto"/>
                    <w:left w:val="none" w:sz="0" w:space="0" w:color="auto"/>
                    <w:bottom w:val="none" w:sz="0" w:space="0" w:color="auto"/>
                    <w:right w:val="none" w:sz="0" w:space="0" w:color="auto"/>
                  </w:divBdr>
                  <w:divsChild>
                    <w:div w:id="1497915157">
                      <w:marLeft w:val="0"/>
                      <w:marRight w:val="0"/>
                      <w:marTop w:val="0"/>
                      <w:marBottom w:val="0"/>
                      <w:divBdr>
                        <w:top w:val="none" w:sz="0" w:space="0" w:color="auto"/>
                        <w:left w:val="none" w:sz="0" w:space="0" w:color="auto"/>
                        <w:bottom w:val="none" w:sz="0" w:space="0" w:color="auto"/>
                        <w:right w:val="none" w:sz="0" w:space="0" w:color="auto"/>
                      </w:divBdr>
                    </w:div>
                  </w:divsChild>
                </w:div>
                <w:div w:id="2023968398">
                  <w:marLeft w:val="0"/>
                  <w:marRight w:val="0"/>
                  <w:marTop w:val="0"/>
                  <w:marBottom w:val="0"/>
                  <w:divBdr>
                    <w:top w:val="none" w:sz="0" w:space="0" w:color="auto"/>
                    <w:left w:val="none" w:sz="0" w:space="0" w:color="auto"/>
                    <w:bottom w:val="none" w:sz="0" w:space="0" w:color="auto"/>
                    <w:right w:val="none" w:sz="0" w:space="0" w:color="auto"/>
                  </w:divBdr>
                  <w:divsChild>
                    <w:div w:id="1789663043">
                      <w:marLeft w:val="0"/>
                      <w:marRight w:val="0"/>
                      <w:marTop w:val="0"/>
                      <w:marBottom w:val="0"/>
                      <w:divBdr>
                        <w:top w:val="none" w:sz="0" w:space="0" w:color="auto"/>
                        <w:left w:val="none" w:sz="0" w:space="0" w:color="auto"/>
                        <w:bottom w:val="none" w:sz="0" w:space="0" w:color="auto"/>
                        <w:right w:val="none" w:sz="0" w:space="0" w:color="auto"/>
                      </w:divBdr>
                    </w:div>
                  </w:divsChild>
                </w:div>
                <w:div w:id="676348422">
                  <w:marLeft w:val="0"/>
                  <w:marRight w:val="0"/>
                  <w:marTop w:val="0"/>
                  <w:marBottom w:val="0"/>
                  <w:divBdr>
                    <w:top w:val="none" w:sz="0" w:space="0" w:color="auto"/>
                    <w:left w:val="none" w:sz="0" w:space="0" w:color="auto"/>
                    <w:bottom w:val="none" w:sz="0" w:space="0" w:color="auto"/>
                    <w:right w:val="none" w:sz="0" w:space="0" w:color="auto"/>
                  </w:divBdr>
                  <w:divsChild>
                    <w:div w:id="712731546">
                      <w:marLeft w:val="0"/>
                      <w:marRight w:val="0"/>
                      <w:marTop w:val="0"/>
                      <w:marBottom w:val="0"/>
                      <w:divBdr>
                        <w:top w:val="none" w:sz="0" w:space="0" w:color="auto"/>
                        <w:left w:val="none" w:sz="0" w:space="0" w:color="auto"/>
                        <w:bottom w:val="none" w:sz="0" w:space="0" w:color="auto"/>
                        <w:right w:val="none" w:sz="0" w:space="0" w:color="auto"/>
                      </w:divBdr>
                    </w:div>
                  </w:divsChild>
                </w:div>
                <w:div w:id="121271917">
                  <w:marLeft w:val="0"/>
                  <w:marRight w:val="0"/>
                  <w:marTop w:val="0"/>
                  <w:marBottom w:val="0"/>
                  <w:divBdr>
                    <w:top w:val="none" w:sz="0" w:space="0" w:color="auto"/>
                    <w:left w:val="none" w:sz="0" w:space="0" w:color="auto"/>
                    <w:bottom w:val="none" w:sz="0" w:space="0" w:color="auto"/>
                    <w:right w:val="none" w:sz="0" w:space="0" w:color="auto"/>
                  </w:divBdr>
                  <w:divsChild>
                    <w:div w:id="117572792">
                      <w:marLeft w:val="0"/>
                      <w:marRight w:val="0"/>
                      <w:marTop w:val="0"/>
                      <w:marBottom w:val="0"/>
                      <w:divBdr>
                        <w:top w:val="none" w:sz="0" w:space="0" w:color="auto"/>
                        <w:left w:val="none" w:sz="0" w:space="0" w:color="auto"/>
                        <w:bottom w:val="none" w:sz="0" w:space="0" w:color="auto"/>
                        <w:right w:val="none" w:sz="0" w:space="0" w:color="auto"/>
                      </w:divBdr>
                    </w:div>
                  </w:divsChild>
                </w:div>
                <w:div w:id="1152870138">
                  <w:marLeft w:val="0"/>
                  <w:marRight w:val="0"/>
                  <w:marTop w:val="0"/>
                  <w:marBottom w:val="0"/>
                  <w:divBdr>
                    <w:top w:val="none" w:sz="0" w:space="0" w:color="auto"/>
                    <w:left w:val="none" w:sz="0" w:space="0" w:color="auto"/>
                    <w:bottom w:val="none" w:sz="0" w:space="0" w:color="auto"/>
                    <w:right w:val="none" w:sz="0" w:space="0" w:color="auto"/>
                  </w:divBdr>
                  <w:divsChild>
                    <w:div w:id="1769544878">
                      <w:marLeft w:val="0"/>
                      <w:marRight w:val="0"/>
                      <w:marTop w:val="0"/>
                      <w:marBottom w:val="0"/>
                      <w:divBdr>
                        <w:top w:val="none" w:sz="0" w:space="0" w:color="auto"/>
                        <w:left w:val="none" w:sz="0" w:space="0" w:color="auto"/>
                        <w:bottom w:val="none" w:sz="0" w:space="0" w:color="auto"/>
                        <w:right w:val="none" w:sz="0" w:space="0" w:color="auto"/>
                      </w:divBdr>
                    </w:div>
                  </w:divsChild>
                </w:div>
                <w:div w:id="1866409255">
                  <w:marLeft w:val="0"/>
                  <w:marRight w:val="0"/>
                  <w:marTop w:val="0"/>
                  <w:marBottom w:val="0"/>
                  <w:divBdr>
                    <w:top w:val="none" w:sz="0" w:space="0" w:color="auto"/>
                    <w:left w:val="none" w:sz="0" w:space="0" w:color="auto"/>
                    <w:bottom w:val="none" w:sz="0" w:space="0" w:color="auto"/>
                    <w:right w:val="none" w:sz="0" w:space="0" w:color="auto"/>
                  </w:divBdr>
                  <w:divsChild>
                    <w:div w:id="453182941">
                      <w:marLeft w:val="0"/>
                      <w:marRight w:val="0"/>
                      <w:marTop w:val="0"/>
                      <w:marBottom w:val="0"/>
                      <w:divBdr>
                        <w:top w:val="none" w:sz="0" w:space="0" w:color="auto"/>
                        <w:left w:val="none" w:sz="0" w:space="0" w:color="auto"/>
                        <w:bottom w:val="none" w:sz="0" w:space="0" w:color="auto"/>
                        <w:right w:val="none" w:sz="0" w:space="0" w:color="auto"/>
                      </w:divBdr>
                    </w:div>
                  </w:divsChild>
                </w:div>
                <w:div w:id="1174763943">
                  <w:marLeft w:val="0"/>
                  <w:marRight w:val="0"/>
                  <w:marTop w:val="0"/>
                  <w:marBottom w:val="0"/>
                  <w:divBdr>
                    <w:top w:val="none" w:sz="0" w:space="0" w:color="auto"/>
                    <w:left w:val="none" w:sz="0" w:space="0" w:color="auto"/>
                    <w:bottom w:val="none" w:sz="0" w:space="0" w:color="auto"/>
                    <w:right w:val="none" w:sz="0" w:space="0" w:color="auto"/>
                  </w:divBdr>
                  <w:divsChild>
                    <w:div w:id="1267155824">
                      <w:marLeft w:val="0"/>
                      <w:marRight w:val="0"/>
                      <w:marTop w:val="0"/>
                      <w:marBottom w:val="0"/>
                      <w:divBdr>
                        <w:top w:val="none" w:sz="0" w:space="0" w:color="auto"/>
                        <w:left w:val="none" w:sz="0" w:space="0" w:color="auto"/>
                        <w:bottom w:val="none" w:sz="0" w:space="0" w:color="auto"/>
                        <w:right w:val="none" w:sz="0" w:space="0" w:color="auto"/>
                      </w:divBdr>
                    </w:div>
                  </w:divsChild>
                </w:div>
                <w:div w:id="236289898">
                  <w:marLeft w:val="0"/>
                  <w:marRight w:val="0"/>
                  <w:marTop w:val="0"/>
                  <w:marBottom w:val="0"/>
                  <w:divBdr>
                    <w:top w:val="none" w:sz="0" w:space="0" w:color="auto"/>
                    <w:left w:val="none" w:sz="0" w:space="0" w:color="auto"/>
                    <w:bottom w:val="none" w:sz="0" w:space="0" w:color="auto"/>
                    <w:right w:val="none" w:sz="0" w:space="0" w:color="auto"/>
                  </w:divBdr>
                  <w:divsChild>
                    <w:div w:id="537856101">
                      <w:marLeft w:val="0"/>
                      <w:marRight w:val="0"/>
                      <w:marTop w:val="0"/>
                      <w:marBottom w:val="0"/>
                      <w:divBdr>
                        <w:top w:val="none" w:sz="0" w:space="0" w:color="auto"/>
                        <w:left w:val="none" w:sz="0" w:space="0" w:color="auto"/>
                        <w:bottom w:val="none" w:sz="0" w:space="0" w:color="auto"/>
                        <w:right w:val="none" w:sz="0" w:space="0" w:color="auto"/>
                      </w:divBdr>
                    </w:div>
                  </w:divsChild>
                </w:div>
                <w:div w:id="2145269495">
                  <w:marLeft w:val="0"/>
                  <w:marRight w:val="0"/>
                  <w:marTop w:val="0"/>
                  <w:marBottom w:val="0"/>
                  <w:divBdr>
                    <w:top w:val="none" w:sz="0" w:space="0" w:color="auto"/>
                    <w:left w:val="none" w:sz="0" w:space="0" w:color="auto"/>
                    <w:bottom w:val="none" w:sz="0" w:space="0" w:color="auto"/>
                    <w:right w:val="none" w:sz="0" w:space="0" w:color="auto"/>
                  </w:divBdr>
                  <w:divsChild>
                    <w:div w:id="873688388">
                      <w:marLeft w:val="0"/>
                      <w:marRight w:val="0"/>
                      <w:marTop w:val="0"/>
                      <w:marBottom w:val="0"/>
                      <w:divBdr>
                        <w:top w:val="none" w:sz="0" w:space="0" w:color="auto"/>
                        <w:left w:val="none" w:sz="0" w:space="0" w:color="auto"/>
                        <w:bottom w:val="none" w:sz="0" w:space="0" w:color="auto"/>
                        <w:right w:val="none" w:sz="0" w:space="0" w:color="auto"/>
                      </w:divBdr>
                    </w:div>
                  </w:divsChild>
                </w:div>
                <w:div w:id="1596592126">
                  <w:marLeft w:val="0"/>
                  <w:marRight w:val="0"/>
                  <w:marTop w:val="0"/>
                  <w:marBottom w:val="0"/>
                  <w:divBdr>
                    <w:top w:val="none" w:sz="0" w:space="0" w:color="auto"/>
                    <w:left w:val="none" w:sz="0" w:space="0" w:color="auto"/>
                    <w:bottom w:val="none" w:sz="0" w:space="0" w:color="auto"/>
                    <w:right w:val="none" w:sz="0" w:space="0" w:color="auto"/>
                  </w:divBdr>
                  <w:divsChild>
                    <w:div w:id="861089247">
                      <w:marLeft w:val="0"/>
                      <w:marRight w:val="0"/>
                      <w:marTop w:val="0"/>
                      <w:marBottom w:val="0"/>
                      <w:divBdr>
                        <w:top w:val="none" w:sz="0" w:space="0" w:color="auto"/>
                        <w:left w:val="none" w:sz="0" w:space="0" w:color="auto"/>
                        <w:bottom w:val="none" w:sz="0" w:space="0" w:color="auto"/>
                        <w:right w:val="none" w:sz="0" w:space="0" w:color="auto"/>
                      </w:divBdr>
                    </w:div>
                  </w:divsChild>
                </w:div>
                <w:div w:id="1333068363">
                  <w:marLeft w:val="0"/>
                  <w:marRight w:val="0"/>
                  <w:marTop w:val="0"/>
                  <w:marBottom w:val="0"/>
                  <w:divBdr>
                    <w:top w:val="none" w:sz="0" w:space="0" w:color="auto"/>
                    <w:left w:val="none" w:sz="0" w:space="0" w:color="auto"/>
                    <w:bottom w:val="none" w:sz="0" w:space="0" w:color="auto"/>
                    <w:right w:val="none" w:sz="0" w:space="0" w:color="auto"/>
                  </w:divBdr>
                  <w:divsChild>
                    <w:div w:id="345642311">
                      <w:marLeft w:val="0"/>
                      <w:marRight w:val="0"/>
                      <w:marTop w:val="0"/>
                      <w:marBottom w:val="0"/>
                      <w:divBdr>
                        <w:top w:val="none" w:sz="0" w:space="0" w:color="auto"/>
                        <w:left w:val="none" w:sz="0" w:space="0" w:color="auto"/>
                        <w:bottom w:val="none" w:sz="0" w:space="0" w:color="auto"/>
                        <w:right w:val="none" w:sz="0" w:space="0" w:color="auto"/>
                      </w:divBdr>
                    </w:div>
                  </w:divsChild>
                </w:div>
                <w:div w:id="299919659">
                  <w:marLeft w:val="0"/>
                  <w:marRight w:val="0"/>
                  <w:marTop w:val="0"/>
                  <w:marBottom w:val="0"/>
                  <w:divBdr>
                    <w:top w:val="none" w:sz="0" w:space="0" w:color="auto"/>
                    <w:left w:val="none" w:sz="0" w:space="0" w:color="auto"/>
                    <w:bottom w:val="none" w:sz="0" w:space="0" w:color="auto"/>
                    <w:right w:val="none" w:sz="0" w:space="0" w:color="auto"/>
                  </w:divBdr>
                  <w:divsChild>
                    <w:div w:id="2097511543">
                      <w:marLeft w:val="0"/>
                      <w:marRight w:val="0"/>
                      <w:marTop w:val="0"/>
                      <w:marBottom w:val="0"/>
                      <w:divBdr>
                        <w:top w:val="none" w:sz="0" w:space="0" w:color="auto"/>
                        <w:left w:val="none" w:sz="0" w:space="0" w:color="auto"/>
                        <w:bottom w:val="none" w:sz="0" w:space="0" w:color="auto"/>
                        <w:right w:val="none" w:sz="0" w:space="0" w:color="auto"/>
                      </w:divBdr>
                    </w:div>
                  </w:divsChild>
                </w:div>
                <w:div w:id="1275213520">
                  <w:marLeft w:val="0"/>
                  <w:marRight w:val="0"/>
                  <w:marTop w:val="0"/>
                  <w:marBottom w:val="0"/>
                  <w:divBdr>
                    <w:top w:val="none" w:sz="0" w:space="0" w:color="auto"/>
                    <w:left w:val="none" w:sz="0" w:space="0" w:color="auto"/>
                    <w:bottom w:val="none" w:sz="0" w:space="0" w:color="auto"/>
                    <w:right w:val="none" w:sz="0" w:space="0" w:color="auto"/>
                  </w:divBdr>
                  <w:divsChild>
                    <w:div w:id="738598416">
                      <w:marLeft w:val="0"/>
                      <w:marRight w:val="0"/>
                      <w:marTop w:val="0"/>
                      <w:marBottom w:val="0"/>
                      <w:divBdr>
                        <w:top w:val="none" w:sz="0" w:space="0" w:color="auto"/>
                        <w:left w:val="none" w:sz="0" w:space="0" w:color="auto"/>
                        <w:bottom w:val="none" w:sz="0" w:space="0" w:color="auto"/>
                        <w:right w:val="none" w:sz="0" w:space="0" w:color="auto"/>
                      </w:divBdr>
                    </w:div>
                  </w:divsChild>
                </w:div>
                <w:div w:id="772094064">
                  <w:marLeft w:val="0"/>
                  <w:marRight w:val="0"/>
                  <w:marTop w:val="0"/>
                  <w:marBottom w:val="0"/>
                  <w:divBdr>
                    <w:top w:val="none" w:sz="0" w:space="0" w:color="auto"/>
                    <w:left w:val="none" w:sz="0" w:space="0" w:color="auto"/>
                    <w:bottom w:val="none" w:sz="0" w:space="0" w:color="auto"/>
                    <w:right w:val="none" w:sz="0" w:space="0" w:color="auto"/>
                  </w:divBdr>
                  <w:divsChild>
                    <w:div w:id="1468860921">
                      <w:marLeft w:val="0"/>
                      <w:marRight w:val="0"/>
                      <w:marTop w:val="0"/>
                      <w:marBottom w:val="0"/>
                      <w:divBdr>
                        <w:top w:val="none" w:sz="0" w:space="0" w:color="auto"/>
                        <w:left w:val="none" w:sz="0" w:space="0" w:color="auto"/>
                        <w:bottom w:val="none" w:sz="0" w:space="0" w:color="auto"/>
                        <w:right w:val="none" w:sz="0" w:space="0" w:color="auto"/>
                      </w:divBdr>
                    </w:div>
                  </w:divsChild>
                </w:div>
                <w:div w:id="357970124">
                  <w:marLeft w:val="0"/>
                  <w:marRight w:val="0"/>
                  <w:marTop w:val="0"/>
                  <w:marBottom w:val="0"/>
                  <w:divBdr>
                    <w:top w:val="none" w:sz="0" w:space="0" w:color="auto"/>
                    <w:left w:val="none" w:sz="0" w:space="0" w:color="auto"/>
                    <w:bottom w:val="none" w:sz="0" w:space="0" w:color="auto"/>
                    <w:right w:val="none" w:sz="0" w:space="0" w:color="auto"/>
                  </w:divBdr>
                  <w:divsChild>
                    <w:div w:id="948512734">
                      <w:marLeft w:val="0"/>
                      <w:marRight w:val="0"/>
                      <w:marTop w:val="0"/>
                      <w:marBottom w:val="0"/>
                      <w:divBdr>
                        <w:top w:val="none" w:sz="0" w:space="0" w:color="auto"/>
                        <w:left w:val="none" w:sz="0" w:space="0" w:color="auto"/>
                        <w:bottom w:val="none" w:sz="0" w:space="0" w:color="auto"/>
                        <w:right w:val="none" w:sz="0" w:space="0" w:color="auto"/>
                      </w:divBdr>
                    </w:div>
                  </w:divsChild>
                </w:div>
                <w:div w:id="2114394293">
                  <w:marLeft w:val="0"/>
                  <w:marRight w:val="0"/>
                  <w:marTop w:val="0"/>
                  <w:marBottom w:val="0"/>
                  <w:divBdr>
                    <w:top w:val="none" w:sz="0" w:space="0" w:color="auto"/>
                    <w:left w:val="none" w:sz="0" w:space="0" w:color="auto"/>
                    <w:bottom w:val="none" w:sz="0" w:space="0" w:color="auto"/>
                    <w:right w:val="none" w:sz="0" w:space="0" w:color="auto"/>
                  </w:divBdr>
                  <w:divsChild>
                    <w:div w:id="531112135">
                      <w:marLeft w:val="0"/>
                      <w:marRight w:val="0"/>
                      <w:marTop w:val="0"/>
                      <w:marBottom w:val="0"/>
                      <w:divBdr>
                        <w:top w:val="none" w:sz="0" w:space="0" w:color="auto"/>
                        <w:left w:val="none" w:sz="0" w:space="0" w:color="auto"/>
                        <w:bottom w:val="none" w:sz="0" w:space="0" w:color="auto"/>
                        <w:right w:val="none" w:sz="0" w:space="0" w:color="auto"/>
                      </w:divBdr>
                    </w:div>
                  </w:divsChild>
                </w:div>
                <w:div w:id="973560507">
                  <w:marLeft w:val="0"/>
                  <w:marRight w:val="0"/>
                  <w:marTop w:val="0"/>
                  <w:marBottom w:val="0"/>
                  <w:divBdr>
                    <w:top w:val="none" w:sz="0" w:space="0" w:color="auto"/>
                    <w:left w:val="none" w:sz="0" w:space="0" w:color="auto"/>
                    <w:bottom w:val="none" w:sz="0" w:space="0" w:color="auto"/>
                    <w:right w:val="none" w:sz="0" w:space="0" w:color="auto"/>
                  </w:divBdr>
                  <w:divsChild>
                    <w:div w:id="1878277933">
                      <w:marLeft w:val="0"/>
                      <w:marRight w:val="0"/>
                      <w:marTop w:val="0"/>
                      <w:marBottom w:val="0"/>
                      <w:divBdr>
                        <w:top w:val="none" w:sz="0" w:space="0" w:color="auto"/>
                        <w:left w:val="none" w:sz="0" w:space="0" w:color="auto"/>
                        <w:bottom w:val="none" w:sz="0" w:space="0" w:color="auto"/>
                        <w:right w:val="none" w:sz="0" w:space="0" w:color="auto"/>
                      </w:divBdr>
                    </w:div>
                  </w:divsChild>
                </w:div>
                <w:div w:id="177083821">
                  <w:marLeft w:val="0"/>
                  <w:marRight w:val="0"/>
                  <w:marTop w:val="0"/>
                  <w:marBottom w:val="0"/>
                  <w:divBdr>
                    <w:top w:val="none" w:sz="0" w:space="0" w:color="auto"/>
                    <w:left w:val="none" w:sz="0" w:space="0" w:color="auto"/>
                    <w:bottom w:val="none" w:sz="0" w:space="0" w:color="auto"/>
                    <w:right w:val="none" w:sz="0" w:space="0" w:color="auto"/>
                  </w:divBdr>
                  <w:divsChild>
                    <w:div w:id="1264263691">
                      <w:marLeft w:val="0"/>
                      <w:marRight w:val="0"/>
                      <w:marTop w:val="0"/>
                      <w:marBottom w:val="0"/>
                      <w:divBdr>
                        <w:top w:val="none" w:sz="0" w:space="0" w:color="auto"/>
                        <w:left w:val="none" w:sz="0" w:space="0" w:color="auto"/>
                        <w:bottom w:val="none" w:sz="0" w:space="0" w:color="auto"/>
                        <w:right w:val="none" w:sz="0" w:space="0" w:color="auto"/>
                      </w:divBdr>
                    </w:div>
                  </w:divsChild>
                </w:div>
                <w:div w:id="1260137907">
                  <w:marLeft w:val="0"/>
                  <w:marRight w:val="0"/>
                  <w:marTop w:val="0"/>
                  <w:marBottom w:val="0"/>
                  <w:divBdr>
                    <w:top w:val="none" w:sz="0" w:space="0" w:color="auto"/>
                    <w:left w:val="none" w:sz="0" w:space="0" w:color="auto"/>
                    <w:bottom w:val="none" w:sz="0" w:space="0" w:color="auto"/>
                    <w:right w:val="none" w:sz="0" w:space="0" w:color="auto"/>
                  </w:divBdr>
                  <w:divsChild>
                    <w:div w:id="363409046">
                      <w:marLeft w:val="0"/>
                      <w:marRight w:val="0"/>
                      <w:marTop w:val="0"/>
                      <w:marBottom w:val="0"/>
                      <w:divBdr>
                        <w:top w:val="none" w:sz="0" w:space="0" w:color="auto"/>
                        <w:left w:val="none" w:sz="0" w:space="0" w:color="auto"/>
                        <w:bottom w:val="none" w:sz="0" w:space="0" w:color="auto"/>
                        <w:right w:val="none" w:sz="0" w:space="0" w:color="auto"/>
                      </w:divBdr>
                    </w:div>
                  </w:divsChild>
                </w:div>
                <w:div w:id="417487543">
                  <w:marLeft w:val="0"/>
                  <w:marRight w:val="0"/>
                  <w:marTop w:val="0"/>
                  <w:marBottom w:val="0"/>
                  <w:divBdr>
                    <w:top w:val="none" w:sz="0" w:space="0" w:color="auto"/>
                    <w:left w:val="none" w:sz="0" w:space="0" w:color="auto"/>
                    <w:bottom w:val="none" w:sz="0" w:space="0" w:color="auto"/>
                    <w:right w:val="none" w:sz="0" w:space="0" w:color="auto"/>
                  </w:divBdr>
                  <w:divsChild>
                    <w:div w:id="994379537">
                      <w:marLeft w:val="0"/>
                      <w:marRight w:val="0"/>
                      <w:marTop w:val="0"/>
                      <w:marBottom w:val="0"/>
                      <w:divBdr>
                        <w:top w:val="none" w:sz="0" w:space="0" w:color="auto"/>
                        <w:left w:val="none" w:sz="0" w:space="0" w:color="auto"/>
                        <w:bottom w:val="none" w:sz="0" w:space="0" w:color="auto"/>
                        <w:right w:val="none" w:sz="0" w:space="0" w:color="auto"/>
                      </w:divBdr>
                    </w:div>
                  </w:divsChild>
                </w:div>
                <w:div w:id="2071727691">
                  <w:marLeft w:val="0"/>
                  <w:marRight w:val="0"/>
                  <w:marTop w:val="0"/>
                  <w:marBottom w:val="0"/>
                  <w:divBdr>
                    <w:top w:val="none" w:sz="0" w:space="0" w:color="auto"/>
                    <w:left w:val="none" w:sz="0" w:space="0" w:color="auto"/>
                    <w:bottom w:val="none" w:sz="0" w:space="0" w:color="auto"/>
                    <w:right w:val="none" w:sz="0" w:space="0" w:color="auto"/>
                  </w:divBdr>
                  <w:divsChild>
                    <w:div w:id="1287276512">
                      <w:marLeft w:val="0"/>
                      <w:marRight w:val="0"/>
                      <w:marTop w:val="0"/>
                      <w:marBottom w:val="0"/>
                      <w:divBdr>
                        <w:top w:val="none" w:sz="0" w:space="0" w:color="auto"/>
                        <w:left w:val="none" w:sz="0" w:space="0" w:color="auto"/>
                        <w:bottom w:val="none" w:sz="0" w:space="0" w:color="auto"/>
                        <w:right w:val="none" w:sz="0" w:space="0" w:color="auto"/>
                      </w:divBdr>
                    </w:div>
                  </w:divsChild>
                </w:div>
                <w:div w:id="1476527547">
                  <w:marLeft w:val="0"/>
                  <w:marRight w:val="0"/>
                  <w:marTop w:val="0"/>
                  <w:marBottom w:val="0"/>
                  <w:divBdr>
                    <w:top w:val="none" w:sz="0" w:space="0" w:color="auto"/>
                    <w:left w:val="none" w:sz="0" w:space="0" w:color="auto"/>
                    <w:bottom w:val="none" w:sz="0" w:space="0" w:color="auto"/>
                    <w:right w:val="none" w:sz="0" w:space="0" w:color="auto"/>
                  </w:divBdr>
                  <w:divsChild>
                    <w:div w:id="1323003847">
                      <w:marLeft w:val="0"/>
                      <w:marRight w:val="0"/>
                      <w:marTop w:val="0"/>
                      <w:marBottom w:val="0"/>
                      <w:divBdr>
                        <w:top w:val="none" w:sz="0" w:space="0" w:color="auto"/>
                        <w:left w:val="none" w:sz="0" w:space="0" w:color="auto"/>
                        <w:bottom w:val="none" w:sz="0" w:space="0" w:color="auto"/>
                        <w:right w:val="none" w:sz="0" w:space="0" w:color="auto"/>
                      </w:divBdr>
                    </w:div>
                  </w:divsChild>
                </w:div>
                <w:div w:id="995646014">
                  <w:marLeft w:val="0"/>
                  <w:marRight w:val="0"/>
                  <w:marTop w:val="0"/>
                  <w:marBottom w:val="0"/>
                  <w:divBdr>
                    <w:top w:val="none" w:sz="0" w:space="0" w:color="auto"/>
                    <w:left w:val="none" w:sz="0" w:space="0" w:color="auto"/>
                    <w:bottom w:val="none" w:sz="0" w:space="0" w:color="auto"/>
                    <w:right w:val="none" w:sz="0" w:space="0" w:color="auto"/>
                  </w:divBdr>
                  <w:divsChild>
                    <w:div w:id="1317686456">
                      <w:marLeft w:val="0"/>
                      <w:marRight w:val="0"/>
                      <w:marTop w:val="0"/>
                      <w:marBottom w:val="0"/>
                      <w:divBdr>
                        <w:top w:val="none" w:sz="0" w:space="0" w:color="auto"/>
                        <w:left w:val="none" w:sz="0" w:space="0" w:color="auto"/>
                        <w:bottom w:val="none" w:sz="0" w:space="0" w:color="auto"/>
                        <w:right w:val="none" w:sz="0" w:space="0" w:color="auto"/>
                      </w:divBdr>
                    </w:div>
                  </w:divsChild>
                </w:div>
                <w:div w:id="1524054378">
                  <w:marLeft w:val="0"/>
                  <w:marRight w:val="0"/>
                  <w:marTop w:val="0"/>
                  <w:marBottom w:val="0"/>
                  <w:divBdr>
                    <w:top w:val="none" w:sz="0" w:space="0" w:color="auto"/>
                    <w:left w:val="none" w:sz="0" w:space="0" w:color="auto"/>
                    <w:bottom w:val="none" w:sz="0" w:space="0" w:color="auto"/>
                    <w:right w:val="none" w:sz="0" w:space="0" w:color="auto"/>
                  </w:divBdr>
                  <w:divsChild>
                    <w:div w:id="794910672">
                      <w:marLeft w:val="0"/>
                      <w:marRight w:val="0"/>
                      <w:marTop w:val="0"/>
                      <w:marBottom w:val="0"/>
                      <w:divBdr>
                        <w:top w:val="none" w:sz="0" w:space="0" w:color="auto"/>
                        <w:left w:val="none" w:sz="0" w:space="0" w:color="auto"/>
                        <w:bottom w:val="none" w:sz="0" w:space="0" w:color="auto"/>
                        <w:right w:val="none" w:sz="0" w:space="0" w:color="auto"/>
                      </w:divBdr>
                    </w:div>
                  </w:divsChild>
                </w:div>
                <w:div w:id="422142989">
                  <w:marLeft w:val="0"/>
                  <w:marRight w:val="0"/>
                  <w:marTop w:val="0"/>
                  <w:marBottom w:val="0"/>
                  <w:divBdr>
                    <w:top w:val="none" w:sz="0" w:space="0" w:color="auto"/>
                    <w:left w:val="none" w:sz="0" w:space="0" w:color="auto"/>
                    <w:bottom w:val="none" w:sz="0" w:space="0" w:color="auto"/>
                    <w:right w:val="none" w:sz="0" w:space="0" w:color="auto"/>
                  </w:divBdr>
                  <w:divsChild>
                    <w:div w:id="1007438156">
                      <w:marLeft w:val="0"/>
                      <w:marRight w:val="0"/>
                      <w:marTop w:val="0"/>
                      <w:marBottom w:val="0"/>
                      <w:divBdr>
                        <w:top w:val="none" w:sz="0" w:space="0" w:color="auto"/>
                        <w:left w:val="none" w:sz="0" w:space="0" w:color="auto"/>
                        <w:bottom w:val="none" w:sz="0" w:space="0" w:color="auto"/>
                        <w:right w:val="none" w:sz="0" w:space="0" w:color="auto"/>
                      </w:divBdr>
                    </w:div>
                  </w:divsChild>
                </w:div>
                <w:div w:id="1239367532">
                  <w:marLeft w:val="0"/>
                  <w:marRight w:val="0"/>
                  <w:marTop w:val="0"/>
                  <w:marBottom w:val="0"/>
                  <w:divBdr>
                    <w:top w:val="none" w:sz="0" w:space="0" w:color="auto"/>
                    <w:left w:val="none" w:sz="0" w:space="0" w:color="auto"/>
                    <w:bottom w:val="none" w:sz="0" w:space="0" w:color="auto"/>
                    <w:right w:val="none" w:sz="0" w:space="0" w:color="auto"/>
                  </w:divBdr>
                  <w:divsChild>
                    <w:div w:id="1756199726">
                      <w:marLeft w:val="0"/>
                      <w:marRight w:val="0"/>
                      <w:marTop w:val="0"/>
                      <w:marBottom w:val="0"/>
                      <w:divBdr>
                        <w:top w:val="none" w:sz="0" w:space="0" w:color="auto"/>
                        <w:left w:val="none" w:sz="0" w:space="0" w:color="auto"/>
                        <w:bottom w:val="none" w:sz="0" w:space="0" w:color="auto"/>
                        <w:right w:val="none" w:sz="0" w:space="0" w:color="auto"/>
                      </w:divBdr>
                    </w:div>
                  </w:divsChild>
                </w:div>
                <w:div w:id="1834104625">
                  <w:marLeft w:val="0"/>
                  <w:marRight w:val="0"/>
                  <w:marTop w:val="0"/>
                  <w:marBottom w:val="0"/>
                  <w:divBdr>
                    <w:top w:val="none" w:sz="0" w:space="0" w:color="auto"/>
                    <w:left w:val="none" w:sz="0" w:space="0" w:color="auto"/>
                    <w:bottom w:val="none" w:sz="0" w:space="0" w:color="auto"/>
                    <w:right w:val="none" w:sz="0" w:space="0" w:color="auto"/>
                  </w:divBdr>
                  <w:divsChild>
                    <w:div w:id="1065568250">
                      <w:marLeft w:val="0"/>
                      <w:marRight w:val="0"/>
                      <w:marTop w:val="0"/>
                      <w:marBottom w:val="0"/>
                      <w:divBdr>
                        <w:top w:val="none" w:sz="0" w:space="0" w:color="auto"/>
                        <w:left w:val="none" w:sz="0" w:space="0" w:color="auto"/>
                        <w:bottom w:val="none" w:sz="0" w:space="0" w:color="auto"/>
                        <w:right w:val="none" w:sz="0" w:space="0" w:color="auto"/>
                      </w:divBdr>
                    </w:div>
                  </w:divsChild>
                </w:div>
                <w:div w:id="691416943">
                  <w:marLeft w:val="0"/>
                  <w:marRight w:val="0"/>
                  <w:marTop w:val="0"/>
                  <w:marBottom w:val="0"/>
                  <w:divBdr>
                    <w:top w:val="none" w:sz="0" w:space="0" w:color="auto"/>
                    <w:left w:val="none" w:sz="0" w:space="0" w:color="auto"/>
                    <w:bottom w:val="none" w:sz="0" w:space="0" w:color="auto"/>
                    <w:right w:val="none" w:sz="0" w:space="0" w:color="auto"/>
                  </w:divBdr>
                  <w:divsChild>
                    <w:div w:id="1676491871">
                      <w:marLeft w:val="0"/>
                      <w:marRight w:val="0"/>
                      <w:marTop w:val="0"/>
                      <w:marBottom w:val="0"/>
                      <w:divBdr>
                        <w:top w:val="none" w:sz="0" w:space="0" w:color="auto"/>
                        <w:left w:val="none" w:sz="0" w:space="0" w:color="auto"/>
                        <w:bottom w:val="none" w:sz="0" w:space="0" w:color="auto"/>
                        <w:right w:val="none" w:sz="0" w:space="0" w:color="auto"/>
                      </w:divBdr>
                    </w:div>
                  </w:divsChild>
                </w:div>
                <w:div w:id="28068750">
                  <w:marLeft w:val="0"/>
                  <w:marRight w:val="0"/>
                  <w:marTop w:val="0"/>
                  <w:marBottom w:val="0"/>
                  <w:divBdr>
                    <w:top w:val="none" w:sz="0" w:space="0" w:color="auto"/>
                    <w:left w:val="none" w:sz="0" w:space="0" w:color="auto"/>
                    <w:bottom w:val="none" w:sz="0" w:space="0" w:color="auto"/>
                    <w:right w:val="none" w:sz="0" w:space="0" w:color="auto"/>
                  </w:divBdr>
                  <w:divsChild>
                    <w:div w:id="1351226286">
                      <w:marLeft w:val="0"/>
                      <w:marRight w:val="0"/>
                      <w:marTop w:val="0"/>
                      <w:marBottom w:val="0"/>
                      <w:divBdr>
                        <w:top w:val="none" w:sz="0" w:space="0" w:color="auto"/>
                        <w:left w:val="none" w:sz="0" w:space="0" w:color="auto"/>
                        <w:bottom w:val="none" w:sz="0" w:space="0" w:color="auto"/>
                        <w:right w:val="none" w:sz="0" w:space="0" w:color="auto"/>
                      </w:divBdr>
                    </w:div>
                  </w:divsChild>
                </w:div>
                <w:div w:id="1230270416">
                  <w:marLeft w:val="0"/>
                  <w:marRight w:val="0"/>
                  <w:marTop w:val="0"/>
                  <w:marBottom w:val="0"/>
                  <w:divBdr>
                    <w:top w:val="none" w:sz="0" w:space="0" w:color="auto"/>
                    <w:left w:val="none" w:sz="0" w:space="0" w:color="auto"/>
                    <w:bottom w:val="none" w:sz="0" w:space="0" w:color="auto"/>
                    <w:right w:val="none" w:sz="0" w:space="0" w:color="auto"/>
                  </w:divBdr>
                  <w:divsChild>
                    <w:div w:id="334964427">
                      <w:marLeft w:val="0"/>
                      <w:marRight w:val="0"/>
                      <w:marTop w:val="0"/>
                      <w:marBottom w:val="0"/>
                      <w:divBdr>
                        <w:top w:val="none" w:sz="0" w:space="0" w:color="auto"/>
                        <w:left w:val="none" w:sz="0" w:space="0" w:color="auto"/>
                        <w:bottom w:val="none" w:sz="0" w:space="0" w:color="auto"/>
                        <w:right w:val="none" w:sz="0" w:space="0" w:color="auto"/>
                      </w:divBdr>
                    </w:div>
                  </w:divsChild>
                </w:div>
                <w:div w:id="877743886">
                  <w:marLeft w:val="0"/>
                  <w:marRight w:val="0"/>
                  <w:marTop w:val="0"/>
                  <w:marBottom w:val="0"/>
                  <w:divBdr>
                    <w:top w:val="none" w:sz="0" w:space="0" w:color="auto"/>
                    <w:left w:val="none" w:sz="0" w:space="0" w:color="auto"/>
                    <w:bottom w:val="none" w:sz="0" w:space="0" w:color="auto"/>
                    <w:right w:val="none" w:sz="0" w:space="0" w:color="auto"/>
                  </w:divBdr>
                  <w:divsChild>
                    <w:div w:id="387610834">
                      <w:marLeft w:val="0"/>
                      <w:marRight w:val="0"/>
                      <w:marTop w:val="0"/>
                      <w:marBottom w:val="0"/>
                      <w:divBdr>
                        <w:top w:val="none" w:sz="0" w:space="0" w:color="auto"/>
                        <w:left w:val="none" w:sz="0" w:space="0" w:color="auto"/>
                        <w:bottom w:val="none" w:sz="0" w:space="0" w:color="auto"/>
                        <w:right w:val="none" w:sz="0" w:space="0" w:color="auto"/>
                      </w:divBdr>
                    </w:div>
                  </w:divsChild>
                </w:div>
                <w:div w:id="1461218637">
                  <w:marLeft w:val="0"/>
                  <w:marRight w:val="0"/>
                  <w:marTop w:val="0"/>
                  <w:marBottom w:val="0"/>
                  <w:divBdr>
                    <w:top w:val="none" w:sz="0" w:space="0" w:color="auto"/>
                    <w:left w:val="none" w:sz="0" w:space="0" w:color="auto"/>
                    <w:bottom w:val="none" w:sz="0" w:space="0" w:color="auto"/>
                    <w:right w:val="none" w:sz="0" w:space="0" w:color="auto"/>
                  </w:divBdr>
                  <w:divsChild>
                    <w:div w:id="1663120230">
                      <w:marLeft w:val="0"/>
                      <w:marRight w:val="0"/>
                      <w:marTop w:val="0"/>
                      <w:marBottom w:val="0"/>
                      <w:divBdr>
                        <w:top w:val="none" w:sz="0" w:space="0" w:color="auto"/>
                        <w:left w:val="none" w:sz="0" w:space="0" w:color="auto"/>
                        <w:bottom w:val="none" w:sz="0" w:space="0" w:color="auto"/>
                        <w:right w:val="none" w:sz="0" w:space="0" w:color="auto"/>
                      </w:divBdr>
                    </w:div>
                  </w:divsChild>
                </w:div>
                <w:div w:id="1210337456">
                  <w:marLeft w:val="0"/>
                  <w:marRight w:val="0"/>
                  <w:marTop w:val="0"/>
                  <w:marBottom w:val="0"/>
                  <w:divBdr>
                    <w:top w:val="none" w:sz="0" w:space="0" w:color="auto"/>
                    <w:left w:val="none" w:sz="0" w:space="0" w:color="auto"/>
                    <w:bottom w:val="none" w:sz="0" w:space="0" w:color="auto"/>
                    <w:right w:val="none" w:sz="0" w:space="0" w:color="auto"/>
                  </w:divBdr>
                  <w:divsChild>
                    <w:div w:id="1290362285">
                      <w:marLeft w:val="0"/>
                      <w:marRight w:val="0"/>
                      <w:marTop w:val="0"/>
                      <w:marBottom w:val="0"/>
                      <w:divBdr>
                        <w:top w:val="none" w:sz="0" w:space="0" w:color="auto"/>
                        <w:left w:val="none" w:sz="0" w:space="0" w:color="auto"/>
                        <w:bottom w:val="none" w:sz="0" w:space="0" w:color="auto"/>
                        <w:right w:val="none" w:sz="0" w:space="0" w:color="auto"/>
                      </w:divBdr>
                    </w:div>
                  </w:divsChild>
                </w:div>
                <w:div w:id="11611237">
                  <w:marLeft w:val="0"/>
                  <w:marRight w:val="0"/>
                  <w:marTop w:val="0"/>
                  <w:marBottom w:val="0"/>
                  <w:divBdr>
                    <w:top w:val="none" w:sz="0" w:space="0" w:color="auto"/>
                    <w:left w:val="none" w:sz="0" w:space="0" w:color="auto"/>
                    <w:bottom w:val="none" w:sz="0" w:space="0" w:color="auto"/>
                    <w:right w:val="none" w:sz="0" w:space="0" w:color="auto"/>
                  </w:divBdr>
                  <w:divsChild>
                    <w:div w:id="557711393">
                      <w:marLeft w:val="0"/>
                      <w:marRight w:val="0"/>
                      <w:marTop w:val="0"/>
                      <w:marBottom w:val="0"/>
                      <w:divBdr>
                        <w:top w:val="none" w:sz="0" w:space="0" w:color="auto"/>
                        <w:left w:val="none" w:sz="0" w:space="0" w:color="auto"/>
                        <w:bottom w:val="none" w:sz="0" w:space="0" w:color="auto"/>
                        <w:right w:val="none" w:sz="0" w:space="0" w:color="auto"/>
                      </w:divBdr>
                    </w:div>
                  </w:divsChild>
                </w:div>
                <w:div w:id="1136223082">
                  <w:marLeft w:val="0"/>
                  <w:marRight w:val="0"/>
                  <w:marTop w:val="0"/>
                  <w:marBottom w:val="0"/>
                  <w:divBdr>
                    <w:top w:val="none" w:sz="0" w:space="0" w:color="auto"/>
                    <w:left w:val="none" w:sz="0" w:space="0" w:color="auto"/>
                    <w:bottom w:val="none" w:sz="0" w:space="0" w:color="auto"/>
                    <w:right w:val="none" w:sz="0" w:space="0" w:color="auto"/>
                  </w:divBdr>
                  <w:divsChild>
                    <w:div w:id="719207560">
                      <w:marLeft w:val="0"/>
                      <w:marRight w:val="0"/>
                      <w:marTop w:val="0"/>
                      <w:marBottom w:val="0"/>
                      <w:divBdr>
                        <w:top w:val="none" w:sz="0" w:space="0" w:color="auto"/>
                        <w:left w:val="none" w:sz="0" w:space="0" w:color="auto"/>
                        <w:bottom w:val="none" w:sz="0" w:space="0" w:color="auto"/>
                        <w:right w:val="none" w:sz="0" w:space="0" w:color="auto"/>
                      </w:divBdr>
                    </w:div>
                  </w:divsChild>
                </w:div>
                <w:div w:id="655183040">
                  <w:marLeft w:val="0"/>
                  <w:marRight w:val="0"/>
                  <w:marTop w:val="0"/>
                  <w:marBottom w:val="0"/>
                  <w:divBdr>
                    <w:top w:val="none" w:sz="0" w:space="0" w:color="auto"/>
                    <w:left w:val="none" w:sz="0" w:space="0" w:color="auto"/>
                    <w:bottom w:val="none" w:sz="0" w:space="0" w:color="auto"/>
                    <w:right w:val="none" w:sz="0" w:space="0" w:color="auto"/>
                  </w:divBdr>
                  <w:divsChild>
                    <w:div w:id="2031181671">
                      <w:marLeft w:val="0"/>
                      <w:marRight w:val="0"/>
                      <w:marTop w:val="0"/>
                      <w:marBottom w:val="0"/>
                      <w:divBdr>
                        <w:top w:val="none" w:sz="0" w:space="0" w:color="auto"/>
                        <w:left w:val="none" w:sz="0" w:space="0" w:color="auto"/>
                        <w:bottom w:val="none" w:sz="0" w:space="0" w:color="auto"/>
                        <w:right w:val="none" w:sz="0" w:space="0" w:color="auto"/>
                      </w:divBdr>
                    </w:div>
                  </w:divsChild>
                </w:div>
                <w:div w:id="1401637521">
                  <w:marLeft w:val="0"/>
                  <w:marRight w:val="0"/>
                  <w:marTop w:val="0"/>
                  <w:marBottom w:val="0"/>
                  <w:divBdr>
                    <w:top w:val="none" w:sz="0" w:space="0" w:color="auto"/>
                    <w:left w:val="none" w:sz="0" w:space="0" w:color="auto"/>
                    <w:bottom w:val="none" w:sz="0" w:space="0" w:color="auto"/>
                    <w:right w:val="none" w:sz="0" w:space="0" w:color="auto"/>
                  </w:divBdr>
                  <w:divsChild>
                    <w:div w:id="1881897151">
                      <w:marLeft w:val="0"/>
                      <w:marRight w:val="0"/>
                      <w:marTop w:val="0"/>
                      <w:marBottom w:val="0"/>
                      <w:divBdr>
                        <w:top w:val="none" w:sz="0" w:space="0" w:color="auto"/>
                        <w:left w:val="none" w:sz="0" w:space="0" w:color="auto"/>
                        <w:bottom w:val="none" w:sz="0" w:space="0" w:color="auto"/>
                        <w:right w:val="none" w:sz="0" w:space="0" w:color="auto"/>
                      </w:divBdr>
                    </w:div>
                  </w:divsChild>
                </w:div>
                <w:div w:id="257491508">
                  <w:marLeft w:val="0"/>
                  <w:marRight w:val="0"/>
                  <w:marTop w:val="0"/>
                  <w:marBottom w:val="0"/>
                  <w:divBdr>
                    <w:top w:val="none" w:sz="0" w:space="0" w:color="auto"/>
                    <w:left w:val="none" w:sz="0" w:space="0" w:color="auto"/>
                    <w:bottom w:val="none" w:sz="0" w:space="0" w:color="auto"/>
                    <w:right w:val="none" w:sz="0" w:space="0" w:color="auto"/>
                  </w:divBdr>
                  <w:divsChild>
                    <w:div w:id="816537340">
                      <w:marLeft w:val="0"/>
                      <w:marRight w:val="0"/>
                      <w:marTop w:val="0"/>
                      <w:marBottom w:val="0"/>
                      <w:divBdr>
                        <w:top w:val="none" w:sz="0" w:space="0" w:color="auto"/>
                        <w:left w:val="none" w:sz="0" w:space="0" w:color="auto"/>
                        <w:bottom w:val="none" w:sz="0" w:space="0" w:color="auto"/>
                        <w:right w:val="none" w:sz="0" w:space="0" w:color="auto"/>
                      </w:divBdr>
                    </w:div>
                  </w:divsChild>
                </w:div>
                <w:div w:id="1430470407">
                  <w:marLeft w:val="0"/>
                  <w:marRight w:val="0"/>
                  <w:marTop w:val="0"/>
                  <w:marBottom w:val="0"/>
                  <w:divBdr>
                    <w:top w:val="none" w:sz="0" w:space="0" w:color="auto"/>
                    <w:left w:val="none" w:sz="0" w:space="0" w:color="auto"/>
                    <w:bottom w:val="none" w:sz="0" w:space="0" w:color="auto"/>
                    <w:right w:val="none" w:sz="0" w:space="0" w:color="auto"/>
                  </w:divBdr>
                  <w:divsChild>
                    <w:div w:id="25644853">
                      <w:marLeft w:val="0"/>
                      <w:marRight w:val="0"/>
                      <w:marTop w:val="0"/>
                      <w:marBottom w:val="0"/>
                      <w:divBdr>
                        <w:top w:val="none" w:sz="0" w:space="0" w:color="auto"/>
                        <w:left w:val="none" w:sz="0" w:space="0" w:color="auto"/>
                        <w:bottom w:val="none" w:sz="0" w:space="0" w:color="auto"/>
                        <w:right w:val="none" w:sz="0" w:space="0" w:color="auto"/>
                      </w:divBdr>
                    </w:div>
                  </w:divsChild>
                </w:div>
                <w:div w:id="1197544751">
                  <w:marLeft w:val="0"/>
                  <w:marRight w:val="0"/>
                  <w:marTop w:val="0"/>
                  <w:marBottom w:val="0"/>
                  <w:divBdr>
                    <w:top w:val="none" w:sz="0" w:space="0" w:color="auto"/>
                    <w:left w:val="none" w:sz="0" w:space="0" w:color="auto"/>
                    <w:bottom w:val="none" w:sz="0" w:space="0" w:color="auto"/>
                    <w:right w:val="none" w:sz="0" w:space="0" w:color="auto"/>
                  </w:divBdr>
                  <w:divsChild>
                    <w:div w:id="190923959">
                      <w:marLeft w:val="0"/>
                      <w:marRight w:val="0"/>
                      <w:marTop w:val="0"/>
                      <w:marBottom w:val="0"/>
                      <w:divBdr>
                        <w:top w:val="none" w:sz="0" w:space="0" w:color="auto"/>
                        <w:left w:val="none" w:sz="0" w:space="0" w:color="auto"/>
                        <w:bottom w:val="none" w:sz="0" w:space="0" w:color="auto"/>
                        <w:right w:val="none" w:sz="0" w:space="0" w:color="auto"/>
                      </w:divBdr>
                    </w:div>
                  </w:divsChild>
                </w:div>
                <w:div w:id="919096344">
                  <w:marLeft w:val="0"/>
                  <w:marRight w:val="0"/>
                  <w:marTop w:val="0"/>
                  <w:marBottom w:val="0"/>
                  <w:divBdr>
                    <w:top w:val="none" w:sz="0" w:space="0" w:color="auto"/>
                    <w:left w:val="none" w:sz="0" w:space="0" w:color="auto"/>
                    <w:bottom w:val="none" w:sz="0" w:space="0" w:color="auto"/>
                    <w:right w:val="none" w:sz="0" w:space="0" w:color="auto"/>
                  </w:divBdr>
                  <w:divsChild>
                    <w:div w:id="1089737327">
                      <w:marLeft w:val="0"/>
                      <w:marRight w:val="0"/>
                      <w:marTop w:val="0"/>
                      <w:marBottom w:val="0"/>
                      <w:divBdr>
                        <w:top w:val="none" w:sz="0" w:space="0" w:color="auto"/>
                        <w:left w:val="none" w:sz="0" w:space="0" w:color="auto"/>
                        <w:bottom w:val="none" w:sz="0" w:space="0" w:color="auto"/>
                        <w:right w:val="none" w:sz="0" w:space="0" w:color="auto"/>
                      </w:divBdr>
                    </w:div>
                  </w:divsChild>
                </w:div>
                <w:div w:id="1428119430">
                  <w:marLeft w:val="0"/>
                  <w:marRight w:val="0"/>
                  <w:marTop w:val="0"/>
                  <w:marBottom w:val="0"/>
                  <w:divBdr>
                    <w:top w:val="none" w:sz="0" w:space="0" w:color="auto"/>
                    <w:left w:val="none" w:sz="0" w:space="0" w:color="auto"/>
                    <w:bottom w:val="none" w:sz="0" w:space="0" w:color="auto"/>
                    <w:right w:val="none" w:sz="0" w:space="0" w:color="auto"/>
                  </w:divBdr>
                  <w:divsChild>
                    <w:div w:id="1228109524">
                      <w:marLeft w:val="0"/>
                      <w:marRight w:val="0"/>
                      <w:marTop w:val="0"/>
                      <w:marBottom w:val="0"/>
                      <w:divBdr>
                        <w:top w:val="none" w:sz="0" w:space="0" w:color="auto"/>
                        <w:left w:val="none" w:sz="0" w:space="0" w:color="auto"/>
                        <w:bottom w:val="none" w:sz="0" w:space="0" w:color="auto"/>
                        <w:right w:val="none" w:sz="0" w:space="0" w:color="auto"/>
                      </w:divBdr>
                    </w:div>
                  </w:divsChild>
                </w:div>
                <w:div w:id="880943047">
                  <w:marLeft w:val="0"/>
                  <w:marRight w:val="0"/>
                  <w:marTop w:val="0"/>
                  <w:marBottom w:val="0"/>
                  <w:divBdr>
                    <w:top w:val="none" w:sz="0" w:space="0" w:color="auto"/>
                    <w:left w:val="none" w:sz="0" w:space="0" w:color="auto"/>
                    <w:bottom w:val="none" w:sz="0" w:space="0" w:color="auto"/>
                    <w:right w:val="none" w:sz="0" w:space="0" w:color="auto"/>
                  </w:divBdr>
                  <w:divsChild>
                    <w:div w:id="763958418">
                      <w:marLeft w:val="0"/>
                      <w:marRight w:val="0"/>
                      <w:marTop w:val="0"/>
                      <w:marBottom w:val="0"/>
                      <w:divBdr>
                        <w:top w:val="none" w:sz="0" w:space="0" w:color="auto"/>
                        <w:left w:val="none" w:sz="0" w:space="0" w:color="auto"/>
                        <w:bottom w:val="none" w:sz="0" w:space="0" w:color="auto"/>
                        <w:right w:val="none" w:sz="0" w:space="0" w:color="auto"/>
                      </w:divBdr>
                    </w:div>
                  </w:divsChild>
                </w:div>
                <w:div w:id="220479885">
                  <w:marLeft w:val="0"/>
                  <w:marRight w:val="0"/>
                  <w:marTop w:val="0"/>
                  <w:marBottom w:val="0"/>
                  <w:divBdr>
                    <w:top w:val="none" w:sz="0" w:space="0" w:color="auto"/>
                    <w:left w:val="none" w:sz="0" w:space="0" w:color="auto"/>
                    <w:bottom w:val="none" w:sz="0" w:space="0" w:color="auto"/>
                    <w:right w:val="none" w:sz="0" w:space="0" w:color="auto"/>
                  </w:divBdr>
                  <w:divsChild>
                    <w:div w:id="731776257">
                      <w:marLeft w:val="0"/>
                      <w:marRight w:val="0"/>
                      <w:marTop w:val="0"/>
                      <w:marBottom w:val="0"/>
                      <w:divBdr>
                        <w:top w:val="none" w:sz="0" w:space="0" w:color="auto"/>
                        <w:left w:val="none" w:sz="0" w:space="0" w:color="auto"/>
                        <w:bottom w:val="none" w:sz="0" w:space="0" w:color="auto"/>
                        <w:right w:val="none" w:sz="0" w:space="0" w:color="auto"/>
                      </w:divBdr>
                    </w:div>
                  </w:divsChild>
                </w:div>
                <w:div w:id="1357343081">
                  <w:marLeft w:val="0"/>
                  <w:marRight w:val="0"/>
                  <w:marTop w:val="0"/>
                  <w:marBottom w:val="0"/>
                  <w:divBdr>
                    <w:top w:val="none" w:sz="0" w:space="0" w:color="auto"/>
                    <w:left w:val="none" w:sz="0" w:space="0" w:color="auto"/>
                    <w:bottom w:val="none" w:sz="0" w:space="0" w:color="auto"/>
                    <w:right w:val="none" w:sz="0" w:space="0" w:color="auto"/>
                  </w:divBdr>
                  <w:divsChild>
                    <w:div w:id="1628120339">
                      <w:marLeft w:val="0"/>
                      <w:marRight w:val="0"/>
                      <w:marTop w:val="0"/>
                      <w:marBottom w:val="0"/>
                      <w:divBdr>
                        <w:top w:val="none" w:sz="0" w:space="0" w:color="auto"/>
                        <w:left w:val="none" w:sz="0" w:space="0" w:color="auto"/>
                        <w:bottom w:val="none" w:sz="0" w:space="0" w:color="auto"/>
                        <w:right w:val="none" w:sz="0" w:space="0" w:color="auto"/>
                      </w:divBdr>
                    </w:div>
                  </w:divsChild>
                </w:div>
                <w:div w:id="1510943246">
                  <w:marLeft w:val="0"/>
                  <w:marRight w:val="0"/>
                  <w:marTop w:val="0"/>
                  <w:marBottom w:val="0"/>
                  <w:divBdr>
                    <w:top w:val="none" w:sz="0" w:space="0" w:color="auto"/>
                    <w:left w:val="none" w:sz="0" w:space="0" w:color="auto"/>
                    <w:bottom w:val="none" w:sz="0" w:space="0" w:color="auto"/>
                    <w:right w:val="none" w:sz="0" w:space="0" w:color="auto"/>
                  </w:divBdr>
                  <w:divsChild>
                    <w:div w:id="2123648191">
                      <w:marLeft w:val="0"/>
                      <w:marRight w:val="0"/>
                      <w:marTop w:val="0"/>
                      <w:marBottom w:val="0"/>
                      <w:divBdr>
                        <w:top w:val="none" w:sz="0" w:space="0" w:color="auto"/>
                        <w:left w:val="none" w:sz="0" w:space="0" w:color="auto"/>
                        <w:bottom w:val="none" w:sz="0" w:space="0" w:color="auto"/>
                        <w:right w:val="none" w:sz="0" w:space="0" w:color="auto"/>
                      </w:divBdr>
                    </w:div>
                  </w:divsChild>
                </w:div>
                <w:div w:id="1601793286">
                  <w:marLeft w:val="0"/>
                  <w:marRight w:val="0"/>
                  <w:marTop w:val="0"/>
                  <w:marBottom w:val="0"/>
                  <w:divBdr>
                    <w:top w:val="none" w:sz="0" w:space="0" w:color="auto"/>
                    <w:left w:val="none" w:sz="0" w:space="0" w:color="auto"/>
                    <w:bottom w:val="none" w:sz="0" w:space="0" w:color="auto"/>
                    <w:right w:val="none" w:sz="0" w:space="0" w:color="auto"/>
                  </w:divBdr>
                  <w:divsChild>
                    <w:div w:id="2004813393">
                      <w:marLeft w:val="0"/>
                      <w:marRight w:val="0"/>
                      <w:marTop w:val="0"/>
                      <w:marBottom w:val="0"/>
                      <w:divBdr>
                        <w:top w:val="none" w:sz="0" w:space="0" w:color="auto"/>
                        <w:left w:val="none" w:sz="0" w:space="0" w:color="auto"/>
                        <w:bottom w:val="none" w:sz="0" w:space="0" w:color="auto"/>
                        <w:right w:val="none" w:sz="0" w:space="0" w:color="auto"/>
                      </w:divBdr>
                    </w:div>
                  </w:divsChild>
                </w:div>
                <w:div w:id="1645891445">
                  <w:marLeft w:val="0"/>
                  <w:marRight w:val="0"/>
                  <w:marTop w:val="0"/>
                  <w:marBottom w:val="0"/>
                  <w:divBdr>
                    <w:top w:val="none" w:sz="0" w:space="0" w:color="auto"/>
                    <w:left w:val="none" w:sz="0" w:space="0" w:color="auto"/>
                    <w:bottom w:val="none" w:sz="0" w:space="0" w:color="auto"/>
                    <w:right w:val="none" w:sz="0" w:space="0" w:color="auto"/>
                  </w:divBdr>
                  <w:divsChild>
                    <w:div w:id="714162990">
                      <w:marLeft w:val="0"/>
                      <w:marRight w:val="0"/>
                      <w:marTop w:val="0"/>
                      <w:marBottom w:val="0"/>
                      <w:divBdr>
                        <w:top w:val="none" w:sz="0" w:space="0" w:color="auto"/>
                        <w:left w:val="none" w:sz="0" w:space="0" w:color="auto"/>
                        <w:bottom w:val="none" w:sz="0" w:space="0" w:color="auto"/>
                        <w:right w:val="none" w:sz="0" w:space="0" w:color="auto"/>
                      </w:divBdr>
                    </w:div>
                  </w:divsChild>
                </w:div>
                <w:div w:id="1740398374">
                  <w:marLeft w:val="0"/>
                  <w:marRight w:val="0"/>
                  <w:marTop w:val="0"/>
                  <w:marBottom w:val="0"/>
                  <w:divBdr>
                    <w:top w:val="none" w:sz="0" w:space="0" w:color="auto"/>
                    <w:left w:val="none" w:sz="0" w:space="0" w:color="auto"/>
                    <w:bottom w:val="none" w:sz="0" w:space="0" w:color="auto"/>
                    <w:right w:val="none" w:sz="0" w:space="0" w:color="auto"/>
                  </w:divBdr>
                  <w:divsChild>
                    <w:div w:id="1800032171">
                      <w:marLeft w:val="0"/>
                      <w:marRight w:val="0"/>
                      <w:marTop w:val="0"/>
                      <w:marBottom w:val="0"/>
                      <w:divBdr>
                        <w:top w:val="none" w:sz="0" w:space="0" w:color="auto"/>
                        <w:left w:val="none" w:sz="0" w:space="0" w:color="auto"/>
                        <w:bottom w:val="none" w:sz="0" w:space="0" w:color="auto"/>
                        <w:right w:val="none" w:sz="0" w:space="0" w:color="auto"/>
                      </w:divBdr>
                    </w:div>
                  </w:divsChild>
                </w:div>
                <w:div w:id="304551648">
                  <w:marLeft w:val="0"/>
                  <w:marRight w:val="0"/>
                  <w:marTop w:val="0"/>
                  <w:marBottom w:val="0"/>
                  <w:divBdr>
                    <w:top w:val="none" w:sz="0" w:space="0" w:color="auto"/>
                    <w:left w:val="none" w:sz="0" w:space="0" w:color="auto"/>
                    <w:bottom w:val="none" w:sz="0" w:space="0" w:color="auto"/>
                    <w:right w:val="none" w:sz="0" w:space="0" w:color="auto"/>
                  </w:divBdr>
                  <w:divsChild>
                    <w:div w:id="1524711502">
                      <w:marLeft w:val="0"/>
                      <w:marRight w:val="0"/>
                      <w:marTop w:val="0"/>
                      <w:marBottom w:val="0"/>
                      <w:divBdr>
                        <w:top w:val="none" w:sz="0" w:space="0" w:color="auto"/>
                        <w:left w:val="none" w:sz="0" w:space="0" w:color="auto"/>
                        <w:bottom w:val="none" w:sz="0" w:space="0" w:color="auto"/>
                        <w:right w:val="none" w:sz="0" w:space="0" w:color="auto"/>
                      </w:divBdr>
                    </w:div>
                  </w:divsChild>
                </w:div>
                <w:div w:id="338197245">
                  <w:marLeft w:val="0"/>
                  <w:marRight w:val="0"/>
                  <w:marTop w:val="0"/>
                  <w:marBottom w:val="0"/>
                  <w:divBdr>
                    <w:top w:val="none" w:sz="0" w:space="0" w:color="auto"/>
                    <w:left w:val="none" w:sz="0" w:space="0" w:color="auto"/>
                    <w:bottom w:val="none" w:sz="0" w:space="0" w:color="auto"/>
                    <w:right w:val="none" w:sz="0" w:space="0" w:color="auto"/>
                  </w:divBdr>
                  <w:divsChild>
                    <w:div w:id="573204358">
                      <w:marLeft w:val="0"/>
                      <w:marRight w:val="0"/>
                      <w:marTop w:val="0"/>
                      <w:marBottom w:val="0"/>
                      <w:divBdr>
                        <w:top w:val="none" w:sz="0" w:space="0" w:color="auto"/>
                        <w:left w:val="none" w:sz="0" w:space="0" w:color="auto"/>
                        <w:bottom w:val="none" w:sz="0" w:space="0" w:color="auto"/>
                        <w:right w:val="none" w:sz="0" w:space="0" w:color="auto"/>
                      </w:divBdr>
                    </w:div>
                  </w:divsChild>
                </w:div>
                <w:div w:id="1399672382">
                  <w:marLeft w:val="0"/>
                  <w:marRight w:val="0"/>
                  <w:marTop w:val="0"/>
                  <w:marBottom w:val="0"/>
                  <w:divBdr>
                    <w:top w:val="none" w:sz="0" w:space="0" w:color="auto"/>
                    <w:left w:val="none" w:sz="0" w:space="0" w:color="auto"/>
                    <w:bottom w:val="none" w:sz="0" w:space="0" w:color="auto"/>
                    <w:right w:val="none" w:sz="0" w:space="0" w:color="auto"/>
                  </w:divBdr>
                  <w:divsChild>
                    <w:div w:id="1709840244">
                      <w:marLeft w:val="0"/>
                      <w:marRight w:val="0"/>
                      <w:marTop w:val="0"/>
                      <w:marBottom w:val="0"/>
                      <w:divBdr>
                        <w:top w:val="none" w:sz="0" w:space="0" w:color="auto"/>
                        <w:left w:val="none" w:sz="0" w:space="0" w:color="auto"/>
                        <w:bottom w:val="none" w:sz="0" w:space="0" w:color="auto"/>
                        <w:right w:val="none" w:sz="0" w:space="0" w:color="auto"/>
                      </w:divBdr>
                    </w:div>
                  </w:divsChild>
                </w:div>
                <w:div w:id="1463881693">
                  <w:marLeft w:val="0"/>
                  <w:marRight w:val="0"/>
                  <w:marTop w:val="0"/>
                  <w:marBottom w:val="0"/>
                  <w:divBdr>
                    <w:top w:val="none" w:sz="0" w:space="0" w:color="auto"/>
                    <w:left w:val="none" w:sz="0" w:space="0" w:color="auto"/>
                    <w:bottom w:val="none" w:sz="0" w:space="0" w:color="auto"/>
                    <w:right w:val="none" w:sz="0" w:space="0" w:color="auto"/>
                  </w:divBdr>
                  <w:divsChild>
                    <w:div w:id="996810933">
                      <w:marLeft w:val="0"/>
                      <w:marRight w:val="0"/>
                      <w:marTop w:val="0"/>
                      <w:marBottom w:val="0"/>
                      <w:divBdr>
                        <w:top w:val="none" w:sz="0" w:space="0" w:color="auto"/>
                        <w:left w:val="none" w:sz="0" w:space="0" w:color="auto"/>
                        <w:bottom w:val="none" w:sz="0" w:space="0" w:color="auto"/>
                        <w:right w:val="none" w:sz="0" w:space="0" w:color="auto"/>
                      </w:divBdr>
                    </w:div>
                  </w:divsChild>
                </w:div>
                <w:div w:id="1628585424">
                  <w:marLeft w:val="0"/>
                  <w:marRight w:val="0"/>
                  <w:marTop w:val="0"/>
                  <w:marBottom w:val="0"/>
                  <w:divBdr>
                    <w:top w:val="none" w:sz="0" w:space="0" w:color="auto"/>
                    <w:left w:val="none" w:sz="0" w:space="0" w:color="auto"/>
                    <w:bottom w:val="none" w:sz="0" w:space="0" w:color="auto"/>
                    <w:right w:val="none" w:sz="0" w:space="0" w:color="auto"/>
                  </w:divBdr>
                  <w:divsChild>
                    <w:div w:id="678773170">
                      <w:marLeft w:val="0"/>
                      <w:marRight w:val="0"/>
                      <w:marTop w:val="0"/>
                      <w:marBottom w:val="0"/>
                      <w:divBdr>
                        <w:top w:val="none" w:sz="0" w:space="0" w:color="auto"/>
                        <w:left w:val="none" w:sz="0" w:space="0" w:color="auto"/>
                        <w:bottom w:val="none" w:sz="0" w:space="0" w:color="auto"/>
                        <w:right w:val="none" w:sz="0" w:space="0" w:color="auto"/>
                      </w:divBdr>
                    </w:div>
                  </w:divsChild>
                </w:div>
                <w:div w:id="957376158">
                  <w:marLeft w:val="0"/>
                  <w:marRight w:val="0"/>
                  <w:marTop w:val="0"/>
                  <w:marBottom w:val="0"/>
                  <w:divBdr>
                    <w:top w:val="none" w:sz="0" w:space="0" w:color="auto"/>
                    <w:left w:val="none" w:sz="0" w:space="0" w:color="auto"/>
                    <w:bottom w:val="none" w:sz="0" w:space="0" w:color="auto"/>
                    <w:right w:val="none" w:sz="0" w:space="0" w:color="auto"/>
                  </w:divBdr>
                  <w:divsChild>
                    <w:div w:id="1735425751">
                      <w:marLeft w:val="0"/>
                      <w:marRight w:val="0"/>
                      <w:marTop w:val="0"/>
                      <w:marBottom w:val="0"/>
                      <w:divBdr>
                        <w:top w:val="none" w:sz="0" w:space="0" w:color="auto"/>
                        <w:left w:val="none" w:sz="0" w:space="0" w:color="auto"/>
                        <w:bottom w:val="none" w:sz="0" w:space="0" w:color="auto"/>
                        <w:right w:val="none" w:sz="0" w:space="0" w:color="auto"/>
                      </w:divBdr>
                    </w:div>
                  </w:divsChild>
                </w:div>
                <w:div w:id="529341488">
                  <w:marLeft w:val="0"/>
                  <w:marRight w:val="0"/>
                  <w:marTop w:val="0"/>
                  <w:marBottom w:val="0"/>
                  <w:divBdr>
                    <w:top w:val="none" w:sz="0" w:space="0" w:color="auto"/>
                    <w:left w:val="none" w:sz="0" w:space="0" w:color="auto"/>
                    <w:bottom w:val="none" w:sz="0" w:space="0" w:color="auto"/>
                    <w:right w:val="none" w:sz="0" w:space="0" w:color="auto"/>
                  </w:divBdr>
                  <w:divsChild>
                    <w:div w:id="1524510490">
                      <w:marLeft w:val="0"/>
                      <w:marRight w:val="0"/>
                      <w:marTop w:val="0"/>
                      <w:marBottom w:val="0"/>
                      <w:divBdr>
                        <w:top w:val="none" w:sz="0" w:space="0" w:color="auto"/>
                        <w:left w:val="none" w:sz="0" w:space="0" w:color="auto"/>
                        <w:bottom w:val="none" w:sz="0" w:space="0" w:color="auto"/>
                        <w:right w:val="none" w:sz="0" w:space="0" w:color="auto"/>
                      </w:divBdr>
                    </w:div>
                  </w:divsChild>
                </w:div>
                <w:div w:id="736243235">
                  <w:marLeft w:val="0"/>
                  <w:marRight w:val="0"/>
                  <w:marTop w:val="0"/>
                  <w:marBottom w:val="0"/>
                  <w:divBdr>
                    <w:top w:val="none" w:sz="0" w:space="0" w:color="auto"/>
                    <w:left w:val="none" w:sz="0" w:space="0" w:color="auto"/>
                    <w:bottom w:val="none" w:sz="0" w:space="0" w:color="auto"/>
                    <w:right w:val="none" w:sz="0" w:space="0" w:color="auto"/>
                  </w:divBdr>
                  <w:divsChild>
                    <w:div w:id="18704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7107">
          <w:marLeft w:val="0"/>
          <w:marRight w:val="0"/>
          <w:marTop w:val="0"/>
          <w:marBottom w:val="0"/>
          <w:divBdr>
            <w:top w:val="none" w:sz="0" w:space="0" w:color="auto"/>
            <w:left w:val="none" w:sz="0" w:space="0" w:color="auto"/>
            <w:bottom w:val="none" w:sz="0" w:space="0" w:color="auto"/>
            <w:right w:val="none" w:sz="0" w:space="0" w:color="auto"/>
          </w:divBdr>
        </w:div>
        <w:div w:id="1772892108">
          <w:marLeft w:val="0"/>
          <w:marRight w:val="0"/>
          <w:marTop w:val="0"/>
          <w:marBottom w:val="0"/>
          <w:divBdr>
            <w:top w:val="none" w:sz="0" w:space="0" w:color="auto"/>
            <w:left w:val="none" w:sz="0" w:space="0" w:color="auto"/>
            <w:bottom w:val="none" w:sz="0" w:space="0" w:color="auto"/>
            <w:right w:val="none" w:sz="0" w:space="0" w:color="auto"/>
          </w:divBdr>
        </w:div>
        <w:div w:id="945309076">
          <w:marLeft w:val="0"/>
          <w:marRight w:val="0"/>
          <w:marTop w:val="0"/>
          <w:marBottom w:val="0"/>
          <w:divBdr>
            <w:top w:val="none" w:sz="0" w:space="0" w:color="auto"/>
            <w:left w:val="none" w:sz="0" w:space="0" w:color="auto"/>
            <w:bottom w:val="none" w:sz="0" w:space="0" w:color="auto"/>
            <w:right w:val="none" w:sz="0" w:space="0" w:color="auto"/>
          </w:divBdr>
        </w:div>
        <w:div w:id="1844468056">
          <w:marLeft w:val="0"/>
          <w:marRight w:val="0"/>
          <w:marTop w:val="0"/>
          <w:marBottom w:val="0"/>
          <w:divBdr>
            <w:top w:val="none" w:sz="0" w:space="0" w:color="auto"/>
            <w:left w:val="none" w:sz="0" w:space="0" w:color="auto"/>
            <w:bottom w:val="none" w:sz="0" w:space="0" w:color="auto"/>
            <w:right w:val="none" w:sz="0" w:space="0" w:color="auto"/>
          </w:divBdr>
        </w:div>
        <w:div w:id="818156289">
          <w:marLeft w:val="0"/>
          <w:marRight w:val="0"/>
          <w:marTop w:val="0"/>
          <w:marBottom w:val="0"/>
          <w:divBdr>
            <w:top w:val="none" w:sz="0" w:space="0" w:color="auto"/>
            <w:left w:val="none" w:sz="0" w:space="0" w:color="auto"/>
            <w:bottom w:val="none" w:sz="0" w:space="0" w:color="auto"/>
            <w:right w:val="none" w:sz="0" w:space="0" w:color="auto"/>
          </w:divBdr>
        </w:div>
        <w:div w:id="316110117">
          <w:marLeft w:val="0"/>
          <w:marRight w:val="0"/>
          <w:marTop w:val="0"/>
          <w:marBottom w:val="0"/>
          <w:divBdr>
            <w:top w:val="none" w:sz="0" w:space="0" w:color="auto"/>
            <w:left w:val="none" w:sz="0" w:space="0" w:color="auto"/>
            <w:bottom w:val="none" w:sz="0" w:space="0" w:color="auto"/>
            <w:right w:val="none" w:sz="0" w:space="0" w:color="auto"/>
          </w:divBdr>
        </w:div>
        <w:div w:id="634065840">
          <w:marLeft w:val="0"/>
          <w:marRight w:val="0"/>
          <w:marTop w:val="0"/>
          <w:marBottom w:val="0"/>
          <w:divBdr>
            <w:top w:val="none" w:sz="0" w:space="0" w:color="auto"/>
            <w:left w:val="none" w:sz="0" w:space="0" w:color="auto"/>
            <w:bottom w:val="none" w:sz="0" w:space="0" w:color="auto"/>
            <w:right w:val="none" w:sz="0" w:space="0" w:color="auto"/>
          </w:divBdr>
        </w:div>
      </w:divsChild>
    </w:div>
    <w:div w:id="1472206816">
      <w:bodyDiv w:val="1"/>
      <w:marLeft w:val="0"/>
      <w:marRight w:val="0"/>
      <w:marTop w:val="0"/>
      <w:marBottom w:val="0"/>
      <w:divBdr>
        <w:top w:val="none" w:sz="0" w:space="0" w:color="auto"/>
        <w:left w:val="none" w:sz="0" w:space="0" w:color="auto"/>
        <w:bottom w:val="none" w:sz="0" w:space="0" w:color="auto"/>
        <w:right w:val="none" w:sz="0" w:space="0" w:color="auto"/>
      </w:divBdr>
      <w:divsChild>
        <w:div w:id="543559221">
          <w:marLeft w:val="0"/>
          <w:marRight w:val="0"/>
          <w:marTop w:val="0"/>
          <w:marBottom w:val="0"/>
          <w:divBdr>
            <w:top w:val="none" w:sz="0" w:space="0" w:color="auto"/>
            <w:left w:val="none" w:sz="0" w:space="0" w:color="auto"/>
            <w:bottom w:val="none" w:sz="0" w:space="0" w:color="auto"/>
            <w:right w:val="none" w:sz="0" w:space="0" w:color="auto"/>
          </w:divBdr>
        </w:div>
        <w:div w:id="309140813">
          <w:marLeft w:val="0"/>
          <w:marRight w:val="0"/>
          <w:marTop w:val="0"/>
          <w:marBottom w:val="0"/>
          <w:divBdr>
            <w:top w:val="none" w:sz="0" w:space="0" w:color="auto"/>
            <w:left w:val="none" w:sz="0" w:space="0" w:color="auto"/>
            <w:bottom w:val="none" w:sz="0" w:space="0" w:color="auto"/>
            <w:right w:val="none" w:sz="0" w:space="0" w:color="auto"/>
          </w:divBdr>
        </w:div>
        <w:div w:id="675494291">
          <w:marLeft w:val="0"/>
          <w:marRight w:val="0"/>
          <w:marTop w:val="0"/>
          <w:marBottom w:val="0"/>
          <w:divBdr>
            <w:top w:val="none" w:sz="0" w:space="0" w:color="auto"/>
            <w:left w:val="none" w:sz="0" w:space="0" w:color="auto"/>
            <w:bottom w:val="none" w:sz="0" w:space="0" w:color="auto"/>
            <w:right w:val="none" w:sz="0" w:space="0" w:color="auto"/>
          </w:divBdr>
        </w:div>
        <w:div w:id="1649166448">
          <w:marLeft w:val="0"/>
          <w:marRight w:val="0"/>
          <w:marTop w:val="0"/>
          <w:marBottom w:val="0"/>
          <w:divBdr>
            <w:top w:val="none" w:sz="0" w:space="0" w:color="auto"/>
            <w:left w:val="none" w:sz="0" w:space="0" w:color="auto"/>
            <w:bottom w:val="none" w:sz="0" w:space="0" w:color="auto"/>
            <w:right w:val="none" w:sz="0" w:space="0" w:color="auto"/>
          </w:divBdr>
        </w:div>
        <w:div w:id="341903348">
          <w:marLeft w:val="0"/>
          <w:marRight w:val="0"/>
          <w:marTop w:val="0"/>
          <w:marBottom w:val="0"/>
          <w:divBdr>
            <w:top w:val="none" w:sz="0" w:space="0" w:color="auto"/>
            <w:left w:val="none" w:sz="0" w:space="0" w:color="auto"/>
            <w:bottom w:val="none" w:sz="0" w:space="0" w:color="auto"/>
            <w:right w:val="none" w:sz="0" w:space="0" w:color="auto"/>
          </w:divBdr>
        </w:div>
        <w:div w:id="1017465413">
          <w:marLeft w:val="0"/>
          <w:marRight w:val="0"/>
          <w:marTop w:val="0"/>
          <w:marBottom w:val="0"/>
          <w:divBdr>
            <w:top w:val="none" w:sz="0" w:space="0" w:color="auto"/>
            <w:left w:val="none" w:sz="0" w:space="0" w:color="auto"/>
            <w:bottom w:val="none" w:sz="0" w:space="0" w:color="auto"/>
            <w:right w:val="none" w:sz="0" w:space="0" w:color="auto"/>
          </w:divBdr>
          <w:divsChild>
            <w:div w:id="2040548556">
              <w:marLeft w:val="0"/>
              <w:marRight w:val="0"/>
              <w:marTop w:val="30"/>
              <w:marBottom w:val="30"/>
              <w:divBdr>
                <w:top w:val="none" w:sz="0" w:space="0" w:color="auto"/>
                <w:left w:val="none" w:sz="0" w:space="0" w:color="auto"/>
                <w:bottom w:val="none" w:sz="0" w:space="0" w:color="auto"/>
                <w:right w:val="none" w:sz="0" w:space="0" w:color="auto"/>
              </w:divBdr>
              <w:divsChild>
                <w:div w:id="254095112">
                  <w:marLeft w:val="0"/>
                  <w:marRight w:val="0"/>
                  <w:marTop w:val="0"/>
                  <w:marBottom w:val="0"/>
                  <w:divBdr>
                    <w:top w:val="none" w:sz="0" w:space="0" w:color="auto"/>
                    <w:left w:val="none" w:sz="0" w:space="0" w:color="auto"/>
                    <w:bottom w:val="none" w:sz="0" w:space="0" w:color="auto"/>
                    <w:right w:val="none" w:sz="0" w:space="0" w:color="auto"/>
                  </w:divBdr>
                  <w:divsChild>
                    <w:div w:id="378021441">
                      <w:marLeft w:val="0"/>
                      <w:marRight w:val="0"/>
                      <w:marTop w:val="0"/>
                      <w:marBottom w:val="0"/>
                      <w:divBdr>
                        <w:top w:val="none" w:sz="0" w:space="0" w:color="auto"/>
                        <w:left w:val="none" w:sz="0" w:space="0" w:color="auto"/>
                        <w:bottom w:val="none" w:sz="0" w:space="0" w:color="auto"/>
                        <w:right w:val="none" w:sz="0" w:space="0" w:color="auto"/>
                      </w:divBdr>
                    </w:div>
                  </w:divsChild>
                </w:div>
                <w:div w:id="270206569">
                  <w:marLeft w:val="0"/>
                  <w:marRight w:val="0"/>
                  <w:marTop w:val="0"/>
                  <w:marBottom w:val="0"/>
                  <w:divBdr>
                    <w:top w:val="none" w:sz="0" w:space="0" w:color="auto"/>
                    <w:left w:val="none" w:sz="0" w:space="0" w:color="auto"/>
                    <w:bottom w:val="none" w:sz="0" w:space="0" w:color="auto"/>
                    <w:right w:val="none" w:sz="0" w:space="0" w:color="auto"/>
                  </w:divBdr>
                  <w:divsChild>
                    <w:div w:id="1778869679">
                      <w:marLeft w:val="0"/>
                      <w:marRight w:val="0"/>
                      <w:marTop w:val="0"/>
                      <w:marBottom w:val="0"/>
                      <w:divBdr>
                        <w:top w:val="none" w:sz="0" w:space="0" w:color="auto"/>
                        <w:left w:val="none" w:sz="0" w:space="0" w:color="auto"/>
                        <w:bottom w:val="none" w:sz="0" w:space="0" w:color="auto"/>
                        <w:right w:val="none" w:sz="0" w:space="0" w:color="auto"/>
                      </w:divBdr>
                    </w:div>
                  </w:divsChild>
                </w:div>
                <w:div w:id="991182087">
                  <w:marLeft w:val="0"/>
                  <w:marRight w:val="0"/>
                  <w:marTop w:val="0"/>
                  <w:marBottom w:val="0"/>
                  <w:divBdr>
                    <w:top w:val="none" w:sz="0" w:space="0" w:color="auto"/>
                    <w:left w:val="none" w:sz="0" w:space="0" w:color="auto"/>
                    <w:bottom w:val="none" w:sz="0" w:space="0" w:color="auto"/>
                    <w:right w:val="none" w:sz="0" w:space="0" w:color="auto"/>
                  </w:divBdr>
                  <w:divsChild>
                    <w:div w:id="50349609">
                      <w:marLeft w:val="0"/>
                      <w:marRight w:val="0"/>
                      <w:marTop w:val="0"/>
                      <w:marBottom w:val="0"/>
                      <w:divBdr>
                        <w:top w:val="none" w:sz="0" w:space="0" w:color="auto"/>
                        <w:left w:val="none" w:sz="0" w:space="0" w:color="auto"/>
                        <w:bottom w:val="none" w:sz="0" w:space="0" w:color="auto"/>
                        <w:right w:val="none" w:sz="0" w:space="0" w:color="auto"/>
                      </w:divBdr>
                    </w:div>
                  </w:divsChild>
                </w:div>
                <w:div w:id="1493644724">
                  <w:marLeft w:val="0"/>
                  <w:marRight w:val="0"/>
                  <w:marTop w:val="0"/>
                  <w:marBottom w:val="0"/>
                  <w:divBdr>
                    <w:top w:val="none" w:sz="0" w:space="0" w:color="auto"/>
                    <w:left w:val="none" w:sz="0" w:space="0" w:color="auto"/>
                    <w:bottom w:val="none" w:sz="0" w:space="0" w:color="auto"/>
                    <w:right w:val="none" w:sz="0" w:space="0" w:color="auto"/>
                  </w:divBdr>
                  <w:divsChild>
                    <w:div w:id="1323120931">
                      <w:marLeft w:val="0"/>
                      <w:marRight w:val="0"/>
                      <w:marTop w:val="0"/>
                      <w:marBottom w:val="0"/>
                      <w:divBdr>
                        <w:top w:val="none" w:sz="0" w:space="0" w:color="auto"/>
                        <w:left w:val="none" w:sz="0" w:space="0" w:color="auto"/>
                        <w:bottom w:val="none" w:sz="0" w:space="0" w:color="auto"/>
                        <w:right w:val="none" w:sz="0" w:space="0" w:color="auto"/>
                      </w:divBdr>
                    </w:div>
                    <w:div w:id="2136557175">
                      <w:marLeft w:val="0"/>
                      <w:marRight w:val="0"/>
                      <w:marTop w:val="0"/>
                      <w:marBottom w:val="0"/>
                      <w:divBdr>
                        <w:top w:val="none" w:sz="0" w:space="0" w:color="auto"/>
                        <w:left w:val="none" w:sz="0" w:space="0" w:color="auto"/>
                        <w:bottom w:val="none" w:sz="0" w:space="0" w:color="auto"/>
                        <w:right w:val="none" w:sz="0" w:space="0" w:color="auto"/>
                      </w:divBdr>
                    </w:div>
                  </w:divsChild>
                </w:div>
                <w:div w:id="644428271">
                  <w:marLeft w:val="0"/>
                  <w:marRight w:val="0"/>
                  <w:marTop w:val="0"/>
                  <w:marBottom w:val="0"/>
                  <w:divBdr>
                    <w:top w:val="none" w:sz="0" w:space="0" w:color="auto"/>
                    <w:left w:val="none" w:sz="0" w:space="0" w:color="auto"/>
                    <w:bottom w:val="none" w:sz="0" w:space="0" w:color="auto"/>
                    <w:right w:val="none" w:sz="0" w:space="0" w:color="auto"/>
                  </w:divBdr>
                  <w:divsChild>
                    <w:div w:id="1438057059">
                      <w:marLeft w:val="0"/>
                      <w:marRight w:val="0"/>
                      <w:marTop w:val="0"/>
                      <w:marBottom w:val="0"/>
                      <w:divBdr>
                        <w:top w:val="none" w:sz="0" w:space="0" w:color="auto"/>
                        <w:left w:val="none" w:sz="0" w:space="0" w:color="auto"/>
                        <w:bottom w:val="none" w:sz="0" w:space="0" w:color="auto"/>
                        <w:right w:val="none" w:sz="0" w:space="0" w:color="auto"/>
                      </w:divBdr>
                    </w:div>
                  </w:divsChild>
                </w:div>
                <w:div w:id="61681939">
                  <w:marLeft w:val="0"/>
                  <w:marRight w:val="0"/>
                  <w:marTop w:val="0"/>
                  <w:marBottom w:val="0"/>
                  <w:divBdr>
                    <w:top w:val="none" w:sz="0" w:space="0" w:color="auto"/>
                    <w:left w:val="none" w:sz="0" w:space="0" w:color="auto"/>
                    <w:bottom w:val="none" w:sz="0" w:space="0" w:color="auto"/>
                    <w:right w:val="none" w:sz="0" w:space="0" w:color="auto"/>
                  </w:divBdr>
                  <w:divsChild>
                    <w:div w:id="9466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93804">
      <w:bodyDiv w:val="1"/>
      <w:marLeft w:val="0"/>
      <w:marRight w:val="0"/>
      <w:marTop w:val="0"/>
      <w:marBottom w:val="0"/>
      <w:divBdr>
        <w:top w:val="none" w:sz="0" w:space="0" w:color="auto"/>
        <w:left w:val="none" w:sz="0" w:space="0" w:color="auto"/>
        <w:bottom w:val="none" w:sz="0" w:space="0" w:color="auto"/>
        <w:right w:val="none" w:sz="0" w:space="0" w:color="auto"/>
      </w:divBdr>
      <w:divsChild>
        <w:div w:id="64105707">
          <w:marLeft w:val="0"/>
          <w:marRight w:val="0"/>
          <w:marTop w:val="0"/>
          <w:marBottom w:val="0"/>
          <w:divBdr>
            <w:top w:val="none" w:sz="0" w:space="0" w:color="auto"/>
            <w:left w:val="none" w:sz="0" w:space="0" w:color="auto"/>
            <w:bottom w:val="none" w:sz="0" w:space="0" w:color="auto"/>
            <w:right w:val="none" w:sz="0" w:space="0" w:color="auto"/>
          </w:divBdr>
          <w:divsChild>
            <w:div w:id="1138837566">
              <w:marLeft w:val="0"/>
              <w:marRight w:val="0"/>
              <w:marTop w:val="0"/>
              <w:marBottom w:val="0"/>
              <w:divBdr>
                <w:top w:val="none" w:sz="0" w:space="0" w:color="auto"/>
                <w:left w:val="none" w:sz="0" w:space="0" w:color="auto"/>
                <w:bottom w:val="none" w:sz="0" w:space="0" w:color="auto"/>
                <w:right w:val="none" w:sz="0" w:space="0" w:color="auto"/>
              </w:divBdr>
            </w:div>
          </w:divsChild>
        </w:div>
        <w:div w:id="1168903335">
          <w:marLeft w:val="0"/>
          <w:marRight w:val="0"/>
          <w:marTop w:val="0"/>
          <w:marBottom w:val="0"/>
          <w:divBdr>
            <w:top w:val="none" w:sz="0" w:space="0" w:color="auto"/>
            <w:left w:val="none" w:sz="0" w:space="0" w:color="auto"/>
            <w:bottom w:val="none" w:sz="0" w:space="0" w:color="auto"/>
            <w:right w:val="none" w:sz="0" w:space="0" w:color="auto"/>
          </w:divBdr>
          <w:divsChild>
            <w:div w:id="1513303315">
              <w:marLeft w:val="0"/>
              <w:marRight w:val="0"/>
              <w:marTop w:val="0"/>
              <w:marBottom w:val="0"/>
              <w:divBdr>
                <w:top w:val="none" w:sz="0" w:space="0" w:color="auto"/>
                <w:left w:val="none" w:sz="0" w:space="0" w:color="auto"/>
                <w:bottom w:val="none" w:sz="0" w:space="0" w:color="auto"/>
                <w:right w:val="none" w:sz="0" w:space="0" w:color="auto"/>
              </w:divBdr>
            </w:div>
          </w:divsChild>
        </w:div>
        <w:div w:id="394134174">
          <w:marLeft w:val="0"/>
          <w:marRight w:val="0"/>
          <w:marTop w:val="0"/>
          <w:marBottom w:val="0"/>
          <w:divBdr>
            <w:top w:val="none" w:sz="0" w:space="0" w:color="auto"/>
            <w:left w:val="none" w:sz="0" w:space="0" w:color="auto"/>
            <w:bottom w:val="none" w:sz="0" w:space="0" w:color="auto"/>
            <w:right w:val="none" w:sz="0" w:space="0" w:color="auto"/>
          </w:divBdr>
          <w:divsChild>
            <w:div w:id="1589922672">
              <w:marLeft w:val="0"/>
              <w:marRight w:val="0"/>
              <w:marTop w:val="0"/>
              <w:marBottom w:val="0"/>
              <w:divBdr>
                <w:top w:val="none" w:sz="0" w:space="0" w:color="auto"/>
                <w:left w:val="none" w:sz="0" w:space="0" w:color="auto"/>
                <w:bottom w:val="none" w:sz="0" w:space="0" w:color="auto"/>
                <w:right w:val="none" w:sz="0" w:space="0" w:color="auto"/>
              </w:divBdr>
            </w:div>
          </w:divsChild>
        </w:div>
        <w:div w:id="1253003494">
          <w:marLeft w:val="0"/>
          <w:marRight w:val="0"/>
          <w:marTop w:val="0"/>
          <w:marBottom w:val="0"/>
          <w:divBdr>
            <w:top w:val="none" w:sz="0" w:space="0" w:color="auto"/>
            <w:left w:val="none" w:sz="0" w:space="0" w:color="auto"/>
            <w:bottom w:val="none" w:sz="0" w:space="0" w:color="auto"/>
            <w:right w:val="none" w:sz="0" w:space="0" w:color="auto"/>
          </w:divBdr>
          <w:divsChild>
            <w:div w:id="2077893997">
              <w:marLeft w:val="0"/>
              <w:marRight w:val="0"/>
              <w:marTop w:val="0"/>
              <w:marBottom w:val="0"/>
              <w:divBdr>
                <w:top w:val="none" w:sz="0" w:space="0" w:color="auto"/>
                <w:left w:val="none" w:sz="0" w:space="0" w:color="auto"/>
                <w:bottom w:val="none" w:sz="0" w:space="0" w:color="auto"/>
                <w:right w:val="none" w:sz="0" w:space="0" w:color="auto"/>
              </w:divBdr>
            </w:div>
          </w:divsChild>
        </w:div>
        <w:div w:id="410352210">
          <w:marLeft w:val="0"/>
          <w:marRight w:val="0"/>
          <w:marTop w:val="0"/>
          <w:marBottom w:val="0"/>
          <w:divBdr>
            <w:top w:val="none" w:sz="0" w:space="0" w:color="auto"/>
            <w:left w:val="none" w:sz="0" w:space="0" w:color="auto"/>
            <w:bottom w:val="none" w:sz="0" w:space="0" w:color="auto"/>
            <w:right w:val="none" w:sz="0" w:space="0" w:color="auto"/>
          </w:divBdr>
          <w:divsChild>
            <w:div w:id="939146271">
              <w:marLeft w:val="0"/>
              <w:marRight w:val="0"/>
              <w:marTop w:val="0"/>
              <w:marBottom w:val="0"/>
              <w:divBdr>
                <w:top w:val="none" w:sz="0" w:space="0" w:color="auto"/>
                <w:left w:val="none" w:sz="0" w:space="0" w:color="auto"/>
                <w:bottom w:val="none" w:sz="0" w:space="0" w:color="auto"/>
                <w:right w:val="none" w:sz="0" w:space="0" w:color="auto"/>
              </w:divBdr>
            </w:div>
          </w:divsChild>
        </w:div>
        <w:div w:id="1261333001">
          <w:marLeft w:val="0"/>
          <w:marRight w:val="0"/>
          <w:marTop w:val="0"/>
          <w:marBottom w:val="0"/>
          <w:divBdr>
            <w:top w:val="none" w:sz="0" w:space="0" w:color="auto"/>
            <w:left w:val="none" w:sz="0" w:space="0" w:color="auto"/>
            <w:bottom w:val="none" w:sz="0" w:space="0" w:color="auto"/>
            <w:right w:val="none" w:sz="0" w:space="0" w:color="auto"/>
          </w:divBdr>
          <w:divsChild>
            <w:div w:id="1312128761">
              <w:marLeft w:val="0"/>
              <w:marRight w:val="0"/>
              <w:marTop w:val="0"/>
              <w:marBottom w:val="0"/>
              <w:divBdr>
                <w:top w:val="none" w:sz="0" w:space="0" w:color="auto"/>
                <w:left w:val="none" w:sz="0" w:space="0" w:color="auto"/>
                <w:bottom w:val="none" w:sz="0" w:space="0" w:color="auto"/>
                <w:right w:val="none" w:sz="0" w:space="0" w:color="auto"/>
              </w:divBdr>
            </w:div>
          </w:divsChild>
        </w:div>
        <w:div w:id="175391065">
          <w:marLeft w:val="0"/>
          <w:marRight w:val="0"/>
          <w:marTop w:val="0"/>
          <w:marBottom w:val="0"/>
          <w:divBdr>
            <w:top w:val="none" w:sz="0" w:space="0" w:color="auto"/>
            <w:left w:val="none" w:sz="0" w:space="0" w:color="auto"/>
            <w:bottom w:val="none" w:sz="0" w:space="0" w:color="auto"/>
            <w:right w:val="none" w:sz="0" w:space="0" w:color="auto"/>
          </w:divBdr>
          <w:divsChild>
            <w:div w:id="352197555">
              <w:marLeft w:val="0"/>
              <w:marRight w:val="0"/>
              <w:marTop w:val="0"/>
              <w:marBottom w:val="0"/>
              <w:divBdr>
                <w:top w:val="none" w:sz="0" w:space="0" w:color="auto"/>
                <w:left w:val="none" w:sz="0" w:space="0" w:color="auto"/>
                <w:bottom w:val="none" w:sz="0" w:space="0" w:color="auto"/>
                <w:right w:val="none" w:sz="0" w:space="0" w:color="auto"/>
              </w:divBdr>
            </w:div>
            <w:div w:id="526721777">
              <w:marLeft w:val="0"/>
              <w:marRight w:val="0"/>
              <w:marTop w:val="0"/>
              <w:marBottom w:val="0"/>
              <w:divBdr>
                <w:top w:val="none" w:sz="0" w:space="0" w:color="auto"/>
                <w:left w:val="none" w:sz="0" w:space="0" w:color="auto"/>
                <w:bottom w:val="none" w:sz="0" w:space="0" w:color="auto"/>
                <w:right w:val="none" w:sz="0" w:space="0" w:color="auto"/>
              </w:divBdr>
            </w:div>
          </w:divsChild>
        </w:div>
        <w:div w:id="1210610712">
          <w:marLeft w:val="0"/>
          <w:marRight w:val="0"/>
          <w:marTop w:val="0"/>
          <w:marBottom w:val="0"/>
          <w:divBdr>
            <w:top w:val="none" w:sz="0" w:space="0" w:color="auto"/>
            <w:left w:val="none" w:sz="0" w:space="0" w:color="auto"/>
            <w:bottom w:val="none" w:sz="0" w:space="0" w:color="auto"/>
            <w:right w:val="none" w:sz="0" w:space="0" w:color="auto"/>
          </w:divBdr>
          <w:divsChild>
            <w:div w:id="323246758">
              <w:marLeft w:val="0"/>
              <w:marRight w:val="0"/>
              <w:marTop w:val="0"/>
              <w:marBottom w:val="0"/>
              <w:divBdr>
                <w:top w:val="none" w:sz="0" w:space="0" w:color="auto"/>
                <w:left w:val="none" w:sz="0" w:space="0" w:color="auto"/>
                <w:bottom w:val="none" w:sz="0" w:space="0" w:color="auto"/>
                <w:right w:val="none" w:sz="0" w:space="0" w:color="auto"/>
              </w:divBdr>
            </w:div>
          </w:divsChild>
        </w:div>
        <w:div w:id="734474374">
          <w:marLeft w:val="0"/>
          <w:marRight w:val="0"/>
          <w:marTop w:val="0"/>
          <w:marBottom w:val="0"/>
          <w:divBdr>
            <w:top w:val="none" w:sz="0" w:space="0" w:color="auto"/>
            <w:left w:val="none" w:sz="0" w:space="0" w:color="auto"/>
            <w:bottom w:val="none" w:sz="0" w:space="0" w:color="auto"/>
            <w:right w:val="none" w:sz="0" w:space="0" w:color="auto"/>
          </w:divBdr>
          <w:divsChild>
            <w:div w:id="1737241361">
              <w:marLeft w:val="0"/>
              <w:marRight w:val="0"/>
              <w:marTop w:val="0"/>
              <w:marBottom w:val="0"/>
              <w:divBdr>
                <w:top w:val="none" w:sz="0" w:space="0" w:color="auto"/>
                <w:left w:val="none" w:sz="0" w:space="0" w:color="auto"/>
                <w:bottom w:val="none" w:sz="0" w:space="0" w:color="auto"/>
                <w:right w:val="none" w:sz="0" w:space="0" w:color="auto"/>
              </w:divBdr>
            </w:div>
          </w:divsChild>
        </w:div>
        <w:div w:id="215436134">
          <w:marLeft w:val="0"/>
          <w:marRight w:val="0"/>
          <w:marTop w:val="0"/>
          <w:marBottom w:val="0"/>
          <w:divBdr>
            <w:top w:val="none" w:sz="0" w:space="0" w:color="auto"/>
            <w:left w:val="none" w:sz="0" w:space="0" w:color="auto"/>
            <w:bottom w:val="none" w:sz="0" w:space="0" w:color="auto"/>
            <w:right w:val="none" w:sz="0" w:space="0" w:color="auto"/>
          </w:divBdr>
          <w:divsChild>
            <w:div w:id="409543496">
              <w:marLeft w:val="0"/>
              <w:marRight w:val="0"/>
              <w:marTop w:val="0"/>
              <w:marBottom w:val="0"/>
              <w:divBdr>
                <w:top w:val="none" w:sz="0" w:space="0" w:color="auto"/>
                <w:left w:val="none" w:sz="0" w:space="0" w:color="auto"/>
                <w:bottom w:val="none" w:sz="0" w:space="0" w:color="auto"/>
                <w:right w:val="none" w:sz="0" w:space="0" w:color="auto"/>
              </w:divBdr>
            </w:div>
          </w:divsChild>
        </w:div>
        <w:div w:id="257763021">
          <w:marLeft w:val="0"/>
          <w:marRight w:val="0"/>
          <w:marTop w:val="0"/>
          <w:marBottom w:val="0"/>
          <w:divBdr>
            <w:top w:val="none" w:sz="0" w:space="0" w:color="auto"/>
            <w:left w:val="none" w:sz="0" w:space="0" w:color="auto"/>
            <w:bottom w:val="none" w:sz="0" w:space="0" w:color="auto"/>
            <w:right w:val="none" w:sz="0" w:space="0" w:color="auto"/>
          </w:divBdr>
          <w:divsChild>
            <w:div w:id="931818097">
              <w:marLeft w:val="0"/>
              <w:marRight w:val="0"/>
              <w:marTop w:val="0"/>
              <w:marBottom w:val="0"/>
              <w:divBdr>
                <w:top w:val="none" w:sz="0" w:space="0" w:color="auto"/>
                <w:left w:val="none" w:sz="0" w:space="0" w:color="auto"/>
                <w:bottom w:val="none" w:sz="0" w:space="0" w:color="auto"/>
                <w:right w:val="none" w:sz="0" w:space="0" w:color="auto"/>
              </w:divBdr>
            </w:div>
          </w:divsChild>
        </w:div>
        <w:div w:id="1782798508">
          <w:marLeft w:val="0"/>
          <w:marRight w:val="0"/>
          <w:marTop w:val="0"/>
          <w:marBottom w:val="0"/>
          <w:divBdr>
            <w:top w:val="none" w:sz="0" w:space="0" w:color="auto"/>
            <w:left w:val="none" w:sz="0" w:space="0" w:color="auto"/>
            <w:bottom w:val="none" w:sz="0" w:space="0" w:color="auto"/>
            <w:right w:val="none" w:sz="0" w:space="0" w:color="auto"/>
          </w:divBdr>
          <w:divsChild>
            <w:div w:id="683896832">
              <w:marLeft w:val="0"/>
              <w:marRight w:val="0"/>
              <w:marTop w:val="0"/>
              <w:marBottom w:val="0"/>
              <w:divBdr>
                <w:top w:val="none" w:sz="0" w:space="0" w:color="auto"/>
                <w:left w:val="none" w:sz="0" w:space="0" w:color="auto"/>
                <w:bottom w:val="none" w:sz="0" w:space="0" w:color="auto"/>
                <w:right w:val="none" w:sz="0" w:space="0" w:color="auto"/>
              </w:divBdr>
            </w:div>
          </w:divsChild>
        </w:div>
        <w:div w:id="77215574">
          <w:marLeft w:val="0"/>
          <w:marRight w:val="0"/>
          <w:marTop w:val="0"/>
          <w:marBottom w:val="0"/>
          <w:divBdr>
            <w:top w:val="none" w:sz="0" w:space="0" w:color="auto"/>
            <w:left w:val="none" w:sz="0" w:space="0" w:color="auto"/>
            <w:bottom w:val="none" w:sz="0" w:space="0" w:color="auto"/>
            <w:right w:val="none" w:sz="0" w:space="0" w:color="auto"/>
          </w:divBdr>
          <w:divsChild>
            <w:div w:id="1385443408">
              <w:marLeft w:val="0"/>
              <w:marRight w:val="0"/>
              <w:marTop w:val="0"/>
              <w:marBottom w:val="0"/>
              <w:divBdr>
                <w:top w:val="none" w:sz="0" w:space="0" w:color="auto"/>
                <w:left w:val="none" w:sz="0" w:space="0" w:color="auto"/>
                <w:bottom w:val="none" w:sz="0" w:space="0" w:color="auto"/>
                <w:right w:val="none" w:sz="0" w:space="0" w:color="auto"/>
              </w:divBdr>
            </w:div>
          </w:divsChild>
        </w:div>
        <w:div w:id="634141756">
          <w:marLeft w:val="0"/>
          <w:marRight w:val="0"/>
          <w:marTop w:val="0"/>
          <w:marBottom w:val="0"/>
          <w:divBdr>
            <w:top w:val="none" w:sz="0" w:space="0" w:color="auto"/>
            <w:left w:val="none" w:sz="0" w:space="0" w:color="auto"/>
            <w:bottom w:val="none" w:sz="0" w:space="0" w:color="auto"/>
            <w:right w:val="none" w:sz="0" w:space="0" w:color="auto"/>
          </w:divBdr>
          <w:divsChild>
            <w:div w:id="1869218410">
              <w:marLeft w:val="0"/>
              <w:marRight w:val="0"/>
              <w:marTop w:val="0"/>
              <w:marBottom w:val="0"/>
              <w:divBdr>
                <w:top w:val="none" w:sz="0" w:space="0" w:color="auto"/>
                <w:left w:val="none" w:sz="0" w:space="0" w:color="auto"/>
                <w:bottom w:val="none" w:sz="0" w:space="0" w:color="auto"/>
                <w:right w:val="none" w:sz="0" w:space="0" w:color="auto"/>
              </w:divBdr>
            </w:div>
          </w:divsChild>
        </w:div>
        <w:div w:id="84039332">
          <w:marLeft w:val="0"/>
          <w:marRight w:val="0"/>
          <w:marTop w:val="0"/>
          <w:marBottom w:val="0"/>
          <w:divBdr>
            <w:top w:val="none" w:sz="0" w:space="0" w:color="auto"/>
            <w:left w:val="none" w:sz="0" w:space="0" w:color="auto"/>
            <w:bottom w:val="none" w:sz="0" w:space="0" w:color="auto"/>
            <w:right w:val="none" w:sz="0" w:space="0" w:color="auto"/>
          </w:divBdr>
          <w:divsChild>
            <w:div w:id="1762991430">
              <w:marLeft w:val="0"/>
              <w:marRight w:val="0"/>
              <w:marTop w:val="0"/>
              <w:marBottom w:val="0"/>
              <w:divBdr>
                <w:top w:val="none" w:sz="0" w:space="0" w:color="auto"/>
                <w:left w:val="none" w:sz="0" w:space="0" w:color="auto"/>
                <w:bottom w:val="none" w:sz="0" w:space="0" w:color="auto"/>
                <w:right w:val="none" w:sz="0" w:space="0" w:color="auto"/>
              </w:divBdr>
            </w:div>
          </w:divsChild>
        </w:div>
        <w:div w:id="549078168">
          <w:marLeft w:val="0"/>
          <w:marRight w:val="0"/>
          <w:marTop w:val="0"/>
          <w:marBottom w:val="0"/>
          <w:divBdr>
            <w:top w:val="none" w:sz="0" w:space="0" w:color="auto"/>
            <w:left w:val="none" w:sz="0" w:space="0" w:color="auto"/>
            <w:bottom w:val="none" w:sz="0" w:space="0" w:color="auto"/>
            <w:right w:val="none" w:sz="0" w:space="0" w:color="auto"/>
          </w:divBdr>
          <w:divsChild>
            <w:div w:id="1773626993">
              <w:marLeft w:val="0"/>
              <w:marRight w:val="0"/>
              <w:marTop w:val="0"/>
              <w:marBottom w:val="0"/>
              <w:divBdr>
                <w:top w:val="none" w:sz="0" w:space="0" w:color="auto"/>
                <w:left w:val="none" w:sz="0" w:space="0" w:color="auto"/>
                <w:bottom w:val="none" w:sz="0" w:space="0" w:color="auto"/>
                <w:right w:val="none" w:sz="0" w:space="0" w:color="auto"/>
              </w:divBdr>
            </w:div>
          </w:divsChild>
        </w:div>
        <w:div w:id="11348182">
          <w:marLeft w:val="0"/>
          <w:marRight w:val="0"/>
          <w:marTop w:val="0"/>
          <w:marBottom w:val="0"/>
          <w:divBdr>
            <w:top w:val="none" w:sz="0" w:space="0" w:color="auto"/>
            <w:left w:val="none" w:sz="0" w:space="0" w:color="auto"/>
            <w:bottom w:val="none" w:sz="0" w:space="0" w:color="auto"/>
            <w:right w:val="none" w:sz="0" w:space="0" w:color="auto"/>
          </w:divBdr>
          <w:divsChild>
            <w:div w:id="439111655">
              <w:marLeft w:val="0"/>
              <w:marRight w:val="0"/>
              <w:marTop w:val="0"/>
              <w:marBottom w:val="0"/>
              <w:divBdr>
                <w:top w:val="none" w:sz="0" w:space="0" w:color="auto"/>
                <w:left w:val="none" w:sz="0" w:space="0" w:color="auto"/>
                <w:bottom w:val="none" w:sz="0" w:space="0" w:color="auto"/>
                <w:right w:val="none" w:sz="0" w:space="0" w:color="auto"/>
              </w:divBdr>
            </w:div>
          </w:divsChild>
        </w:div>
        <w:div w:id="508445120">
          <w:marLeft w:val="0"/>
          <w:marRight w:val="0"/>
          <w:marTop w:val="0"/>
          <w:marBottom w:val="0"/>
          <w:divBdr>
            <w:top w:val="none" w:sz="0" w:space="0" w:color="auto"/>
            <w:left w:val="none" w:sz="0" w:space="0" w:color="auto"/>
            <w:bottom w:val="none" w:sz="0" w:space="0" w:color="auto"/>
            <w:right w:val="none" w:sz="0" w:space="0" w:color="auto"/>
          </w:divBdr>
          <w:divsChild>
            <w:div w:id="567036857">
              <w:marLeft w:val="0"/>
              <w:marRight w:val="0"/>
              <w:marTop w:val="0"/>
              <w:marBottom w:val="0"/>
              <w:divBdr>
                <w:top w:val="none" w:sz="0" w:space="0" w:color="auto"/>
                <w:left w:val="none" w:sz="0" w:space="0" w:color="auto"/>
                <w:bottom w:val="none" w:sz="0" w:space="0" w:color="auto"/>
                <w:right w:val="none" w:sz="0" w:space="0" w:color="auto"/>
              </w:divBdr>
            </w:div>
          </w:divsChild>
        </w:div>
        <w:div w:id="480776229">
          <w:marLeft w:val="0"/>
          <w:marRight w:val="0"/>
          <w:marTop w:val="0"/>
          <w:marBottom w:val="0"/>
          <w:divBdr>
            <w:top w:val="none" w:sz="0" w:space="0" w:color="auto"/>
            <w:left w:val="none" w:sz="0" w:space="0" w:color="auto"/>
            <w:bottom w:val="none" w:sz="0" w:space="0" w:color="auto"/>
            <w:right w:val="none" w:sz="0" w:space="0" w:color="auto"/>
          </w:divBdr>
          <w:divsChild>
            <w:div w:id="91324295">
              <w:marLeft w:val="0"/>
              <w:marRight w:val="0"/>
              <w:marTop w:val="0"/>
              <w:marBottom w:val="0"/>
              <w:divBdr>
                <w:top w:val="none" w:sz="0" w:space="0" w:color="auto"/>
                <w:left w:val="none" w:sz="0" w:space="0" w:color="auto"/>
                <w:bottom w:val="none" w:sz="0" w:space="0" w:color="auto"/>
                <w:right w:val="none" w:sz="0" w:space="0" w:color="auto"/>
              </w:divBdr>
            </w:div>
          </w:divsChild>
        </w:div>
        <w:div w:id="2009792967">
          <w:marLeft w:val="0"/>
          <w:marRight w:val="0"/>
          <w:marTop w:val="0"/>
          <w:marBottom w:val="0"/>
          <w:divBdr>
            <w:top w:val="none" w:sz="0" w:space="0" w:color="auto"/>
            <w:left w:val="none" w:sz="0" w:space="0" w:color="auto"/>
            <w:bottom w:val="none" w:sz="0" w:space="0" w:color="auto"/>
            <w:right w:val="none" w:sz="0" w:space="0" w:color="auto"/>
          </w:divBdr>
          <w:divsChild>
            <w:div w:id="1755778455">
              <w:marLeft w:val="0"/>
              <w:marRight w:val="0"/>
              <w:marTop w:val="0"/>
              <w:marBottom w:val="0"/>
              <w:divBdr>
                <w:top w:val="none" w:sz="0" w:space="0" w:color="auto"/>
                <w:left w:val="none" w:sz="0" w:space="0" w:color="auto"/>
                <w:bottom w:val="none" w:sz="0" w:space="0" w:color="auto"/>
                <w:right w:val="none" w:sz="0" w:space="0" w:color="auto"/>
              </w:divBdr>
            </w:div>
          </w:divsChild>
        </w:div>
        <w:div w:id="143938830">
          <w:marLeft w:val="0"/>
          <w:marRight w:val="0"/>
          <w:marTop w:val="0"/>
          <w:marBottom w:val="0"/>
          <w:divBdr>
            <w:top w:val="none" w:sz="0" w:space="0" w:color="auto"/>
            <w:left w:val="none" w:sz="0" w:space="0" w:color="auto"/>
            <w:bottom w:val="none" w:sz="0" w:space="0" w:color="auto"/>
            <w:right w:val="none" w:sz="0" w:space="0" w:color="auto"/>
          </w:divBdr>
          <w:divsChild>
            <w:div w:id="1149974662">
              <w:marLeft w:val="0"/>
              <w:marRight w:val="0"/>
              <w:marTop w:val="0"/>
              <w:marBottom w:val="0"/>
              <w:divBdr>
                <w:top w:val="none" w:sz="0" w:space="0" w:color="auto"/>
                <w:left w:val="none" w:sz="0" w:space="0" w:color="auto"/>
                <w:bottom w:val="none" w:sz="0" w:space="0" w:color="auto"/>
                <w:right w:val="none" w:sz="0" w:space="0" w:color="auto"/>
              </w:divBdr>
            </w:div>
          </w:divsChild>
        </w:div>
        <w:div w:id="1585410174">
          <w:marLeft w:val="0"/>
          <w:marRight w:val="0"/>
          <w:marTop w:val="0"/>
          <w:marBottom w:val="0"/>
          <w:divBdr>
            <w:top w:val="none" w:sz="0" w:space="0" w:color="auto"/>
            <w:left w:val="none" w:sz="0" w:space="0" w:color="auto"/>
            <w:bottom w:val="none" w:sz="0" w:space="0" w:color="auto"/>
            <w:right w:val="none" w:sz="0" w:space="0" w:color="auto"/>
          </w:divBdr>
          <w:divsChild>
            <w:div w:id="397434178">
              <w:marLeft w:val="0"/>
              <w:marRight w:val="0"/>
              <w:marTop w:val="0"/>
              <w:marBottom w:val="0"/>
              <w:divBdr>
                <w:top w:val="none" w:sz="0" w:space="0" w:color="auto"/>
                <w:left w:val="none" w:sz="0" w:space="0" w:color="auto"/>
                <w:bottom w:val="none" w:sz="0" w:space="0" w:color="auto"/>
                <w:right w:val="none" w:sz="0" w:space="0" w:color="auto"/>
              </w:divBdr>
            </w:div>
          </w:divsChild>
        </w:div>
        <w:div w:id="1010176815">
          <w:marLeft w:val="0"/>
          <w:marRight w:val="0"/>
          <w:marTop w:val="0"/>
          <w:marBottom w:val="0"/>
          <w:divBdr>
            <w:top w:val="none" w:sz="0" w:space="0" w:color="auto"/>
            <w:left w:val="none" w:sz="0" w:space="0" w:color="auto"/>
            <w:bottom w:val="none" w:sz="0" w:space="0" w:color="auto"/>
            <w:right w:val="none" w:sz="0" w:space="0" w:color="auto"/>
          </w:divBdr>
          <w:divsChild>
            <w:div w:id="780610458">
              <w:marLeft w:val="0"/>
              <w:marRight w:val="0"/>
              <w:marTop w:val="0"/>
              <w:marBottom w:val="0"/>
              <w:divBdr>
                <w:top w:val="none" w:sz="0" w:space="0" w:color="auto"/>
                <w:left w:val="none" w:sz="0" w:space="0" w:color="auto"/>
                <w:bottom w:val="none" w:sz="0" w:space="0" w:color="auto"/>
                <w:right w:val="none" w:sz="0" w:space="0" w:color="auto"/>
              </w:divBdr>
            </w:div>
          </w:divsChild>
        </w:div>
        <w:div w:id="1747259181">
          <w:marLeft w:val="0"/>
          <w:marRight w:val="0"/>
          <w:marTop w:val="0"/>
          <w:marBottom w:val="0"/>
          <w:divBdr>
            <w:top w:val="none" w:sz="0" w:space="0" w:color="auto"/>
            <w:left w:val="none" w:sz="0" w:space="0" w:color="auto"/>
            <w:bottom w:val="none" w:sz="0" w:space="0" w:color="auto"/>
            <w:right w:val="none" w:sz="0" w:space="0" w:color="auto"/>
          </w:divBdr>
          <w:divsChild>
            <w:div w:id="73168973">
              <w:marLeft w:val="0"/>
              <w:marRight w:val="0"/>
              <w:marTop w:val="0"/>
              <w:marBottom w:val="0"/>
              <w:divBdr>
                <w:top w:val="none" w:sz="0" w:space="0" w:color="auto"/>
                <w:left w:val="none" w:sz="0" w:space="0" w:color="auto"/>
                <w:bottom w:val="none" w:sz="0" w:space="0" w:color="auto"/>
                <w:right w:val="none" w:sz="0" w:space="0" w:color="auto"/>
              </w:divBdr>
            </w:div>
            <w:div w:id="1467358970">
              <w:marLeft w:val="0"/>
              <w:marRight w:val="0"/>
              <w:marTop w:val="0"/>
              <w:marBottom w:val="0"/>
              <w:divBdr>
                <w:top w:val="none" w:sz="0" w:space="0" w:color="auto"/>
                <w:left w:val="none" w:sz="0" w:space="0" w:color="auto"/>
                <w:bottom w:val="none" w:sz="0" w:space="0" w:color="auto"/>
                <w:right w:val="none" w:sz="0" w:space="0" w:color="auto"/>
              </w:divBdr>
            </w:div>
          </w:divsChild>
        </w:div>
        <w:div w:id="201138280">
          <w:marLeft w:val="0"/>
          <w:marRight w:val="0"/>
          <w:marTop w:val="0"/>
          <w:marBottom w:val="0"/>
          <w:divBdr>
            <w:top w:val="none" w:sz="0" w:space="0" w:color="auto"/>
            <w:left w:val="none" w:sz="0" w:space="0" w:color="auto"/>
            <w:bottom w:val="none" w:sz="0" w:space="0" w:color="auto"/>
            <w:right w:val="none" w:sz="0" w:space="0" w:color="auto"/>
          </w:divBdr>
          <w:divsChild>
            <w:div w:id="1040126467">
              <w:marLeft w:val="0"/>
              <w:marRight w:val="0"/>
              <w:marTop w:val="0"/>
              <w:marBottom w:val="0"/>
              <w:divBdr>
                <w:top w:val="none" w:sz="0" w:space="0" w:color="auto"/>
                <w:left w:val="none" w:sz="0" w:space="0" w:color="auto"/>
                <w:bottom w:val="none" w:sz="0" w:space="0" w:color="auto"/>
                <w:right w:val="none" w:sz="0" w:space="0" w:color="auto"/>
              </w:divBdr>
            </w:div>
          </w:divsChild>
        </w:div>
        <w:div w:id="1612006446">
          <w:marLeft w:val="0"/>
          <w:marRight w:val="0"/>
          <w:marTop w:val="0"/>
          <w:marBottom w:val="0"/>
          <w:divBdr>
            <w:top w:val="none" w:sz="0" w:space="0" w:color="auto"/>
            <w:left w:val="none" w:sz="0" w:space="0" w:color="auto"/>
            <w:bottom w:val="none" w:sz="0" w:space="0" w:color="auto"/>
            <w:right w:val="none" w:sz="0" w:space="0" w:color="auto"/>
          </w:divBdr>
          <w:divsChild>
            <w:div w:id="1375080488">
              <w:marLeft w:val="0"/>
              <w:marRight w:val="0"/>
              <w:marTop w:val="0"/>
              <w:marBottom w:val="0"/>
              <w:divBdr>
                <w:top w:val="none" w:sz="0" w:space="0" w:color="auto"/>
                <w:left w:val="none" w:sz="0" w:space="0" w:color="auto"/>
                <w:bottom w:val="none" w:sz="0" w:space="0" w:color="auto"/>
                <w:right w:val="none" w:sz="0" w:space="0" w:color="auto"/>
              </w:divBdr>
            </w:div>
          </w:divsChild>
        </w:div>
        <w:div w:id="513811722">
          <w:marLeft w:val="0"/>
          <w:marRight w:val="0"/>
          <w:marTop w:val="0"/>
          <w:marBottom w:val="0"/>
          <w:divBdr>
            <w:top w:val="none" w:sz="0" w:space="0" w:color="auto"/>
            <w:left w:val="none" w:sz="0" w:space="0" w:color="auto"/>
            <w:bottom w:val="none" w:sz="0" w:space="0" w:color="auto"/>
            <w:right w:val="none" w:sz="0" w:space="0" w:color="auto"/>
          </w:divBdr>
          <w:divsChild>
            <w:div w:id="1036543391">
              <w:marLeft w:val="0"/>
              <w:marRight w:val="0"/>
              <w:marTop w:val="0"/>
              <w:marBottom w:val="0"/>
              <w:divBdr>
                <w:top w:val="none" w:sz="0" w:space="0" w:color="auto"/>
                <w:left w:val="none" w:sz="0" w:space="0" w:color="auto"/>
                <w:bottom w:val="none" w:sz="0" w:space="0" w:color="auto"/>
                <w:right w:val="none" w:sz="0" w:space="0" w:color="auto"/>
              </w:divBdr>
            </w:div>
          </w:divsChild>
        </w:div>
        <w:div w:id="1628438664">
          <w:marLeft w:val="0"/>
          <w:marRight w:val="0"/>
          <w:marTop w:val="0"/>
          <w:marBottom w:val="0"/>
          <w:divBdr>
            <w:top w:val="none" w:sz="0" w:space="0" w:color="auto"/>
            <w:left w:val="none" w:sz="0" w:space="0" w:color="auto"/>
            <w:bottom w:val="none" w:sz="0" w:space="0" w:color="auto"/>
            <w:right w:val="none" w:sz="0" w:space="0" w:color="auto"/>
          </w:divBdr>
          <w:divsChild>
            <w:div w:id="2058385549">
              <w:marLeft w:val="0"/>
              <w:marRight w:val="0"/>
              <w:marTop w:val="0"/>
              <w:marBottom w:val="0"/>
              <w:divBdr>
                <w:top w:val="none" w:sz="0" w:space="0" w:color="auto"/>
                <w:left w:val="none" w:sz="0" w:space="0" w:color="auto"/>
                <w:bottom w:val="none" w:sz="0" w:space="0" w:color="auto"/>
                <w:right w:val="none" w:sz="0" w:space="0" w:color="auto"/>
              </w:divBdr>
            </w:div>
          </w:divsChild>
        </w:div>
        <w:div w:id="2120756789">
          <w:marLeft w:val="0"/>
          <w:marRight w:val="0"/>
          <w:marTop w:val="0"/>
          <w:marBottom w:val="0"/>
          <w:divBdr>
            <w:top w:val="none" w:sz="0" w:space="0" w:color="auto"/>
            <w:left w:val="none" w:sz="0" w:space="0" w:color="auto"/>
            <w:bottom w:val="none" w:sz="0" w:space="0" w:color="auto"/>
            <w:right w:val="none" w:sz="0" w:space="0" w:color="auto"/>
          </w:divBdr>
          <w:divsChild>
            <w:div w:id="1576433662">
              <w:marLeft w:val="0"/>
              <w:marRight w:val="0"/>
              <w:marTop w:val="0"/>
              <w:marBottom w:val="0"/>
              <w:divBdr>
                <w:top w:val="none" w:sz="0" w:space="0" w:color="auto"/>
                <w:left w:val="none" w:sz="0" w:space="0" w:color="auto"/>
                <w:bottom w:val="none" w:sz="0" w:space="0" w:color="auto"/>
                <w:right w:val="none" w:sz="0" w:space="0" w:color="auto"/>
              </w:divBdr>
            </w:div>
          </w:divsChild>
        </w:div>
        <w:div w:id="1040545608">
          <w:marLeft w:val="0"/>
          <w:marRight w:val="0"/>
          <w:marTop w:val="0"/>
          <w:marBottom w:val="0"/>
          <w:divBdr>
            <w:top w:val="none" w:sz="0" w:space="0" w:color="auto"/>
            <w:left w:val="none" w:sz="0" w:space="0" w:color="auto"/>
            <w:bottom w:val="none" w:sz="0" w:space="0" w:color="auto"/>
            <w:right w:val="none" w:sz="0" w:space="0" w:color="auto"/>
          </w:divBdr>
          <w:divsChild>
            <w:div w:id="861825803">
              <w:marLeft w:val="0"/>
              <w:marRight w:val="0"/>
              <w:marTop w:val="0"/>
              <w:marBottom w:val="0"/>
              <w:divBdr>
                <w:top w:val="none" w:sz="0" w:space="0" w:color="auto"/>
                <w:left w:val="none" w:sz="0" w:space="0" w:color="auto"/>
                <w:bottom w:val="none" w:sz="0" w:space="0" w:color="auto"/>
                <w:right w:val="none" w:sz="0" w:space="0" w:color="auto"/>
              </w:divBdr>
            </w:div>
          </w:divsChild>
        </w:div>
        <w:div w:id="738791220">
          <w:marLeft w:val="0"/>
          <w:marRight w:val="0"/>
          <w:marTop w:val="0"/>
          <w:marBottom w:val="0"/>
          <w:divBdr>
            <w:top w:val="none" w:sz="0" w:space="0" w:color="auto"/>
            <w:left w:val="none" w:sz="0" w:space="0" w:color="auto"/>
            <w:bottom w:val="none" w:sz="0" w:space="0" w:color="auto"/>
            <w:right w:val="none" w:sz="0" w:space="0" w:color="auto"/>
          </w:divBdr>
          <w:divsChild>
            <w:div w:id="567804209">
              <w:marLeft w:val="0"/>
              <w:marRight w:val="0"/>
              <w:marTop w:val="0"/>
              <w:marBottom w:val="0"/>
              <w:divBdr>
                <w:top w:val="none" w:sz="0" w:space="0" w:color="auto"/>
                <w:left w:val="none" w:sz="0" w:space="0" w:color="auto"/>
                <w:bottom w:val="none" w:sz="0" w:space="0" w:color="auto"/>
                <w:right w:val="none" w:sz="0" w:space="0" w:color="auto"/>
              </w:divBdr>
            </w:div>
          </w:divsChild>
        </w:div>
        <w:div w:id="464009292">
          <w:marLeft w:val="0"/>
          <w:marRight w:val="0"/>
          <w:marTop w:val="0"/>
          <w:marBottom w:val="0"/>
          <w:divBdr>
            <w:top w:val="none" w:sz="0" w:space="0" w:color="auto"/>
            <w:left w:val="none" w:sz="0" w:space="0" w:color="auto"/>
            <w:bottom w:val="none" w:sz="0" w:space="0" w:color="auto"/>
            <w:right w:val="none" w:sz="0" w:space="0" w:color="auto"/>
          </w:divBdr>
          <w:divsChild>
            <w:div w:id="1170094662">
              <w:marLeft w:val="0"/>
              <w:marRight w:val="0"/>
              <w:marTop w:val="0"/>
              <w:marBottom w:val="0"/>
              <w:divBdr>
                <w:top w:val="none" w:sz="0" w:space="0" w:color="auto"/>
                <w:left w:val="none" w:sz="0" w:space="0" w:color="auto"/>
                <w:bottom w:val="none" w:sz="0" w:space="0" w:color="auto"/>
                <w:right w:val="none" w:sz="0" w:space="0" w:color="auto"/>
              </w:divBdr>
            </w:div>
          </w:divsChild>
        </w:div>
        <w:div w:id="73674794">
          <w:marLeft w:val="0"/>
          <w:marRight w:val="0"/>
          <w:marTop w:val="0"/>
          <w:marBottom w:val="0"/>
          <w:divBdr>
            <w:top w:val="none" w:sz="0" w:space="0" w:color="auto"/>
            <w:left w:val="none" w:sz="0" w:space="0" w:color="auto"/>
            <w:bottom w:val="none" w:sz="0" w:space="0" w:color="auto"/>
            <w:right w:val="none" w:sz="0" w:space="0" w:color="auto"/>
          </w:divBdr>
          <w:divsChild>
            <w:div w:id="1225943314">
              <w:marLeft w:val="0"/>
              <w:marRight w:val="0"/>
              <w:marTop w:val="0"/>
              <w:marBottom w:val="0"/>
              <w:divBdr>
                <w:top w:val="none" w:sz="0" w:space="0" w:color="auto"/>
                <w:left w:val="none" w:sz="0" w:space="0" w:color="auto"/>
                <w:bottom w:val="none" w:sz="0" w:space="0" w:color="auto"/>
                <w:right w:val="none" w:sz="0" w:space="0" w:color="auto"/>
              </w:divBdr>
            </w:div>
          </w:divsChild>
        </w:div>
        <w:div w:id="1408918793">
          <w:marLeft w:val="0"/>
          <w:marRight w:val="0"/>
          <w:marTop w:val="0"/>
          <w:marBottom w:val="0"/>
          <w:divBdr>
            <w:top w:val="none" w:sz="0" w:space="0" w:color="auto"/>
            <w:left w:val="none" w:sz="0" w:space="0" w:color="auto"/>
            <w:bottom w:val="none" w:sz="0" w:space="0" w:color="auto"/>
            <w:right w:val="none" w:sz="0" w:space="0" w:color="auto"/>
          </w:divBdr>
          <w:divsChild>
            <w:div w:id="1108351627">
              <w:marLeft w:val="0"/>
              <w:marRight w:val="0"/>
              <w:marTop w:val="0"/>
              <w:marBottom w:val="0"/>
              <w:divBdr>
                <w:top w:val="none" w:sz="0" w:space="0" w:color="auto"/>
                <w:left w:val="none" w:sz="0" w:space="0" w:color="auto"/>
                <w:bottom w:val="none" w:sz="0" w:space="0" w:color="auto"/>
                <w:right w:val="none" w:sz="0" w:space="0" w:color="auto"/>
              </w:divBdr>
            </w:div>
          </w:divsChild>
        </w:div>
        <w:div w:id="1218395647">
          <w:marLeft w:val="0"/>
          <w:marRight w:val="0"/>
          <w:marTop w:val="0"/>
          <w:marBottom w:val="0"/>
          <w:divBdr>
            <w:top w:val="none" w:sz="0" w:space="0" w:color="auto"/>
            <w:left w:val="none" w:sz="0" w:space="0" w:color="auto"/>
            <w:bottom w:val="none" w:sz="0" w:space="0" w:color="auto"/>
            <w:right w:val="none" w:sz="0" w:space="0" w:color="auto"/>
          </w:divBdr>
          <w:divsChild>
            <w:div w:id="696005797">
              <w:marLeft w:val="0"/>
              <w:marRight w:val="0"/>
              <w:marTop w:val="0"/>
              <w:marBottom w:val="0"/>
              <w:divBdr>
                <w:top w:val="none" w:sz="0" w:space="0" w:color="auto"/>
                <w:left w:val="none" w:sz="0" w:space="0" w:color="auto"/>
                <w:bottom w:val="none" w:sz="0" w:space="0" w:color="auto"/>
                <w:right w:val="none" w:sz="0" w:space="0" w:color="auto"/>
              </w:divBdr>
            </w:div>
          </w:divsChild>
        </w:div>
        <w:div w:id="236135605">
          <w:marLeft w:val="0"/>
          <w:marRight w:val="0"/>
          <w:marTop w:val="0"/>
          <w:marBottom w:val="0"/>
          <w:divBdr>
            <w:top w:val="none" w:sz="0" w:space="0" w:color="auto"/>
            <w:left w:val="none" w:sz="0" w:space="0" w:color="auto"/>
            <w:bottom w:val="none" w:sz="0" w:space="0" w:color="auto"/>
            <w:right w:val="none" w:sz="0" w:space="0" w:color="auto"/>
          </w:divBdr>
          <w:divsChild>
            <w:div w:id="20697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0311">
      <w:bodyDiv w:val="1"/>
      <w:marLeft w:val="0"/>
      <w:marRight w:val="0"/>
      <w:marTop w:val="0"/>
      <w:marBottom w:val="0"/>
      <w:divBdr>
        <w:top w:val="none" w:sz="0" w:space="0" w:color="auto"/>
        <w:left w:val="none" w:sz="0" w:space="0" w:color="auto"/>
        <w:bottom w:val="none" w:sz="0" w:space="0" w:color="auto"/>
        <w:right w:val="none" w:sz="0" w:space="0" w:color="auto"/>
      </w:divBdr>
    </w:div>
    <w:div w:id="1686787323">
      <w:bodyDiv w:val="1"/>
      <w:marLeft w:val="0"/>
      <w:marRight w:val="0"/>
      <w:marTop w:val="0"/>
      <w:marBottom w:val="0"/>
      <w:divBdr>
        <w:top w:val="none" w:sz="0" w:space="0" w:color="auto"/>
        <w:left w:val="none" w:sz="0" w:space="0" w:color="auto"/>
        <w:bottom w:val="none" w:sz="0" w:space="0" w:color="auto"/>
        <w:right w:val="none" w:sz="0" w:space="0" w:color="auto"/>
      </w:divBdr>
    </w:div>
    <w:div w:id="1712606673">
      <w:bodyDiv w:val="1"/>
      <w:marLeft w:val="0"/>
      <w:marRight w:val="0"/>
      <w:marTop w:val="0"/>
      <w:marBottom w:val="0"/>
      <w:divBdr>
        <w:top w:val="none" w:sz="0" w:space="0" w:color="auto"/>
        <w:left w:val="none" w:sz="0" w:space="0" w:color="auto"/>
        <w:bottom w:val="none" w:sz="0" w:space="0" w:color="auto"/>
        <w:right w:val="none" w:sz="0" w:space="0" w:color="auto"/>
      </w:divBdr>
      <w:divsChild>
        <w:div w:id="1776945767">
          <w:marLeft w:val="0"/>
          <w:marRight w:val="0"/>
          <w:marTop w:val="0"/>
          <w:marBottom w:val="0"/>
          <w:divBdr>
            <w:top w:val="none" w:sz="0" w:space="0" w:color="auto"/>
            <w:left w:val="none" w:sz="0" w:space="0" w:color="auto"/>
            <w:bottom w:val="none" w:sz="0" w:space="0" w:color="auto"/>
            <w:right w:val="none" w:sz="0" w:space="0" w:color="auto"/>
          </w:divBdr>
        </w:div>
        <w:div w:id="474683056">
          <w:marLeft w:val="0"/>
          <w:marRight w:val="0"/>
          <w:marTop w:val="0"/>
          <w:marBottom w:val="0"/>
          <w:divBdr>
            <w:top w:val="none" w:sz="0" w:space="0" w:color="auto"/>
            <w:left w:val="none" w:sz="0" w:space="0" w:color="auto"/>
            <w:bottom w:val="none" w:sz="0" w:space="0" w:color="auto"/>
            <w:right w:val="none" w:sz="0" w:space="0" w:color="auto"/>
          </w:divBdr>
        </w:div>
      </w:divsChild>
    </w:div>
    <w:div w:id="1744988617">
      <w:bodyDiv w:val="1"/>
      <w:marLeft w:val="0"/>
      <w:marRight w:val="0"/>
      <w:marTop w:val="0"/>
      <w:marBottom w:val="0"/>
      <w:divBdr>
        <w:top w:val="none" w:sz="0" w:space="0" w:color="auto"/>
        <w:left w:val="none" w:sz="0" w:space="0" w:color="auto"/>
        <w:bottom w:val="none" w:sz="0" w:space="0" w:color="auto"/>
        <w:right w:val="none" w:sz="0" w:space="0" w:color="auto"/>
      </w:divBdr>
    </w:div>
    <w:div w:id="1785884416">
      <w:bodyDiv w:val="1"/>
      <w:marLeft w:val="0"/>
      <w:marRight w:val="0"/>
      <w:marTop w:val="0"/>
      <w:marBottom w:val="0"/>
      <w:divBdr>
        <w:top w:val="none" w:sz="0" w:space="0" w:color="auto"/>
        <w:left w:val="none" w:sz="0" w:space="0" w:color="auto"/>
        <w:bottom w:val="none" w:sz="0" w:space="0" w:color="auto"/>
        <w:right w:val="none" w:sz="0" w:space="0" w:color="auto"/>
      </w:divBdr>
      <w:divsChild>
        <w:div w:id="279915637">
          <w:marLeft w:val="0"/>
          <w:marRight w:val="0"/>
          <w:marTop w:val="0"/>
          <w:marBottom w:val="0"/>
          <w:divBdr>
            <w:top w:val="none" w:sz="0" w:space="0" w:color="auto"/>
            <w:left w:val="none" w:sz="0" w:space="0" w:color="auto"/>
            <w:bottom w:val="none" w:sz="0" w:space="0" w:color="auto"/>
            <w:right w:val="none" w:sz="0" w:space="0" w:color="auto"/>
          </w:divBdr>
        </w:div>
        <w:div w:id="550044366">
          <w:marLeft w:val="0"/>
          <w:marRight w:val="0"/>
          <w:marTop w:val="0"/>
          <w:marBottom w:val="0"/>
          <w:divBdr>
            <w:top w:val="none" w:sz="0" w:space="0" w:color="auto"/>
            <w:left w:val="none" w:sz="0" w:space="0" w:color="auto"/>
            <w:bottom w:val="none" w:sz="0" w:space="0" w:color="auto"/>
            <w:right w:val="none" w:sz="0" w:space="0" w:color="auto"/>
          </w:divBdr>
        </w:div>
        <w:div w:id="446855205">
          <w:marLeft w:val="0"/>
          <w:marRight w:val="0"/>
          <w:marTop w:val="0"/>
          <w:marBottom w:val="0"/>
          <w:divBdr>
            <w:top w:val="none" w:sz="0" w:space="0" w:color="auto"/>
            <w:left w:val="none" w:sz="0" w:space="0" w:color="auto"/>
            <w:bottom w:val="none" w:sz="0" w:space="0" w:color="auto"/>
            <w:right w:val="none" w:sz="0" w:space="0" w:color="auto"/>
          </w:divBdr>
        </w:div>
        <w:div w:id="1397171078">
          <w:marLeft w:val="0"/>
          <w:marRight w:val="0"/>
          <w:marTop w:val="0"/>
          <w:marBottom w:val="0"/>
          <w:divBdr>
            <w:top w:val="none" w:sz="0" w:space="0" w:color="auto"/>
            <w:left w:val="none" w:sz="0" w:space="0" w:color="auto"/>
            <w:bottom w:val="none" w:sz="0" w:space="0" w:color="auto"/>
            <w:right w:val="none" w:sz="0" w:space="0" w:color="auto"/>
          </w:divBdr>
        </w:div>
        <w:div w:id="1846896937">
          <w:marLeft w:val="0"/>
          <w:marRight w:val="0"/>
          <w:marTop w:val="0"/>
          <w:marBottom w:val="0"/>
          <w:divBdr>
            <w:top w:val="none" w:sz="0" w:space="0" w:color="auto"/>
            <w:left w:val="none" w:sz="0" w:space="0" w:color="auto"/>
            <w:bottom w:val="none" w:sz="0" w:space="0" w:color="auto"/>
            <w:right w:val="none" w:sz="0" w:space="0" w:color="auto"/>
          </w:divBdr>
        </w:div>
      </w:divsChild>
    </w:div>
    <w:div w:id="1847592776">
      <w:bodyDiv w:val="1"/>
      <w:marLeft w:val="0"/>
      <w:marRight w:val="0"/>
      <w:marTop w:val="0"/>
      <w:marBottom w:val="0"/>
      <w:divBdr>
        <w:top w:val="none" w:sz="0" w:space="0" w:color="auto"/>
        <w:left w:val="none" w:sz="0" w:space="0" w:color="auto"/>
        <w:bottom w:val="none" w:sz="0" w:space="0" w:color="auto"/>
        <w:right w:val="none" w:sz="0" w:space="0" w:color="auto"/>
      </w:divBdr>
    </w:div>
    <w:div w:id="1895965659">
      <w:bodyDiv w:val="1"/>
      <w:marLeft w:val="0"/>
      <w:marRight w:val="0"/>
      <w:marTop w:val="0"/>
      <w:marBottom w:val="0"/>
      <w:divBdr>
        <w:top w:val="none" w:sz="0" w:space="0" w:color="auto"/>
        <w:left w:val="none" w:sz="0" w:space="0" w:color="auto"/>
        <w:bottom w:val="none" w:sz="0" w:space="0" w:color="auto"/>
        <w:right w:val="none" w:sz="0" w:space="0" w:color="auto"/>
      </w:divBdr>
      <w:divsChild>
        <w:div w:id="1543053220">
          <w:marLeft w:val="0"/>
          <w:marRight w:val="0"/>
          <w:marTop w:val="0"/>
          <w:marBottom w:val="0"/>
          <w:divBdr>
            <w:top w:val="none" w:sz="0" w:space="0" w:color="auto"/>
            <w:left w:val="none" w:sz="0" w:space="0" w:color="auto"/>
            <w:bottom w:val="none" w:sz="0" w:space="0" w:color="auto"/>
            <w:right w:val="none" w:sz="0" w:space="0" w:color="auto"/>
          </w:divBdr>
        </w:div>
        <w:div w:id="2022471027">
          <w:marLeft w:val="0"/>
          <w:marRight w:val="0"/>
          <w:marTop w:val="0"/>
          <w:marBottom w:val="0"/>
          <w:divBdr>
            <w:top w:val="none" w:sz="0" w:space="0" w:color="auto"/>
            <w:left w:val="none" w:sz="0" w:space="0" w:color="auto"/>
            <w:bottom w:val="none" w:sz="0" w:space="0" w:color="auto"/>
            <w:right w:val="none" w:sz="0" w:space="0" w:color="auto"/>
          </w:divBdr>
        </w:div>
      </w:divsChild>
    </w:div>
    <w:div w:id="1900509373">
      <w:bodyDiv w:val="1"/>
      <w:marLeft w:val="0"/>
      <w:marRight w:val="0"/>
      <w:marTop w:val="0"/>
      <w:marBottom w:val="0"/>
      <w:divBdr>
        <w:top w:val="none" w:sz="0" w:space="0" w:color="auto"/>
        <w:left w:val="none" w:sz="0" w:space="0" w:color="auto"/>
        <w:bottom w:val="none" w:sz="0" w:space="0" w:color="auto"/>
        <w:right w:val="none" w:sz="0" w:space="0" w:color="auto"/>
      </w:divBdr>
      <w:divsChild>
        <w:div w:id="2114785148">
          <w:marLeft w:val="0"/>
          <w:marRight w:val="0"/>
          <w:marTop w:val="0"/>
          <w:marBottom w:val="0"/>
          <w:divBdr>
            <w:top w:val="none" w:sz="0" w:space="0" w:color="auto"/>
            <w:left w:val="none" w:sz="0" w:space="0" w:color="auto"/>
            <w:bottom w:val="none" w:sz="0" w:space="0" w:color="auto"/>
            <w:right w:val="none" w:sz="0" w:space="0" w:color="auto"/>
          </w:divBdr>
        </w:div>
        <w:div w:id="36243839">
          <w:marLeft w:val="0"/>
          <w:marRight w:val="0"/>
          <w:marTop w:val="0"/>
          <w:marBottom w:val="0"/>
          <w:divBdr>
            <w:top w:val="none" w:sz="0" w:space="0" w:color="auto"/>
            <w:left w:val="none" w:sz="0" w:space="0" w:color="auto"/>
            <w:bottom w:val="none" w:sz="0" w:space="0" w:color="auto"/>
            <w:right w:val="none" w:sz="0" w:space="0" w:color="auto"/>
          </w:divBdr>
        </w:div>
        <w:div w:id="1429884872">
          <w:marLeft w:val="0"/>
          <w:marRight w:val="0"/>
          <w:marTop w:val="0"/>
          <w:marBottom w:val="0"/>
          <w:divBdr>
            <w:top w:val="none" w:sz="0" w:space="0" w:color="auto"/>
            <w:left w:val="none" w:sz="0" w:space="0" w:color="auto"/>
            <w:bottom w:val="none" w:sz="0" w:space="0" w:color="auto"/>
            <w:right w:val="none" w:sz="0" w:space="0" w:color="auto"/>
          </w:divBdr>
        </w:div>
        <w:div w:id="526220269">
          <w:marLeft w:val="0"/>
          <w:marRight w:val="0"/>
          <w:marTop w:val="0"/>
          <w:marBottom w:val="0"/>
          <w:divBdr>
            <w:top w:val="none" w:sz="0" w:space="0" w:color="auto"/>
            <w:left w:val="none" w:sz="0" w:space="0" w:color="auto"/>
            <w:bottom w:val="none" w:sz="0" w:space="0" w:color="auto"/>
            <w:right w:val="none" w:sz="0" w:space="0" w:color="auto"/>
          </w:divBdr>
          <w:divsChild>
            <w:div w:id="327952415">
              <w:marLeft w:val="0"/>
              <w:marRight w:val="0"/>
              <w:marTop w:val="0"/>
              <w:marBottom w:val="0"/>
              <w:divBdr>
                <w:top w:val="none" w:sz="0" w:space="0" w:color="auto"/>
                <w:left w:val="none" w:sz="0" w:space="0" w:color="auto"/>
                <w:bottom w:val="none" w:sz="0" w:space="0" w:color="auto"/>
                <w:right w:val="none" w:sz="0" w:space="0" w:color="auto"/>
              </w:divBdr>
            </w:div>
            <w:div w:id="988552746">
              <w:marLeft w:val="0"/>
              <w:marRight w:val="0"/>
              <w:marTop w:val="0"/>
              <w:marBottom w:val="0"/>
              <w:divBdr>
                <w:top w:val="none" w:sz="0" w:space="0" w:color="auto"/>
                <w:left w:val="none" w:sz="0" w:space="0" w:color="auto"/>
                <w:bottom w:val="none" w:sz="0" w:space="0" w:color="auto"/>
                <w:right w:val="none" w:sz="0" w:space="0" w:color="auto"/>
              </w:divBdr>
            </w:div>
            <w:div w:id="847719084">
              <w:marLeft w:val="0"/>
              <w:marRight w:val="0"/>
              <w:marTop w:val="0"/>
              <w:marBottom w:val="0"/>
              <w:divBdr>
                <w:top w:val="none" w:sz="0" w:space="0" w:color="auto"/>
                <w:left w:val="none" w:sz="0" w:space="0" w:color="auto"/>
                <w:bottom w:val="none" w:sz="0" w:space="0" w:color="auto"/>
                <w:right w:val="none" w:sz="0" w:space="0" w:color="auto"/>
              </w:divBdr>
            </w:div>
          </w:divsChild>
        </w:div>
        <w:div w:id="1489445716">
          <w:marLeft w:val="0"/>
          <w:marRight w:val="0"/>
          <w:marTop w:val="0"/>
          <w:marBottom w:val="0"/>
          <w:divBdr>
            <w:top w:val="none" w:sz="0" w:space="0" w:color="auto"/>
            <w:left w:val="none" w:sz="0" w:space="0" w:color="auto"/>
            <w:bottom w:val="none" w:sz="0" w:space="0" w:color="auto"/>
            <w:right w:val="none" w:sz="0" w:space="0" w:color="auto"/>
          </w:divBdr>
        </w:div>
        <w:div w:id="1443112559">
          <w:marLeft w:val="0"/>
          <w:marRight w:val="0"/>
          <w:marTop w:val="0"/>
          <w:marBottom w:val="0"/>
          <w:divBdr>
            <w:top w:val="none" w:sz="0" w:space="0" w:color="auto"/>
            <w:left w:val="none" w:sz="0" w:space="0" w:color="auto"/>
            <w:bottom w:val="none" w:sz="0" w:space="0" w:color="auto"/>
            <w:right w:val="none" w:sz="0" w:space="0" w:color="auto"/>
          </w:divBdr>
        </w:div>
        <w:div w:id="2115129391">
          <w:marLeft w:val="0"/>
          <w:marRight w:val="0"/>
          <w:marTop w:val="0"/>
          <w:marBottom w:val="0"/>
          <w:divBdr>
            <w:top w:val="none" w:sz="0" w:space="0" w:color="auto"/>
            <w:left w:val="none" w:sz="0" w:space="0" w:color="auto"/>
            <w:bottom w:val="none" w:sz="0" w:space="0" w:color="auto"/>
            <w:right w:val="none" w:sz="0" w:space="0" w:color="auto"/>
          </w:divBdr>
        </w:div>
        <w:div w:id="909189866">
          <w:marLeft w:val="0"/>
          <w:marRight w:val="0"/>
          <w:marTop w:val="0"/>
          <w:marBottom w:val="0"/>
          <w:divBdr>
            <w:top w:val="none" w:sz="0" w:space="0" w:color="auto"/>
            <w:left w:val="none" w:sz="0" w:space="0" w:color="auto"/>
            <w:bottom w:val="none" w:sz="0" w:space="0" w:color="auto"/>
            <w:right w:val="none" w:sz="0" w:space="0" w:color="auto"/>
          </w:divBdr>
        </w:div>
      </w:divsChild>
    </w:div>
    <w:div w:id="1906530740">
      <w:bodyDiv w:val="1"/>
      <w:marLeft w:val="0"/>
      <w:marRight w:val="0"/>
      <w:marTop w:val="0"/>
      <w:marBottom w:val="0"/>
      <w:divBdr>
        <w:top w:val="none" w:sz="0" w:space="0" w:color="auto"/>
        <w:left w:val="none" w:sz="0" w:space="0" w:color="auto"/>
        <w:bottom w:val="none" w:sz="0" w:space="0" w:color="auto"/>
        <w:right w:val="none" w:sz="0" w:space="0" w:color="auto"/>
      </w:divBdr>
      <w:divsChild>
        <w:div w:id="283776174">
          <w:marLeft w:val="0"/>
          <w:marRight w:val="0"/>
          <w:marTop w:val="0"/>
          <w:marBottom w:val="0"/>
          <w:divBdr>
            <w:top w:val="none" w:sz="0" w:space="0" w:color="auto"/>
            <w:left w:val="none" w:sz="0" w:space="0" w:color="auto"/>
            <w:bottom w:val="none" w:sz="0" w:space="0" w:color="auto"/>
            <w:right w:val="none" w:sz="0" w:space="0" w:color="auto"/>
          </w:divBdr>
        </w:div>
        <w:div w:id="1525627203">
          <w:marLeft w:val="0"/>
          <w:marRight w:val="0"/>
          <w:marTop w:val="0"/>
          <w:marBottom w:val="0"/>
          <w:divBdr>
            <w:top w:val="none" w:sz="0" w:space="0" w:color="auto"/>
            <w:left w:val="none" w:sz="0" w:space="0" w:color="auto"/>
            <w:bottom w:val="none" w:sz="0" w:space="0" w:color="auto"/>
            <w:right w:val="none" w:sz="0" w:space="0" w:color="auto"/>
          </w:divBdr>
        </w:div>
        <w:div w:id="1291087512">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8243122">
      <w:bodyDiv w:val="1"/>
      <w:marLeft w:val="0"/>
      <w:marRight w:val="0"/>
      <w:marTop w:val="0"/>
      <w:marBottom w:val="0"/>
      <w:divBdr>
        <w:top w:val="none" w:sz="0" w:space="0" w:color="auto"/>
        <w:left w:val="none" w:sz="0" w:space="0" w:color="auto"/>
        <w:bottom w:val="none" w:sz="0" w:space="0" w:color="auto"/>
        <w:right w:val="none" w:sz="0" w:space="0" w:color="auto"/>
      </w:divBdr>
    </w:div>
    <w:div w:id="2011179188">
      <w:bodyDiv w:val="1"/>
      <w:marLeft w:val="0"/>
      <w:marRight w:val="0"/>
      <w:marTop w:val="0"/>
      <w:marBottom w:val="0"/>
      <w:divBdr>
        <w:top w:val="none" w:sz="0" w:space="0" w:color="auto"/>
        <w:left w:val="none" w:sz="0" w:space="0" w:color="auto"/>
        <w:bottom w:val="none" w:sz="0" w:space="0" w:color="auto"/>
        <w:right w:val="none" w:sz="0" w:space="0" w:color="auto"/>
      </w:divBdr>
    </w:div>
    <w:div w:id="203078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14964</Words>
  <Characters>85297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2023-06-21T06:21:00Z</dcterms:created>
  <dcterms:modified xsi:type="dcterms:W3CDTF">2023-06-21T06:25:00Z</dcterms:modified>
</cp:coreProperties>
</file>