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FA66" w14:textId="57E7E833" w:rsidR="00D73D20" w:rsidRPr="004525F7" w:rsidRDefault="00495EB6" w:rsidP="004525F7">
      <w:pPr>
        <w:pStyle w:val="1-MainHeading"/>
      </w:pPr>
      <w:bookmarkStart w:id="0" w:name="_Toc124949402"/>
      <w:r w:rsidRPr="00AD7238">
        <w:t>7.04</w:t>
      </w:r>
      <w:r w:rsidR="00D73D20" w:rsidRPr="00AD7238">
        <w:tab/>
        <w:t>VARICELLA ZOSTER VIRUS RECOMBINANT VACCINE,</w:t>
      </w:r>
      <w:r w:rsidR="00D73D20" w:rsidRPr="00AD7238">
        <w:br/>
        <w:t>Injection [1 vial] &amp; adjuvant substance diluent [0.5</w:t>
      </w:r>
      <w:r w:rsidR="00134386">
        <w:t> </w:t>
      </w:r>
      <w:r w:rsidR="00D73D20" w:rsidRPr="00AD7238">
        <w:t xml:space="preserve">mL vial], </w:t>
      </w:r>
      <w:r w:rsidR="00D73D20" w:rsidRPr="00AD7238">
        <w:br/>
        <w:t>Shingrix®,</w:t>
      </w:r>
      <w:r w:rsidR="00D73D20" w:rsidRPr="00AD7238">
        <w:br/>
        <w:t>GlaxoSmithKline Australia Pty Ltd.</w:t>
      </w:r>
      <w:bookmarkStart w:id="1" w:name="_Toc22897637"/>
      <w:bookmarkEnd w:id="0"/>
    </w:p>
    <w:p w14:paraId="6BA45398" w14:textId="1FE72B3F" w:rsidR="00D73D20" w:rsidRPr="00AD7238" w:rsidRDefault="00D73D20" w:rsidP="00D73D20">
      <w:pPr>
        <w:pStyle w:val="2-SectionHeading"/>
      </w:pPr>
      <w:bookmarkStart w:id="2" w:name="_Toc124949404"/>
      <w:bookmarkEnd w:id="1"/>
      <w:r w:rsidRPr="00AD7238">
        <w:t xml:space="preserve">Purpose of </w:t>
      </w:r>
      <w:r w:rsidR="00815FA2" w:rsidRPr="00AD7238">
        <w:t>re</w:t>
      </w:r>
      <w:r w:rsidRPr="00AD7238">
        <w:t>submission</w:t>
      </w:r>
      <w:bookmarkEnd w:id="2"/>
    </w:p>
    <w:p w14:paraId="1A27E9EE" w14:textId="7BDBA986" w:rsidR="00D73D20" w:rsidRPr="00AD7238" w:rsidRDefault="00D73D20" w:rsidP="00D73D20">
      <w:pPr>
        <w:pStyle w:val="3-BodyText"/>
      </w:pPr>
      <w:r w:rsidRPr="00AD7238">
        <w:t xml:space="preserve">The </w:t>
      </w:r>
      <w:r w:rsidR="00434023">
        <w:t>s</w:t>
      </w:r>
      <w:r w:rsidRPr="00AD7238">
        <w:t xml:space="preserve">tandard </w:t>
      </w:r>
      <w:r w:rsidR="00434023">
        <w:t>r</w:t>
      </w:r>
      <w:r w:rsidRPr="00AD7238">
        <w:t>e-entry submission request</w:t>
      </w:r>
      <w:r w:rsidR="00495EB6" w:rsidRPr="00AD7238">
        <w:t>ed</w:t>
      </w:r>
      <w:r w:rsidRPr="00AD7238">
        <w:t xml:space="preserve"> a National Immunisation Program (NIP) listing for varicella zoster virus recombinant </w:t>
      </w:r>
      <w:r w:rsidRPr="006E790F">
        <w:t>vaccine</w:t>
      </w:r>
      <w:r w:rsidR="00E66EA0" w:rsidRPr="006E790F">
        <w:t xml:space="preserve"> (RZV)</w:t>
      </w:r>
      <w:r w:rsidRPr="006E790F">
        <w:t xml:space="preserve"> for</w:t>
      </w:r>
      <w:r w:rsidRPr="008C0B2D">
        <w:t xml:space="preserve"> the prevention of herpes zoster </w:t>
      </w:r>
      <w:r w:rsidR="00E66EA0" w:rsidRPr="008C0B2D">
        <w:t xml:space="preserve">(HZ) </w:t>
      </w:r>
      <w:r w:rsidRPr="008C0B2D">
        <w:t>and post-herpetic neuralgia</w:t>
      </w:r>
      <w:r w:rsidR="00E66EA0" w:rsidRPr="008C0B2D">
        <w:t xml:space="preserve"> (PHN)</w:t>
      </w:r>
      <w:r w:rsidRPr="008C0B2D">
        <w:t xml:space="preserve"> for non-Indigenous </w:t>
      </w:r>
      <w:r w:rsidR="005F1E8F" w:rsidRPr="008C0B2D">
        <w:t xml:space="preserve">people </w:t>
      </w:r>
      <w:r w:rsidRPr="008C0B2D">
        <w:t xml:space="preserve">≥ 65 years of age (YOA) and </w:t>
      </w:r>
      <w:r w:rsidR="00642FF6" w:rsidRPr="008C0B2D">
        <w:t>Aboriginal and Torres Strait Islander</w:t>
      </w:r>
      <w:r w:rsidR="00642FF6" w:rsidRPr="00AD7238">
        <w:t xml:space="preserve"> people</w:t>
      </w:r>
      <w:r w:rsidR="005F1E8F" w:rsidRPr="00AD7238">
        <w:t xml:space="preserve"> </w:t>
      </w:r>
      <w:r w:rsidRPr="00AD7238">
        <w:t xml:space="preserve">≥ 50 YOA. </w:t>
      </w:r>
    </w:p>
    <w:p w14:paraId="0845FEBF" w14:textId="77777777" w:rsidR="00D73D20" w:rsidRPr="00AD7238" w:rsidRDefault="00D73D20" w:rsidP="00D73D20">
      <w:pPr>
        <w:pStyle w:val="3-BodyText"/>
      </w:pPr>
      <w:r w:rsidRPr="00AD7238">
        <w:t xml:space="preserve">Listing was requested on the basis of a cost-utility analysis versus no vaccine. </w:t>
      </w:r>
    </w:p>
    <w:p w14:paraId="004A8A1B" w14:textId="3C6B8012" w:rsidR="00D73D20" w:rsidRPr="00AD7238" w:rsidRDefault="00D73D20" w:rsidP="00D73D20">
      <w:pPr>
        <w:pStyle w:val="TableFigureHeading"/>
        <w:rPr>
          <w:rStyle w:val="CommentReference"/>
          <w:b/>
          <w:szCs w:val="24"/>
        </w:rPr>
      </w:pPr>
      <w:bookmarkStart w:id="3" w:name="_Ref124761456"/>
      <w:r w:rsidRPr="00AD7238">
        <w:t xml:space="preserve">Table </w:t>
      </w:r>
      <w:r w:rsidR="000442ED">
        <w:fldChar w:fldCharType="begin" w:fldLock="1"/>
      </w:r>
      <w:r w:rsidR="000442ED">
        <w:instrText xml:space="preserve"> SEQ Table \* ARABIC </w:instrText>
      </w:r>
      <w:r w:rsidR="000442ED">
        <w:fldChar w:fldCharType="separate"/>
      </w:r>
      <w:r w:rsidR="00602E99">
        <w:rPr>
          <w:noProof/>
        </w:rPr>
        <w:t>1</w:t>
      </w:r>
      <w:r w:rsidR="000442ED">
        <w:rPr>
          <w:noProof/>
        </w:rPr>
        <w:fldChar w:fldCharType="end"/>
      </w:r>
      <w:bookmarkEnd w:id="3"/>
      <w:r w:rsidRPr="00AD7238">
        <w:t>:</w:t>
      </w:r>
      <w:r w:rsidRPr="00AD7238">
        <w:rPr>
          <w:rStyle w:val="CommentReference"/>
          <w:b/>
          <w:szCs w:val="24"/>
        </w:rPr>
        <w:t xml:space="preserve"> Key components of the clinical issue addressed by the </w:t>
      </w:r>
      <w:r w:rsidR="00815FA2" w:rsidRPr="00AD7238">
        <w:rPr>
          <w:rStyle w:val="CommentReference"/>
          <w:b/>
          <w:szCs w:val="24"/>
        </w:rPr>
        <w:t>re</w:t>
      </w:r>
      <w:r w:rsidRPr="00AD7238">
        <w:rPr>
          <w:rStyle w:val="CommentReference"/>
          <w:b/>
          <w:szCs w:val="24"/>
        </w:rPr>
        <w:t xml:space="preserve">submission (as stated in the </w:t>
      </w:r>
      <w:r w:rsidR="00815FA2" w:rsidRPr="00AD7238">
        <w:rPr>
          <w:rStyle w:val="CommentReference"/>
          <w:b/>
          <w:szCs w:val="24"/>
        </w:rPr>
        <w:t>re</w:t>
      </w:r>
      <w:r w:rsidRPr="00AD7238">
        <w:rPr>
          <w:rStyle w:val="CommentReference"/>
          <w:b/>
          <w:szCs w:val="24"/>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D73D20" w:rsidRPr="00AD7238" w14:paraId="6F7C365B" w14:textId="77777777">
        <w:tc>
          <w:tcPr>
            <w:tcW w:w="1668" w:type="dxa"/>
          </w:tcPr>
          <w:p w14:paraId="46A0E16F" w14:textId="77777777" w:rsidR="00D73D20" w:rsidRPr="00AD7238" w:rsidRDefault="00D73D20">
            <w:pPr>
              <w:pStyle w:val="In-tableHeading"/>
              <w:rPr>
                <w:lang w:val="en-AU"/>
              </w:rPr>
            </w:pPr>
            <w:r w:rsidRPr="00AD7238">
              <w:rPr>
                <w:bCs/>
                <w:szCs w:val="20"/>
                <w:lang w:val="en-AU"/>
              </w:rPr>
              <w:t>Component</w:t>
            </w:r>
          </w:p>
        </w:tc>
        <w:tc>
          <w:tcPr>
            <w:tcW w:w="7488" w:type="dxa"/>
          </w:tcPr>
          <w:p w14:paraId="24F53EF0" w14:textId="77777777" w:rsidR="00D73D20" w:rsidRPr="00AD7238" w:rsidRDefault="00D73D20">
            <w:pPr>
              <w:pStyle w:val="In-tableHeading"/>
              <w:rPr>
                <w:lang w:val="en-AU"/>
              </w:rPr>
            </w:pPr>
            <w:r w:rsidRPr="00AD7238">
              <w:rPr>
                <w:bCs/>
                <w:szCs w:val="20"/>
                <w:lang w:val="en-AU"/>
              </w:rPr>
              <w:t>Description</w:t>
            </w:r>
          </w:p>
        </w:tc>
      </w:tr>
      <w:tr w:rsidR="00D73D20" w:rsidRPr="00AD7238" w14:paraId="4AD93376" w14:textId="77777777">
        <w:tc>
          <w:tcPr>
            <w:tcW w:w="1668" w:type="dxa"/>
          </w:tcPr>
          <w:p w14:paraId="0B3E319B" w14:textId="77777777" w:rsidR="00D73D20" w:rsidRPr="00AD7238" w:rsidRDefault="00D73D20">
            <w:pPr>
              <w:pStyle w:val="TableText0"/>
            </w:pPr>
            <w:r w:rsidRPr="00AD7238">
              <w:rPr>
                <w:szCs w:val="20"/>
              </w:rPr>
              <w:t>Population</w:t>
            </w:r>
          </w:p>
        </w:tc>
        <w:tc>
          <w:tcPr>
            <w:tcW w:w="7488" w:type="dxa"/>
          </w:tcPr>
          <w:p w14:paraId="6C01B430" w14:textId="350364D4" w:rsidR="00D73D20" w:rsidRPr="00E94BCD" w:rsidRDefault="00D73D20">
            <w:pPr>
              <w:rPr>
                <w:rFonts w:ascii="Arial Narrow" w:hAnsi="Arial Narrow"/>
                <w:sz w:val="20"/>
                <w:szCs w:val="20"/>
                <w:u w:val="single"/>
                <w:vertAlign w:val="superscript"/>
              </w:rPr>
            </w:pPr>
            <w:r w:rsidRPr="00AD7238">
              <w:rPr>
                <w:rFonts w:ascii="Arial Narrow" w:hAnsi="Arial Narrow"/>
                <w:sz w:val="20"/>
                <w:szCs w:val="20"/>
                <w:u w:val="single"/>
              </w:rPr>
              <w:t>Population 1: Non-Indigenous adults 65 YOA, with a perpetual catch-up program for adults &gt;</w:t>
            </w:r>
            <w:r w:rsidR="00E94BCD">
              <w:rPr>
                <w:rFonts w:ascii="Arial Narrow" w:hAnsi="Arial Narrow"/>
                <w:sz w:val="20"/>
                <w:szCs w:val="20"/>
                <w:u w:val="single"/>
              </w:rPr>
              <w:t xml:space="preserve"> </w:t>
            </w:r>
            <w:r w:rsidRPr="00AD7238">
              <w:rPr>
                <w:rFonts w:ascii="Arial Narrow" w:hAnsi="Arial Narrow"/>
                <w:sz w:val="20"/>
                <w:szCs w:val="20"/>
                <w:u w:val="single"/>
              </w:rPr>
              <w:t>65 YOA</w:t>
            </w:r>
            <w:r w:rsidR="009E76A5">
              <w:rPr>
                <w:rFonts w:ascii="Arial Narrow" w:hAnsi="Arial Narrow"/>
                <w:sz w:val="20"/>
                <w:szCs w:val="20"/>
                <w:u w:val="single"/>
              </w:rPr>
              <w:t>.</w:t>
            </w:r>
            <w:r w:rsidR="00E94BCD">
              <w:rPr>
                <w:rFonts w:ascii="Arial Narrow" w:hAnsi="Arial Narrow"/>
                <w:sz w:val="20"/>
                <w:szCs w:val="20"/>
                <w:u w:val="single"/>
                <w:vertAlign w:val="superscript"/>
              </w:rPr>
              <w:t>a</w:t>
            </w:r>
          </w:p>
          <w:p w14:paraId="186A8E13" w14:textId="5E3FE943" w:rsidR="00D73D20" w:rsidRPr="00E94BCD" w:rsidRDefault="00D73D20">
            <w:pPr>
              <w:pStyle w:val="TableText0"/>
              <w:rPr>
                <w:vertAlign w:val="superscript"/>
              </w:rPr>
            </w:pPr>
            <w:r w:rsidRPr="00AD7238">
              <w:rPr>
                <w:szCs w:val="20"/>
                <w:u w:val="single"/>
              </w:rPr>
              <w:t>Population 2: Indigenous adults 50 YOA, with a perpetual catch-up program for adults &gt;</w:t>
            </w:r>
            <w:r w:rsidR="00E94BCD">
              <w:rPr>
                <w:szCs w:val="20"/>
                <w:u w:val="single"/>
              </w:rPr>
              <w:t xml:space="preserve"> </w:t>
            </w:r>
            <w:r w:rsidRPr="00AD7238">
              <w:rPr>
                <w:szCs w:val="20"/>
                <w:u w:val="single"/>
              </w:rPr>
              <w:t>50 YOA</w:t>
            </w:r>
            <w:r w:rsidR="009E76A5">
              <w:rPr>
                <w:szCs w:val="20"/>
                <w:u w:val="single"/>
              </w:rPr>
              <w:t>.</w:t>
            </w:r>
            <w:r w:rsidR="00E94BCD">
              <w:rPr>
                <w:szCs w:val="20"/>
                <w:u w:val="single"/>
                <w:vertAlign w:val="superscript"/>
              </w:rPr>
              <w:t>a</w:t>
            </w:r>
          </w:p>
        </w:tc>
      </w:tr>
      <w:tr w:rsidR="00D73D20" w:rsidRPr="00AD7238" w14:paraId="41311DBA" w14:textId="77777777">
        <w:tc>
          <w:tcPr>
            <w:tcW w:w="1668" w:type="dxa"/>
          </w:tcPr>
          <w:p w14:paraId="0998176D" w14:textId="77777777" w:rsidR="00D73D20" w:rsidRPr="00AD7238" w:rsidRDefault="00D73D20">
            <w:pPr>
              <w:pStyle w:val="TableText0"/>
            </w:pPr>
            <w:r w:rsidRPr="00AD7238">
              <w:rPr>
                <w:szCs w:val="20"/>
              </w:rPr>
              <w:t>Intervention</w:t>
            </w:r>
          </w:p>
        </w:tc>
        <w:tc>
          <w:tcPr>
            <w:tcW w:w="7488" w:type="dxa"/>
          </w:tcPr>
          <w:p w14:paraId="2AC7771B" w14:textId="4ADAD2C2" w:rsidR="00D73D20" w:rsidRPr="00AD7238" w:rsidRDefault="00D73D20">
            <w:pPr>
              <w:pStyle w:val="TableText0"/>
            </w:pPr>
            <w:r w:rsidRPr="00AD7238">
              <w:rPr>
                <w:szCs w:val="20"/>
              </w:rPr>
              <w:t>Recombinant Varicella Zoster Virus glycoprotein E antigen (AS01</w:t>
            </w:r>
            <w:r w:rsidRPr="00AD7238">
              <w:rPr>
                <w:szCs w:val="20"/>
                <w:vertAlign w:val="subscript"/>
              </w:rPr>
              <w:t>B</w:t>
            </w:r>
            <w:r w:rsidRPr="00AD7238">
              <w:rPr>
                <w:szCs w:val="20"/>
              </w:rPr>
              <w:t xml:space="preserve"> adjuvanted) vaccine (RZV or </w:t>
            </w:r>
            <w:r w:rsidRPr="00615B0D">
              <w:rPr>
                <w:iCs/>
                <w:szCs w:val="20"/>
              </w:rPr>
              <w:t>Shingrix</w:t>
            </w:r>
            <w:r w:rsidRPr="00AD7238">
              <w:rPr>
                <w:szCs w:val="20"/>
                <w:vertAlign w:val="superscript"/>
              </w:rPr>
              <w:t>®)</w:t>
            </w:r>
            <w:r w:rsidRPr="00AD7238">
              <w:rPr>
                <w:szCs w:val="20"/>
              </w:rPr>
              <w:t xml:space="preserve"> </w:t>
            </w:r>
          </w:p>
        </w:tc>
      </w:tr>
      <w:tr w:rsidR="00D73D20" w:rsidRPr="00AD7238" w14:paraId="1B10E556" w14:textId="77777777">
        <w:tc>
          <w:tcPr>
            <w:tcW w:w="1668" w:type="dxa"/>
          </w:tcPr>
          <w:p w14:paraId="144E3706" w14:textId="77777777" w:rsidR="00D73D20" w:rsidRPr="00AD7238" w:rsidRDefault="00D73D20">
            <w:pPr>
              <w:pStyle w:val="TableText0"/>
            </w:pPr>
            <w:r w:rsidRPr="00AD7238">
              <w:rPr>
                <w:szCs w:val="20"/>
              </w:rPr>
              <w:t>Comparator</w:t>
            </w:r>
          </w:p>
        </w:tc>
        <w:tc>
          <w:tcPr>
            <w:tcW w:w="7488" w:type="dxa"/>
          </w:tcPr>
          <w:p w14:paraId="17A19B7A" w14:textId="6185F7D1" w:rsidR="00D73D20" w:rsidRPr="00AD7238" w:rsidRDefault="00D73D20">
            <w:pPr>
              <w:rPr>
                <w:rFonts w:ascii="Arial Narrow" w:hAnsi="Arial Narrow"/>
                <w:sz w:val="20"/>
                <w:szCs w:val="20"/>
              </w:rPr>
            </w:pPr>
            <w:r w:rsidRPr="00AD7238">
              <w:rPr>
                <w:rFonts w:ascii="Arial Narrow" w:hAnsi="Arial Narrow"/>
                <w:sz w:val="20"/>
                <w:szCs w:val="20"/>
              </w:rPr>
              <w:t xml:space="preserve">Primary: RZV versus </w:t>
            </w:r>
            <w:r w:rsidRPr="00AD7238">
              <w:rPr>
                <w:rFonts w:ascii="Arial Narrow" w:hAnsi="Arial Narrow"/>
                <w:sz w:val="20"/>
                <w:szCs w:val="20"/>
                <w:u w:val="single"/>
              </w:rPr>
              <w:t>no vaccine</w:t>
            </w:r>
            <w:r w:rsidR="009E76A5">
              <w:rPr>
                <w:rFonts w:ascii="Arial Narrow" w:hAnsi="Arial Narrow"/>
                <w:sz w:val="20"/>
                <w:szCs w:val="20"/>
                <w:u w:val="single"/>
              </w:rPr>
              <w:t>.</w:t>
            </w:r>
            <w:r w:rsidR="00E94BCD">
              <w:rPr>
                <w:rFonts w:ascii="Arial Narrow" w:hAnsi="Arial Narrow"/>
                <w:sz w:val="20"/>
                <w:szCs w:val="20"/>
                <w:u w:val="single"/>
                <w:vertAlign w:val="superscript"/>
              </w:rPr>
              <w:t>b</w:t>
            </w:r>
          </w:p>
          <w:p w14:paraId="2DD656F0" w14:textId="77777777" w:rsidR="00D73D20" w:rsidRPr="00AD7238" w:rsidRDefault="00D73D20">
            <w:pPr>
              <w:rPr>
                <w:rFonts w:ascii="Arial Narrow" w:hAnsi="Arial Narrow"/>
                <w:sz w:val="20"/>
                <w:szCs w:val="20"/>
              </w:rPr>
            </w:pPr>
            <w:r w:rsidRPr="00AD7238">
              <w:rPr>
                <w:rFonts w:ascii="Arial Narrow" w:hAnsi="Arial Narrow"/>
                <w:sz w:val="20"/>
                <w:szCs w:val="20"/>
              </w:rPr>
              <w:t xml:space="preserve">Secondary economic comparison: Zoster vaccine live (ZVL or </w:t>
            </w:r>
            <w:r w:rsidRPr="00615B0D">
              <w:rPr>
                <w:rFonts w:ascii="Arial Narrow" w:hAnsi="Arial Narrow"/>
                <w:iCs/>
                <w:sz w:val="20"/>
                <w:szCs w:val="20"/>
              </w:rPr>
              <w:t>Zostavax</w:t>
            </w:r>
            <w:r w:rsidRPr="00AD7238">
              <w:rPr>
                <w:rFonts w:ascii="Arial Narrow" w:hAnsi="Arial Narrow"/>
                <w:sz w:val="20"/>
                <w:szCs w:val="20"/>
                <w:vertAlign w:val="superscript"/>
              </w:rPr>
              <w:t>®</w:t>
            </w:r>
            <w:r w:rsidRPr="00AD7238">
              <w:rPr>
                <w:rFonts w:ascii="Arial Narrow" w:hAnsi="Arial Narrow"/>
                <w:sz w:val="20"/>
                <w:szCs w:val="20"/>
              </w:rPr>
              <w:t>) versus no vaccine.</w:t>
            </w:r>
          </w:p>
          <w:p w14:paraId="12D1F0D5" w14:textId="77777777" w:rsidR="00D73D20" w:rsidRPr="00AD7238" w:rsidRDefault="00D73D20">
            <w:pPr>
              <w:pStyle w:val="TableText0"/>
            </w:pPr>
            <w:r w:rsidRPr="00AD7238">
              <w:rPr>
                <w:szCs w:val="20"/>
              </w:rPr>
              <w:t>Supplementary: RZV versus ZVL.</w:t>
            </w:r>
          </w:p>
        </w:tc>
      </w:tr>
      <w:tr w:rsidR="00D73D20" w:rsidRPr="00AD7238" w14:paraId="11A68F10" w14:textId="77777777">
        <w:tc>
          <w:tcPr>
            <w:tcW w:w="1668" w:type="dxa"/>
          </w:tcPr>
          <w:p w14:paraId="723AD26E" w14:textId="77777777" w:rsidR="00D73D20" w:rsidRPr="00AD7238" w:rsidRDefault="00D73D20">
            <w:pPr>
              <w:pStyle w:val="TableText0"/>
            </w:pPr>
            <w:r w:rsidRPr="00AD7238">
              <w:rPr>
                <w:szCs w:val="20"/>
              </w:rPr>
              <w:t>Outcomes</w:t>
            </w:r>
          </w:p>
        </w:tc>
        <w:tc>
          <w:tcPr>
            <w:tcW w:w="7488" w:type="dxa"/>
          </w:tcPr>
          <w:p w14:paraId="55A7BD05" w14:textId="77777777" w:rsidR="00D73D20" w:rsidRPr="00AD7238" w:rsidRDefault="00D73D20">
            <w:pPr>
              <w:rPr>
                <w:rFonts w:ascii="Arial Narrow" w:hAnsi="Arial Narrow"/>
                <w:sz w:val="20"/>
                <w:szCs w:val="20"/>
              </w:rPr>
            </w:pPr>
            <w:r w:rsidRPr="00AD7238">
              <w:rPr>
                <w:rFonts w:ascii="Arial Narrow" w:hAnsi="Arial Narrow"/>
                <w:sz w:val="20"/>
                <w:szCs w:val="20"/>
              </w:rPr>
              <w:t>Efficacy: Cases of HZ, cases of PHN, and HZ-associated complications.</w:t>
            </w:r>
          </w:p>
          <w:p w14:paraId="1F0B5AC9" w14:textId="77777777" w:rsidR="00D73D20" w:rsidRPr="00AD7238" w:rsidRDefault="00D73D20">
            <w:pPr>
              <w:pStyle w:val="TableText0"/>
            </w:pPr>
            <w:r w:rsidRPr="00AD7238">
              <w:rPr>
                <w:szCs w:val="20"/>
              </w:rPr>
              <w:t>Safety: Solicited local and general AEs, unsolicited AEs, and SAEs.</w:t>
            </w:r>
          </w:p>
        </w:tc>
      </w:tr>
      <w:tr w:rsidR="00D73D20" w:rsidRPr="00AD7238" w14:paraId="3FA636AC" w14:textId="77777777">
        <w:tc>
          <w:tcPr>
            <w:tcW w:w="1668" w:type="dxa"/>
          </w:tcPr>
          <w:p w14:paraId="3DCB1B93" w14:textId="77777777" w:rsidR="00D73D20" w:rsidRPr="00AD7238" w:rsidRDefault="00D73D20">
            <w:pPr>
              <w:pStyle w:val="TableText0"/>
            </w:pPr>
            <w:r w:rsidRPr="00AD7238">
              <w:rPr>
                <w:szCs w:val="20"/>
              </w:rPr>
              <w:t>Clinical claim</w:t>
            </w:r>
          </w:p>
        </w:tc>
        <w:tc>
          <w:tcPr>
            <w:tcW w:w="7488" w:type="dxa"/>
          </w:tcPr>
          <w:p w14:paraId="33EDAA2C" w14:textId="0AB21662" w:rsidR="00D73D20" w:rsidRPr="00AD7238" w:rsidRDefault="00D73D20">
            <w:pPr>
              <w:pStyle w:val="TableText0"/>
            </w:pPr>
            <w:r w:rsidRPr="00AD7238">
              <w:rPr>
                <w:szCs w:val="20"/>
              </w:rPr>
              <w:t>RZV v</w:t>
            </w:r>
            <w:r w:rsidR="00E94BCD">
              <w:rPr>
                <w:szCs w:val="20"/>
              </w:rPr>
              <w:t>ersu</w:t>
            </w:r>
            <w:r w:rsidRPr="00AD7238">
              <w:rPr>
                <w:szCs w:val="20"/>
              </w:rPr>
              <w:t>s no vaccine: superior efficacy and ‘slightly’ inferior safety.</w:t>
            </w:r>
          </w:p>
        </w:tc>
      </w:tr>
    </w:tbl>
    <w:p w14:paraId="668C3268" w14:textId="42AFA03C" w:rsidR="00D73D20" w:rsidRPr="00AD7238" w:rsidRDefault="00D73D20" w:rsidP="00D73D20">
      <w:pPr>
        <w:pStyle w:val="FooterTableFigure"/>
      </w:pPr>
      <w:r w:rsidRPr="00AD7238">
        <w:t xml:space="preserve">Source: Table 1-2, p23 of the </w:t>
      </w:r>
      <w:r w:rsidR="00815FA2" w:rsidRPr="00AD7238">
        <w:t>re</w:t>
      </w:r>
      <w:r w:rsidRPr="00AD7238">
        <w:t>submission</w:t>
      </w:r>
    </w:p>
    <w:p w14:paraId="2B76BC63" w14:textId="2AC7B1D2" w:rsidR="00D73D20" w:rsidRPr="00AD7238" w:rsidRDefault="00D73D20" w:rsidP="00D73D20">
      <w:pPr>
        <w:pStyle w:val="FooterTableFigure"/>
      </w:pPr>
      <w:r w:rsidRPr="00AD7238">
        <w:t>AE</w:t>
      </w:r>
      <w:r w:rsidR="00DE338A" w:rsidRPr="00AD7238">
        <w:t xml:space="preserve"> = </w:t>
      </w:r>
      <w:r w:rsidRPr="00AD7238">
        <w:t>adverse event; HZ</w:t>
      </w:r>
      <w:r w:rsidR="00DE338A" w:rsidRPr="00AD7238">
        <w:t xml:space="preserve"> = </w:t>
      </w:r>
      <w:r w:rsidRPr="00AD7238">
        <w:t>herpes zoster; PHN</w:t>
      </w:r>
      <w:r w:rsidR="00DE338A" w:rsidRPr="00AD7238">
        <w:t xml:space="preserve"> = </w:t>
      </w:r>
      <w:r w:rsidRPr="00AD7238">
        <w:t>post-herpetic neuralgia; RZV</w:t>
      </w:r>
      <w:r w:rsidR="00DE338A" w:rsidRPr="00AD7238">
        <w:t xml:space="preserve"> = </w:t>
      </w:r>
      <w:r w:rsidRPr="00AD7238">
        <w:t>recombinant zoster vaccine (</w:t>
      </w:r>
      <w:r w:rsidRPr="00615B0D">
        <w:rPr>
          <w:iCs/>
        </w:rPr>
        <w:t>Shingrix</w:t>
      </w:r>
      <w:r w:rsidRPr="00AD7238">
        <w:t>); SAE</w:t>
      </w:r>
      <w:r w:rsidR="00DE338A" w:rsidRPr="00AD7238">
        <w:t xml:space="preserve"> = </w:t>
      </w:r>
      <w:r w:rsidRPr="00AD7238">
        <w:t>serious adverse event; YOA</w:t>
      </w:r>
      <w:r w:rsidR="00DE338A" w:rsidRPr="00AD7238">
        <w:t xml:space="preserve"> = </w:t>
      </w:r>
      <w:r w:rsidRPr="00AD7238">
        <w:t>years of age; ZVL</w:t>
      </w:r>
      <w:r w:rsidR="00DE338A" w:rsidRPr="00AD7238">
        <w:t xml:space="preserve"> = </w:t>
      </w:r>
      <w:r w:rsidRPr="00AD7238">
        <w:t>zoster vaccine live (</w:t>
      </w:r>
      <w:r w:rsidRPr="00615B0D">
        <w:rPr>
          <w:iCs/>
        </w:rPr>
        <w:t>Zostavax</w:t>
      </w:r>
      <w:r w:rsidRPr="00AD7238">
        <w:t>).</w:t>
      </w:r>
    </w:p>
    <w:p w14:paraId="0525FE6E" w14:textId="7ACD7BBB" w:rsidR="00D73D20" w:rsidRPr="00AD7238" w:rsidRDefault="00E94BCD" w:rsidP="00D73D20">
      <w:pPr>
        <w:pStyle w:val="FooterTableFigure"/>
      </w:pPr>
      <w:r w:rsidRPr="003A3F80">
        <w:rPr>
          <w:vertAlign w:val="superscript"/>
        </w:rPr>
        <w:t>a</w:t>
      </w:r>
      <w:r w:rsidR="00F82E8E">
        <w:t xml:space="preserve"> </w:t>
      </w:r>
      <w:r w:rsidR="00D73D20" w:rsidRPr="00AD7238">
        <w:t xml:space="preserve">The population in the 2018 submission was adults </w:t>
      </w:r>
      <w:r w:rsidR="00D73D20" w:rsidRPr="00AD7238">
        <w:rPr>
          <w:rFonts w:ascii="Symbol" w:eastAsia="Symbol" w:hAnsi="Symbol" w:cs="Symbol"/>
        </w:rPr>
        <w:t>³</w:t>
      </w:r>
      <w:r w:rsidR="00D73D20" w:rsidRPr="00AD7238">
        <w:t xml:space="preserve"> 60 years for both </w:t>
      </w:r>
      <w:r w:rsidR="00CF5024" w:rsidRPr="00AD7238">
        <w:t>Aboriginal and Torres Strait Islander</w:t>
      </w:r>
      <w:r w:rsidR="00D73D20" w:rsidRPr="00AD7238">
        <w:t xml:space="preserve"> and non-indigenous populations</w:t>
      </w:r>
      <w:r w:rsidR="00D30ACE" w:rsidRPr="00AD7238">
        <w:t xml:space="preserve"> </w:t>
      </w:r>
      <w:r w:rsidR="008B3605" w:rsidRPr="00AD7238">
        <w:t>with a 5</w:t>
      </w:r>
      <w:r w:rsidR="00D30ACE" w:rsidRPr="00AD7238">
        <w:t xml:space="preserve"> year catch-up</w:t>
      </w:r>
      <w:r w:rsidR="006C11A7" w:rsidRPr="00AD7238">
        <w:t xml:space="preserve"> program for those</w:t>
      </w:r>
      <w:r w:rsidR="008B438D" w:rsidRPr="00AD7238">
        <w:t xml:space="preserve"> </w:t>
      </w:r>
      <w:r w:rsidR="006C11A7" w:rsidRPr="00AD7238">
        <w:t>&gt;60 YOA</w:t>
      </w:r>
      <w:r w:rsidR="00D73D20" w:rsidRPr="00AD7238">
        <w:t>.</w:t>
      </w:r>
    </w:p>
    <w:p w14:paraId="1D9E7AFC" w14:textId="0A13B900" w:rsidR="00D73D20" w:rsidRPr="00AD7238" w:rsidRDefault="00E94BCD" w:rsidP="00D73D20">
      <w:pPr>
        <w:pStyle w:val="FooterTableFigure"/>
      </w:pPr>
      <w:r w:rsidRPr="003A3F80">
        <w:rPr>
          <w:vertAlign w:val="superscript"/>
        </w:rPr>
        <w:t>b</w:t>
      </w:r>
      <w:r w:rsidR="00F82E8E">
        <w:t xml:space="preserve"> </w:t>
      </w:r>
      <w:r w:rsidR="00D73D20" w:rsidRPr="00AD7238">
        <w:t>The comparator in the 2018 submission was Z</w:t>
      </w:r>
      <w:r w:rsidR="00434023">
        <w:t>VL</w:t>
      </w:r>
      <w:r w:rsidR="00D73D20" w:rsidRPr="00AD7238">
        <w:t xml:space="preserve"> for adults aged 70-79</w:t>
      </w:r>
    </w:p>
    <w:p w14:paraId="63E0D1CA" w14:textId="77777777" w:rsidR="00D73D20" w:rsidRPr="00AD7238" w:rsidRDefault="00D73D20" w:rsidP="00D73D20">
      <w:pPr>
        <w:pStyle w:val="FooterTableFigure"/>
        <w:spacing w:line="259" w:lineRule="auto"/>
      </w:pPr>
      <w:r w:rsidRPr="00AD7238">
        <w:t xml:space="preserve">Underlined text highlights changes from previous submission </w:t>
      </w:r>
    </w:p>
    <w:p w14:paraId="7898926D" w14:textId="3EA21033" w:rsidR="00850A7E" w:rsidRDefault="00850A7E">
      <w:pPr>
        <w:pStyle w:val="3-BodyText"/>
      </w:pPr>
      <w:bookmarkStart w:id="4" w:name="_Ref126583212"/>
      <w:r w:rsidRPr="006E790F">
        <w:t xml:space="preserve">The resubmission </w:t>
      </w:r>
      <w:r w:rsidR="0025488B" w:rsidRPr="006E790F">
        <w:t xml:space="preserve">did not clearly define a population of younger </w:t>
      </w:r>
      <w:r w:rsidRPr="006E790F">
        <w:t>immunocompromised adults (≥18 YOA as currently TGA-indicated and as recommended in the 2022 ATAGI pre-</w:t>
      </w:r>
      <w:r w:rsidR="00D55B41" w:rsidRPr="006E790F">
        <w:t>submission</w:t>
      </w:r>
      <w:r w:rsidRPr="006E790F">
        <w:t xml:space="preserve"> </w:t>
      </w:r>
      <w:r w:rsidR="00602E99" w:rsidRPr="006E790F">
        <w:t>a</w:t>
      </w:r>
      <w:r w:rsidRPr="006E790F">
        <w:t xml:space="preserve">dvice) </w:t>
      </w:r>
      <w:r w:rsidRPr="006E790F">
        <w:rPr>
          <w:iCs/>
        </w:rPr>
        <w:t>and no cost-effectiveness analysis is presented for this population</w:t>
      </w:r>
      <w:r w:rsidRPr="006E790F">
        <w:t xml:space="preserve">. </w:t>
      </w:r>
      <w:r w:rsidR="00D73D20" w:rsidRPr="006E790F">
        <w:t xml:space="preserve">The </w:t>
      </w:r>
      <w:r w:rsidR="00DE338A" w:rsidRPr="006E790F">
        <w:t>re</w:t>
      </w:r>
      <w:r w:rsidR="00D73D20" w:rsidRPr="006E790F">
        <w:t xml:space="preserve">submission </w:t>
      </w:r>
      <w:r w:rsidRPr="006E790F">
        <w:t xml:space="preserve">stated </w:t>
      </w:r>
      <w:r w:rsidR="00BC2B26" w:rsidRPr="006E790F">
        <w:t>‘</w:t>
      </w:r>
      <w:r w:rsidR="00D73D20" w:rsidRPr="006E790F">
        <w:t>the complexity</w:t>
      </w:r>
      <w:r w:rsidR="00D73D20" w:rsidRPr="008C0B2D">
        <w:t xml:space="preserve"> of demonstrating cost-effectiveness in numerous at-risk cohorts would</w:t>
      </w:r>
      <w:r w:rsidR="00D73D20" w:rsidRPr="00AD7238">
        <w:t xml:space="preserve"> prove challenging for timely evaluation and PBAC approval</w:t>
      </w:r>
      <w:r w:rsidR="00BC2B26">
        <w:t>’</w:t>
      </w:r>
      <w:r w:rsidR="00D73D20" w:rsidRPr="00AD7238">
        <w:t xml:space="preserve">. As such, the </w:t>
      </w:r>
      <w:r w:rsidR="00815FA2" w:rsidRPr="00AD7238">
        <w:t>re</w:t>
      </w:r>
      <w:r w:rsidR="00D73D20" w:rsidRPr="00AD7238">
        <w:t>submission indicated that</w:t>
      </w:r>
      <w:r w:rsidR="00D73D20" w:rsidRPr="00AD7238" w:rsidDel="00B825D3">
        <w:t xml:space="preserve"> </w:t>
      </w:r>
      <w:r w:rsidR="00BC2B26">
        <w:t>‘</w:t>
      </w:r>
      <w:r w:rsidR="00D73D20" w:rsidRPr="00AD7238">
        <w:t xml:space="preserve">a pragmatic decision could be made to extend access to younger at-risk populations, based on the assumption RZV cost-effectiveness demonstrated in the proposed NIP populations would also be </w:t>
      </w:r>
      <w:r w:rsidR="00D73D20" w:rsidRPr="006E790F">
        <w:t>applicable to immunocompromised adults</w:t>
      </w:r>
      <w:r w:rsidR="00D73D20" w:rsidRPr="00AD7238">
        <w:t xml:space="preserve"> at a younger age threshold, with similar or greater risk of HZ, and similar efficacy, immunogenicity, and safety of RZV</w:t>
      </w:r>
      <w:r w:rsidR="00BC2B26">
        <w:t>’</w:t>
      </w:r>
      <w:r>
        <w:t>.</w:t>
      </w:r>
      <w:r w:rsidR="00D73D20" w:rsidRPr="00AD7238">
        <w:t xml:space="preserve"> </w:t>
      </w:r>
      <w:bookmarkEnd w:id="4"/>
    </w:p>
    <w:p w14:paraId="356435CB" w14:textId="108A72B5" w:rsidR="00D73D20" w:rsidRPr="006E790F" w:rsidRDefault="00D73D20">
      <w:pPr>
        <w:pStyle w:val="3-BodyText"/>
      </w:pPr>
      <w:r w:rsidRPr="00615B0D">
        <w:lastRenderedPageBreak/>
        <w:t xml:space="preserve">The </w:t>
      </w:r>
      <w:r w:rsidR="00850A7E" w:rsidRPr="006E790F">
        <w:t xml:space="preserve">immunocompromised </w:t>
      </w:r>
      <w:r w:rsidRPr="006E790F">
        <w:t xml:space="preserve">populations </w:t>
      </w:r>
      <w:r w:rsidR="00272C60" w:rsidRPr="006E790F">
        <w:t>for which a cost-effectiveness analysis was not presented</w:t>
      </w:r>
      <w:r w:rsidRPr="006E790F">
        <w:t xml:space="preserve"> in this </w:t>
      </w:r>
      <w:r w:rsidR="00DE338A" w:rsidRPr="006E790F">
        <w:t>re</w:t>
      </w:r>
      <w:r w:rsidRPr="006E790F">
        <w:t xml:space="preserve">submission are: </w:t>
      </w:r>
    </w:p>
    <w:p w14:paraId="60708070" w14:textId="42D85D81" w:rsidR="00D73D20" w:rsidRPr="006E790F" w:rsidRDefault="00D73D20" w:rsidP="00D5557B">
      <w:pPr>
        <w:pStyle w:val="ListParagraph"/>
        <w:numPr>
          <w:ilvl w:val="0"/>
          <w:numId w:val="28"/>
        </w:numPr>
        <w:rPr>
          <w:iCs/>
        </w:rPr>
      </w:pPr>
      <w:r w:rsidRPr="006E790F">
        <w:rPr>
          <w:iCs/>
        </w:rPr>
        <w:t>Immunocompromised non-Indigenous adults 18 to 64 YOA</w:t>
      </w:r>
      <w:r w:rsidR="00BC2B26" w:rsidRPr="006E790F">
        <w:rPr>
          <w:iCs/>
        </w:rPr>
        <w:t>; and</w:t>
      </w:r>
    </w:p>
    <w:p w14:paraId="56FC44C5" w14:textId="0187F36F" w:rsidR="00D73D20" w:rsidRPr="00615B0D" w:rsidRDefault="00D73D20" w:rsidP="00D5557B">
      <w:pPr>
        <w:pStyle w:val="ListParagraph"/>
        <w:numPr>
          <w:ilvl w:val="0"/>
          <w:numId w:val="28"/>
        </w:numPr>
        <w:rPr>
          <w:iCs/>
        </w:rPr>
      </w:pPr>
      <w:r w:rsidRPr="006E790F">
        <w:rPr>
          <w:iCs/>
        </w:rPr>
        <w:t>Immunocompromised</w:t>
      </w:r>
      <w:r w:rsidR="00DA4388" w:rsidRPr="006E790F">
        <w:rPr>
          <w:iCs/>
        </w:rPr>
        <w:t xml:space="preserve"> Aboriginal</w:t>
      </w:r>
      <w:r w:rsidR="00DA4388" w:rsidRPr="00615B0D">
        <w:rPr>
          <w:iCs/>
        </w:rPr>
        <w:t xml:space="preserve"> and Torres Strait Islander </w:t>
      </w:r>
      <w:r w:rsidRPr="00615B0D">
        <w:rPr>
          <w:iCs/>
        </w:rPr>
        <w:t>adults 18 to 49 YOA</w:t>
      </w:r>
      <w:r w:rsidR="00BC2B26">
        <w:rPr>
          <w:iCs/>
        </w:rPr>
        <w:t>.</w:t>
      </w:r>
    </w:p>
    <w:p w14:paraId="26E70B9D" w14:textId="77777777" w:rsidR="00D73D20" w:rsidRPr="00AD7238" w:rsidRDefault="00D73D20" w:rsidP="00D73D20">
      <w:pPr>
        <w:pStyle w:val="2-SectionHeading"/>
      </w:pPr>
      <w:bookmarkStart w:id="5" w:name="_Toc124949405"/>
      <w:bookmarkStart w:id="6" w:name="_Toc22897638"/>
      <w:r w:rsidRPr="00AD7238">
        <w:t>Background</w:t>
      </w:r>
      <w:bookmarkEnd w:id="5"/>
    </w:p>
    <w:p w14:paraId="08B55BE8" w14:textId="47D44933" w:rsidR="00D73D20" w:rsidRPr="00AD7238" w:rsidRDefault="00D73D20" w:rsidP="00D73D20">
      <w:pPr>
        <w:pStyle w:val="4-SubsectionHeading"/>
      </w:pPr>
      <w:bookmarkStart w:id="7" w:name="_Toc124949406"/>
      <w:r w:rsidRPr="00AD7238">
        <w:t xml:space="preserve">Registration </w:t>
      </w:r>
      <w:bookmarkEnd w:id="6"/>
      <w:bookmarkEnd w:id="7"/>
      <w:r w:rsidRPr="00AD7238">
        <w:t>statu</w:t>
      </w:r>
      <w:r w:rsidRPr="006E790F">
        <w:t>s</w:t>
      </w:r>
    </w:p>
    <w:p w14:paraId="30938CE7" w14:textId="57A38647" w:rsidR="00D73D20" w:rsidRPr="00AD7238" w:rsidRDefault="000F52CB" w:rsidP="00DC3B49">
      <w:pPr>
        <w:pStyle w:val="3-BodyText"/>
      </w:pPr>
      <w:r w:rsidRPr="008C0B2D">
        <w:t>RZV</w:t>
      </w:r>
      <w:r w:rsidR="00D73D20" w:rsidRPr="008C0B2D">
        <w:t xml:space="preserve"> was TGA registered on 28 June 2018 for the prevention of </w:t>
      </w:r>
      <w:r w:rsidR="00722C36" w:rsidRPr="008C0B2D">
        <w:t>HZ</w:t>
      </w:r>
      <w:r w:rsidR="00D73D20" w:rsidRPr="008C0B2D">
        <w:t xml:space="preserve"> and </w:t>
      </w:r>
      <w:r w:rsidR="00722C36" w:rsidRPr="008C0B2D">
        <w:t>PHN</w:t>
      </w:r>
      <w:r w:rsidR="00D73D20" w:rsidRPr="008C0B2D">
        <w:t xml:space="preserve"> in</w:t>
      </w:r>
      <w:r w:rsidR="00D73D20" w:rsidRPr="00AD7238">
        <w:t xml:space="preserve"> adults 50 years and over. An extension of indication to include</w:t>
      </w:r>
      <w:r w:rsidR="00DC3B49">
        <w:t xml:space="preserve"> adults 18 years of age or older at increased </w:t>
      </w:r>
      <w:r w:rsidR="00DC3B49" w:rsidRPr="006E790F">
        <w:t xml:space="preserve">risk of HZ </w:t>
      </w:r>
      <w:r w:rsidR="00D73D20" w:rsidRPr="006E790F">
        <w:t xml:space="preserve"> was</w:t>
      </w:r>
      <w:r w:rsidR="00D73D20" w:rsidRPr="00AD7238">
        <w:t xml:space="preserve"> approved 13 December 2021. </w:t>
      </w:r>
    </w:p>
    <w:p w14:paraId="2791478C" w14:textId="77777777" w:rsidR="00D73D20" w:rsidRPr="00AD7238" w:rsidRDefault="00D73D20" w:rsidP="00D73D20">
      <w:pPr>
        <w:pStyle w:val="4-SubsectionHeading"/>
      </w:pPr>
      <w:bookmarkStart w:id="8" w:name="_Toc22897639"/>
      <w:bookmarkStart w:id="9" w:name="_Toc124949407"/>
      <w:r w:rsidRPr="00AD7238">
        <w:t>Previous PBAC consideration</w:t>
      </w:r>
      <w:bookmarkEnd w:id="8"/>
      <w:bookmarkEnd w:id="9"/>
    </w:p>
    <w:p w14:paraId="0B72803B" w14:textId="61EC9D3E" w:rsidR="00D73D20" w:rsidRPr="00AD7238" w:rsidRDefault="00D73D20" w:rsidP="00D73D20">
      <w:pPr>
        <w:pStyle w:val="3-BodyText"/>
      </w:pPr>
      <w:r w:rsidRPr="00AD7238">
        <w:t xml:space="preserve">In November 2014 the PBAC recommended listing live zoster vaccine (ZVL) on the NIP for immunocompetent persons aged 70 years, with a catch-up cohort of persons aged 71 to 79 years. </w:t>
      </w:r>
      <w:r w:rsidRPr="00615B0D">
        <w:rPr>
          <w:iCs/>
        </w:rPr>
        <w:t xml:space="preserve">The catch-up for those aged 71 to 79 is </w:t>
      </w:r>
      <w:r w:rsidR="006F72BA" w:rsidRPr="00615B0D">
        <w:rPr>
          <w:iCs/>
        </w:rPr>
        <w:t xml:space="preserve">in </w:t>
      </w:r>
      <w:r w:rsidR="006F72BA" w:rsidRPr="006E790F">
        <w:rPr>
          <w:iCs/>
        </w:rPr>
        <w:t xml:space="preserve">place </w:t>
      </w:r>
      <w:r w:rsidRPr="006E790F">
        <w:rPr>
          <w:iCs/>
        </w:rPr>
        <w:t>until October 2023.</w:t>
      </w:r>
      <w:r w:rsidRPr="00615B0D">
        <w:rPr>
          <w:iCs/>
        </w:rPr>
        <w:t xml:space="preserve"> </w:t>
      </w:r>
    </w:p>
    <w:p w14:paraId="42AE1E04" w14:textId="52C9A4E1" w:rsidR="00D73D20" w:rsidRPr="008C0B2D" w:rsidRDefault="00D73D20" w:rsidP="00D73D20">
      <w:pPr>
        <w:pStyle w:val="3-BodyText"/>
      </w:pPr>
      <w:r w:rsidRPr="00AD7238">
        <w:t xml:space="preserve">In November 2018 the </w:t>
      </w:r>
      <w:r w:rsidRPr="00AD7238">
        <w:rPr>
          <w:bCs/>
        </w:rPr>
        <w:t xml:space="preserve">PBAC did not recommend the listing of RZV on the NIP for the prevention of </w:t>
      </w:r>
      <w:r w:rsidR="00434023">
        <w:rPr>
          <w:bCs/>
        </w:rPr>
        <w:t>HZ</w:t>
      </w:r>
      <w:r w:rsidRPr="00AD7238">
        <w:rPr>
          <w:bCs/>
        </w:rPr>
        <w:t xml:space="preserve"> in adults aged 60 years, with a five-year catch-up program. </w:t>
      </w:r>
      <w:r w:rsidRPr="00615B0D">
        <w:t>The PBAC considered that there was some uncertainty in the magnitude of the clinical benefit, the incremental cost-effectiveness ratios (ICER</w:t>
      </w:r>
      <w:r w:rsidR="00062EB9">
        <w:t>s</w:t>
      </w:r>
      <w:r w:rsidRPr="00615B0D">
        <w:t>) were highly uncertain and the estimated financial impact was high and uncertain. The PBAC considered more conservative cost-effectiveness analyses were required, given the large opportunity cost of listing (</w:t>
      </w:r>
      <w:r w:rsidRPr="008C0B2D">
        <w:t xml:space="preserve">paragraph 7.1, </w:t>
      </w:r>
      <w:r w:rsidR="00FF5641" w:rsidRPr="008C0B2D">
        <w:t xml:space="preserve">RZV </w:t>
      </w:r>
      <w:r w:rsidRPr="008C0B2D">
        <w:t>Public Summary Document</w:t>
      </w:r>
      <w:r w:rsidR="00DA4388" w:rsidRPr="008C0B2D">
        <w:t xml:space="preserve"> </w:t>
      </w:r>
      <w:r w:rsidR="00FF5641" w:rsidRPr="008C0B2D">
        <w:t>[</w:t>
      </w:r>
      <w:r w:rsidR="00DA4388" w:rsidRPr="008C0B2D">
        <w:t>PSD</w:t>
      </w:r>
      <w:r w:rsidR="00FF5641" w:rsidRPr="008C0B2D">
        <w:t>]</w:t>
      </w:r>
      <w:r w:rsidRPr="008C0B2D">
        <w:t xml:space="preserve">, November 2018 PBAC meeting). </w:t>
      </w:r>
    </w:p>
    <w:p w14:paraId="2CC25D57" w14:textId="5AD2FC82" w:rsidR="00D73D20" w:rsidRPr="008C0B2D" w:rsidRDefault="00434023" w:rsidP="00D73D20">
      <w:pPr>
        <w:pStyle w:val="3-BodyText"/>
        <w:rPr>
          <w:bCs/>
        </w:rPr>
      </w:pPr>
      <w:r>
        <w:rPr>
          <w:bCs/>
        </w:rPr>
        <w:t>U</w:t>
      </w:r>
      <w:r w:rsidR="00D73D20" w:rsidRPr="008C0B2D">
        <w:rPr>
          <w:bCs/>
        </w:rPr>
        <w:t xml:space="preserve">pdates in the resubmission </w:t>
      </w:r>
      <w:r>
        <w:rPr>
          <w:bCs/>
        </w:rPr>
        <w:t>include</w:t>
      </w:r>
      <w:r w:rsidR="008223FA">
        <w:rPr>
          <w:bCs/>
        </w:rPr>
        <w:t>d</w:t>
      </w:r>
      <w:r w:rsidR="00D73D20" w:rsidRPr="008C0B2D">
        <w:rPr>
          <w:bCs/>
        </w:rPr>
        <w:t>:</w:t>
      </w:r>
    </w:p>
    <w:p w14:paraId="37839CEF" w14:textId="7E75E4B8" w:rsidR="00D73D20" w:rsidRPr="008C0B2D" w:rsidRDefault="00D73D20" w:rsidP="00D5557B">
      <w:pPr>
        <w:pStyle w:val="ListParagraph"/>
        <w:numPr>
          <w:ilvl w:val="1"/>
          <w:numId w:val="8"/>
        </w:numPr>
        <w:spacing w:after="0"/>
        <w:ind w:left="1080"/>
      </w:pPr>
      <w:r w:rsidRPr="008C0B2D">
        <w:t xml:space="preserve">Change in proposed </w:t>
      </w:r>
      <w:r w:rsidR="00467991">
        <w:t xml:space="preserve">population for </w:t>
      </w:r>
      <w:r w:rsidRPr="008C0B2D">
        <w:t xml:space="preserve">NIP listing. </w:t>
      </w:r>
    </w:p>
    <w:p w14:paraId="4F285DDB" w14:textId="0BD47224" w:rsidR="00D73D20" w:rsidRPr="008C0B2D" w:rsidRDefault="00EE4EA8" w:rsidP="00D5557B">
      <w:pPr>
        <w:pStyle w:val="ListBullet"/>
        <w:numPr>
          <w:ilvl w:val="1"/>
          <w:numId w:val="8"/>
        </w:numPr>
        <w:ind w:left="1080"/>
      </w:pPr>
      <w:r w:rsidRPr="008C0B2D">
        <w:t>The p</w:t>
      </w:r>
      <w:r w:rsidR="00D73D20" w:rsidRPr="008C0B2D">
        <w:t xml:space="preserve">roposed comparator is ‘no vaccine’ </w:t>
      </w:r>
      <w:r w:rsidR="005138C6" w:rsidRPr="008C0B2D">
        <w:t xml:space="preserve">for all populations </w:t>
      </w:r>
      <w:r w:rsidR="00D73D20" w:rsidRPr="008C0B2D">
        <w:t xml:space="preserve">to reflect possible changes to supply of ZVL. </w:t>
      </w:r>
    </w:p>
    <w:p w14:paraId="5AA57D03" w14:textId="77777777" w:rsidR="00D73D20" w:rsidRPr="00615B0D" w:rsidRDefault="00D73D20" w:rsidP="00D5557B">
      <w:pPr>
        <w:pStyle w:val="ListBullet"/>
        <w:numPr>
          <w:ilvl w:val="1"/>
          <w:numId w:val="8"/>
        </w:numPr>
        <w:ind w:left="1080"/>
        <w:rPr>
          <w:iCs/>
        </w:rPr>
      </w:pPr>
      <w:r w:rsidRPr="00615B0D">
        <w:rPr>
          <w:iCs/>
        </w:rPr>
        <w:t>Presentation of additional clinical evidence which included:</w:t>
      </w:r>
    </w:p>
    <w:p w14:paraId="19B9CFDB" w14:textId="45A7646E" w:rsidR="00D73D20" w:rsidRPr="00615B0D" w:rsidRDefault="00D73D20" w:rsidP="00D5557B">
      <w:pPr>
        <w:pStyle w:val="ListBullet"/>
        <w:numPr>
          <w:ilvl w:val="0"/>
          <w:numId w:val="9"/>
        </w:numPr>
        <w:ind w:left="1440"/>
        <w:rPr>
          <w:iCs/>
        </w:rPr>
      </w:pPr>
      <w:r w:rsidRPr="00615B0D">
        <w:rPr>
          <w:iCs/>
        </w:rPr>
        <w:t xml:space="preserve">longer-term follow-up data </w:t>
      </w:r>
      <w:r w:rsidR="00512330">
        <w:rPr>
          <w:iCs/>
        </w:rPr>
        <w:t xml:space="preserve">with interim data </w:t>
      </w:r>
      <w:r w:rsidRPr="00615B0D">
        <w:rPr>
          <w:iCs/>
        </w:rPr>
        <w:t>up to 10 years post-vaccination.</w:t>
      </w:r>
    </w:p>
    <w:p w14:paraId="0867D064" w14:textId="16DBA3EC" w:rsidR="00D73D20" w:rsidRPr="00615B0D" w:rsidRDefault="00B8202A" w:rsidP="00D5557B">
      <w:pPr>
        <w:pStyle w:val="ListBullet"/>
        <w:numPr>
          <w:ilvl w:val="0"/>
          <w:numId w:val="9"/>
        </w:numPr>
        <w:ind w:left="1440"/>
        <w:rPr>
          <w:iCs/>
        </w:rPr>
      </w:pPr>
      <w:r w:rsidRPr="006E790F">
        <w:rPr>
          <w:iCs/>
        </w:rPr>
        <w:t xml:space="preserve">additional </w:t>
      </w:r>
      <w:r w:rsidR="00D73D20" w:rsidRPr="006E790F">
        <w:rPr>
          <w:iCs/>
        </w:rPr>
        <w:t xml:space="preserve">data </w:t>
      </w:r>
      <w:r w:rsidRPr="006E790F">
        <w:rPr>
          <w:iCs/>
        </w:rPr>
        <w:t xml:space="preserve">for </w:t>
      </w:r>
      <w:r w:rsidR="00D73D20" w:rsidRPr="006E790F">
        <w:rPr>
          <w:iCs/>
        </w:rPr>
        <w:t xml:space="preserve">RZV </w:t>
      </w:r>
      <w:r w:rsidRPr="006E790F">
        <w:rPr>
          <w:iCs/>
        </w:rPr>
        <w:t xml:space="preserve">in </w:t>
      </w:r>
      <w:r w:rsidR="00D73D20" w:rsidRPr="006E790F">
        <w:rPr>
          <w:iCs/>
        </w:rPr>
        <w:t>adults</w:t>
      </w:r>
      <w:r w:rsidR="00D73D20" w:rsidRPr="00615B0D">
        <w:rPr>
          <w:iCs/>
        </w:rPr>
        <w:t xml:space="preserve"> </w:t>
      </w:r>
      <w:r w:rsidR="005138C6" w:rsidRPr="00615B0D">
        <w:rPr>
          <w:iCs/>
        </w:rPr>
        <w:t xml:space="preserve">who have received </w:t>
      </w:r>
      <w:r w:rsidR="00D73D20" w:rsidRPr="00615B0D">
        <w:rPr>
          <w:iCs/>
        </w:rPr>
        <w:t xml:space="preserve">prior ZVL, </w:t>
      </w:r>
      <w:r w:rsidR="005138C6" w:rsidRPr="00615B0D">
        <w:rPr>
          <w:iCs/>
        </w:rPr>
        <w:t xml:space="preserve">had a </w:t>
      </w:r>
      <w:r w:rsidR="00D73D20" w:rsidRPr="00615B0D">
        <w:rPr>
          <w:iCs/>
        </w:rPr>
        <w:t>prior HZ</w:t>
      </w:r>
      <w:r w:rsidR="005138C6" w:rsidRPr="00615B0D">
        <w:rPr>
          <w:iCs/>
        </w:rPr>
        <w:t xml:space="preserve"> infection</w:t>
      </w:r>
      <w:r w:rsidR="00D73D20" w:rsidRPr="00615B0D">
        <w:rPr>
          <w:iCs/>
        </w:rPr>
        <w:t xml:space="preserve">, </w:t>
      </w:r>
      <w:r w:rsidR="00D73D20" w:rsidRPr="006E790F">
        <w:rPr>
          <w:iCs/>
        </w:rPr>
        <w:t xml:space="preserve">and for </w:t>
      </w:r>
      <w:r w:rsidR="00B21616" w:rsidRPr="006E790F">
        <w:rPr>
          <w:iCs/>
        </w:rPr>
        <w:t xml:space="preserve">immunocompromised </w:t>
      </w:r>
      <w:r w:rsidR="00D73D20" w:rsidRPr="006E790F">
        <w:rPr>
          <w:iCs/>
        </w:rPr>
        <w:t>adults</w:t>
      </w:r>
      <w:r w:rsidR="00D73D20" w:rsidRPr="00615B0D">
        <w:rPr>
          <w:iCs/>
        </w:rPr>
        <w:t xml:space="preserve"> at increased risk of HZ.</w:t>
      </w:r>
    </w:p>
    <w:p w14:paraId="11B238EA" w14:textId="2120846B" w:rsidR="00D73D20" w:rsidRPr="00615B0D" w:rsidRDefault="005F4F35" w:rsidP="00D5557B">
      <w:pPr>
        <w:pStyle w:val="ListBullet"/>
        <w:numPr>
          <w:ilvl w:val="0"/>
          <w:numId w:val="9"/>
        </w:numPr>
        <w:ind w:left="1440"/>
        <w:rPr>
          <w:iCs/>
        </w:rPr>
      </w:pPr>
      <w:r>
        <w:rPr>
          <w:iCs/>
        </w:rPr>
        <w:t>c</w:t>
      </w:r>
      <w:r w:rsidR="00D73D20" w:rsidRPr="00615B0D">
        <w:rPr>
          <w:iCs/>
        </w:rPr>
        <w:t>linical and post-marketing data on short-term RZV efficacy and effectiveness after one dose, as well as completion of the two-dose RZV schedule.</w:t>
      </w:r>
    </w:p>
    <w:p w14:paraId="7D3E1F67" w14:textId="103A9A80" w:rsidR="00D73D20" w:rsidRDefault="00D73D20" w:rsidP="00CC3A23">
      <w:pPr>
        <w:pStyle w:val="ListBullet"/>
        <w:tabs>
          <w:tab w:val="num" w:pos="1854"/>
        </w:tabs>
        <w:spacing w:after="120"/>
        <w:ind w:left="1077" w:hanging="357"/>
        <w:rPr>
          <w:iCs/>
        </w:rPr>
      </w:pPr>
      <w:r w:rsidRPr="00615B0D">
        <w:rPr>
          <w:iCs/>
        </w:rPr>
        <w:t>A</w:t>
      </w:r>
      <w:r w:rsidR="005138C6" w:rsidRPr="00615B0D" w:rsidDel="005138C6">
        <w:rPr>
          <w:iCs/>
        </w:rPr>
        <w:t xml:space="preserve"> </w:t>
      </w:r>
      <w:r w:rsidRPr="00615B0D">
        <w:rPr>
          <w:iCs/>
        </w:rPr>
        <w:t>price of $</w:t>
      </w:r>
      <w:r w:rsidR="00BA039D" w:rsidRPr="00BA039D">
        <w:rPr>
          <w:iCs/>
          <w:color w:val="000000"/>
          <w:w w:val="24"/>
          <w:shd w:val="solid" w:color="000000" w:fill="000000"/>
          <w:fitText w:val="80" w:id="-1233442560"/>
          <w14:textFill>
            <w14:solidFill>
              <w14:srgbClr w14:val="000000">
                <w14:alpha w14:val="100000"/>
              </w14:srgbClr>
            </w14:solidFill>
          </w14:textFill>
        </w:rPr>
        <w:t xml:space="preserve">|  </w:t>
      </w:r>
      <w:r w:rsidR="00BA039D" w:rsidRPr="00BA039D">
        <w:rPr>
          <w:iCs/>
          <w:color w:val="000000"/>
          <w:spacing w:val="1"/>
          <w:w w:val="24"/>
          <w:shd w:val="solid" w:color="000000" w:fill="000000"/>
          <w:fitText w:val="80" w:id="-1233442560"/>
          <w14:textFill>
            <w14:solidFill>
              <w14:srgbClr w14:val="000000">
                <w14:alpha w14:val="100000"/>
              </w14:srgbClr>
            </w14:solidFill>
          </w14:textFill>
        </w:rPr>
        <w:t>|</w:t>
      </w:r>
      <w:r w:rsidRPr="00615B0D">
        <w:rPr>
          <w:iCs/>
        </w:rPr>
        <w:t xml:space="preserve"> per dose </w:t>
      </w:r>
      <w:r w:rsidRPr="006E790F">
        <w:rPr>
          <w:iCs/>
        </w:rPr>
        <w:t>of RZV</w:t>
      </w:r>
      <w:r w:rsidR="005138C6" w:rsidRPr="006E790F">
        <w:rPr>
          <w:iCs/>
        </w:rPr>
        <w:t xml:space="preserve"> (5.4%</w:t>
      </w:r>
      <w:r w:rsidR="005138C6" w:rsidRPr="00615B0D">
        <w:rPr>
          <w:iCs/>
        </w:rPr>
        <w:t xml:space="preserve"> lower than </w:t>
      </w:r>
      <w:r w:rsidR="00815FA2" w:rsidRPr="00615B0D">
        <w:rPr>
          <w:iCs/>
        </w:rPr>
        <w:t xml:space="preserve">the 2018 </w:t>
      </w:r>
      <w:r w:rsidR="005138C6" w:rsidRPr="00615B0D">
        <w:rPr>
          <w:iCs/>
        </w:rPr>
        <w:t>submission)</w:t>
      </w:r>
      <w:r w:rsidRPr="00615B0D">
        <w:rPr>
          <w:iCs/>
        </w:rPr>
        <w:t>.</w:t>
      </w:r>
    </w:p>
    <w:p w14:paraId="26344EE6" w14:textId="7A62E04F" w:rsidR="002A47D8" w:rsidRPr="00CF62C0" w:rsidRDefault="00CC3A23" w:rsidP="00CF62C0">
      <w:pPr>
        <w:pStyle w:val="3-BodyText"/>
        <w:numPr>
          <w:ilvl w:val="0"/>
          <w:numId w:val="0"/>
        </w:numPr>
        <w:ind w:left="720"/>
        <w:rPr>
          <w:i/>
          <w:iCs/>
        </w:rPr>
      </w:pPr>
      <w:bookmarkStart w:id="10" w:name="_Hlk76375324"/>
      <w:r w:rsidRPr="00CC3A23">
        <w:rPr>
          <w:i/>
          <w:iCs/>
        </w:rPr>
        <w:t xml:space="preserve">For </w:t>
      </w:r>
      <w:r w:rsidRPr="003C590D">
        <w:rPr>
          <w:bCs/>
        </w:rPr>
        <w:t>more</w:t>
      </w:r>
      <w:r w:rsidRPr="00CC3A23">
        <w:rPr>
          <w:i/>
          <w:iCs/>
        </w:rPr>
        <w:t xml:space="preserve"> detail on PBAC’s view, see section 7 PBAC outcome.</w:t>
      </w:r>
      <w:bookmarkEnd w:id="10"/>
    </w:p>
    <w:p w14:paraId="7FDE980A" w14:textId="500D0B2F" w:rsidR="00D73D20" w:rsidRPr="00AD7238" w:rsidRDefault="00D73D20" w:rsidP="00EE4EA8">
      <w:pPr>
        <w:pStyle w:val="TableFigureHeading"/>
        <w:widowControl w:val="0"/>
        <w:rPr>
          <w:rStyle w:val="CommentReference"/>
          <w:b/>
          <w:szCs w:val="24"/>
        </w:rPr>
      </w:pPr>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2</w:t>
      </w:r>
      <w:r w:rsidR="000442ED">
        <w:rPr>
          <w:noProof/>
        </w:rPr>
        <w:fldChar w:fldCharType="end"/>
      </w:r>
      <w:r w:rsidRPr="00AD7238">
        <w:t>:</w:t>
      </w:r>
      <w:r w:rsidRPr="00AD7238">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120"/>
        <w:gridCol w:w="3351"/>
      </w:tblGrid>
      <w:tr w:rsidR="00D73D20" w:rsidRPr="00AD7238" w14:paraId="413EADBF" w14:textId="77777777" w:rsidTr="00C479BD">
        <w:trPr>
          <w:cantSplit/>
          <w:tblHeader/>
        </w:trPr>
        <w:tc>
          <w:tcPr>
            <w:tcW w:w="1412" w:type="pct"/>
            <w:vAlign w:val="center"/>
          </w:tcPr>
          <w:p w14:paraId="197BC1CE" w14:textId="77777777" w:rsidR="00D73D20" w:rsidRPr="00AD7238" w:rsidRDefault="00D73D20">
            <w:pPr>
              <w:pStyle w:val="In-tableHeading"/>
              <w:keepNext w:val="0"/>
              <w:widowControl w:val="0"/>
              <w:rPr>
                <w:lang w:val="en-AU"/>
              </w:rPr>
            </w:pPr>
            <w:r w:rsidRPr="00AD7238">
              <w:rPr>
                <w:lang w:val="en-AU"/>
              </w:rPr>
              <w:t>Component</w:t>
            </w:r>
          </w:p>
        </w:tc>
        <w:tc>
          <w:tcPr>
            <w:tcW w:w="1730" w:type="pct"/>
            <w:vAlign w:val="center"/>
          </w:tcPr>
          <w:p w14:paraId="3BC6AD37" w14:textId="77777777" w:rsidR="00D73D20" w:rsidRPr="00AD7238" w:rsidRDefault="00D73D20">
            <w:pPr>
              <w:pStyle w:val="In-tableHeading"/>
              <w:keepNext w:val="0"/>
              <w:widowControl w:val="0"/>
              <w:rPr>
                <w:lang w:val="en-AU"/>
              </w:rPr>
            </w:pPr>
            <w:r w:rsidRPr="00AD7238">
              <w:rPr>
                <w:lang w:val="en-AU"/>
              </w:rPr>
              <w:t>Matter of concern</w:t>
            </w:r>
          </w:p>
        </w:tc>
        <w:tc>
          <w:tcPr>
            <w:tcW w:w="1859" w:type="pct"/>
            <w:vAlign w:val="center"/>
          </w:tcPr>
          <w:p w14:paraId="4FEFE55B" w14:textId="77777777" w:rsidR="00D73D20" w:rsidRPr="00AD7238" w:rsidRDefault="00D73D20">
            <w:pPr>
              <w:pStyle w:val="In-tableHeading"/>
              <w:keepNext w:val="0"/>
              <w:widowControl w:val="0"/>
              <w:rPr>
                <w:lang w:val="en-AU"/>
              </w:rPr>
            </w:pPr>
            <w:r w:rsidRPr="00AD7238">
              <w:rPr>
                <w:lang w:val="en-AU"/>
              </w:rPr>
              <w:t>How the resubmission addresses it</w:t>
            </w:r>
          </w:p>
        </w:tc>
      </w:tr>
      <w:tr w:rsidR="00D73D20" w:rsidRPr="00AD7238" w14:paraId="22916366" w14:textId="77777777" w:rsidTr="00C479BD">
        <w:trPr>
          <w:cantSplit/>
        </w:trPr>
        <w:tc>
          <w:tcPr>
            <w:tcW w:w="1412" w:type="pct"/>
            <w:vAlign w:val="center"/>
          </w:tcPr>
          <w:p w14:paraId="1C9C627D" w14:textId="77777777" w:rsidR="00D73D20" w:rsidRPr="00AD7238" w:rsidRDefault="00D73D20">
            <w:pPr>
              <w:pStyle w:val="TableText0"/>
              <w:keepNext w:val="0"/>
              <w:widowControl w:val="0"/>
            </w:pPr>
            <w:r w:rsidRPr="00AD7238">
              <w:t xml:space="preserve">Population </w:t>
            </w:r>
          </w:p>
        </w:tc>
        <w:tc>
          <w:tcPr>
            <w:tcW w:w="1730" w:type="pct"/>
          </w:tcPr>
          <w:p w14:paraId="367B10AE" w14:textId="475E7A68" w:rsidR="00D73D20" w:rsidRPr="008C0B2D" w:rsidRDefault="00D73D20">
            <w:pPr>
              <w:pStyle w:val="TableText0"/>
              <w:keepNext w:val="0"/>
              <w:widowControl w:val="0"/>
            </w:pPr>
            <w:r w:rsidRPr="008C0B2D">
              <w:t>Include</w:t>
            </w:r>
            <w:r w:rsidR="00811BEB" w:rsidRPr="008C0B2D">
              <w:t xml:space="preserve"> </w:t>
            </w:r>
            <w:r w:rsidRPr="008C0B2D">
              <w:t>evaluation of RZV for a lower age threshold of at least 50 years</w:t>
            </w:r>
            <w:r w:rsidR="00811BEB" w:rsidRPr="008C0B2D">
              <w:t>,</w:t>
            </w:r>
            <w:r w:rsidRPr="008C0B2D">
              <w:t xml:space="preserve"> as per ATAGI advice</w:t>
            </w:r>
            <w:r w:rsidR="00811BEB" w:rsidRPr="008C0B2D">
              <w:t>,</w:t>
            </w:r>
            <w:r w:rsidRPr="008C0B2D">
              <w:t xml:space="preserve"> for those who are (i) </w:t>
            </w:r>
            <w:r w:rsidR="00761C9A" w:rsidRPr="008C0B2D">
              <w:t>Aboriginal and Torres Strait Islander</w:t>
            </w:r>
            <w:r w:rsidRPr="008C0B2D">
              <w:t xml:space="preserve">, or (ii) immunocompromised (Para 7.2, </w:t>
            </w:r>
            <w:r w:rsidR="00F60A99" w:rsidRPr="008C0B2D">
              <w:t xml:space="preserve">RZV PSD, </w:t>
            </w:r>
            <w:r w:rsidRPr="008C0B2D">
              <w:t>November 2018).</w:t>
            </w:r>
          </w:p>
        </w:tc>
        <w:tc>
          <w:tcPr>
            <w:tcW w:w="1859" w:type="pct"/>
          </w:tcPr>
          <w:p w14:paraId="2A3BB0B0" w14:textId="2C4A7A18" w:rsidR="00D73D20" w:rsidRPr="008C0B2D" w:rsidRDefault="00D73D20">
            <w:pPr>
              <w:pStyle w:val="TableText0"/>
              <w:keepNext w:val="0"/>
              <w:widowControl w:val="0"/>
            </w:pPr>
            <w:r w:rsidRPr="008C0B2D">
              <w:t xml:space="preserve">Addressed for </w:t>
            </w:r>
            <w:r w:rsidR="00DA4388" w:rsidRPr="008C0B2D">
              <w:t xml:space="preserve">Aboriginal and Torres Strait Islander </w:t>
            </w:r>
            <w:r w:rsidRPr="008C0B2D">
              <w:t>population (proposed NIP population</w:t>
            </w:r>
            <w:r w:rsidR="00761C9A" w:rsidRPr="008C0B2D">
              <w:t>, see</w:t>
            </w:r>
            <w:r w:rsidRPr="008C0B2D">
              <w:t xml:space="preserve"> </w:t>
            </w:r>
            <w:r w:rsidR="00761C9A" w:rsidRPr="008C0B2D">
              <w:fldChar w:fldCharType="begin" w:fldLock="1"/>
            </w:r>
            <w:r w:rsidR="00761C9A" w:rsidRPr="008C0B2D">
              <w:instrText xml:space="preserve"> REF _Ref124761456 \h </w:instrText>
            </w:r>
            <w:r w:rsidR="008C0B2D" w:rsidRPr="008C0B2D">
              <w:instrText xml:space="preserve"> \* MERGEFORMAT </w:instrText>
            </w:r>
            <w:r w:rsidR="00761C9A" w:rsidRPr="008C0B2D">
              <w:fldChar w:fldCharType="separate"/>
            </w:r>
            <w:r w:rsidR="00602E99" w:rsidRPr="00AD7238">
              <w:t xml:space="preserve">Table </w:t>
            </w:r>
            <w:r w:rsidR="00602E99">
              <w:rPr>
                <w:noProof/>
              </w:rPr>
              <w:t>1</w:t>
            </w:r>
            <w:r w:rsidR="00761C9A" w:rsidRPr="008C0B2D">
              <w:fldChar w:fldCharType="end"/>
            </w:r>
            <w:r w:rsidRPr="008C0B2D">
              <w:t>).</w:t>
            </w:r>
          </w:p>
          <w:p w14:paraId="4EF622BC" w14:textId="77777777" w:rsidR="00D73D20" w:rsidRPr="008C0B2D" w:rsidRDefault="00D73D20">
            <w:pPr>
              <w:pStyle w:val="TableText0"/>
              <w:keepNext w:val="0"/>
              <w:widowControl w:val="0"/>
            </w:pPr>
          </w:p>
          <w:p w14:paraId="539F551F" w14:textId="4E4EBFDC" w:rsidR="00D73D20" w:rsidRPr="008C0B2D" w:rsidRDefault="00467991">
            <w:pPr>
              <w:pStyle w:val="TableText0"/>
              <w:keepNext w:val="0"/>
              <w:widowControl w:val="0"/>
            </w:pPr>
            <w:r>
              <w:t>An economic analysis was not presented for n</w:t>
            </w:r>
            <w:r w:rsidR="00D73D20" w:rsidRPr="008C0B2D">
              <w:t>on-</w:t>
            </w:r>
            <w:r w:rsidR="001E1678" w:rsidRPr="006E790F">
              <w:t>I</w:t>
            </w:r>
            <w:r w:rsidR="00D73D20" w:rsidRPr="006E790F">
              <w:t>ndigenous immunocompromised individuals aged 50-64.</w:t>
            </w:r>
            <w:r w:rsidR="00D73D20" w:rsidRPr="008C0B2D">
              <w:t xml:space="preserve"> </w:t>
            </w:r>
          </w:p>
        </w:tc>
      </w:tr>
      <w:tr w:rsidR="00D73D20" w:rsidRPr="00615B0D" w14:paraId="7A933E28" w14:textId="77777777" w:rsidTr="00C479BD">
        <w:trPr>
          <w:cantSplit/>
        </w:trPr>
        <w:tc>
          <w:tcPr>
            <w:tcW w:w="1412" w:type="pct"/>
            <w:vAlign w:val="center"/>
          </w:tcPr>
          <w:p w14:paraId="3E9F116D" w14:textId="39980083" w:rsidR="00D73D20" w:rsidRPr="00615B0D" w:rsidRDefault="00D73D20">
            <w:pPr>
              <w:pStyle w:val="TableText0"/>
              <w:keepNext w:val="0"/>
              <w:widowControl w:val="0"/>
            </w:pPr>
            <w:r w:rsidRPr="00615B0D">
              <w:t>Clinical effectiveness</w:t>
            </w:r>
            <w:r w:rsidR="00555A49" w:rsidRPr="00615B0D">
              <w:t xml:space="preserve"> in certain subpopulations</w:t>
            </w:r>
          </w:p>
        </w:tc>
        <w:tc>
          <w:tcPr>
            <w:tcW w:w="1730" w:type="pct"/>
          </w:tcPr>
          <w:p w14:paraId="776C6679" w14:textId="7DA6DC2E" w:rsidR="00D73D20" w:rsidRPr="008C0B2D" w:rsidRDefault="00CC6B2D">
            <w:pPr>
              <w:pStyle w:val="TableText0"/>
              <w:keepNext w:val="0"/>
              <w:widowControl w:val="0"/>
            </w:pPr>
            <w:r w:rsidRPr="00A65E17">
              <w:rPr>
                <w:iCs/>
              </w:rPr>
              <w:t>The PBAC considered that the</w:t>
            </w:r>
            <w:r w:rsidRPr="008C0B2D">
              <w:t xml:space="preserve"> m</w:t>
            </w:r>
            <w:r w:rsidR="00D73D20" w:rsidRPr="008C0B2D">
              <w:t>agnitude of benefit</w:t>
            </w:r>
            <w:r w:rsidRPr="008C0B2D">
              <w:t xml:space="preserve"> </w:t>
            </w:r>
            <w:r w:rsidRPr="00A65E17">
              <w:rPr>
                <w:iCs/>
              </w:rPr>
              <w:t>was</w:t>
            </w:r>
            <w:r w:rsidR="00D73D20" w:rsidRPr="008C0B2D">
              <w:t xml:space="preserve"> uncertain </w:t>
            </w:r>
            <w:r w:rsidR="0069439E" w:rsidRPr="00A65E17">
              <w:rPr>
                <w:iCs/>
              </w:rPr>
              <w:t xml:space="preserve">as ZOE-50 and ZOE-70 excluded </w:t>
            </w:r>
            <w:r w:rsidR="00D73D20" w:rsidRPr="008C0B2D">
              <w:t>individuals who had</w:t>
            </w:r>
            <w:r w:rsidR="0069439E" w:rsidRPr="008C0B2D">
              <w:t xml:space="preserve"> </w:t>
            </w:r>
            <w:r w:rsidR="0069439E" w:rsidRPr="00A65E17">
              <w:rPr>
                <w:iCs/>
              </w:rPr>
              <w:t>previously received ZVL,</w:t>
            </w:r>
            <w:r w:rsidR="0069439E" w:rsidRPr="008C0B2D">
              <w:t xml:space="preserve"> </w:t>
            </w:r>
            <w:r w:rsidR="00D73D20" w:rsidRPr="008C0B2D">
              <w:t xml:space="preserve">previously had </w:t>
            </w:r>
            <w:r w:rsidRPr="008C0B2D">
              <w:t>HZ</w:t>
            </w:r>
            <w:r w:rsidR="0069439E" w:rsidRPr="008C0B2D">
              <w:t>;</w:t>
            </w:r>
            <w:r w:rsidR="00D73D20" w:rsidRPr="008C0B2D">
              <w:t xml:space="preserve"> or who were immunocompromised or immunosuppressed (Para 7.5, </w:t>
            </w:r>
            <w:r w:rsidR="00F60A99" w:rsidRPr="008C0B2D">
              <w:t xml:space="preserve">RZV PSD, </w:t>
            </w:r>
            <w:r w:rsidR="00D73D20" w:rsidRPr="008C0B2D">
              <w:t>November 2018).</w:t>
            </w:r>
          </w:p>
        </w:tc>
        <w:tc>
          <w:tcPr>
            <w:tcW w:w="1859" w:type="pct"/>
          </w:tcPr>
          <w:p w14:paraId="14A43508" w14:textId="575C65D5" w:rsidR="00D73D20" w:rsidRPr="008C0B2D" w:rsidRDefault="00D73D20">
            <w:pPr>
              <w:pStyle w:val="TableText0"/>
              <w:keepNext w:val="0"/>
              <w:widowControl w:val="0"/>
            </w:pPr>
            <w:r w:rsidRPr="008C0B2D">
              <w:t xml:space="preserve">Supportive evidence was presented for these </w:t>
            </w:r>
            <w:r w:rsidR="00761C9A" w:rsidRPr="008C0B2D">
              <w:t>sub</w:t>
            </w:r>
            <w:r w:rsidRPr="008C0B2D">
              <w:t xml:space="preserve">populations.  </w:t>
            </w:r>
          </w:p>
        </w:tc>
      </w:tr>
      <w:tr w:rsidR="00D73D20" w:rsidRPr="00AD7238" w14:paraId="701F579B" w14:textId="77777777" w:rsidTr="00C479BD">
        <w:trPr>
          <w:cantSplit/>
        </w:trPr>
        <w:tc>
          <w:tcPr>
            <w:tcW w:w="1412" w:type="pct"/>
            <w:vAlign w:val="center"/>
          </w:tcPr>
          <w:p w14:paraId="7DC484F4" w14:textId="77777777" w:rsidR="00D73D20" w:rsidRPr="00AD7238" w:rsidRDefault="00D73D20">
            <w:pPr>
              <w:pStyle w:val="TableText0"/>
              <w:keepNext w:val="0"/>
              <w:widowControl w:val="0"/>
            </w:pPr>
            <w:r w:rsidRPr="00AD7238">
              <w:t>Clinical effectiveness of single RZV dose and waning rate</w:t>
            </w:r>
          </w:p>
        </w:tc>
        <w:tc>
          <w:tcPr>
            <w:tcW w:w="1730" w:type="pct"/>
          </w:tcPr>
          <w:p w14:paraId="772D91BA" w14:textId="4D1FA110" w:rsidR="00D73D20" w:rsidRPr="008C0B2D" w:rsidRDefault="007A4DA4">
            <w:pPr>
              <w:pStyle w:val="TableText0"/>
              <w:keepNext w:val="0"/>
              <w:widowControl w:val="0"/>
            </w:pPr>
            <w:r w:rsidRPr="008C0B2D">
              <w:t>The d</w:t>
            </w:r>
            <w:r w:rsidR="00D73D20" w:rsidRPr="008C0B2D">
              <w:t xml:space="preserve">uration of protection after a single RZV dose </w:t>
            </w:r>
            <w:r w:rsidRPr="008C0B2D">
              <w:t xml:space="preserve">is </w:t>
            </w:r>
            <w:r w:rsidR="00D73D20" w:rsidRPr="008C0B2D">
              <w:t xml:space="preserve">unknown (Para 7.5, </w:t>
            </w:r>
            <w:r w:rsidR="00F60A99" w:rsidRPr="008C0B2D">
              <w:t xml:space="preserve">RZV PSD, </w:t>
            </w:r>
            <w:r w:rsidR="00D73D20" w:rsidRPr="008C0B2D">
              <w:t>November 2018).</w:t>
            </w:r>
          </w:p>
        </w:tc>
        <w:tc>
          <w:tcPr>
            <w:tcW w:w="1859" w:type="pct"/>
          </w:tcPr>
          <w:p w14:paraId="2A3C8DF9" w14:textId="58D78361" w:rsidR="00D73D20" w:rsidRPr="008C0B2D" w:rsidRDefault="00B8202A">
            <w:pPr>
              <w:pStyle w:val="TableText0"/>
              <w:keepNext w:val="0"/>
              <w:widowControl w:val="0"/>
            </w:pPr>
            <w:r w:rsidRPr="006E790F">
              <w:t>C</w:t>
            </w:r>
            <w:r w:rsidR="00D73D20" w:rsidRPr="006E790F">
              <w:t>linical (up to 90 days) and post-marketing (up to 2 years) data are available to inform short-term RZV efficacy</w:t>
            </w:r>
            <w:r w:rsidR="00D73D20" w:rsidRPr="008C0B2D">
              <w:t xml:space="preserve"> and effectiveness after one dose.</w:t>
            </w:r>
            <w:r w:rsidR="00D73D20" w:rsidRPr="008C0B2D">
              <w:rPr>
                <w:rStyle w:val="CommentReference"/>
              </w:rPr>
              <w:t xml:space="preserve"> </w:t>
            </w:r>
            <w:r w:rsidR="00D73D20" w:rsidRPr="008C0B2D">
              <w:t xml:space="preserve">However, longer-term </w:t>
            </w:r>
            <w:r w:rsidR="0078782D" w:rsidRPr="008C0B2D">
              <w:t>effectiveness</w:t>
            </w:r>
            <w:r w:rsidR="00D73D20" w:rsidRPr="008C0B2D">
              <w:t xml:space="preserve"> remains unclear.</w:t>
            </w:r>
          </w:p>
        </w:tc>
      </w:tr>
      <w:tr w:rsidR="00D73D20" w:rsidRPr="00615B0D" w14:paraId="4CF469D5" w14:textId="77777777" w:rsidTr="00C479BD">
        <w:trPr>
          <w:cantSplit/>
        </w:trPr>
        <w:tc>
          <w:tcPr>
            <w:tcW w:w="1412" w:type="pct"/>
            <w:vAlign w:val="center"/>
          </w:tcPr>
          <w:p w14:paraId="7D70C074" w14:textId="387A1CBA" w:rsidR="00D73D20" w:rsidRPr="00615B0D" w:rsidRDefault="00D73D20">
            <w:pPr>
              <w:pStyle w:val="TableText0"/>
              <w:keepNext w:val="0"/>
              <w:widowControl w:val="0"/>
            </w:pPr>
            <w:r w:rsidRPr="00615B0D">
              <w:t>Lack of longer-term data on waning effects and need for</w:t>
            </w:r>
            <w:r w:rsidR="007A4DA4">
              <w:t xml:space="preserve"> a</w:t>
            </w:r>
            <w:r w:rsidRPr="00615B0D">
              <w:t xml:space="preserve"> booster</w:t>
            </w:r>
          </w:p>
        </w:tc>
        <w:tc>
          <w:tcPr>
            <w:tcW w:w="1730" w:type="pct"/>
          </w:tcPr>
          <w:p w14:paraId="699418C0" w14:textId="5172AFC3" w:rsidR="00D73D20" w:rsidRPr="006E790F" w:rsidRDefault="00D73D20">
            <w:pPr>
              <w:pStyle w:val="TableText0"/>
              <w:keepNext w:val="0"/>
              <w:widowControl w:val="0"/>
            </w:pPr>
            <w:r w:rsidRPr="006E790F">
              <w:t xml:space="preserve">Limited data to assess waning of the RZV vaccine and the longer-term need for a booster (Para 7.6, </w:t>
            </w:r>
            <w:r w:rsidR="00F60A99" w:rsidRPr="006E790F">
              <w:t xml:space="preserve">RZV </w:t>
            </w:r>
            <w:r w:rsidR="00811BEB" w:rsidRPr="006E790F">
              <w:t xml:space="preserve">PSD, </w:t>
            </w:r>
            <w:r w:rsidRPr="006E790F">
              <w:t>November 2018).</w:t>
            </w:r>
          </w:p>
        </w:tc>
        <w:tc>
          <w:tcPr>
            <w:tcW w:w="1859" w:type="pct"/>
          </w:tcPr>
          <w:p w14:paraId="71866C44" w14:textId="6A7BD1CC" w:rsidR="00D73D20" w:rsidRPr="006E790F" w:rsidRDefault="00D73D20">
            <w:pPr>
              <w:pStyle w:val="TableText0"/>
              <w:keepNext w:val="0"/>
              <w:widowControl w:val="0"/>
            </w:pPr>
            <w:r w:rsidRPr="006E790F">
              <w:t xml:space="preserve">ZOSTER-049 provides </w:t>
            </w:r>
            <w:r w:rsidR="001E1678" w:rsidRPr="006E790F">
              <w:t xml:space="preserve">an </w:t>
            </w:r>
            <w:r w:rsidRPr="006E790F">
              <w:t xml:space="preserve">additional 4 years </w:t>
            </w:r>
            <w:r w:rsidR="001E1678" w:rsidRPr="006E790F">
              <w:t xml:space="preserve">of follow up </w:t>
            </w:r>
            <w:r w:rsidRPr="006E790F">
              <w:t>(8 years in total), with preliminary data up to 10 years. Uncertainty remains regarding the need for booster, particularly in light of the proposed younger age groups.</w:t>
            </w:r>
          </w:p>
        </w:tc>
      </w:tr>
      <w:tr w:rsidR="00D73D20" w:rsidRPr="00615B0D" w14:paraId="1388B262" w14:textId="77777777" w:rsidTr="00C479BD">
        <w:trPr>
          <w:cantSplit/>
        </w:trPr>
        <w:tc>
          <w:tcPr>
            <w:tcW w:w="1412" w:type="pct"/>
            <w:vAlign w:val="center"/>
          </w:tcPr>
          <w:p w14:paraId="578CF767" w14:textId="77777777" w:rsidR="00D73D20" w:rsidRPr="00615B0D" w:rsidRDefault="00D73D20">
            <w:pPr>
              <w:pStyle w:val="TableText0"/>
              <w:keepNext w:val="0"/>
              <w:widowControl w:val="0"/>
            </w:pPr>
            <w:r w:rsidRPr="00615B0D">
              <w:t>Economic analysis</w:t>
            </w:r>
          </w:p>
        </w:tc>
        <w:tc>
          <w:tcPr>
            <w:tcW w:w="1730" w:type="pct"/>
          </w:tcPr>
          <w:p w14:paraId="55FC2141" w14:textId="6536D092" w:rsidR="00D73D20" w:rsidRPr="008C0B2D" w:rsidRDefault="007A4DA4">
            <w:pPr>
              <w:pStyle w:val="TableText0"/>
              <w:keepNext w:val="0"/>
              <w:widowControl w:val="0"/>
            </w:pPr>
            <w:r w:rsidRPr="008C0B2D">
              <w:t xml:space="preserve">The economic analysis </w:t>
            </w:r>
            <w:r w:rsidR="00D73D20" w:rsidRPr="008C0B2D">
              <w:t xml:space="preserve">did not consider those previously vaccinated with ZVL (Para 7.8, </w:t>
            </w:r>
            <w:r w:rsidR="00811BEB" w:rsidRPr="008C0B2D">
              <w:t xml:space="preserve">RZV PSD, </w:t>
            </w:r>
            <w:r w:rsidR="00D73D20" w:rsidRPr="008C0B2D">
              <w:t>November 2018).</w:t>
            </w:r>
          </w:p>
        </w:tc>
        <w:tc>
          <w:tcPr>
            <w:tcW w:w="1859" w:type="pct"/>
          </w:tcPr>
          <w:p w14:paraId="44949799" w14:textId="59D765B4" w:rsidR="00D73D20" w:rsidRPr="008C0B2D" w:rsidRDefault="00467991" w:rsidP="00EE4C00">
            <w:pPr>
              <w:pStyle w:val="TableText0"/>
              <w:keepNext w:val="0"/>
              <w:widowControl w:val="0"/>
            </w:pPr>
            <w:r w:rsidRPr="00A65E17">
              <w:rPr>
                <w:iCs/>
              </w:rPr>
              <w:t>Individuals previously vaccinated with ZVL were not included in the base case analyses.</w:t>
            </w:r>
            <w:r>
              <w:t xml:space="preserve"> </w:t>
            </w:r>
            <w:r w:rsidR="00CC6B2D" w:rsidRPr="00A65E17">
              <w:rPr>
                <w:iCs/>
              </w:rPr>
              <w:t>A s</w:t>
            </w:r>
            <w:r w:rsidR="007A4DA4" w:rsidRPr="00A65E17">
              <w:rPr>
                <w:iCs/>
              </w:rPr>
              <w:t xml:space="preserve">cenario analysis </w:t>
            </w:r>
            <w:r w:rsidR="00CC6B2D" w:rsidRPr="00A65E17">
              <w:rPr>
                <w:iCs/>
              </w:rPr>
              <w:t>was</w:t>
            </w:r>
            <w:r w:rsidR="00CC6B2D" w:rsidRPr="008C0B2D">
              <w:t xml:space="preserve"> </w:t>
            </w:r>
            <w:r w:rsidR="008300F5" w:rsidRPr="008C0B2D">
              <w:t>presented</w:t>
            </w:r>
            <w:r>
              <w:t xml:space="preserve"> assessing the impact of prior ZVL vaccination</w:t>
            </w:r>
            <w:r w:rsidR="008300F5" w:rsidRPr="008C0B2D">
              <w:t xml:space="preserve"> for </w:t>
            </w:r>
            <w:r w:rsidR="00E777FF" w:rsidRPr="008C0B2D">
              <w:t>age cohorts</w:t>
            </w:r>
            <w:r w:rsidR="007A4DA4" w:rsidRPr="008C0B2D">
              <w:t xml:space="preserve">: </w:t>
            </w:r>
            <w:r w:rsidR="00E777FF" w:rsidRPr="008C0B2D">
              <w:t>70-79 and ≥</w:t>
            </w:r>
            <w:r w:rsidR="007A4DA4" w:rsidRPr="008C0B2D">
              <w:t xml:space="preserve"> </w:t>
            </w:r>
            <w:r w:rsidR="00E777FF" w:rsidRPr="008C0B2D">
              <w:t>80 YOA (</w:t>
            </w:r>
            <w:r w:rsidR="008831C7" w:rsidRPr="008C0B2D">
              <w:t xml:space="preserve">Aboriginal and Torres Strait Islander </w:t>
            </w:r>
            <w:r w:rsidR="00E777FF" w:rsidRPr="008C0B2D">
              <w:t xml:space="preserve">and non-Indigenous </w:t>
            </w:r>
            <w:r w:rsidR="008831C7" w:rsidRPr="008C0B2D">
              <w:t xml:space="preserve">populations </w:t>
            </w:r>
            <w:r w:rsidR="00E777FF" w:rsidRPr="008C0B2D">
              <w:t>separately</w:t>
            </w:r>
            <w:r w:rsidR="007A4DA4" w:rsidRPr="008C0B2D">
              <w:t>)</w:t>
            </w:r>
            <w:r w:rsidR="007A4DA4" w:rsidRPr="00A65E17">
              <w:rPr>
                <w:iCs/>
              </w:rPr>
              <w:t>.</w:t>
            </w:r>
            <w:r w:rsidR="008C0B2D" w:rsidRPr="00A65E17">
              <w:rPr>
                <w:iCs/>
              </w:rPr>
              <w:t xml:space="preserve"> </w:t>
            </w:r>
          </w:p>
        </w:tc>
      </w:tr>
      <w:tr w:rsidR="00D73D20" w:rsidRPr="00615B0D" w14:paraId="33934E35" w14:textId="77777777" w:rsidTr="00C479BD">
        <w:trPr>
          <w:cantSplit/>
        </w:trPr>
        <w:tc>
          <w:tcPr>
            <w:tcW w:w="1412" w:type="pct"/>
            <w:vAlign w:val="center"/>
          </w:tcPr>
          <w:p w14:paraId="7E301F5B" w14:textId="77777777" w:rsidR="00D73D20" w:rsidRPr="00615B0D" w:rsidRDefault="00D73D20">
            <w:pPr>
              <w:pStyle w:val="TableText0"/>
              <w:keepNext w:val="0"/>
              <w:widowControl w:val="0"/>
            </w:pPr>
            <w:r w:rsidRPr="00615B0D">
              <w:t>Incidence rates of HZ and PHN</w:t>
            </w:r>
          </w:p>
        </w:tc>
        <w:tc>
          <w:tcPr>
            <w:tcW w:w="1730" w:type="pct"/>
          </w:tcPr>
          <w:p w14:paraId="172FEA63" w14:textId="311A6E9C" w:rsidR="00D73D20" w:rsidRPr="008C0B2D" w:rsidRDefault="00D73D20">
            <w:pPr>
              <w:pStyle w:val="TableText0"/>
              <w:keepNext w:val="0"/>
              <w:widowControl w:val="0"/>
            </w:pPr>
            <w:r w:rsidRPr="008C0B2D">
              <w:t>The PBAC considered a more conservative estimate than</w:t>
            </w:r>
            <w:r w:rsidR="00E711C4" w:rsidRPr="008C0B2D">
              <w:t xml:space="preserve"> the </w:t>
            </w:r>
            <w:r w:rsidRPr="008C0B2D">
              <w:t xml:space="preserve">BEACH </w:t>
            </w:r>
            <w:r w:rsidR="00E711C4" w:rsidRPr="008C0B2D">
              <w:t>data</w:t>
            </w:r>
            <w:r w:rsidR="008871F2">
              <w:t xml:space="preserve"> should be used</w:t>
            </w:r>
            <w:r w:rsidR="000B6FF8">
              <w:t xml:space="preserve"> </w:t>
            </w:r>
            <w:r w:rsidRPr="008C0B2D">
              <w:t xml:space="preserve">(Para 7.9, </w:t>
            </w:r>
            <w:r w:rsidR="00811BEB" w:rsidRPr="008C0B2D">
              <w:t xml:space="preserve">RZV PSD, </w:t>
            </w:r>
            <w:r w:rsidRPr="008C0B2D">
              <w:t>November 2018).</w:t>
            </w:r>
          </w:p>
        </w:tc>
        <w:tc>
          <w:tcPr>
            <w:tcW w:w="1859" w:type="pct"/>
          </w:tcPr>
          <w:p w14:paraId="243F830D" w14:textId="64A5F386" w:rsidR="00D73D20" w:rsidRPr="008C0B2D" w:rsidRDefault="00E711C4">
            <w:pPr>
              <w:pStyle w:val="TableText0"/>
              <w:keepNext w:val="0"/>
              <w:widowControl w:val="0"/>
            </w:pPr>
            <w:r w:rsidRPr="008C0B2D">
              <w:t>The</w:t>
            </w:r>
            <w:r w:rsidR="00BA6CA1">
              <w:t xml:space="preserve"> base case model used the</w:t>
            </w:r>
            <w:r w:rsidRPr="008C0B2D">
              <w:t xml:space="preserve"> </w:t>
            </w:r>
            <w:r w:rsidR="00D73D20" w:rsidRPr="008C0B2D">
              <w:t xml:space="preserve">BEACH </w:t>
            </w:r>
            <w:r w:rsidRPr="008C0B2D">
              <w:t xml:space="preserve">data </w:t>
            </w:r>
            <w:r w:rsidR="00CC6B2D" w:rsidRPr="008C0B2D">
              <w:t xml:space="preserve">(MacIntyre, 2015) </w:t>
            </w:r>
            <w:r w:rsidR="00BA6CA1">
              <w:t xml:space="preserve">with </w:t>
            </w:r>
            <w:r w:rsidR="00D73D20" w:rsidRPr="008C0B2D">
              <w:t>an updated source (Qian, 2021a) used</w:t>
            </w:r>
            <w:r w:rsidR="00BA6CA1">
              <w:t xml:space="preserve"> in sensitivity analyses. </w:t>
            </w:r>
          </w:p>
        </w:tc>
      </w:tr>
      <w:tr w:rsidR="00D73D20" w:rsidRPr="00615B0D" w14:paraId="61A7C32B" w14:textId="77777777" w:rsidTr="00C479BD">
        <w:trPr>
          <w:cantSplit/>
        </w:trPr>
        <w:tc>
          <w:tcPr>
            <w:tcW w:w="1412" w:type="pct"/>
            <w:vAlign w:val="center"/>
          </w:tcPr>
          <w:p w14:paraId="352C21D8" w14:textId="77777777" w:rsidR="00D73D20" w:rsidRPr="00615B0D" w:rsidRDefault="00D73D20">
            <w:pPr>
              <w:pStyle w:val="TableText0"/>
              <w:keepNext w:val="0"/>
              <w:widowControl w:val="0"/>
            </w:pPr>
            <w:r w:rsidRPr="00615B0D">
              <w:t>Waning rate of vaccine efficacy</w:t>
            </w:r>
          </w:p>
        </w:tc>
        <w:tc>
          <w:tcPr>
            <w:tcW w:w="1730" w:type="pct"/>
          </w:tcPr>
          <w:p w14:paraId="791B2618" w14:textId="697913AC" w:rsidR="00D73D20" w:rsidRPr="008C0B2D" w:rsidRDefault="00E711C4">
            <w:pPr>
              <w:pStyle w:val="TableText0"/>
              <w:keepNext w:val="0"/>
              <w:widowControl w:val="0"/>
            </w:pPr>
            <w:r w:rsidRPr="00A65E17">
              <w:rPr>
                <w:iCs/>
              </w:rPr>
              <w:t xml:space="preserve">The PBAC noted that the vaccine efficacy </w:t>
            </w:r>
            <w:r w:rsidR="008871F2" w:rsidRPr="00A65E17">
              <w:rPr>
                <w:iCs/>
              </w:rPr>
              <w:t xml:space="preserve">was assumed to </w:t>
            </w:r>
            <w:r w:rsidRPr="00A65E17">
              <w:rPr>
                <w:iCs/>
              </w:rPr>
              <w:t xml:space="preserve">decline slowly over time </w:t>
            </w:r>
            <w:r w:rsidRPr="0020306C">
              <w:t>(</w:t>
            </w:r>
            <w:r w:rsidR="008223FA">
              <w:t xml:space="preserve">with </w:t>
            </w:r>
            <w:r w:rsidR="000B6FF8" w:rsidRPr="00A65E17">
              <w:rPr>
                <w:iCs/>
              </w:rPr>
              <w:t>50% loss of efficacy after approximately 19 years and</w:t>
            </w:r>
            <w:r w:rsidR="000B6FF8">
              <w:t xml:space="preserve"> </w:t>
            </w:r>
            <w:r w:rsidRPr="0020306C">
              <w:t>a</w:t>
            </w:r>
            <w:r w:rsidRPr="008C0B2D">
              <w:t xml:space="preserve"> c</w:t>
            </w:r>
            <w:r w:rsidR="00D73D20" w:rsidRPr="008C0B2D">
              <w:t>omplete loss of efficacy after</w:t>
            </w:r>
            <w:r w:rsidR="008871F2">
              <w:t xml:space="preserve"> approximately</w:t>
            </w:r>
            <w:r w:rsidR="00D73D20" w:rsidRPr="008C0B2D">
              <w:t xml:space="preserve"> 33 years</w:t>
            </w:r>
            <w:r w:rsidRPr="008C0B2D">
              <w:t>)</w:t>
            </w:r>
            <w:r w:rsidR="00D73D20" w:rsidRPr="008C0B2D">
              <w:t xml:space="preserve">. The PBAC considered that the duration of protection assumptions was uncertain and optimistic and </w:t>
            </w:r>
            <w:r w:rsidRPr="008C0B2D">
              <w:t xml:space="preserve">a </w:t>
            </w:r>
            <w:r w:rsidR="00D73D20" w:rsidRPr="008C0B2D">
              <w:t xml:space="preserve">more conservative assumption would be appropriate (Para 7.10, </w:t>
            </w:r>
            <w:r w:rsidR="00811BEB" w:rsidRPr="008C0B2D">
              <w:t xml:space="preserve">RZV PSD, </w:t>
            </w:r>
            <w:r w:rsidR="00D73D20" w:rsidRPr="008C0B2D">
              <w:t>November 2018).</w:t>
            </w:r>
          </w:p>
        </w:tc>
        <w:tc>
          <w:tcPr>
            <w:tcW w:w="1859" w:type="pct"/>
          </w:tcPr>
          <w:p w14:paraId="219163A0" w14:textId="26C14FD3" w:rsidR="00D73D20" w:rsidRPr="008C0B2D" w:rsidRDefault="00546098">
            <w:pPr>
              <w:pStyle w:val="TableText0"/>
              <w:keepNext w:val="0"/>
              <w:widowControl w:val="0"/>
            </w:pPr>
            <w:r w:rsidRPr="004E20BC">
              <w:t xml:space="preserve"> </w:t>
            </w:r>
            <w:r w:rsidRPr="00A65E17">
              <w:rPr>
                <w:iCs/>
              </w:rPr>
              <w:t xml:space="preserve">The previous PBAC submission relied on long-term extrapolation of RZV VE from the ZOE-50/-70 trials with a mean follow-up of 3.2 and 3.7 </w:t>
            </w:r>
            <w:r w:rsidRPr="006E790F">
              <w:rPr>
                <w:iCs/>
              </w:rPr>
              <w:t>years, respectively.</w:t>
            </w:r>
            <w:r w:rsidR="00644DA5" w:rsidRPr="006E790F">
              <w:rPr>
                <w:iCs/>
              </w:rPr>
              <w:t xml:space="preserve"> </w:t>
            </w:r>
            <w:r w:rsidRPr="006E790F">
              <w:rPr>
                <w:iCs/>
              </w:rPr>
              <w:t xml:space="preserve">The resubmission used data from a long term follow up study with a mean follow-up of 7.1 years. </w:t>
            </w:r>
            <w:r w:rsidR="00D73D20" w:rsidRPr="006E790F">
              <w:t xml:space="preserve"> </w:t>
            </w:r>
          </w:p>
        </w:tc>
      </w:tr>
      <w:tr w:rsidR="00D73D20" w:rsidRPr="00615B0D" w14:paraId="2E05C4D9" w14:textId="77777777" w:rsidTr="00C479BD">
        <w:trPr>
          <w:cantSplit/>
        </w:trPr>
        <w:tc>
          <w:tcPr>
            <w:tcW w:w="1412" w:type="pct"/>
            <w:vAlign w:val="center"/>
          </w:tcPr>
          <w:p w14:paraId="7BF744D9" w14:textId="77777777" w:rsidR="00D73D20" w:rsidRPr="00615B0D" w:rsidRDefault="00D73D20">
            <w:pPr>
              <w:pStyle w:val="TableText0"/>
              <w:keepNext w:val="0"/>
              <w:widowControl w:val="0"/>
            </w:pPr>
            <w:r w:rsidRPr="00615B0D">
              <w:lastRenderedPageBreak/>
              <w:t>Recommended base case</w:t>
            </w:r>
          </w:p>
        </w:tc>
        <w:tc>
          <w:tcPr>
            <w:tcW w:w="1730" w:type="pct"/>
          </w:tcPr>
          <w:p w14:paraId="48117C0C" w14:textId="4600C0C6" w:rsidR="00C479BD" w:rsidRPr="008C0B2D" w:rsidRDefault="00C479BD">
            <w:pPr>
              <w:pStyle w:val="TableText0"/>
              <w:keepNext w:val="0"/>
              <w:widowControl w:val="0"/>
            </w:pPr>
            <w:r w:rsidRPr="00A65E17">
              <w:rPr>
                <w:iCs/>
              </w:rPr>
              <w:t>The PBAC considered that the economic model included in any future resubmission should</w:t>
            </w:r>
            <w:r w:rsidRPr="008C0B2D">
              <w:t xml:space="preserve"> </w:t>
            </w:r>
            <w:r w:rsidR="00D73D20" w:rsidRPr="008C0B2D">
              <w:t>enable comparison of vaccinating at different ages, re-vaccinating</w:t>
            </w:r>
            <w:r w:rsidR="00206598" w:rsidRPr="008C0B2D">
              <w:t xml:space="preserve"> </w:t>
            </w:r>
            <w:r w:rsidR="00206598" w:rsidRPr="00A65E17">
              <w:rPr>
                <w:iCs/>
              </w:rPr>
              <w:t>following vaccination with ZVL</w:t>
            </w:r>
            <w:r w:rsidR="00D73D20" w:rsidRPr="008C0B2D">
              <w:t>, and conservative assumptions around</w:t>
            </w:r>
            <w:r w:rsidRPr="008C0B2D">
              <w:t>:</w:t>
            </w:r>
            <w:r w:rsidR="00D73D20" w:rsidRPr="008C0B2D">
              <w:t xml:space="preserve"> </w:t>
            </w:r>
          </w:p>
          <w:p w14:paraId="4283272D" w14:textId="25F04C24" w:rsidR="00C479BD" w:rsidRPr="008C0B2D" w:rsidRDefault="00C479BD">
            <w:pPr>
              <w:pStyle w:val="TableText0"/>
              <w:keepNext w:val="0"/>
              <w:widowControl w:val="0"/>
            </w:pPr>
            <w:r w:rsidRPr="008C0B2D">
              <w:t xml:space="preserve">- </w:t>
            </w:r>
            <w:r w:rsidR="00D73D20" w:rsidRPr="008C0B2D">
              <w:t>incidence of HZ and PHN</w:t>
            </w:r>
            <w:r w:rsidRPr="008C0B2D">
              <w:t xml:space="preserve"> </w:t>
            </w:r>
            <w:r w:rsidRPr="00A65E17">
              <w:rPr>
                <w:iCs/>
              </w:rPr>
              <w:t>without vaccination;</w:t>
            </w:r>
          </w:p>
          <w:p w14:paraId="70335FA7" w14:textId="0EA5BD40" w:rsidR="00C479BD" w:rsidRPr="008C0B2D" w:rsidRDefault="00C479BD">
            <w:pPr>
              <w:pStyle w:val="TableText0"/>
              <w:keepNext w:val="0"/>
              <w:widowControl w:val="0"/>
            </w:pPr>
            <w:r w:rsidRPr="008C0B2D">
              <w:t>-</w:t>
            </w:r>
            <w:r w:rsidR="00D73D20" w:rsidRPr="008C0B2D">
              <w:t xml:space="preserve"> rate of waning</w:t>
            </w:r>
            <w:r w:rsidRPr="008C0B2D">
              <w:t xml:space="preserve"> </w:t>
            </w:r>
            <w:r w:rsidRPr="00A65E17">
              <w:rPr>
                <w:iCs/>
              </w:rPr>
              <w:t>used from Year 5;</w:t>
            </w:r>
            <w:r w:rsidRPr="008C0B2D">
              <w:t xml:space="preserve"> and </w:t>
            </w:r>
          </w:p>
          <w:p w14:paraId="58193F2D" w14:textId="53A018BE" w:rsidR="00D73D20" w:rsidRPr="008C0B2D" w:rsidRDefault="00C479BD">
            <w:pPr>
              <w:pStyle w:val="TableText0"/>
              <w:keepNext w:val="0"/>
              <w:widowControl w:val="0"/>
            </w:pPr>
            <w:r w:rsidRPr="008C0B2D">
              <w:t xml:space="preserve">- </w:t>
            </w:r>
            <w:r w:rsidR="000B6FF8" w:rsidRPr="00A65E17">
              <w:rPr>
                <w:iCs/>
              </w:rPr>
              <w:t>The proportion of individuals receiving both doses of RZV and the vaccine efficacy associated with receiving one dose only</w:t>
            </w:r>
            <w:r w:rsidR="000B6FF8" w:rsidRPr="000B6FF8">
              <w:t xml:space="preserve"> </w:t>
            </w:r>
            <w:r w:rsidR="00D73D20" w:rsidRPr="008C0B2D">
              <w:t xml:space="preserve">(Para 7.12, </w:t>
            </w:r>
            <w:r w:rsidR="00811BEB" w:rsidRPr="008C0B2D">
              <w:t xml:space="preserve">RZV PSD, </w:t>
            </w:r>
            <w:r w:rsidR="00D73D20" w:rsidRPr="008C0B2D">
              <w:t>November 2018).</w:t>
            </w:r>
          </w:p>
        </w:tc>
        <w:tc>
          <w:tcPr>
            <w:tcW w:w="1859" w:type="pct"/>
          </w:tcPr>
          <w:p w14:paraId="5B999569" w14:textId="29E940C4" w:rsidR="00D73D20" w:rsidRPr="008C0B2D" w:rsidRDefault="00D73D20">
            <w:pPr>
              <w:pStyle w:val="TableText0"/>
              <w:keepNext w:val="0"/>
              <w:widowControl w:val="0"/>
            </w:pPr>
            <w:r w:rsidRPr="008C0B2D">
              <w:t>The model has been amended to allow for comparison of different ages</w:t>
            </w:r>
            <w:r w:rsidR="00206598" w:rsidRPr="008C0B2D">
              <w:t xml:space="preserve"> </w:t>
            </w:r>
            <w:r w:rsidR="00206598" w:rsidRPr="00A65E17">
              <w:rPr>
                <w:iCs/>
              </w:rPr>
              <w:t>and re-vaccination following vaccination with ZVL</w:t>
            </w:r>
            <w:r w:rsidRPr="008C0B2D">
              <w:t xml:space="preserve">. </w:t>
            </w:r>
            <w:r w:rsidR="00153375" w:rsidRPr="008C0B2D">
              <w:t>However, the i</w:t>
            </w:r>
            <w:r w:rsidRPr="008C0B2D">
              <w:t xml:space="preserve">nputs selected </w:t>
            </w:r>
            <w:r w:rsidR="003E0C6A" w:rsidRPr="008C0B2D">
              <w:t xml:space="preserve">relating to </w:t>
            </w:r>
            <w:r w:rsidR="001904DF" w:rsidRPr="008C0B2D">
              <w:t>incidence of HZ and PHN</w:t>
            </w:r>
            <w:r w:rsidR="000B6FF8">
              <w:t xml:space="preserve">, </w:t>
            </w:r>
            <w:r w:rsidR="00290F18" w:rsidRPr="008C0B2D">
              <w:t xml:space="preserve">waning rates </w:t>
            </w:r>
            <w:r w:rsidR="000B6FF8" w:rsidRPr="00A65E17">
              <w:rPr>
                <w:iCs/>
              </w:rPr>
              <w:t>and vaccine efficacy after receiving one dose only</w:t>
            </w:r>
            <w:r w:rsidR="000B6FF8">
              <w:t xml:space="preserve"> </w:t>
            </w:r>
            <w:r w:rsidR="008223FA" w:rsidRPr="00A65E17">
              <w:rPr>
                <w:iCs/>
              </w:rPr>
              <w:t>may not be</w:t>
            </w:r>
            <w:r w:rsidR="008223FA">
              <w:t xml:space="preserve"> </w:t>
            </w:r>
            <w:r w:rsidRPr="008C0B2D">
              <w:t>conservative</w:t>
            </w:r>
            <w:r w:rsidR="00206598" w:rsidRPr="008C0B2D">
              <w:t>.</w:t>
            </w:r>
          </w:p>
        </w:tc>
      </w:tr>
    </w:tbl>
    <w:p w14:paraId="2E5D7B4B" w14:textId="15A95E85" w:rsidR="00D73D20" w:rsidRDefault="00D73D20" w:rsidP="00D73D20">
      <w:pPr>
        <w:pStyle w:val="FooterTableFigure"/>
        <w:widowControl w:val="0"/>
      </w:pPr>
      <w:r w:rsidRPr="00AD7238">
        <w:t xml:space="preserve">Source: Compiled during the evaluation from information sourced Table 1.1, p21-22 of the </w:t>
      </w:r>
      <w:r w:rsidR="00815FA2" w:rsidRPr="00AD7238">
        <w:t>re</w:t>
      </w:r>
      <w:r w:rsidRPr="00AD7238">
        <w:t xml:space="preserve">submission </w:t>
      </w:r>
    </w:p>
    <w:p w14:paraId="1D9BD030" w14:textId="54DB1538" w:rsidR="00F60A99" w:rsidRPr="00AD7238" w:rsidRDefault="00CC6B2D" w:rsidP="00D73D20">
      <w:pPr>
        <w:pStyle w:val="FooterTableFigure"/>
        <w:widowControl w:val="0"/>
      </w:pPr>
      <w:r w:rsidRPr="00AD7238">
        <w:t>BEACH</w:t>
      </w:r>
      <w:r w:rsidR="00D041A0">
        <w:t xml:space="preserve"> =</w:t>
      </w:r>
      <w:r w:rsidRPr="00AD7238">
        <w:t xml:space="preserve"> Bettering the Evaluation and Care of Health dataset</w:t>
      </w:r>
      <w:r>
        <w:t xml:space="preserve">; </w:t>
      </w:r>
      <w:r w:rsidR="00F60A99">
        <w:t>HZ</w:t>
      </w:r>
      <w:r w:rsidR="00D041A0">
        <w:t xml:space="preserve"> = </w:t>
      </w:r>
      <w:r w:rsidR="00F60A99">
        <w:t xml:space="preserve">herpes zoster; </w:t>
      </w:r>
      <w:r w:rsidR="00761C9A">
        <w:t xml:space="preserve">NIP, National Immunisation Program; </w:t>
      </w:r>
      <w:r w:rsidR="00F60A99">
        <w:t>PHN</w:t>
      </w:r>
      <w:r w:rsidR="00D041A0">
        <w:t xml:space="preserve"> =</w:t>
      </w:r>
      <w:r w:rsidR="00F60A99">
        <w:t xml:space="preserve"> post-herpetic neuralgia; PSD</w:t>
      </w:r>
      <w:r w:rsidR="00D041A0">
        <w:t xml:space="preserve"> =</w:t>
      </w:r>
      <w:r w:rsidR="00F60A99">
        <w:t xml:space="preserve"> public summary document; </w:t>
      </w:r>
      <w:r w:rsidR="00D041A0">
        <w:t xml:space="preserve">RZV = </w:t>
      </w:r>
      <w:r w:rsidR="00D041A0" w:rsidRPr="008C0B2D">
        <w:t>varicella zoster virus recombinant vaccine</w:t>
      </w:r>
      <w:r w:rsidR="00D041A0">
        <w:t>;</w:t>
      </w:r>
      <w:r w:rsidR="00D041A0" w:rsidRPr="008C0B2D">
        <w:t xml:space="preserve"> </w:t>
      </w:r>
      <w:r w:rsidR="00F60A99">
        <w:t>YOA</w:t>
      </w:r>
      <w:r w:rsidR="00D041A0">
        <w:t xml:space="preserve"> =</w:t>
      </w:r>
      <w:r w:rsidR="00F60A99">
        <w:t xml:space="preserve"> years of age</w:t>
      </w:r>
      <w:r w:rsidR="00D041A0">
        <w:t xml:space="preserve">; </w:t>
      </w:r>
      <w:r w:rsidR="00D041A0" w:rsidRPr="008C0B2D">
        <w:t>ZVL</w:t>
      </w:r>
      <w:r w:rsidR="00D041A0">
        <w:t xml:space="preserve"> =</w:t>
      </w:r>
      <w:r w:rsidR="00D041A0" w:rsidRPr="00D041A0">
        <w:t xml:space="preserve"> </w:t>
      </w:r>
      <w:r w:rsidR="00D041A0" w:rsidRPr="00AD7238">
        <w:t>live zoster vaccine</w:t>
      </w:r>
    </w:p>
    <w:p w14:paraId="534FCA81" w14:textId="77777777" w:rsidR="00D73D20" w:rsidRPr="00AD7238" w:rsidRDefault="00D73D20" w:rsidP="00D73D20">
      <w:pPr>
        <w:pStyle w:val="2-SectionHeading"/>
      </w:pPr>
      <w:bookmarkStart w:id="11" w:name="_Toc107902078"/>
      <w:bookmarkStart w:id="12" w:name="_Toc124949408"/>
      <w:bookmarkEnd w:id="11"/>
      <w:r w:rsidRPr="00AD7238">
        <w:t>Requested listing</w:t>
      </w:r>
      <w:bookmarkEnd w:id="12"/>
    </w:p>
    <w:tbl>
      <w:tblPr>
        <w:tblW w:w="0" w:type="auto"/>
        <w:tblInd w:w="-8" w:type="dxa"/>
        <w:tblLayout w:type="fixed"/>
        <w:tblLook w:val="0000" w:firstRow="0" w:lastRow="0" w:firstColumn="0" w:lastColumn="0" w:noHBand="0" w:noVBand="0"/>
      </w:tblPr>
      <w:tblGrid>
        <w:gridCol w:w="1740"/>
        <w:gridCol w:w="3765"/>
        <w:gridCol w:w="1425"/>
        <w:gridCol w:w="1035"/>
        <w:gridCol w:w="1035"/>
      </w:tblGrid>
      <w:tr w:rsidR="00D73D20" w:rsidRPr="00AD7238" w14:paraId="7C33EAD9" w14:textId="77777777">
        <w:trPr>
          <w:trHeight w:val="450"/>
        </w:trPr>
        <w:tc>
          <w:tcPr>
            <w:tcW w:w="5505" w:type="dxa"/>
            <w:gridSpan w:val="2"/>
            <w:tcBorders>
              <w:top w:val="single" w:sz="6" w:space="0" w:color="auto"/>
              <w:bottom w:val="single" w:sz="6" w:space="0" w:color="auto"/>
            </w:tcBorders>
            <w:vAlign w:val="center"/>
          </w:tcPr>
          <w:p w14:paraId="3718A409" w14:textId="77777777" w:rsidR="00D73D20" w:rsidRPr="00AD7238" w:rsidRDefault="00D73D20">
            <w:pP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Name, Restriction,</w:t>
            </w:r>
          </w:p>
          <w:p w14:paraId="4759B9B2" w14:textId="77777777" w:rsidR="00D73D20" w:rsidRPr="00AD7238" w:rsidRDefault="00D73D20">
            <w:pP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Manner of administration and form</w:t>
            </w:r>
          </w:p>
        </w:tc>
        <w:tc>
          <w:tcPr>
            <w:tcW w:w="1425" w:type="dxa"/>
            <w:tcBorders>
              <w:top w:val="single" w:sz="6" w:space="0" w:color="auto"/>
              <w:bottom w:val="single" w:sz="6" w:space="0" w:color="auto"/>
            </w:tcBorders>
            <w:vAlign w:val="center"/>
          </w:tcPr>
          <w:p w14:paraId="5835C5FE" w14:textId="5644EAE4" w:rsidR="00D73D20" w:rsidRPr="00AD7238" w:rsidRDefault="002A5C83">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Price requested by sponsor</w:t>
            </w:r>
          </w:p>
        </w:tc>
        <w:tc>
          <w:tcPr>
            <w:tcW w:w="2070" w:type="dxa"/>
            <w:gridSpan w:val="2"/>
            <w:tcBorders>
              <w:top w:val="single" w:sz="6" w:space="0" w:color="auto"/>
              <w:bottom w:val="single" w:sz="6" w:space="0" w:color="auto"/>
            </w:tcBorders>
            <w:vAlign w:val="center"/>
          </w:tcPr>
          <w:p w14:paraId="21F9836F" w14:textId="77777777" w:rsidR="00D73D20" w:rsidRPr="00AD7238" w:rsidRDefault="00D73D20">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Proprietary Name and Manufacturer</w:t>
            </w:r>
          </w:p>
        </w:tc>
      </w:tr>
      <w:tr w:rsidR="00D73D20" w:rsidRPr="00AD7238" w14:paraId="62FD8486" w14:textId="77777777" w:rsidTr="00493A68">
        <w:trPr>
          <w:trHeight w:val="861"/>
        </w:trPr>
        <w:tc>
          <w:tcPr>
            <w:tcW w:w="5505" w:type="dxa"/>
            <w:gridSpan w:val="2"/>
            <w:tcBorders>
              <w:top w:val="single" w:sz="6" w:space="0" w:color="auto"/>
              <w:bottom w:val="single" w:sz="6" w:space="0" w:color="auto"/>
            </w:tcBorders>
            <w:vAlign w:val="center"/>
          </w:tcPr>
          <w:p w14:paraId="6EC58981" w14:textId="77777777" w:rsidR="00D73D20" w:rsidRPr="00AD7238" w:rsidRDefault="00D73D20">
            <w:pPr>
              <w:pStyle w:val="TableText0"/>
              <w:keepLines/>
              <w:rPr>
                <w:color w:val="0066FF"/>
                <w:szCs w:val="20"/>
              </w:rPr>
            </w:pPr>
            <w:r w:rsidRPr="00AD7238">
              <w:rPr>
                <w:szCs w:val="20"/>
              </w:rPr>
              <w:t>Recombinant Varicella Zoster Virus Glycoprotein E Antigen (AS01</w:t>
            </w:r>
            <w:r w:rsidRPr="00AD7238">
              <w:rPr>
                <w:szCs w:val="20"/>
                <w:vertAlign w:val="subscript"/>
              </w:rPr>
              <w:t xml:space="preserve">B </w:t>
            </w:r>
            <w:r w:rsidRPr="00AD7238">
              <w:rPr>
                <w:szCs w:val="20"/>
              </w:rPr>
              <w:t xml:space="preserve">Adjuvanted) Vaccine; powder and suspension for injection, 0.5 mL; </w:t>
            </w:r>
            <w:r w:rsidRPr="00615B0D">
              <w:rPr>
                <w:iCs/>
                <w:szCs w:val="20"/>
              </w:rPr>
              <w:t>Shingrix</w:t>
            </w:r>
            <w:r w:rsidRPr="00AD7238">
              <w:rPr>
                <w:szCs w:val="20"/>
                <w:vertAlign w:val="superscript"/>
              </w:rPr>
              <w:t>®</w:t>
            </w:r>
            <w:r w:rsidRPr="00AD7238">
              <w:rPr>
                <w:szCs w:val="20"/>
              </w:rPr>
              <w:t xml:space="preserve"> GSK</w:t>
            </w:r>
          </w:p>
          <w:p w14:paraId="2B3911AD" w14:textId="77777777" w:rsidR="00D73D20" w:rsidRPr="00AD7238" w:rsidRDefault="00D73D20">
            <w:pPr>
              <w:rPr>
                <w:rFonts w:ascii="Arial Narrow" w:eastAsia="Arial Narrow" w:hAnsi="Arial Narrow" w:cs="Arial Narrow"/>
                <w:color w:val="000000" w:themeColor="text1"/>
                <w:sz w:val="20"/>
                <w:szCs w:val="20"/>
              </w:rPr>
            </w:pPr>
          </w:p>
        </w:tc>
        <w:tc>
          <w:tcPr>
            <w:tcW w:w="1425" w:type="dxa"/>
            <w:vAlign w:val="center"/>
          </w:tcPr>
          <w:p w14:paraId="4767DE68" w14:textId="4A48D184" w:rsidR="00D73D20" w:rsidRPr="00AD7238" w:rsidRDefault="00D73D20">
            <w:pPr>
              <w:pStyle w:val="Tabletext"/>
              <w:jc w:val="center"/>
              <w:rPr>
                <w:rFonts w:eastAsia="Arial Narrow" w:cs="Arial Narrow"/>
                <w:color w:val="000000" w:themeColor="text1"/>
                <w:szCs w:val="20"/>
              </w:rPr>
            </w:pPr>
            <w:r w:rsidRPr="00AD7238">
              <w:t>$</w:t>
            </w:r>
            <w:r w:rsidR="00BA039D" w:rsidRPr="00BA039D">
              <w:rPr>
                <w:color w:val="000000"/>
                <w:spacing w:val="48"/>
                <w:shd w:val="solid" w:color="000000" w:fill="000000"/>
                <w:fitText w:val="316" w:id="-1233442559"/>
                <w14:textFill>
                  <w14:solidFill>
                    <w14:srgbClr w14:val="000000">
                      <w14:alpha w14:val="100000"/>
                    </w14:srgbClr>
                  </w14:solidFill>
                </w14:textFill>
              </w:rPr>
              <w:t>|||</w:t>
            </w:r>
            <w:r w:rsidR="00BA039D" w:rsidRPr="00BA039D">
              <w:rPr>
                <w:color w:val="000000"/>
                <w:spacing w:val="2"/>
                <w:shd w:val="solid" w:color="000000" w:fill="000000"/>
                <w:fitText w:val="316" w:id="-1233442559"/>
                <w14:textFill>
                  <w14:solidFill>
                    <w14:srgbClr w14:val="000000">
                      <w14:alpha w14:val="100000"/>
                    </w14:srgbClr>
                  </w14:solidFill>
                </w14:textFill>
              </w:rPr>
              <w:t>|</w:t>
            </w:r>
          </w:p>
        </w:tc>
        <w:tc>
          <w:tcPr>
            <w:tcW w:w="1035" w:type="dxa"/>
            <w:tcBorders>
              <w:top w:val="single" w:sz="6" w:space="0" w:color="auto"/>
              <w:bottom w:val="single" w:sz="6" w:space="0" w:color="auto"/>
            </w:tcBorders>
            <w:vAlign w:val="center"/>
          </w:tcPr>
          <w:p w14:paraId="76CC1D56" w14:textId="77777777" w:rsidR="00D73D20" w:rsidRPr="00AD7238" w:rsidRDefault="00D73D20">
            <w:pPr>
              <w:jc w:val="left"/>
              <w:rPr>
                <w:rFonts w:ascii="Arial Narrow" w:eastAsia="Arial Narrow" w:hAnsi="Arial Narrow" w:cs="Arial Narrow"/>
                <w:color w:val="000000" w:themeColor="text1"/>
                <w:sz w:val="20"/>
                <w:szCs w:val="20"/>
              </w:rPr>
            </w:pPr>
            <w:r w:rsidRPr="00AD7238">
              <w:rPr>
                <w:rFonts w:ascii="Arial Narrow" w:eastAsia="Arial Narrow" w:hAnsi="Arial Narrow" w:cs="Arial Narrow"/>
                <w:color w:val="000000" w:themeColor="text1"/>
                <w:sz w:val="20"/>
                <w:szCs w:val="20"/>
              </w:rPr>
              <w:t xml:space="preserve">Shingrix® </w:t>
            </w:r>
          </w:p>
        </w:tc>
        <w:tc>
          <w:tcPr>
            <w:tcW w:w="1035" w:type="dxa"/>
            <w:tcBorders>
              <w:top w:val="single" w:sz="6" w:space="0" w:color="auto"/>
              <w:bottom w:val="single" w:sz="6" w:space="0" w:color="auto"/>
            </w:tcBorders>
            <w:vAlign w:val="center"/>
          </w:tcPr>
          <w:p w14:paraId="0F8E591E" w14:textId="77777777" w:rsidR="00D73D20" w:rsidRPr="00AD7238" w:rsidRDefault="00D73D20">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color w:val="000000" w:themeColor="text1"/>
                <w:sz w:val="20"/>
                <w:szCs w:val="20"/>
              </w:rPr>
              <w:t>GSK</w:t>
            </w:r>
          </w:p>
        </w:tc>
      </w:tr>
      <w:tr w:rsidR="00D73D20" w:rsidRPr="00AD7238" w14:paraId="6DAFF8C4" w14:textId="77777777">
        <w:trPr>
          <w:trHeight w:val="15"/>
        </w:trPr>
        <w:tc>
          <w:tcPr>
            <w:tcW w:w="1740" w:type="dxa"/>
            <w:tcBorders>
              <w:top w:val="single" w:sz="6" w:space="0" w:color="auto"/>
              <w:left w:val="single" w:sz="6" w:space="0" w:color="auto"/>
              <w:bottom w:val="single" w:sz="6" w:space="0" w:color="auto"/>
              <w:right w:val="single" w:sz="6" w:space="0" w:color="auto"/>
            </w:tcBorders>
          </w:tcPr>
          <w:p w14:paraId="32D20476" w14:textId="0FB7963A" w:rsidR="00D73D20" w:rsidRPr="00AD7238" w:rsidRDefault="00D73D20">
            <w:pPr>
              <w:pStyle w:val="Tabletext"/>
              <w:rPr>
                <w:rFonts w:eastAsia="Arial Narrow" w:cs="Arial Narrow"/>
                <w:b/>
                <w:color w:val="000000" w:themeColor="text1"/>
                <w:szCs w:val="20"/>
              </w:rPr>
            </w:pPr>
            <w:r w:rsidRPr="00AD7238">
              <w:rPr>
                <w:rFonts w:eastAsia="Arial Narrow" w:cs="Arial Narrow"/>
                <w:b/>
                <w:color w:val="000000" w:themeColor="text1"/>
                <w:szCs w:val="20"/>
              </w:rPr>
              <w:t>Category/Program:</w:t>
            </w:r>
          </w:p>
        </w:tc>
        <w:tc>
          <w:tcPr>
            <w:tcW w:w="7260" w:type="dxa"/>
            <w:gridSpan w:val="4"/>
            <w:tcBorders>
              <w:top w:val="single" w:sz="6" w:space="0" w:color="auto"/>
              <w:left w:val="single" w:sz="6" w:space="0" w:color="auto"/>
              <w:bottom w:val="single" w:sz="6" w:space="0" w:color="auto"/>
              <w:right w:val="single" w:sz="6" w:space="0" w:color="auto"/>
            </w:tcBorders>
          </w:tcPr>
          <w:p w14:paraId="3E01FF67" w14:textId="77777777" w:rsidR="00D73D20" w:rsidRPr="00AD7238" w:rsidRDefault="00D73D20">
            <w:pPr>
              <w:pStyle w:val="Tabletext"/>
              <w:rPr>
                <w:rFonts w:eastAsia="Arial Narrow" w:cs="Arial Narrow"/>
                <w:b/>
                <w:color w:val="000000" w:themeColor="text1"/>
                <w:szCs w:val="20"/>
              </w:rPr>
            </w:pPr>
            <w:r w:rsidRPr="00AD7238">
              <w:rPr>
                <w:rFonts w:eastAsia="Arial Narrow" w:cs="Arial Narrow"/>
                <w:b/>
                <w:color w:val="000000" w:themeColor="text1"/>
                <w:szCs w:val="20"/>
              </w:rPr>
              <w:t>NIP</w:t>
            </w:r>
          </w:p>
        </w:tc>
      </w:tr>
      <w:tr w:rsidR="00D73D20" w:rsidRPr="00AD7238" w14:paraId="0F75A719" w14:textId="77777777">
        <w:trPr>
          <w:trHeight w:val="15"/>
        </w:trPr>
        <w:tc>
          <w:tcPr>
            <w:tcW w:w="1740" w:type="dxa"/>
            <w:tcBorders>
              <w:top w:val="single" w:sz="6" w:space="0" w:color="auto"/>
              <w:left w:val="single" w:sz="6" w:space="0" w:color="auto"/>
              <w:bottom w:val="single" w:sz="6" w:space="0" w:color="auto"/>
              <w:right w:val="single" w:sz="6" w:space="0" w:color="auto"/>
            </w:tcBorders>
          </w:tcPr>
          <w:p w14:paraId="12E77C0E" w14:textId="77777777" w:rsidR="00D73D20" w:rsidRPr="00AD7238" w:rsidRDefault="00D73D20">
            <w:pPr>
              <w:pStyle w:val="Tabletext"/>
              <w:rPr>
                <w:rFonts w:eastAsia="Arial Narrow" w:cs="Arial Narrow"/>
                <w:color w:val="000000" w:themeColor="text1"/>
                <w:szCs w:val="20"/>
              </w:rPr>
            </w:pPr>
            <w:r w:rsidRPr="00AD7238">
              <w:rPr>
                <w:rFonts w:eastAsia="Arial Narrow" w:cs="Arial Narrow"/>
                <w:color w:val="000000" w:themeColor="text1"/>
                <w:szCs w:val="20"/>
              </w:rPr>
              <w:t>Groups eligible for the requested NIP listing of Shingrix</w:t>
            </w:r>
          </w:p>
        </w:tc>
        <w:tc>
          <w:tcPr>
            <w:tcW w:w="7260" w:type="dxa"/>
            <w:gridSpan w:val="4"/>
            <w:tcBorders>
              <w:top w:val="single" w:sz="6" w:space="0" w:color="auto"/>
              <w:left w:val="single" w:sz="6" w:space="0" w:color="auto"/>
              <w:bottom w:val="single" w:sz="6" w:space="0" w:color="auto"/>
              <w:right w:val="single" w:sz="6" w:space="0" w:color="auto"/>
            </w:tcBorders>
          </w:tcPr>
          <w:p w14:paraId="558EDA82" w14:textId="4AEA2B33" w:rsidR="00D73D20" w:rsidRPr="00AD7238" w:rsidRDefault="00473B71">
            <w:pPr>
              <w:pStyle w:val="TableText0"/>
            </w:pPr>
            <w:r w:rsidRPr="00AD7238">
              <w:t xml:space="preserve">Non-indigenous adults </w:t>
            </w:r>
            <w:r w:rsidR="00D73D20" w:rsidRPr="00AD7238">
              <w:t>aged 65 years and over </w:t>
            </w:r>
          </w:p>
          <w:p w14:paraId="64619A9F" w14:textId="61A32192" w:rsidR="00D73D20" w:rsidRPr="00AD7238" w:rsidRDefault="00D73D20" w:rsidP="00D5557B">
            <w:pPr>
              <w:pStyle w:val="TableText0"/>
              <w:numPr>
                <w:ilvl w:val="0"/>
                <w:numId w:val="10"/>
              </w:numPr>
            </w:pPr>
            <w:r w:rsidRPr="00AD7238">
              <w:t xml:space="preserve">Aboriginal and Torres Strait Islander adults </w:t>
            </w:r>
            <w:r w:rsidR="00473B71" w:rsidRPr="00AD7238">
              <w:t xml:space="preserve">aged </w:t>
            </w:r>
            <w:r w:rsidRPr="00AD7238">
              <w:t>50 years and over </w:t>
            </w:r>
          </w:p>
        </w:tc>
      </w:tr>
      <w:tr w:rsidR="00D73D20" w:rsidRPr="00AD7238" w14:paraId="15E6FDE3" w14:textId="77777777">
        <w:trPr>
          <w:trHeight w:val="15"/>
        </w:trPr>
        <w:tc>
          <w:tcPr>
            <w:tcW w:w="1740" w:type="dxa"/>
            <w:tcBorders>
              <w:top w:val="single" w:sz="6" w:space="0" w:color="auto"/>
              <w:left w:val="single" w:sz="6" w:space="0" w:color="auto"/>
              <w:bottom w:val="single" w:sz="6" w:space="0" w:color="auto"/>
              <w:right w:val="single" w:sz="6" w:space="0" w:color="auto"/>
            </w:tcBorders>
          </w:tcPr>
          <w:p w14:paraId="2F981BB0" w14:textId="77777777" w:rsidR="00D73D20" w:rsidRPr="00AD7238" w:rsidDel="00FE2E1B" w:rsidRDefault="00D73D20">
            <w:pPr>
              <w:pStyle w:val="Tabletext"/>
              <w:rPr>
                <w:rFonts w:eastAsia="Arial Narrow" w:cs="Arial Narrow"/>
                <w:color w:val="000000" w:themeColor="text1"/>
                <w:szCs w:val="20"/>
              </w:rPr>
            </w:pPr>
            <w:r w:rsidRPr="00AD7238">
              <w:rPr>
                <w:rFonts w:eastAsia="Arial Narrow" w:cs="Arial Narrow"/>
                <w:color w:val="000000" w:themeColor="text1"/>
                <w:szCs w:val="20"/>
              </w:rPr>
              <w:t>Number and timing of doses</w:t>
            </w:r>
          </w:p>
        </w:tc>
        <w:tc>
          <w:tcPr>
            <w:tcW w:w="7260" w:type="dxa"/>
            <w:gridSpan w:val="4"/>
            <w:tcBorders>
              <w:top w:val="single" w:sz="6" w:space="0" w:color="auto"/>
              <w:left w:val="single" w:sz="6" w:space="0" w:color="auto"/>
              <w:bottom w:val="single" w:sz="6" w:space="0" w:color="auto"/>
              <w:right w:val="single" w:sz="6" w:space="0" w:color="auto"/>
            </w:tcBorders>
          </w:tcPr>
          <w:p w14:paraId="796AEBDA" w14:textId="29BB4584" w:rsidR="00D73D20" w:rsidRPr="00AD7238" w:rsidRDefault="00D73D20">
            <w:pPr>
              <w:jc w:val="left"/>
              <w:rPr>
                <w:rFonts w:ascii="Arial Narrow" w:eastAsia="Arial Narrow" w:hAnsi="Arial Narrow" w:cs="Arial Narrow"/>
                <w:color w:val="000000" w:themeColor="text1"/>
                <w:sz w:val="20"/>
                <w:szCs w:val="20"/>
              </w:rPr>
            </w:pPr>
            <w:r w:rsidRPr="00AD7238">
              <w:rPr>
                <w:rFonts w:ascii="Arial Narrow" w:eastAsia="Arial Narrow" w:hAnsi="Arial Narrow" w:cs="Arial Narrow"/>
                <w:color w:val="000000" w:themeColor="text1"/>
                <w:sz w:val="20"/>
                <w:szCs w:val="20"/>
              </w:rPr>
              <w:t>2 x doses of RZV administered 2-6 months apart</w:t>
            </w:r>
            <w:r w:rsidR="00007E9B">
              <w:rPr>
                <w:rFonts w:ascii="Arial Narrow" w:eastAsia="Arial Narrow" w:hAnsi="Arial Narrow" w:cs="Arial Narrow"/>
                <w:color w:val="000000" w:themeColor="text1"/>
                <w:sz w:val="20"/>
                <w:szCs w:val="20"/>
              </w:rPr>
              <w:t xml:space="preserve">. </w:t>
            </w:r>
            <w:r w:rsidR="00007E9B" w:rsidRPr="00007E9B">
              <w:rPr>
                <w:rFonts w:ascii="Arial Narrow" w:eastAsia="Arial Narrow" w:hAnsi="Arial Narrow" w:cs="Arial Narrow"/>
                <w:color w:val="000000" w:themeColor="text1"/>
                <w:sz w:val="20"/>
                <w:szCs w:val="20"/>
              </w:rPr>
              <w:t>For subjects who are immunodeficient, immunosuppressed or likely to become immunosuppressed due to known disease or therapy, and who would benefit from a shorter vaccination schedule, the second dose can be given 1 to 2 months after the initial dose.</w:t>
            </w:r>
          </w:p>
        </w:tc>
      </w:tr>
    </w:tbl>
    <w:p w14:paraId="59A6B253" w14:textId="0820E8C1" w:rsidR="00D73D20" w:rsidRPr="00AD7238" w:rsidRDefault="00D20577" w:rsidP="00E36700">
      <w:pPr>
        <w:pStyle w:val="FooterTableFigure"/>
      </w:pPr>
      <w:r w:rsidRPr="00AD7238">
        <w:t xml:space="preserve">Source: Compiled during </w:t>
      </w:r>
      <w:r w:rsidR="00F71CF5" w:rsidRPr="00AD7238">
        <w:t xml:space="preserve">the evaluation from </w:t>
      </w:r>
      <w:r w:rsidR="00AF4351" w:rsidRPr="00AD7238">
        <w:t xml:space="preserve">Table 1-8, p43 of the </w:t>
      </w:r>
      <w:r w:rsidR="00815FA2" w:rsidRPr="00AD7238">
        <w:t>re</w:t>
      </w:r>
      <w:r w:rsidR="00AF4351" w:rsidRPr="00AD7238">
        <w:t>submission</w:t>
      </w:r>
    </w:p>
    <w:p w14:paraId="78DCB714" w14:textId="705EAD35" w:rsidR="00D20577" w:rsidRPr="00AD7238" w:rsidRDefault="00AF4351" w:rsidP="00E36700">
      <w:pPr>
        <w:pStyle w:val="FooterTableFigure"/>
      </w:pPr>
      <w:r w:rsidRPr="00AD7238">
        <w:t>NIP</w:t>
      </w:r>
      <w:r w:rsidR="00DE338A" w:rsidRPr="00AD7238">
        <w:t xml:space="preserve"> = </w:t>
      </w:r>
      <w:r w:rsidR="00473B71" w:rsidRPr="00AD7238">
        <w:t>N</w:t>
      </w:r>
      <w:r w:rsidRPr="00AD7238">
        <w:t xml:space="preserve">ational </w:t>
      </w:r>
      <w:r w:rsidR="00473B71" w:rsidRPr="00AD7238">
        <w:t>I</w:t>
      </w:r>
      <w:r w:rsidRPr="00AD7238">
        <w:t xml:space="preserve">mmunisation </w:t>
      </w:r>
      <w:r w:rsidR="00473B71" w:rsidRPr="00AD7238">
        <w:t>P</w:t>
      </w:r>
      <w:r w:rsidRPr="00AD7238">
        <w:t xml:space="preserve">rogram; </w:t>
      </w:r>
      <w:r w:rsidR="00F71CF5" w:rsidRPr="00AD7238">
        <w:t>RZV</w:t>
      </w:r>
      <w:r w:rsidR="00DE338A" w:rsidRPr="00AD7238">
        <w:t xml:space="preserve"> = </w:t>
      </w:r>
      <w:r w:rsidRPr="00AD7238">
        <w:t>recombinant zoster vaccine</w:t>
      </w:r>
    </w:p>
    <w:p w14:paraId="0CD456B2" w14:textId="403AACCE" w:rsidR="00615B0D" w:rsidRDefault="00A00F9A" w:rsidP="00615B0D">
      <w:pPr>
        <w:pStyle w:val="ListParagraph"/>
        <w:numPr>
          <w:ilvl w:val="1"/>
          <w:numId w:val="1"/>
        </w:numPr>
        <w:rPr>
          <w:rFonts w:cs="Calibri"/>
          <w:bCs/>
        </w:rPr>
      </w:pPr>
      <w:r w:rsidRPr="00A65E17">
        <w:rPr>
          <w:rFonts w:cs="Calibri"/>
          <w:bCs/>
        </w:rPr>
        <w:t xml:space="preserve">The ESC </w:t>
      </w:r>
      <w:r w:rsidR="00E92AD1" w:rsidRPr="00A65E17">
        <w:rPr>
          <w:rFonts w:cs="Calibri"/>
          <w:bCs/>
        </w:rPr>
        <w:t xml:space="preserve">considered </w:t>
      </w:r>
      <w:r w:rsidRPr="00A65E17">
        <w:rPr>
          <w:rFonts w:cs="Calibri"/>
          <w:bCs/>
        </w:rPr>
        <w:t xml:space="preserve">it would be informative to seek ATAGI advice on whether </w:t>
      </w:r>
      <w:r w:rsidR="00595451" w:rsidRPr="00A65E17">
        <w:rPr>
          <w:rFonts w:cs="Calibri"/>
          <w:bCs/>
        </w:rPr>
        <w:t>excluding</w:t>
      </w:r>
      <w:r w:rsidRPr="00A65E17">
        <w:rPr>
          <w:rFonts w:cs="Calibri"/>
          <w:bCs/>
        </w:rPr>
        <w:t xml:space="preserve"> </w:t>
      </w:r>
      <w:r w:rsidR="00E92AD1" w:rsidRPr="00A65E17">
        <w:rPr>
          <w:rFonts w:cs="Calibri"/>
          <w:bCs/>
        </w:rPr>
        <w:t xml:space="preserve">vaccination with RZV for </w:t>
      </w:r>
      <w:r w:rsidR="00E13636" w:rsidRPr="00A65E17">
        <w:rPr>
          <w:iCs/>
        </w:rPr>
        <w:t xml:space="preserve">people who had received ZVL in the last 5 years or people who had been previously vaccinated with </w:t>
      </w:r>
      <w:r w:rsidR="00194221" w:rsidRPr="00A65E17">
        <w:rPr>
          <w:iCs/>
        </w:rPr>
        <w:t>two doses</w:t>
      </w:r>
      <w:r w:rsidR="00904297" w:rsidRPr="00A65E17">
        <w:rPr>
          <w:iCs/>
        </w:rPr>
        <w:t xml:space="preserve"> of</w:t>
      </w:r>
      <w:r w:rsidR="00194221" w:rsidRPr="00A65E17">
        <w:rPr>
          <w:iCs/>
        </w:rPr>
        <w:t xml:space="preserve"> </w:t>
      </w:r>
      <w:r w:rsidR="00E13636" w:rsidRPr="00A65E17">
        <w:rPr>
          <w:iCs/>
        </w:rPr>
        <w:t>R</w:t>
      </w:r>
      <w:r w:rsidR="008658BB" w:rsidRPr="00A65E17">
        <w:rPr>
          <w:iCs/>
        </w:rPr>
        <w:t>Z</w:t>
      </w:r>
      <w:r w:rsidR="00E13636" w:rsidRPr="00A65E17">
        <w:rPr>
          <w:iCs/>
        </w:rPr>
        <w:t>V</w:t>
      </w:r>
      <w:r w:rsidR="00E13636" w:rsidRPr="00A65E17" w:rsidDel="00E13636">
        <w:rPr>
          <w:rFonts w:cs="Calibri"/>
          <w:bCs/>
        </w:rPr>
        <w:t xml:space="preserve"> </w:t>
      </w:r>
      <w:r w:rsidR="00E92AD1" w:rsidRPr="00A65E17">
        <w:rPr>
          <w:rFonts w:cs="Calibri"/>
          <w:bCs/>
        </w:rPr>
        <w:t xml:space="preserve">(see paragraph </w:t>
      </w:r>
      <w:r w:rsidR="00F4141F" w:rsidRPr="00A65E17">
        <w:rPr>
          <w:rFonts w:cs="Calibri"/>
          <w:bCs/>
        </w:rPr>
        <w:fldChar w:fldCharType="begin" w:fldLock="1"/>
      </w:r>
      <w:r w:rsidR="00F4141F" w:rsidRPr="00A65E17">
        <w:rPr>
          <w:rFonts w:cs="Calibri"/>
          <w:bCs/>
        </w:rPr>
        <w:instrText xml:space="preserve"> REF _Ref127219566 \r \h  \* MERGEFORMAT </w:instrText>
      </w:r>
      <w:r w:rsidR="00F4141F" w:rsidRPr="00A65E17">
        <w:rPr>
          <w:rFonts w:cs="Calibri"/>
          <w:bCs/>
        </w:rPr>
      </w:r>
      <w:r w:rsidR="00F4141F" w:rsidRPr="00A65E17">
        <w:rPr>
          <w:rFonts w:cs="Calibri"/>
          <w:bCs/>
        </w:rPr>
        <w:fldChar w:fldCharType="separate"/>
      </w:r>
      <w:r w:rsidR="00602E99">
        <w:rPr>
          <w:rFonts w:cs="Calibri"/>
          <w:bCs/>
        </w:rPr>
        <w:t>6.76</w:t>
      </w:r>
      <w:r w:rsidR="00F4141F" w:rsidRPr="00A65E17">
        <w:rPr>
          <w:rFonts w:cs="Calibri"/>
          <w:bCs/>
        </w:rPr>
        <w:fldChar w:fldCharType="end"/>
      </w:r>
      <w:r w:rsidR="00E92AD1" w:rsidRPr="00A65E17">
        <w:rPr>
          <w:rFonts w:cs="Calibri"/>
          <w:bCs/>
        </w:rPr>
        <w:t xml:space="preserve">) </w:t>
      </w:r>
      <w:r w:rsidR="00E13636" w:rsidRPr="00A65E17">
        <w:rPr>
          <w:rFonts w:cs="Calibri"/>
          <w:bCs/>
        </w:rPr>
        <w:t>would be</w:t>
      </w:r>
      <w:r w:rsidR="00E92AD1" w:rsidRPr="00A65E17">
        <w:rPr>
          <w:rFonts w:cs="Calibri"/>
          <w:bCs/>
        </w:rPr>
        <w:t xml:space="preserve"> implementable. </w:t>
      </w:r>
    </w:p>
    <w:p w14:paraId="5AD21D26" w14:textId="6D9547B9" w:rsidR="00CC3A23" w:rsidRPr="00CC3A23" w:rsidRDefault="00CC3A23" w:rsidP="00CC3A23">
      <w:pPr>
        <w:pStyle w:val="ListParagraph"/>
        <w:numPr>
          <w:ilvl w:val="0"/>
          <w:numId w:val="0"/>
        </w:numPr>
        <w:ind w:left="720"/>
        <w:rPr>
          <w:rFonts w:cs="Calibri"/>
          <w:bCs/>
          <w:i/>
          <w:iCs/>
        </w:rPr>
      </w:pPr>
      <w:r w:rsidRPr="00CC3A23">
        <w:rPr>
          <w:rFonts w:cs="Calibri"/>
          <w:bCs/>
          <w:i/>
          <w:iCs/>
        </w:rPr>
        <w:t>For more detail on PBAC’s view, see section 7 PBAC outcome.</w:t>
      </w:r>
    </w:p>
    <w:p w14:paraId="0C84B802" w14:textId="77777777" w:rsidR="00D73D20" w:rsidRPr="00AD7238" w:rsidDel="00195452" w:rsidRDefault="00D73D20" w:rsidP="00194221">
      <w:pPr>
        <w:pStyle w:val="2-SectionHeading"/>
      </w:pPr>
      <w:bookmarkStart w:id="13" w:name="_Toc124949409"/>
      <w:r w:rsidRPr="00AD7238" w:rsidDel="00195452">
        <w:t>Population and disease</w:t>
      </w:r>
      <w:bookmarkEnd w:id="13"/>
    </w:p>
    <w:p w14:paraId="5A93DC2C" w14:textId="4CE08E44" w:rsidR="00D73D20" w:rsidRPr="00AD7238" w:rsidRDefault="00D73D20" w:rsidP="00D73D20">
      <w:pPr>
        <w:pStyle w:val="3-BodyText"/>
      </w:pPr>
      <w:r w:rsidRPr="00AD7238">
        <w:t xml:space="preserve">Herpes zoster or shingles is a localised, painful, vesicular skin rash resulting from the reactivation of latent varicella zoster virus (VZV). The rash is usually accompanied by acute pain which can be very severe and disabling. Pain from HZ can be divided into </w:t>
      </w:r>
      <w:r w:rsidRPr="00AD7238">
        <w:lastRenderedPageBreak/>
        <w:t xml:space="preserve">three phases: 1) acute, lasting up to 30 days after rash onset; 2) subacute, lasting 30-90 days after rash onset, and 3) PHN, generally defined as lasting a minimum of 90 days after rash onset. </w:t>
      </w:r>
    </w:p>
    <w:p w14:paraId="109FF1AF" w14:textId="5DEA9775" w:rsidR="00596897" w:rsidRPr="00AD7238" w:rsidRDefault="00D73D20" w:rsidP="00D73D20">
      <w:pPr>
        <w:pStyle w:val="3-BodyText"/>
      </w:pPr>
      <w:r w:rsidRPr="00AD7238">
        <w:t>In Australia, greater than 90% of adults are at risk of HZ as they have previously been infected with VZV. The overall incidence of HZ in Australia was 5.6/1</w:t>
      </w:r>
      <w:r w:rsidR="00D2703B">
        <w:t>,</w:t>
      </w:r>
      <w:r w:rsidRPr="00AD7238">
        <w:t>000 persons-years (PYs) from 2006 through 2013</w:t>
      </w:r>
      <w:r w:rsidR="001A2A38">
        <w:t xml:space="preserve">, </w:t>
      </w:r>
      <w:r w:rsidR="001A2A38" w:rsidRPr="00A65E17">
        <w:rPr>
          <w:iCs/>
        </w:rPr>
        <w:t>with incidence increasing with age: 6.3/1,000 PYs in adults 50-59 YOA, 13.7/1,000 PYs in adults 60-69 YOA, 15.3/1,000 PYs in adults 70-79 YOA, and up to 19.9/1,000 in adults ≥80 YOA (MacIntyre 2015).</w:t>
      </w:r>
      <w:r w:rsidR="001A2A38">
        <w:t xml:space="preserve"> </w:t>
      </w:r>
      <w:r w:rsidR="00194221" w:rsidRPr="00A65E17">
        <w:rPr>
          <w:iCs/>
        </w:rPr>
        <w:t>The ESC noted the incidence data reported here is based on BEACH data which may overestimate HZ incidence</w:t>
      </w:r>
      <w:r w:rsidR="00C522D4" w:rsidRPr="00A65E17">
        <w:rPr>
          <w:iCs/>
        </w:rPr>
        <w:t xml:space="preserve"> (see paragraph </w:t>
      </w:r>
      <w:r w:rsidR="00C522D4" w:rsidRPr="00A65E17">
        <w:rPr>
          <w:iCs/>
        </w:rPr>
        <w:fldChar w:fldCharType="begin" w:fldLock="1"/>
      </w:r>
      <w:r w:rsidR="00C522D4" w:rsidRPr="00A65E17">
        <w:rPr>
          <w:iCs/>
        </w:rPr>
        <w:instrText xml:space="preserve"> REF _Ref127523687 \r \h </w:instrText>
      </w:r>
      <w:r w:rsidR="00C522D4" w:rsidRPr="00A65E17">
        <w:rPr>
          <w:iCs/>
        </w:rPr>
      </w:r>
      <w:r w:rsidR="00C522D4" w:rsidRPr="00A65E17">
        <w:rPr>
          <w:iCs/>
        </w:rPr>
        <w:fldChar w:fldCharType="separate"/>
      </w:r>
      <w:r w:rsidR="00602E99">
        <w:rPr>
          <w:iCs/>
        </w:rPr>
        <w:t>6.40</w:t>
      </w:r>
      <w:r w:rsidR="00C522D4" w:rsidRPr="00A65E17">
        <w:rPr>
          <w:iCs/>
        </w:rPr>
        <w:fldChar w:fldCharType="end"/>
      </w:r>
      <w:r w:rsidR="00C522D4" w:rsidRPr="00A65E17">
        <w:rPr>
          <w:iCs/>
        </w:rPr>
        <w:t>)</w:t>
      </w:r>
      <w:r w:rsidR="00194221" w:rsidRPr="00A65E17">
        <w:rPr>
          <w:iCs/>
        </w:rPr>
        <w:t>.</w:t>
      </w:r>
      <w:r w:rsidR="00194221">
        <w:t xml:space="preserve"> </w:t>
      </w:r>
      <w:r w:rsidRPr="00AD7238">
        <w:t xml:space="preserve"> </w:t>
      </w:r>
    </w:p>
    <w:p w14:paraId="75726DB5" w14:textId="6B8B1E61" w:rsidR="00D73D20" w:rsidRPr="006E790F" w:rsidDel="00195452" w:rsidRDefault="00964189" w:rsidP="00596897">
      <w:pPr>
        <w:pStyle w:val="3-BodyText"/>
      </w:pPr>
      <w:r w:rsidRPr="00AD7238">
        <w:t>Immunocompromised</w:t>
      </w:r>
      <w:r w:rsidR="00442D93" w:rsidRPr="00AD7238">
        <w:t xml:space="preserve"> </w:t>
      </w:r>
      <w:r w:rsidRPr="00AD7238">
        <w:t>individuals are at a</w:t>
      </w:r>
      <w:r w:rsidR="00521B8E" w:rsidRPr="00AD7238">
        <w:t xml:space="preserve"> significantly increased risk of developing HZ and associated complications</w:t>
      </w:r>
      <w:r w:rsidR="00345837" w:rsidRPr="00AD7238">
        <w:t>, including those requiring hospitalisation</w:t>
      </w:r>
      <w:r w:rsidR="00E705CC" w:rsidRPr="00AD7238">
        <w:t xml:space="preserve">. </w:t>
      </w:r>
      <w:r w:rsidR="0082382C" w:rsidRPr="00AD7238">
        <w:t xml:space="preserve">Incidence rates for the immunocompromised population vary </w:t>
      </w:r>
      <w:r w:rsidR="00530200" w:rsidRPr="00AD7238">
        <w:t>according to condition or immunosuppressive therap</w:t>
      </w:r>
      <w:r w:rsidR="00C62FB9" w:rsidRPr="00AD7238">
        <w:t>y</w:t>
      </w:r>
      <w:r w:rsidR="00C07EF9" w:rsidRPr="00AD7238">
        <w:t>.</w:t>
      </w:r>
      <w:r w:rsidR="00596897" w:rsidRPr="00AD7238">
        <w:t xml:space="preserve"> </w:t>
      </w:r>
      <w:r w:rsidR="008D4102" w:rsidRPr="00615B0D">
        <w:rPr>
          <w:iCs/>
        </w:rPr>
        <w:t>The ATAGI pre-</w:t>
      </w:r>
      <w:r w:rsidR="00320E3A">
        <w:rPr>
          <w:iCs/>
        </w:rPr>
        <w:t>submission</w:t>
      </w:r>
      <w:r w:rsidR="008D4102" w:rsidRPr="00615B0D">
        <w:rPr>
          <w:iCs/>
        </w:rPr>
        <w:t xml:space="preserve"> advice</w:t>
      </w:r>
      <w:r w:rsidR="000D1DE7" w:rsidRPr="00615B0D">
        <w:rPr>
          <w:iCs/>
        </w:rPr>
        <w:t xml:space="preserve"> note</w:t>
      </w:r>
      <w:r w:rsidR="002573BA">
        <w:rPr>
          <w:iCs/>
        </w:rPr>
        <w:t>d</w:t>
      </w:r>
      <w:r w:rsidR="000D1DE7" w:rsidRPr="00615B0D">
        <w:rPr>
          <w:iCs/>
        </w:rPr>
        <w:t xml:space="preserve"> that conditions consistently found to have a substantially higher risk of HZ include haematopoietic stem cell transplant, sol</w:t>
      </w:r>
      <w:r w:rsidR="00132CAD">
        <w:rPr>
          <w:iCs/>
        </w:rPr>
        <w:t>i</w:t>
      </w:r>
      <w:r w:rsidR="000D1DE7" w:rsidRPr="00615B0D">
        <w:rPr>
          <w:iCs/>
        </w:rPr>
        <w:t xml:space="preserve">d organ transplant recipients, </w:t>
      </w:r>
      <w:r w:rsidR="004133D9" w:rsidRPr="00615B0D">
        <w:rPr>
          <w:iCs/>
        </w:rPr>
        <w:t>haematological malignancies</w:t>
      </w:r>
      <w:r w:rsidR="004133D9" w:rsidRPr="00615B0D" w:rsidDel="004133D9">
        <w:rPr>
          <w:iCs/>
        </w:rPr>
        <w:t xml:space="preserve"> </w:t>
      </w:r>
      <w:r w:rsidR="004133D9">
        <w:rPr>
          <w:iCs/>
        </w:rPr>
        <w:t xml:space="preserve">and advanced or untreated </w:t>
      </w:r>
      <w:r w:rsidR="000D1DE7" w:rsidRPr="00615B0D">
        <w:rPr>
          <w:iCs/>
        </w:rPr>
        <w:t xml:space="preserve">HIV </w:t>
      </w:r>
      <w:r w:rsidR="004133D9">
        <w:rPr>
          <w:iCs/>
        </w:rPr>
        <w:t xml:space="preserve">with CD4 counts </w:t>
      </w:r>
      <w:r w:rsidR="004133D9" w:rsidRPr="004133D9">
        <w:rPr>
          <w:iCs/>
        </w:rPr>
        <w:t>&lt;250/μL or those with a higher CD4 count unable to be established on effective anti-retroviral therapy</w:t>
      </w:r>
      <w:r w:rsidR="004133D9">
        <w:rPr>
          <w:iCs/>
        </w:rPr>
        <w:t>.</w:t>
      </w:r>
      <w:r w:rsidR="004133D9" w:rsidRPr="004133D9" w:rsidDel="004133D9">
        <w:rPr>
          <w:iCs/>
        </w:rPr>
        <w:t xml:space="preserve"> </w:t>
      </w:r>
      <w:r w:rsidR="00C619A8">
        <w:rPr>
          <w:iCs/>
        </w:rPr>
        <w:t>The ATAGI advice considered c</w:t>
      </w:r>
      <w:r w:rsidR="000D1DE7" w:rsidRPr="00615B0D">
        <w:rPr>
          <w:iCs/>
        </w:rPr>
        <w:t xml:space="preserve">onditions </w:t>
      </w:r>
      <w:r w:rsidR="000D1DE7" w:rsidRPr="006E790F">
        <w:rPr>
          <w:iCs/>
        </w:rPr>
        <w:t>with moderate risk include systemic lupus erythematosus and rheumatoid arthritis</w:t>
      </w:r>
      <w:r w:rsidR="00C619A8" w:rsidRPr="006E790F">
        <w:rPr>
          <w:iCs/>
        </w:rPr>
        <w:t xml:space="preserve"> and conditions with a low risk included solid organ malignancies, inflammatory bowel disease, end-stage renal disease, asthma, diabetes, depression and chronic obstructive pulmonary disease</w:t>
      </w:r>
      <w:r w:rsidR="000D1DE7" w:rsidRPr="006E790F">
        <w:rPr>
          <w:iCs/>
        </w:rPr>
        <w:t xml:space="preserve">. </w:t>
      </w:r>
      <w:r w:rsidR="00C619A8" w:rsidRPr="006E790F">
        <w:rPr>
          <w:iCs/>
        </w:rPr>
        <w:t>Additionally, the ATAGI advi</w:t>
      </w:r>
      <w:r w:rsidR="00765D21" w:rsidRPr="006E790F">
        <w:rPr>
          <w:iCs/>
        </w:rPr>
        <w:t>c</w:t>
      </w:r>
      <w:r w:rsidR="00C619A8" w:rsidRPr="006E790F">
        <w:rPr>
          <w:iCs/>
        </w:rPr>
        <w:t xml:space="preserve">e stated that </w:t>
      </w:r>
      <w:r w:rsidR="000D1DE7" w:rsidRPr="006E790F">
        <w:rPr>
          <w:iCs/>
        </w:rPr>
        <w:t xml:space="preserve">all </w:t>
      </w:r>
      <w:r w:rsidR="002409AE" w:rsidRPr="006E790F">
        <w:rPr>
          <w:iCs/>
        </w:rPr>
        <w:t xml:space="preserve">individuals </w:t>
      </w:r>
      <w:r w:rsidR="000D1DE7" w:rsidRPr="006E790F">
        <w:rPr>
          <w:iCs/>
        </w:rPr>
        <w:t xml:space="preserve">receiving regular high doses of systemic corticosteroids, </w:t>
      </w:r>
      <w:r w:rsidR="00765D21" w:rsidRPr="006E790F">
        <w:rPr>
          <w:iCs/>
        </w:rPr>
        <w:t>disease modifying anti-rheumatic drugs (</w:t>
      </w:r>
      <w:r w:rsidR="000D1DE7" w:rsidRPr="006E790F">
        <w:rPr>
          <w:iCs/>
        </w:rPr>
        <w:t>DMARDs</w:t>
      </w:r>
      <w:r w:rsidR="00765D21" w:rsidRPr="006E790F">
        <w:rPr>
          <w:iCs/>
        </w:rPr>
        <w:t>)</w:t>
      </w:r>
      <w:r w:rsidR="000D1DE7" w:rsidRPr="006E790F">
        <w:rPr>
          <w:iCs/>
        </w:rPr>
        <w:t xml:space="preserve"> or chemotherapy are at high risk of HZ.</w:t>
      </w:r>
      <w:r w:rsidR="002573BA" w:rsidRPr="006E790F">
        <w:rPr>
          <w:iCs/>
        </w:rPr>
        <w:t xml:space="preserve"> </w:t>
      </w:r>
      <w:r w:rsidR="00C619A8" w:rsidRPr="006E790F">
        <w:rPr>
          <w:iCs/>
        </w:rPr>
        <w:t xml:space="preserve">The PBAC noted the ATAGI defined conditions at moderate risk as those with a higher risk </w:t>
      </w:r>
      <w:r w:rsidR="00765D21" w:rsidRPr="006E790F">
        <w:rPr>
          <w:iCs/>
        </w:rPr>
        <w:t xml:space="preserve">of HZ and its complications </w:t>
      </w:r>
      <w:r w:rsidR="00C619A8" w:rsidRPr="006E790F">
        <w:rPr>
          <w:iCs/>
        </w:rPr>
        <w:t xml:space="preserve">than individuals </w:t>
      </w:r>
      <w:r w:rsidR="00C619A8" w:rsidRPr="006E790F">
        <w:rPr>
          <w:rFonts w:cstheme="minorHAnsi"/>
          <w:iCs/>
        </w:rPr>
        <w:t>≥</w:t>
      </w:r>
      <w:r w:rsidR="00C619A8" w:rsidRPr="006E790F">
        <w:rPr>
          <w:iCs/>
        </w:rPr>
        <w:t xml:space="preserve"> 65 years of age. </w:t>
      </w:r>
    </w:p>
    <w:p w14:paraId="4D1C9CF4" w14:textId="52ED2449" w:rsidR="0007429F" w:rsidRPr="006E790F" w:rsidRDefault="0007429F" w:rsidP="00D73D20">
      <w:pPr>
        <w:pStyle w:val="3-BodyText"/>
        <w:rPr>
          <w:color w:val="0066FF"/>
        </w:rPr>
      </w:pPr>
      <w:r w:rsidRPr="006E790F">
        <w:t xml:space="preserve">PHN is the most common complication associated with HZ, and can greatly impact sleep, productivity, and quality of life (QoL). </w:t>
      </w:r>
      <w:r w:rsidR="001E3816" w:rsidRPr="006E790F">
        <w:t xml:space="preserve">PHN occurs in </w:t>
      </w:r>
      <w:r w:rsidR="0009638E" w:rsidRPr="006E790F">
        <w:rPr>
          <w:iCs/>
        </w:rPr>
        <w:t>15% to</w:t>
      </w:r>
      <w:r w:rsidR="0009638E" w:rsidRPr="006E790F">
        <w:t xml:space="preserve"> </w:t>
      </w:r>
      <w:r w:rsidR="001E3816" w:rsidRPr="006E790F">
        <w:t xml:space="preserve">30% of </w:t>
      </w:r>
      <w:r w:rsidR="000D7DB4" w:rsidRPr="006E790F">
        <w:t>individuals with</w:t>
      </w:r>
      <w:r w:rsidR="001E3816" w:rsidRPr="006E790F">
        <w:t xml:space="preserve"> HZ</w:t>
      </w:r>
      <w:r w:rsidR="0009638E" w:rsidRPr="006E790F">
        <w:t>, with incidence increasing with age (MacIntrye 2015)</w:t>
      </w:r>
      <w:r w:rsidR="001E3816" w:rsidRPr="006E790F">
        <w:t xml:space="preserve"> and is commonly refractory to treatment.</w:t>
      </w:r>
      <w:r w:rsidR="000D7DB4" w:rsidRPr="006E790F">
        <w:t xml:space="preserve"> </w:t>
      </w:r>
    </w:p>
    <w:p w14:paraId="41E79DE8" w14:textId="0FD43E7C" w:rsidR="00D73D20" w:rsidRPr="00AD7238" w:rsidRDefault="00D73D20" w:rsidP="00D73D20">
      <w:pPr>
        <w:pStyle w:val="3-BodyText"/>
        <w:rPr>
          <w:color w:val="0066FF"/>
        </w:rPr>
      </w:pPr>
      <w:r w:rsidRPr="006E790F">
        <w:t xml:space="preserve">ZVL </w:t>
      </w:r>
      <w:r w:rsidR="0009638E" w:rsidRPr="006E790F">
        <w:t>(</w:t>
      </w:r>
      <w:r w:rsidR="0009638E" w:rsidRPr="006E790F">
        <w:rPr>
          <w:iCs/>
        </w:rPr>
        <w:t>a live vaccine)</w:t>
      </w:r>
      <w:r w:rsidR="0009638E" w:rsidRPr="006E790F">
        <w:t xml:space="preserve"> </w:t>
      </w:r>
      <w:r w:rsidRPr="006E790F">
        <w:t xml:space="preserve">is currently recommended and funded under the NIP for immunocompetent people aged 70 </w:t>
      </w:r>
      <w:r w:rsidR="00D2703B" w:rsidRPr="006E790F">
        <w:t xml:space="preserve">YOA </w:t>
      </w:r>
      <w:r w:rsidRPr="006E790F">
        <w:t xml:space="preserve">(with catch-up for those aged 71-79 </w:t>
      </w:r>
      <w:r w:rsidR="00D2703B" w:rsidRPr="006E790F">
        <w:t>YOA</w:t>
      </w:r>
      <w:r w:rsidRPr="006E790F">
        <w:t xml:space="preserve"> </w:t>
      </w:r>
      <w:r w:rsidR="0009199A" w:rsidRPr="006E790F">
        <w:t xml:space="preserve">in place </w:t>
      </w:r>
      <w:r w:rsidRPr="006E790F">
        <w:t>until October 2023). RZV</w:t>
      </w:r>
      <w:r w:rsidRPr="00AD7238">
        <w:t xml:space="preserve"> is proposed to replace ZVL in the current NIP clinical management algorithm with expanded coverage</w:t>
      </w:r>
      <w:r w:rsidR="00003FDF">
        <w:t xml:space="preserve"> to</w:t>
      </w:r>
      <w:r w:rsidRPr="00AD7238">
        <w:t xml:space="preserve"> non-Indigenous adults ≥ 65 YOA and </w:t>
      </w:r>
      <w:r w:rsidR="00CC1F7C" w:rsidRPr="00AD7238">
        <w:t xml:space="preserve">Aboriginal and Torres Strait Islander </w:t>
      </w:r>
      <w:r w:rsidRPr="00AD7238">
        <w:t>adults ≥ 50 YOA</w:t>
      </w:r>
      <w:r w:rsidR="00904297">
        <w:t xml:space="preserve"> (</w:t>
      </w:r>
      <w:r w:rsidR="00904297" w:rsidRPr="00A65E17">
        <w:rPr>
          <w:iCs/>
        </w:rPr>
        <w:t>including both immunocompetent and immunocompromised people</w:t>
      </w:r>
      <w:r w:rsidR="00904297">
        <w:t>)</w:t>
      </w:r>
      <w:r w:rsidRPr="00AD7238">
        <w:t xml:space="preserve">. </w:t>
      </w:r>
    </w:p>
    <w:p w14:paraId="6DA1AF83" w14:textId="536D80F6" w:rsidR="00D73D20" w:rsidRPr="00CC3A23" w:rsidRDefault="00D73D20" w:rsidP="00D73D20">
      <w:pPr>
        <w:pStyle w:val="3-BodyText"/>
        <w:rPr>
          <w:color w:val="0066FF"/>
        </w:rPr>
      </w:pPr>
      <w:r w:rsidRPr="00AD7238">
        <w:t>RZV is a non-live, adjuvanted recombinant zoster vaccine. The vaccine contains a recombinant VZV glycoprotein E (gE) with a novel adjuvant (AS01</w:t>
      </w:r>
      <w:r w:rsidRPr="00AD7238">
        <w:rPr>
          <w:vertAlign w:val="subscript"/>
        </w:rPr>
        <w:t>B</w:t>
      </w:r>
      <w:r w:rsidRPr="00AD7238">
        <w:t xml:space="preserve">) designed to improve CD4+ T-cell mediated immune responses, which are important in preventing the reactivation of latent VZV. RZV is administered intramuscularly in 2 doses 2-6 months apart. </w:t>
      </w:r>
    </w:p>
    <w:p w14:paraId="2AF94A2A" w14:textId="45B5DBFD" w:rsidR="00CC3A23" w:rsidRPr="00CC3A23" w:rsidRDefault="00CC3A23" w:rsidP="00CC3A23">
      <w:pPr>
        <w:ind w:firstLine="720"/>
        <w:rPr>
          <w:i/>
          <w:iCs/>
        </w:rPr>
      </w:pPr>
      <w:r w:rsidRPr="00CC3A23">
        <w:rPr>
          <w:i/>
          <w:iCs/>
        </w:rPr>
        <w:lastRenderedPageBreak/>
        <w:t>For more detail on PBAC’s view, see section 7 PBAC outcome.</w:t>
      </w:r>
    </w:p>
    <w:p w14:paraId="6ED71372" w14:textId="77777777" w:rsidR="00D73D20" w:rsidRPr="00AD7238" w:rsidRDefault="00D73D20" w:rsidP="00D73D20">
      <w:pPr>
        <w:pStyle w:val="2-SectionHeading"/>
      </w:pPr>
      <w:bookmarkStart w:id="14" w:name="_Toc124949410"/>
      <w:r w:rsidRPr="00AD7238">
        <w:t>Comparator</w:t>
      </w:r>
      <w:bookmarkEnd w:id="14"/>
    </w:p>
    <w:p w14:paraId="4C11FB1E" w14:textId="22AC9CA6" w:rsidR="00D73D20" w:rsidRPr="00AD7238" w:rsidRDefault="00D73D20" w:rsidP="00D73D20">
      <w:pPr>
        <w:pStyle w:val="3-BodyText"/>
        <w:rPr>
          <w:snapToGrid/>
        </w:rPr>
      </w:pPr>
      <w:r w:rsidRPr="00AD7238">
        <w:t xml:space="preserve">The </w:t>
      </w:r>
      <w:r w:rsidR="00CC1F7C" w:rsidRPr="00AD7238">
        <w:t>re</w:t>
      </w:r>
      <w:r w:rsidRPr="00AD7238">
        <w:t xml:space="preserve">submission nominated ‘no vaccine’ as the main comparator on the basis that ZVL may not be available on the Australian NIP from </w:t>
      </w:r>
      <w:r w:rsidR="00B8202A" w:rsidRPr="006E790F">
        <w:t xml:space="preserve">late </w:t>
      </w:r>
      <w:r w:rsidRPr="006E790F">
        <w:t>2023</w:t>
      </w:r>
      <w:r w:rsidR="00E10304" w:rsidRPr="006E790F">
        <w:rPr>
          <w:iCs/>
        </w:rPr>
        <w:t>.</w:t>
      </w:r>
      <w:r w:rsidRPr="006E790F">
        <w:rPr>
          <w:iCs/>
        </w:rPr>
        <w:t xml:space="preserve"> </w:t>
      </w:r>
      <w:r w:rsidR="00A522DB" w:rsidRPr="006E790F">
        <w:t>The</w:t>
      </w:r>
      <w:r w:rsidR="00A522DB" w:rsidRPr="00A65E17">
        <w:t xml:space="preserve"> ESC noted </w:t>
      </w:r>
      <w:r w:rsidRPr="00615B0D">
        <w:rPr>
          <w:iCs/>
        </w:rPr>
        <w:t>some countries have discontinued the sale and supply of ZVL</w:t>
      </w:r>
      <w:r w:rsidR="00A522DB">
        <w:rPr>
          <w:iCs/>
        </w:rPr>
        <w:t xml:space="preserve"> </w:t>
      </w:r>
      <w:r w:rsidR="00A522DB" w:rsidRPr="00A65E17">
        <w:t>(USA in late 2020, New Zealand 2022) and local shortages have been reported</w:t>
      </w:r>
      <w:r w:rsidR="00A522DB" w:rsidRPr="00A65E17">
        <w:rPr>
          <w:rStyle w:val="FootnoteReference"/>
        </w:rPr>
        <w:footnoteReference w:id="2"/>
      </w:r>
      <w:r w:rsidR="00853047" w:rsidRPr="00615B0D">
        <w:rPr>
          <w:iCs/>
        </w:rPr>
        <w:t xml:space="preserve">. </w:t>
      </w:r>
    </w:p>
    <w:p w14:paraId="660B3BC4" w14:textId="6A54496B" w:rsidR="00765D21" w:rsidRPr="00765D21" w:rsidRDefault="00D73D20" w:rsidP="00765D21">
      <w:pPr>
        <w:pStyle w:val="3-BodyText"/>
        <w:rPr>
          <w:snapToGrid/>
          <w:color w:val="0066FF"/>
        </w:rPr>
      </w:pPr>
      <w:r w:rsidRPr="00AD7238">
        <w:t>The proposed comparator was updated from the 2018 submission, where the comparator was</w:t>
      </w:r>
      <w:r w:rsidR="00853047" w:rsidRPr="00AD7238">
        <w:t xml:space="preserve"> </w:t>
      </w:r>
      <w:r w:rsidRPr="00AD7238">
        <w:t>no vaccine for adults 60-69</w:t>
      </w:r>
      <w:r w:rsidR="00E10304">
        <w:t xml:space="preserve"> YOA</w:t>
      </w:r>
      <w:r w:rsidRPr="00AD7238">
        <w:t xml:space="preserve">, ZVL for adults 70-79 </w:t>
      </w:r>
      <w:r w:rsidR="00E10304">
        <w:t xml:space="preserve">YOA </w:t>
      </w:r>
      <w:r w:rsidRPr="00AD7238">
        <w:t>and no vaccine for adults ≥ 80 YOA.</w:t>
      </w:r>
      <w:r w:rsidRPr="00AD7238">
        <w:rPr>
          <w:snapToGrid/>
        </w:rPr>
        <w:t xml:space="preserve"> </w:t>
      </w:r>
      <w:r w:rsidR="00765D21" w:rsidRPr="00765D21">
        <w:rPr>
          <w:snapToGrid/>
        </w:rPr>
        <w:t xml:space="preserve">The resubmission included a supplementary </w:t>
      </w:r>
      <w:r w:rsidR="00765D21">
        <w:rPr>
          <w:snapToGrid/>
        </w:rPr>
        <w:t xml:space="preserve">comparison </w:t>
      </w:r>
      <w:r w:rsidR="00765D21" w:rsidRPr="00765D21">
        <w:rPr>
          <w:snapToGrid/>
        </w:rPr>
        <w:t>of RZV versus ZVL</w:t>
      </w:r>
      <w:r w:rsidR="00765D21">
        <w:rPr>
          <w:snapToGrid/>
        </w:rPr>
        <w:t xml:space="preserve"> </w:t>
      </w:r>
      <w:r w:rsidR="00C53D68">
        <w:rPr>
          <w:snapToGrid/>
        </w:rPr>
        <w:t xml:space="preserve">to reiterate the claim in the previous submission that RZV is </w:t>
      </w:r>
      <w:r w:rsidR="00C53D68" w:rsidRPr="00C53D68">
        <w:rPr>
          <w:snapToGrid/>
        </w:rPr>
        <w:t xml:space="preserve">superior </w:t>
      </w:r>
      <w:r w:rsidR="00C53D68">
        <w:rPr>
          <w:snapToGrid/>
        </w:rPr>
        <w:t xml:space="preserve">to ZVL in terms of efficacy </w:t>
      </w:r>
      <w:r w:rsidR="00C53D68" w:rsidRPr="00C53D68">
        <w:rPr>
          <w:snapToGrid/>
        </w:rPr>
        <w:t>with a similar safety profile</w:t>
      </w:r>
      <w:r w:rsidR="00C53D68">
        <w:rPr>
          <w:snapToGrid/>
        </w:rPr>
        <w:t xml:space="preserve">. </w:t>
      </w:r>
    </w:p>
    <w:p w14:paraId="56227560" w14:textId="56A10EDC" w:rsidR="00CC3A23" w:rsidRPr="00CC3A23" w:rsidRDefault="00CC3A23" w:rsidP="00CC3A23">
      <w:pPr>
        <w:ind w:firstLine="720"/>
        <w:rPr>
          <w:i/>
          <w:iCs/>
        </w:rPr>
      </w:pPr>
      <w:r w:rsidRPr="00CC3A23">
        <w:rPr>
          <w:i/>
          <w:iCs/>
        </w:rPr>
        <w:t>For more detail on PBAC’s view, see section 7 PBAC outcome.</w:t>
      </w:r>
    </w:p>
    <w:p w14:paraId="49D924FC" w14:textId="01BAA846" w:rsidR="00D73D20" w:rsidRDefault="00D73D20" w:rsidP="00D73D20">
      <w:pPr>
        <w:pStyle w:val="2-SectionHeading"/>
      </w:pPr>
      <w:bookmarkStart w:id="15" w:name="_Toc124949411"/>
      <w:bookmarkStart w:id="16" w:name="_Toc22897640"/>
      <w:r w:rsidRPr="00AD7238">
        <w:t>Consideration of the evidence</w:t>
      </w:r>
      <w:bookmarkEnd w:id="15"/>
    </w:p>
    <w:p w14:paraId="5816E2B4" w14:textId="77777777" w:rsidR="00B17673" w:rsidRPr="009B54FA" w:rsidRDefault="00B17673" w:rsidP="00924B9B">
      <w:pPr>
        <w:pStyle w:val="4-SubsectionHeading"/>
      </w:pPr>
      <w:bookmarkStart w:id="17" w:name="_Hlk76375935"/>
      <w:r w:rsidRPr="009B54FA">
        <w:t>Sponsor hearing</w:t>
      </w:r>
    </w:p>
    <w:p w14:paraId="01040716" w14:textId="2BCDBD9F" w:rsidR="00B17673" w:rsidRPr="009B54FA" w:rsidRDefault="00B17673" w:rsidP="00B17673">
      <w:pPr>
        <w:widowControl w:val="0"/>
        <w:numPr>
          <w:ilvl w:val="1"/>
          <w:numId w:val="1"/>
        </w:numPr>
        <w:spacing w:after="120"/>
        <w:rPr>
          <w:rFonts w:asciiTheme="minorHAnsi" w:hAnsiTheme="minorHAnsi"/>
          <w:bCs/>
          <w:snapToGrid w:val="0"/>
        </w:rPr>
      </w:pPr>
      <w:bookmarkStart w:id="18" w:name="_Hlk76382586"/>
      <w:r w:rsidRPr="009B54FA">
        <w:rPr>
          <w:rFonts w:asciiTheme="minorHAnsi" w:hAnsiTheme="minorHAnsi"/>
          <w:bCs/>
          <w:snapToGrid w:val="0"/>
        </w:rPr>
        <w:t xml:space="preserve">The sponsor requested a hearing </w:t>
      </w:r>
      <w:r w:rsidRPr="003A6639">
        <w:rPr>
          <w:rFonts w:asciiTheme="minorHAnsi" w:hAnsiTheme="minorHAnsi"/>
          <w:bCs/>
          <w:snapToGrid w:val="0"/>
        </w:rPr>
        <w:t xml:space="preserve">for this item. </w:t>
      </w:r>
      <w:r w:rsidR="009B54FA" w:rsidRPr="003A6639">
        <w:rPr>
          <w:rFonts w:asciiTheme="minorHAnsi" w:hAnsiTheme="minorHAnsi"/>
          <w:bCs/>
          <w:snapToGrid w:val="0"/>
        </w:rPr>
        <w:t xml:space="preserve">The clinician noted the </w:t>
      </w:r>
      <w:r w:rsidR="003A6639" w:rsidRPr="003A6639">
        <w:rPr>
          <w:rFonts w:asciiTheme="minorHAnsi" w:hAnsiTheme="minorHAnsi"/>
          <w:bCs/>
          <w:snapToGrid w:val="0"/>
        </w:rPr>
        <w:t xml:space="preserve">better </w:t>
      </w:r>
      <w:r w:rsidR="009B54FA" w:rsidRPr="003A6639">
        <w:rPr>
          <w:rFonts w:asciiTheme="minorHAnsi" w:hAnsiTheme="minorHAnsi"/>
          <w:bCs/>
          <w:snapToGrid w:val="0"/>
        </w:rPr>
        <w:t xml:space="preserve">efficacy </w:t>
      </w:r>
      <w:r w:rsidR="003A6639" w:rsidRPr="003A6639">
        <w:rPr>
          <w:rFonts w:asciiTheme="minorHAnsi" w:hAnsiTheme="minorHAnsi"/>
          <w:bCs/>
          <w:snapToGrid w:val="0"/>
        </w:rPr>
        <w:t>and safety for</w:t>
      </w:r>
      <w:r w:rsidR="009B54FA" w:rsidRPr="003A6639">
        <w:rPr>
          <w:rFonts w:asciiTheme="minorHAnsi" w:hAnsiTheme="minorHAnsi"/>
          <w:bCs/>
          <w:snapToGrid w:val="0"/>
        </w:rPr>
        <w:t xml:space="preserve"> RZV compared to ZVL</w:t>
      </w:r>
      <w:r w:rsidR="003A6639" w:rsidRPr="003A6639">
        <w:rPr>
          <w:rFonts w:asciiTheme="minorHAnsi" w:hAnsiTheme="minorHAnsi"/>
          <w:bCs/>
          <w:snapToGrid w:val="0"/>
        </w:rPr>
        <w:t xml:space="preserve">. </w:t>
      </w:r>
      <w:r w:rsidRPr="003A6639">
        <w:rPr>
          <w:rFonts w:asciiTheme="minorHAnsi" w:hAnsiTheme="minorHAnsi"/>
          <w:bCs/>
          <w:snapToGrid w:val="0"/>
        </w:rPr>
        <w:t xml:space="preserve">The clinician </w:t>
      </w:r>
      <w:r w:rsidR="009B54FA" w:rsidRPr="003A6639">
        <w:rPr>
          <w:rFonts w:asciiTheme="minorHAnsi" w:hAnsiTheme="minorHAnsi"/>
          <w:bCs/>
          <w:snapToGrid w:val="0"/>
        </w:rPr>
        <w:t xml:space="preserve">acknowledged the pivotal clinical studies for RZV (ZOE-50 and ZOE-70) excluded individuals who were immunocompromised and those who previously received ZVL or had HZ; however, noted </w:t>
      </w:r>
      <w:r w:rsidR="003A6639">
        <w:rPr>
          <w:rFonts w:asciiTheme="minorHAnsi" w:hAnsiTheme="minorHAnsi"/>
          <w:bCs/>
          <w:snapToGrid w:val="0"/>
        </w:rPr>
        <w:t xml:space="preserve">the availability of additional </w:t>
      </w:r>
      <w:r w:rsidR="009B54FA" w:rsidRPr="003A6639">
        <w:rPr>
          <w:rFonts w:asciiTheme="minorHAnsi" w:hAnsiTheme="minorHAnsi"/>
          <w:bCs/>
          <w:snapToGrid w:val="0"/>
        </w:rPr>
        <w:t>data (</w:t>
      </w:r>
      <w:r w:rsidR="009B54FA" w:rsidRPr="006E790F">
        <w:rPr>
          <w:rFonts w:asciiTheme="minorHAnsi" w:hAnsiTheme="minorHAnsi"/>
          <w:bCs/>
          <w:snapToGrid w:val="0"/>
        </w:rPr>
        <w:t>including real wor</w:t>
      </w:r>
      <w:r w:rsidR="0037775D" w:rsidRPr="006E790F">
        <w:rPr>
          <w:rFonts w:asciiTheme="minorHAnsi" w:hAnsiTheme="minorHAnsi"/>
          <w:bCs/>
          <w:snapToGrid w:val="0"/>
        </w:rPr>
        <w:t>ld</w:t>
      </w:r>
      <w:r w:rsidR="009B54FA" w:rsidRPr="003A6639">
        <w:rPr>
          <w:rFonts w:asciiTheme="minorHAnsi" w:hAnsiTheme="minorHAnsi"/>
          <w:bCs/>
          <w:snapToGrid w:val="0"/>
        </w:rPr>
        <w:t xml:space="preserve"> evidence) to support the use of RZV in these individuals.</w:t>
      </w:r>
      <w:r w:rsidR="009B54FA">
        <w:rPr>
          <w:rFonts w:asciiTheme="minorHAnsi" w:hAnsiTheme="minorHAnsi"/>
          <w:bCs/>
          <w:snapToGrid w:val="0"/>
        </w:rPr>
        <w:t xml:space="preserve"> </w:t>
      </w:r>
      <w:r w:rsidR="003A6639">
        <w:rPr>
          <w:rFonts w:asciiTheme="minorHAnsi" w:hAnsiTheme="minorHAnsi"/>
          <w:bCs/>
          <w:snapToGrid w:val="0"/>
        </w:rPr>
        <w:t>The clinician noted the high quality, long term data that is available for RZ</w:t>
      </w:r>
      <w:r w:rsidR="003B396C">
        <w:rPr>
          <w:rFonts w:asciiTheme="minorHAnsi" w:hAnsiTheme="minorHAnsi"/>
          <w:bCs/>
          <w:snapToGrid w:val="0"/>
        </w:rPr>
        <w:t>V</w:t>
      </w:r>
      <w:r w:rsidR="003A6639">
        <w:rPr>
          <w:rFonts w:asciiTheme="minorHAnsi" w:hAnsiTheme="minorHAnsi"/>
          <w:bCs/>
          <w:snapToGrid w:val="0"/>
        </w:rPr>
        <w:t xml:space="preserve"> relative to other vaccines in older individuals.  </w:t>
      </w:r>
    </w:p>
    <w:bookmarkEnd w:id="18"/>
    <w:p w14:paraId="2A101736" w14:textId="77777777" w:rsidR="00B17673" w:rsidRPr="006E1229" w:rsidRDefault="00B17673" w:rsidP="00924B9B">
      <w:pPr>
        <w:pStyle w:val="4-SubsectionHeading"/>
      </w:pPr>
      <w:r w:rsidRPr="00BC2D07">
        <w:t>Consumer comments</w:t>
      </w:r>
    </w:p>
    <w:p w14:paraId="1BD50240" w14:textId="6FDC2DE4" w:rsidR="0025488B" w:rsidRDefault="00B17673" w:rsidP="00B17673">
      <w:pPr>
        <w:widowControl w:val="0"/>
        <w:numPr>
          <w:ilvl w:val="1"/>
          <w:numId w:val="1"/>
        </w:numPr>
        <w:spacing w:after="120"/>
        <w:rPr>
          <w:rFonts w:asciiTheme="minorHAnsi" w:hAnsiTheme="minorHAnsi"/>
          <w:bCs/>
          <w:snapToGrid w:val="0"/>
        </w:rPr>
      </w:pPr>
      <w:bookmarkStart w:id="19" w:name="_Hlk76382618"/>
      <w:r w:rsidRPr="0025488B">
        <w:rPr>
          <w:rFonts w:asciiTheme="minorHAnsi" w:hAnsiTheme="minorHAnsi"/>
          <w:bCs/>
          <w:snapToGrid w:val="0"/>
        </w:rPr>
        <w:t>The PBAC noted and welcomed the input from individuals (</w:t>
      </w:r>
      <w:r w:rsidR="00A71A62" w:rsidRPr="0025488B">
        <w:rPr>
          <w:rFonts w:asciiTheme="minorHAnsi" w:hAnsiTheme="minorHAnsi"/>
          <w:bCs/>
          <w:snapToGrid w:val="0"/>
        </w:rPr>
        <w:t>9</w:t>
      </w:r>
      <w:r w:rsidRPr="0025488B">
        <w:rPr>
          <w:rFonts w:asciiTheme="minorHAnsi" w:hAnsiTheme="minorHAnsi"/>
          <w:bCs/>
          <w:snapToGrid w:val="0"/>
        </w:rPr>
        <w:t>), health care professionals (</w:t>
      </w:r>
      <w:r w:rsidR="00A71A62" w:rsidRPr="0025488B">
        <w:rPr>
          <w:rFonts w:asciiTheme="minorHAnsi" w:hAnsiTheme="minorHAnsi"/>
          <w:bCs/>
          <w:snapToGrid w:val="0"/>
        </w:rPr>
        <w:t>16</w:t>
      </w:r>
      <w:r w:rsidRPr="0025488B">
        <w:rPr>
          <w:rFonts w:asciiTheme="minorHAnsi" w:hAnsiTheme="minorHAnsi"/>
          <w:bCs/>
          <w:snapToGrid w:val="0"/>
        </w:rPr>
        <w:t>) and organisations (</w:t>
      </w:r>
      <w:r w:rsidR="00A71A62" w:rsidRPr="0025488B">
        <w:rPr>
          <w:rFonts w:asciiTheme="minorHAnsi" w:hAnsiTheme="minorHAnsi"/>
          <w:bCs/>
          <w:snapToGrid w:val="0"/>
        </w:rPr>
        <w:t>9</w:t>
      </w:r>
      <w:r w:rsidRPr="0025488B">
        <w:rPr>
          <w:rFonts w:asciiTheme="minorHAnsi" w:hAnsiTheme="minorHAnsi"/>
          <w:bCs/>
          <w:snapToGrid w:val="0"/>
        </w:rPr>
        <w:t xml:space="preserve">) via the Consumer Comments facility on the PBS website. </w:t>
      </w:r>
      <w:r w:rsidR="0025488B">
        <w:rPr>
          <w:rFonts w:asciiTheme="minorHAnsi" w:hAnsiTheme="minorHAnsi"/>
          <w:bCs/>
          <w:snapToGrid w:val="0"/>
        </w:rPr>
        <w:t xml:space="preserve">The comments from health care professionals </w:t>
      </w:r>
      <w:r w:rsidR="00BC2D07">
        <w:rPr>
          <w:rFonts w:asciiTheme="minorHAnsi" w:hAnsiTheme="minorHAnsi"/>
          <w:bCs/>
          <w:snapToGrid w:val="0"/>
        </w:rPr>
        <w:t xml:space="preserve">and individuals </w:t>
      </w:r>
      <w:r w:rsidR="0025488B" w:rsidRPr="0025488B">
        <w:rPr>
          <w:rFonts w:asciiTheme="minorHAnsi" w:hAnsiTheme="minorHAnsi"/>
          <w:bCs/>
          <w:snapToGrid w:val="0"/>
        </w:rPr>
        <w:t>note access to RZV</w:t>
      </w:r>
      <w:r w:rsidR="0025488B">
        <w:rPr>
          <w:rFonts w:asciiTheme="minorHAnsi" w:hAnsiTheme="minorHAnsi"/>
          <w:bCs/>
          <w:snapToGrid w:val="0"/>
        </w:rPr>
        <w:t xml:space="preserve"> </w:t>
      </w:r>
      <w:r w:rsidR="0025488B" w:rsidRPr="0025488B">
        <w:rPr>
          <w:rFonts w:asciiTheme="minorHAnsi" w:hAnsiTheme="minorHAnsi"/>
          <w:bCs/>
          <w:snapToGrid w:val="0"/>
        </w:rPr>
        <w:t>will reduce</w:t>
      </w:r>
      <w:r w:rsidR="00BC2D07">
        <w:rPr>
          <w:rFonts w:asciiTheme="minorHAnsi" w:hAnsiTheme="minorHAnsi"/>
          <w:bCs/>
          <w:snapToGrid w:val="0"/>
        </w:rPr>
        <w:t xml:space="preserve"> HZ cases</w:t>
      </w:r>
      <w:r w:rsidR="0025488B" w:rsidRPr="0025488B">
        <w:rPr>
          <w:rFonts w:asciiTheme="minorHAnsi" w:hAnsiTheme="minorHAnsi"/>
          <w:bCs/>
          <w:snapToGrid w:val="0"/>
        </w:rPr>
        <w:t xml:space="preserve"> and </w:t>
      </w:r>
      <w:r w:rsidR="00BC2D07">
        <w:rPr>
          <w:rFonts w:asciiTheme="minorHAnsi" w:hAnsiTheme="minorHAnsi"/>
          <w:bCs/>
          <w:snapToGrid w:val="0"/>
        </w:rPr>
        <w:t xml:space="preserve">associated </w:t>
      </w:r>
      <w:r w:rsidR="0025488B" w:rsidRPr="0025488B">
        <w:rPr>
          <w:rFonts w:asciiTheme="minorHAnsi" w:hAnsiTheme="minorHAnsi"/>
          <w:bCs/>
          <w:snapToGrid w:val="0"/>
        </w:rPr>
        <w:t>morbidity in</w:t>
      </w:r>
      <w:r w:rsidR="0025488B">
        <w:rPr>
          <w:rFonts w:asciiTheme="minorHAnsi" w:hAnsiTheme="minorHAnsi"/>
          <w:bCs/>
          <w:snapToGrid w:val="0"/>
        </w:rPr>
        <w:t xml:space="preserve"> individuals</w:t>
      </w:r>
      <w:r w:rsidR="0025488B" w:rsidRPr="0025488B">
        <w:rPr>
          <w:rFonts w:asciiTheme="minorHAnsi" w:hAnsiTheme="minorHAnsi"/>
          <w:bCs/>
          <w:snapToGrid w:val="0"/>
        </w:rPr>
        <w:t>, with the vaccine providing higher and longer efficacy compared to</w:t>
      </w:r>
      <w:r w:rsidR="0025488B">
        <w:rPr>
          <w:rFonts w:asciiTheme="minorHAnsi" w:hAnsiTheme="minorHAnsi"/>
          <w:bCs/>
          <w:snapToGrid w:val="0"/>
        </w:rPr>
        <w:t xml:space="preserve"> ZVL</w:t>
      </w:r>
      <w:r w:rsidR="0025488B" w:rsidRPr="0025488B">
        <w:rPr>
          <w:rFonts w:asciiTheme="minorHAnsi" w:hAnsiTheme="minorHAnsi"/>
          <w:bCs/>
          <w:snapToGrid w:val="0"/>
        </w:rPr>
        <w:t xml:space="preserve">. </w:t>
      </w:r>
      <w:r w:rsidR="0025488B">
        <w:rPr>
          <w:rFonts w:asciiTheme="minorHAnsi" w:hAnsiTheme="minorHAnsi"/>
          <w:bCs/>
          <w:snapToGrid w:val="0"/>
        </w:rPr>
        <w:t xml:space="preserve">The comments </w:t>
      </w:r>
      <w:r w:rsidR="0025488B" w:rsidRPr="0025488B">
        <w:rPr>
          <w:rFonts w:asciiTheme="minorHAnsi" w:hAnsiTheme="minorHAnsi"/>
          <w:bCs/>
          <w:snapToGrid w:val="0"/>
        </w:rPr>
        <w:t>describe</w:t>
      </w:r>
      <w:r w:rsidR="00BC2D07">
        <w:rPr>
          <w:rFonts w:asciiTheme="minorHAnsi" w:hAnsiTheme="minorHAnsi"/>
          <w:bCs/>
          <w:snapToGrid w:val="0"/>
        </w:rPr>
        <w:t>d</w:t>
      </w:r>
      <w:r w:rsidR="0025488B">
        <w:rPr>
          <w:rFonts w:asciiTheme="minorHAnsi" w:hAnsiTheme="minorHAnsi"/>
          <w:bCs/>
          <w:snapToGrid w:val="0"/>
        </w:rPr>
        <w:t xml:space="preserve"> </w:t>
      </w:r>
      <w:r w:rsidR="0025488B" w:rsidRPr="0025488B">
        <w:rPr>
          <w:rFonts w:asciiTheme="minorHAnsi" w:hAnsiTheme="minorHAnsi"/>
          <w:bCs/>
          <w:snapToGrid w:val="0"/>
        </w:rPr>
        <w:t xml:space="preserve">the risks associated with </w:t>
      </w:r>
      <w:r w:rsidR="0025488B">
        <w:rPr>
          <w:rFonts w:asciiTheme="minorHAnsi" w:hAnsiTheme="minorHAnsi"/>
          <w:bCs/>
          <w:snapToGrid w:val="0"/>
        </w:rPr>
        <w:t xml:space="preserve">ZVL </w:t>
      </w:r>
      <w:r w:rsidR="00BC2D07">
        <w:rPr>
          <w:rFonts w:asciiTheme="minorHAnsi" w:hAnsiTheme="minorHAnsi"/>
          <w:bCs/>
          <w:snapToGrid w:val="0"/>
        </w:rPr>
        <w:t xml:space="preserve">(including death) </w:t>
      </w:r>
      <w:r w:rsidR="0025488B" w:rsidRPr="0025488B">
        <w:rPr>
          <w:rFonts w:asciiTheme="minorHAnsi" w:hAnsiTheme="minorHAnsi"/>
          <w:bCs/>
          <w:snapToGrid w:val="0"/>
        </w:rPr>
        <w:t>for immunocompromised individuals, and note</w:t>
      </w:r>
      <w:r w:rsidR="00BC2D07">
        <w:rPr>
          <w:rFonts w:asciiTheme="minorHAnsi" w:hAnsiTheme="minorHAnsi"/>
          <w:bCs/>
          <w:snapToGrid w:val="0"/>
        </w:rPr>
        <w:t>d</w:t>
      </w:r>
      <w:r w:rsidR="0025488B" w:rsidRPr="0025488B">
        <w:rPr>
          <w:rFonts w:asciiTheme="minorHAnsi" w:hAnsiTheme="minorHAnsi"/>
          <w:bCs/>
          <w:snapToGrid w:val="0"/>
        </w:rPr>
        <w:t xml:space="preserve"> RZV </w:t>
      </w:r>
      <w:r w:rsidR="0025488B">
        <w:rPr>
          <w:rFonts w:asciiTheme="minorHAnsi" w:hAnsiTheme="minorHAnsi"/>
          <w:bCs/>
          <w:snapToGrid w:val="0"/>
        </w:rPr>
        <w:t>is</w:t>
      </w:r>
      <w:r w:rsidR="003271E0">
        <w:rPr>
          <w:rFonts w:asciiTheme="minorHAnsi" w:hAnsiTheme="minorHAnsi"/>
          <w:bCs/>
          <w:snapToGrid w:val="0"/>
        </w:rPr>
        <w:t xml:space="preserve"> </w:t>
      </w:r>
      <w:r w:rsidR="0025488B" w:rsidRPr="0025488B">
        <w:rPr>
          <w:rFonts w:asciiTheme="minorHAnsi" w:hAnsiTheme="minorHAnsi"/>
          <w:bCs/>
          <w:snapToGrid w:val="0"/>
        </w:rPr>
        <w:t xml:space="preserve">the safer of the two vaccines. </w:t>
      </w:r>
      <w:r w:rsidR="003271E0">
        <w:rPr>
          <w:rFonts w:asciiTheme="minorHAnsi" w:hAnsiTheme="minorHAnsi"/>
          <w:bCs/>
          <w:snapToGrid w:val="0"/>
        </w:rPr>
        <w:t xml:space="preserve">The </w:t>
      </w:r>
      <w:r w:rsidR="00BC2D07">
        <w:rPr>
          <w:rFonts w:asciiTheme="minorHAnsi" w:hAnsiTheme="minorHAnsi"/>
          <w:bCs/>
          <w:snapToGrid w:val="0"/>
        </w:rPr>
        <w:t xml:space="preserve">input </w:t>
      </w:r>
      <w:r w:rsidR="003271E0">
        <w:rPr>
          <w:rFonts w:asciiTheme="minorHAnsi" w:hAnsiTheme="minorHAnsi"/>
          <w:bCs/>
          <w:snapToGrid w:val="0"/>
        </w:rPr>
        <w:t xml:space="preserve">noted the significant impact of HZ </w:t>
      </w:r>
      <w:r w:rsidR="00BC2D07">
        <w:rPr>
          <w:rFonts w:asciiTheme="minorHAnsi" w:hAnsiTheme="minorHAnsi"/>
          <w:bCs/>
          <w:snapToGrid w:val="0"/>
        </w:rPr>
        <w:t xml:space="preserve">and PHN </w:t>
      </w:r>
      <w:r w:rsidR="003271E0">
        <w:rPr>
          <w:rFonts w:asciiTheme="minorHAnsi" w:hAnsiTheme="minorHAnsi"/>
          <w:bCs/>
          <w:snapToGrid w:val="0"/>
        </w:rPr>
        <w:t xml:space="preserve">on quality of life, including pain, inability to work, anxiety and depression and difficulty sleeping. </w:t>
      </w:r>
      <w:r w:rsidR="00BC2D07">
        <w:rPr>
          <w:rFonts w:asciiTheme="minorHAnsi" w:hAnsiTheme="minorHAnsi"/>
          <w:bCs/>
          <w:snapToGrid w:val="0"/>
        </w:rPr>
        <w:t xml:space="preserve">The comments noted the significant equity issues associated with the high cost of RZV with wealthy individuals more likely to be able to afford the vaccine privately.  </w:t>
      </w:r>
    </w:p>
    <w:p w14:paraId="1A5A0181" w14:textId="6CD9860D" w:rsidR="00B17673" w:rsidRPr="00A908E1" w:rsidRDefault="00B17673" w:rsidP="00B17673">
      <w:pPr>
        <w:widowControl w:val="0"/>
        <w:numPr>
          <w:ilvl w:val="1"/>
          <w:numId w:val="1"/>
        </w:numPr>
        <w:spacing w:after="120"/>
        <w:rPr>
          <w:rFonts w:asciiTheme="minorHAnsi" w:hAnsiTheme="minorHAnsi"/>
          <w:bCs/>
          <w:snapToGrid w:val="0"/>
        </w:rPr>
      </w:pPr>
      <w:r w:rsidRPr="00A908E1">
        <w:rPr>
          <w:rFonts w:asciiTheme="minorHAnsi" w:hAnsiTheme="minorHAnsi"/>
          <w:bCs/>
          <w:snapToGrid w:val="0"/>
        </w:rPr>
        <w:t xml:space="preserve">The PBAC noted the </w:t>
      </w:r>
      <w:r w:rsidR="00777643" w:rsidRPr="00A908E1">
        <w:rPr>
          <w:rFonts w:asciiTheme="minorHAnsi" w:hAnsiTheme="minorHAnsi"/>
          <w:bCs/>
          <w:snapToGrid w:val="0"/>
        </w:rPr>
        <w:t xml:space="preserve">input </w:t>
      </w:r>
      <w:r w:rsidRPr="00A908E1">
        <w:rPr>
          <w:rFonts w:asciiTheme="minorHAnsi" w:hAnsiTheme="minorHAnsi"/>
          <w:bCs/>
          <w:snapToGrid w:val="0"/>
        </w:rPr>
        <w:t>received from</w:t>
      </w:r>
      <w:r w:rsidR="0025488B" w:rsidRPr="00A908E1">
        <w:rPr>
          <w:rFonts w:asciiTheme="minorHAnsi" w:hAnsiTheme="minorHAnsi"/>
          <w:bCs/>
          <w:snapToGrid w:val="0"/>
        </w:rPr>
        <w:t xml:space="preserve"> </w:t>
      </w:r>
      <w:r w:rsidR="00BC2D07" w:rsidRPr="00A908E1">
        <w:rPr>
          <w:rFonts w:asciiTheme="minorHAnsi" w:hAnsiTheme="minorHAnsi"/>
          <w:bCs/>
          <w:snapToGrid w:val="0"/>
        </w:rPr>
        <w:t xml:space="preserve">Myeloma Australia and its </w:t>
      </w:r>
      <w:r w:rsidR="00777643" w:rsidRPr="00A908E1">
        <w:rPr>
          <w:rFonts w:asciiTheme="minorHAnsi" w:hAnsiTheme="minorHAnsi"/>
          <w:bCs/>
          <w:snapToGrid w:val="0"/>
        </w:rPr>
        <w:t xml:space="preserve">Medical and </w:t>
      </w:r>
      <w:r w:rsidR="00777643" w:rsidRPr="00A908E1">
        <w:rPr>
          <w:rFonts w:asciiTheme="minorHAnsi" w:hAnsiTheme="minorHAnsi"/>
          <w:bCs/>
          <w:snapToGrid w:val="0"/>
        </w:rPr>
        <w:lastRenderedPageBreak/>
        <w:t>Scientific Advisory Group regarding the importance of including RZV on the NIP for people who have multiple myeloma who are unable to receive ZVL. A number of organisations, including Immunisation Foundation of Australia</w:t>
      </w:r>
      <w:r w:rsidR="00FF36AC" w:rsidRPr="00A908E1">
        <w:rPr>
          <w:rFonts w:asciiTheme="minorHAnsi" w:hAnsiTheme="minorHAnsi"/>
          <w:bCs/>
          <w:snapToGrid w:val="0"/>
        </w:rPr>
        <w:t xml:space="preserve"> (IFA)</w:t>
      </w:r>
      <w:r w:rsidR="00777643" w:rsidRPr="00A908E1">
        <w:rPr>
          <w:rFonts w:asciiTheme="minorHAnsi" w:hAnsiTheme="minorHAnsi"/>
          <w:bCs/>
          <w:snapToGrid w:val="0"/>
        </w:rPr>
        <w:t xml:space="preserve"> and Pain Australia, noted the significant impact of HZ infection </w:t>
      </w:r>
      <w:r w:rsidR="00513FEC" w:rsidRPr="00A908E1">
        <w:rPr>
          <w:rFonts w:asciiTheme="minorHAnsi" w:hAnsiTheme="minorHAnsi"/>
          <w:bCs/>
          <w:snapToGrid w:val="0"/>
        </w:rPr>
        <w:t xml:space="preserve">on an individual’s quality of life. </w:t>
      </w:r>
      <w:r w:rsidR="00FF36AC" w:rsidRPr="00A908E1">
        <w:rPr>
          <w:rFonts w:asciiTheme="minorHAnsi" w:hAnsiTheme="minorHAnsi"/>
          <w:bCs/>
          <w:snapToGrid w:val="0"/>
        </w:rPr>
        <w:t xml:space="preserve">IFA noted that RZV is a fairly reactive vaccine and consumers will need to be informed on the likelihood of a reaction, however it considered this would be manageable in clinical practice. </w:t>
      </w:r>
      <w:r w:rsidR="00513FEC" w:rsidRPr="00A908E1">
        <w:rPr>
          <w:rFonts w:asciiTheme="minorHAnsi" w:hAnsiTheme="minorHAnsi"/>
          <w:bCs/>
          <w:snapToGrid w:val="0"/>
        </w:rPr>
        <w:t xml:space="preserve">The National Aboriginal Community Controlled Health Organisation (NACCHO) noted Aboriginal and Torres Strait Islander people are more likely to suffer from HZ and more likely to be immunocompromised so access to RZV is important. NACCHO noted RZV will be easier for nurses and Aboriginal health workers to administer as it will not require additional consideration of whether a live vaccine is appropriate as is required for ZVL. The Australian Rheumatology Association noted the reactivation of VZV is the most concerning infective complication </w:t>
      </w:r>
      <w:r w:rsidR="00FF36AC" w:rsidRPr="00A908E1">
        <w:rPr>
          <w:rFonts w:asciiTheme="minorHAnsi" w:hAnsiTheme="minorHAnsi"/>
          <w:bCs/>
          <w:snapToGrid w:val="0"/>
        </w:rPr>
        <w:t xml:space="preserve">in people treated with Janus Kinase </w:t>
      </w:r>
      <w:r w:rsidR="00320E3A">
        <w:rPr>
          <w:rFonts w:asciiTheme="minorHAnsi" w:hAnsiTheme="minorHAnsi"/>
          <w:bCs/>
          <w:snapToGrid w:val="0"/>
        </w:rPr>
        <w:t xml:space="preserve">(JAK) </w:t>
      </w:r>
      <w:r w:rsidR="00FF36AC" w:rsidRPr="00A908E1">
        <w:rPr>
          <w:rFonts w:asciiTheme="minorHAnsi" w:hAnsiTheme="minorHAnsi"/>
          <w:bCs/>
          <w:snapToGrid w:val="0"/>
        </w:rPr>
        <w:t>inhibitors and rheumatology patients are already at a higher risk of HZ due to their underlying conditions. Multiple Sclerosis Australia noted individuals with multiple sclerosis may be considered severely immunocompromised, and at significant risk of HZ, due to</w:t>
      </w:r>
      <w:r w:rsidR="00320E3A">
        <w:rPr>
          <w:rFonts w:asciiTheme="minorHAnsi" w:hAnsiTheme="minorHAnsi"/>
          <w:bCs/>
          <w:snapToGrid w:val="0"/>
        </w:rPr>
        <w:t xml:space="preserve"> the</w:t>
      </w:r>
      <w:r w:rsidR="00FF36AC" w:rsidRPr="00A908E1">
        <w:rPr>
          <w:rFonts w:asciiTheme="minorHAnsi" w:hAnsiTheme="minorHAnsi"/>
          <w:bCs/>
          <w:snapToGrid w:val="0"/>
        </w:rPr>
        <w:t xml:space="preserve"> </w:t>
      </w:r>
      <w:r w:rsidR="00320E3A">
        <w:rPr>
          <w:rFonts w:asciiTheme="minorHAnsi" w:hAnsiTheme="minorHAnsi"/>
          <w:bCs/>
          <w:snapToGrid w:val="0"/>
        </w:rPr>
        <w:t xml:space="preserve">immunosuppressant </w:t>
      </w:r>
      <w:r w:rsidR="00FF36AC" w:rsidRPr="00A908E1">
        <w:rPr>
          <w:rFonts w:asciiTheme="minorHAnsi" w:hAnsiTheme="minorHAnsi"/>
          <w:bCs/>
          <w:snapToGrid w:val="0"/>
        </w:rPr>
        <w:t xml:space="preserve">medications they may be receiving. </w:t>
      </w:r>
      <w:r w:rsidR="00513FEC" w:rsidRPr="00A908E1">
        <w:rPr>
          <w:rFonts w:asciiTheme="minorHAnsi" w:hAnsiTheme="minorHAnsi"/>
          <w:bCs/>
          <w:snapToGrid w:val="0"/>
        </w:rPr>
        <w:t>The inclusion of RZV on the NIP was also supported by the Australian Society of Clinical Immunology and Allergy and the Pharmaceutical Society of Australia.</w:t>
      </w:r>
      <w:r w:rsidR="00A908E1" w:rsidRPr="00A908E1">
        <w:rPr>
          <w:rFonts w:asciiTheme="minorHAnsi" w:hAnsiTheme="minorHAnsi"/>
          <w:bCs/>
          <w:snapToGrid w:val="0"/>
        </w:rPr>
        <w:t xml:space="preserve"> </w:t>
      </w:r>
      <w:r w:rsidR="00320E3A">
        <w:rPr>
          <w:rFonts w:asciiTheme="minorHAnsi" w:hAnsiTheme="minorHAnsi"/>
          <w:bCs/>
          <w:snapToGrid w:val="0"/>
        </w:rPr>
        <w:t xml:space="preserve">A number of </w:t>
      </w:r>
      <w:r w:rsidR="00777643" w:rsidRPr="00A908E1">
        <w:rPr>
          <w:rFonts w:asciiTheme="minorHAnsi" w:hAnsiTheme="minorHAnsi"/>
          <w:bCs/>
          <w:snapToGrid w:val="0"/>
        </w:rPr>
        <w:t xml:space="preserve">organisations were concerned with equity of access issues because of the high private cost of RZV.   </w:t>
      </w:r>
    </w:p>
    <w:p w14:paraId="2A6CC086" w14:textId="77777777" w:rsidR="00D73D20" w:rsidRPr="00AD7238" w:rsidRDefault="00D73D20" w:rsidP="00D73D20">
      <w:pPr>
        <w:pStyle w:val="4-SubsectionHeading"/>
      </w:pPr>
      <w:bookmarkStart w:id="20" w:name="_Toc124949412"/>
      <w:bookmarkEnd w:id="17"/>
      <w:bookmarkEnd w:id="19"/>
      <w:r w:rsidRPr="00A908E1">
        <w:t>Clinical trials</w:t>
      </w:r>
      <w:bookmarkEnd w:id="16"/>
      <w:bookmarkEnd w:id="20"/>
    </w:p>
    <w:p w14:paraId="29229A84" w14:textId="55539D87" w:rsidR="00D73D20" w:rsidRPr="00AD7238" w:rsidRDefault="00D73D20" w:rsidP="00D73D20">
      <w:pPr>
        <w:pStyle w:val="3-BodyText"/>
        <w:rPr>
          <w:snapToGrid/>
        </w:rPr>
      </w:pPr>
      <w:r w:rsidRPr="00AD7238">
        <w:rPr>
          <w:snapToGrid/>
        </w:rPr>
        <w:t xml:space="preserve">The </w:t>
      </w:r>
      <w:r w:rsidR="00596897" w:rsidRPr="00AD7238">
        <w:rPr>
          <w:snapToGrid/>
        </w:rPr>
        <w:t>re</w:t>
      </w:r>
      <w:r w:rsidRPr="00AD7238">
        <w:rPr>
          <w:snapToGrid/>
        </w:rPr>
        <w:t xml:space="preserve">submission was based on 2 </w:t>
      </w:r>
      <w:r w:rsidRPr="00AD7238">
        <w:t xml:space="preserve">head-to-head randomised efficacy trials comparing RZV and placebo (ZOE-50, ZOE-70) and </w:t>
      </w:r>
      <w:r w:rsidR="0026647A">
        <w:t xml:space="preserve">a </w:t>
      </w:r>
      <w:r w:rsidRPr="00AD7238">
        <w:t xml:space="preserve">long-term </w:t>
      </w:r>
      <w:r w:rsidR="0026647A">
        <w:t xml:space="preserve">follow-up </w:t>
      </w:r>
      <w:r w:rsidR="00F34C58">
        <w:t xml:space="preserve">study </w:t>
      </w:r>
      <w:r w:rsidR="0026647A">
        <w:t>of these</w:t>
      </w:r>
      <w:r w:rsidR="0026647A" w:rsidRPr="00AD7238">
        <w:t xml:space="preserve"> </w:t>
      </w:r>
      <w:r w:rsidRPr="00AD7238">
        <w:t>trial</w:t>
      </w:r>
      <w:r w:rsidR="0026647A">
        <w:t>s</w:t>
      </w:r>
      <w:r w:rsidRPr="00AD7238">
        <w:t xml:space="preserve"> (ZOSTER-049)</w:t>
      </w:r>
      <w:r w:rsidRPr="00AD7238">
        <w:rPr>
          <w:snapToGrid/>
        </w:rPr>
        <w:t xml:space="preserve">. </w:t>
      </w:r>
    </w:p>
    <w:p w14:paraId="2F8E7885" w14:textId="2A44C6FD" w:rsidR="00D73D20" w:rsidRPr="00AD7238" w:rsidRDefault="00D73D20" w:rsidP="00D5557B">
      <w:pPr>
        <w:pStyle w:val="ListParagraph"/>
        <w:numPr>
          <w:ilvl w:val="1"/>
          <w:numId w:val="23"/>
        </w:numPr>
        <w:spacing w:before="40" w:after="40"/>
        <w:ind w:left="1077" w:hanging="357"/>
        <w:rPr>
          <w:rFonts w:cs="Calibri"/>
          <w:snapToGrid/>
        </w:rPr>
      </w:pPr>
      <w:r w:rsidRPr="00AD7238">
        <w:rPr>
          <w:rFonts w:cs="Calibri"/>
          <w:snapToGrid/>
        </w:rPr>
        <w:t>ZOE-50: Compared two doses of RZV to placebo in adults aged 50 years and over (N=15,411)</w:t>
      </w:r>
      <w:r w:rsidR="00EF612F">
        <w:rPr>
          <w:rFonts w:cs="Calibri"/>
          <w:snapToGrid/>
        </w:rPr>
        <w:t>.</w:t>
      </w:r>
    </w:p>
    <w:p w14:paraId="07B2537F" w14:textId="2B92AE4E" w:rsidR="00D73D20" w:rsidRPr="00AD7238" w:rsidRDefault="00D73D20" w:rsidP="00D5557B">
      <w:pPr>
        <w:pStyle w:val="ListParagraph"/>
        <w:numPr>
          <w:ilvl w:val="1"/>
          <w:numId w:val="23"/>
        </w:numPr>
        <w:spacing w:before="40" w:after="40"/>
        <w:ind w:left="1077" w:hanging="357"/>
        <w:rPr>
          <w:rFonts w:cs="Calibri"/>
          <w:snapToGrid/>
        </w:rPr>
      </w:pPr>
      <w:r w:rsidRPr="00AD7238">
        <w:rPr>
          <w:rFonts w:cs="Calibri"/>
          <w:snapToGrid/>
        </w:rPr>
        <w:t>ZOE-70: Compared two doses of RZV to placebo in adults aged 70 years and over (N=13,900)</w:t>
      </w:r>
      <w:r w:rsidR="00EF612F">
        <w:rPr>
          <w:rFonts w:cs="Calibri"/>
          <w:snapToGrid/>
        </w:rPr>
        <w:t>.</w:t>
      </w:r>
    </w:p>
    <w:p w14:paraId="5F39E60F" w14:textId="4522A932" w:rsidR="00D73D20" w:rsidRPr="00AD7238" w:rsidRDefault="00D73D20" w:rsidP="004750ED">
      <w:pPr>
        <w:pStyle w:val="ListBullet"/>
        <w:tabs>
          <w:tab w:val="num" w:pos="1080"/>
          <w:tab w:val="num" w:pos="1494"/>
        </w:tabs>
        <w:spacing w:after="240"/>
        <w:ind w:left="1080"/>
      </w:pPr>
      <w:r w:rsidRPr="00AD7238">
        <w:t>ZOSTER-049: Long-term follow-up study (ongoing) of ZOE-50 and ZOE-70 participants with interim analysis for vaccine efficacy against HZ (VE</w:t>
      </w:r>
      <w:r w:rsidRPr="00AD7238">
        <w:rPr>
          <w:vertAlign w:val="subscript"/>
        </w:rPr>
        <w:t>HZ</w:t>
      </w:r>
      <w:r w:rsidRPr="00AD7238">
        <w:t>) (N=</w:t>
      </w:r>
      <w:r w:rsidRPr="006E790F">
        <w:t>7,277)</w:t>
      </w:r>
      <w:r w:rsidR="00EF612F" w:rsidRPr="006E790F">
        <w:t>.</w:t>
      </w:r>
    </w:p>
    <w:p w14:paraId="4B3BACC2" w14:textId="06FB14CF" w:rsidR="00D73D20" w:rsidRPr="006E790F" w:rsidRDefault="00D73D20" w:rsidP="00D73D20">
      <w:pPr>
        <w:pStyle w:val="3-BodyText"/>
        <w:rPr>
          <w:iCs/>
        </w:rPr>
      </w:pPr>
      <w:r w:rsidRPr="006E790F">
        <w:rPr>
          <w:iCs/>
        </w:rPr>
        <w:t xml:space="preserve">The two pivotal trials (ZOE-50, ZOE-70) </w:t>
      </w:r>
      <w:r w:rsidR="004750ED" w:rsidRPr="006E790F">
        <w:rPr>
          <w:iCs/>
        </w:rPr>
        <w:t>were</w:t>
      </w:r>
      <w:r w:rsidRPr="006E790F">
        <w:rPr>
          <w:iCs/>
        </w:rPr>
        <w:t xml:space="preserve"> considered by the PBAC</w:t>
      </w:r>
      <w:r w:rsidR="000C7E9C" w:rsidRPr="006E790F">
        <w:rPr>
          <w:iCs/>
        </w:rPr>
        <w:t xml:space="preserve"> in 2018</w:t>
      </w:r>
      <w:r w:rsidR="004750ED" w:rsidRPr="006E790F">
        <w:rPr>
          <w:iCs/>
        </w:rPr>
        <w:t xml:space="preserve">. </w:t>
      </w:r>
    </w:p>
    <w:p w14:paraId="4B5F6A1D" w14:textId="5E060E1D" w:rsidR="00D73D20" w:rsidRPr="006E790F" w:rsidRDefault="00F540EC" w:rsidP="00D73D20">
      <w:pPr>
        <w:pStyle w:val="3-BodyText"/>
        <w:rPr>
          <w:iCs/>
          <w:color w:val="0066FF"/>
        </w:rPr>
      </w:pPr>
      <w:r w:rsidRPr="006E790F">
        <w:rPr>
          <w:iCs/>
          <w:snapToGrid/>
        </w:rPr>
        <w:t>The ZOSTER-049 study provides up to 10 years of follow-up of ZOE-50 and ZOE-70 participants. The resubmission included the second Year 4 interim analysis, performed after approximately 5 years follow-up of the ZOE 50/ZOE 70 participants and ≥ 4 additional years of follow-up in ZOSTER-49. Data from ZOSTER-049 has not previously been considered by the PBAC.</w:t>
      </w:r>
    </w:p>
    <w:p w14:paraId="2676B9FF" w14:textId="0B9654D1" w:rsidR="00D73D20" w:rsidRPr="00AD7238" w:rsidRDefault="00D73D20" w:rsidP="00D73D20">
      <w:pPr>
        <w:pStyle w:val="3-BodyText"/>
      </w:pPr>
      <w:r w:rsidRPr="00AD7238">
        <w:rPr>
          <w:snapToGrid/>
        </w:rPr>
        <w:t xml:space="preserve">Details of the trials presented in the </w:t>
      </w:r>
      <w:r w:rsidR="00DE338A" w:rsidRPr="00AD7238">
        <w:rPr>
          <w:snapToGrid/>
        </w:rPr>
        <w:t>re</w:t>
      </w:r>
      <w:r w:rsidRPr="00AD7238">
        <w:rPr>
          <w:snapToGrid/>
        </w:rPr>
        <w:t xml:space="preserve">submission are provided in </w:t>
      </w:r>
      <w:r w:rsidRPr="00AD7238">
        <w:rPr>
          <w:snapToGrid/>
        </w:rPr>
        <w:fldChar w:fldCharType="begin" w:fldLock="1"/>
      </w:r>
      <w:r w:rsidRPr="00AD7238">
        <w:rPr>
          <w:snapToGrid/>
        </w:rPr>
        <w:instrText xml:space="preserve"> REF _Ref104803956 \h </w:instrText>
      </w:r>
      <w:r w:rsidRPr="00AD7238">
        <w:rPr>
          <w:snapToGrid/>
        </w:rPr>
      </w:r>
      <w:r w:rsidRPr="00AD7238">
        <w:rPr>
          <w:snapToGrid/>
        </w:rPr>
        <w:fldChar w:fldCharType="separate"/>
      </w:r>
      <w:r w:rsidR="00602E99" w:rsidRPr="00AD7238">
        <w:t xml:space="preserve">Table </w:t>
      </w:r>
      <w:r w:rsidR="00602E99">
        <w:rPr>
          <w:noProof/>
        </w:rPr>
        <w:t>3</w:t>
      </w:r>
      <w:r w:rsidRPr="00AD7238">
        <w:rPr>
          <w:snapToGrid/>
        </w:rPr>
        <w:fldChar w:fldCharType="end"/>
      </w:r>
      <w:r w:rsidRPr="00AD7238">
        <w:rPr>
          <w:snapToGrid/>
        </w:rPr>
        <w:t xml:space="preserve">. </w:t>
      </w:r>
    </w:p>
    <w:p w14:paraId="33CA2ED9" w14:textId="54801F00" w:rsidR="00D73D20" w:rsidRPr="00AD7238" w:rsidRDefault="00D73D20" w:rsidP="00D73D20">
      <w:pPr>
        <w:pStyle w:val="TableFigureHeading"/>
      </w:pPr>
      <w:bookmarkStart w:id="21" w:name="_Ref104803956"/>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3</w:t>
      </w:r>
      <w:r w:rsidR="000442ED">
        <w:rPr>
          <w:noProof/>
        </w:rPr>
        <w:fldChar w:fldCharType="end"/>
      </w:r>
      <w:bookmarkEnd w:id="21"/>
      <w:r w:rsidRPr="00AD7238">
        <w:t>:</w:t>
      </w:r>
      <w:r w:rsidRPr="00AD7238">
        <w:rPr>
          <w:rStyle w:val="CommentReference"/>
          <w:b/>
          <w:szCs w:val="24"/>
        </w:rPr>
        <w:t xml:space="preserve"> Trials and associated reports presented in the </w:t>
      </w:r>
      <w:r w:rsidR="00815FA2" w:rsidRPr="00AD7238">
        <w:rPr>
          <w:rStyle w:val="CommentReference"/>
          <w:b/>
          <w:szCs w:val="24"/>
        </w:rPr>
        <w:t>re</w:t>
      </w:r>
      <w:r w:rsidRPr="00AD7238">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D73D20" w:rsidRPr="00AD7238" w14:paraId="54EFEBCF" w14:textId="77777777">
        <w:trPr>
          <w:tblHeader/>
        </w:trPr>
        <w:tc>
          <w:tcPr>
            <w:tcW w:w="796" w:type="pct"/>
            <w:vAlign w:val="center"/>
          </w:tcPr>
          <w:p w14:paraId="6E74120C" w14:textId="77777777" w:rsidR="00D73D20" w:rsidRPr="00AD7238" w:rsidRDefault="00D73D20">
            <w:pPr>
              <w:pStyle w:val="Tabletext"/>
              <w:rPr>
                <w:b/>
              </w:rPr>
            </w:pPr>
            <w:r w:rsidRPr="00AD7238">
              <w:rPr>
                <w:b/>
              </w:rPr>
              <w:t>Trial ID</w:t>
            </w:r>
          </w:p>
        </w:tc>
        <w:tc>
          <w:tcPr>
            <w:tcW w:w="3027" w:type="pct"/>
            <w:vAlign w:val="center"/>
          </w:tcPr>
          <w:p w14:paraId="75E540AE" w14:textId="77777777" w:rsidR="00D73D20" w:rsidRPr="00AD7238" w:rsidRDefault="00D73D20">
            <w:pPr>
              <w:pStyle w:val="Tabletext"/>
              <w:rPr>
                <w:b/>
              </w:rPr>
            </w:pPr>
            <w:r w:rsidRPr="00AD7238">
              <w:rPr>
                <w:b/>
              </w:rPr>
              <w:t>Protocol title/ Publication title</w:t>
            </w:r>
          </w:p>
        </w:tc>
        <w:tc>
          <w:tcPr>
            <w:tcW w:w="1177" w:type="pct"/>
            <w:vAlign w:val="center"/>
          </w:tcPr>
          <w:p w14:paraId="76EF49D2" w14:textId="77777777" w:rsidR="00D73D20" w:rsidRPr="00AD7238" w:rsidRDefault="00D73D20">
            <w:pPr>
              <w:pStyle w:val="Tabletext"/>
              <w:rPr>
                <w:b/>
              </w:rPr>
            </w:pPr>
            <w:r w:rsidRPr="00AD7238">
              <w:rPr>
                <w:b/>
              </w:rPr>
              <w:t>Publication citation</w:t>
            </w:r>
          </w:p>
        </w:tc>
      </w:tr>
      <w:tr w:rsidR="00D73D20" w:rsidRPr="00AD7238" w14:paraId="4FB1541A" w14:textId="77777777">
        <w:tc>
          <w:tcPr>
            <w:tcW w:w="796" w:type="pct"/>
            <w:vMerge w:val="restart"/>
            <w:vAlign w:val="center"/>
          </w:tcPr>
          <w:p w14:paraId="13363B0B" w14:textId="77777777" w:rsidR="00D73D20" w:rsidRPr="00AD7238" w:rsidRDefault="00D73D20">
            <w:pPr>
              <w:pStyle w:val="Tabletext"/>
            </w:pPr>
            <w:r w:rsidRPr="00AD7238">
              <w:t>ZOE-50 (NCT01165177)</w:t>
            </w:r>
          </w:p>
        </w:tc>
        <w:tc>
          <w:tcPr>
            <w:tcW w:w="3027" w:type="pct"/>
            <w:tcBorders>
              <w:bottom w:val="nil"/>
            </w:tcBorders>
            <w:vAlign w:val="center"/>
          </w:tcPr>
          <w:p w14:paraId="2283DC7B" w14:textId="77777777" w:rsidR="00D73D20" w:rsidRPr="00AD7238" w:rsidRDefault="00D73D20">
            <w:pPr>
              <w:pStyle w:val="Tabletext"/>
              <w:rPr>
                <w:szCs w:val="18"/>
              </w:rPr>
            </w:pPr>
            <w:r w:rsidRPr="00AD7238">
              <w:rPr>
                <w:szCs w:val="18"/>
              </w:rPr>
              <w:t>A phase III, randomised, observer blind, multicentre, clinical vaccination trial to assess the prophylactic efficacy, safety, and immunogenicity of GSK Biologicals’ gE/AS01</w:t>
            </w:r>
            <w:r w:rsidRPr="00AD7238">
              <w:rPr>
                <w:szCs w:val="18"/>
                <w:vertAlign w:val="subscript"/>
              </w:rPr>
              <w:t>B</w:t>
            </w:r>
            <w:r w:rsidRPr="00AD7238">
              <w:rPr>
                <w:szCs w:val="18"/>
              </w:rPr>
              <w:t xml:space="preserve"> vaccine when administered intramuscularly on a 0, 2-month schedule in adults 50 years and older. </w:t>
            </w:r>
          </w:p>
          <w:p w14:paraId="37AE191A" w14:textId="77777777" w:rsidR="00D73D20" w:rsidRPr="00AD7238" w:rsidRDefault="00D73D20">
            <w:pPr>
              <w:pStyle w:val="Tabletext"/>
              <w:rPr>
                <w:szCs w:val="18"/>
              </w:rPr>
            </w:pPr>
          </w:p>
        </w:tc>
        <w:tc>
          <w:tcPr>
            <w:tcW w:w="1177" w:type="pct"/>
            <w:tcBorders>
              <w:bottom w:val="nil"/>
            </w:tcBorders>
            <w:vAlign w:val="center"/>
          </w:tcPr>
          <w:p w14:paraId="2D05B9B0" w14:textId="77777777" w:rsidR="00D73D20" w:rsidRPr="00AD7238" w:rsidRDefault="00D73D20">
            <w:pPr>
              <w:pStyle w:val="Tabletext"/>
            </w:pPr>
            <w:r w:rsidRPr="00AD7238">
              <w:t>2015</w:t>
            </w:r>
          </w:p>
        </w:tc>
      </w:tr>
      <w:tr w:rsidR="00D73D20" w:rsidRPr="00AD7238" w14:paraId="407650CD" w14:textId="77777777">
        <w:tc>
          <w:tcPr>
            <w:tcW w:w="796" w:type="pct"/>
            <w:vMerge/>
            <w:tcBorders>
              <w:bottom w:val="nil"/>
            </w:tcBorders>
            <w:vAlign w:val="center"/>
          </w:tcPr>
          <w:p w14:paraId="60F44801" w14:textId="77777777" w:rsidR="00D73D20" w:rsidRPr="00AD7238" w:rsidRDefault="00D73D20">
            <w:pPr>
              <w:pStyle w:val="Tabletext"/>
            </w:pPr>
          </w:p>
        </w:tc>
        <w:tc>
          <w:tcPr>
            <w:tcW w:w="3027" w:type="pct"/>
            <w:tcBorders>
              <w:top w:val="nil"/>
              <w:bottom w:val="nil"/>
            </w:tcBorders>
            <w:vAlign w:val="center"/>
          </w:tcPr>
          <w:p w14:paraId="167B310C" w14:textId="77777777" w:rsidR="00D73D20" w:rsidRPr="00AD7238" w:rsidRDefault="00D73D20">
            <w:pPr>
              <w:pStyle w:val="Tabletext"/>
              <w:rPr>
                <w:szCs w:val="18"/>
              </w:rPr>
            </w:pPr>
            <w:r w:rsidRPr="00AD7238">
              <w:rPr>
                <w:szCs w:val="18"/>
              </w:rPr>
              <w:t xml:space="preserve">Lal, H., Cunningham, A., O., Godeaux, 0. Efficacy of an adjuvanted herpes zoster subunit vaccine in older adults. </w:t>
            </w:r>
          </w:p>
        </w:tc>
        <w:tc>
          <w:tcPr>
            <w:tcW w:w="1177" w:type="pct"/>
            <w:tcBorders>
              <w:top w:val="nil"/>
              <w:bottom w:val="nil"/>
            </w:tcBorders>
            <w:vAlign w:val="center"/>
          </w:tcPr>
          <w:p w14:paraId="0F15554E" w14:textId="77777777" w:rsidR="00D73D20" w:rsidRPr="00AD7238" w:rsidRDefault="00D73D20">
            <w:pPr>
              <w:pStyle w:val="Tabletext"/>
              <w:rPr>
                <w:szCs w:val="18"/>
              </w:rPr>
            </w:pPr>
            <w:r w:rsidRPr="00AD7238">
              <w:rPr>
                <w:i/>
                <w:szCs w:val="18"/>
              </w:rPr>
              <w:t>NEJM</w:t>
            </w:r>
            <w:r w:rsidRPr="00AD7238">
              <w:rPr>
                <w:szCs w:val="18"/>
              </w:rPr>
              <w:t xml:space="preserve"> 2015; 372, 2087-2096. </w:t>
            </w:r>
          </w:p>
        </w:tc>
      </w:tr>
      <w:tr w:rsidR="00D73D20" w:rsidRPr="00AD7238" w14:paraId="3AAC3A99" w14:textId="77777777">
        <w:trPr>
          <w:trHeight w:val="742"/>
        </w:trPr>
        <w:tc>
          <w:tcPr>
            <w:tcW w:w="796" w:type="pct"/>
            <w:vMerge w:val="restart"/>
            <w:vAlign w:val="center"/>
          </w:tcPr>
          <w:p w14:paraId="16069C8C" w14:textId="77777777" w:rsidR="00D73D20" w:rsidRPr="00AD7238" w:rsidRDefault="00D73D20">
            <w:pPr>
              <w:pStyle w:val="Tabletext"/>
            </w:pPr>
            <w:r w:rsidRPr="00AD7238">
              <w:t>ZOE-70 (NCT01165229)</w:t>
            </w:r>
          </w:p>
        </w:tc>
        <w:tc>
          <w:tcPr>
            <w:tcW w:w="3027" w:type="pct"/>
            <w:tcBorders>
              <w:bottom w:val="nil"/>
            </w:tcBorders>
            <w:vAlign w:val="center"/>
          </w:tcPr>
          <w:p w14:paraId="16B052B2" w14:textId="77777777" w:rsidR="00D73D20" w:rsidRPr="00AD7238" w:rsidRDefault="00D73D20">
            <w:pPr>
              <w:pStyle w:val="Tabletext"/>
              <w:rPr>
                <w:szCs w:val="18"/>
              </w:rPr>
            </w:pPr>
            <w:r w:rsidRPr="00AD7238">
              <w:rPr>
                <w:szCs w:val="18"/>
              </w:rPr>
              <w:t>A phase III, randomised, observer blind, multicentre, clinical vaccination trial to assess the prophylactic efficacy, safety, and immunogenicity of GSK Biologicals’ gE/AS01</w:t>
            </w:r>
            <w:r w:rsidRPr="00AD7238">
              <w:rPr>
                <w:szCs w:val="18"/>
                <w:vertAlign w:val="subscript"/>
              </w:rPr>
              <w:t>B</w:t>
            </w:r>
            <w:r w:rsidRPr="00AD7238">
              <w:rPr>
                <w:szCs w:val="18"/>
              </w:rPr>
              <w:t xml:space="preserve"> vaccine when administered intramuscularly on a 0, 2-month schedule in adults 70 years and older.</w:t>
            </w:r>
          </w:p>
          <w:p w14:paraId="0561341C" w14:textId="77777777" w:rsidR="00D73D20" w:rsidRPr="00AD7238" w:rsidRDefault="00D73D20">
            <w:pPr>
              <w:pStyle w:val="Tabletext"/>
            </w:pPr>
          </w:p>
        </w:tc>
        <w:tc>
          <w:tcPr>
            <w:tcW w:w="1177" w:type="pct"/>
            <w:tcBorders>
              <w:bottom w:val="nil"/>
            </w:tcBorders>
            <w:vAlign w:val="center"/>
          </w:tcPr>
          <w:p w14:paraId="7D18C78C" w14:textId="77777777" w:rsidR="00D73D20" w:rsidRPr="00AD7238" w:rsidRDefault="00D73D20">
            <w:pPr>
              <w:pStyle w:val="Tabletext"/>
            </w:pPr>
            <w:r w:rsidRPr="00AD7238">
              <w:t>2016</w:t>
            </w:r>
          </w:p>
        </w:tc>
      </w:tr>
      <w:tr w:rsidR="00D73D20" w:rsidRPr="00AD7238" w14:paraId="31A79A74" w14:textId="77777777">
        <w:tc>
          <w:tcPr>
            <w:tcW w:w="796" w:type="pct"/>
            <w:vMerge/>
            <w:tcBorders>
              <w:bottom w:val="nil"/>
            </w:tcBorders>
            <w:vAlign w:val="center"/>
          </w:tcPr>
          <w:p w14:paraId="7C50D96B" w14:textId="77777777" w:rsidR="00D73D20" w:rsidRPr="00AD7238" w:rsidRDefault="00D73D20">
            <w:pPr>
              <w:pStyle w:val="Tabletext"/>
            </w:pPr>
          </w:p>
        </w:tc>
        <w:tc>
          <w:tcPr>
            <w:tcW w:w="3027" w:type="pct"/>
            <w:tcBorders>
              <w:top w:val="nil"/>
              <w:bottom w:val="nil"/>
            </w:tcBorders>
            <w:vAlign w:val="center"/>
          </w:tcPr>
          <w:p w14:paraId="44B1D5E8" w14:textId="77777777" w:rsidR="00D73D20" w:rsidRPr="00AD7238" w:rsidRDefault="00D73D20">
            <w:pPr>
              <w:pStyle w:val="Tabletext"/>
              <w:rPr>
                <w:szCs w:val="18"/>
              </w:rPr>
            </w:pPr>
            <w:r w:rsidRPr="00AD7238">
              <w:rPr>
                <w:szCs w:val="18"/>
              </w:rPr>
              <w:t xml:space="preserve">Cunningham, AL., Lal, H, Kovac M et al. Efficacy of the herpes zoster subunit vaccine in adults </w:t>
            </w:r>
            <m:oMath>
              <m:r>
                <w:rPr>
                  <w:rFonts w:ascii="Cambria Math" w:hAnsi="Cambria Math"/>
                  <w:szCs w:val="18"/>
                </w:rPr>
                <m:t>≥</m:t>
              </m:r>
            </m:oMath>
            <w:r w:rsidRPr="00AD7238">
              <w:rPr>
                <w:szCs w:val="18"/>
              </w:rPr>
              <w:t xml:space="preserve"> 70 years of age</w:t>
            </w:r>
          </w:p>
        </w:tc>
        <w:tc>
          <w:tcPr>
            <w:tcW w:w="1177" w:type="pct"/>
            <w:tcBorders>
              <w:top w:val="nil"/>
              <w:bottom w:val="nil"/>
            </w:tcBorders>
            <w:vAlign w:val="center"/>
          </w:tcPr>
          <w:p w14:paraId="7567FED1" w14:textId="77777777" w:rsidR="00D73D20" w:rsidRPr="00AD7238" w:rsidRDefault="00D73D20">
            <w:pPr>
              <w:pStyle w:val="Tabletext"/>
              <w:rPr>
                <w:i/>
              </w:rPr>
            </w:pPr>
            <w:r w:rsidRPr="00AD7238">
              <w:rPr>
                <w:i/>
                <w:szCs w:val="18"/>
              </w:rPr>
              <w:t xml:space="preserve">NEJM </w:t>
            </w:r>
            <w:r w:rsidRPr="00AD7238">
              <w:rPr>
                <w:szCs w:val="18"/>
              </w:rPr>
              <w:t>2016; 32: 1745-1753</w:t>
            </w:r>
          </w:p>
        </w:tc>
      </w:tr>
      <w:tr w:rsidR="00D73D20" w:rsidRPr="00AD7238" w14:paraId="190F7D7C" w14:textId="77777777">
        <w:tc>
          <w:tcPr>
            <w:tcW w:w="796" w:type="pct"/>
            <w:tcBorders>
              <w:bottom w:val="nil"/>
            </w:tcBorders>
            <w:vAlign w:val="center"/>
          </w:tcPr>
          <w:p w14:paraId="05DD17CE" w14:textId="77777777" w:rsidR="00D73D20" w:rsidRPr="00AD7238" w:rsidRDefault="00D73D20">
            <w:pPr>
              <w:pStyle w:val="Tabletext"/>
            </w:pPr>
          </w:p>
        </w:tc>
        <w:tc>
          <w:tcPr>
            <w:tcW w:w="3027" w:type="pct"/>
            <w:tcBorders>
              <w:bottom w:val="nil"/>
            </w:tcBorders>
            <w:vAlign w:val="center"/>
          </w:tcPr>
          <w:p w14:paraId="0DE6EE24" w14:textId="77777777" w:rsidR="00D73D20" w:rsidRPr="00AD7238" w:rsidRDefault="00D73D20">
            <w:pPr>
              <w:pStyle w:val="Tabletext"/>
            </w:pPr>
            <w:r w:rsidRPr="00AD7238">
              <w:t>Curran, D., Oostvogels, L., Heineman, T et al. Quality of Life Impact of an adjuvanted Recombinant Zoster Vaccine in Adults aged 50 Years and Older.</w:t>
            </w:r>
          </w:p>
        </w:tc>
        <w:tc>
          <w:tcPr>
            <w:tcW w:w="1177" w:type="pct"/>
            <w:tcBorders>
              <w:bottom w:val="nil"/>
            </w:tcBorders>
            <w:vAlign w:val="center"/>
          </w:tcPr>
          <w:p w14:paraId="6F4A864F" w14:textId="77777777" w:rsidR="00D73D20" w:rsidRPr="00AD7238" w:rsidRDefault="00D73D20">
            <w:pPr>
              <w:pStyle w:val="Tabletext"/>
            </w:pPr>
            <w:r w:rsidRPr="00AD7238">
              <w:t>2019. The Journals of gerontology. Series A, Biological sciences and medical sciences, 74(8) 1231-1238.</w:t>
            </w:r>
          </w:p>
        </w:tc>
      </w:tr>
      <w:tr w:rsidR="00D73D20" w:rsidRPr="00AD7238" w14:paraId="763C3B6B" w14:textId="77777777">
        <w:tc>
          <w:tcPr>
            <w:tcW w:w="796" w:type="pct"/>
            <w:vMerge w:val="restart"/>
            <w:tcBorders>
              <w:top w:val="nil"/>
            </w:tcBorders>
            <w:vAlign w:val="center"/>
          </w:tcPr>
          <w:p w14:paraId="024DD066" w14:textId="77777777" w:rsidR="00D73D20" w:rsidRPr="00AD7238" w:rsidRDefault="00D73D20">
            <w:pPr>
              <w:pStyle w:val="Tabletext"/>
            </w:pPr>
            <w:r w:rsidRPr="00AD7238">
              <w:t>ZOE-50 and ZOE-70 pooled</w:t>
            </w:r>
          </w:p>
        </w:tc>
        <w:tc>
          <w:tcPr>
            <w:tcW w:w="3027" w:type="pct"/>
            <w:tcBorders>
              <w:top w:val="nil"/>
              <w:bottom w:val="nil"/>
            </w:tcBorders>
            <w:vAlign w:val="center"/>
          </w:tcPr>
          <w:p w14:paraId="7E407E11" w14:textId="77777777" w:rsidR="00D73D20" w:rsidRPr="00AD7238" w:rsidRDefault="00D73D20">
            <w:pPr>
              <w:pStyle w:val="Tabletext"/>
              <w:rPr>
                <w:szCs w:val="18"/>
              </w:rPr>
            </w:pPr>
            <w:r w:rsidRPr="00AD7238">
              <w:rPr>
                <w:szCs w:val="18"/>
              </w:rPr>
              <w:t>Kovac, M., Lal, H., Cunningham, A. L., Levin, M. J., Johnson, R. W., Campora, L., … Heineman, T. C. Complications of herpes zoster in immunocompetent older adults: Incidence in vaccine and placebo groups in two large phase 3 trials.</w:t>
            </w:r>
          </w:p>
          <w:p w14:paraId="0B31480B" w14:textId="77777777" w:rsidR="00D73D20" w:rsidRPr="00AD7238" w:rsidRDefault="00D73D20">
            <w:pPr>
              <w:pStyle w:val="Tabletext"/>
              <w:rPr>
                <w:szCs w:val="18"/>
              </w:rPr>
            </w:pPr>
          </w:p>
        </w:tc>
        <w:tc>
          <w:tcPr>
            <w:tcW w:w="1177" w:type="pct"/>
            <w:tcBorders>
              <w:top w:val="nil"/>
              <w:bottom w:val="nil"/>
            </w:tcBorders>
            <w:vAlign w:val="center"/>
          </w:tcPr>
          <w:p w14:paraId="7CA58DC2" w14:textId="77777777" w:rsidR="00D73D20" w:rsidRPr="00AD7238" w:rsidRDefault="00D73D20">
            <w:pPr>
              <w:pStyle w:val="Tabletext"/>
            </w:pPr>
            <w:r w:rsidRPr="00AD7238">
              <w:t>2018. Vaccine, 36(12) 1537-1541</w:t>
            </w:r>
          </w:p>
        </w:tc>
      </w:tr>
      <w:tr w:rsidR="00D73D20" w:rsidRPr="00AD7238" w14:paraId="592B7F39" w14:textId="77777777">
        <w:tc>
          <w:tcPr>
            <w:tcW w:w="796" w:type="pct"/>
            <w:vMerge/>
            <w:vAlign w:val="center"/>
          </w:tcPr>
          <w:p w14:paraId="7FC06018" w14:textId="77777777" w:rsidR="00D73D20" w:rsidRPr="00AD7238" w:rsidRDefault="00D73D20">
            <w:pPr>
              <w:pStyle w:val="Tabletext"/>
            </w:pPr>
          </w:p>
        </w:tc>
        <w:tc>
          <w:tcPr>
            <w:tcW w:w="3027" w:type="pct"/>
            <w:tcBorders>
              <w:top w:val="nil"/>
              <w:bottom w:val="nil"/>
            </w:tcBorders>
            <w:vAlign w:val="center"/>
          </w:tcPr>
          <w:p w14:paraId="12336C09" w14:textId="61202C2A" w:rsidR="00D73D20" w:rsidRPr="00AD7238" w:rsidRDefault="00D73D20">
            <w:pPr>
              <w:pStyle w:val="Tabletext"/>
              <w:rPr>
                <w:szCs w:val="18"/>
              </w:rPr>
            </w:pPr>
            <w:r w:rsidRPr="00AD7238">
              <w:rPr>
                <w:szCs w:val="18"/>
              </w:rPr>
              <w:t>Curran, D., Kim, J. H., Hatthews, S., Dessart, C., Levin, M. J., Oostvogels, L., … Andrew, M. K. Recombinant Zoster Vaccine is Efficacious and Safe in Frail Individuals.</w:t>
            </w:r>
          </w:p>
          <w:p w14:paraId="59C45DB9" w14:textId="77777777" w:rsidR="00D73D20" w:rsidRPr="00AD7238" w:rsidRDefault="00D73D20">
            <w:pPr>
              <w:pStyle w:val="Tabletext"/>
              <w:rPr>
                <w:szCs w:val="18"/>
              </w:rPr>
            </w:pPr>
          </w:p>
        </w:tc>
        <w:tc>
          <w:tcPr>
            <w:tcW w:w="1177" w:type="pct"/>
            <w:tcBorders>
              <w:top w:val="nil"/>
              <w:bottom w:val="nil"/>
            </w:tcBorders>
            <w:vAlign w:val="center"/>
          </w:tcPr>
          <w:p w14:paraId="5D4C74D9" w14:textId="77777777" w:rsidR="00D73D20" w:rsidRPr="00AD7238" w:rsidRDefault="00D73D20">
            <w:pPr>
              <w:pStyle w:val="Tabletext"/>
            </w:pPr>
            <w:r w:rsidRPr="00AD7238">
              <w:t>2021. Journal of the American Geriatrics Society. 69(3), 744-752</w:t>
            </w:r>
          </w:p>
        </w:tc>
      </w:tr>
      <w:tr w:rsidR="00D73D20" w:rsidRPr="00AD7238" w14:paraId="4768B970" w14:textId="77777777">
        <w:tc>
          <w:tcPr>
            <w:tcW w:w="796" w:type="pct"/>
            <w:vMerge/>
            <w:vAlign w:val="center"/>
          </w:tcPr>
          <w:p w14:paraId="74BC981A" w14:textId="77777777" w:rsidR="00D73D20" w:rsidRPr="00AD7238" w:rsidRDefault="00D73D20">
            <w:pPr>
              <w:pStyle w:val="Tabletext"/>
            </w:pPr>
          </w:p>
        </w:tc>
        <w:tc>
          <w:tcPr>
            <w:tcW w:w="3027" w:type="pct"/>
            <w:tcBorders>
              <w:top w:val="nil"/>
              <w:bottom w:val="nil"/>
            </w:tcBorders>
            <w:vAlign w:val="center"/>
          </w:tcPr>
          <w:p w14:paraId="02241AF4" w14:textId="77777777" w:rsidR="00D73D20" w:rsidRPr="00AD7238" w:rsidRDefault="00D73D20">
            <w:pPr>
              <w:pStyle w:val="Tabletext"/>
              <w:rPr>
                <w:szCs w:val="18"/>
              </w:rPr>
            </w:pPr>
            <w:r w:rsidRPr="00AD7238">
              <w:rPr>
                <w:szCs w:val="18"/>
              </w:rPr>
              <w:t>Dagnew, A. F., Rausch, D., Hervé, C., Zahaf, T., Levin, M. J., &amp; Schuind, A. Efficacy and serious adverse events profile of the adjuvanted recombinant zoster vaccine in adults with pre-existing potential immune mediated diseases: A pooled post hoc analysis on two parallel randomized trials.</w:t>
            </w:r>
          </w:p>
          <w:p w14:paraId="3E2ABFB5" w14:textId="77777777" w:rsidR="00D73D20" w:rsidRPr="00AD7238" w:rsidRDefault="00D73D20">
            <w:pPr>
              <w:pStyle w:val="Tabletext"/>
              <w:rPr>
                <w:szCs w:val="18"/>
              </w:rPr>
            </w:pPr>
          </w:p>
        </w:tc>
        <w:tc>
          <w:tcPr>
            <w:tcW w:w="1177" w:type="pct"/>
            <w:tcBorders>
              <w:top w:val="nil"/>
              <w:bottom w:val="nil"/>
            </w:tcBorders>
            <w:vAlign w:val="center"/>
          </w:tcPr>
          <w:p w14:paraId="09095E06" w14:textId="77777777" w:rsidR="00D73D20" w:rsidRPr="00AD7238" w:rsidRDefault="00D73D20">
            <w:pPr>
              <w:pStyle w:val="Tabletext"/>
            </w:pPr>
            <w:r w:rsidRPr="00AD7238">
              <w:t>2021. Rheumatology (United Kingdom) 60(3) 1226-1233.</w:t>
            </w:r>
          </w:p>
        </w:tc>
      </w:tr>
      <w:tr w:rsidR="00D73D20" w:rsidRPr="00AD7238" w14:paraId="591D124D" w14:textId="77777777">
        <w:tc>
          <w:tcPr>
            <w:tcW w:w="796" w:type="pct"/>
            <w:vMerge/>
            <w:vAlign w:val="center"/>
          </w:tcPr>
          <w:p w14:paraId="179ECC71" w14:textId="77777777" w:rsidR="00D73D20" w:rsidRPr="00AD7238" w:rsidRDefault="00D73D20">
            <w:pPr>
              <w:pStyle w:val="Tabletext"/>
            </w:pPr>
          </w:p>
        </w:tc>
        <w:tc>
          <w:tcPr>
            <w:tcW w:w="3027" w:type="pct"/>
            <w:tcBorders>
              <w:top w:val="nil"/>
              <w:bottom w:val="nil"/>
            </w:tcBorders>
            <w:vAlign w:val="center"/>
          </w:tcPr>
          <w:p w14:paraId="4215BADB" w14:textId="77777777" w:rsidR="00D73D20" w:rsidRPr="00AD7238" w:rsidRDefault="00D73D20">
            <w:pPr>
              <w:pStyle w:val="Tabletext"/>
              <w:rPr>
                <w:szCs w:val="18"/>
              </w:rPr>
            </w:pPr>
            <w:r w:rsidRPr="00AD7238">
              <w:rPr>
                <w:szCs w:val="18"/>
              </w:rPr>
              <w:t>Oostvogels, L., Heineman, T. C., Johnston, R. W., Levin, M. J., McElhaney, J. E., Van den Steen, P., … Cunningham, A. L. Medical Conditions at enrolment do not impact efficacy and safety of the adjuvanted recombinant zoster vaccine: a pooled post-hoc analysis of two parallel randomized trials.</w:t>
            </w:r>
          </w:p>
          <w:p w14:paraId="56AE390D" w14:textId="77777777" w:rsidR="00D73D20" w:rsidRPr="00AD7238" w:rsidRDefault="00D73D20">
            <w:pPr>
              <w:pStyle w:val="Tabletext"/>
              <w:rPr>
                <w:szCs w:val="18"/>
              </w:rPr>
            </w:pPr>
          </w:p>
        </w:tc>
        <w:tc>
          <w:tcPr>
            <w:tcW w:w="1177" w:type="pct"/>
            <w:tcBorders>
              <w:top w:val="nil"/>
              <w:bottom w:val="nil"/>
            </w:tcBorders>
            <w:vAlign w:val="center"/>
          </w:tcPr>
          <w:p w14:paraId="74CF8B39" w14:textId="77777777" w:rsidR="00D73D20" w:rsidRPr="00AD7238" w:rsidRDefault="00D73D20">
            <w:pPr>
              <w:pStyle w:val="Tabletext"/>
            </w:pPr>
            <w:r w:rsidRPr="00AD7238">
              <w:t>2019. Human vaccines and Immunotherapeutics, 15(12), 2865-2872.</w:t>
            </w:r>
          </w:p>
        </w:tc>
      </w:tr>
      <w:tr w:rsidR="00D73D20" w:rsidRPr="00AD7238" w14:paraId="0350AE88" w14:textId="77777777">
        <w:tc>
          <w:tcPr>
            <w:tcW w:w="796" w:type="pct"/>
            <w:vMerge/>
            <w:tcBorders>
              <w:bottom w:val="single" w:sz="4" w:space="0" w:color="auto"/>
            </w:tcBorders>
            <w:vAlign w:val="center"/>
          </w:tcPr>
          <w:p w14:paraId="4B53F2E8" w14:textId="77777777" w:rsidR="00D73D20" w:rsidRPr="00AD7238" w:rsidRDefault="00D73D20">
            <w:pPr>
              <w:pStyle w:val="Tabletext"/>
            </w:pPr>
          </w:p>
        </w:tc>
        <w:tc>
          <w:tcPr>
            <w:tcW w:w="3027" w:type="pct"/>
            <w:tcBorders>
              <w:top w:val="nil"/>
              <w:bottom w:val="single" w:sz="4" w:space="0" w:color="auto"/>
            </w:tcBorders>
            <w:vAlign w:val="center"/>
          </w:tcPr>
          <w:p w14:paraId="6E9A8D70" w14:textId="77777777" w:rsidR="00D73D20" w:rsidRPr="00AD7238" w:rsidRDefault="00D73D20">
            <w:pPr>
              <w:pStyle w:val="Tabletext"/>
              <w:rPr>
                <w:szCs w:val="18"/>
              </w:rPr>
            </w:pPr>
            <w:r w:rsidRPr="00AD7238">
              <w:rPr>
                <w:szCs w:val="18"/>
              </w:rPr>
              <w:t>Willer, D. O., Oostvogels, L., Cunningham, A. L, Gervais, P., Gorfinkel, I., Hyung Kim, J., … Schuind, A. Efficacy of the adjuvanted recombinant zoster vaccine by sex, geographic region, and geographic ancestry/ethnicity: A post-hoc analysis of the ZOE-5- and Zoe-70 randomized trials.</w:t>
            </w:r>
          </w:p>
        </w:tc>
        <w:tc>
          <w:tcPr>
            <w:tcW w:w="1177" w:type="pct"/>
            <w:tcBorders>
              <w:top w:val="nil"/>
              <w:bottom w:val="single" w:sz="4" w:space="0" w:color="auto"/>
            </w:tcBorders>
            <w:vAlign w:val="center"/>
          </w:tcPr>
          <w:p w14:paraId="3A30F5C1" w14:textId="77777777" w:rsidR="00D73D20" w:rsidRPr="00AD7238" w:rsidRDefault="00D73D20">
            <w:pPr>
              <w:pStyle w:val="Tabletext"/>
            </w:pPr>
            <w:r w:rsidRPr="00AD7238">
              <w:t>2019. Vaccine, 37(43), 6262-6267</w:t>
            </w:r>
          </w:p>
        </w:tc>
      </w:tr>
      <w:tr w:rsidR="00D73D20" w:rsidRPr="00AD7238" w14:paraId="20731DE8" w14:textId="77777777">
        <w:trPr>
          <w:trHeight w:val="54"/>
        </w:trPr>
        <w:tc>
          <w:tcPr>
            <w:tcW w:w="796" w:type="pct"/>
            <w:tcBorders>
              <w:top w:val="single" w:sz="4" w:space="0" w:color="auto"/>
              <w:bottom w:val="single" w:sz="4" w:space="0" w:color="auto"/>
            </w:tcBorders>
            <w:vAlign w:val="center"/>
          </w:tcPr>
          <w:p w14:paraId="49443A79" w14:textId="77777777" w:rsidR="00D73D20" w:rsidRPr="00AD7238" w:rsidRDefault="00D73D20">
            <w:pPr>
              <w:pStyle w:val="Tabletext"/>
            </w:pPr>
            <w:r w:rsidRPr="00AD7238">
              <w:t>ZOSTER-049 / ZOE-LTFU (NCT02723773)</w:t>
            </w:r>
          </w:p>
        </w:tc>
        <w:tc>
          <w:tcPr>
            <w:tcW w:w="3027" w:type="pct"/>
            <w:tcBorders>
              <w:top w:val="single" w:sz="4" w:space="0" w:color="auto"/>
              <w:bottom w:val="single" w:sz="4" w:space="0" w:color="auto"/>
            </w:tcBorders>
            <w:vAlign w:val="center"/>
          </w:tcPr>
          <w:p w14:paraId="59840E19" w14:textId="77777777" w:rsidR="00D73D20" w:rsidRPr="00AD7238" w:rsidRDefault="00D73D20">
            <w:pPr>
              <w:pStyle w:val="Tabletext"/>
              <w:rPr>
                <w:szCs w:val="18"/>
              </w:rPr>
            </w:pPr>
            <w:r w:rsidRPr="00AD7238">
              <w:rPr>
                <w:szCs w:val="18"/>
              </w:rPr>
              <w:t>Strezova, A., Diez-Domingo, J., Al Shawafi, K., Tinoco, J. C., Shi, M., Pirotta, P., &amp; Mwaking-Omari, A. (2022). Long-term Protection Against Herpes Zoster by the Adjuvanted Recombinant Zoster Vaccine: Interim Efficacy, Immunogenicity, and Safety Results up to 10 Years After Initial Vaccination.</w:t>
            </w:r>
          </w:p>
        </w:tc>
        <w:tc>
          <w:tcPr>
            <w:tcW w:w="1177" w:type="pct"/>
            <w:tcBorders>
              <w:top w:val="single" w:sz="4" w:space="0" w:color="auto"/>
              <w:bottom w:val="single" w:sz="4" w:space="0" w:color="auto"/>
            </w:tcBorders>
            <w:vAlign w:val="center"/>
          </w:tcPr>
          <w:p w14:paraId="3A1DB345" w14:textId="77777777" w:rsidR="00D73D20" w:rsidRPr="00AD7238" w:rsidRDefault="00D73D20">
            <w:pPr>
              <w:pStyle w:val="Tabletext"/>
              <w:rPr>
                <w:i/>
                <w:szCs w:val="18"/>
              </w:rPr>
            </w:pPr>
            <w:r w:rsidRPr="00A65E17">
              <w:rPr>
                <w:iCs/>
                <w:szCs w:val="18"/>
              </w:rPr>
              <w:t>2022. in</w:t>
            </w:r>
            <w:r w:rsidRPr="00AD7238">
              <w:rPr>
                <w:i/>
                <w:szCs w:val="18"/>
              </w:rPr>
              <w:t xml:space="preserve"> Open Forum Infectious Diseases </w:t>
            </w:r>
            <w:r w:rsidRPr="00A65E17">
              <w:rPr>
                <w:iCs/>
                <w:szCs w:val="18"/>
              </w:rPr>
              <w:t>(Vol. 9, No. 20, p. ofac485).</w:t>
            </w:r>
          </w:p>
        </w:tc>
      </w:tr>
    </w:tbl>
    <w:p w14:paraId="7B4F1DD3" w14:textId="0745FD43" w:rsidR="00D73D20" w:rsidRPr="00AD7238" w:rsidRDefault="00D73D20" w:rsidP="00D73D20">
      <w:pPr>
        <w:pStyle w:val="FooterTableFigure"/>
        <w:rPr>
          <w:sz w:val="20"/>
        </w:rPr>
      </w:pPr>
      <w:r w:rsidRPr="00AD7238">
        <w:t xml:space="preserve">Source: Adapted from Table 2.4, p63-66 of the </w:t>
      </w:r>
      <w:r w:rsidR="00815FA2" w:rsidRPr="00AD7238">
        <w:t>re</w:t>
      </w:r>
      <w:r w:rsidRPr="00AD7238">
        <w:t>submission.</w:t>
      </w:r>
    </w:p>
    <w:p w14:paraId="112EBC69" w14:textId="20D9D8F8" w:rsidR="000418A6" w:rsidRPr="00AD7238" w:rsidRDefault="00B84E09" w:rsidP="00D73D20">
      <w:pPr>
        <w:pStyle w:val="3-BodyText"/>
      </w:pPr>
      <w:r w:rsidRPr="00AD7238">
        <w:lastRenderedPageBreak/>
        <w:t xml:space="preserve">A major difference between the </w:t>
      </w:r>
      <w:r w:rsidR="00D73D20" w:rsidRPr="00AD7238">
        <w:t>ZOE-50 and ZOE-70</w:t>
      </w:r>
      <w:r w:rsidR="004750ED" w:rsidRPr="00AD7238">
        <w:t xml:space="preserve"> trials</w:t>
      </w:r>
      <w:r w:rsidRPr="00AD7238">
        <w:t xml:space="preserve"> and the Australian setti</w:t>
      </w:r>
      <w:r w:rsidR="0008372B" w:rsidRPr="00AD7238">
        <w:t>ng is the ZOE trials</w:t>
      </w:r>
      <w:r w:rsidR="00892F98">
        <w:t xml:space="preserve"> </w:t>
      </w:r>
      <w:r w:rsidR="0008372B" w:rsidRPr="00AD7238">
        <w:t xml:space="preserve">excluded </w:t>
      </w:r>
      <w:r w:rsidR="00492A8B" w:rsidRPr="00AD7238">
        <w:t xml:space="preserve">individuals </w:t>
      </w:r>
      <w:r w:rsidR="00596897" w:rsidRPr="00AD7238">
        <w:t>with</w:t>
      </w:r>
      <w:r w:rsidR="00492A8B" w:rsidRPr="00AD7238">
        <w:t xml:space="preserve"> a history of HZ, </w:t>
      </w:r>
      <w:r w:rsidR="00596897" w:rsidRPr="00AD7238">
        <w:t xml:space="preserve">those who </w:t>
      </w:r>
      <w:r w:rsidR="00492A8B" w:rsidRPr="00AD7238">
        <w:t xml:space="preserve">had been previously vaccinated against HZ and </w:t>
      </w:r>
      <w:r w:rsidR="00596897" w:rsidRPr="00AD7238">
        <w:t xml:space="preserve">those who </w:t>
      </w:r>
      <w:r w:rsidR="00492A8B" w:rsidRPr="00AD7238">
        <w:t xml:space="preserve">were immunocompromised. </w:t>
      </w:r>
      <w:r w:rsidR="00596C1D">
        <w:rPr>
          <w:iCs/>
        </w:rPr>
        <w:t xml:space="preserve">The </w:t>
      </w:r>
      <w:r w:rsidR="0062791F" w:rsidRPr="00615B0D">
        <w:rPr>
          <w:iCs/>
        </w:rPr>
        <w:t>ATAGI</w:t>
      </w:r>
      <w:r w:rsidR="0028500B" w:rsidRPr="00615B0D">
        <w:rPr>
          <w:iCs/>
        </w:rPr>
        <w:t xml:space="preserve"> noted that the use of strict eligibility criteria led to a healthier </w:t>
      </w:r>
      <w:r w:rsidR="00596C1D">
        <w:rPr>
          <w:iCs/>
        </w:rPr>
        <w:t xml:space="preserve">clinical trial </w:t>
      </w:r>
      <w:r w:rsidR="0028500B" w:rsidRPr="00615B0D">
        <w:rPr>
          <w:iCs/>
        </w:rPr>
        <w:t xml:space="preserve">population than in the general </w:t>
      </w:r>
      <w:r w:rsidR="0028500B" w:rsidRPr="006E790F">
        <w:rPr>
          <w:iCs/>
        </w:rPr>
        <w:t>Australian</w:t>
      </w:r>
      <w:r w:rsidR="00B8202A" w:rsidRPr="006E790F">
        <w:rPr>
          <w:iCs/>
        </w:rPr>
        <w:t xml:space="preserve"> population</w:t>
      </w:r>
      <w:r w:rsidR="0028500B" w:rsidRPr="006E790F">
        <w:rPr>
          <w:iCs/>
        </w:rPr>
        <w:t>.</w:t>
      </w:r>
    </w:p>
    <w:p w14:paraId="2EE51DCE" w14:textId="2633FB4C" w:rsidR="00D73D20" w:rsidRPr="00AD7238" w:rsidRDefault="00D73D20">
      <w:pPr>
        <w:pStyle w:val="3-BodyText"/>
        <w:rPr>
          <w:color w:val="0066FF"/>
        </w:rPr>
      </w:pPr>
      <w:r w:rsidRPr="00AD7238">
        <w:t xml:space="preserve">The key features of the direct randomised trials and long-term study are summarised in </w:t>
      </w:r>
      <w:r w:rsidRPr="00AD7238">
        <w:fldChar w:fldCharType="begin" w:fldLock="1"/>
      </w:r>
      <w:r w:rsidRPr="00AD7238">
        <w:instrText xml:space="preserve"> REF _Ref104804098 \h  \* MERGEFORMAT </w:instrText>
      </w:r>
      <w:r w:rsidRPr="00AD7238">
        <w:fldChar w:fldCharType="separate"/>
      </w:r>
      <w:r w:rsidR="00602E99" w:rsidRPr="00602E99">
        <w:t>Table 4</w:t>
      </w:r>
      <w:r w:rsidRPr="00AD7238">
        <w:fldChar w:fldCharType="end"/>
      </w:r>
      <w:r w:rsidRPr="00AD7238">
        <w:t xml:space="preserve">. </w:t>
      </w:r>
    </w:p>
    <w:p w14:paraId="26B53A2F" w14:textId="0097FD74" w:rsidR="00D73D20" w:rsidRPr="00AD7238" w:rsidRDefault="00D73D20" w:rsidP="00D73D20">
      <w:pPr>
        <w:pStyle w:val="Caption"/>
        <w:rPr>
          <w:rStyle w:val="CommentReference"/>
          <w:rFonts w:eastAsiaTheme="majorEastAsia" w:cstheme="majorBidi"/>
          <w:b/>
          <w:szCs w:val="24"/>
        </w:rPr>
      </w:pPr>
      <w:bookmarkStart w:id="22" w:name="_Ref104804098"/>
      <w:r w:rsidRPr="00AD7238">
        <w:rPr>
          <w:rStyle w:val="CommentReference"/>
          <w:rFonts w:eastAsiaTheme="majorEastAsia" w:cstheme="majorBidi"/>
          <w:b/>
          <w:szCs w:val="24"/>
        </w:rPr>
        <w:t xml:space="preserve">Table </w:t>
      </w:r>
      <w:r w:rsidRPr="00AD7238">
        <w:rPr>
          <w:rStyle w:val="CommentReference"/>
          <w:rFonts w:eastAsiaTheme="majorEastAsia" w:cstheme="majorBidi"/>
          <w:b/>
          <w:szCs w:val="24"/>
        </w:rPr>
        <w:fldChar w:fldCharType="begin" w:fldLock="1"/>
      </w:r>
      <w:r w:rsidRPr="00AD7238">
        <w:rPr>
          <w:rStyle w:val="CommentReference"/>
          <w:rFonts w:eastAsiaTheme="majorEastAsia" w:cstheme="majorBidi"/>
          <w:b/>
          <w:szCs w:val="24"/>
        </w:rPr>
        <w:instrText xml:space="preserve"> SEQ Table \* ARABIC </w:instrText>
      </w:r>
      <w:r w:rsidRPr="00AD7238">
        <w:rPr>
          <w:rStyle w:val="CommentReference"/>
          <w:rFonts w:eastAsiaTheme="majorEastAsia" w:cstheme="majorBidi"/>
          <w:b/>
          <w:szCs w:val="24"/>
        </w:rPr>
        <w:fldChar w:fldCharType="separate"/>
      </w:r>
      <w:r w:rsidR="00602E99">
        <w:rPr>
          <w:rStyle w:val="CommentReference"/>
          <w:rFonts w:eastAsiaTheme="majorEastAsia" w:cstheme="majorBidi"/>
          <w:b/>
          <w:noProof/>
          <w:szCs w:val="24"/>
        </w:rPr>
        <w:t>4</w:t>
      </w:r>
      <w:r w:rsidRPr="00AD7238">
        <w:rPr>
          <w:rStyle w:val="CommentReference"/>
          <w:rFonts w:eastAsiaTheme="majorEastAsia" w:cstheme="majorBidi"/>
          <w:b/>
          <w:szCs w:val="24"/>
        </w:rPr>
        <w:fldChar w:fldCharType="end"/>
      </w:r>
      <w:bookmarkEnd w:id="22"/>
      <w:r w:rsidRPr="00AD7238">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5"/>
        <w:gridCol w:w="711"/>
        <w:gridCol w:w="1275"/>
        <w:gridCol w:w="994"/>
        <w:gridCol w:w="1558"/>
        <w:gridCol w:w="2267"/>
        <w:gridCol w:w="1367"/>
      </w:tblGrid>
      <w:tr w:rsidR="00D73D20" w:rsidRPr="00AD7238" w14:paraId="794E4670" w14:textId="77777777">
        <w:trPr>
          <w:cantSplit/>
          <w:tblHeader/>
        </w:trPr>
        <w:tc>
          <w:tcPr>
            <w:tcW w:w="469" w:type="pct"/>
            <w:shd w:val="clear" w:color="auto" w:fill="auto"/>
            <w:vAlign w:val="center"/>
          </w:tcPr>
          <w:p w14:paraId="1185E875" w14:textId="77777777" w:rsidR="00D73D20" w:rsidRPr="00AD7238" w:rsidRDefault="00D73D20">
            <w:pPr>
              <w:pStyle w:val="In-tableHeading"/>
              <w:rPr>
                <w:lang w:val="en-AU"/>
              </w:rPr>
            </w:pPr>
            <w:r w:rsidRPr="00AD7238">
              <w:rPr>
                <w:lang w:val="en-AU"/>
              </w:rPr>
              <w:t>Trial</w:t>
            </w:r>
          </w:p>
        </w:tc>
        <w:tc>
          <w:tcPr>
            <w:tcW w:w="394" w:type="pct"/>
            <w:shd w:val="clear" w:color="auto" w:fill="auto"/>
            <w:vAlign w:val="center"/>
          </w:tcPr>
          <w:p w14:paraId="593379A3" w14:textId="77777777" w:rsidR="00D73D20" w:rsidRPr="00AD7238" w:rsidRDefault="00D73D20">
            <w:pPr>
              <w:pStyle w:val="In-tableHeading"/>
              <w:jc w:val="center"/>
              <w:rPr>
                <w:lang w:val="en-AU"/>
              </w:rPr>
            </w:pPr>
            <w:r w:rsidRPr="00AD7238">
              <w:rPr>
                <w:lang w:val="en-AU"/>
              </w:rPr>
              <w:t>N</w:t>
            </w:r>
          </w:p>
        </w:tc>
        <w:tc>
          <w:tcPr>
            <w:tcW w:w="707" w:type="pct"/>
            <w:shd w:val="clear" w:color="auto" w:fill="auto"/>
            <w:vAlign w:val="center"/>
          </w:tcPr>
          <w:p w14:paraId="26CE57B4" w14:textId="77777777" w:rsidR="00D73D20" w:rsidRPr="00AD7238" w:rsidRDefault="00D73D20">
            <w:pPr>
              <w:pStyle w:val="In-tableHeading"/>
              <w:jc w:val="center"/>
              <w:rPr>
                <w:lang w:val="en-AU"/>
              </w:rPr>
            </w:pPr>
            <w:r w:rsidRPr="00AD7238">
              <w:rPr>
                <w:lang w:val="en-AU"/>
              </w:rPr>
              <w:t>Design/ duration</w:t>
            </w:r>
          </w:p>
        </w:tc>
        <w:tc>
          <w:tcPr>
            <w:tcW w:w="551" w:type="pct"/>
            <w:shd w:val="clear" w:color="auto" w:fill="auto"/>
            <w:vAlign w:val="center"/>
          </w:tcPr>
          <w:p w14:paraId="55076709" w14:textId="77777777" w:rsidR="00D73D20" w:rsidRPr="00AD7238" w:rsidRDefault="00D73D20">
            <w:pPr>
              <w:pStyle w:val="In-tableHeading"/>
              <w:jc w:val="center"/>
              <w:rPr>
                <w:lang w:val="en-AU"/>
              </w:rPr>
            </w:pPr>
            <w:r w:rsidRPr="00AD7238">
              <w:rPr>
                <w:lang w:val="en-AU"/>
              </w:rPr>
              <w:t>Risk of bias</w:t>
            </w:r>
          </w:p>
        </w:tc>
        <w:tc>
          <w:tcPr>
            <w:tcW w:w="864" w:type="pct"/>
            <w:shd w:val="clear" w:color="auto" w:fill="auto"/>
            <w:vAlign w:val="center"/>
          </w:tcPr>
          <w:p w14:paraId="1808AB86" w14:textId="77777777" w:rsidR="00D73D20" w:rsidRPr="00AD7238" w:rsidRDefault="00D73D20">
            <w:pPr>
              <w:pStyle w:val="In-tableHeading"/>
              <w:jc w:val="center"/>
              <w:rPr>
                <w:lang w:val="en-AU"/>
              </w:rPr>
            </w:pPr>
            <w:r w:rsidRPr="00AD7238">
              <w:rPr>
                <w:lang w:val="en-AU"/>
              </w:rPr>
              <w:t>Patient population</w:t>
            </w:r>
          </w:p>
        </w:tc>
        <w:tc>
          <w:tcPr>
            <w:tcW w:w="1257" w:type="pct"/>
            <w:shd w:val="clear" w:color="auto" w:fill="auto"/>
            <w:vAlign w:val="center"/>
          </w:tcPr>
          <w:p w14:paraId="1FA8F2B2" w14:textId="77777777" w:rsidR="00D73D20" w:rsidRPr="00AD7238" w:rsidRDefault="00D73D20">
            <w:pPr>
              <w:pStyle w:val="In-tableHeading"/>
              <w:jc w:val="center"/>
              <w:rPr>
                <w:lang w:val="en-AU"/>
              </w:rPr>
            </w:pPr>
            <w:r w:rsidRPr="00AD7238">
              <w:rPr>
                <w:lang w:val="en-AU"/>
              </w:rPr>
              <w:t>Outcome(s)</w:t>
            </w:r>
          </w:p>
        </w:tc>
        <w:tc>
          <w:tcPr>
            <w:tcW w:w="758" w:type="pct"/>
            <w:shd w:val="clear" w:color="auto" w:fill="auto"/>
            <w:vAlign w:val="center"/>
          </w:tcPr>
          <w:p w14:paraId="2F73674A" w14:textId="77777777" w:rsidR="00D73D20" w:rsidRPr="00AD7238" w:rsidRDefault="00D73D20">
            <w:pPr>
              <w:pStyle w:val="In-tableHeading"/>
              <w:jc w:val="center"/>
              <w:rPr>
                <w:lang w:val="en-AU"/>
              </w:rPr>
            </w:pPr>
            <w:r w:rsidRPr="00AD7238">
              <w:rPr>
                <w:lang w:val="en-AU"/>
              </w:rPr>
              <w:t>Use in modelled evaluation</w:t>
            </w:r>
          </w:p>
        </w:tc>
      </w:tr>
      <w:tr w:rsidR="00D73D20" w:rsidRPr="00AD7238" w14:paraId="23FBAD55" w14:textId="77777777">
        <w:trPr>
          <w:cantSplit/>
        </w:trPr>
        <w:tc>
          <w:tcPr>
            <w:tcW w:w="5000" w:type="pct"/>
            <w:gridSpan w:val="7"/>
            <w:shd w:val="clear" w:color="auto" w:fill="DBE5F1" w:themeFill="accent1" w:themeFillTint="33"/>
            <w:vAlign w:val="center"/>
          </w:tcPr>
          <w:p w14:paraId="4AF13E9B" w14:textId="77777777" w:rsidR="00D73D20" w:rsidRPr="00AD7238" w:rsidRDefault="00D73D20">
            <w:pPr>
              <w:pStyle w:val="In-tableHeading"/>
              <w:rPr>
                <w:lang w:val="en-AU"/>
              </w:rPr>
            </w:pPr>
            <w:r w:rsidRPr="00AD7238">
              <w:rPr>
                <w:lang w:val="en-AU"/>
              </w:rPr>
              <w:t>RZV vs. placebo (pivotal trials)</w:t>
            </w:r>
          </w:p>
        </w:tc>
      </w:tr>
      <w:tr w:rsidR="00D73D20" w:rsidRPr="00AD7238" w14:paraId="561097FE" w14:textId="77777777">
        <w:trPr>
          <w:cantSplit/>
        </w:trPr>
        <w:tc>
          <w:tcPr>
            <w:tcW w:w="469" w:type="pct"/>
            <w:shd w:val="clear" w:color="auto" w:fill="DBE5F1" w:themeFill="accent1" w:themeFillTint="33"/>
            <w:vAlign w:val="center"/>
          </w:tcPr>
          <w:p w14:paraId="0935545F" w14:textId="77777777" w:rsidR="00D73D20" w:rsidRPr="00AD7238" w:rsidRDefault="00D73D20">
            <w:pPr>
              <w:pStyle w:val="TableText0"/>
            </w:pPr>
            <w:r w:rsidRPr="00AD7238">
              <w:t>ZOE-50</w:t>
            </w:r>
          </w:p>
        </w:tc>
        <w:tc>
          <w:tcPr>
            <w:tcW w:w="394" w:type="pct"/>
            <w:shd w:val="clear" w:color="auto" w:fill="DBE5F1" w:themeFill="accent1" w:themeFillTint="33"/>
            <w:vAlign w:val="center"/>
          </w:tcPr>
          <w:p w14:paraId="5DF286B8" w14:textId="77777777" w:rsidR="00D73D20" w:rsidRPr="00AD7238" w:rsidRDefault="00D73D20">
            <w:pPr>
              <w:pStyle w:val="TableText0"/>
              <w:jc w:val="center"/>
            </w:pPr>
            <w:r w:rsidRPr="00AD7238">
              <w:t>15,411</w:t>
            </w:r>
          </w:p>
        </w:tc>
        <w:tc>
          <w:tcPr>
            <w:tcW w:w="707" w:type="pct"/>
            <w:shd w:val="clear" w:color="auto" w:fill="DBE5F1" w:themeFill="accent1" w:themeFillTint="33"/>
            <w:vAlign w:val="center"/>
          </w:tcPr>
          <w:p w14:paraId="3C272240" w14:textId="77777777" w:rsidR="00D73D20" w:rsidRPr="006E790F" w:rsidRDefault="00D73D20">
            <w:pPr>
              <w:pStyle w:val="Tabletext"/>
              <w:keepNext/>
              <w:jc w:val="center"/>
            </w:pPr>
            <w:r w:rsidRPr="006E790F">
              <w:t>R, OB, MC, OL</w:t>
            </w:r>
          </w:p>
          <w:p w14:paraId="4459D02F" w14:textId="48AA0B9B" w:rsidR="00D73D20" w:rsidRPr="006E790F" w:rsidRDefault="00D73D20">
            <w:pPr>
              <w:pStyle w:val="TableText0"/>
              <w:jc w:val="center"/>
            </w:pPr>
            <w:r w:rsidRPr="006E790F">
              <w:t>3.</w:t>
            </w:r>
            <w:r w:rsidR="00A90EE2" w:rsidRPr="006E790F">
              <w:t>2</w:t>
            </w:r>
            <w:r w:rsidRPr="006E790F">
              <w:t xml:space="preserve"> years (mean, efficacy mTVC)</w:t>
            </w:r>
          </w:p>
        </w:tc>
        <w:tc>
          <w:tcPr>
            <w:tcW w:w="551" w:type="pct"/>
            <w:shd w:val="clear" w:color="auto" w:fill="DBE5F1" w:themeFill="accent1" w:themeFillTint="33"/>
            <w:vAlign w:val="center"/>
          </w:tcPr>
          <w:p w14:paraId="44947A3C" w14:textId="77777777" w:rsidR="00D73D20" w:rsidRPr="006E790F" w:rsidRDefault="00D73D20">
            <w:pPr>
              <w:pStyle w:val="TableText0"/>
              <w:jc w:val="center"/>
              <w:rPr>
                <w:i/>
              </w:rPr>
            </w:pPr>
            <w:r w:rsidRPr="006E790F">
              <w:t>Low</w:t>
            </w:r>
          </w:p>
        </w:tc>
        <w:tc>
          <w:tcPr>
            <w:tcW w:w="864" w:type="pct"/>
            <w:shd w:val="clear" w:color="auto" w:fill="DBE5F1" w:themeFill="accent1" w:themeFillTint="33"/>
            <w:vAlign w:val="center"/>
          </w:tcPr>
          <w:p w14:paraId="0F221D80" w14:textId="77777777" w:rsidR="00D73D20" w:rsidRPr="006E790F" w:rsidRDefault="00D73D20">
            <w:pPr>
              <w:pStyle w:val="TableText0"/>
              <w:jc w:val="center"/>
            </w:pPr>
            <w:r w:rsidRPr="006E790F">
              <w:t>Healthy individuals aged ≥ 50 years (mean 62.3 years)</w:t>
            </w:r>
          </w:p>
        </w:tc>
        <w:tc>
          <w:tcPr>
            <w:tcW w:w="1257" w:type="pct"/>
            <w:shd w:val="clear" w:color="auto" w:fill="DBE5F1" w:themeFill="accent1" w:themeFillTint="33"/>
            <w:vAlign w:val="center"/>
          </w:tcPr>
          <w:p w14:paraId="2AD278D7" w14:textId="77777777" w:rsidR="00D73D20" w:rsidRPr="006E790F" w:rsidRDefault="00D73D20">
            <w:pPr>
              <w:pStyle w:val="Tabletext"/>
              <w:keepNext/>
              <w:jc w:val="center"/>
            </w:pPr>
            <w:r w:rsidRPr="006E790F">
              <w:t>Primary: Vaccine efficacy against HZ</w:t>
            </w:r>
          </w:p>
          <w:p w14:paraId="67729291" w14:textId="6A1172D1" w:rsidR="00D73D20" w:rsidRPr="006E790F" w:rsidRDefault="00D73D20">
            <w:pPr>
              <w:pStyle w:val="TableText0"/>
              <w:jc w:val="center"/>
            </w:pPr>
            <w:r w:rsidRPr="006E790F">
              <w:t>Secondary</w:t>
            </w:r>
            <w:r w:rsidR="00A90EE2" w:rsidRPr="006E790F">
              <w:t xml:space="preserve"> and exploratory</w:t>
            </w:r>
            <w:r w:rsidRPr="006E790F">
              <w:t>: Vaccine efficacy against PHN, HZ complications, HZ mortality, HZ hospitalisations, HZ pain, immunogenicity and reactogenicity, ZBPI, EQ-5D, SF-36</w:t>
            </w:r>
          </w:p>
        </w:tc>
        <w:tc>
          <w:tcPr>
            <w:tcW w:w="758" w:type="pct"/>
            <w:shd w:val="clear" w:color="auto" w:fill="DBE5F1" w:themeFill="accent1" w:themeFillTint="33"/>
            <w:vAlign w:val="center"/>
          </w:tcPr>
          <w:p w14:paraId="316DA2F0" w14:textId="77777777" w:rsidR="00D73D20" w:rsidRPr="00AD7238" w:rsidRDefault="00D73D20">
            <w:pPr>
              <w:pStyle w:val="TableText0"/>
              <w:jc w:val="center"/>
            </w:pPr>
            <w:r w:rsidRPr="00AD7238">
              <w:t xml:space="preserve">Vaccine efficacy in terms of reduction in the incidence of HZ </w:t>
            </w:r>
          </w:p>
        </w:tc>
      </w:tr>
      <w:tr w:rsidR="00D73D20" w:rsidRPr="00AD7238" w14:paraId="218F681A" w14:textId="77777777">
        <w:trPr>
          <w:cantSplit/>
        </w:trPr>
        <w:tc>
          <w:tcPr>
            <w:tcW w:w="469" w:type="pct"/>
            <w:shd w:val="clear" w:color="auto" w:fill="DBE5F1" w:themeFill="accent1" w:themeFillTint="33"/>
            <w:vAlign w:val="center"/>
          </w:tcPr>
          <w:p w14:paraId="55A3DE10" w14:textId="77777777" w:rsidR="00D73D20" w:rsidRPr="00AD7238" w:rsidRDefault="00D73D20">
            <w:pPr>
              <w:pStyle w:val="TableText0"/>
            </w:pPr>
            <w:r w:rsidRPr="00AD7238">
              <w:t>ZOE-70</w:t>
            </w:r>
          </w:p>
        </w:tc>
        <w:tc>
          <w:tcPr>
            <w:tcW w:w="394" w:type="pct"/>
            <w:shd w:val="clear" w:color="auto" w:fill="DBE5F1" w:themeFill="accent1" w:themeFillTint="33"/>
            <w:vAlign w:val="center"/>
          </w:tcPr>
          <w:p w14:paraId="0A8AF025" w14:textId="77777777" w:rsidR="00D73D20" w:rsidRPr="00AD7238" w:rsidRDefault="00D73D20">
            <w:pPr>
              <w:pStyle w:val="TableText0"/>
              <w:jc w:val="center"/>
            </w:pPr>
            <w:r w:rsidRPr="00AD7238">
              <w:t>13,900</w:t>
            </w:r>
          </w:p>
        </w:tc>
        <w:tc>
          <w:tcPr>
            <w:tcW w:w="707" w:type="pct"/>
            <w:shd w:val="clear" w:color="auto" w:fill="DBE5F1" w:themeFill="accent1" w:themeFillTint="33"/>
            <w:vAlign w:val="center"/>
          </w:tcPr>
          <w:p w14:paraId="0F2B773D" w14:textId="77777777" w:rsidR="00D73D20" w:rsidRPr="00AD7238" w:rsidRDefault="00D73D20">
            <w:pPr>
              <w:pStyle w:val="Tabletext"/>
              <w:keepNext/>
              <w:jc w:val="center"/>
            </w:pPr>
            <w:r w:rsidRPr="00AD7238">
              <w:t>R, OB, MC, OL</w:t>
            </w:r>
          </w:p>
          <w:p w14:paraId="118A10B1" w14:textId="77777777" w:rsidR="00D73D20" w:rsidRPr="00AD7238" w:rsidRDefault="00D73D20">
            <w:pPr>
              <w:pStyle w:val="TableText0"/>
              <w:jc w:val="center"/>
            </w:pPr>
            <w:r w:rsidRPr="00AD7238">
              <w:t>3.7 years (mean, efficacy mTVC)</w:t>
            </w:r>
          </w:p>
        </w:tc>
        <w:tc>
          <w:tcPr>
            <w:tcW w:w="551" w:type="pct"/>
            <w:shd w:val="clear" w:color="auto" w:fill="DBE5F1" w:themeFill="accent1" w:themeFillTint="33"/>
            <w:vAlign w:val="center"/>
          </w:tcPr>
          <w:p w14:paraId="78AF0C3F" w14:textId="77777777" w:rsidR="00D73D20" w:rsidRPr="00AD7238" w:rsidRDefault="00D73D20">
            <w:pPr>
              <w:pStyle w:val="TableText0"/>
              <w:jc w:val="center"/>
              <w:rPr>
                <w:i/>
              </w:rPr>
            </w:pPr>
            <w:r w:rsidRPr="00AD7238">
              <w:t>Low</w:t>
            </w:r>
          </w:p>
        </w:tc>
        <w:tc>
          <w:tcPr>
            <w:tcW w:w="864" w:type="pct"/>
            <w:shd w:val="clear" w:color="auto" w:fill="DBE5F1" w:themeFill="accent1" w:themeFillTint="33"/>
            <w:vAlign w:val="center"/>
          </w:tcPr>
          <w:p w14:paraId="6E75C4B2" w14:textId="77777777" w:rsidR="00D73D20" w:rsidRPr="00AD7238" w:rsidRDefault="00D73D20">
            <w:pPr>
              <w:pStyle w:val="TableText0"/>
              <w:jc w:val="center"/>
            </w:pPr>
            <w:r w:rsidRPr="00AD7238">
              <w:t>Healthy individuals aged ≥ 70 years (mean 75.6 years)</w:t>
            </w:r>
          </w:p>
        </w:tc>
        <w:tc>
          <w:tcPr>
            <w:tcW w:w="1257" w:type="pct"/>
            <w:shd w:val="clear" w:color="auto" w:fill="DBE5F1" w:themeFill="accent1" w:themeFillTint="33"/>
            <w:vAlign w:val="center"/>
          </w:tcPr>
          <w:p w14:paraId="3707CB96" w14:textId="3425E1B5" w:rsidR="00A90EE2" w:rsidRPr="00E10D0F" w:rsidRDefault="00D73D20" w:rsidP="00A90EE2">
            <w:pPr>
              <w:pStyle w:val="TableText0"/>
              <w:jc w:val="center"/>
              <w:rPr>
                <w:highlight w:val="yellow"/>
              </w:rPr>
            </w:pPr>
            <w:r w:rsidRPr="006E790F">
              <w:t>As above</w:t>
            </w:r>
          </w:p>
        </w:tc>
        <w:tc>
          <w:tcPr>
            <w:tcW w:w="758" w:type="pct"/>
            <w:shd w:val="clear" w:color="auto" w:fill="DBE5F1" w:themeFill="accent1" w:themeFillTint="33"/>
            <w:vAlign w:val="center"/>
          </w:tcPr>
          <w:p w14:paraId="411A1B20" w14:textId="77777777" w:rsidR="00D73D20" w:rsidRPr="00AD7238" w:rsidRDefault="00D73D20">
            <w:pPr>
              <w:pStyle w:val="TableText0"/>
              <w:jc w:val="center"/>
            </w:pPr>
            <w:r w:rsidRPr="00AD7238">
              <w:t>As above</w:t>
            </w:r>
          </w:p>
        </w:tc>
      </w:tr>
      <w:tr w:rsidR="00D73D20" w:rsidRPr="00AD7238" w14:paraId="3CD99959" w14:textId="77777777">
        <w:trPr>
          <w:cantSplit/>
        </w:trPr>
        <w:tc>
          <w:tcPr>
            <w:tcW w:w="5000" w:type="pct"/>
            <w:gridSpan w:val="7"/>
            <w:shd w:val="clear" w:color="auto" w:fill="auto"/>
            <w:vAlign w:val="center"/>
          </w:tcPr>
          <w:p w14:paraId="1599803E" w14:textId="77777777" w:rsidR="00D73D20" w:rsidRPr="00AD7238" w:rsidRDefault="00D73D20">
            <w:pPr>
              <w:pStyle w:val="TableText0"/>
              <w:rPr>
                <w:b/>
              </w:rPr>
            </w:pPr>
            <w:r w:rsidRPr="00AD7238">
              <w:rPr>
                <w:b/>
                <w:bCs w:val="0"/>
              </w:rPr>
              <w:t>RZV vs. placebo (long-term follow-up)</w:t>
            </w:r>
          </w:p>
        </w:tc>
      </w:tr>
      <w:tr w:rsidR="00D73D20" w:rsidRPr="00615B0D" w14:paraId="3937B56A" w14:textId="77777777">
        <w:trPr>
          <w:cantSplit/>
        </w:trPr>
        <w:tc>
          <w:tcPr>
            <w:tcW w:w="469" w:type="pct"/>
            <w:shd w:val="clear" w:color="auto" w:fill="auto"/>
            <w:vAlign w:val="center"/>
          </w:tcPr>
          <w:p w14:paraId="02DCC879" w14:textId="77777777" w:rsidR="00D73D20" w:rsidRPr="00615B0D" w:rsidRDefault="00D73D20">
            <w:pPr>
              <w:pStyle w:val="TableText0"/>
            </w:pPr>
            <w:r w:rsidRPr="00615B0D">
              <w:t>ZOSTER-049</w:t>
            </w:r>
          </w:p>
        </w:tc>
        <w:tc>
          <w:tcPr>
            <w:tcW w:w="394" w:type="pct"/>
            <w:shd w:val="clear" w:color="auto" w:fill="auto"/>
            <w:vAlign w:val="center"/>
          </w:tcPr>
          <w:p w14:paraId="6B0374F7" w14:textId="4D1F9473" w:rsidR="00D73D20" w:rsidRPr="00615B0D" w:rsidRDefault="00D73D20">
            <w:pPr>
              <w:pStyle w:val="TableText0"/>
              <w:jc w:val="center"/>
            </w:pPr>
            <w:r w:rsidRPr="00615B0D">
              <w:t>7,277</w:t>
            </w:r>
          </w:p>
        </w:tc>
        <w:tc>
          <w:tcPr>
            <w:tcW w:w="707" w:type="pct"/>
            <w:shd w:val="clear" w:color="auto" w:fill="auto"/>
            <w:vAlign w:val="center"/>
          </w:tcPr>
          <w:p w14:paraId="7EAB0B9C" w14:textId="77777777" w:rsidR="00D73D20" w:rsidRPr="00615B0D" w:rsidRDefault="00D73D20">
            <w:pPr>
              <w:pStyle w:val="TableText0"/>
              <w:jc w:val="center"/>
            </w:pPr>
            <w:r w:rsidRPr="00615B0D">
              <w:t>OL, MC, 9.6 years post vaccination (mean, efficacy mTVC)</w:t>
            </w:r>
          </w:p>
        </w:tc>
        <w:tc>
          <w:tcPr>
            <w:tcW w:w="551" w:type="pct"/>
            <w:shd w:val="clear" w:color="auto" w:fill="auto"/>
            <w:vAlign w:val="center"/>
          </w:tcPr>
          <w:p w14:paraId="02E95563" w14:textId="77777777" w:rsidR="00D73D20" w:rsidRPr="00615B0D" w:rsidRDefault="00D73D20">
            <w:pPr>
              <w:pStyle w:val="TableText0"/>
              <w:jc w:val="center"/>
              <w:rPr>
                <w:iCs/>
              </w:rPr>
            </w:pPr>
            <w:r w:rsidRPr="00615B0D">
              <w:rPr>
                <w:iCs/>
              </w:rPr>
              <w:t>Low</w:t>
            </w:r>
          </w:p>
        </w:tc>
        <w:tc>
          <w:tcPr>
            <w:tcW w:w="864" w:type="pct"/>
            <w:shd w:val="clear" w:color="auto" w:fill="auto"/>
            <w:vAlign w:val="center"/>
          </w:tcPr>
          <w:p w14:paraId="4C7D783A" w14:textId="77777777" w:rsidR="00D73D20" w:rsidRPr="00615B0D" w:rsidRDefault="00D73D20">
            <w:pPr>
              <w:pStyle w:val="TableText0"/>
              <w:jc w:val="center"/>
            </w:pPr>
            <w:r w:rsidRPr="00615B0D">
              <w:t>As above, combination of ZOE-50 and ZOE-70 participants</w:t>
            </w:r>
          </w:p>
        </w:tc>
        <w:tc>
          <w:tcPr>
            <w:tcW w:w="1257" w:type="pct"/>
            <w:shd w:val="clear" w:color="auto" w:fill="auto"/>
            <w:vAlign w:val="center"/>
          </w:tcPr>
          <w:p w14:paraId="047A2AEF" w14:textId="77777777" w:rsidR="00D73D20" w:rsidRPr="00615B0D" w:rsidRDefault="00D73D20">
            <w:pPr>
              <w:pStyle w:val="TableText0"/>
              <w:jc w:val="center"/>
            </w:pPr>
            <w:r w:rsidRPr="00615B0D">
              <w:t>Vaccine efficacy against HZ</w:t>
            </w:r>
          </w:p>
        </w:tc>
        <w:tc>
          <w:tcPr>
            <w:tcW w:w="758" w:type="pct"/>
            <w:shd w:val="clear" w:color="auto" w:fill="auto"/>
            <w:vAlign w:val="center"/>
          </w:tcPr>
          <w:p w14:paraId="5DCDBF7B" w14:textId="77777777" w:rsidR="00D73D20" w:rsidRPr="00615B0D" w:rsidRDefault="00D73D20">
            <w:pPr>
              <w:pStyle w:val="TableText0"/>
              <w:jc w:val="center"/>
            </w:pPr>
            <w:r w:rsidRPr="00615B0D">
              <w:t>Vaccine efficacy in terms of reduction in the incidence of HZ</w:t>
            </w:r>
          </w:p>
        </w:tc>
      </w:tr>
    </w:tbl>
    <w:p w14:paraId="29377448" w14:textId="1B7B1B8C" w:rsidR="00D73D20" w:rsidRPr="00AD7238" w:rsidRDefault="00D73D20" w:rsidP="00D73D20">
      <w:pPr>
        <w:pStyle w:val="FooterTableFigure"/>
      </w:pPr>
      <w:r w:rsidRPr="00AD7238">
        <w:t>Source: Collated during evaluation</w:t>
      </w:r>
    </w:p>
    <w:p w14:paraId="4F74C0A7" w14:textId="77777777" w:rsidR="00D73D20" w:rsidRPr="00AD7238" w:rsidRDefault="00D73D20" w:rsidP="00D73D20">
      <w:pPr>
        <w:pStyle w:val="FooterTableFigure"/>
      </w:pPr>
      <w:r w:rsidRPr="00AD7238">
        <w:t>HZ = herpes zoster; OB = observer blind; MC = multi-centre; mTVC = modified total vaccinated cohort; OL = open label; PHN = post herpetic neuralgia; R = randomised; RZV = recombinant zoster vaccine; ZBPI = zoster brief pain inventory.</w:t>
      </w:r>
    </w:p>
    <w:p w14:paraId="4D0F9FFB" w14:textId="77777777" w:rsidR="00D73D20" w:rsidRPr="00AD7238" w:rsidRDefault="00D73D20" w:rsidP="00D73D20">
      <w:pPr>
        <w:pStyle w:val="FooterTableFigure"/>
      </w:pPr>
      <w:bookmarkStart w:id="23" w:name="_Hlk121988921"/>
      <w:r w:rsidRPr="00AD7238">
        <w:rPr>
          <w:shd w:val="clear" w:color="auto" w:fill="DBE5F1" w:themeFill="accent1" w:themeFillTint="33"/>
        </w:rPr>
        <w:t>Blue</w:t>
      </w:r>
      <w:r w:rsidRPr="00AD7238">
        <w:t xml:space="preserve"> shading indicates information previously considered by the PBAC (2018 submission)</w:t>
      </w:r>
    </w:p>
    <w:bookmarkEnd w:id="23"/>
    <w:p w14:paraId="0560B8BE" w14:textId="64DAB575" w:rsidR="00441F91" w:rsidRPr="00AD7238" w:rsidRDefault="00D73D20" w:rsidP="00441F91">
      <w:pPr>
        <w:pStyle w:val="3-BodyText"/>
      </w:pPr>
      <w:r w:rsidRPr="00AD7238">
        <w:t xml:space="preserve">Vaccine efficacy against HZ and PHN were analysed on a modified total vaccinated cohort (mTVC) basis which </w:t>
      </w:r>
      <w:r w:rsidR="007304A1" w:rsidRPr="00A65E17">
        <w:rPr>
          <w:iCs/>
        </w:rPr>
        <w:t xml:space="preserve">excluded those who did not receive a second vaccine dose or who had confirmed HZ within 1 month after the second dose. </w:t>
      </w:r>
      <w:r w:rsidR="00F50B6E" w:rsidRPr="00A65E17">
        <w:rPr>
          <w:iCs/>
        </w:rPr>
        <w:t>The results therefore reflect the vaccine efficacy following 2 doses of RZV. The PBAC previously noted the proportion of individuals receiving two doses of RZV may be reduced in a population program compared with the clinical trial setting (paragraph 7.5, R</w:t>
      </w:r>
      <w:r w:rsidR="008658BB" w:rsidRPr="00A65E17">
        <w:rPr>
          <w:iCs/>
        </w:rPr>
        <w:t>Z</w:t>
      </w:r>
      <w:r w:rsidR="00F50B6E" w:rsidRPr="00A65E17">
        <w:rPr>
          <w:iCs/>
        </w:rPr>
        <w:t>V PSD, November 2018 PBAC meeting).</w:t>
      </w:r>
    </w:p>
    <w:p w14:paraId="27AAA7B6" w14:textId="33B27D55" w:rsidR="00D73D20" w:rsidRPr="00AD7238" w:rsidRDefault="00D73D20" w:rsidP="00D73D20">
      <w:pPr>
        <w:pStyle w:val="3-BodyText"/>
      </w:pPr>
      <w:r w:rsidRPr="00AD7238">
        <w:t>Three additional</w:t>
      </w:r>
      <w:r w:rsidR="00F50B6E">
        <w:t xml:space="preserve"> trials </w:t>
      </w:r>
      <w:r w:rsidRPr="00AD7238">
        <w:t>(ZOSTER-033, ZOSTER-048</w:t>
      </w:r>
      <w:r w:rsidR="00F50B6E">
        <w:t xml:space="preserve">, </w:t>
      </w:r>
      <w:r w:rsidRPr="00AD7238">
        <w:t xml:space="preserve">ZOSTER-046) and four observational studies (Izurieta 2021; Sun 2021a; Sun 2021b; Lu 2021) did not meet the screening inclusion criteria but were included as supportive evidence for those who have previously experienced HZ or previously </w:t>
      </w:r>
      <w:r w:rsidR="00596C1D">
        <w:t xml:space="preserve">received </w:t>
      </w:r>
      <w:r w:rsidRPr="00AD7238">
        <w:t>ZVL</w:t>
      </w:r>
      <w:r w:rsidR="003C784F">
        <w:t>,</w:t>
      </w:r>
      <w:r w:rsidRPr="00AD7238">
        <w:t xml:space="preserve"> as these populations were excluded </w:t>
      </w:r>
      <w:r w:rsidR="003C784F">
        <w:t>from</w:t>
      </w:r>
      <w:r w:rsidRPr="00AD7238">
        <w:t xml:space="preserve"> the ZOE-50</w:t>
      </w:r>
      <w:r w:rsidR="007304A1">
        <w:t xml:space="preserve"> and ZOE</w:t>
      </w:r>
      <w:r w:rsidR="00024DE7">
        <w:t>-</w:t>
      </w:r>
      <w:r w:rsidRPr="00AD7238">
        <w:t>70</w:t>
      </w:r>
      <w:r w:rsidR="007304A1">
        <w:t xml:space="preserve"> trials. </w:t>
      </w:r>
    </w:p>
    <w:p w14:paraId="71FA25CC" w14:textId="59A6F31D" w:rsidR="001012F7" w:rsidRPr="00AD7238" w:rsidRDefault="00D73D20" w:rsidP="0024459B">
      <w:pPr>
        <w:pStyle w:val="3-BodyText"/>
      </w:pPr>
      <w:r w:rsidRPr="00AD7238">
        <w:lastRenderedPageBreak/>
        <w:t>Six randomised</w:t>
      </w:r>
      <w:r w:rsidR="00C94846" w:rsidRPr="00AD7238">
        <w:t>,</w:t>
      </w:r>
      <w:r w:rsidR="00592F23" w:rsidRPr="00AD7238">
        <w:t xml:space="preserve"> </w:t>
      </w:r>
      <w:r w:rsidR="00F50B6E">
        <w:t xml:space="preserve">observer-blind </w:t>
      </w:r>
      <w:r w:rsidR="00592F23" w:rsidRPr="00AD7238">
        <w:t>placebo-controlled</w:t>
      </w:r>
      <w:r w:rsidRPr="00AD7238">
        <w:t xml:space="preserve"> </w:t>
      </w:r>
      <w:r w:rsidR="00DE338A" w:rsidRPr="00AD7238">
        <w:t xml:space="preserve">efficacy (predominantly </w:t>
      </w:r>
      <w:r w:rsidRPr="00AD7238">
        <w:t>immunogenicity</w:t>
      </w:r>
      <w:r w:rsidR="00DE338A" w:rsidRPr="00AD7238">
        <w:t>)</w:t>
      </w:r>
      <w:r w:rsidRPr="00AD7238">
        <w:t xml:space="preserve"> and safety studies on selected populations such as hematopoietic cell transplant recipients, HIV infected individuals, </w:t>
      </w:r>
      <w:r w:rsidR="002409AE">
        <w:t xml:space="preserve">people with </w:t>
      </w:r>
      <w:r w:rsidRPr="00AD7238">
        <w:t xml:space="preserve">solid tumours receiving chemotherapy and those with renal transplant (ZOSTER-001, ZOSTER-002, ZOSTER-015, ZOSTER-028, ZOSTER-039, ZOSTER-041) were also presented in the </w:t>
      </w:r>
      <w:r w:rsidR="00DE338A" w:rsidRPr="00AD7238">
        <w:t>re</w:t>
      </w:r>
      <w:r w:rsidRPr="00AD7238">
        <w:t xml:space="preserve">submission as supportive evidence for immunocompromised populations. </w:t>
      </w:r>
    </w:p>
    <w:p w14:paraId="268A82FE" w14:textId="77777777" w:rsidR="00D73D20" w:rsidRPr="00AD7238" w:rsidRDefault="00D73D20" w:rsidP="00D73D20">
      <w:pPr>
        <w:pStyle w:val="4-SubsectionHeading"/>
      </w:pPr>
      <w:bookmarkStart w:id="24" w:name="_Toc22897641"/>
      <w:bookmarkStart w:id="25" w:name="_Toc124949413"/>
      <w:r w:rsidRPr="00AD7238">
        <w:t>Comparative effectiveness</w:t>
      </w:r>
      <w:bookmarkEnd w:id="24"/>
      <w:bookmarkEnd w:id="25"/>
    </w:p>
    <w:p w14:paraId="2AD004CB" w14:textId="77777777" w:rsidR="00D73D20" w:rsidRPr="00AD7238" w:rsidRDefault="00D73D20" w:rsidP="003C590D">
      <w:pPr>
        <w:pStyle w:val="3-BodyText"/>
        <w:numPr>
          <w:ilvl w:val="0"/>
          <w:numId w:val="0"/>
        </w:numPr>
        <w:ind w:left="720" w:hanging="720"/>
        <w:outlineLvl w:val="2"/>
        <w:rPr>
          <w:b/>
          <w:bCs/>
          <w:u w:val="single"/>
        </w:rPr>
      </w:pPr>
      <w:r w:rsidRPr="00AD7238">
        <w:rPr>
          <w:b/>
          <w:bCs/>
          <w:u w:val="single"/>
        </w:rPr>
        <w:t>Pivotal trials: ZOE-50 and ZOE-70</w:t>
      </w:r>
    </w:p>
    <w:p w14:paraId="4897667B" w14:textId="2E41C993" w:rsidR="00285E65" w:rsidRPr="00AD7238" w:rsidRDefault="003974C3" w:rsidP="003974C3">
      <w:pPr>
        <w:pStyle w:val="3-BodyText"/>
      </w:pPr>
      <w:r w:rsidRPr="00AD7238">
        <w:fldChar w:fldCharType="begin" w:fldLock="1"/>
      </w:r>
      <w:r w:rsidRPr="00AD7238">
        <w:instrText xml:space="preserve"> REF _Ref124761461 \h  \* MERGEFORMAT </w:instrText>
      </w:r>
      <w:r w:rsidRPr="00AD7238">
        <w:fldChar w:fldCharType="separate"/>
      </w:r>
      <w:r w:rsidR="00602E99" w:rsidRPr="00602E99">
        <w:rPr>
          <w:rStyle w:val="CommentReference"/>
          <w:rFonts w:asciiTheme="minorHAnsi" w:hAnsiTheme="minorHAnsi"/>
          <w:b w:val="0"/>
          <w:sz w:val="24"/>
          <w:szCs w:val="24"/>
        </w:rPr>
        <w:t>Table 5</w:t>
      </w:r>
      <w:r w:rsidRPr="00AD7238">
        <w:fldChar w:fldCharType="end"/>
      </w:r>
      <w:r w:rsidR="00285E65" w:rsidRPr="00AD7238">
        <w:t xml:space="preserve"> presents a summary of the results of </w:t>
      </w:r>
      <w:r w:rsidR="007E5150">
        <w:t>vaccine efficacy against HZ cases (</w:t>
      </w:r>
      <w:r w:rsidR="00285E65" w:rsidRPr="00AD7238">
        <w:t>VE</w:t>
      </w:r>
      <w:r w:rsidR="00285E65" w:rsidRPr="00AD7238">
        <w:rPr>
          <w:vertAlign w:val="subscript"/>
        </w:rPr>
        <w:t>HZ</w:t>
      </w:r>
      <w:r w:rsidR="007E5150">
        <w:t>)</w:t>
      </w:r>
      <w:r w:rsidR="00285E65" w:rsidRPr="00AD7238">
        <w:t xml:space="preserve"> from the ZOE-50 and ZOE-70 trials</w:t>
      </w:r>
      <w:r w:rsidRPr="00AD7238">
        <w:t>.</w:t>
      </w:r>
    </w:p>
    <w:p w14:paraId="2F4D96DE" w14:textId="74703503" w:rsidR="003974C3" w:rsidRPr="00AD7238" w:rsidRDefault="003974C3" w:rsidP="003974C3">
      <w:pPr>
        <w:rPr>
          <w:rStyle w:val="CommentReference"/>
        </w:rPr>
      </w:pPr>
      <w:bookmarkStart w:id="26" w:name="_Ref124761461"/>
      <w:r w:rsidRPr="00AD7238">
        <w:rPr>
          <w:rStyle w:val="CommentReference"/>
        </w:rPr>
        <w:t xml:space="preserve">Table </w:t>
      </w:r>
      <w:r w:rsidRPr="00AD7238">
        <w:rPr>
          <w:rStyle w:val="CommentReference"/>
        </w:rPr>
        <w:fldChar w:fldCharType="begin" w:fldLock="1"/>
      </w:r>
      <w:r w:rsidRPr="00AD7238">
        <w:rPr>
          <w:rStyle w:val="CommentReference"/>
        </w:rPr>
        <w:instrText xml:space="preserve"> SEQ Table \* ARABIC </w:instrText>
      </w:r>
      <w:r w:rsidRPr="00AD7238">
        <w:rPr>
          <w:rStyle w:val="CommentReference"/>
        </w:rPr>
        <w:fldChar w:fldCharType="separate"/>
      </w:r>
      <w:r w:rsidR="00602E99">
        <w:rPr>
          <w:rStyle w:val="CommentReference"/>
          <w:noProof/>
        </w:rPr>
        <w:t>5</w:t>
      </w:r>
      <w:r w:rsidRPr="00AD7238">
        <w:rPr>
          <w:rStyle w:val="CommentReference"/>
        </w:rPr>
        <w:fldChar w:fldCharType="end"/>
      </w:r>
      <w:bookmarkEnd w:id="26"/>
      <w:r w:rsidRPr="00AD7238">
        <w:rPr>
          <w:rStyle w:val="CommentReference"/>
        </w:rPr>
        <w:t>: Results of vaccine efficacy against HZ cases (first or only episode) across the trials (mTVC)</w:t>
      </w:r>
    </w:p>
    <w:tbl>
      <w:tblPr>
        <w:tblW w:w="0" w:type="auto"/>
        <w:tblLayout w:type="fixed"/>
        <w:tblCellMar>
          <w:left w:w="28" w:type="dxa"/>
          <w:right w:w="28" w:type="dxa"/>
        </w:tblCellMar>
        <w:tblLook w:val="0000" w:firstRow="0" w:lastRow="0" w:firstColumn="0" w:lastColumn="0" w:noHBand="0" w:noVBand="0"/>
      </w:tblPr>
      <w:tblGrid>
        <w:gridCol w:w="923"/>
        <w:gridCol w:w="492"/>
        <w:gridCol w:w="425"/>
        <w:gridCol w:w="709"/>
        <w:gridCol w:w="754"/>
        <w:gridCol w:w="522"/>
        <w:gridCol w:w="448"/>
        <w:gridCol w:w="827"/>
        <w:gridCol w:w="851"/>
        <w:gridCol w:w="567"/>
        <w:gridCol w:w="700"/>
        <w:gridCol w:w="9"/>
        <w:gridCol w:w="841"/>
        <w:gridCol w:w="9"/>
        <w:gridCol w:w="935"/>
        <w:gridCol w:w="9"/>
      </w:tblGrid>
      <w:tr w:rsidR="008B06B7" w:rsidRPr="00AD7238" w14:paraId="6D6EA135" w14:textId="77777777">
        <w:trPr>
          <w:tblHeader/>
        </w:trPr>
        <w:tc>
          <w:tcPr>
            <w:tcW w:w="923" w:type="dxa"/>
            <w:vMerge w:val="restart"/>
            <w:tcBorders>
              <w:top w:val="single" w:sz="2" w:space="0" w:color="000000"/>
              <w:left w:val="single" w:sz="2" w:space="0" w:color="000000"/>
              <w:right w:val="single" w:sz="2" w:space="0" w:color="000000"/>
            </w:tcBorders>
            <w:shd w:val="clear" w:color="auto" w:fill="auto"/>
            <w:vAlign w:val="center"/>
          </w:tcPr>
          <w:p w14:paraId="0972660D" w14:textId="77777777" w:rsidR="008B06B7" w:rsidRPr="00AD7238" w:rsidRDefault="008B06B7">
            <w:pPr>
              <w:pStyle w:val="TableText0"/>
              <w:rPr>
                <w:b/>
                <w:bCs w:val="0"/>
              </w:rPr>
            </w:pPr>
            <w:r w:rsidRPr="00AD7238">
              <w:rPr>
                <w:b/>
                <w:bCs w:val="0"/>
              </w:rPr>
              <w:t>Age strata</w:t>
            </w:r>
          </w:p>
        </w:tc>
        <w:tc>
          <w:tcPr>
            <w:tcW w:w="2380" w:type="dxa"/>
            <w:gridSpan w:val="4"/>
            <w:tcBorders>
              <w:top w:val="single" w:sz="2" w:space="0" w:color="000000"/>
              <w:left w:val="single" w:sz="2" w:space="0" w:color="000000"/>
              <w:right w:val="single" w:sz="2" w:space="0" w:color="000000"/>
            </w:tcBorders>
            <w:shd w:val="clear" w:color="auto" w:fill="auto"/>
            <w:vAlign w:val="center"/>
          </w:tcPr>
          <w:p w14:paraId="04C1C73C" w14:textId="77777777" w:rsidR="008B06B7" w:rsidRPr="00AD7238" w:rsidRDefault="008B06B7">
            <w:pPr>
              <w:pStyle w:val="TableText0"/>
              <w:jc w:val="center"/>
              <w:rPr>
                <w:b/>
                <w:bCs w:val="0"/>
              </w:rPr>
            </w:pPr>
            <w:r w:rsidRPr="00AD7238">
              <w:rPr>
                <w:b/>
                <w:bCs w:val="0"/>
              </w:rPr>
              <w:t>RZV</w:t>
            </w:r>
          </w:p>
        </w:tc>
        <w:tc>
          <w:tcPr>
            <w:tcW w:w="2648" w:type="dxa"/>
            <w:gridSpan w:val="4"/>
            <w:tcBorders>
              <w:top w:val="single" w:sz="2" w:space="0" w:color="000000"/>
              <w:left w:val="single" w:sz="2" w:space="0" w:color="000000"/>
              <w:right w:val="single" w:sz="2" w:space="0" w:color="000000"/>
            </w:tcBorders>
            <w:shd w:val="clear" w:color="auto" w:fill="auto"/>
            <w:vAlign w:val="center"/>
          </w:tcPr>
          <w:p w14:paraId="1904F95A" w14:textId="77777777" w:rsidR="008B06B7" w:rsidRPr="00AD7238" w:rsidRDefault="008B06B7">
            <w:pPr>
              <w:pStyle w:val="TableText0"/>
              <w:jc w:val="center"/>
              <w:rPr>
                <w:b/>
                <w:bCs w:val="0"/>
              </w:rPr>
            </w:pPr>
            <w:r w:rsidRPr="00AD7238">
              <w:rPr>
                <w:b/>
                <w:bCs w:val="0"/>
              </w:rPr>
              <w:t>Placebo</w:t>
            </w:r>
          </w:p>
        </w:tc>
        <w:tc>
          <w:tcPr>
            <w:tcW w:w="2126" w:type="dxa"/>
            <w:gridSpan w:val="5"/>
            <w:tcBorders>
              <w:top w:val="single" w:sz="2" w:space="0" w:color="000000"/>
              <w:left w:val="single" w:sz="2" w:space="0" w:color="000000"/>
              <w:right w:val="single" w:sz="2" w:space="0" w:color="000000"/>
            </w:tcBorders>
            <w:shd w:val="clear" w:color="auto" w:fill="auto"/>
            <w:vAlign w:val="center"/>
          </w:tcPr>
          <w:p w14:paraId="6EDEC025" w14:textId="38B312E3" w:rsidR="008B06B7" w:rsidRPr="007E5150" w:rsidRDefault="008B06B7">
            <w:pPr>
              <w:pStyle w:val="TableText0"/>
              <w:jc w:val="center"/>
              <w:rPr>
                <w:b/>
                <w:bCs w:val="0"/>
                <w:vertAlign w:val="superscript"/>
              </w:rPr>
            </w:pPr>
            <w:r w:rsidRPr="00AD7238">
              <w:rPr>
                <w:b/>
                <w:bCs w:val="0"/>
              </w:rPr>
              <w:t>VE</w:t>
            </w:r>
            <w:r w:rsidRPr="00AD7238">
              <w:rPr>
                <w:b/>
                <w:bCs w:val="0"/>
                <w:vertAlign w:val="subscript"/>
              </w:rPr>
              <w:t>HZ</w:t>
            </w:r>
            <w:r w:rsidR="007E5150">
              <w:rPr>
                <w:b/>
                <w:bCs w:val="0"/>
                <w:vertAlign w:val="superscript"/>
              </w:rPr>
              <w:t>a</w:t>
            </w:r>
          </w:p>
        </w:tc>
        <w:tc>
          <w:tcPr>
            <w:tcW w:w="944" w:type="dxa"/>
            <w:gridSpan w:val="2"/>
            <w:vMerge w:val="restart"/>
            <w:tcBorders>
              <w:top w:val="single" w:sz="2" w:space="0" w:color="000000"/>
              <w:left w:val="single" w:sz="2" w:space="0" w:color="000000"/>
              <w:right w:val="single" w:sz="2" w:space="0" w:color="000000"/>
            </w:tcBorders>
            <w:shd w:val="clear" w:color="auto" w:fill="auto"/>
            <w:vAlign w:val="center"/>
          </w:tcPr>
          <w:p w14:paraId="727E2C19" w14:textId="77777777" w:rsidR="008B06B7" w:rsidRPr="00AD7238" w:rsidRDefault="008B06B7" w:rsidP="007E5150">
            <w:pPr>
              <w:pStyle w:val="TableText0"/>
              <w:jc w:val="center"/>
              <w:rPr>
                <w:b/>
                <w:bCs w:val="0"/>
              </w:rPr>
            </w:pPr>
            <w:r w:rsidRPr="00AD7238">
              <w:rPr>
                <w:b/>
                <w:bCs w:val="0"/>
              </w:rPr>
              <w:t>p-value</w:t>
            </w:r>
          </w:p>
        </w:tc>
      </w:tr>
      <w:tr w:rsidR="008B06B7" w:rsidRPr="00AD7238" w14:paraId="50B62B82" w14:textId="77777777">
        <w:trPr>
          <w:tblHeader/>
        </w:trPr>
        <w:tc>
          <w:tcPr>
            <w:tcW w:w="923" w:type="dxa"/>
            <w:vMerge/>
            <w:tcBorders>
              <w:left w:val="single" w:sz="2" w:space="0" w:color="000000"/>
              <w:bottom w:val="single" w:sz="2" w:space="0" w:color="000000"/>
              <w:right w:val="single" w:sz="2" w:space="0" w:color="000000"/>
            </w:tcBorders>
            <w:shd w:val="clear" w:color="auto" w:fill="auto"/>
            <w:vAlign w:val="center"/>
          </w:tcPr>
          <w:p w14:paraId="482B5E46" w14:textId="77777777" w:rsidR="008B06B7" w:rsidRPr="00AD7238" w:rsidRDefault="008B06B7">
            <w:pPr>
              <w:pStyle w:val="TableText0"/>
              <w:rPr>
                <w:rFonts w:cs="Times New Roman"/>
              </w:rPr>
            </w:pPr>
          </w:p>
        </w:tc>
        <w:tc>
          <w:tcPr>
            <w:tcW w:w="4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CC6C2F" w14:textId="77777777" w:rsidR="008B06B7" w:rsidRPr="00AD7238" w:rsidRDefault="008B06B7">
            <w:pPr>
              <w:pStyle w:val="TableText0"/>
              <w:jc w:val="center"/>
              <w:rPr>
                <w:rFonts w:cs="Times New Roman"/>
                <w:b/>
                <w:bCs w:val="0"/>
              </w:rPr>
            </w:pPr>
            <w:r w:rsidRPr="00AD7238">
              <w:rPr>
                <w:b/>
                <w:bCs w:val="0"/>
                <w:w w:val="99"/>
              </w:rPr>
              <w:t>N</w:t>
            </w:r>
          </w:p>
        </w:tc>
        <w:tc>
          <w:tcPr>
            <w:tcW w:w="4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5F2F3A" w14:textId="77777777" w:rsidR="008B06B7" w:rsidRPr="00AD7238" w:rsidRDefault="008B06B7">
            <w:pPr>
              <w:pStyle w:val="TableText0"/>
              <w:jc w:val="center"/>
              <w:rPr>
                <w:rFonts w:cs="Times New Roman"/>
                <w:b/>
                <w:bCs w:val="0"/>
              </w:rPr>
            </w:pPr>
            <w:r w:rsidRPr="00AD7238">
              <w:rPr>
                <w:b/>
                <w:bCs w:val="0"/>
                <w:w w:val="99"/>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A389FA" w14:textId="77777777" w:rsidR="008B06B7" w:rsidRPr="00AD7238" w:rsidRDefault="008B06B7">
            <w:pPr>
              <w:pStyle w:val="TableText0"/>
              <w:jc w:val="center"/>
              <w:rPr>
                <w:rFonts w:cs="Times New Roman"/>
                <w:b/>
                <w:bCs w:val="0"/>
              </w:rPr>
            </w:pPr>
            <w:r w:rsidRPr="00AD7238">
              <w:rPr>
                <w:b/>
                <w:bCs w:val="0"/>
              </w:rPr>
              <w:t>T (year)</w:t>
            </w:r>
          </w:p>
        </w:tc>
        <w:tc>
          <w:tcPr>
            <w:tcW w:w="75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F127B7" w14:textId="77777777" w:rsidR="008B06B7" w:rsidRPr="00AD7238" w:rsidRDefault="008B06B7">
            <w:pPr>
              <w:pStyle w:val="TableText0"/>
              <w:jc w:val="center"/>
              <w:rPr>
                <w:rFonts w:cs="Times New Roman"/>
                <w:b/>
                <w:bCs w:val="0"/>
              </w:rPr>
            </w:pPr>
            <w:r w:rsidRPr="00AD7238">
              <w:rPr>
                <w:b/>
                <w:bCs w:val="0"/>
              </w:rPr>
              <w:t>n/T (per 1000)</w:t>
            </w:r>
          </w:p>
        </w:tc>
        <w:tc>
          <w:tcPr>
            <w:tcW w:w="52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8D86E6" w14:textId="77777777" w:rsidR="008B06B7" w:rsidRPr="00AD7238" w:rsidRDefault="008B06B7">
            <w:pPr>
              <w:pStyle w:val="TableText0"/>
              <w:jc w:val="center"/>
              <w:rPr>
                <w:rFonts w:cs="Times New Roman"/>
                <w:b/>
                <w:bCs w:val="0"/>
              </w:rPr>
            </w:pPr>
            <w:r w:rsidRPr="00AD7238">
              <w:rPr>
                <w:b/>
                <w:bCs w:val="0"/>
                <w:w w:val="99"/>
              </w:rPr>
              <w:t>N</w:t>
            </w:r>
          </w:p>
        </w:tc>
        <w:tc>
          <w:tcPr>
            <w:tcW w:w="4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7D034B" w14:textId="77777777" w:rsidR="008B06B7" w:rsidRPr="00AD7238" w:rsidRDefault="008B06B7">
            <w:pPr>
              <w:pStyle w:val="TableText0"/>
              <w:jc w:val="center"/>
              <w:rPr>
                <w:rFonts w:cs="Times New Roman"/>
                <w:b/>
                <w:bCs w:val="0"/>
              </w:rPr>
            </w:pPr>
            <w:r w:rsidRPr="00AD7238">
              <w:rPr>
                <w:b/>
                <w:bCs w:val="0"/>
                <w:w w:val="99"/>
              </w:rPr>
              <w:t>n</w:t>
            </w:r>
          </w:p>
        </w:tc>
        <w:tc>
          <w:tcPr>
            <w:tcW w:w="82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F410A3" w14:textId="77777777" w:rsidR="008B06B7" w:rsidRPr="00AD7238" w:rsidRDefault="008B06B7">
            <w:pPr>
              <w:pStyle w:val="TableText0"/>
              <w:jc w:val="center"/>
              <w:rPr>
                <w:rFonts w:cs="Times New Roman"/>
                <w:b/>
                <w:bCs w:val="0"/>
              </w:rPr>
            </w:pPr>
            <w:r w:rsidRPr="00AD7238">
              <w:rPr>
                <w:b/>
                <w:bCs w:val="0"/>
              </w:rPr>
              <w:t>T (year)</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2F267D" w14:textId="77777777" w:rsidR="008B06B7" w:rsidRPr="00AD7238" w:rsidRDefault="008B06B7">
            <w:pPr>
              <w:pStyle w:val="TableText0"/>
              <w:jc w:val="center"/>
              <w:rPr>
                <w:rFonts w:cs="Times New Roman"/>
                <w:b/>
                <w:bCs w:val="0"/>
              </w:rPr>
            </w:pPr>
            <w:r w:rsidRPr="00AD7238">
              <w:rPr>
                <w:b/>
                <w:bCs w:val="0"/>
              </w:rPr>
              <w:t>n/T (per 1000)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E46B1E" w14:textId="77777777" w:rsidR="008B06B7" w:rsidRPr="00AD7238" w:rsidRDefault="008B06B7">
            <w:pPr>
              <w:pStyle w:val="TableText0"/>
              <w:jc w:val="center"/>
              <w:rPr>
                <w:rFonts w:cs="Times New Roman"/>
                <w:b/>
                <w:bCs w:val="0"/>
              </w:rPr>
            </w:pPr>
            <w:r w:rsidRPr="00AD7238">
              <w:rPr>
                <w:b/>
                <w:bCs w:val="0"/>
              </w:rPr>
              <w:t>%</w:t>
            </w:r>
          </w:p>
        </w:tc>
        <w:tc>
          <w:tcPr>
            <w:tcW w:w="70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FEE3257" w14:textId="77777777" w:rsidR="008B06B7" w:rsidRPr="00AD7238" w:rsidRDefault="008B06B7">
            <w:pPr>
              <w:pStyle w:val="TableText0"/>
              <w:jc w:val="center"/>
              <w:rPr>
                <w:rFonts w:cs="Times New Roman"/>
                <w:b/>
                <w:bCs w:val="0"/>
              </w:rPr>
            </w:pPr>
            <w:r w:rsidRPr="00AD7238">
              <w:rPr>
                <w:b/>
                <w:bCs w:val="0"/>
              </w:rPr>
              <w:t>Lower 95% CI</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tcPr>
          <w:p w14:paraId="700E28A4" w14:textId="77777777" w:rsidR="008B06B7" w:rsidRPr="00AD7238" w:rsidRDefault="008B06B7">
            <w:pPr>
              <w:pStyle w:val="TableText0"/>
              <w:jc w:val="center"/>
              <w:rPr>
                <w:rFonts w:cs="Times New Roman"/>
                <w:b/>
                <w:bCs w:val="0"/>
              </w:rPr>
            </w:pPr>
            <w:r w:rsidRPr="00AD7238">
              <w:rPr>
                <w:b/>
                <w:bCs w:val="0"/>
              </w:rPr>
              <w:t>Upper 95% CI</w:t>
            </w:r>
          </w:p>
        </w:tc>
        <w:tc>
          <w:tcPr>
            <w:tcW w:w="944" w:type="dxa"/>
            <w:gridSpan w:val="2"/>
            <w:vMerge/>
            <w:tcBorders>
              <w:left w:val="single" w:sz="2" w:space="0" w:color="000000"/>
              <w:bottom w:val="single" w:sz="2" w:space="0" w:color="000000"/>
              <w:right w:val="single" w:sz="2" w:space="0" w:color="000000"/>
            </w:tcBorders>
            <w:shd w:val="clear" w:color="auto" w:fill="auto"/>
          </w:tcPr>
          <w:p w14:paraId="6A3A114A" w14:textId="77777777" w:rsidR="008B06B7" w:rsidRPr="00AD7238" w:rsidRDefault="008B06B7">
            <w:pPr>
              <w:pStyle w:val="TableText0"/>
              <w:rPr>
                <w:rFonts w:cs="Times New Roman"/>
              </w:rPr>
            </w:pPr>
          </w:p>
        </w:tc>
      </w:tr>
      <w:tr w:rsidR="008B06B7" w:rsidRPr="00AD7238" w14:paraId="35669403" w14:textId="77777777">
        <w:tc>
          <w:tcPr>
            <w:tcW w:w="9021" w:type="dxa"/>
            <w:gridSpan w:val="16"/>
            <w:tcBorders>
              <w:top w:val="single" w:sz="2" w:space="0" w:color="000000"/>
              <w:left w:val="single" w:sz="2" w:space="0" w:color="000000"/>
              <w:bottom w:val="single" w:sz="2" w:space="0" w:color="000000"/>
              <w:right w:val="single" w:sz="2" w:space="0" w:color="000000"/>
            </w:tcBorders>
            <w:shd w:val="clear" w:color="auto" w:fill="auto"/>
          </w:tcPr>
          <w:p w14:paraId="77AFFC14" w14:textId="77777777" w:rsidR="008B06B7" w:rsidRPr="00AD7238" w:rsidRDefault="008B06B7">
            <w:pPr>
              <w:pStyle w:val="TableText0"/>
              <w:rPr>
                <w:b/>
                <w:bCs w:val="0"/>
              </w:rPr>
            </w:pPr>
            <w:r w:rsidRPr="00AD7238">
              <w:rPr>
                <w:rFonts w:cs="Symbol"/>
                <w:b/>
                <w:bCs w:val="0"/>
              </w:rPr>
              <w:t>ZOE-50</w:t>
            </w:r>
          </w:p>
        </w:tc>
      </w:tr>
      <w:tr w:rsidR="008B06B7" w:rsidRPr="00AD7238" w14:paraId="4C5F472E"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B48FD99" w14:textId="77777777" w:rsidR="008B06B7" w:rsidRPr="00AD7238" w:rsidRDefault="008B06B7">
            <w:pPr>
              <w:pStyle w:val="TableText0"/>
              <w:rPr>
                <w:rFonts w:cs="Times New Roman"/>
              </w:rPr>
            </w:pPr>
            <w:r w:rsidRPr="00AD7238">
              <w:t>50</w:t>
            </w:r>
            <w:r w:rsidRPr="00AD7238">
              <w:noBreakHyphen/>
              <w:t xml:space="preserve">59 years </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A35AD7F" w14:textId="77777777" w:rsidR="008B06B7" w:rsidRPr="00AD7238" w:rsidRDefault="008B06B7">
            <w:pPr>
              <w:pStyle w:val="TableText0"/>
              <w:jc w:val="center"/>
              <w:rPr>
                <w:rFonts w:cs="Times New Roman"/>
              </w:rPr>
            </w:pPr>
            <w:r w:rsidRPr="00AD7238">
              <w:t>3492</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84DD5F2" w14:textId="77777777" w:rsidR="008B06B7" w:rsidRPr="00AD7238" w:rsidRDefault="008B06B7">
            <w:pPr>
              <w:pStyle w:val="TableText0"/>
              <w:jc w:val="center"/>
              <w:rPr>
                <w:rFonts w:cs="Times New Roman"/>
              </w:rPr>
            </w:pPr>
            <w:r w:rsidRPr="00AD7238">
              <w:rPr>
                <w:w w:val="99"/>
              </w:rPr>
              <w:t>3</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D15AC02" w14:textId="77777777" w:rsidR="008B06B7" w:rsidRPr="00AD7238" w:rsidRDefault="008B06B7">
            <w:pPr>
              <w:pStyle w:val="TableText0"/>
              <w:jc w:val="center"/>
              <w:rPr>
                <w:rFonts w:cs="Times New Roman"/>
              </w:rPr>
            </w:pPr>
            <w:r w:rsidRPr="00AD7238">
              <w:t>11161.3</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374B5C0" w14:textId="77777777" w:rsidR="008B06B7" w:rsidRPr="00AD7238" w:rsidRDefault="008B06B7">
            <w:pPr>
              <w:pStyle w:val="TableText0"/>
              <w:jc w:val="center"/>
              <w:rPr>
                <w:rFonts w:cs="Times New Roman"/>
              </w:rPr>
            </w:pPr>
            <w:r w:rsidRPr="00AD7238">
              <w:t>0.3</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F6D453D" w14:textId="77777777" w:rsidR="008B06B7" w:rsidRPr="00AD7238" w:rsidRDefault="008B06B7">
            <w:pPr>
              <w:pStyle w:val="TableText0"/>
              <w:jc w:val="center"/>
              <w:rPr>
                <w:rFonts w:cs="Times New Roman"/>
              </w:rPr>
            </w:pPr>
            <w:r w:rsidRPr="00AD7238">
              <w:t>3525</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E0621BC" w14:textId="77777777" w:rsidR="008B06B7" w:rsidRPr="00AD7238" w:rsidRDefault="008B06B7">
            <w:pPr>
              <w:pStyle w:val="TableText0"/>
              <w:jc w:val="center"/>
              <w:rPr>
                <w:rFonts w:cs="Times New Roman"/>
              </w:rPr>
            </w:pPr>
            <w:r w:rsidRPr="00AD7238">
              <w:t>87</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C48E457" w14:textId="77777777" w:rsidR="008B06B7" w:rsidRPr="00AD7238" w:rsidRDefault="008B06B7">
            <w:pPr>
              <w:pStyle w:val="TableText0"/>
              <w:jc w:val="center"/>
              <w:rPr>
                <w:rFonts w:cs="Times New Roman"/>
              </w:rPr>
            </w:pPr>
            <w:r w:rsidRPr="00AD7238">
              <w:t>11134.7</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36CBC8A" w14:textId="77777777" w:rsidR="008B06B7" w:rsidRPr="00AD7238" w:rsidRDefault="008B06B7">
            <w:pPr>
              <w:pStyle w:val="TableText0"/>
              <w:jc w:val="center"/>
              <w:rPr>
                <w:rFonts w:cs="Times New Roman"/>
              </w:rPr>
            </w:pPr>
            <w:r w:rsidRPr="00AD7238">
              <w:t>7.8</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D89D94C" w14:textId="77777777" w:rsidR="008B06B7" w:rsidRPr="00AD7238" w:rsidRDefault="008B06B7">
            <w:pPr>
              <w:pStyle w:val="TableText0"/>
              <w:jc w:val="center"/>
              <w:rPr>
                <w:rFonts w:cs="Times New Roman"/>
              </w:rPr>
            </w:pPr>
            <w:r w:rsidRPr="00AD7238">
              <w:t>96.57</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C61DFF2" w14:textId="77777777" w:rsidR="008B06B7" w:rsidRPr="00AD7238" w:rsidRDefault="008B06B7">
            <w:pPr>
              <w:pStyle w:val="TableText0"/>
              <w:jc w:val="center"/>
              <w:rPr>
                <w:rFonts w:cs="Times New Roman"/>
              </w:rPr>
            </w:pPr>
            <w:r w:rsidRPr="00AD7238">
              <w:t>89.62</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1D92E9D" w14:textId="77777777" w:rsidR="008B06B7" w:rsidRPr="00AD7238" w:rsidRDefault="008B06B7">
            <w:pPr>
              <w:pStyle w:val="TableText0"/>
              <w:jc w:val="center"/>
              <w:rPr>
                <w:rFonts w:cs="Times New Roman"/>
              </w:rPr>
            </w:pPr>
            <w:r w:rsidRPr="00AD7238">
              <w:t>99.31</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3DE25DD" w14:textId="77777777" w:rsidR="008B06B7" w:rsidRPr="00AD7238" w:rsidRDefault="008B06B7">
            <w:pPr>
              <w:pStyle w:val="TableText0"/>
              <w:jc w:val="center"/>
              <w:rPr>
                <w:rFonts w:cs="Times New Roman"/>
              </w:rPr>
            </w:pPr>
            <w:r w:rsidRPr="00AD7238">
              <w:t>&lt;0.0001</w:t>
            </w:r>
          </w:p>
        </w:tc>
      </w:tr>
      <w:tr w:rsidR="008B06B7" w:rsidRPr="00AD7238" w14:paraId="50EEEF7E"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E3A9CE1" w14:textId="77777777" w:rsidR="008B06B7" w:rsidRPr="00AD7238" w:rsidRDefault="008B06B7">
            <w:pPr>
              <w:pStyle w:val="TableText0"/>
              <w:rPr>
                <w:rFonts w:cs="Times New Roman"/>
              </w:rPr>
            </w:pPr>
            <w:r w:rsidRPr="00AD7238">
              <w:t>60</w:t>
            </w:r>
            <w:r w:rsidRPr="00AD7238">
              <w:noBreakHyphen/>
              <w:t>69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9A15688" w14:textId="77777777" w:rsidR="008B06B7" w:rsidRPr="00AD7238" w:rsidRDefault="008B06B7">
            <w:pPr>
              <w:pStyle w:val="TableText0"/>
              <w:jc w:val="center"/>
              <w:rPr>
                <w:rFonts w:cs="Times New Roman"/>
              </w:rPr>
            </w:pPr>
            <w:r w:rsidRPr="00AD7238">
              <w:t>2141</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D815D60" w14:textId="77777777" w:rsidR="008B06B7" w:rsidRPr="00AD7238" w:rsidRDefault="008B06B7">
            <w:pPr>
              <w:pStyle w:val="TableText0"/>
              <w:jc w:val="center"/>
              <w:rPr>
                <w:rFonts w:cs="Times New Roman"/>
              </w:rPr>
            </w:pPr>
            <w:r w:rsidRPr="00AD7238">
              <w:rPr>
                <w:w w:val="99"/>
              </w:rPr>
              <w:t>2</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6E7E7AB" w14:textId="77777777" w:rsidR="008B06B7" w:rsidRPr="00AD7238" w:rsidRDefault="008B06B7">
            <w:pPr>
              <w:pStyle w:val="TableText0"/>
              <w:jc w:val="center"/>
              <w:rPr>
                <w:rFonts w:cs="Times New Roman"/>
              </w:rPr>
            </w:pPr>
            <w:r w:rsidRPr="00AD7238">
              <w:t>7007.9</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9AF6304" w14:textId="77777777" w:rsidR="008B06B7" w:rsidRPr="00AD7238" w:rsidRDefault="008B06B7">
            <w:pPr>
              <w:pStyle w:val="TableText0"/>
              <w:jc w:val="center"/>
              <w:rPr>
                <w:rFonts w:cs="Times New Roman"/>
              </w:rPr>
            </w:pPr>
            <w:r w:rsidRPr="00AD7238">
              <w:t>0.3</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8764666" w14:textId="77777777" w:rsidR="008B06B7" w:rsidRPr="00AD7238" w:rsidRDefault="008B06B7">
            <w:pPr>
              <w:pStyle w:val="TableText0"/>
              <w:jc w:val="center"/>
              <w:rPr>
                <w:rFonts w:cs="Times New Roman"/>
              </w:rPr>
            </w:pPr>
            <w:r w:rsidRPr="00AD7238">
              <w:t>2166</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C77AEDD" w14:textId="77777777" w:rsidR="008B06B7" w:rsidRPr="00AD7238" w:rsidRDefault="008B06B7">
            <w:pPr>
              <w:pStyle w:val="TableText0"/>
              <w:jc w:val="center"/>
              <w:rPr>
                <w:rFonts w:cs="Times New Roman"/>
              </w:rPr>
            </w:pPr>
            <w:r w:rsidRPr="00AD7238">
              <w:t>75</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67C3F35" w14:textId="77777777" w:rsidR="008B06B7" w:rsidRPr="00AD7238" w:rsidRDefault="008B06B7">
            <w:pPr>
              <w:pStyle w:val="TableText0"/>
              <w:jc w:val="center"/>
              <w:rPr>
                <w:rFonts w:cs="Times New Roman"/>
              </w:rPr>
            </w:pPr>
            <w:r w:rsidRPr="00AD7238">
              <w:t>6952.7</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791B5E3" w14:textId="77777777" w:rsidR="008B06B7" w:rsidRPr="00AD7238" w:rsidRDefault="008B06B7">
            <w:pPr>
              <w:pStyle w:val="TableText0"/>
              <w:jc w:val="center"/>
              <w:rPr>
                <w:rFonts w:cs="Times New Roman"/>
              </w:rPr>
            </w:pPr>
            <w:r w:rsidRPr="00AD7238">
              <w:t>10.8</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BFB92F1" w14:textId="77777777" w:rsidR="008B06B7" w:rsidRPr="00AD7238" w:rsidRDefault="008B06B7">
            <w:pPr>
              <w:pStyle w:val="TableText0"/>
              <w:jc w:val="center"/>
              <w:rPr>
                <w:rFonts w:cs="Times New Roman"/>
              </w:rPr>
            </w:pPr>
            <w:r w:rsidRPr="00AD7238">
              <w:t>97.36</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D40FA59" w14:textId="77777777" w:rsidR="008B06B7" w:rsidRPr="00AD7238" w:rsidRDefault="008B06B7">
            <w:pPr>
              <w:pStyle w:val="TableText0"/>
              <w:jc w:val="center"/>
              <w:rPr>
                <w:rFonts w:cs="Times New Roman"/>
              </w:rPr>
            </w:pPr>
            <w:r w:rsidRPr="00AD7238">
              <w:t>90.14</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0D0F728" w14:textId="77777777" w:rsidR="008B06B7" w:rsidRPr="00AD7238" w:rsidRDefault="008B06B7">
            <w:pPr>
              <w:pStyle w:val="TableText0"/>
              <w:jc w:val="center"/>
              <w:rPr>
                <w:rFonts w:cs="Times New Roman"/>
              </w:rPr>
            </w:pPr>
            <w:r w:rsidRPr="00AD7238">
              <w:t>99.69</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BA696AB" w14:textId="77777777" w:rsidR="008B06B7" w:rsidRPr="00AD7238" w:rsidRDefault="008B06B7">
            <w:pPr>
              <w:pStyle w:val="TableText0"/>
              <w:jc w:val="center"/>
              <w:rPr>
                <w:rFonts w:cs="Times New Roman"/>
              </w:rPr>
            </w:pPr>
            <w:r w:rsidRPr="00AD7238">
              <w:t>&lt;0.0001</w:t>
            </w:r>
          </w:p>
        </w:tc>
      </w:tr>
      <w:tr w:rsidR="008B06B7" w:rsidRPr="00AD7238" w14:paraId="750083C1"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96698A6" w14:textId="4E2C1097" w:rsidR="008B06B7" w:rsidRPr="00AD7238" w:rsidRDefault="008B06B7">
            <w:pPr>
              <w:pStyle w:val="TableText0"/>
            </w:pPr>
            <w:r w:rsidRPr="00AD7238">
              <w:t>≥</w:t>
            </w:r>
            <w:r w:rsidR="007E5150">
              <w:t xml:space="preserve"> </w:t>
            </w:r>
            <w:r w:rsidRPr="00AD7238">
              <w:t>70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FFB1D60" w14:textId="77777777" w:rsidR="008B06B7" w:rsidRPr="00AD7238" w:rsidRDefault="008B06B7">
            <w:pPr>
              <w:pStyle w:val="TableText0"/>
              <w:jc w:val="center"/>
            </w:pPr>
            <w:r w:rsidRPr="00AD7238">
              <w:t>1711</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FA2DC7F" w14:textId="77777777" w:rsidR="008B06B7" w:rsidRPr="00AD7238" w:rsidRDefault="008B06B7">
            <w:pPr>
              <w:pStyle w:val="TableText0"/>
              <w:jc w:val="center"/>
              <w:rPr>
                <w:w w:val="99"/>
              </w:rPr>
            </w:pPr>
            <w:r w:rsidRPr="00AD7238">
              <w:rPr>
                <w:w w:val="99"/>
              </w:rPr>
              <w:t>1</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5F1A7E9" w14:textId="77777777" w:rsidR="008B06B7" w:rsidRPr="00AD7238" w:rsidRDefault="008B06B7">
            <w:pPr>
              <w:pStyle w:val="TableText0"/>
              <w:jc w:val="center"/>
            </w:pPr>
            <w:r w:rsidRPr="00AD7238">
              <w:t>5127.9</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2C38330" w14:textId="77777777" w:rsidR="008B06B7" w:rsidRPr="00AD7238" w:rsidRDefault="008B06B7">
            <w:pPr>
              <w:pStyle w:val="TableText0"/>
              <w:jc w:val="center"/>
            </w:pPr>
            <w:r w:rsidRPr="00AD7238">
              <w:t>0.2</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18CB7DB" w14:textId="77777777" w:rsidR="008B06B7" w:rsidRPr="00AD7238" w:rsidRDefault="008B06B7">
            <w:pPr>
              <w:pStyle w:val="TableText0"/>
              <w:jc w:val="center"/>
            </w:pPr>
            <w:r w:rsidRPr="00AD7238">
              <w:t>1724</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E762A37" w14:textId="77777777" w:rsidR="008B06B7" w:rsidRPr="00AD7238" w:rsidRDefault="008B06B7">
            <w:pPr>
              <w:pStyle w:val="TableText0"/>
              <w:jc w:val="center"/>
            </w:pPr>
            <w:r w:rsidRPr="00AD7238">
              <w:t>48</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63E8222" w14:textId="77777777" w:rsidR="008B06B7" w:rsidRPr="00AD7238" w:rsidRDefault="008B06B7">
            <w:pPr>
              <w:pStyle w:val="TableText0"/>
              <w:jc w:val="center"/>
            </w:pPr>
            <w:r w:rsidRPr="00AD7238">
              <w:t>5083.0</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7131975" w14:textId="77777777" w:rsidR="008B06B7" w:rsidRPr="00AD7238" w:rsidRDefault="008B06B7">
            <w:pPr>
              <w:pStyle w:val="TableText0"/>
              <w:jc w:val="center"/>
            </w:pPr>
            <w:r w:rsidRPr="00AD7238">
              <w:t>9.0</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2C485CE" w14:textId="77777777" w:rsidR="008B06B7" w:rsidRPr="00AD7238" w:rsidRDefault="008B06B7">
            <w:pPr>
              <w:pStyle w:val="TableText0"/>
              <w:jc w:val="center"/>
            </w:pPr>
            <w:r w:rsidRPr="00AD7238">
              <w:t>97.93</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84E03AE" w14:textId="77777777" w:rsidR="008B06B7" w:rsidRPr="00AD7238" w:rsidRDefault="008B06B7">
            <w:pPr>
              <w:pStyle w:val="TableText0"/>
              <w:jc w:val="center"/>
            </w:pPr>
            <w:r w:rsidRPr="00AD7238">
              <w:t>87.91</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3F00DDE" w14:textId="77777777" w:rsidR="008B06B7" w:rsidRPr="00AD7238" w:rsidRDefault="008B06B7">
            <w:pPr>
              <w:pStyle w:val="TableText0"/>
              <w:jc w:val="center"/>
            </w:pPr>
            <w:r w:rsidRPr="00AD7238">
              <w:t>99.95</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B50C774" w14:textId="77777777" w:rsidR="008B06B7" w:rsidRPr="00AD7238" w:rsidRDefault="008B06B7">
            <w:pPr>
              <w:pStyle w:val="TableText0"/>
              <w:jc w:val="center"/>
            </w:pPr>
            <w:r w:rsidRPr="00AD7238">
              <w:t>&lt;0.0001</w:t>
            </w:r>
          </w:p>
        </w:tc>
      </w:tr>
      <w:tr w:rsidR="008B06B7" w:rsidRPr="00AD7238" w14:paraId="23502732"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FCB826B" w14:textId="2FB2655B" w:rsidR="008B06B7" w:rsidRPr="006E790F" w:rsidRDefault="008B06B7">
            <w:pPr>
              <w:pStyle w:val="TableText0"/>
              <w:rPr>
                <w:rFonts w:cs="Times New Roman"/>
              </w:rPr>
            </w:pPr>
            <w:r w:rsidRPr="006E790F">
              <w:rPr>
                <w:rFonts w:cs="Symbol"/>
              </w:rPr>
              <w:t>≥</w:t>
            </w:r>
            <w:r w:rsidR="007E5150" w:rsidRPr="006E790F">
              <w:rPr>
                <w:rFonts w:cs="Symbol"/>
              </w:rPr>
              <w:t xml:space="preserve"> </w:t>
            </w:r>
            <w:r w:rsidRPr="006E790F">
              <w:t>60 years</w:t>
            </w:r>
            <w:r w:rsidR="00A67DBA" w:rsidRPr="006E790F">
              <w:t>*</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D570DBA" w14:textId="77777777" w:rsidR="008B06B7" w:rsidRPr="006E790F" w:rsidRDefault="008B06B7">
            <w:pPr>
              <w:pStyle w:val="TableText0"/>
              <w:jc w:val="center"/>
              <w:rPr>
                <w:rFonts w:cs="Times New Roman"/>
              </w:rPr>
            </w:pPr>
            <w:r w:rsidRPr="006E790F">
              <w:t>3852</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FB65DA7" w14:textId="77777777" w:rsidR="008B06B7" w:rsidRPr="006E790F" w:rsidRDefault="008B06B7">
            <w:pPr>
              <w:pStyle w:val="TableText0"/>
              <w:jc w:val="center"/>
              <w:rPr>
                <w:rFonts w:cs="Times New Roman"/>
              </w:rPr>
            </w:pPr>
            <w:r w:rsidRPr="006E790F">
              <w:rPr>
                <w:w w:val="99"/>
              </w:rPr>
              <w:t>3</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233BBA5" w14:textId="77777777" w:rsidR="008B06B7" w:rsidRPr="006E790F" w:rsidRDefault="008B06B7">
            <w:pPr>
              <w:pStyle w:val="TableText0"/>
              <w:jc w:val="center"/>
              <w:rPr>
                <w:rFonts w:cs="Times New Roman"/>
              </w:rPr>
            </w:pPr>
            <w:r w:rsidRPr="006E790F">
              <w:t>12135.7</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5B252AD" w14:textId="77777777" w:rsidR="008B06B7" w:rsidRPr="006E790F" w:rsidRDefault="008B06B7">
            <w:pPr>
              <w:pStyle w:val="TableText0"/>
              <w:jc w:val="center"/>
              <w:rPr>
                <w:rFonts w:cs="Times New Roman"/>
              </w:rPr>
            </w:pPr>
            <w:r w:rsidRPr="006E790F">
              <w:t>0.2</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51A975C" w14:textId="77777777" w:rsidR="008B06B7" w:rsidRPr="006E790F" w:rsidRDefault="008B06B7">
            <w:pPr>
              <w:pStyle w:val="TableText0"/>
              <w:jc w:val="center"/>
              <w:rPr>
                <w:rFonts w:cs="Times New Roman"/>
              </w:rPr>
            </w:pPr>
            <w:r w:rsidRPr="006E790F">
              <w:t>3890</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82D5619" w14:textId="77777777" w:rsidR="008B06B7" w:rsidRPr="006E790F" w:rsidRDefault="008B06B7">
            <w:pPr>
              <w:pStyle w:val="TableText0"/>
              <w:jc w:val="center"/>
              <w:rPr>
                <w:rFonts w:cs="Times New Roman"/>
              </w:rPr>
            </w:pPr>
            <w:r w:rsidRPr="006E790F">
              <w:t>123</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E4CE755" w14:textId="77777777" w:rsidR="008B06B7" w:rsidRPr="006E790F" w:rsidRDefault="008B06B7">
            <w:pPr>
              <w:pStyle w:val="TableText0"/>
              <w:jc w:val="center"/>
              <w:rPr>
                <w:rFonts w:cs="Times New Roman"/>
              </w:rPr>
            </w:pPr>
            <w:r w:rsidRPr="006E790F">
              <w:t>12035.7</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7537115" w14:textId="77777777" w:rsidR="008B06B7" w:rsidRPr="006E790F" w:rsidRDefault="008B06B7">
            <w:pPr>
              <w:pStyle w:val="TableText0"/>
              <w:jc w:val="center"/>
              <w:rPr>
                <w:rFonts w:cs="Times New Roman"/>
              </w:rPr>
            </w:pPr>
            <w:r w:rsidRPr="006E790F">
              <w:t>10.2</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7261E3A" w14:textId="77777777" w:rsidR="008B06B7" w:rsidRPr="006E790F" w:rsidRDefault="008B06B7">
            <w:pPr>
              <w:pStyle w:val="TableText0"/>
              <w:jc w:val="center"/>
              <w:rPr>
                <w:rFonts w:cs="Times New Roman"/>
              </w:rPr>
            </w:pPr>
            <w:r w:rsidRPr="006E790F">
              <w:t>97.58</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C626A9D" w14:textId="77777777" w:rsidR="008B06B7" w:rsidRPr="006E790F" w:rsidRDefault="008B06B7">
            <w:pPr>
              <w:pStyle w:val="TableText0"/>
              <w:jc w:val="center"/>
              <w:rPr>
                <w:rFonts w:cs="Times New Roman"/>
              </w:rPr>
            </w:pPr>
            <w:r w:rsidRPr="006E790F">
              <w:t>92.77</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6A0F72D" w14:textId="77777777" w:rsidR="008B06B7" w:rsidRPr="006E790F" w:rsidRDefault="008B06B7">
            <w:pPr>
              <w:pStyle w:val="TableText0"/>
              <w:jc w:val="center"/>
              <w:rPr>
                <w:rFonts w:cs="Times New Roman"/>
              </w:rPr>
            </w:pPr>
            <w:r w:rsidRPr="006E790F">
              <w:t>99.51</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8377A01" w14:textId="77777777" w:rsidR="008B06B7" w:rsidRPr="006E790F" w:rsidRDefault="008B06B7">
            <w:pPr>
              <w:pStyle w:val="TableText0"/>
              <w:jc w:val="center"/>
              <w:rPr>
                <w:rFonts w:cs="Times New Roman"/>
              </w:rPr>
            </w:pPr>
            <w:r w:rsidRPr="006E790F">
              <w:t>&lt;0.0001</w:t>
            </w:r>
          </w:p>
        </w:tc>
      </w:tr>
      <w:tr w:rsidR="008B06B7" w:rsidRPr="00AD7238" w14:paraId="2DCF4270"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4FC70CB" w14:textId="167ABEB7" w:rsidR="008B06B7" w:rsidRPr="00AD7238" w:rsidRDefault="008B06B7">
            <w:pPr>
              <w:pStyle w:val="TableText0"/>
              <w:rPr>
                <w:rFonts w:cs="Times New Roman"/>
              </w:rPr>
            </w:pPr>
            <w:r w:rsidRPr="00AD7238">
              <w:rPr>
                <w:rFonts w:cs="Symbol"/>
              </w:rPr>
              <w:t>≥</w:t>
            </w:r>
            <w:r w:rsidR="007E5150">
              <w:rPr>
                <w:rFonts w:cs="Symbol"/>
              </w:rPr>
              <w:t xml:space="preserve"> </w:t>
            </w:r>
            <w:r w:rsidRPr="00AD7238">
              <w:t>50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3800E75" w14:textId="77777777" w:rsidR="008B06B7" w:rsidRPr="00AD7238" w:rsidRDefault="008B06B7">
            <w:pPr>
              <w:pStyle w:val="TableText0"/>
              <w:jc w:val="center"/>
              <w:rPr>
                <w:rFonts w:cs="Times New Roman"/>
              </w:rPr>
            </w:pPr>
            <w:r w:rsidRPr="00AD7238">
              <w:t>7344</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2B7A23B" w14:textId="77777777" w:rsidR="008B06B7" w:rsidRPr="00AD7238" w:rsidRDefault="008B06B7">
            <w:pPr>
              <w:pStyle w:val="TableText0"/>
              <w:jc w:val="center"/>
              <w:rPr>
                <w:rFonts w:cs="Times New Roman"/>
              </w:rPr>
            </w:pPr>
            <w:r w:rsidRPr="00AD7238">
              <w:rPr>
                <w:w w:val="99"/>
              </w:rPr>
              <w:t>6</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9D77180" w14:textId="77777777" w:rsidR="008B06B7" w:rsidRPr="00AD7238" w:rsidRDefault="008B06B7">
            <w:pPr>
              <w:pStyle w:val="TableText0"/>
              <w:jc w:val="center"/>
              <w:rPr>
                <w:rFonts w:cs="Times New Roman"/>
              </w:rPr>
            </w:pPr>
            <w:r w:rsidRPr="00AD7238">
              <w:t>23297.0</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929FA97" w14:textId="77777777" w:rsidR="008B06B7" w:rsidRPr="00AD7238" w:rsidRDefault="008B06B7">
            <w:pPr>
              <w:pStyle w:val="TableText0"/>
              <w:jc w:val="center"/>
              <w:rPr>
                <w:rFonts w:cs="Times New Roman"/>
              </w:rPr>
            </w:pPr>
            <w:r w:rsidRPr="00AD7238">
              <w:t>0.3</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A7F4A72" w14:textId="77777777" w:rsidR="008B06B7" w:rsidRPr="00AD7238" w:rsidRDefault="008B06B7">
            <w:pPr>
              <w:pStyle w:val="TableText0"/>
              <w:jc w:val="center"/>
              <w:rPr>
                <w:rFonts w:cs="Times New Roman"/>
              </w:rPr>
            </w:pPr>
            <w:r w:rsidRPr="00AD7238">
              <w:t>7415</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057DE38" w14:textId="77777777" w:rsidR="008B06B7" w:rsidRPr="00AD7238" w:rsidRDefault="008B06B7">
            <w:pPr>
              <w:pStyle w:val="TableText0"/>
              <w:jc w:val="center"/>
              <w:rPr>
                <w:rFonts w:cs="Times New Roman"/>
              </w:rPr>
            </w:pPr>
            <w:r w:rsidRPr="00AD7238">
              <w:t>210</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5F4C5EA" w14:textId="77777777" w:rsidR="008B06B7" w:rsidRPr="00AD7238" w:rsidRDefault="008B06B7">
            <w:pPr>
              <w:pStyle w:val="TableText0"/>
              <w:jc w:val="center"/>
              <w:rPr>
                <w:rFonts w:cs="Times New Roman"/>
              </w:rPr>
            </w:pPr>
            <w:r w:rsidRPr="00AD7238">
              <w:t>23170.5</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A5964FF" w14:textId="77777777" w:rsidR="008B06B7" w:rsidRPr="00AD7238" w:rsidRDefault="008B06B7">
            <w:pPr>
              <w:pStyle w:val="TableText0"/>
              <w:jc w:val="center"/>
              <w:rPr>
                <w:rFonts w:cs="Times New Roman"/>
              </w:rPr>
            </w:pPr>
            <w:r w:rsidRPr="00AD7238">
              <w:t>9.1</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2844CF3" w14:textId="77777777" w:rsidR="008B06B7" w:rsidRPr="00AD7238" w:rsidRDefault="008B06B7">
            <w:pPr>
              <w:pStyle w:val="TableText0"/>
              <w:jc w:val="center"/>
              <w:rPr>
                <w:rFonts w:cs="Times New Roman"/>
              </w:rPr>
            </w:pPr>
            <w:r w:rsidRPr="00AD7238">
              <w:t>97.16</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888D69A" w14:textId="77777777" w:rsidR="008B06B7" w:rsidRPr="00AD7238" w:rsidRDefault="008B06B7">
            <w:pPr>
              <w:pStyle w:val="TableText0"/>
              <w:jc w:val="center"/>
              <w:rPr>
                <w:rFonts w:cs="Times New Roman"/>
              </w:rPr>
            </w:pPr>
            <w:r w:rsidRPr="00AD7238">
              <w:t>93.72</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49DA0FF" w14:textId="77777777" w:rsidR="008B06B7" w:rsidRPr="00AD7238" w:rsidRDefault="008B06B7">
            <w:pPr>
              <w:pStyle w:val="TableText0"/>
              <w:jc w:val="center"/>
              <w:rPr>
                <w:rFonts w:cs="Times New Roman"/>
              </w:rPr>
            </w:pPr>
            <w:r w:rsidRPr="00AD7238">
              <w:t>98.97</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E362250" w14:textId="77777777" w:rsidR="008B06B7" w:rsidRPr="00AD7238" w:rsidRDefault="008B06B7">
            <w:pPr>
              <w:pStyle w:val="TableText0"/>
              <w:jc w:val="center"/>
              <w:rPr>
                <w:rFonts w:cs="Times New Roman"/>
              </w:rPr>
            </w:pPr>
            <w:r w:rsidRPr="00AD7238">
              <w:t>&lt;0.0001</w:t>
            </w:r>
          </w:p>
        </w:tc>
      </w:tr>
      <w:tr w:rsidR="008B06B7" w:rsidRPr="00AD7238" w14:paraId="10552789" w14:textId="77777777">
        <w:tc>
          <w:tcPr>
            <w:tcW w:w="9021" w:type="dxa"/>
            <w:gridSpan w:val="16"/>
            <w:tcBorders>
              <w:top w:val="single" w:sz="2" w:space="0" w:color="000000"/>
              <w:left w:val="single" w:sz="2" w:space="0" w:color="000000"/>
              <w:bottom w:val="single" w:sz="2" w:space="0" w:color="000000"/>
              <w:right w:val="single" w:sz="2" w:space="0" w:color="000000"/>
            </w:tcBorders>
            <w:shd w:val="clear" w:color="auto" w:fill="auto"/>
          </w:tcPr>
          <w:p w14:paraId="03348168" w14:textId="77777777" w:rsidR="008B06B7" w:rsidRPr="00AD7238" w:rsidRDefault="008B06B7">
            <w:pPr>
              <w:pStyle w:val="TableText0"/>
              <w:rPr>
                <w:b/>
                <w:bCs w:val="0"/>
              </w:rPr>
            </w:pPr>
            <w:r w:rsidRPr="00AD7238">
              <w:rPr>
                <w:b/>
                <w:bCs w:val="0"/>
              </w:rPr>
              <w:t>ZOE-70</w:t>
            </w:r>
          </w:p>
        </w:tc>
      </w:tr>
      <w:tr w:rsidR="008B06B7" w:rsidRPr="00AD7238" w14:paraId="52E068C9"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DDA6174" w14:textId="77777777" w:rsidR="008B06B7" w:rsidRPr="00AD7238" w:rsidRDefault="008B06B7">
            <w:pPr>
              <w:pStyle w:val="TableText0"/>
            </w:pPr>
            <w:r w:rsidRPr="00AD7238">
              <w:t>70-79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DD96FD7" w14:textId="77777777" w:rsidR="008B06B7" w:rsidRPr="00AD7238" w:rsidRDefault="008B06B7">
            <w:pPr>
              <w:pStyle w:val="TableText0"/>
              <w:jc w:val="center"/>
            </w:pPr>
            <w:r w:rsidRPr="00AD7238">
              <w:t>5114</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9A456A3" w14:textId="77777777" w:rsidR="008B06B7" w:rsidRPr="00AD7238" w:rsidRDefault="008B06B7">
            <w:pPr>
              <w:pStyle w:val="TableText0"/>
              <w:jc w:val="center"/>
              <w:rPr>
                <w:w w:val="99"/>
              </w:rPr>
            </w:pPr>
            <w:r w:rsidRPr="00AD7238">
              <w:t>17</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09C624B" w14:textId="77777777" w:rsidR="008B06B7" w:rsidRPr="00AD7238" w:rsidRDefault="008B06B7">
            <w:pPr>
              <w:pStyle w:val="TableText0"/>
              <w:jc w:val="center"/>
            </w:pPr>
            <w:r w:rsidRPr="00AD7238">
              <w:t>19346.5</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A7377C5" w14:textId="77777777" w:rsidR="008B06B7" w:rsidRPr="00AD7238" w:rsidRDefault="008B06B7">
            <w:pPr>
              <w:pStyle w:val="TableText0"/>
              <w:jc w:val="center"/>
            </w:pPr>
            <w:r w:rsidRPr="00AD7238">
              <w:t>0.9</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AC66D9A" w14:textId="77777777" w:rsidR="008B06B7" w:rsidRPr="00AD7238" w:rsidRDefault="008B06B7">
            <w:pPr>
              <w:pStyle w:val="TableText0"/>
              <w:jc w:val="center"/>
            </w:pPr>
            <w:r w:rsidRPr="00AD7238">
              <w:t>5189</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967724A" w14:textId="77777777" w:rsidR="008B06B7" w:rsidRPr="00AD7238" w:rsidRDefault="008B06B7">
            <w:pPr>
              <w:pStyle w:val="TableText0"/>
              <w:jc w:val="center"/>
            </w:pPr>
            <w:r w:rsidRPr="00AD7238">
              <w:t>169</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0987211" w14:textId="77777777" w:rsidR="008B06B7" w:rsidRPr="00AD7238" w:rsidRDefault="008B06B7">
            <w:pPr>
              <w:pStyle w:val="TableText0"/>
              <w:jc w:val="center"/>
            </w:pPr>
            <w:r w:rsidRPr="00AD7238">
              <w:t>19247.5</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35CA4B5" w14:textId="77777777" w:rsidR="008B06B7" w:rsidRPr="00AD7238" w:rsidRDefault="008B06B7">
            <w:pPr>
              <w:pStyle w:val="TableText0"/>
              <w:jc w:val="center"/>
            </w:pPr>
            <w:r w:rsidRPr="00AD7238">
              <w:t>8.8</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42785E0" w14:textId="77777777" w:rsidR="008B06B7" w:rsidRPr="00AD7238" w:rsidRDefault="008B06B7">
            <w:pPr>
              <w:pStyle w:val="TableText0"/>
              <w:jc w:val="center"/>
            </w:pPr>
            <w:r w:rsidRPr="00AD7238">
              <w:t>90.02</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0B47BF37" w14:textId="77777777" w:rsidR="008B06B7" w:rsidRPr="00AD7238" w:rsidRDefault="008B06B7">
            <w:pPr>
              <w:pStyle w:val="TableText0"/>
              <w:jc w:val="center"/>
            </w:pPr>
            <w:r w:rsidRPr="00AD7238">
              <w:t>83.54</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A7F567A" w14:textId="77777777" w:rsidR="008B06B7" w:rsidRPr="00AD7238" w:rsidRDefault="008B06B7">
            <w:pPr>
              <w:pStyle w:val="TableText0"/>
              <w:jc w:val="center"/>
            </w:pPr>
            <w:r w:rsidRPr="00AD7238">
              <w:t>94.32</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2257AAF" w14:textId="77777777" w:rsidR="008B06B7" w:rsidRPr="00AD7238" w:rsidRDefault="008B06B7">
            <w:pPr>
              <w:pStyle w:val="TableText0"/>
              <w:jc w:val="center"/>
            </w:pPr>
            <w:r w:rsidRPr="00AD7238">
              <w:t>&lt;0.0001</w:t>
            </w:r>
          </w:p>
        </w:tc>
      </w:tr>
      <w:tr w:rsidR="008B06B7" w:rsidRPr="00AD7238" w14:paraId="27A766C9"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620BF5D" w14:textId="7DF32833" w:rsidR="008B06B7" w:rsidRPr="00AD7238" w:rsidRDefault="008B06B7">
            <w:pPr>
              <w:pStyle w:val="TableText0"/>
            </w:pPr>
            <w:r w:rsidRPr="00AD7238">
              <w:t>≥</w:t>
            </w:r>
            <w:r w:rsidR="007E5150">
              <w:t xml:space="preserve"> </w:t>
            </w:r>
            <w:r w:rsidRPr="00AD7238">
              <w:t>80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15A0C2E" w14:textId="77777777" w:rsidR="008B06B7" w:rsidRPr="00AD7238" w:rsidRDefault="008B06B7">
            <w:pPr>
              <w:pStyle w:val="TableText0"/>
              <w:jc w:val="center"/>
            </w:pPr>
            <w:r w:rsidRPr="00AD7238">
              <w:t>1427</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6921FCB" w14:textId="77777777" w:rsidR="008B06B7" w:rsidRPr="00AD7238" w:rsidRDefault="008B06B7">
            <w:pPr>
              <w:pStyle w:val="TableText0"/>
              <w:jc w:val="center"/>
              <w:rPr>
                <w:w w:val="99"/>
              </w:rPr>
            </w:pPr>
            <w:r w:rsidRPr="00AD7238">
              <w:rPr>
                <w:w w:val="99"/>
              </w:rPr>
              <w:t>6</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EDA9BD8" w14:textId="77777777" w:rsidR="008B06B7" w:rsidRPr="00AD7238" w:rsidRDefault="008B06B7">
            <w:pPr>
              <w:pStyle w:val="TableText0"/>
              <w:jc w:val="center"/>
            </w:pPr>
            <w:r w:rsidRPr="00AD7238">
              <w:t>5058.5</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39972ED" w14:textId="77777777" w:rsidR="008B06B7" w:rsidRPr="00AD7238" w:rsidRDefault="008B06B7">
            <w:pPr>
              <w:pStyle w:val="TableText0"/>
              <w:jc w:val="center"/>
            </w:pPr>
            <w:r w:rsidRPr="00AD7238">
              <w:t>1.2</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0DAD68C" w14:textId="77777777" w:rsidR="008B06B7" w:rsidRPr="00AD7238" w:rsidRDefault="008B06B7">
            <w:pPr>
              <w:pStyle w:val="TableText0"/>
              <w:jc w:val="center"/>
            </w:pPr>
            <w:r w:rsidRPr="00AD7238">
              <w:t>1433</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6659ACA" w14:textId="77777777" w:rsidR="008B06B7" w:rsidRPr="00AD7238" w:rsidRDefault="008B06B7">
            <w:pPr>
              <w:pStyle w:val="TableText0"/>
              <w:jc w:val="center"/>
            </w:pPr>
            <w:r w:rsidRPr="00AD7238">
              <w:rPr>
                <w:w w:val="95"/>
              </w:rPr>
              <w:t>54</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2F020BB" w14:textId="77777777" w:rsidR="008B06B7" w:rsidRPr="00AD7238" w:rsidRDefault="008B06B7">
            <w:pPr>
              <w:pStyle w:val="TableText0"/>
              <w:jc w:val="center"/>
            </w:pPr>
            <w:r w:rsidRPr="00AD7238">
              <w:t>4920.3</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1248E9D" w14:textId="77777777" w:rsidR="008B06B7" w:rsidRPr="00AD7238" w:rsidRDefault="008B06B7">
            <w:pPr>
              <w:pStyle w:val="TableText0"/>
              <w:jc w:val="center"/>
            </w:pPr>
            <w:r w:rsidRPr="00AD7238">
              <w:t>11.0</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27FC6FF" w14:textId="77777777" w:rsidR="008B06B7" w:rsidRPr="00AD7238" w:rsidRDefault="008B06B7">
            <w:pPr>
              <w:pStyle w:val="TableText0"/>
              <w:jc w:val="center"/>
            </w:pPr>
            <w:r w:rsidRPr="00AD7238">
              <w:t>89.08</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3B01F3B0" w14:textId="77777777" w:rsidR="008B06B7" w:rsidRPr="00AD7238" w:rsidRDefault="008B06B7">
            <w:pPr>
              <w:pStyle w:val="TableText0"/>
              <w:jc w:val="center"/>
            </w:pPr>
            <w:r w:rsidRPr="00AD7238">
              <w:t>74.65</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4EE729D" w14:textId="77777777" w:rsidR="008B06B7" w:rsidRPr="00AD7238" w:rsidRDefault="008B06B7">
            <w:pPr>
              <w:pStyle w:val="TableText0"/>
              <w:jc w:val="center"/>
            </w:pPr>
            <w:r w:rsidRPr="00AD7238">
              <w:t>96.16</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AAFDC68" w14:textId="77777777" w:rsidR="008B06B7" w:rsidRPr="00AD7238" w:rsidRDefault="008B06B7">
            <w:pPr>
              <w:pStyle w:val="TableText0"/>
              <w:jc w:val="center"/>
            </w:pPr>
            <w:r w:rsidRPr="00AD7238">
              <w:t>&lt;0.0001</w:t>
            </w:r>
          </w:p>
        </w:tc>
      </w:tr>
      <w:tr w:rsidR="008B06B7" w:rsidRPr="00AD7238" w14:paraId="782C53FF"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C1F012A" w14:textId="745A35CB" w:rsidR="008B06B7" w:rsidRPr="00AD7238" w:rsidRDefault="008B06B7">
            <w:pPr>
              <w:pStyle w:val="TableText0"/>
            </w:pPr>
            <w:r w:rsidRPr="00AD7238">
              <w:t>≥</w:t>
            </w:r>
            <w:r w:rsidR="007E5150">
              <w:t xml:space="preserve"> </w:t>
            </w:r>
            <w:r w:rsidRPr="00AD7238">
              <w:t>70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C7C816D" w14:textId="77777777" w:rsidR="008B06B7" w:rsidRPr="00AD7238" w:rsidRDefault="008B06B7">
            <w:pPr>
              <w:pStyle w:val="TableText0"/>
              <w:jc w:val="center"/>
            </w:pPr>
            <w:r w:rsidRPr="00AD7238">
              <w:t>6541</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F7DEBEB" w14:textId="77777777" w:rsidR="008B06B7" w:rsidRPr="00AD7238" w:rsidRDefault="008B06B7">
            <w:pPr>
              <w:pStyle w:val="TableText0"/>
              <w:jc w:val="center"/>
              <w:rPr>
                <w:w w:val="99"/>
              </w:rPr>
            </w:pPr>
            <w:r w:rsidRPr="00AD7238">
              <w:t>23</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CD06E7C" w14:textId="77777777" w:rsidR="008B06B7" w:rsidRPr="00AD7238" w:rsidRDefault="008B06B7">
            <w:pPr>
              <w:pStyle w:val="TableText0"/>
              <w:jc w:val="center"/>
            </w:pPr>
            <w:r w:rsidRPr="00AD7238">
              <w:t>24405.1</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32B7C43" w14:textId="77777777" w:rsidR="008B06B7" w:rsidRPr="00AD7238" w:rsidRDefault="008B06B7">
            <w:pPr>
              <w:pStyle w:val="TableText0"/>
              <w:jc w:val="center"/>
            </w:pPr>
            <w:r w:rsidRPr="00AD7238">
              <w:t>0.9</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64B01C9" w14:textId="77777777" w:rsidR="008B06B7" w:rsidRPr="00AD7238" w:rsidRDefault="008B06B7">
            <w:pPr>
              <w:pStyle w:val="TableText0"/>
              <w:jc w:val="center"/>
            </w:pPr>
            <w:r w:rsidRPr="00AD7238">
              <w:t>6622</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69067FE" w14:textId="77777777" w:rsidR="008B06B7" w:rsidRPr="00AD7238" w:rsidRDefault="008B06B7">
            <w:pPr>
              <w:pStyle w:val="TableText0"/>
              <w:jc w:val="center"/>
            </w:pPr>
            <w:r w:rsidRPr="00AD7238">
              <w:t>223</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CF24B5F" w14:textId="77777777" w:rsidR="008B06B7" w:rsidRPr="00AD7238" w:rsidRDefault="008B06B7">
            <w:pPr>
              <w:pStyle w:val="TableText0"/>
              <w:jc w:val="center"/>
            </w:pPr>
            <w:r w:rsidRPr="00AD7238">
              <w:t>24167.8</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6425C05" w14:textId="77777777" w:rsidR="008B06B7" w:rsidRPr="00AD7238" w:rsidRDefault="008B06B7">
            <w:pPr>
              <w:pStyle w:val="TableText0"/>
              <w:jc w:val="center"/>
            </w:pPr>
            <w:r w:rsidRPr="00AD7238">
              <w:t>9.2</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AD103DB" w14:textId="77777777" w:rsidR="008B06B7" w:rsidRPr="00AD7238" w:rsidRDefault="008B06B7">
            <w:pPr>
              <w:pStyle w:val="TableText0"/>
              <w:jc w:val="center"/>
            </w:pPr>
            <w:r w:rsidRPr="00AD7238">
              <w:t>89.79</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F8DD2CE" w14:textId="77777777" w:rsidR="008B06B7" w:rsidRPr="00AD7238" w:rsidRDefault="008B06B7">
            <w:pPr>
              <w:pStyle w:val="TableText0"/>
              <w:jc w:val="center"/>
            </w:pPr>
            <w:r w:rsidRPr="00AD7238">
              <w:t>84.29</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0EDD1868" w14:textId="77777777" w:rsidR="008B06B7" w:rsidRPr="00AD7238" w:rsidRDefault="008B06B7">
            <w:pPr>
              <w:pStyle w:val="TableText0"/>
              <w:jc w:val="center"/>
            </w:pPr>
            <w:r w:rsidRPr="00AD7238">
              <w:t>93.66</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2FE1304" w14:textId="77777777" w:rsidR="008B06B7" w:rsidRPr="00AD7238" w:rsidRDefault="008B06B7">
            <w:pPr>
              <w:pStyle w:val="TableText0"/>
              <w:jc w:val="center"/>
            </w:pPr>
            <w:r w:rsidRPr="00AD7238">
              <w:t>&lt;0.0001</w:t>
            </w:r>
          </w:p>
        </w:tc>
      </w:tr>
      <w:tr w:rsidR="008B06B7" w:rsidRPr="00AD7238" w14:paraId="152B1219" w14:textId="77777777">
        <w:tc>
          <w:tcPr>
            <w:tcW w:w="9021" w:type="dxa"/>
            <w:gridSpan w:val="16"/>
            <w:tcBorders>
              <w:top w:val="single" w:sz="2" w:space="0" w:color="000000"/>
              <w:left w:val="single" w:sz="2" w:space="0" w:color="000000"/>
              <w:bottom w:val="single" w:sz="2" w:space="0" w:color="000000"/>
              <w:right w:val="single" w:sz="2" w:space="0" w:color="000000"/>
            </w:tcBorders>
            <w:shd w:val="clear" w:color="auto" w:fill="auto"/>
          </w:tcPr>
          <w:p w14:paraId="579F4BC8" w14:textId="77777777" w:rsidR="008B06B7" w:rsidRPr="00AD7238" w:rsidRDefault="008B06B7">
            <w:pPr>
              <w:pStyle w:val="TableText0"/>
              <w:rPr>
                <w:b/>
                <w:bCs w:val="0"/>
              </w:rPr>
            </w:pPr>
            <w:r w:rsidRPr="00AD7238">
              <w:rPr>
                <w:b/>
                <w:bCs w:val="0"/>
              </w:rPr>
              <w:t>Pooled ZOE-50 and ZOE-70</w:t>
            </w:r>
          </w:p>
        </w:tc>
      </w:tr>
      <w:tr w:rsidR="008B06B7" w:rsidRPr="00AD7238" w14:paraId="26AD83A4"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06205C6" w14:textId="77777777" w:rsidR="008B06B7" w:rsidRPr="00AD7238" w:rsidRDefault="008B06B7">
            <w:pPr>
              <w:pStyle w:val="TableText0"/>
            </w:pPr>
            <w:r w:rsidRPr="00AD7238">
              <w:t>70-79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B845BB7" w14:textId="77777777" w:rsidR="008B06B7" w:rsidRPr="00AD7238" w:rsidRDefault="008B06B7">
            <w:pPr>
              <w:pStyle w:val="TableText0"/>
              <w:jc w:val="center"/>
            </w:pPr>
            <w:r w:rsidRPr="00AD7238">
              <w:t>6468</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FBF4CB3" w14:textId="77777777" w:rsidR="008B06B7" w:rsidRPr="00AD7238" w:rsidRDefault="008B06B7">
            <w:pPr>
              <w:pStyle w:val="TableText0"/>
              <w:jc w:val="center"/>
              <w:rPr>
                <w:w w:val="99"/>
              </w:rPr>
            </w:pPr>
            <w:r w:rsidRPr="00AD7238">
              <w:t>19</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8EE6B55" w14:textId="77777777" w:rsidR="008B06B7" w:rsidRPr="00AD7238" w:rsidRDefault="008B06B7">
            <w:pPr>
              <w:pStyle w:val="TableText0"/>
              <w:jc w:val="center"/>
            </w:pPr>
            <w:r w:rsidRPr="00AD7238">
              <w:t>24410.9</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D9882D4" w14:textId="77777777" w:rsidR="008B06B7" w:rsidRPr="00AD7238" w:rsidRDefault="008B06B7">
            <w:pPr>
              <w:pStyle w:val="TableText0"/>
              <w:jc w:val="center"/>
            </w:pPr>
            <w:r w:rsidRPr="00AD7238">
              <w:t>0.8</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EDFEEE2" w14:textId="77777777" w:rsidR="008B06B7" w:rsidRPr="00AD7238" w:rsidRDefault="008B06B7">
            <w:pPr>
              <w:pStyle w:val="TableText0"/>
              <w:jc w:val="center"/>
            </w:pPr>
            <w:r w:rsidRPr="00AD7238">
              <w:t>6554</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FDC3548" w14:textId="77777777" w:rsidR="008B06B7" w:rsidRPr="00AD7238" w:rsidRDefault="008B06B7">
            <w:pPr>
              <w:pStyle w:val="TableText0"/>
              <w:jc w:val="center"/>
            </w:pPr>
            <w:r w:rsidRPr="00AD7238">
              <w:t>216</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DF4FB8C" w14:textId="77777777" w:rsidR="008B06B7" w:rsidRPr="00AD7238" w:rsidRDefault="008B06B7">
            <w:pPr>
              <w:pStyle w:val="TableText0"/>
              <w:jc w:val="center"/>
            </w:pPr>
            <w:r w:rsidRPr="00AD7238">
              <w:t>24262.8</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A631562" w14:textId="77777777" w:rsidR="008B06B7" w:rsidRPr="00AD7238" w:rsidRDefault="008B06B7">
            <w:pPr>
              <w:pStyle w:val="TableText0"/>
              <w:jc w:val="center"/>
            </w:pPr>
            <w:r w:rsidRPr="00AD7238">
              <w:t>8.9</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56381D2D" w14:textId="77777777" w:rsidR="008B06B7" w:rsidRPr="00AD7238" w:rsidRDefault="008B06B7">
            <w:pPr>
              <w:pStyle w:val="TableText0"/>
              <w:jc w:val="center"/>
            </w:pPr>
            <w:r w:rsidRPr="00AD7238">
              <w:t>91.27</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1C4399D" w14:textId="77777777" w:rsidR="008B06B7" w:rsidRPr="00AD7238" w:rsidRDefault="008B06B7">
            <w:pPr>
              <w:pStyle w:val="TableText0"/>
              <w:jc w:val="center"/>
            </w:pPr>
            <w:r w:rsidRPr="00AD7238">
              <w:t>86.04</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1FE315F4" w14:textId="77777777" w:rsidR="008B06B7" w:rsidRPr="00AD7238" w:rsidRDefault="008B06B7">
            <w:pPr>
              <w:pStyle w:val="TableText0"/>
              <w:jc w:val="center"/>
            </w:pPr>
            <w:r w:rsidRPr="00AD7238">
              <w:t>94.85</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5CDE3EA" w14:textId="77777777" w:rsidR="008B06B7" w:rsidRPr="00AD7238" w:rsidRDefault="008B06B7">
            <w:pPr>
              <w:pStyle w:val="TableText0"/>
              <w:jc w:val="center"/>
            </w:pPr>
            <w:r w:rsidRPr="00AD7238">
              <w:t>&lt;0.0001</w:t>
            </w:r>
          </w:p>
        </w:tc>
      </w:tr>
      <w:tr w:rsidR="008B06B7" w:rsidRPr="00AD7238" w14:paraId="28F25C31"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99FF92D" w14:textId="43CEA3F5" w:rsidR="008B06B7" w:rsidRPr="00AD7238" w:rsidRDefault="008B06B7">
            <w:pPr>
              <w:pStyle w:val="TableText0"/>
            </w:pPr>
            <w:r w:rsidRPr="00AD7238">
              <w:t>≥</w:t>
            </w:r>
            <w:r w:rsidR="007E5150">
              <w:t xml:space="preserve"> </w:t>
            </w:r>
            <w:r w:rsidRPr="00AD7238">
              <w:t>80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92721F1" w14:textId="77777777" w:rsidR="008B06B7" w:rsidRPr="00AD7238" w:rsidRDefault="008B06B7">
            <w:pPr>
              <w:pStyle w:val="TableText0"/>
              <w:jc w:val="center"/>
            </w:pPr>
            <w:r w:rsidRPr="00AD7238">
              <w:t>1782</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D4DF84A" w14:textId="77777777" w:rsidR="008B06B7" w:rsidRPr="00AD7238" w:rsidRDefault="008B06B7">
            <w:pPr>
              <w:pStyle w:val="TableText0"/>
              <w:jc w:val="center"/>
              <w:rPr>
                <w:w w:val="99"/>
              </w:rPr>
            </w:pPr>
            <w:r w:rsidRPr="00AD7238">
              <w:rPr>
                <w:w w:val="99"/>
              </w:rPr>
              <w:t>6</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33AEB47" w14:textId="77777777" w:rsidR="008B06B7" w:rsidRPr="00AD7238" w:rsidRDefault="008B06B7">
            <w:pPr>
              <w:pStyle w:val="TableText0"/>
              <w:jc w:val="center"/>
            </w:pPr>
            <w:r w:rsidRPr="00AD7238">
              <w:t>6314.6</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660C5B5" w14:textId="77777777" w:rsidR="008B06B7" w:rsidRPr="00AD7238" w:rsidRDefault="008B06B7">
            <w:pPr>
              <w:pStyle w:val="TableText0"/>
              <w:jc w:val="center"/>
            </w:pPr>
            <w:r w:rsidRPr="00AD7238">
              <w:t>1.0</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98D6C18" w14:textId="77777777" w:rsidR="008B06B7" w:rsidRPr="00AD7238" w:rsidRDefault="008B06B7">
            <w:pPr>
              <w:pStyle w:val="TableText0"/>
              <w:jc w:val="center"/>
            </w:pPr>
            <w:r w:rsidRPr="00AD7238">
              <w:t>1792</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178CF86" w14:textId="77777777" w:rsidR="008B06B7" w:rsidRPr="00AD7238" w:rsidRDefault="008B06B7">
            <w:pPr>
              <w:pStyle w:val="TableText0"/>
              <w:jc w:val="center"/>
            </w:pPr>
            <w:r w:rsidRPr="00AD7238">
              <w:rPr>
                <w:w w:val="95"/>
              </w:rPr>
              <w:t>68</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2BE3CB8" w14:textId="77777777" w:rsidR="008B06B7" w:rsidRPr="00AD7238" w:rsidRDefault="008B06B7">
            <w:pPr>
              <w:pStyle w:val="TableText0"/>
              <w:jc w:val="center"/>
            </w:pPr>
            <w:r w:rsidRPr="00AD7238">
              <w:t>6151.9</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72C2E32" w14:textId="77777777" w:rsidR="008B06B7" w:rsidRPr="00AD7238" w:rsidRDefault="008B06B7">
            <w:pPr>
              <w:pStyle w:val="TableText0"/>
              <w:jc w:val="center"/>
            </w:pPr>
            <w:r w:rsidRPr="00AD7238">
              <w:t>11.1</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14F4F55B" w14:textId="77777777" w:rsidR="008B06B7" w:rsidRPr="00AD7238" w:rsidRDefault="008B06B7">
            <w:pPr>
              <w:pStyle w:val="TableText0"/>
              <w:jc w:val="center"/>
            </w:pPr>
            <w:r w:rsidRPr="00AD7238">
              <w:t>91.37</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14755896" w14:textId="77777777" w:rsidR="008B06B7" w:rsidRPr="00AD7238" w:rsidRDefault="008B06B7">
            <w:pPr>
              <w:pStyle w:val="TableText0"/>
              <w:jc w:val="center"/>
            </w:pPr>
            <w:r w:rsidRPr="00AD7238">
              <w:t>80.22</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74D432A1" w14:textId="77777777" w:rsidR="008B06B7" w:rsidRPr="00AD7238" w:rsidRDefault="008B06B7">
            <w:pPr>
              <w:pStyle w:val="TableText0"/>
              <w:jc w:val="center"/>
            </w:pPr>
            <w:r w:rsidRPr="00AD7238">
              <w:t>96.94</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BA736EA" w14:textId="77777777" w:rsidR="008B06B7" w:rsidRPr="00AD7238" w:rsidRDefault="008B06B7">
            <w:pPr>
              <w:pStyle w:val="TableText0"/>
              <w:jc w:val="center"/>
            </w:pPr>
            <w:r w:rsidRPr="00AD7238">
              <w:t>&lt;0.0001</w:t>
            </w:r>
          </w:p>
        </w:tc>
      </w:tr>
      <w:tr w:rsidR="008B06B7" w:rsidRPr="00AD7238" w14:paraId="2A6E27B4" w14:textId="77777777" w:rsidTr="00F12F79">
        <w:trPr>
          <w:gridAfter w:val="1"/>
          <w:wAfter w:w="9" w:type="dxa"/>
        </w:trPr>
        <w:tc>
          <w:tcPr>
            <w:tcW w:w="923"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4C78B94" w14:textId="6974C78A" w:rsidR="008B06B7" w:rsidRPr="00AD7238" w:rsidRDefault="008B06B7">
            <w:pPr>
              <w:pStyle w:val="TableText0"/>
            </w:pPr>
            <w:r w:rsidRPr="00AD7238">
              <w:t>≥</w:t>
            </w:r>
            <w:r w:rsidR="007E5150">
              <w:t xml:space="preserve"> </w:t>
            </w:r>
            <w:r w:rsidRPr="00AD7238">
              <w:t>70 years</w:t>
            </w:r>
          </w:p>
        </w:tc>
        <w:tc>
          <w:tcPr>
            <w:tcW w:w="49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642AD6B" w14:textId="77777777" w:rsidR="008B06B7" w:rsidRPr="00AD7238" w:rsidRDefault="008B06B7">
            <w:pPr>
              <w:pStyle w:val="TableText0"/>
              <w:jc w:val="center"/>
            </w:pPr>
            <w:r w:rsidRPr="00AD7238">
              <w:t>8250</w:t>
            </w:r>
          </w:p>
        </w:tc>
        <w:tc>
          <w:tcPr>
            <w:tcW w:w="425"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703B710" w14:textId="77777777" w:rsidR="008B06B7" w:rsidRPr="00AD7238" w:rsidRDefault="008B06B7">
            <w:pPr>
              <w:pStyle w:val="TableText0"/>
              <w:jc w:val="center"/>
              <w:rPr>
                <w:w w:val="99"/>
              </w:rPr>
            </w:pPr>
            <w:r w:rsidRPr="00AD7238">
              <w:rPr>
                <w:w w:val="99"/>
              </w:rPr>
              <w:t>25</w:t>
            </w:r>
          </w:p>
        </w:tc>
        <w:tc>
          <w:tcPr>
            <w:tcW w:w="709"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1492CECF" w14:textId="77777777" w:rsidR="008B06B7" w:rsidRPr="00AD7238" w:rsidRDefault="008B06B7">
            <w:pPr>
              <w:pStyle w:val="TableText0"/>
              <w:jc w:val="center"/>
            </w:pPr>
            <w:r w:rsidRPr="00AD7238">
              <w:t>30725.5</w:t>
            </w:r>
          </w:p>
        </w:tc>
        <w:tc>
          <w:tcPr>
            <w:tcW w:w="7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5F14A78D" w14:textId="77777777" w:rsidR="008B06B7" w:rsidRPr="00AD7238" w:rsidRDefault="008B06B7">
            <w:pPr>
              <w:pStyle w:val="TableText0"/>
              <w:jc w:val="center"/>
            </w:pPr>
            <w:r w:rsidRPr="00AD7238">
              <w:t>0.8</w:t>
            </w:r>
          </w:p>
        </w:tc>
        <w:tc>
          <w:tcPr>
            <w:tcW w:w="522"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66CA996" w14:textId="77777777" w:rsidR="008B06B7" w:rsidRPr="00AD7238" w:rsidRDefault="008B06B7">
            <w:pPr>
              <w:pStyle w:val="TableText0"/>
              <w:jc w:val="center"/>
            </w:pPr>
            <w:r w:rsidRPr="00AD7238">
              <w:t>8346</w:t>
            </w:r>
          </w:p>
        </w:tc>
        <w:tc>
          <w:tcPr>
            <w:tcW w:w="448"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1B29F69" w14:textId="77777777" w:rsidR="008B06B7" w:rsidRPr="00AD7238" w:rsidRDefault="008B06B7">
            <w:pPr>
              <w:pStyle w:val="TableText0"/>
              <w:jc w:val="center"/>
              <w:rPr>
                <w:w w:val="95"/>
              </w:rPr>
            </w:pPr>
            <w:r w:rsidRPr="00AD7238">
              <w:rPr>
                <w:w w:val="95"/>
              </w:rPr>
              <w:t>284</w:t>
            </w:r>
          </w:p>
        </w:tc>
        <w:tc>
          <w:tcPr>
            <w:tcW w:w="827"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3C9A304C" w14:textId="77777777" w:rsidR="008B06B7" w:rsidRPr="00AD7238" w:rsidRDefault="008B06B7">
            <w:pPr>
              <w:pStyle w:val="TableText0"/>
              <w:jc w:val="center"/>
            </w:pPr>
            <w:r w:rsidRPr="00AD7238">
              <w:t>30414.7</w:t>
            </w:r>
          </w:p>
        </w:tc>
        <w:tc>
          <w:tcPr>
            <w:tcW w:w="851"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23BB373" w14:textId="77777777" w:rsidR="008B06B7" w:rsidRPr="00AD7238" w:rsidRDefault="008B06B7">
            <w:pPr>
              <w:pStyle w:val="TableText0"/>
              <w:jc w:val="center"/>
            </w:pPr>
            <w:r w:rsidRPr="00AD7238">
              <w:t>9.3</w:t>
            </w:r>
          </w:p>
        </w:tc>
        <w:tc>
          <w:tcPr>
            <w:tcW w:w="567"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75FF31B" w14:textId="77777777" w:rsidR="008B06B7" w:rsidRPr="00AD7238" w:rsidRDefault="008B06B7">
            <w:pPr>
              <w:pStyle w:val="TableText0"/>
              <w:jc w:val="center"/>
            </w:pPr>
            <w:r w:rsidRPr="00AD7238">
              <w:t>91.30</w:t>
            </w:r>
          </w:p>
        </w:tc>
        <w:tc>
          <w:tcPr>
            <w:tcW w:w="700" w:type="dxa"/>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46FE32B8" w14:textId="77777777" w:rsidR="008B06B7" w:rsidRPr="00AD7238" w:rsidRDefault="008B06B7">
            <w:pPr>
              <w:pStyle w:val="TableText0"/>
              <w:jc w:val="center"/>
            </w:pPr>
            <w:r w:rsidRPr="00AD7238">
              <w:t>86.88</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tcPr>
          <w:p w14:paraId="20EC9A82" w14:textId="77777777" w:rsidR="008B06B7" w:rsidRPr="00AD7238" w:rsidRDefault="008B06B7">
            <w:pPr>
              <w:pStyle w:val="TableText0"/>
              <w:jc w:val="center"/>
            </w:pPr>
            <w:r w:rsidRPr="00AD7238">
              <w:t>94.46</w:t>
            </w:r>
          </w:p>
        </w:tc>
        <w:tc>
          <w:tcPr>
            <w:tcW w:w="944"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2FF022A7" w14:textId="77777777" w:rsidR="008B06B7" w:rsidRPr="00AD7238" w:rsidRDefault="008B06B7">
            <w:pPr>
              <w:pStyle w:val="TableText0"/>
              <w:jc w:val="center"/>
            </w:pPr>
            <w:r w:rsidRPr="00AD7238">
              <w:t>&lt;0.0001</w:t>
            </w:r>
          </w:p>
        </w:tc>
      </w:tr>
    </w:tbl>
    <w:p w14:paraId="2271A176" w14:textId="76B257AC" w:rsidR="003974C3" w:rsidRPr="00AD7238" w:rsidRDefault="003974C3" w:rsidP="003974C3">
      <w:pPr>
        <w:pStyle w:val="TableFooter"/>
      </w:pPr>
      <w:r w:rsidRPr="00AD7238">
        <w:t xml:space="preserve">Source: Table 2-14 and 2-15, p81-82 of the </w:t>
      </w:r>
      <w:r w:rsidR="00815FA2" w:rsidRPr="00AD7238">
        <w:t>re</w:t>
      </w:r>
      <w:r w:rsidRPr="00AD7238">
        <w:t>submission</w:t>
      </w:r>
    </w:p>
    <w:p w14:paraId="7C4BF4EB" w14:textId="6753835E" w:rsidR="003974C3" w:rsidRPr="00AD7238" w:rsidRDefault="001D513B" w:rsidP="003974C3">
      <w:pPr>
        <w:pStyle w:val="TableFooter"/>
      </w:pPr>
      <w:r>
        <w:t xml:space="preserve">mTVC = modified total vaccinated cohort; </w:t>
      </w:r>
      <w:r w:rsidR="003974C3" w:rsidRPr="00AD7238">
        <w:t>N</w:t>
      </w:r>
      <w:r w:rsidR="00DE338A" w:rsidRPr="00AD7238">
        <w:t xml:space="preserve"> = </w:t>
      </w:r>
      <w:r w:rsidR="003974C3" w:rsidRPr="00AD7238">
        <w:t>number of subjects included in each group; n</w:t>
      </w:r>
      <w:r w:rsidR="00DE338A" w:rsidRPr="00AD7238">
        <w:t xml:space="preserve"> = </w:t>
      </w:r>
      <w:r w:rsidR="003974C3" w:rsidRPr="00AD7238">
        <w:t>number of subjects having at least one HZ confirmed case; T (year)</w:t>
      </w:r>
      <w:r w:rsidR="00DE338A" w:rsidRPr="00AD7238">
        <w:t xml:space="preserve"> = </w:t>
      </w:r>
      <w:r w:rsidR="003974C3" w:rsidRPr="00AD7238">
        <w:t>sum of follow-up period (censored at the first occurrence of a HZ confirmed case) expressed in years; n/T (per 1000) = Incidence rate of subjects reporting at least one event; VE (%)</w:t>
      </w:r>
      <w:r w:rsidR="00DE338A" w:rsidRPr="00AD7238">
        <w:t xml:space="preserve"> =</w:t>
      </w:r>
      <w:r w:rsidR="003974C3" w:rsidRPr="00AD7238">
        <w:t>Vaccine Efficacy (Poisson method)</w:t>
      </w:r>
    </w:p>
    <w:p w14:paraId="08FFDF66" w14:textId="07F97889" w:rsidR="003974C3" w:rsidRPr="00AD7238" w:rsidRDefault="007E5150" w:rsidP="003974C3">
      <w:pPr>
        <w:pStyle w:val="TableFooter"/>
      </w:pPr>
      <w:r>
        <w:t>Note</w:t>
      </w:r>
      <w:r w:rsidR="00FD7604">
        <w:t>s</w:t>
      </w:r>
      <w:r>
        <w:t xml:space="preserve">: </w:t>
      </w:r>
      <w:r w:rsidR="003974C3" w:rsidRPr="00AD7238">
        <w:t xml:space="preserve">The modified vaccinated cohort excluded participants who did not receive the second dose of vaccine or who received a confirmed diagnosis of herpes zoster within 1 month after the second dose. </w:t>
      </w:r>
    </w:p>
    <w:p w14:paraId="5B2A01A1" w14:textId="0891C9CF" w:rsidR="003974C3" w:rsidRPr="00AD7238" w:rsidRDefault="007E5150" w:rsidP="003974C3">
      <w:pPr>
        <w:pStyle w:val="TableFooter"/>
      </w:pPr>
      <w:r w:rsidRPr="003A3F80">
        <w:rPr>
          <w:vertAlign w:val="superscript"/>
        </w:rPr>
        <w:t>a</w:t>
      </w:r>
      <w:r>
        <w:t xml:space="preserve"> </w:t>
      </w:r>
      <w:r w:rsidR="003974C3" w:rsidRPr="00AD7238">
        <w:t>Vaccine efficacy in each age group was adjusted for region. Overall vaccine efficacy was adjusted for age group and region.</w:t>
      </w:r>
    </w:p>
    <w:p w14:paraId="4A204974" w14:textId="30787E7E" w:rsidR="00F12F79" w:rsidRDefault="00F12F79" w:rsidP="00F12F79">
      <w:pPr>
        <w:pStyle w:val="FooterTableFigure"/>
      </w:pPr>
      <w:r w:rsidRPr="00AD7238">
        <w:rPr>
          <w:shd w:val="clear" w:color="auto" w:fill="DBE5F1" w:themeFill="accent1" w:themeFillTint="33"/>
        </w:rPr>
        <w:t>Blue</w:t>
      </w:r>
      <w:r w:rsidRPr="00AD7238">
        <w:t xml:space="preserve"> shading indicates information previously considered by the PBAC (2018 submission)</w:t>
      </w:r>
    </w:p>
    <w:p w14:paraId="1999788C" w14:textId="61E77F39" w:rsidR="00A67DBA" w:rsidRPr="00A67DBA" w:rsidRDefault="00A67DBA" w:rsidP="00F12F79">
      <w:pPr>
        <w:pStyle w:val="FooterTableFigure"/>
        <w:rPr>
          <w:i/>
          <w:iCs/>
        </w:rPr>
      </w:pPr>
      <w:r w:rsidRPr="00A67DBA">
        <w:rPr>
          <w:i/>
          <w:iCs/>
        </w:rPr>
        <w:t>* Statistical analysis of VE</w:t>
      </w:r>
      <w:r w:rsidRPr="00A67DBA">
        <w:rPr>
          <w:i/>
          <w:iCs/>
          <w:vertAlign w:val="subscript"/>
        </w:rPr>
        <w:t>HZ</w:t>
      </w:r>
      <w:r w:rsidRPr="00A67DBA">
        <w:rPr>
          <w:i/>
          <w:iCs/>
        </w:rPr>
        <w:t xml:space="preserve"> was planned for adults ≥50 years (primary objective, well powered), 50-59 &amp; 60-69 years (secondary objective, appropriately powered), and ≥70 years (study not well powered under protocol assumptions although could lead to significance), but was not planned for adults ≥60 years. Therefore, presented results in this age group should be interpreted with caution.</w:t>
      </w:r>
    </w:p>
    <w:p w14:paraId="0954B445" w14:textId="5AA7223C" w:rsidR="00D73D20" w:rsidRPr="00AD7238" w:rsidRDefault="00D73D20" w:rsidP="00D73D20">
      <w:pPr>
        <w:pStyle w:val="3-BodyText"/>
      </w:pPr>
      <w:r w:rsidRPr="00AD7238">
        <w:t>Results of VE</w:t>
      </w:r>
      <w:r w:rsidRPr="00AD7238">
        <w:rPr>
          <w:vertAlign w:val="subscript"/>
        </w:rPr>
        <w:t>HZ</w:t>
      </w:r>
      <w:r w:rsidRPr="00AD7238">
        <w:t xml:space="preserve"> from the pivotal ZOE-50 and ZOE-70 trials showed that RZV resulted in a statistically significant reduction in HZ cases across all age groups. The VE</w:t>
      </w:r>
      <w:r w:rsidRPr="00AD7238">
        <w:rPr>
          <w:vertAlign w:val="subscript"/>
        </w:rPr>
        <w:t xml:space="preserve">HZ </w:t>
      </w:r>
      <w:r w:rsidR="00FB6BE6">
        <w:t xml:space="preserve">was 97% (95% CI: 94%, 99%) in ZOE-50 and 90% (95% CI: 84%, 94%) in ZOE-70 </w:t>
      </w:r>
      <w:r w:rsidRPr="00AD7238">
        <w:t xml:space="preserve">and was </w:t>
      </w:r>
      <w:r w:rsidR="00FB6BE6">
        <w:t xml:space="preserve">reasonably </w:t>
      </w:r>
      <w:r w:rsidRPr="00AD7238">
        <w:t xml:space="preserve">similar across age groups. </w:t>
      </w:r>
      <w:r w:rsidRPr="00615B0D">
        <w:rPr>
          <w:iCs/>
        </w:rPr>
        <w:t>These results remain unchanged from those considered by the PBAC in the 2018 submission.</w:t>
      </w:r>
    </w:p>
    <w:p w14:paraId="11946A59" w14:textId="6FF8953C" w:rsidR="00D73D20" w:rsidRDefault="00D73D20" w:rsidP="00D73D20">
      <w:pPr>
        <w:pStyle w:val="3-BodyText"/>
      </w:pPr>
      <w:r w:rsidRPr="00AD7238">
        <w:t xml:space="preserve">Results of </w:t>
      </w:r>
      <w:r w:rsidR="007E5150">
        <w:t>vaccine efficacy against PHN (</w:t>
      </w:r>
      <w:r w:rsidRPr="00AD7238">
        <w:t>VE</w:t>
      </w:r>
      <w:r w:rsidRPr="00AD7238">
        <w:rPr>
          <w:vertAlign w:val="subscript"/>
        </w:rPr>
        <w:t>PHN</w:t>
      </w:r>
      <w:r w:rsidR="007E5150">
        <w:t xml:space="preserve">) </w:t>
      </w:r>
      <w:r w:rsidRPr="006E790F">
        <w:t>from pooled results</w:t>
      </w:r>
      <w:r w:rsidR="00FB6BE6" w:rsidRPr="006E790F">
        <w:t xml:space="preserve"> is presented</w:t>
      </w:r>
      <w:r w:rsidR="00FB6BE6">
        <w:t xml:space="preserve"> in </w:t>
      </w:r>
      <w:r w:rsidR="001D513B" w:rsidRPr="001D513B">
        <w:rPr>
          <w:rFonts w:ascii="Calibri" w:hAnsi="Calibri" w:cs="Calibri"/>
          <w:b/>
          <w:bCs/>
        </w:rPr>
        <w:fldChar w:fldCharType="begin" w:fldLock="1"/>
      </w:r>
      <w:r w:rsidR="001D513B" w:rsidRPr="001D513B">
        <w:rPr>
          <w:rFonts w:ascii="Calibri" w:hAnsi="Calibri" w:cs="Calibri"/>
          <w:b/>
          <w:bCs/>
        </w:rPr>
        <w:instrText xml:space="preserve"> REF _Ref127476354 \h  \* MERGEFORMAT </w:instrText>
      </w:r>
      <w:r w:rsidR="001D513B" w:rsidRPr="001D513B">
        <w:rPr>
          <w:rFonts w:ascii="Calibri" w:hAnsi="Calibri" w:cs="Calibri"/>
          <w:b/>
          <w:bCs/>
        </w:rPr>
      </w:r>
      <w:r w:rsidR="001D513B" w:rsidRPr="001D513B">
        <w:rPr>
          <w:rFonts w:ascii="Calibri" w:hAnsi="Calibri" w:cs="Calibri"/>
          <w:b/>
          <w:bCs/>
        </w:rPr>
        <w:fldChar w:fldCharType="separate"/>
      </w:r>
      <w:r w:rsidR="00602E99" w:rsidRPr="00602E99">
        <w:rPr>
          <w:rStyle w:val="CommentReference"/>
          <w:rFonts w:ascii="Calibri" w:hAnsi="Calibri" w:cs="Calibri"/>
          <w:b w:val="0"/>
          <w:bCs/>
          <w:iCs/>
          <w:sz w:val="24"/>
          <w:szCs w:val="24"/>
        </w:rPr>
        <w:t xml:space="preserve">Table </w:t>
      </w:r>
      <w:r w:rsidR="00602E99" w:rsidRPr="00602E99">
        <w:rPr>
          <w:rStyle w:val="CommentReference"/>
          <w:rFonts w:ascii="Calibri" w:hAnsi="Calibri" w:cs="Calibri"/>
          <w:b w:val="0"/>
          <w:bCs/>
          <w:iCs/>
          <w:noProof/>
          <w:sz w:val="24"/>
          <w:szCs w:val="24"/>
        </w:rPr>
        <w:t>6</w:t>
      </w:r>
      <w:r w:rsidR="001D513B" w:rsidRPr="001D513B">
        <w:rPr>
          <w:rFonts w:ascii="Calibri" w:hAnsi="Calibri" w:cs="Calibri"/>
          <w:b/>
          <w:bCs/>
        </w:rPr>
        <w:fldChar w:fldCharType="end"/>
      </w:r>
      <w:r w:rsidRPr="001D513B">
        <w:rPr>
          <w:rFonts w:ascii="Calibri" w:hAnsi="Calibri" w:cs="Calibri"/>
        </w:rPr>
        <w:t>.</w:t>
      </w:r>
      <w:r w:rsidRPr="00AD7238">
        <w:t xml:space="preserve"> VE</w:t>
      </w:r>
      <w:r w:rsidRPr="00AD7238">
        <w:rPr>
          <w:vertAlign w:val="subscript"/>
        </w:rPr>
        <w:t xml:space="preserve">PHN </w:t>
      </w:r>
      <w:r w:rsidRPr="00AD7238">
        <w:t xml:space="preserve">appeared to be lower for the older age groups. The results were not statistically significant for the 60-69 YOA and </w:t>
      </w:r>
      <w:r w:rsidRPr="00AD7238">
        <w:rPr>
          <w:rFonts w:cstheme="minorBidi"/>
        </w:rPr>
        <w:t>≥</w:t>
      </w:r>
      <w:r w:rsidR="007E5150">
        <w:rPr>
          <w:rFonts w:cstheme="minorBidi"/>
        </w:rPr>
        <w:t xml:space="preserve"> </w:t>
      </w:r>
      <w:r w:rsidRPr="00AD7238">
        <w:t xml:space="preserve">80 YOA groups, which may be due to </w:t>
      </w:r>
      <w:r w:rsidRPr="00AD7238">
        <w:lastRenderedPageBreak/>
        <w:t xml:space="preserve">the small number of cases. </w:t>
      </w:r>
      <w:r w:rsidRPr="00615B0D">
        <w:rPr>
          <w:iCs/>
        </w:rPr>
        <w:t xml:space="preserve">These results remain unchanged from those considered by the PBAC in the 2018 submission. These results </w:t>
      </w:r>
      <w:r w:rsidR="003C784F">
        <w:rPr>
          <w:iCs/>
        </w:rPr>
        <w:t>were</w:t>
      </w:r>
      <w:r w:rsidR="003C784F" w:rsidRPr="00615B0D">
        <w:rPr>
          <w:iCs/>
        </w:rPr>
        <w:t xml:space="preserve"> </w:t>
      </w:r>
      <w:r w:rsidRPr="00615B0D">
        <w:rPr>
          <w:iCs/>
        </w:rPr>
        <w:t xml:space="preserve">not used in the economic model. The </w:t>
      </w:r>
      <w:r w:rsidR="00815FA2" w:rsidRPr="00615B0D">
        <w:rPr>
          <w:iCs/>
        </w:rPr>
        <w:t>re</w:t>
      </w:r>
      <w:r w:rsidRPr="00615B0D">
        <w:rPr>
          <w:iCs/>
        </w:rPr>
        <w:t>submission assumed VE</w:t>
      </w:r>
      <w:r w:rsidRPr="00615B0D">
        <w:rPr>
          <w:iCs/>
          <w:vertAlign w:val="subscript"/>
        </w:rPr>
        <w:t xml:space="preserve">HZ </w:t>
      </w:r>
      <w:r w:rsidRPr="00615B0D">
        <w:rPr>
          <w:iCs/>
        </w:rPr>
        <w:t>= VE</w:t>
      </w:r>
      <w:r w:rsidRPr="00615B0D">
        <w:rPr>
          <w:iCs/>
          <w:vertAlign w:val="subscript"/>
        </w:rPr>
        <w:t>PHN</w:t>
      </w:r>
      <w:r w:rsidRPr="00615B0D">
        <w:rPr>
          <w:iCs/>
        </w:rPr>
        <w:t xml:space="preserve"> in the economic model</w:t>
      </w:r>
      <w:r w:rsidR="00C34821">
        <w:rPr>
          <w:iCs/>
        </w:rPr>
        <w:t xml:space="preserve"> (</w:t>
      </w:r>
      <w:r w:rsidR="00C34821" w:rsidRPr="00A65E17">
        <w:t>this is discussed further in paragraph</w:t>
      </w:r>
      <w:r w:rsidR="00CB09A9" w:rsidRPr="00A65E17">
        <w:t> </w:t>
      </w:r>
      <w:r w:rsidR="00C34821" w:rsidRPr="00A65E17">
        <w:fldChar w:fldCharType="begin" w:fldLock="1"/>
      </w:r>
      <w:r w:rsidR="00C34821" w:rsidRPr="00A65E17">
        <w:instrText xml:space="preserve"> REF _Ref127521108 \r \h  \* MERGEFORMAT </w:instrText>
      </w:r>
      <w:r w:rsidR="00C34821" w:rsidRPr="00A65E17">
        <w:fldChar w:fldCharType="separate"/>
      </w:r>
      <w:r w:rsidR="00602E99">
        <w:t>6.52</w:t>
      </w:r>
      <w:r w:rsidR="00C34821" w:rsidRPr="00A65E17">
        <w:fldChar w:fldCharType="end"/>
      </w:r>
      <w:r w:rsidR="00C34821">
        <w:rPr>
          <w:iCs/>
        </w:rPr>
        <w:t>)</w:t>
      </w:r>
      <w:r w:rsidRPr="00615B0D">
        <w:rPr>
          <w:iCs/>
        </w:rPr>
        <w:t>.</w:t>
      </w:r>
      <w:r w:rsidRPr="00AD7238">
        <w:t xml:space="preserve"> </w:t>
      </w:r>
    </w:p>
    <w:p w14:paraId="62F70342" w14:textId="27DD14EF" w:rsidR="001D513B" w:rsidRPr="00A65E17" w:rsidRDefault="001D513B" w:rsidP="00FB6BE6">
      <w:pPr>
        <w:keepNext/>
        <w:keepLines/>
        <w:rPr>
          <w:rStyle w:val="CommentReference"/>
          <w:iCs/>
        </w:rPr>
      </w:pPr>
      <w:bookmarkStart w:id="27" w:name="_Ref127476354"/>
      <w:r w:rsidRPr="00A65E17">
        <w:rPr>
          <w:rStyle w:val="CommentReference"/>
          <w:iCs/>
        </w:rPr>
        <w:t xml:space="preserve">Table </w:t>
      </w:r>
      <w:r w:rsidRPr="00A65E17">
        <w:rPr>
          <w:rStyle w:val="CommentReference"/>
          <w:iCs/>
        </w:rPr>
        <w:fldChar w:fldCharType="begin" w:fldLock="1"/>
      </w:r>
      <w:r w:rsidRPr="00A65E17">
        <w:rPr>
          <w:rStyle w:val="CommentReference"/>
          <w:iCs/>
        </w:rPr>
        <w:instrText xml:space="preserve"> SEQ Table \* ARABIC </w:instrText>
      </w:r>
      <w:r w:rsidRPr="00A65E17">
        <w:rPr>
          <w:rStyle w:val="CommentReference"/>
          <w:iCs/>
        </w:rPr>
        <w:fldChar w:fldCharType="separate"/>
      </w:r>
      <w:r w:rsidR="00602E99">
        <w:rPr>
          <w:rStyle w:val="CommentReference"/>
          <w:iCs/>
          <w:noProof/>
        </w:rPr>
        <w:t>6</w:t>
      </w:r>
      <w:r w:rsidRPr="00A65E17">
        <w:rPr>
          <w:rStyle w:val="CommentReference"/>
          <w:iCs/>
        </w:rPr>
        <w:fldChar w:fldCharType="end"/>
      </w:r>
      <w:bookmarkEnd w:id="27"/>
      <w:r w:rsidRPr="00A65E17">
        <w:rPr>
          <w:rStyle w:val="CommentReference"/>
          <w:iCs/>
        </w:rPr>
        <w:t>: Results of ZOE-50/70 pooled vaccine efficacy against PHN cases, overall (≥70 YOA) and by age group, (mTVC)</w:t>
      </w:r>
    </w:p>
    <w:tbl>
      <w:tblPr>
        <w:tblW w:w="0" w:type="auto"/>
        <w:tblCellMar>
          <w:left w:w="28" w:type="dxa"/>
          <w:right w:w="28" w:type="dxa"/>
        </w:tblCellMar>
        <w:tblLook w:val="0000" w:firstRow="0" w:lastRow="0" w:firstColumn="0" w:lastColumn="0" w:noHBand="0" w:noVBand="0"/>
      </w:tblPr>
      <w:tblGrid>
        <w:gridCol w:w="982"/>
        <w:gridCol w:w="439"/>
        <w:gridCol w:w="304"/>
        <w:gridCol w:w="709"/>
        <w:gridCol w:w="853"/>
        <w:gridCol w:w="438"/>
        <w:gridCol w:w="410"/>
        <w:gridCol w:w="709"/>
        <w:gridCol w:w="835"/>
        <w:gridCol w:w="581"/>
        <w:gridCol w:w="1065"/>
        <w:gridCol w:w="1017"/>
        <w:gridCol w:w="679"/>
      </w:tblGrid>
      <w:tr w:rsidR="001D513B" w:rsidRPr="00A65E17" w14:paraId="182FF93A" w14:textId="77777777">
        <w:trPr>
          <w:tblHeader/>
        </w:trPr>
        <w:tc>
          <w:tcPr>
            <w:tcW w:w="0" w:type="auto"/>
            <w:vMerge w:val="restart"/>
            <w:tcBorders>
              <w:top w:val="single" w:sz="2" w:space="0" w:color="000000"/>
              <w:left w:val="single" w:sz="2" w:space="0" w:color="000000"/>
              <w:right w:val="single" w:sz="2" w:space="0" w:color="000000"/>
            </w:tcBorders>
            <w:shd w:val="clear" w:color="auto" w:fill="auto"/>
            <w:vAlign w:val="center"/>
          </w:tcPr>
          <w:p w14:paraId="3944D9D6" w14:textId="435D90AA"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sz w:val="20"/>
                <w:szCs w:val="20"/>
              </w:rPr>
              <w:t>Age (years)</w:t>
            </w:r>
          </w:p>
        </w:tc>
        <w:tc>
          <w:tcPr>
            <w:tcW w:w="0" w:type="auto"/>
            <w:gridSpan w:val="4"/>
            <w:tcBorders>
              <w:top w:val="single" w:sz="2" w:space="0" w:color="000000"/>
              <w:left w:val="single" w:sz="2" w:space="0" w:color="000000"/>
              <w:right w:val="single" w:sz="2" w:space="0" w:color="000000"/>
            </w:tcBorders>
            <w:shd w:val="clear" w:color="auto" w:fill="auto"/>
            <w:vAlign w:val="center"/>
          </w:tcPr>
          <w:p w14:paraId="2165BEEF" w14:textId="77777777" w:rsidR="001D513B" w:rsidRPr="00A65E17" w:rsidRDefault="001D513B" w:rsidP="00FB6BE6">
            <w:pPr>
              <w:keepNext/>
              <w:keepLines/>
              <w:kinsoku w:val="0"/>
              <w:overflowPunct w:val="0"/>
              <w:autoSpaceDE w:val="0"/>
              <w:autoSpaceDN w:val="0"/>
              <w:adjustRightInd w:val="0"/>
              <w:spacing w:line="224" w:lineRule="exact"/>
              <w:ind w:right="-21"/>
              <w:jc w:val="center"/>
              <w:rPr>
                <w:rFonts w:ascii="Arial Narrow" w:hAnsi="Arial Narrow" w:cs="Times New Roman"/>
                <w:iCs/>
                <w:sz w:val="20"/>
                <w:szCs w:val="20"/>
              </w:rPr>
            </w:pPr>
            <w:r w:rsidRPr="00A65E17">
              <w:rPr>
                <w:rFonts w:ascii="Arial Narrow" w:hAnsi="Arial Narrow"/>
                <w:b/>
                <w:iCs/>
                <w:sz w:val="20"/>
                <w:szCs w:val="20"/>
              </w:rPr>
              <w:t>RZV</w:t>
            </w:r>
          </w:p>
        </w:tc>
        <w:tc>
          <w:tcPr>
            <w:tcW w:w="0" w:type="auto"/>
            <w:gridSpan w:val="4"/>
            <w:tcBorders>
              <w:top w:val="single" w:sz="2" w:space="0" w:color="000000"/>
              <w:left w:val="single" w:sz="2" w:space="0" w:color="000000"/>
              <w:right w:val="single" w:sz="2" w:space="0" w:color="000000"/>
            </w:tcBorders>
            <w:shd w:val="clear" w:color="auto" w:fill="auto"/>
            <w:vAlign w:val="center"/>
          </w:tcPr>
          <w:p w14:paraId="575AA8A5"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b/>
                <w:iCs/>
                <w:sz w:val="20"/>
                <w:szCs w:val="20"/>
              </w:rPr>
              <w:t>Placebo</w:t>
            </w:r>
          </w:p>
        </w:tc>
        <w:tc>
          <w:tcPr>
            <w:tcW w:w="0" w:type="auto"/>
            <w:gridSpan w:val="3"/>
            <w:tcBorders>
              <w:top w:val="single" w:sz="2" w:space="0" w:color="000000"/>
              <w:left w:val="single" w:sz="2" w:space="0" w:color="000000"/>
              <w:right w:val="single" w:sz="2" w:space="0" w:color="000000"/>
            </w:tcBorders>
            <w:shd w:val="clear" w:color="auto" w:fill="auto"/>
            <w:vAlign w:val="center"/>
          </w:tcPr>
          <w:p w14:paraId="4C04A944" w14:textId="392AE105" w:rsidR="001D513B" w:rsidRPr="00A65E17" w:rsidRDefault="001D513B" w:rsidP="00FB6BE6">
            <w:pPr>
              <w:keepNext/>
              <w:keepLines/>
              <w:kinsoku w:val="0"/>
              <w:overflowPunct w:val="0"/>
              <w:autoSpaceDE w:val="0"/>
              <w:autoSpaceDN w:val="0"/>
              <w:adjustRightInd w:val="0"/>
              <w:spacing w:line="224" w:lineRule="exact"/>
              <w:ind w:right="-12"/>
              <w:jc w:val="center"/>
              <w:rPr>
                <w:rFonts w:ascii="Arial Narrow" w:hAnsi="Arial Narrow" w:cs="Times New Roman"/>
                <w:iCs/>
                <w:sz w:val="20"/>
                <w:szCs w:val="20"/>
              </w:rPr>
            </w:pPr>
            <w:r w:rsidRPr="00A65E17">
              <w:rPr>
                <w:rFonts w:ascii="Arial Narrow" w:hAnsi="Arial Narrow" w:cs="Arial Narrow"/>
                <w:b/>
                <w:bCs/>
                <w:iCs/>
                <w:sz w:val="20"/>
                <w:szCs w:val="20"/>
              </w:rPr>
              <w:t>VE</w:t>
            </w:r>
            <w:r w:rsidRPr="00A65E17">
              <w:rPr>
                <w:rFonts w:ascii="Arial Narrow" w:hAnsi="Arial Narrow" w:cs="Arial Narrow"/>
                <w:b/>
                <w:bCs/>
                <w:iCs/>
                <w:sz w:val="20"/>
                <w:szCs w:val="20"/>
                <w:vertAlign w:val="subscript"/>
              </w:rPr>
              <w:t>PHN</w:t>
            </w:r>
            <w:r w:rsidR="003A3F80" w:rsidRPr="00A65E17">
              <w:rPr>
                <w:rFonts w:ascii="Arial Narrow" w:hAnsi="Arial Narrow" w:cs="Arial Narrow"/>
                <w:b/>
                <w:bCs/>
                <w:iCs/>
                <w:sz w:val="20"/>
                <w:szCs w:val="20"/>
                <w:vertAlign w:val="superscript"/>
              </w:rPr>
              <w:t>a</w:t>
            </w:r>
          </w:p>
        </w:tc>
        <w:tc>
          <w:tcPr>
            <w:tcW w:w="0" w:type="auto"/>
            <w:vMerge w:val="restart"/>
            <w:tcBorders>
              <w:top w:val="single" w:sz="2" w:space="0" w:color="000000"/>
              <w:left w:val="single" w:sz="2" w:space="0" w:color="000000"/>
              <w:right w:val="single" w:sz="2" w:space="0" w:color="000000"/>
            </w:tcBorders>
            <w:shd w:val="clear" w:color="auto" w:fill="auto"/>
            <w:vAlign w:val="center"/>
          </w:tcPr>
          <w:p w14:paraId="69DE820C"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sz w:val="20"/>
                <w:szCs w:val="20"/>
              </w:rPr>
              <w:t>p-value</w:t>
            </w:r>
          </w:p>
        </w:tc>
      </w:tr>
      <w:tr w:rsidR="001D513B" w:rsidRPr="00A65E17" w14:paraId="4C7F0883" w14:textId="77777777">
        <w:trPr>
          <w:tblHeader/>
        </w:trPr>
        <w:tc>
          <w:tcPr>
            <w:tcW w:w="0" w:type="auto"/>
            <w:vMerge/>
            <w:tcBorders>
              <w:left w:val="single" w:sz="2" w:space="0" w:color="000000"/>
              <w:bottom w:val="single" w:sz="2" w:space="0" w:color="000000"/>
              <w:right w:val="single" w:sz="2" w:space="0" w:color="000000"/>
            </w:tcBorders>
            <w:shd w:val="clear" w:color="auto" w:fill="auto"/>
          </w:tcPr>
          <w:p w14:paraId="0378EB02" w14:textId="77777777" w:rsidR="001D513B" w:rsidRPr="00A65E17" w:rsidRDefault="001D513B" w:rsidP="00FB6BE6">
            <w:pPr>
              <w:keepNext/>
              <w:keepLines/>
              <w:kinsoku w:val="0"/>
              <w:overflowPunct w:val="0"/>
              <w:autoSpaceDE w:val="0"/>
              <w:autoSpaceDN w:val="0"/>
              <w:adjustRightInd w:val="0"/>
              <w:spacing w:line="224" w:lineRule="exact"/>
              <w:rPr>
                <w:rFonts w:ascii="Arial Narrow" w:hAnsi="Arial Narrow" w:cs="Times New Roman"/>
                <w:iCs/>
                <w:sz w:val="20"/>
                <w:szCs w:val="2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0DC6366"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w w:val="99"/>
                <w:sz w:val="20"/>
                <w:szCs w:val="20"/>
              </w:rPr>
              <w:t>N</w:t>
            </w:r>
          </w:p>
        </w:tc>
        <w:tc>
          <w:tcPr>
            <w:tcW w:w="3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DE1852"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w w:val="99"/>
                <w:sz w:val="20"/>
                <w:szCs w:val="20"/>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57DA95"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sz w:val="20"/>
                <w:szCs w:val="20"/>
              </w:rPr>
              <w:t>T (year)</w:t>
            </w:r>
          </w:p>
        </w:tc>
        <w:tc>
          <w:tcPr>
            <w:tcW w:w="8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6942F9" w14:textId="77777777" w:rsidR="001D513B" w:rsidRPr="00A65E17" w:rsidRDefault="001D513B" w:rsidP="00FB6BE6">
            <w:pPr>
              <w:keepNext/>
              <w:keepLines/>
              <w:kinsoku w:val="0"/>
              <w:overflowPunct w:val="0"/>
              <w:autoSpaceDE w:val="0"/>
              <w:autoSpaceDN w:val="0"/>
              <w:adjustRightInd w:val="0"/>
              <w:ind w:right="47"/>
              <w:jc w:val="center"/>
              <w:rPr>
                <w:rFonts w:ascii="Arial Narrow" w:hAnsi="Arial Narrow" w:cs="Times New Roman"/>
                <w:iCs/>
                <w:sz w:val="20"/>
                <w:szCs w:val="20"/>
              </w:rPr>
            </w:pPr>
            <w:r w:rsidRPr="00A65E17">
              <w:rPr>
                <w:rFonts w:ascii="Arial Narrow" w:hAnsi="Arial Narrow" w:cs="Arial Narrow"/>
                <w:b/>
                <w:bCs/>
                <w:iCs/>
                <w:sz w:val="20"/>
                <w:szCs w:val="20"/>
              </w:rPr>
              <w:t>n/T (per 1000)</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3B10D1" w14:textId="77777777" w:rsidR="001D513B" w:rsidRPr="00A65E17" w:rsidRDefault="001D513B" w:rsidP="00FB6BE6">
            <w:pPr>
              <w:keepNext/>
              <w:keepLines/>
              <w:kinsoku w:val="0"/>
              <w:overflowPunct w:val="0"/>
              <w:autoSpaceDE w:val="0"/>
              <w:autoSpaceDN w:val="0"/>
              <w:adjustRightInd w:val="0"/>
              <w:spacing w:line="224" w:lineRule="exact"/>
              <w:ind w:right="2"/>
              <w:jc w:val="center"/>
              <w:rPr>
                <w:rFonts w:ascii="Arial Narrow" w:hAnsi="Arial Narrow" w:cs="Times New Roman"/>
                <w:iCs/>
                <w:sz w:val="20"/>
                <w:szCs w:val="20"/>
              </w:rPr>
            </w:pPr>
            <w:r w:rsidRPr="00A65E17">
              <w:rPr>
                <w:rFonts w:ascii="Arial Narrow" w:hAnsi="Arial Narrow" w:cs="Arial Narrow"/>
                <w:b/>
                <w:bCs/>
                <w:iCs/>
                <w:w w:val="99"/>
                <w:sz w:val="20"/>
                <w:szCs w:val="20"/>
              </w:rPr>
              <w:t>N</w:t>
            </w:r>
          </w:p>
        </w:tc>
        <w:tc>
          <w:tcPr>
            <w:tcW w:w="4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00EAE8"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w w:val="99"/>
                <w:sz w:val="20"/>
                <w:szCs w:val="20"/>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409CF8"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b/>
                <w:bCs/>
                <w:iCs/>
                <w:sz w:val="20"/>
                <w:szCs w:val="20"/>
              </w:rPr>
              <w:t>T (year)</w:t>
            </w:r>
          </w:p>
        </w:tc>
        <w:tc>
          <w:tcPr>
            <w:tcW w:w="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D2DC5D" w14:textId="77777777" w:rsidR="001D513B" w:rsidRPr="00A65E17" w:rsidRDefault="001D513B" w:rsidP="00FB6BE6">
            <w:pPr>
              <w:keepNext/>
              <w:keepLines/>
              <w:kinsoku w:val="0"/>
              <w:overflowPunct w:val="0"/>
              <w:autoSpaceDE w:val="0"/>
              <w:autoSpaceDN w:val="0"/>
              <w:adjustRightInd w:val="0"/>
              <w:ind w:right="12"/>
              <w:jc w:val="center"/>
              <w:rPr>
                <w:rFonts w:ascii="Arial Narrow" w:hAnsi="Arial Narrow" w:cs="Times New Roman"/>
                <w:iCs/>
                <w:sz w:val="20"/>
                <w:szCs w:val="20"/>
              </w:rPr>
            </w:pPr>
            <w:r w:rsidRPr="00A65E17">
              <w:rPr>
                <w:rFonts w:ascii="Arial Narrow" w:hAnsi="Arial Narrow" w:cs="Arial Narrow"/>
                <w:b/>
                <w:bCs/>
                <w:iCs/>
                <w:sz w:val="20"/>
                <w:szCs w:val="20"/>
              </w:rPr>
              <w:t>n/T (per 1000)</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25CC8CE" w14:textId="77777777" w:rsidR="001D513B" w:rsidRPr="00A65E17" w:rsidRDefault="001D513B" w:rsidP="00FB6BE6">
            <w:pPr>
              <w:keepNext/>
              <w:keepLines/>
              <w:kinsoku w:val="0"/>
              <w:overflowPunct w:val="0"/>
              <w:autoSpaceDE w:val="0"/>
              <w:autoSpaceDN w:val="0"/>
              <w:adjustRightInd w:val="0"/>
              <w:spacing w:line="224" w:lineRule="exact"/>
              <w:ind w:right="5"/>
              <w:jc w:val="center"/>
              <w:rPr>
                <w:rFonts w:ascii="Arial Narrow" w:hAnsi="Arial Narrow" w:cs="Times New Roman"/>
                <w:iCs/>
                <w:sz w:val="20"/>
                <w:szCs w:val="20"/>
              </w:rPr>
            </w:pPr>
            <w:r w:rsidRPr="00A65E17">
              <w:rPr>
                <w:rFonts w:ascii="Arial Narrow" w:hAnsi="Arial Narrow" w:cs="Arial Narrow"/>
                <w:b/>
                <w:bCs/>
                <w:iCs/>
                <w:sz w:val="20"/>
                <w:szCs w:val="20"/>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C906BB0" w14:textId="77777777" w:rsidR="001D513B" w:rsidRPr="00A65E17" w:rsidRDefault="001D513B" w:rsidP="00FB6BE6">
            <w:pPr>
              <w:keepNext/>
              <w:keepLines/>
              <w:kinsoku w:val="0"/>
              <w:overflowPunct w:val="0"/>
              <w:autoSpaceDE w:val="0"/>
              <w:autoSpaceDN w:val="0"/>
              <w:adjustRightInd w:val="0"/>
              <w:spacing w:line="224" w:lineRule="exact"/>
              <w:ind w:right="71"/>
              <w:jc w:val="center"/>
              <w:rPr>
                <w:rFonts w:ascii="Arial Narrow" w:hAnsi="Arial Narrow" w:cs="Times New Roman"/>
                <w:iCs/>
                <w:sz w:val="20"/>
                <w:szCs w:val="20"/>
              </w:rPr>
            </w:pPr>
            <w:r w:rsidRPr="00A65E17">
              <w:rPr>
                <w:rFonts w:ascii="Arial Narrow" w:hAnsi="Arial Narrow" w:cs="Arial Narrow"/>
                <w:b/>
                <w:bCs/>
                <w:iCs/>
                <w:sz w:val="20"/>
                <w:szCs w:val="20"/>
              </w:rPr>
              <w:t>Lower 95% CI</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B802BA8" w14:textId="77777777" w:rsidR="001D513B" w:rsidRPr="00A65E17" w:rsidRDefault="001D513B" w:rsidP="00FB6BE6">
            <w:pPr>
              <w:keepNext/>
              <w:keepLines/>
              <w:kinsoku w:val="0"/>
              <w:overflowPunct w:val="0"/>
              <w:autoSpaceDE w:val="0"/>
              <w:autoSpaceDN w:val="0"/>
              <w:adjustRightInd w:val="0"/>
              <w:spacing w:line="224" w:lineRule="exact"/>
              <w:ind w:right="27"/>
              <w:jc w:val="center"/>
              <w:rPr>
                <w:rFonts w:ascii="Arial Narrow" w:hAnsi="Arial Narrow" w:cs="Times New Roman"/>
                <w:iCs/>
                <w:sz w:val="20"/>
                <w:szCs w:val="20"/>
              </w:rPr>
            </w:pPr>
            <w:r w:rsidRPr="00A65E17">
              <w:rPr>
                <w:rFonts w:ascii="Arial Narrow" w:hAnsi="Arial Narrow" w:cs="Arial Narrow"/>
                <w:b/>
                <w:bCs/>
                <w:iCs/>
                <w:sz w:val="20"/>
                <w:szCs w:val="20"/>
              </w:rPr>
              <w:t>Upper 95% CI</w:t>
            </w:r>
          </w:p>
        </w:tc>
        <w:tc>
          <w:tcPr>
            <w:tcW w:w="0" w:type="auto"/>
            <w:vMerge/>
            <w:tcBorders>
              <w:left w:val="single" w:sz="2" w:space="0" w:color="000000"/>
              <w:bottom w:val="single" w:sz="2" w:space="0" w:color="000000"/>
              <w:right w:val="single" w:sz="2" w:space="0" w:color="000000"/>
            </w:tcBorders>
            <w:shd w:val="clear" w:color="auto" w:fill="auto"/>
          </w:tcPr>
          <w:p w14:paraId="7F17BB72" w14:textId="77777777" w:rsidR="001D513B" w:rsidRPr="00A65E17" w:rsidRDefault="001D513B" w:rsidP="00FB6BE6">
            <w:pPr>
              <w:keepNext/>
              <w:keepLines/>
              <w:kinsoku w:val="0"/>
              <w:overflowPunct w:val="0"/>
              <w:autoSpaceDE w:val="0"/>
              <w:autoSpaceDN w:val="0"/>
              <w:adjustRightInd w:val="0"/>
              <w:spacing w:line="224" w:lineRule="exact"/>
              <w:rPr>
                <w:rFonts w:ascii="Arial Narrow" w:hAnsi="Arial Narrow" w:cs="Times New Roman"/>
                <w:iCs/>
                <w:sz w:val="20"/>
                <w:szCs w:val="20"/>
              </w:rPr>
            </w:pPr>
          </w:p>
        </w:tc>
      </w:tr>
      <w:tr w:rsidR="001D513B" w:rsidRPr="00A65E17" w14:paraId="63F41C17" w14:textId="7777777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0" w:type="auto"/>
            <w:shd w:val="clear" w:color="auto" w:fill="auto"/>
          </w:tcPr>
          <w:p w14:paraId="40766C6C" w14:textId="5AFF1A72" w:rsidR="001D513B" w:rsidRPr="00A65E17" w:rsidRDefault="001D513B" w:rsidP="00FB6BE6">
            <w:pPr>
              <w:keepNext/>
              <w:keepLines/>
              <w:kinsoku w:val="0"/>
              <w:overflowPunct w:val="0"/>
              <w:autoSpaceDE w:val="0"/>
              <w:autoSpaceDN w:val="0"/>
              <w:adjustRightInd w:val="0"/>
              <w:spacing w:line="224" w:lineRule="exact"/>
              <w:jc w:val="left"/>
              <w:rPr>
                <w:rFonts w:ascii="Arial Narrow" w:hAnsi="Arial Narrow" w:cs="Times New Roman"/>
                <w:iCs/>
                <w:sz w:val="20"/>
                <w:szCs w:val="20"/>
              </w:rPr>
            </w:pPr>
            <w:r w:rsidRPr="00A65E17">
              <w:rPr>
                <w:rFonts w:ascii="Arial Narrow" w:hAnsi="Arial Narrow" w:cs="Arial Narrow"/>
                <w:iCs/>
                <w:sz w:val="20"/>
                <w:szCs w:val="20"/>
              </w:rPr>
              <w:t>50</w:t>
            </w:r>
            <w:r w:rsidRPr="00A65E17">
              <w:rPr>
                <w:rFonts w:ascii="Arial Narrow" w:hAnsi="Arial Narrow" w:cs="Arial Narrow"/>
                <w:iCs/>
                <w:sz w:val="20"/>
                <w:szCs w:val="20"/>
              </w:rPr>
              <w:noBreakHyphen/>
              <w:t>59 years</w:t>
            </w:r>
            <w:r w:rsidR="003A3F80" w:rsidRPr="00A65E17">
              <w:rPr>
                <w:rFonts w:ascii="Arial Narrow" w:hAnsi="Arial Narrow" w:cs="Arial Narrow"/>
                <w:iCs/>
                <w:sz w:val="20"/>
                <w:szCs w:val="20"/>
                <w:vertAlign w:val="superscript"/>
              </w:rPr>
              <w:t>a</w:t>
            </w:r>
          </w:p>
        </w:tc>
        <w:tc>
          <w:tcPr>
            <w:tcW w:w="0" w:type="auto"/>
            <w:shd w:val="clear" w:color="auto" w:fill="auto"/>
          </w:tcPr>
          <w:p w14:paraId="1A2A351E"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3491</w:t>
            </w:r>
          </w:p>
        </w:tc>
        <w:tc>
          <w:tcPr>
            <w:tcW w:w="304" w:type="dxa"/>
            <w:shd w:val="clear" w:color="auto" w:fill="auto"/>
            <w:vAlign w:val="center"/>
          </w:tcPr>
          <w:p w14:paraId="6044771E"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w:t>
            </w:r>
          </w:p>
        </w:tc>
        <w:tc>
          <w:tcPr>
            <w:tcW w:w="709" w:type="dxa"/>
            <w:shd w:val="clear" w:color="auto" w:fill="auto"/>
          </w:tcPr>
          <w:p w14:paraId="3D9AB515"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iCs/>
                <w:sz w:val="20"/>
                <w:szCs w:val="20"/>
              </w:rPr>
              <w:t>13789.7</w:t>
            </w:r>
          </w:p>
        </w:tc>
        <w:tc>
          <w:tcPr>
            <w:tcW w:w="853" w:type="dxa"/>
            <w:shd w:val="clear" w:color="auto" w:fill="auto"/>
          </w:tcPr>
          <w:p w14:paraId="7321B1C7" w14:textId="77777777" w:rsidR="001D513B" w:rsidRPr="00A65E17" w:rsidRDefault="001D513B" w:rsidP="00FB6BE6">
            <w:pPr>
              <w:keepNext/>
              <w:keepLines/>
              <w:kinsoku w:val="0"/>
              <w:overflowPunct w:val="0"/>
              <w:autoSpaceDE w:val="0"/>
              <w:autoSpaceDN w:val="0"/>
              <w:adjustRightInd w:val="0"/>
              <w:spacing w:line="224" w:lineRule="exact"/>
              <w:ind w:right="42"/>
              <w:jc w:val="center"/>
              <w:rPr>
                <w:rFonts w:ascii="Arial Narrow" w:hAnsi="Arial Narrow" w:cs="Times New Roman"/>
                <w:iCs/>
                <w:sz w:val="20"/>
                <w:szCs w:val="20"/>
              </w:rPr>
            </w:pPr>
            <w:r w:rsidRPr="00A65E17">
              <w:rPr>
                <w:rFonts w:ascii="Arial Narrow" w:hAnsi="Arial Narrow" w:cs="Arial Narrow"/>
                <w:iCs/>
                <w:sz w:val="20"/>
                <w:szCs w:val="20"/>
              </w:rPr>
              <w:t>0.0</w:t>
            </w:r>
          </w:p>
        </w:tc>
        <w:tc>
          <w:tcPr>
            <w:tcW w:w="0" w:type="auto"/>
            <w:shd w:val="clear" w:color="auto" w:fill="auto"/>
          </w:tcPr>
          <w:p w14:paraId="6EAE269C" w14:textId="77777777" w:rsidR="001D513B" w:rsidRPr="00A65E17" w:rsidRDefault="001D513B" w:rsidP="00FB6BE6">
            <w:pPr>
              <w:keepNext/>
              <w:keepLines/>
              <w:kinsoku w:val="0"/>
              <w:overflowPunct w:val="0"/>
              <w:autoSpaceDE w:val="0"/>
              <w:autoSpaceDN w:val="0"/>
              <w:adjustRightInd w:val="0"/>
              <w:spacing w:line="224" w:lineRule="exact"/>
              <w:ind w:right="17"/>
              <w:jc w:val="center"/>
              <w:rPr>
                <w:rFonts w:ascii="Arial Narrow" w:hAnsi="Arial Narrow" w:cs="Times New Roman"/>
                <w:iCs/>
                <w:sz w:val="20"/>
                <w:szCs w:val="20"/>
              </w:rPr>
            </w:pPr>
            <w:r w:rsidRPr="00A65E17">
              <w:rPr>
                <w:rFonts w:ascii="Arial Narrow" w:hAnsi="Arial Narrow" w:cs="Arial Narrow"/>
                <w:iCs/>
                <w:sz w:val="20"/>
                <w:szCs w:val="20"/>
              </w:rPr>
              <w:t>3523</w:t>
            </w:r>
          </w:p>
        </w:tc>
        <w:tc>
          <w:tcPr>
            <w:tcW w:w="410" w:type="dxa"/>
            <w:shd w:val="clear" w:color="auto" w:fill="auto"/>
          </w:tcPr>
          <w:p w14:paraId="2A0C30AD"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iCs/>
                <w:w w:val="99"/>
                <w:sz w:val="20"/>
                <w:szCs w:val="20"/>
              </w:rPr>
              <w:t>8</w:t>
            </w:r>
          </w:p>
        </w:tc>
        <w:tc>
          <w:tcPr>
            <w:tcW w:w="709" w:type="dxa"/>
            <w:shd w:val="clear" w:color="auto" w:fill="auto"/>
          </w:tcPr>
          <w:p w14:paraId="30B41605" w14:textId="77777777" w:rsidR="001D513B" w:rsidRPr="00A65E17" w:rsidRDefault="001D513B" w:rsidP="00FB6BE6">
            <w:pPr>
              <w:keepNext/>
              <w:keepLines/>
              <w:kinsoku w:val="0"/>
              <w:overflowPunct w:val="0"/>
              <w:autoSpaceDE w:val="0"/>
              <w:autoSpaceDN w:val="0"/>
              <w:adjustRightInd w:val="0"/>
              <w:spacing w:line="224" w:lineRule="exact"/>
              <w:ind w:right="26"/>
              <w:jc w:val="center"/>
              <w:rPr>
                <w:rFonts w:ascii="Arial Narrow" w:hAnsi="Arial Narrow" w:cs="Times New Roman"/>
                <w:iCs/>
                <w:sz w:val="20"/>
                <w:szCs w:val="20"/>
              </w:rPr>
            </w:pPr>
            <w:r w:rsidRPr="00A65E17">
              <w:rPr>
                <w:rFonts w:ascii="Arial Narrow" w:hAnsi="Arial Narrow" w:cs="Arial Narrow"/>
                <w:iCs/>
                <w:sz w:val="20"/>
                <w:szCs w:val="20"/>
              </w:rPr>
              <w:t>13928.7</w:t>
            </w:r>
          </w:p>
        </w:tc>
        <w:tc>
          <w:tcPr>
            <w:tcW w:w="835" w:type="dxa"/>
            <w:shd w:val="clear" w:color="auto" w:fill="auto"/>
          </w:tcPr>
          <w:p w14:paraId="07BD8800" w14:textId="77777777" w:rsidR="001D513B" w:rsidRPr="00A65E17" w:rsidRDefault="001D513B" w:rsidP="00FB6BE6">
            <w:pPr>
              <w:keepNext/>
              <w:keepLines/>
              <w:kinsoku w:val="0"/>
              <w:overflowPunct w:val="0"/>
              <w:autoSpaceDE w:val="0"/>
              <w:autoSpaceDN w:val="0"/>
              <w:adjustRightInd w:val="0"/>
              <w:spacing w:line="224" w:lineRule="exact"/>
              <w:ind w:right="45"/>
              <w:jc w:val="center"/>
              <w:rPr>
                <w:rFonts w:ascii="Arial Narrow" w:hAnsi="Arial Narrow" w:cs="Times New Roman"/>
                <w:iCs/>
                <w:sz w:val="20"/>
                <w:szCs w:val="20"/>
              </w:rPr>
            </w:pPr>
            <w:r w:rsidRPr="00A65E17">
              <w:rPr>
                <w:rFonts w:ascii="Arial Narrow" w:hAnsi="Arial Narrow" w:cs="Arial Narrow"/>
                <w:iCs/>
                <w:sz w:val="20"/>
                <w:szCs w:val="20"/>
              </w:rPr>
              <w:t>0.6</w:t>
            </w:r>
          </w:p>
        </w:tc>
        <w:tc>
          <w:tcPr>
            <w:tcW w:w="0" w:type="auto"/>
            <w:shd w:val="clear" w:color="auto" w:fill="auto"/>
          </w:tcPr>
          <w:p w14:paraId="0D1714BC"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498334A2" w14:textId="77777777" w:rsidR="001D513B" w:rsidRPr="00A65E17" w:rsidRDefault="001D513B" w:rsidP="00FB6BE6">
            <w:pPr>
              <w:keepNext/>
              <w:keepLines/>
              <w:kinsoku w:val="0"/>
              <w:overflowPunct w:val="0"/>
              <w:autoSpaceDE w:val="0"/>
              <w:autoSpaceDN w:val="0"/>
              <w:adjustRightInd w:val="0"/>
              <w:spacing w:line="224" w:lineRule="exact"/>
              <w:ind w:right="27"/>
              <w:jc w:val="center"/>
              <w:rPr>
                <w:rFonts w:ascii="Arial Narrow" w:hAnsi="Arial Narrow" w:cs="Times New Roman"/>
                <w:iCs/>
                <w:sz w:val="20"/>
                <w:szCs w:val="20"/>
              </w:rPr>
            </w:pPr>
            <w:r w:rsidRPr="00A65E17">
              <w:rPr>
                <w:rFonts w:ascii="Arial Narrow" w:hAnsi="Arial Narrow" w:cs="Arial Narrow"/>
                <w:iCs/>
                <w:sz w:val="20"/>
                <w:szCs w:val="20"/>
              </w:rPr>
              <w:t>40.88</w:t>
            </w:r>
          </w:p>
        </w:tc>
        <w:tc>
          <w:tcPr>
            <w:tcW w:w="0" w:type="auto"/>
            <w:shd w:val="clear" w:color="auto" w:fill="auto"/>
          </w:tcPr>
          <w:p w14:paraId="4986F781"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59D1E2BC" w14:textId="77777777" w:rsidR="001D513B" w:rsidRPr="00A65E17" w:rsidRDefault="001D513B" w:rsidP="00FB6BE6">
            <w:pPr>
              <w:keepNext/>
              <w:keepLines/>
              <w:kinsoku w:val="0"/>
              <w:overflowPunct w:val="0"/>
              <w:autoSpaceDE w:val="0"/>
              <w:autoSpaceDN w:val="0"/>
              <w:adjustRightInd w:val="0"/>
              <w:spacing w:line="224" w:lineRule="exact"/>
              <w:ind w:right="25"/>
              <w:jc w:val="center"/>
              <w:rPr>
                <w:rFonts w:ascii="Arial Narrow" w:hAnsi="Arial Narrow" w:cs="Times New Roman"/>
                <w:iCs/>
                <w:sz w:val="20"/>
                <w:szCs w:val="20"/>
              </w:rPr>
            </w:pPr>
            <w:r w:rsidRPr="00A65E17">
              <w:rPr>
                <w:rFonts w:ascii="Arial Narrow" w:hAnsi="Arial Narrow" w:cs="Arial Narrow"/>
                <w:iCs/>
                <w:sz w:val="20"/>
                <w:szCs w:val="20"/>
              </w:rPr>
              <w:t>0.0081</w:t>
            </w:r>
          </w:p>
        </w:tc>
      </w:tr>
      <w:tr w:rsidR="001D513B" w:rsidRPr="00A65E17" w14:paraId="2F2BB572" w14:textId="7777777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0" w:type="auto"/>
            <w:shd w:val="clear" w:color="auto" w:fill="auto"/>
          </w:tcPr>
          <w:p w14:paraId="26E6775F" w14:textId="431A720E" w:rsidR="001D513B" w:rsidRPr="00A65E17" w:rsidRDefault="001D513B" w:rsidP="00FB6BE6">
            <w:pPr>
              <w:keepNext/>
              <w:keepLines/>
              <w:kinsoku w:val="0"/>
              <w:overflowPunct w:val="0"/>
              <w:autoSpaceDE w:val="0"/>
              <w:autoSpaceDN w:val="0"/>
              <w:adjustRightInd w:val="0"/>
              <w:spacing w:line="224" w:lineRule="exact"/>
              <w:jc w:val="left"/>
              <w:rPr>
                <w:rFonts w:ascii="Arial Narrow" w:hAnsi="Arial Narrow" w:cs="Times New Roman"/>
                <w:iCs/>
                <w:sz w:val="20"/>
                <w:szCs w:val="20"/>
              </w:rPr>
            </w:pPr>
            <w:r w:rsidRPr="00A65E17">
              <w:rPr>
                <w:rFonts w:ascii="Arial Narrow" w:hAnsi="Arial Narrow" w:cs="Arial Narrow"/>
                <w:iCs/>
                <w:sz w:val="20"/>
                <w:szCs w:val="20"/>
              </w:rPr>
              <w:t>60-69 years</w:t>
            </w:r>
            <w:r w:rsidR="003A3F80" w:rsidRPr="00A65E17">
              <w:rPr>
                <w:rFonts w:ascii="Arial Narrow" w:hAnsi="Arial Narrow" w:cs="Arial Narrow"/>
                <w:iCs/>
                <w:sz w:val="20"/>
                <w:szCs w:val="20"/>
                <w:vertAlign w:val="superscript"/>
              </w:rPr>
              <w:t>a</w:t>
            </w:r>
          </w:p>
        </w:tc>
        <w:tc>
          <w:tcPr>
            <w:tcW w:w="0" w:type="auto"/>
            <w:shd w:val="clear" w:color="auto" w:fill="auto"/>
          </w:tcPr>
          <w:p w14:paraId="727E4941"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2140</w:t>
            </w:r>
          </w:p>
        </w:tc>
        <w:tc>
          <w:tcPr>
            <w:tcW w:w="304" w:type="dxa"/>
            <w:shd w:val="clear" w:color="auto" w:fill="auto"/>
            <w:vAlign w:val="center"/>
          </w:tcPr>
          <w:p w14:paraId="71CD4955"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w:t>
            </w:r>
          </w:p>
        </w:tc>
        <w:tc>
          <w:tcPr>
            <w:tcW w:w="709" w:type="dxa"/>
            <w:shd w:val="clear" w:color="auto" w:fill="auto"/>
          </w:tcPr>
          <w:p w14:paraId="6B83327E"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iCs/>
                <w:sz w:val="20"/>
                <w:szCs w:val="20"/>
              </w:rPr>
              <w:t>8621.4</w:t>
            </w:r>
          </w:p>
        </w:tc>
        <w:tc>
          <w:tcPr>
            <w:tcW w:w="853" w:type="dxa"/>
            <w:shd w:val="clear" w:color="auto" w:fill="auto"/>
          </w:tcPr>
          <w:p w14:paraId="23350C47" w14:textId="77777777" w:rsidR="001D513B" w:rsidRPr="00A65E17" w:rsidRDefault="001D513B" w:rsidP="00FB6BE6">
            <w:pPr>
              <w:keepNext/>
              <w:keepLines/>
              <w:kinsoku w:val="0"/>
              <w:overflowPunct w:val="0"/>
              <w:autoSpaceDE w:val="0"/>
              <w:autoSpaceDN w:val="0"/>
              <w:adjustRightInd w:val="0"/>
              <w:spacing w:line="224" w:lineRule="exact"/>
              <w:ind w:right="42"/>
              <w:jc w:val="center"/>
              <w:rPr>
                <w:rFonts w:ascii="Arial Narrow" w:hAnsi="Arial Narrow" w:cs="Times New Roman"/>
                <w:iCs/>
                <w:sz w:val="20"/>
                <w:szCs w:val="20"/>
              </w:rPr>
            </w:pPr>
            <w:r w:rsidRPr="00A65E17">
              <w:rPr>
                <w:rFonts w:ascii="Arial Narrow" w:hAnsi="Arial Narrow" w:cs="Arial Narrow"/>
                <w:iCs/>
                <w:sz w:val="20"/>
                <w:szCs w:val="20"/>
              </w:rPr>
              <w:t>0.0</w:t>
            </w:r>
          </w:p>
        </w:tc>
        <w:tc>
          <w:tcPr>
            <w:tcW w:w="0" w:type="auto"/>
            <w:shd w:val="clear" w:color="auto" w:fill="auto"/>
          </w:tcPr>
          <w:p w14:paraId="4524C70D" w14:textId="77777777" w:rsidR="001D513B" w:rsidRPr="00A65E17" w:rsidRDefault="001D513B" w:rsidP="00FB6BE6">
            <w:pPr>
              <w:keepNext/>
              <w:keepLines/>
              <w:kinsoku w:val="0"/>
              <w:overflowPunct w:val="0"/>
              <w:autoSpaceDE w:val="0"/>
              <w:autoSpaceDN w:val="0"/>
              <w:adjustRightInd w:val="0"/>
              <w:spacing w:line="224" w:lineRule="exact"/>
              <w:ind w:right="17"/>
              <w:jc w:val="center"/>
              <w:rPr>
                <w:rFonts w:ascii="Arial Narrow" w:hAnsi="Arial Narrow" w:cs="Times New Roman"/>
                <w:iCs/>
                <w:sz w:val="20"/>
                <w:szCs w:val="20"/>
              </w:rPr>
            </w:pPr>
            <w:r w:rsidRPr="00A65E17">
              <w:rPr>
                <w:rFonts w:ascii="Arial Narrow" w:hAnsi="Arial Narrow" w:cs="Arial Narrow"/>
                <w:iCs/>
                <w:sz w:val="20"/>
                <w:szCs w:val="20"/>
              </w:rPr>
              <w:t>2166</w:t>
            </w:r>
          </w:p>
        </w:tc>
        <w:tc>
          <w:tcPr>
            <w:tcW w:w="410" w:type="dxa"/>
            <w:shd w:val="clear" w:color="auto" w:fill="auto"/>
          </w:tcPr>
          <w:p w14:paraId="2EF50D99"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iCs/>
                <w:w w:val="99"/>
                <w:sz w:val="20"/>
                <w:szCs w:val="20"/>
              </w:rPr>
              <w:t>2</w:t>
            </w:r>
          </w:p>
        </w:tc>
        <w:tc>
          <w:tcPr>
            <w:tcW w:w="709" w:type="dxa"/>
            <w:shd w:val="clear" w:color="auto" w:fill="auto"/>
          </w:tcPr>
          <w:p w14:paraId="0A177230" w14:textId="77777777" w:rsidR="001D513B" w:rsidRPr="00A65E17" w:rsidRDefault="001D513B" w:rsidP="00FB6BE6">
            <w:pPr>
              <w:keepNext/>
              <w:keepLines/>
              <w:kinsoku w:val="0"/>
              <w:overflowPunct w:val="0"/>
              <w:autoSpaceDE w:val="0"/>
              <w:autoSpaceDN w:val="0"/>
              <w:adjustRightInd w:val="0"/>
              <w:spacing w:line="224" w:lineRule="exact"/>
              <w:ind w:right="26"/>
              <w:jc w:val="center"/>
              <w:rPr>
                <w:rFonts w:ascii="Arial Narrow" w:hAnsi="Arial Narrow" w:cs="Times New Roman"/>
                <w:iCs/>
                <w:sz w:val="20"/>
                <w:szCs w:val="20"/>
              </w:rPr>
            </w:pPr>
            <w:r w:rsidRPr="00A65E17">
              <w:rPr>
                <w:rFonts w:ascii="Arial Narrow" w:hAnsi="Arial Narrow" w:cs="Arial Narrow"/>
                <w:iCs/>
                <w:sz w:val="20"/>
                <w:szCs w:val="20"/>
              </w:rPr>
              <w:t>8674.4</w:t>
            </w:r>
          </w:p>
        </w:tc>
        <w:tc>
          <w:tcPr>
            <w:tcW w:w="835" w:type="dxa"/>
            <w:shd w:val="clear" w:color="auto" w:fill="auto"/>
          </w:tcPr>
          <w:p w14:paraId="4084597A" w14:textId="77777777" w:rsidR="001D513B" w:rsidRPr="00A65E17" w:rsidRDefault="001D513B" w:rsidP="00FB6BE6">
            <w:pPr>
              <w:keepNext/>
              <w:keepLines/>
              <w:kinsoku w:val="0"/>
              <w:overflowPunct w:val="0"/>
              <w:autoSpaceDE w:val="0"/>
              <w:autoSpaceDN w:val="0"/>
              <w:adjustRightInd w:val="0"/>
              <w:spacing w:line="224" w:lineRule="exact"/>
              <w:ind w:right="45"/>
              <w:jc w:val="center"/>
              <w:rPr>
                <w:rFonts w:ascii="Arial Narrow" w:hAnsi="Arial Narrow" w:cs="Times New Roman"/>
                <w:iCs/>
                <w:sz w:val="20"/>
                <w:szCs w:val="20"/>
              </w:rPr>
            </w:pPr>
            <w:r w:rsidRPr="00A65E17">
              <w:rPr>
                <w:rFonts w:ascii="Arial Narrow" w:hAnsi="Arial Narrow" w:cs="Arial Narrow"/>
                <w:iCs/>
                <w:sz w:val="20"/>
                <w:szCs w:val="20"/>
              </w:rPr>
              <w:t>0.2</w:t>
            </w:r>
          </w:p>
        </w:tc>
        <w:tc>
          <w:tcPr>
            <w:tcW w:w="0" w:type="auto"/>
            <w:shd w:val="clear" w:color="auto" w:fill="auto"/>
          </w:tcPr>
          <w:p w14:paraId="30698672"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5B57972F" w14:textId="77777777" w:rsidR="001D513B" w:rsidRPr="00A65E17" w:rsidRDefault="001D513B" w:rsidP="00FB6BE6">
            <w:pPr>
              <w:keepNext/>
              <w:keepLines/>
              <w:kinsoku w:val="0"/>
              <w:overflowPunct w:val="0"/>
              <w:autoSpaceDE w:val="0"/>
              <w:autoSpaceDN w:val="0"/>
              <w:adjustRightInd w:val="0"/>
              <w:spacing w:line="224" w:lineRule="exact"/>
              <w:ind w:right="27"/>
              <w:jc w:val="center"/>
              <w:rPr>
                <w:rFonts w:ascii="Arial Narrow" w:hAnsi="Arial Narrow" w:cs="Times New Roman"/>
                <w:iCs/>
                <w:sz w:val="20"/>
                <w:szCs w:val="20"/>
              </w:rPr>
            </w:pPr>
            <w:r w:rsidRPr="00A65E17">
              <w:rPr>
                <w:rFonts w:ascii="Arial Narrow" w:hAnsi="Arial Narrow" w:cs="Arial Narrow"/>
                <w:iCs/>
                <w:sz w:val="20"/>
                <w:szCs w:val="20"/>
              </w:rPr>
              <w:t>-442.83</w:t>
            </w:r>
          </w:p>
        </w:tc>
        <w:tc>
          <w:tcPr>
            <w:tcW w:w="0" w:type="auto"/>
            <w:shd w:val="clear" w:color="auto" w:fill="auto"/>
          </w:tcPr>
          <w:p w14:paraId="4A4FC2C3"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70EF80C3" w14:textId="77777777" w:rsidR="001D513B" w:rsidRPr="00A65E17" w:rsidRDefault="001D513B" w:rsidP="00FB6BE6">
            <w:pPr>
              <w:keepNext/>
              <w:keepLines/>
              <w:kinsoku w:val="0"/>
              <w:overflowPunct w:val="0"/>
              <w:autoSpaceDE w:val="0"/>
              <w:autoSpaceDN w:val="0"/>
              <w:adjustRightInd w:val="0"/>
              <w:spacing w:line="224" w:lineRule="exact"/>
              <w:ind w:right="25"/>
              <w:jc w:val="center"/>
              <w:rPr>
                <w:rFonts w:ascii="Arial Narrow" w:hAnsi="Arial Narrow" w:cs="Times New Roman"/>
                <w:iCs/>
                <w:sz w:val="20"/>
                <w:szCs w:val="20"/>
              </w:rPr>
            </w:pPr>
            <w:r w:rsidRPr="00A65E17">
              <w:rPr>
                <w:rFonts w:ascii="Arial Narrow" w:hAnsi="Arial Narrow" w:cs="Arial Narrow"/>
                <w:iCs/>
                <w:sz w:val="20"/>
                <w:szCs w:val="20"/>
              </w:rPr>
              <w:t>0.5097</w:t>
            </w:r>
          </w:p>
        </w:tc>
      </w:tr>
      <w:tr w:rsidR="001D513B" w:rsidRPr="00A65E17" w14:paraId="0B2E892A" w14:textId="7777777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0" w:type="auto"/>
            <w:shd w:val="clear" w:color="auto" w:fill="auto"/>
          </w:tcPr>
          <w:p w14:paraId="3ADCB2F3" w14:textId="17942C8E" w:rsidR="001D513B" w:rsidRPr="00A65E17" w:rsidRDefault="001D513B" w:rsidP="00FB6BE6">
            <w:pPr>
              <w:keepNext/>
              <w:keepLines/>
              <w:kinsoku w:val="0"/>
              <w:overflowPunct w:val="0"/>
              <w:autoSpaceDE w:val="0"/>
              <w:autoSpaceDN w:val="0"/>
              <w:adjustRightInd w:val="0"/>
              <w:spacing w:line="243" w:lineRule="exact"/>
              <w:jc w:val="left"/>
              <w:rPr>
                <w:rFonts w:ascii="Arial Narrow" w:hAnsi="Arial Narrow" w:cs="Times New Roman"/>
                <w:iCs/>
                <w:sz w:val="20"/>
                <w:szCs w:val="20"/>
              </w:rPr>
            </w:pPr>
            <w:r w:rsidRPr="00A65E17">
              <w:rPr>
                <w:rFonts w:ascii="Arial Narrow" w:hAnsi="Arial Narrow" w:cs="Symbol"/>
                <w:iCs/>
                <w:sz w:val="20"/>
                <w:szCs w:val="20"/>
              </w:rPr>
              <w:t>≥</w:t>
            </w:r>
            <w:r w:rsidRPr="00A65E17">
              <w:rPr>
                <w:rFonts w:ascii="Arial Narrow" w:hAnsi="Arial Narrow" w:cs="Arial Narrow"/>
                <w:iCs/>
                <w:sz w:val="20"/>
                <w:szCs w:val="20"/>
              </w:rPr>
              <w:t>50 years</w:t>
            </w:r>
            <w:r w:rsidR="003A3F80" w:rsidRPr="00A65E17">
              <w:rPr>
                <w:rFonts w:ascii="Arial Narrow" w:hAnsi="Arial Narrow" w:cs="Arial Narrow"/>
                <w:iCs/>
                <w:sz w:val="20"/>
                <w:szCs w:val="20"/>
                <w:vertAlign w:val="superscript"/>
              </w:rPr>
              <w:t>b</w:t>
            </w:r>
          </w:p>
        </w:tc>
        <w:tc>
          <w:tcPr>
            <w:tcW w:w="0" w:type="auto"/>
            <w:shd w:val="clear" w:color="auto" w:fill="auto"/>
          </w:tcPr>
          <w:p w14:paraId="3FC9FAA1" w14:textId="77777777" w:rsidR="001D513B" w:rsidRPr="00A65E17" w:rsidRDefault="001D513B" w:rsidP="00FB6BE6">
            <w:pPr>
              <w:keepNext/>
              <w:keepLines/>
              <w:kinsoku w:val="0"/>
              <w:overflowPunct w:val="0"/>
              <w:autoSpaceDE w:val="0"/>
              <w:autoSpaceDN w:val="0"/>
              <w:adjustRightInd w:val="0"/>
              <w:spacing w:line="224" w:lineRule="exact"/>
              <w:ind w:right="18"/>
              <w:jc w:val="center"/>
              <w:rPr>
                <w:rFonts w:ascii="Arial Narrow" w:hAnsi="Arial Narrow" w:cs="Times New Roman"/>
                <w:iCs/>
                <w:sz w:val="20"/>
                <w:szCs w:val="20"/>
              </w:rPr>
            </w:pPr>
            <w:r w:rsidRPr="00A65E17">
              <w:rPr>
                <w:rFonts w:ascii="Arial Narrow" w:hAnsi="Arial Narrow" w:cs="Arial Narrow"/>
                <w:iCs/>
                <w:sz w:val="20"/>
                <w:szCs w:val="20"/>
              </w:rPr>
              <w:t>7340</w:t>
            </w:r>
          </w:p>
        </w:tc>
        <w:tc>
          <w:tcPr>
            <w:tcW w:w="304" w:type="dxa"/>
            <w:shd w:val="clear" w:color="auto" w:fill="auto"/>
            <w:vAlign w:val="center"/>
          </w:tcPr>
          <w:p w14:paraId="42A0D0F9"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w:t>
            </w:r>
          </w:p>
        </w:tc>
        <w:tc>
          <w:tcPr>
            <w:tcW w:w="709" w:type="dxa"/>
            <w:shd w:val="clear" w:color="auto" w:fill="auto"/>
          </w:tcPr>
          <w:p w14:paraId="2E7DBC2C"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Times New Roman"/>
                <w:iCs/>
                <w:sz w:val="20"/>
                <w:szCs w:val="20"/>
              </w:rPr>
            </w:pPr>
            <w:r w:rsidRPr="00A65E17">
              <w:rPr>
                <w:rFonts w:ascii="Arial Narrow" w:hAnsi="Arial Narrow" w:cs="Arial Narrow"/>
                <w:iCs/>
                <w:sz w:val="20"/>
                <w:szCs w:val="20"/>
              </w:rPr>
              <w:t>28734.6</w:t>
            </w:r>
          </w:p>
        </w:tc>
        <w:tc>
          <w:tcPr>
            <w:tcW w:w="853" w:type="dxa"/>
            <w:shd w:val="clear" w:color="auto" w:fill="auto"/>
          </w:tcPr>
          <w:p w14:paraId="28A8A40D" w14:textId="77777777" w:rsidR="001D513B" w:rsidRPr="00A65E17" w:rsidRDefault="001D513B" w:rsidP="00FB6BE6">
            <w:pPr>
              <w:keepNext/>
              <w:keepLines/>
              <w:kinsoku w:val="0"/>
              <w:overflowPunct w:val="0"/>
              <w:autoSpaceDE w:val="0"/>
              <w:autoSpaceDN w:val="0"/>
              <w:adjustRightInd w:val="0"/>
              <w:spacing w:line="224" w:lineRule="exact"/>
              <w:ind w:right="42"/>
              <w:jc w:val="center"/>
              <w:rPr>
                <w:rFonts w:ascii="Arial Narrow" w:hAnsi="Arial Narrow" w:cs="Times New Roman"/>
                <w:iCs/>
                <w:sz w:val="20"/>
                <w:szCs w:val="20"/>
              </w:rPr>
            </w:pPr>
            <w:r w:rsidRPr="00A65E17">
              <w:rPr>
                <w:rFonts w:ascii="Arial Narrow" w:hAnsi="Arial Narrow" w:cs="Arial Narrow"/>
                <w:iCs/>
                <w:sz w:val="20"/>
                <w:szCs w:val="20"/>
              </w:rPr>
              <w:t>0.0</w:t>
            </w:r>
          </w:p>
        </w:tc>
        <w:tc>
          <w:tcPr>
            <w:tcW w:w="0" w:type="auto"/>
            <w:shd w:val="clear" w:color="auto" w:fill="auto"/>
          </w:tcPr>
          <w:p w14:paraId="68AA45CF" w14:textId="77777777" w:rsidR="001D513B" w:rsidRPr="00A65E17" w:rsidRDefault="001D513B" w:rsidP="00FB6BE6">
            <w:pPr>
              <w:keepNext/>
              <w:keepLines/>
              <w:kinsoku w:val="0"/>
              <w:overflowPunct w:val="0"/>
              <w:autoSpaceDE w:val="0"/>
              <w:autoSpaceDN w:val="0"/>
              <w:adjustRightInd w:val="0"/>
              <w:spacing w:line="224" w:lineRule="exact"/>
              <w:ind w:right="17"/>
              <w:jc w:val="center"/>
              <w:rPr>
                <w:rFonts w:ascii="Arial Narrow" w:hAnsi="Arial Narrow" w:cs="Times New Roman"/>
                <w:iCs/>
                <w:sz w:val="20"/>
                <w:szCs w:val="20"/>
              </w:rPr>
            </w:pPr>
            <w:r w:rsidRPr="00A65E17">
              <w:rPr>
                <w:rFonts w:ascii="Arial Narrow" w:hAnsi="Arial Narrow" w:cs="Arial Narrow"/>
                <w:iCs/>
                <w:sz w:val="20"/>
                <w:szCs w:val="20"/>
              </w:rPr>
              <w:t>7413</w:t>
            </w:r>
          </w:p>
        </w:tc>
        <w:tc>
          <w:tcPr>
            <w:tcW w:w="410" w:type="dxa"/>
            <w:shd w:val="clear" w:color="auto" w:fill="auto"/>
          </w:tcPr>
          <w:p w14:paraId="67451427" w14:textId="77777777" w:rsidR="001D513B" w:rsidRPr="00A65E17" w:rsidRDefault="001D513B" w:rsidP="00FB6BE6">
            <w:pPr>
              <w:keepNext/>
              <w:keepLines/>
              <w:kinsoku w:val="0"/>
              <w:overflowPunct w:val="0"/>
              <w:autoSpaceDE w:val="0"/>
              <w:autoSpaceDN w:val="0"/>
              <w:adjustRightInd w:val="0"/>
              <w:spacing w:line="224" w:lineRule="exact"/>
              <w:ind w:right="14"/>
              <w:jc w:val="center"/>
              <w:rPr>
                <w:rFonts w:ascii="Arial Narrow" w:hAnsi="Arial Narrow" w:cs="Times New Roman"/>
                <w:iCs/>
                <w:sz w:val="20"/>
                <w:szCs w:val="20"/>
              </w:rPr>
            </w:pPr>
            <w:r w:rsidRPr="00A65E17">
              <w:rPr>
                <w:rFonts w:ascii="Arial Narrow" w:hAnsi="Arial Narrow" w:cs="Arial Narrow"/>
                <w:iCs/>
                <w:sz w:val="20"/>
                <w:szCs w:val="20"/>
              </w:rPr>
              <w:t>18</w:t>
            </w:r>
          </w:p>
        </w:tc>
        <w:tc>
          <w:tcPr>
            <w:tcW w:w="709" w:type="dxa"/>
            <w:shd w:val="clear" w:color="auto" w:fill="auto"/>
          </w:tcPr>
          <w:p w14:paraId="602302F8" w14:textId="77777777" w:rsidR="001D513B" w:rsidRPr="00A65E17" w:rsidRDefault="001D513B" w:rsidP="00FB6BE6">
            <w:pPr>
              <w:keepNext/>
              <w:keepLines/>
              <w:kinsoku w:val="0"/>
              <w:overflowPunct w:val="0"/>
              <w:autoSpaceDE w:val="0"/>
              <w:autoSpaceDN w:val="0"/>
              <w:adjustRightInd w:val="0"/>
              <w:spacing w:line="224" w:lineRule="exact"/>
              <w:ind w:right="26"/>
              <w:jc w:val="center"/>
              <w:rPr>
                <w:rFonts w:ascii="Arial Narrow" w:hAnsi="Arial Narrow" w:cs="Times New Roman"/>
                <w:iCs/>
                <w:sz w:val="20"/>
                <w:szCs w:val="20"/>
              </w:rPr>
            </w:pPr>
            <w:r w:rsidRPr="00A65E17">
              <w:rPr>
                <w:rFonts w:ascii="Arial Narrow" w:hAnsi="Arial Narrow" w:cs="Arial Narrow"/>
                <w:iCs/>
                <w:sz w:val="20"/>
                <w:szCs w:val="20"/>
              </w:rPr>
              <w:t>28943.7</w:t>
            </w:r>
          </w:p>
        </w:tc>
        <w:tc>
          <w:tcPr>
            <w:tcW w:w="835" w:type="dxa"/>
            <w:shd w:val="clear" w:color="auto" w:fill="auto"/>
          </w:tcPr>
          <w:p w14:paraId="3A35C607" w14:textId="77777777" w:rsidR="001D513B" w:rsidRPr="00A65E17" w:rsidRDefault="001D513B" w:rsidP="00FB6BE6">
            <w:pPr>
              <w:keepNext/>
              <w:keepLines/>
              <w:kinsoku w:val="0"/>
              <w:overflowPunct w:val="0"/>
              <w:autoSpaceDE w:val="0"/>
              <w:autoSpaceDN w:val="0"/>
              <w:adjustRightInd w:val="0"/>
              <w:spacing w:line="224" w:lineRule="exact"/>
              <w:ind w:right="45"/>
              <w:jc w:val="center"/>
              <w:rPr>
                <w:rFonts w:ascii="Arial Narrow" w:hAnsi="Arial Narrow" w:cs="Times New Roman"/>
                <w:iCs/>
                <w:sz w:val="20"/>
                <w:szCs w:val="20"/>
              </w:rPr>
            </w:pPr>
            <w:r w:rsidRPr="00A65E17">
              <w:rPr>
                <w:rFonts w:ascii="Arial Narrow" w:hAnsi="Arial Narrow" w:cs="Arial Narrow"/>
                <w:iCs/>
                <w:sz w:val="20"/>
                <w:szCs w:val="20"/>
              </w:rPr>
              <w:t>0.6</w:t>
            </w:r>
          </w:p>
        </w:tc>
        <w:tc>
          <w:tcPr>
            <w:tcW w:w="0" w:type="auto"/>
            <w:shd w:val="clear" w:color="auto" w:fill="auto"/>
          </w:tcPr>
          <w:p w14:paraId="3BFABD88"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1D45CCB8" w14:textId="77777777" w:rsidR="001D513B" w:rsidRPr="00A65E17" w:rsidRDefault="001D513B" w:rsidP="00FB6BE6">
            <w:pPr>
              <w:keepNext/>
              <w:keepLines/>
              <w:kinsoku w:val="0"/>
              <w:overflowPunct w:val="0"/>
              <w:autoSpaceDE w:val="0"/>
              <w:autoSpaceDN w:val="0"/>
              <w:adjustRightInd w:val="0"/>
              <w:spacing w:line="224" w:lineRule="exact"/>
              <w:ind w:right="27"/>
              <w:jc w:val="center"/>
              <w:rPr>
                <w:rFonts w:ascii="Arial Narrow" w:hAnsi="Arial Narrow" w:cs="Times New Roman"/>
                <w:iCs/>
                <w:sz w:val="20"/>
                <w:szCs w:val="20"/>
              </w:rPr>
            </w:pPr>
            <w:r w:rsidRPr="00A65E17">
              <w:rPr>
                <w:rFonts w:ascii="Arial Narrow" w:hAnsi="Arial Narrow" w:cs="Arial Narrow"/>
                <w:iCs/>
                <w:sz w:val="20"/>
                <w:szCs w:val="20"/>
              </w:rPr>
              <w:t>77.11</w:t>
            </w:r>
          </w:p>
        </w:tc>
        <w:tc>
          <w:tcPr>
            <w:tcW w:w="0" w:type="auto"/>
            <w:shd w:val="clear" w:color="auto" w:fill="auto"/>
          </w:tcPr>
          <w:p w14:paraId="19CB7F2B" w14:textId="77777777" w:rsidR="001D513B" w:rsidRPr="00A65E17" w:rsidRDefault="001D513B" w:rsidP="00FB6BE6">
            <w:pPr>
              <w:keepNext/>
              <w:keepLines/>
              <w:kinsoku w:val="0"/>
              <w:overflowPunct w:val="0"/>
              <w:autoSpaceDE w:val="0"/>
              <w:autoSpaceDN w:val="0"/>
              <w:adjustRightInd w:val="0"/>
              <w:spacing w:line="224" w:lineRule="exact"/>
              <w:ind w:right="23"/>
              <w:jc w:val="center"/>
              <w:rPr>
                <w:rFonts w:ascii="Arial Narrow" w:hAnsi="Arial Narrow" w:cs="Times New Roman"/>
                <w:iCs/>
                <w:sz w:val="20"/>
                <w:szCs w:val="20"/>
              </w:rPr>
            </w:pPr>
            <w:r w:rsidRPr="00A65E17">
              <w:rPr>
                <w:rFonts w:ascii="Arial Narrow" w:hAnsi="Arial Narrow" w:cs="Arial Narrow"/>
                <w:iCs/>
                <w:sz w:val="20"/>
                <w:szCs w:val="20"/>
              </w:rPr>
              <w:t>100.00</w:t>
            </w:r>
          </w:p>
        </w:tc>
        <w:tc>
          <w:tcPr>
            <w:tcW w:w="0" w:type="auto"/>
            <w:shd w:val="clear" w:color="auto" w:fill="auto"/>
          </w:tcPr>
          <w:p w14:paraId="2EDA63AC" w14:textId="77777777" w:rsidR="001D513B" w:rsidRPr="00A65E17" w:rsidRDefault="001D513B" w:rsidP="00FB6BE6">
            <w:pPr>
              <w:keepNext/>
              <w:keepLines/>
              <w:kinsoku w:val="0"/>
              <w:overflowPunct w:val="0"/>
              <w:autoSpaceDE w:val="0"/>
              <w:autoSpaceDN w:val="0"/>
              <w:adjustRightInd w:val="0"/>
              <w:spacing w:line="224" w:lineRule="exact"/>
              <w:ind w:right="25"/>
              <w:jc w:val="center"/>
              <w:rPr>
                <w:rFonts w:ascii="Arial Narrow" w:hAnsi="Arial Narrow" w:cs="Times New Roman"/>
                <w:iCs/>
                <w:sz w:val="20"/>
                <w:szCs w:val="20"/>
              </w:rPr>
            </w:pPr>
            <w:r w:rsidRPr="00A65E17">
              <w:rPr>
                <w:rFonts w:ascii="Arial Narrow" w:hAnsi="Arial Narrow" w:cs="Arial Narrow"/>
                <w:iCs/>
                <w:sz w:val="20"/>
                <w:szCs w:val="20"/>
              </w:rPr>
              <w:t>&lt;0.0001</w:t>
            </w:r>
          </w:p>
        </w:tc>
      </w:tr>
      <w:tr w:rsidR="001D513B" w:rsidRPr="00A65E17" w14:paraId="592F2C2C" w14:textId="77777777">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350D545" w14:textId="6B32C4DF" w:rsidR="001D513B" w:rsidRPr="00A65E17" w:rsidRDefault="001D513B" w:rsidP="00FB6BE6">
            <w:pPr>
              <w:keepNext/>
              <w:keepLines/>
              <w:kinsoku w:val="0"/>
              <w:overflowPunct w:val="0"/>
              <w:autoSpaceDE w:val="0"/>
              <w:autoSpaceDN w:val="0"/>
              <w:adjustRightInd w:val="0"/>
              <w:spacing w:line="227" w:lineRule="exact"/>
              <w:jc w:val="left"/>
              <w:rPr>
                <w:rFonts w:ascii="Arial Narrow" w:hAnsi="Arial Narrow" w:cs="Times New Roman"/>
                <w:iCs/>
                <w:sz w:val="20"/>
                <w:szCs w:val="20"/>
              </w:rPr>
            </w:pPr>
            <w:r w:rsidRPr="00A65E17">
              <w:rPr>
                <w:rFonts w:ascii="Arial Narrow" w:hAnsi="Arial Narrow" w:cs="Arial Narrow"/>
                <w:iCs/>
                <w:sz w:val="20"/>
                <w:szCs w:val="20"/>
              </w:rPr>
              <w:t>70-79 years</w:t>
            </w:r>
            <w:r w:rsidR="003A3F80" w:rsidRPr="00A65E17">
              <w:rPr>
                <w:rFonts w:ascii="Arial Narrow" w:hAnsi="Arial Narrow" w:cs="Arial Narrow"/>
                <w:iCs/>
                <w:sz w:val="20"/>
                <w:szCs w:val="20"/>
                <w:vertAlign w:val="superscript"/>
              </w:rPr>
              <w:t>a</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F1276B5"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6468</w:t>
            </w:r>
          </w:p>
        </w:tc>
        <w:tc>
          <w:tcPr>
            <w:tcW w:w="304" w:type="dxa"/>
            <w:tcBorders>
              <w:top w:val="single" w:sz="2" w:space="0" w:color="000000"/>
              <w:left w:val="single" w:sz="2" w:space="0" w:color="000000"/>
              <w:bottom w:val="single" w:sz="2" w:space="0" w:color="000000"/>
              <w:right w:val="single" w:sz="2" w:space="0" w:color="000000"/>
            </w:tcBorders>
            <w:shd w:val="clear" w:color="auto" w:fill="auto"/>
          </w:tcPr>
          <w:p w14:paraId="2260D1E7"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7613DB7"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24438.8</w:t>
            </w:r>
          </w:p>
        </w:tc>
        <w:tc>
          <w:tcPr>
            <w:tcW w:w="853" w:type="dxa"/>
            <w:tcBorders>
              <w:top w:val="single" w:sz="2" w:space="0" w:color="000000"/>
              <w:left w:val="single" w:sz="2" w:space="0" w:color="000000"/>
              <w:bottom w:val="single" w:sz="2" w:space="0" w:color="000000"/>
              <w:right w:val="single" w:sz="2" w:space="0" w:color="000000"/>
            </w:tcBorders>
            <w:shd w:val="clear" w:color="auto" w:fill="auto"/>
          </w:tcPr>
          <w:p w14:paraId="68899B86"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0.1</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220623D"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6554</w:t>
            </w:r>
          </w:p>
        </w:tc>
        <w:tc>
          <w:tcPr>
            <w:tcW w:w="410" w:type="dxa"/>
            <w:tcBorders>
              <w:top w:val="single" w:sz="2" w:space="0" w:color="000000"/>
              <w:left w:val="single" w:sz="2" w:space="0" w:color="000000"/>
              <w:bottom w:val="single" w:sz="2" w:space="0" w:color="000000"/>
              <w:right w:val="single" w:sz="2" w:space="0" w:color="000000"/>
            </w:tcBorders>
            <w:shd w:val="clear" w:color="auto" w:fill="auto"/>
          </w:tcPr>
          <w:p w14:paraId="2F65699F"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29</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91B9B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24660.4</w:t>
            </w:r>
          </w:p>
        </w:tc>
        <w:tc>
          <w:tcPr>
            <w:tcW w:w="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EF18E"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1.2</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3D5BE62"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93.04</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9F5A1B9"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72.47</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F4A143F"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99.19</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7F766C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&lt;0.0001</w:t>
            </w:r>
          </w:p>
        </w:tc>
      </w:tr>
      <w:tr w:rsidR="001D513B" w:rsidRPr="00A65E17" w14:paraId="1F90BA33" w14:textId="77777777">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1BE7732" w14:textId="3DE5AF70" w:rsidR="001D513B" w:rsidRPr="00A65E17" w:rsidRDefault="001D513B" w:rsidP="00FB6BE6">
            <w:pPr>
              <w:keepNext/>
              <w:keepLines/>
              <w:kinsoku w:val="0"/>
              <w:overflowPunct w:val="0"/>
              <w:autoSpaceDE w:val="0"/>
              <w:autoSpaceDN w:val="0"/>
              <w:adjustRightInd w:val="0"/>
              <w:spacing w:line="243" w:lineRule="exact"/>
              <w:jc w:val="left"/>
              <w:rPr>
                <w:rFonts w:ascii="Arial Narrow" w:hAnsi="Arial Narrow" w:cs="Times New Roman"/>
                <w:iCs/>
                <w:sz w:val="20"/>
                <w:szCs w:val="20"/>
              </w:rPr>
            </w:pPr>
            <w:r w:rsidRPr="00A65E17">
              <w:rPr>
                <w:rFonts w:ascii="Arial Narrow" w:hAnsi="Arial Narrow" w:cs="Arial Narrow"/>
                <w:iCs/>
                <w:sz w:val="20"/>
                <w:szCs w:val="20"/>
              </w:rPr>
              <w:t>≥80 years</w:t>
            </w:r>
            <w:r w:rsidR="003A3F80" w:rsidRPr="00A65E17">
              <w:rPr>
                <w:rFonts w:ascii="Arial Narrow" w:hAnsi="Arial Narrow" w:cs="Arial Narrow"/>
                <w:iCs/>
                <w:sz w:val="20"/>
                <w:szCs w:val="20"/>
                <w:vertAlign w:val="superscript"/>
              </w:rPr>
              <w:t>a</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2EF592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1782</w:t>
            </w:r>
          </w:p>
        </w:tc>
        <w:tc>
          <w:tcPr>
            <w:tcW w:w="304" w:type="dxa"/>
            <w:tcBorders>
              <w:top w:val="single" w:sz="2" w:space="0" w:color="000000"/>
              <w:left w:val="single" w:sz="2" w:space="0" w:color="000000"/>
              <w:bottom w:val="single" w:sz="2" w:space="0" w:color="000000"/>
              <w:right w:val="single" w:sz="2" w:space="0" w:color="000000"/>
            </w:tcBorders>
            <w:shd w:val="clear" w:color="auto" w:fill="auto"/>
          </w:tcPr>
          <w:p w14:paraId="333C42E1"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9DE7911"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6321.5</w:t>
            </w:r>
          </w:p>
        </w:tc>
        <w:tc>
          <w:tcPr>
            <w:tcW w:w="853" w:type="dxa"/>
            <w:tcBorders>
              <w:top w:val="single" w:sz="2" w:space="0" w:color="000000"/>
              <w:left w:val="single" w:sz="2" w:space="0" w:color="000000"/>
              <w:bottom w:val="single" w:sz="2" w:space="0" w:color="000000"/>
              <w:right w:val="single" w:sz="2" w:space="0" w:color="000000"/>
            </w:tcBorders>
            <w:shd w:val="clear" w:color="auto" w:fill="auto"/>
          </w:tcPr>
          <w:p w14:paraId="56D75060"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0.3</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D334C7E"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1792</w:t>
            </w:r>
          </w:p>
        </w:tc>
        <w:tc>
          <w:tcPr>
            <w:tcW w:w="410" w:type="dxa"/>
            <w:tcBorders>
              <w:top w:val="single" w:sz="2" w:space="0" w:color="000000"/>
              <w:left w:val="single" w:sz="2" w:space="0" w:color="000000"/>
              <w:bottom w:val="single" w:sz="2" w:space="0" w:color="000000"/>
              <w:right w:val="single" w:sz="2" w:space="0" w:color="000000"/>
            </w:tcBorders>
            <w:shd w:val="clear" w:color="auto" w:fill="auto"/>
          </w:tcPr>
          <w:p w14:paraId="540A3A8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7</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74A5E3"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6281.6</w:t>
            </w:r>
          </w:p>
        </w:tc>
        <w:tc>
          <w:tcPr>
            <w:tcW w:w="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0CC291"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1.1</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1910AFF"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71.16</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45F95B4"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-51.51</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1FEF5A7"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97.08</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D22EAA6"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0.1844</w:t>
            </w:r>
          </w:p>
        </w:tc>
      </w:tr>
      <w:tr w:rsidR="001D513B" w:rsidRPr="00A65E17" w14:paraId="2584DF70" w14:textId="77777777">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E43EC7B" w14:textId="1A1F0125" w:rsidR="001D513B" w:rsidRPr="00A65E17" w:rsidRDefault="001D513B" w:rsidP="00FB6BE6">
            <w:pPr>
              <w:keepNext/>
              <w:keepLines/>
              <w:kinsoku w:val="0"/>
              <w:overflowPunct w:val="0"/>
              <w:autoSpaceDE w:val="0"/>
              <w:autoSpaceDN w:val="0"/>
              <w:adjustRightInd w:val="0"/>
              <w:spacing w:line="243" w:lineRule="exact"/>
              <w:jc w:val="left"/>
              <w:rPr>
                <w:rFonts w:ascii="Arial Narrow" w:hAnsi="Arial Narrow" w:cs="Arial Narrow"/>
                <w:bCs/>
                <w:iCs/>
                <w:sz w:val="20"/>
                <w:szCs w:val="20"/>
              </w:rPr>
            </w:pPr>
            <w:r w:rsidRPr="00A65E17">
              <w:rPr>
                <w:rFonts w:ascii="Arial Narrow" w:hAnsi="Arial Narrow" w:cs="Arial Narrow"/>
                <w:bCs/>
                <w:iCs/>
                <w:sz w:val="20"/>
                <w:szCs w:val="20"/>
              </w:rPr>
              <w:t>≥70 years</w:t>
            </w:r>
            <w:r w:rsidR="003A3F80" w:rsidRPr="00A65E17">
              <w:rPr>
                <w:rFonts w:ascii="Arial Narrow" w:hAnsi="Arial Narrow" w:cs="Arial Narrow"/>
                <w:iCs/>
                <w:sz w:val="20"/>
                <w:szCs w:val="20"/>
                <w:vertAlign w:val="superscript"/>
              </w:rPr>
              <w:t>b</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ED3D5C4"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8250</w:t>
            </w:r>
          </w:p>
        </w:tc>
        <w:tc>
          <w:tcPr>
            <w:tcW w:w="304" w:type="dxa"/>
            <w:tcBorders>
              <w:top w:val="single" w:sz="2" w:space="0" w:color="000000"/>
              <w:left w:val="single" w:sz="2" w:space="0" w:color="000000"/>
              <w:bottom w:val="single" w:sz="2" w:space="0" w:color="000000"/>
              <w:right w:val="single" w:sz="2" w:space="0" w:color="000000"/>
            </w:tcBorders>
            <w:shd w:val="clear" w:color="auto" w:fill="auto"/>
          </w:tcPr>
          <w:p w14:paraId="7FBCAB0C"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3FAEC51"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30760.3</w:t>
            </w:r>
          </w:p>
        </w:tc>
        <w:tc>
          <w:tcPr>
            <w:tcW w:w="853" w:type="dxa"/>
            <w:tcBorders>
              <w:top w:val="single" w:sz="2" w:space="0" w:color="000000"/>
              <w:left w:val="single" w:sz="2" w:space="0" w:color="000000"/>
              <w:bottom w:val="single" w:sz="2" w:space="0" w:color="000000"/>
              <w:right w:val="single" w:sz="2" w:space="0" w:color="000000"/>
            </w:tcBorders>
            <w:shd w:val="clear" w:color="auto" w:fill="auto"/>
          </w:tcPr>
          <w:p w14:paraId="4C4883C4"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0.1</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4F3D3B7"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8346</w:t>
            </w:r>
          </w:p>
        </w:tc>
        <w:tc>
          <w:tcPr>
            <w:tcW w:w="410" w:type="dxa"/>
            <w:tcBorders>
              <w:top w:val="single" w:sz="2" w:space="0" w:color="000000"/>
              <w:left w:val="single" w:sz="2" w:space="0" w:color="000000"/>
              <w:bottom w:val="single" w:sz="2" w:space="0" w:color="000000"/>
              <w:right w:val="single" w:sz="2" w:space="0" w:color="000000"/>
            </w:tcBorders>
            <w:shd w:val="clear" w:color="auto" w:fill="auto"/>
          </w:tcPr>
          <w:p w14:paraId="690DE154"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36</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8A4927"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30942.0</w:t>
            </w:r>
          </w:p>
        </w:tc>
        <w:tc>
          <w:tcPr>
            <w:tcW w:w="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53DC0"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1.2</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7BECDC3"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88.78</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DE8719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68.70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95B10E4"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97.10</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5A3BC8A" w14:textId="77777777" w:rsidR="001D513B" w:rsidRPr="00A65E17" w:rsidRDefault="001D513B" w:rsidP="00FB6BE6">
            <w:pPr>
              <w:keepNext/>
              <w:keepLines/>
              <w:kinsoku w:val="0"/>
              <w:overflowPunct w:val="0"/>
              <w:autoSpaceDE w:val="0"/>
              <w:autoSpaceDN w:val="0"/>
              <w:adjustRightInd w:val="0"/>
              <w:spacing w:line="224" w:lineRule="exact"/>
              <w:jc w:val="center"/>
              <w:rPr>
                <w:rFonts w:ascii="Arial Narrow" w:hAnsi="Arial Narrow" w:cs="Arial Narrow"/>
                <w:iCs/>
                <w:sz w:val="20"/>
                <w:szCs w:val="20"/>
              </w:rPr>
            </w:pPr>
            <w:r w:rsidRPr="00A65E17">
              <w:rPr>
                <w:rFonts w:ascii="Arial Narrow" w:hAnsi="Arial Narrow" w:cs="Arial Narrow"/>
                <w:iCs/>
                <w:sz w:val="20"/>
                <w:szCs w:val="20"/>
              </w:rPr>
              <w:t>&lt;0.0001</w:t>
            </w:r>
          </w:p>
        </w:tc>
      </w:tr>
    </w:tbl>
    <w:p w14:paraId="757C9557" w14:textId="77777777" w:rsidR="001D513B" w:rsidRPr="00A65E17" w:rsidRDefault="001D513B" w:rsidP="00FB6BE6">
      <w:pPr>
        <w:pStyle w:val="TableFooter"/>
        <w:keepNext/>
        <w:keepLines/>
        <w:rPr>
          <w:iCs/>
          <w:color w:val="3366FF"/>
        </w:rPr>
      </w:pPr>
      <w:r w:rsidRPr="00A65E17">
        <w:rPr>
          <w:iCs/>
        </w:rPr>
        <w:t>Source: Table 2-16, p 82-83 of the submission.</w:t>
      </w:r>
    </w:p>
    <w:p w14:paraId="477A19A6" w14:textId="36F95EB2" w:rsidR="001D513B" w:rsidRPr="00A65E17" w:rsidRDefault="001D513B" w:rsidP="00FB6BE6">
      <w:pPr>
        <w:pStyle w:val="TableFooter"/>
        <w:keepNext/>
        <w:keepLines/>
        <w:rPr>
          <w:iCs/>
        </w:rPr>
      </w:pPr>
      <w:r w:rsidRPr="00A65E17">
        <w:rPr>
          <w:iCs/>
        </w:rPr>
        <w:t>LL = lower limit; mTVC = modified total vaccinated cohort; PHN, = post-herpetic neuralgia; RZV = recombinant zoster vaccine (Shingrix); VE = vaccine efficacy; UL = upper limit; YOA = years of age</w:t>
      </w:r>
    </w:p>
    <w:p w14:paraId="3236D6A3" w14:textId="77777777" w:rsidR="001D513B" w:rsidRPr="00A65E17" w:rsidRDefault="001D513B" w:rsidP="00FB6BE6">
      <w:pPr>
        <w:pStyle w:val="TableFooter"/>
        <w:keepNext/>
        <w:keepLines/>
        <w:rPr>
          <w:iCs/>
        </w:rPr>
      </w:pPr>
      <w:r w:rsidRPr="00A65E17">
        <w:rPr>
          <w:iCs/>
        </w:rPr>
        <w:t>N = number of subjects included in each group; n = number of subjects having at least one PHN case.</w:t>
      </w:r>
    </w:p>
    <w:p w14:paraId="7CD5032D" w14:textId="77777777" w:rsidR="001D513B" w:rsidRPr="00A65E17" w:rsidRDefault="001D513B" w:rsidP="00FB6BE6">
      <w:pPr>
        <w:pStyle w:val="TableFooter"/>
        <w:keepNext/>
        <w:keepLines/>
        <w:rPr>
          <w:iCs/>
        </w:rPr>
      </w:pPr>
      <w:r w:rsidRPr="00A65E17">
        <w:rPr>
          <w:iCs/>
        </w:rPr>
        <w:t>T (year) = sum of follow-up period (censored at the first occurrence of a PHN case) expressed in years</w:t>
      </w:r>
    </w:p>
    <w:p w14:paraId="12E7DEFE" w14:textId="77777777" w:rsidR="001D513B" w:rsidRPr="00A65E17" w:rsidRDefault="001D513B" w:rsidP="00FB6BE6">
      <w:pPr>
        <w:pStyle w:val="TableFooter"/>
        <w:keepNext/>
        <w:keepLines/>
        <w:rPr>
          <w:iCs/>
        </w:rPr>
      </w:pPr>
      <w:r w:rsidRPr="00A65E17">
        <w:rPr>
          <w:iCs/>
        </w:rPr>
        <w:t>n/T (per 1000) = Incidence rate of subjects reporting at least one event.</w:t>
      </w:r>
    </w:p>
    <w:p w14:paraId="32624FAD" w14:textId="3E8C06B6" w:rsidR="001D513B" w:rsidRPr="00A65E17" w:rsidRDefault="003A3F80" w:rsidP="00FB6BE6">
      <w:pPr>
        <w:pStyle w:val="TableFooter"/>
        <w:keepNext/>
        <w:keepLines/>
        <w:rPr>
          <w:iCs/>
        </w:rPr>
      </w:pPr>
      <w:r w:rsidRPr="006E790F">
        <w:rPr>
          <w:iCs/>
        </w:rPr>
        <w:t xml:space="preserve">Note: </w:t>
      </w:r>
      <w:r w:rsidR="001D513B" w:rsidRPr="006E790F">
        <w:rPr>
          <w:iCs/>
        </w:rPr>
        <w:t>The modified vaccinated cohort excluded participants who did not receive the second dose of vaccine or who received a confirmed diagnosis of herpes</w:t>
      </w:r>
      <w:r w:rsidR="002E29E5" w:rsidRPr="006E790F">
        <w:rPr>
          <w:iCs/>
        </w:rPr>
        <w:t xml:space="preserve"> </w:t>
      </w:r>
      <w:r w:rsidR="001D513B" w:rsidRPr="006E790F">
        <w:rPr>
          <w:iCs/>
        </w:rPr>
        <w:t>zoster within 1 month after the second dose.</w:t>
      </w:r>
    </w:p>
    <w:p w14:paraId="009772CC" w14:textId="32F76FD9" w:rsidR="001D513B" w:rsidRPr="00A65E17" w:rsidRDefault="003A3F80" w:rsidP="00FB6BE6">
      <w:pPr>
        <w:pStyle w:val="TableFooter"/>
        <w:keepNext/>
        <w:keepLines/>
        <w:rPr>
          <w:iCs/>
        </w:rPr>
      </w:pPr>
      <w:r w:rsidRPr="00A65E17">
        <w:rPr>
          <w:iCs/>
          <w:vertAlign w:val="superscript"/>
        </w:rPr>
        <w:t>a</w:t>
      </w:r>
      <w:r w:rsidR="001D513B" w:rsidRPr="00A65E17">
        <w:rPr>
          <w:iCs/>
        </w:rPr>
        <w:t xml:space="preserve"> VE in each age group was adjusted for region.</w:t>
      </w:r>
    </w:p>
    <w:p w14:paraId="1232F8B2" w14:textId="53196E77" w:rsidR="001D513B" w:rsidRPr="003C590D" w:rsidRDefault="003A3F80" w:rsidP="003C590D">
      <w:pPr>
        <w:pStyle w:val="TableFooter"/>
        <w:keepNext/>
        <w:keepLines/>
        <w:spacing w:after="120"/>
        <w:rPr>
          <w:iCs/>
        </w:rPr>
      </w:pPr>
      <w:r w:rsidRPr="00A65E17">
        <w:rPr>
          <w:rFonts w:cs="Arial Narrow"/>
          <w:iCs/>
          <w:szCs w:val="18"/>
          <w:vertAlign w:val="superscript"/>
        </w:rPr>
        <w:t>b</w:t>
      </w:r>
      <w:r w:rsidR="001D513B" w:rsidRPr="00A65E17">
        <w:rPr>
          <w:iCs/>
        </w:rPr>
        <w:t xml:space="preserve"> VE adjusted by age strata and region.</w:t>
      </w:r>
    </w:p>
    <w:p w14:paraId="4A49CD22" w14:textId="763547F9" w:rsidR="00D73D20" w:rsidRPr="00AD7238" w:rsidRDefault="00D73D20" w:rsidP="003C590D">
      <w:pPr>
        <w:pStyle w:val="3-BodyText"/>
        <w:numPr>
          <w:ilvl w:val="0"/>
          <w:numId w:val="0"/>
        </w:numPr>
        <w:ind w:left="720" w:hanging="720"/>
        <w:outlineLvl w:val="2"/>
        <w:rPr>
          <w:b/>
          <w:bCs/>
          <w:u w:val="single"/>
        </w:rPr>
      </w:pPr>
      <w:r w:rsidRPr="00AD7238">
        <w:rPr>
          <w:b/>
          <w:bCs/>
          <w:u w:val="single"/>
        </w:rPr>
        <w:t>Long-term follow-up study: ZOSTER-</w:t>
      </w:r>
      <w:r w:rsidR="003317B7">
        <w:rPr>
          <w:b/>
          <w:bCs/>
          <w:u w:val="single"/>
        </w:rPr>
        <w:t>0</w:t>
      </w:r>
      <w:r w:rsidRPr="00AD7238">
        <w:rPr>
          <w:b/>
          <w:bCs/>
          <w:u w:val="single"/>
        </w:rPr>
        <w:t>49</w:t>
      </w:r>
    </w:p>
    <w:p w14:paraId="0C4F70F7" w14:textId="27E6197F" w:rsidR="00D73D20" w:rsidRPr="00AD7238" w:rsidRDefault="00D73D20" w:rsidP="00D73D20">
      <w:pPr>
        <w:pStyle w:val="3-BodyText"/>
      </w:pPr>
      <w:r w:rsidRPr="00AD7238">
        <w:fldChar w:fldCharType="begin" w:fldLock="1"/>
      </w:r>
      <w:r w:rsidRPr="00AD7238">
        <w:instrText xml:space="preserve"> REF _Ref122265966 \h  \* MERGEFORMAT </w:instrText>
      </w:r>
      <w:r w:rsidRPr="00AD7238">
        <w:fldChar w:fldCharType="separate"/>
      </w:r>
      <w:r w:rsidR="00602E99" w:rsidRPr="00602E99">
        <w:t>Table 7</w:t>
      </w:r>
      <w:r w:rsidRPr="00AD7238">
        <w:fldChar w:fldCharType="end"/>
      </w:r>
      <w:r w:rsidRPr="00AD7238">
        <w:t xml:space="preserve"> presents the vaccine efficacy results against HZ from the (ongoing) long-term follow-up study, ZOSTER-</w:t>
      </w:r>
      <w:r w:rsidR="003317B7">
        <w:t>0</w:t>
      </w:r>
      <w:r w:rsidRPr="00AD7238">
        <w:t xml:space="preserve">49. </w:t>
      </w:r>
    </w:p>
    <w:p w14:paraId="5EAD5E83" w14:textId="7996733C" w:rsidR="00D73D20" w:rsidRPr="00AD7238" w:rsidRDefault="00D73D20" w:rsidP="004C3425">
      <w:pPr>
        <w:pStyle w:val="Caption"/>
        <w:rPr>
          <w:rStyle w:val="CommentReference"/>
          <w:b/>
          <w:bCs w:val="0"/>
        </w:rPr>
      </w:pPr>
      <w:bookmarkStart w:id="28" w:name="_Ref122265966"/>
      <w:r w:rsidRPr="00AD7238">
        <w:rPr>
          <w:rStyle w:val="CommentReference"/>
          <w:b/>
          <w:bCs w:val="0"/>
        </w:rPr>
        <w:lastRenderedPageBreak/>
        <w:t xml:space="preserve">Table </w:t>
      </w:r>
      <w:r w:rsidRPr="00AD7238">
        <w:rPr>
          <w:rStyle w:val="CommentReference"/>
          <w:b/>
          <w:bCs w:val="0"/>
        </w:rPr>
        <w:fldChar w:fldCharType="begin" w:fldLock="1"/>
      </w:r>
      <w:r w:rsidRPr="00AD7238">
        <w:rPr>
          <w:rStyle w:val="CommentReference"/>
          <w:b/>
          <w:bCs w:val="0"/>
        </w:rPr>
        <w:instrText xml:space="preserve"> SEQ Table \* ARABIC </w:instrText>
      </w:r>
      <w:r w:rsidRPr="00AD7238">
        <w:rPr>
          <w:rStyle w:val="CommentReference"/>
          <w:b/>
          <w:bCs w:val="0"/>
        </w:rPr>
        <w:fldChar w:fldCharType="separate"/>
      </w:r>
      <w:r w:rsidR="00602E99">
        <w:rPr>
          <w:rStyle w:val="CommentReference"/>
          <w:b/>
          <w:bCs w:val="0"/>
          <w:noProof/>
        </w:rPr>
        <w:t>7</w:t>
      </w:r>
      <w:r w:rsidRPr="00AD7238">
        <w:rPr>
          <w:rStyle w:val="CommentReference"/>
          <w:b/>
          <w:bCs w:val="0"/>
        </w:rPr>
        <w:fldChar w:fldCharType="end"/>
      </w:r>
      <w:bookmarkEnd w:id="28"/>
      <w:r w:rsidRPr="00AD7238">
        <w:rPr>
          <w:rStyle w:val="CommentReference"/>
          <w:b/>
          <w:bCs w:val="0"/>
        </w:rPr>
        <w:t>: Vaccine efficacy against HZ over time across the trials (mTVC)</w:t>
      </w:r>
      <w:r w:rsidR="00F86809" w:rsidRPr="00AD7238">
        <w:rPr>
          <w:rStyle w:val="CommentReference"/>
          <w:b/>
          <w:bCs w:val="0"/>
        </w:rPr>
        <w:t xml:space="preserve"> (second interim analysis)</w:t>
      </w:r>
    </w:p>
    <w:tbl>
      <w:tblPr>
        <w:tblW w:w="9069" w:type="dxa"/>
        <w:tblLayout w:type="fixed"/>
        <w:tblCellMar>
          <w:left w:w="28" w:type="dxa"/>
          <w:right w:w="28" w:type="dxa"/>
        </w:tblCellMar>
        <w:tblLook w:val="0000" w:firstRow="0" w:lastRow="0" w:firstColumn="0" w:lastColumn="0" w:noHBand="0" w:noVBand="0"/>
      </w:tblPr>
      <w:tblGrid>
        <w:gridCol w:w="649"/>
        <w:gridCol w:w="680"/>
        <w:gridCol w:w="680"/>
        <w:gridCol w:w="823"/>
        <w:gridCol w:w="709"/>
        <w:gridCol w:w="709"/>
        <w:gridCol w:w="567"/>
        <w:gridCol w:w="709"/>
        <w:gridCol w:w="850"/>
        <w:gridCol w:w="567"/>
        <w:gridCol w:w="709"/>
        <w:gridCol w:w="709"/>
        <w:gridCol w:w="708"/>
      </w:tblGrid>
      <w:tr w:rsidR="00D73D20" w:rsidRPr="00AD7238" w14:paraId="63BF1A81" w14:textId="77777777">
        <w:trPr>
          <w:trHeight w:val="63"/>
        </w:trPr>
        <w:tc>
          <w:tcPr>
            <w:tcW w:w="649" w:type="dxa"/>
            <w:vMerge w:val="restart"/>
            <w:tcBorders>
              <w:top w:val="single" w:sz="2" w:space="0" w:color="000000"/>
              <w:left w:val="single" w:sz="2" w:space="0" w:color="000000"/>
              <w:right w:val="single" w:sz="2" w:space="0" w:color="000000"/>
            </w:tcBorders>
            <w:shd w:val="clear" w:color="auto" w:fill="auto"/>
            <w:vAlign w:val="center"/>
          </w:tcPr>
          <w:p w14:paraId="3C0FBCEE"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sz w:val="20"/>
                <w:szCs w:val="20"/>
              </w:rPr>
              <w:t>Time</w:t>
            </w:r>
          </w:p>
        </w:tc>
        <w:tc>
          <w:tcPr>
            <w:tcW w:w="2892" w:type="dxa"/>
            <w:gridSpan w:val="4"/>
            <w:tcBorders>
              <w:top w:val="single" w:sz="2" w:space="0" w:color="000000"/>
              <w:left w:val="single" w:sz="2" w:space="0" w:color="000000"/>
              <w:right w:val="single" w:sz="2" w:space="0" w:color="000000"/>
            </w:tcBorders>
            <w:shd w:val="clear" w:color="auto" w:fill="auto"/>
            <w:vAlign w:val="center"/>
          </w:tcPr>
          <w:p w14:paraId="42CFBB2C" w14:textId="77777777" w:rsidR="00D73D20" w:rsidRPr="00AD7238" w:rsidRDefault="00D73D20" w:rsidP="004C3425">
            <w:pPr>
              <w:keepNext/>
              <w:keepLines/>
              <w:kinsoku w:val="0"/>
              <w:overflowPunct w:val="0"/>
              <w:autoSpaceDE w:val="0"/>
              <w:autoSpaceDN w:val="0"/>
              <w:adjustRightInd w:val="0"/>
              <w:spacing w:line="224" w:lineRule="exact"/>
              <w:jc w:val="center"/>
              <w:rPr>
                <w:rFonts w:ascii="Arial Narrow" w:hAnsi="Arial Narrow" w:cs="Times New Roman"/>
                <w:sz w:val="20"/>
                <w:szCs w:val="20"/>
              </w:rPr>
            </w:pPr>
            <w:r w:rsidRPr="00AD7238">
              <w:rPr>
                <w:rFonts w:ascii="Arial Narrow" w:hAnsi="Arial Narrow"/>
                <w:b/>
                <w:sz w:val="20"/>
                <w:szCs w:val="20"/>
              </w:rPr>
              <w:t>RZV</w:t>
            </w:r>
          </w:p>
        </w:tc>
        <w:tc>
          <w:tcPr>
            <w:tcW w:w="2835" w:type="dxa"/>
            <w:gridSpan w:val="4"/>
            <w:tcBorders>
              <w:top w:val="single" w:sz="2" w:space="0" w:color="000000"/>
              <w:left w:val="single" w:sz="2" w:space="0" w:color="000000"/>
              <w:right w:val="single" w:sz="2" w:space="0" w:color="000000"/>
            </w:tcBorders>
            <w:shd w:val="clear" w:color="auto" w:fill="auto"/>
            <w:vAlign w:val="center"/>
          </w:tcPr>
          <w:p w14:paraId="364C501E" w14:textId="77777777" w:rsidR="00D73D20" w:rsidRPr="00AD7238" w:rsidRDefault="00D73D20" w:rsidP="004C3425">
            <w:pPr>
              <w:keepNext/>
              <w:keepLines/>
              <w:kinsoku w:val="0"/>
              <w:overflowPunct w:val="0"/>
              <w:autoSpaceDE w:val="0"/>
              <w:autoSpaceDN w:val="0"/>
              <w:adjustRightInd w:val="0"/>
              <w:spacing w:line="224" w:lineRule="exact"/>
              <w:jc w:val="center"/>
              <w:rPr>
                <w:rFonts w:ascii="Arial Narrow" w:hAnsi="Arial Narrow" w:cs="Times New Roman"/>
                <w:sz w:val="20"/>
                <w:szCs w:val="20"/>
              </w:rPr>
            </w:pPr>
            <w:r w:rsidRPr="00AD7238">
              <w:rPr>
                <w:rFonts w:ascii="Arial Narrow" w:hAnsi="Arial Narrow" w:cs="Arial Narrow"/>
                <w:b/>
                <w:bCs/>
                <w:sz w:val="20"/>
                <w:szCs w:val="20"/>
              </w:rPr>
              <w:t>Placebo</w:t>
            </w:r>
          </w:p>
        </w:tc>
        <w:tc>
          <w:tcPr>
            <w:tcW w:w="1985" w:type="dxa"/>
            <w:gridSpan w:val="3"/>
            <w:tcBorders>
              <w:top w:val="single" w:sz="2" w:space="0" w:color="000000"/>
              <w:left w:val="single" w:sz="2" w:space="0" w:color="000000"/>
              <w:right w:val="single" w:sz="2" w:space="0" w:color="000000"/>
            </w:tcBorders>
            <w:shd w:val="clear" w:color="auto" w:fill="auto"/>
            <w:vAlign w:val="center"/>
          </w:tcPr>
          <w:p w14:paraId="28AA4D2A" w14:textId="77777777" w:rsidR="00D73D20" w:rsidRPr="00AD7238" w:rsidRDefault="00D73D20" w:rsidP="004C3425">
            <w:pPr>
              <w:keepNext/>
              <w:keepLines/>
              <w:kinsoku w:val="0"/>
              <w:overflowPunct w:val="0"/>
              <w:autoSpaceDE w:val="0"/>
              <w:autoSpaceDN w:val="0"/>
              <w:adjustRightInd w:val="0"/>
              <w:spacing w:line="224" w:lineRule="exact"/>
              <w:jc w:val="center"/>
              <w:rPr>
                <w:rFonts w:ascii="Arial Narrow" w:hAnsi="Arial Narrow" w:cs="Times New Roman"/>
                <w:sz w:val="20"/>
                <w:szCs w:val="20"/>
                <w:vertAlign w:val="subscript"/>
              </w:rPr>
            </w:pPr>
            <w:r w:rsidRPr="00AD7238">
              <w:rPr>
                <w:rFonts w:ascii="Arial Narrow" w:hAnsi="Arial Narrow" w:cs="Arial Narrow"/>
                <w:b/>
                <w:bCs/>
                <w:sz w:val="20"/>
                <w:szCs w:val="20"/>
              </w:rPr>
              <w:t>VE</w:t>
            </w:r>
            <w:r w:rsidRPr="00AD7238">
              <w:rPr>
                <w:rFonts w:ascii="Arial Narrow" w:hAnsi="Arial Narrow" w:cs="Arial Narrow"/>
                <w:b/>
                <w:bCs/>
                <w:sz w:val="20"/>
                <w:szCs w:val="20"/>
                <w:vertAlign w:val="subscript"/>
              </w:rPr>
              <w:t>HZ</w:t>
            </w:r>
          </w:p>
        </w:tc>
        <w:tc>
          <w:tcPr>
            <w:tcW w:w="708" w:type="dxa"/>
            <w:vMerge w:val="restart"/>
            <w:tcBorders>
              <w:top w:val="single" w:sz="2" w:space="0" w:color="000000"/>
              <w:left w:val="single" w:sz="2" w:space="0" w:color="000000"/>
              <w:right w:val="single" w:sz="2" w:space="0" w:color="000000"/>
            </w:tcBorders>
            <w:shd w:val="clear" w:color="auto" w:fill="auto"/>
            <w:vAlign w:val="center"/>
          </w:tcPr>
          <w:p w14:paraId="285F1BED"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sz w:val="20"/>
                <w:szCs w:val="20"/>
              </w:rPr>
              <w:t>p-value</w:t>
            </w:r>
          </w:p>
        </w:tc>
      </w:tr>
      <w:tr w:rsidR="00D73D20" w:rsidRPr="00AD7238" w14:paraId="69A8A025" w14:textId="77777777">
        <w:tc>
          <w:tcPr>
            <w:tcW w:w="649" w:type="dxa"/>
            <w:vMerge/>
            <w:tcBorders>
              <w:left w:val="single" w:sz="2" w:space="0" w:color="000000"/>
              <w:bottom w:val="single" w:sz="2" w:space="0" w:color="000000"/>
              <w:right w:val="single" w:sz="2" w:space="0" w:color="000000"/>
            </w:tcBorders>
            <w:shd w:val="clear" w:color="auto" w:fill="auto"/>
            <w:vAlign w:val="center"/>
          </w:tcPr>
          <w:p w14:paraId="3568A4AD"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p>
        </w:tc>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824436"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w w:val="99"/>
                <w:sz w:val="20"/>
                <w:szCs w:val="20"/>
              </w:rPr>
              <w:t>N</w:t>
            </w:r>
          </w:p>
        </w:tc>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7F8A68"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sz w:val="20"/>
                <w:szCs w:val="20"/>
              </w:rPr>
              <w:t>n</w:t>
            </w:r>
          </w:p>
        </w:tc>
        <w:tc>
          <w:tcPr>
            <w:tcW w:w="8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ED99DD" w14:textId="77777777" w:rsidR="00D73D20" w:rsidRPr="00AD7238" w:rsidRDefault="00D73D20" w:rsidP="004C3425">
            <w:pPr>
              <w:keepNext/>
              <w:keepLines/>
              <w:kinsoku w:val="0"/>
              <w:overflowPunct w:val="0"/>
              <w:autoSpaceDE w:val="0"/>
              <w:autoSpaceDN w:val="0"/>
              <w:adjustRightInd w:val="0"/>
              <w:spacing w:line="227" w:lineRule="exact"/>
              <w:ind w:right="25"/>
              <w:jc w:val="center"/>
              <w:rPr>
                <w:rFonts w:ascii="Arial Narrow" w:hAnsi="Arial Narrow" w:cs="Times New Roman"/>
                <w:sz w:val="20"/>
                <w:szCs w:val="20"/>
              </w:rPr>
            </w:pPr>
            <w:r w:rsidRPr="00AD7238">
              <w:rPr>
                <w:rFonts w:ascii="Arial Narrow" w:hAnsi="Arial Narrow" w:cs="Arial Narrow"/>
                <w:b/>
                <w:bCs/>
                <w:sz w:val="20"/>
                <w:szCs w:val="20"/>
              </w:rPr>
              <w:t>T (year)</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348436" w14:textId="77777777" w:rsidR="00D73D20" w:rsidRPr="00AD7238" w:rsidRDefault="00D73D20" w:rsidP="004C3425">
            <w:pPr>
              <w:keepNext/>
              <w:keepLines/>
              <w:kinsoku w:val="0"/>
              <w:overflowPunct w:val="0"/>
              <w:autoSpaceDE w:val="0"/>
              <w:autoSpaceDN w:val="0"/>
              <w:adjustRightInd w:val="0"/>
              <w:spacing w:line="227" w:lineRule="exact"/>
              <w:ind w:right="87"/>
              <w:jc w:val="center"/>
              <w:rPr>
                <w:rFonts w:ascii="Arial Narrow" w:hAnsi="Arial Narrow" w:cs="Times New Roman"/>
                <w:sz w:val="20"/>
                <w:szCs w:val="20"/>
              </w:rPr>
            </w:pPr>
            <w:r w:rsidRPr="00AD7238">
              <w:rPr>
                <w:rFonts w:ascii="Arial Narrow" w:hAnsi="Arial Narrow" w:cs="Arial Narrow"/>
                <w:b/>
                <w:bCs/>
                <w:sz w:val="20"/>
                <w:szCs w:val="20"/>
              </w:rPr>
              <w:t>n/T (per 1000)</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C0C5B1"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w w:val="99"/>
                <w:sz w:val="20"/>
                <w:szCs w:val="20"/>
              </w:rPr>
              <w:t>N</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6CC203"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w w:val="99"/>
                <w:sz w:val="20"/>
                <w:szCs w:val="20"/>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5BCC19" w14:textId="77777777" w:rsidR="00D73D20" w:rsidRPr="00AD7238" w:rsidRDefault="00D73D20" w:rsidP="004C3425">
            <w:pPr>
              <w:keepNext/>
              <w:keepLines/>
              <w:kinsoku w:val="0"/>
              <w:overflowPunct w:val="0"/>
              <w:autoSpaceDE w:val="0"/>
              <w:autoSpaceDN w:val="0"/>
              <w:adjustRightInd w:val="0"/>
              <w:spacing w:line="227" w:lineRule="exact"/>
              <w:jc w:val="center"/>
              <w:rPr>
                <w:rFonts w:ascii="Arial Narrow" w:hAnsi="Arial Narrow" w:cs="Times New Roman"/>
                <w:sz w:val="20"/>
                <w:szCs w:val="20"/>
              </w:rPr>
            </w:pPr>
            <w:r w:rsidRPr="00AD7238">
              <w:rPr>
                <w:rFonts w:ascii="Arial Narrow" w:hAnsi="Arial Narrow" w:cs="Arial Narrow"/>
                <w:b/>
                <w:bCs/>
                <w:sz w:val="20"/>
                <w:szCs w:val="20"/>
              </w:rPr>
              <w:t>T (year)</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B1C137" w14:textId="77777777" w:rsidR="00D73D20" w:rsidRPr="00AD7238" w:rsidRDefault="00D73D20" w:rsidP="004C3425">
            <w:pPr>
              <w:keepNext/>
              <w:keepLines/>
              <w:kinsoku w:val="0"/>
              <w:overflowPunct w:val="0"/>
              <w:autoSpaceDE w:val="0"/>
              <w:autoSpaceDN w:val="0"/>
              <w:adjustRightInd w:val="0"/>
              <w:spacing w:line="227" w:lineRule="exact"/>
              <w:ind w:right="91"/>
              <w:jc w:val="center"/>
              <w:rPr>
                <w:rFonts w:ascii="Arial Narrow" w:hAnsi="Arial Narrow" w:cs="Times New Roman"/>
                <w:sz w:val="20"/>
                <w:szCs w:val="20"/>
              </w:rPr>
            </w:pPr>
            <w:r w:rsidRPr="00AD7238">
              <w:rPr>
                <w:rFonts w:ascii="Arial Narrow" w:hAnsi="Arial Narrow" w:cs="Arial Narrow"/>
                <w:b/>
                <w:bCs/>
                <w:sz w:val="20"/>
                <w:szCs w:val="20"/>
              </w:rPr>
              <w:t>n/T (per 1000)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4DFE33" w14:textId="77777777" w:rsidR="00D73D20" w:rsidRPr="00AD7238" w:rsidRDefault="00D73D20" w:rsidP="004C3425">
            <w:pPr>
              <w:keepNext/>
              <w:keepLines/>
              <w:kinsoku w:val="0"/>
              <w:overflowPunct w:val="0"/>
              <w:autoSpaceDE w:val="0"/>
              <w:autoSpaceDN w:val="0"/>
              <w:adjustRightInd w:val="0"/>
              <w:spacing w:line="227" w:lineRule="exact"/>
              <w:ind w:right="45"/>
              <w:jc w:val="center"/>
              <w:rPr>
                <w:rFonts w:ascii="Arial Narrow" w:hAnsi="Arial Narrow" w:cs="Times New Roman"/>
                <w:sz w:val="20"/>
                <w:szCs w:val="20"/>
              </w:rPr>
            </w:pPr>
            <w:r w:rsidRPr="00AD7238">
              <w:rPr>
                <w:rFonts w:ascii="Arial Narrow" w:hAnsi="Arial Narrow" w:cs="Arial Narrow"/>
                <w:b/>
                <w:bCs/>
                <w:sz w:val="20"/>
                <w:szCs w:val="20"/>
              </w:rPr>
              <w:t>(%)</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DAC3D" w14:textId="77777777" w:rsidR="00D73D20" w:rsidRPr="00AD7238" w:rsidRDefault="00D73D20" w:rsidP="004C3425">
            <w:pPr>
              <w:keepNext/>
              <w:keepLines/>
              <w:kinsoku w:val="0"/>
              <w:overflowPunct w:val="0"/>
              <w:autoSpaceDE w:val="0"/>
              <w:autoSpaceDN w:val="0"/>
              <w:adjustRightInd w:val="0"/>
              <w:spacing w:line="227" w:lineRule="exact"/>
              <w:ind w:right="41"/>
              <w:jc w:val="center"/>
              <w:rPr>
                <w:rFonts w:ascii="Arial Narrow" w:hAnsi="Arial Narrow" w:cs="Times New Roman"/>
                <w:sz w:val="20"/>
                <w:szCs w:val="20"/>
              </w:rPr>
            </w:pPr>
            <w:r w:rsidRPr="00AD7238">
              <w:rPr>
                <w:rFonts w:ascii="Arial Narrow" w:hAnsi="Arial Narrow" w:cs="Arial Narrow"/>
                <w:b/>
                <w:bCs/>
                <w:sz w:val="20"/>
                <w:szCs w:val="20"/>
              </w:rPr>
              <w:t>Lower 95% CI</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658577" w14:textId="77777777" w:rsidR="00D73D20" w:rsidRPr="00AD7238" w:rsidRDefault="00D73D20" w:rsidP="004C3425">
            <w:pPr>
              <w:keepNext/>
              <w:keepLines/>
              <w:kinsoku w:val="0"/>
              <w:overflowPunct w:val="0"/>
              <w:autoSpaceDE w:val="0"/>
              <w:autoSpaceDN w:val="0"/>
              <w:adjustRightInd w:val="0"/>
              <w:spacing w:line="227" w:lineRule="exact"/>
              <w:ind w:right="48"/>
              <w:jc w:val="center"/>
              <w:rPr>
                <w:rFonts w:ascii="Arial Narrow" w:hAnsi="Arial Narrow" w:cs="Times New Roman"/>
                <w:sz w:val="20"/>
                <w:szCs w:val="20"/>
              </w:rPr>
            </w:pPr>
            <w:r w:rsidRPr="00AD7238">
              <w:rPr>
                <w:rFonts w:ascii="Arial Narrow" w:hAnsi="Arial Narrow" w:cs="Arial Narrow"/>
                <w:b/>
                <w:bCs/>
                <w:sz w:val="20"/>
                <w:szCs w:val="20"/>
              </w:rPr>
              <w:t>Upper 95% CI</w:t>
            </w:r>
          </w:p>
        </w:tc>
        <w:tc>
          <w:tcPr>
            <w:tcW w:w="708" w:type="dxa"/>
            <w:vMerge/>
            <w:tcBorders>
              <w:left w:val="single" w:sz="2" w:space="0" w:color="000000"/>
              <w:bottom w:val="single" w:sz="2" w:space="0" w:color="000000"/>
              <w:right w:val="single" w:sz="2" w:space="0" w:color="000000"/>
            </w:tcBorders>
            <w:shd w:val="clear" w:color="auto" w:fill="auto"/>
          </w:tcPr>
          <w:p w14:paraId="38BDEFE3" w14:textId="77777777" w:rsidR="00D73D20" w:rsidRPr="00AD7238" w:rsidRDefault="00D73D20" w:rsidP="004C3425">
            <w:pPr>
              <w:keepNext/>
              <w:keepLines/>
              <w:kinsoku w:val="0"/>
              <w:overflowPunct w:val="0"/>
              <w:autoSpaceDE w:val="0"/>
              <w:autoSpaceDN w:val="0"/>
              <w:adjustRightInd w:val="0"/>
              <w:spacing w:line="227" w:lineRule="exact"/>
              <w:rPr>
                <w:rFonts w:ascii="Arial Narrow" w:hAnsi="Arial Narrow" w:cs="Times New Roman"/>
                <w:sz w:val="20"/>
                <w:szCs w:val="20"/>
              </w:rPr>
            </w:pPr>
          </w:p>
        </w:tc>
      </w:tr>
      <w:tr w:rsidR="00D73D20" w:rsidRPr="00AD7238" w14:paraId="0063A029" w14:textId="77777777">
        <w:tc>
          <w:tcPr>
            <w:tcW w:w="9069" w:type="dxa"/>
            <w:gridSpan w:val="13"/>
            <w:tcBorders>
              <w:top w:val="single" w:sz="2" w:space="0" w:color="000000"/>
              <w:left w:val="single" w:sz="2" w:space="0" w:color="000000"/>
              <w:bottom w:val="single" w:sz="2" w:space="0" w:color="000000"/>
              <w:right w:val="single" w:sz="2" w:space="0" w:color="000000"/>
            </w:tcBorders>
          </w:tcPr>
          <w:p w14:paraId="05148CA1" w14:textId="3A43707D" w:rsidR="00D73D20" w:rsidRPr="00AD7238" w:rsidRDefault="00D73D20" w:rsidP="004C3425">
            <w:pPr>
              <w:pStyle w:val="TableText0"/>
              <w:keepLines/>
              <w:rPr>
                <w:rFonts w:ascii="Calibri" w:hAnsi="Calibri" w:cs="Calibri"/>
                <w:b/>
                <w:bCs w:val="0"/>
              </w:rPr>
            </w:pPr>
            <w:r w:rsidRPr="00AD7238">
              <w:rPr>
                <w:b/>
                <w:bCs w:val="0"/>
              </w:rPr>
              <w:t>VE</w:t>
            </w:r>
            <w:r w:rsidRPr="00AD7238">
              <w:rPr>
                <w:b/>
                <w:bCs w:val="0"/>
                <w:sz w:val="13"/>
                <w:szCs w:val="13"/>
              </w:rPr>
              <w:t xml:space="preserve">HZ </w:t>
            </w:r>
            <w:r w:rsidRPr="00AD7238">
              <w:rPr>
                <w:b/>
                <w:bCs w:val="0"/>
              </w:rPr>
              <w:t>in ZOSTER-</w:t>
            </w:r>
            <w:r w:rsidRPr="006E790F">
              <w:rPr>
                <w:b/>
                <w:bCs w:val="0"/>
              </w:rPr>
              <w:t xml:space="preserve">049 after 4 years of follow-up </w:t>
            </w:r>
          </w:p>
        </w:tc>
      </w:tr>
      <w:tr w:rsidR="00D73D20" w:rsidRPr="00AD7238" w14:paraId="6A24E366" w14:textId="77777777" w:rsidTr="002830D4">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3E3B2" w14:textId="2DC9CF21" w:rsidR="00D73D20" w:rsidRPr="00AD7238" w:rsidRDefault="00D73D20"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r w:rsidRPr="00AD7238">
              <w:rPr>
                <w:rFonts w:ascii="Arial Narrow" w:hAnsi="Arial Narrow" w:cs="Arial Narrow"/>
                <w:sz w:val="20"/>
                <w:szCs w:val="20"/>
              </w:rPr>
              <w:t>Overall</w:t>
            </w:r>
            <w:r w:rsidRPr="00AD7238">
              <w:rPr>
                <w:rFonts w:ascii="Arial Narrow" w:hAnsi="Arial Narrow" w:cs="Arial Narrow"/>
                <w:sz w:val="20"/>
                <w:szCs w:val="20"/>
                <w:vertAlign w:val="superscript"/>
              </w:rPr>
              <w:t>a</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7542C9E0" w14:textId="5AEFB68D" w:rsidR="00D73D20" w:rsidRPr="00AD7238" w:rsidRDefault="00D73D20" w:rsidP="004C3425">
            <w:pPr>
              <w:pStyle w:val="TableText0"/>
              <w:keepLines/>
              <w:jc w:val="center"/>
            </w:pPr>
            <w:r w:rsidRPr="00AD7238">
              <w:t>7,277</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1E479705" w14:textId="21A891D7" w:rsidR="00D73D20" w:rsidRPr="00AD7238" w:rsidRDefault="00D73D20" w:rsidP="004C3425">
            <w:pPr>
              <w:pStyle w:val="TableText0"/>
              <w:keepLines/>
              <w:jc w:val="center"/>
            </w:pPr>
            <w:r w:rsidRPr="00AD7238">
              <w:t>52</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3B7960BA" w14:textId="0F614534" w:rsidR="00D73D20" w:rsidRPr="00AD7238" w:rsidRDefault="00D73D20" w:rsidP="004C3425">
            <w:pPr>
              <w:pStyle w:val="TableText0"/>
              <w:keepLines/>
              <w:jc w:val="center"/>
            </w:pPr>
            <w:r w:rsidRPr="00AD7238">
              <w:t>32,673.8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A80851B" w14:textId="6287D0C7" w:rsidR="00D73D20" w:rsidRPr="00AD7238" w:rsidRDefault="00D73D20" w:rsidP="004C3425">
            <w:pPr>
              <w:pStyle w:val="TableText0"/>
              <w:keepLines/>
              <w:jc w:val="center"/>
            </w:pPr>
            <w:r w:rsidRPr="00AD7238">
              <w:t>1.64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F7F25DC" w14:textId="0079FA66" w:rsidR="00D73D20" w:rsidRPr="00AD7238" w:rsidRDefault="00D73D20" w:rsidP="004C3425">
            <w:pPr>
              <w:pStyle w:val="TableText0"/>
              <w:keepLines/>
              <w:jc w:val="center"/>
            </w:pPr>
            <w:r w:rsidRPr="00AD7238">
              <w:t>7,277</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BDC6CF1" w14:textId="051E8FA9" w:rsidR="00D73D20" w:rsidRPr="00AD7238" w:rsidRDefault="00D73D20" w:rsidP="004C3425">
            <w:pPr>
              <w:pStyle w:val="TableText0"/>
              <w:keepLines/>
              <w:jc w:val="center"/>
            </w:pPr>
            <w:r w:rsidRPr="00AD7238">
              <w:t>283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24C5BDA" w14:textId="4B9A9A4E" w:rsidR="00D73D20" w:rsidRPr="00AD7238" w:rsidRDefault="00D73D20" w:rsidP="004C3425">
            <w:pPr>
              <w:pStyle w:val="TableText0"/>
              <w:keepLines/>
              <w:jc w:val="center"/>
            </w:pPr>
            <w:r w:rsidRPr="00AD7238">
              <w:t>32,673.8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66C8F3D" w14:textId="43DB355A" w:rsidR="00D73D20" w:rsidRPr="00AD7238" w:rsidRDefault="00D73D20" w:rsidP="004C3425">
            <w:pPr>
              <w:pStyle w:val="TableText0"/>
              <w:keepLines/>
              <w:jc w:val="center"/>
            </w:pPr>
            <w:r w:rsidRPr="00AD7238">
              <w:t>8.7</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1DBFF738" w14:textId="278C13AA" w:rsidR="00D73D20" w:rsidRPr="00AD7238" w:rsidRDefault="00D73D20" w:rsidP="004C3425">
            <w:pPr>
              <w:pStyle w:val="TableText0"/>
              <w:keepLines/>
              <w:jc w:val="center"/>
            </w:pPr>
            <w:r w:rsidRPr="00AD7238">
              <w:t>81.6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87BF3F0" w14:textId="61843257" w:rsidR="00D73D20" w:rsidRPr="00AD7238" w:rsidRDefault="00D73D20" w:rsidP="004C3425">
            <w:pPr>
              <w:pStyle w:val="TableText0"/>
              <w:keepLines/>
              <w:jc w:val="center"/>
            </w:pPr>
            <w:r w:rsidRPr="00AD7238">
              <w:t>75.9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64A1ACC" w14:textId="1F92E5BC" w:rsidR="00D73D20" w:rsidRPr="00AD7238" w:rsidRDefault="00D73D20" w:rsidP="004C3425">
            <w:pPr>
              <w:pStyle w:val="TableText0"/>
              <w:keepLines/>
              <w:jc w:val="center"/>
            </w:pPr>
            <w:r w:rsidRPr="00AD7238">
              <w:t>89.8</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13F2F16F" w14:textId="6E326D2A" w:rsidR="00D73D20" w:rsidRPr="00AD7238" w:rsidRDefault="00D73D20" w:rsidP="004C3425">
            <w:pPr>
              <w:pStyle w:val="TableText0"/>
              <w:keepLines/>
              <w:jc w:val="center"/>
            </w:pPr>
            <w:r w:rsidRPr="00AD7238">
              <w:t>&lt;0.0001</w:t>
            </w:r>
          </w:p>
        </w:tc>
      </w:tr>
      <w:tr w:rsidR="00D73D20" w:rsidRPr="00AD7238" w14:paraId="126247F6" w14:textId="77777777">
        <w:tc>
          <w:tcPr>
            <w:tcW w:w="9069" w:type="dxa"/>
            <w:gridSpan w:val="13"/>
            <w:tcBorders>
              <w:top w:val="single" w:sz="2" w:space="0" w:color="000000"/>
              <w:left w:val="single" w:sz="2" w:space="0" w:color="000000"/>
              <w:bottom w:val="single" w:sz="2" w:space="0" w:color="000000"/>
              <w:right w:val="single" w:sz="2" w:space="0" w:color="000000"/>
            </w:tcBorders>
          </w:tcPr>
          <w:p w14:paraId="2434A31D" w14:textId="77777777" w:rsidR="00D73D20" w:rsidRPr="00AD7238" w:rsidRDefault="00D73D20" w:rsidP="004C3425">
            <w:pPr>
              <w:pStyle w:val="TableText0"/>
              <w:keepLines/>
              <w:rPr>
                <w:b/>
              </w:rPr>
            </w:pPr>
            <w:r w:rsidRPr="00AD7238">
              <w:rPr>
                <w:b/>
              </w:rPr>
              <w:t>VE</w:t>
            </w:r>
            <w:r w:rsidRPr="00AD7238">
              <w:rPr>
                <w:b/>
                <w:sz w:val="13"/>
                <w:szCs w:val="13"/>
              </w:rPr>
              <w:t xml:space="preserve">HZ </w:t>
            </w:r>
            <w:r w:rsidRPr="00AD7238">
              <w:rPr>
                <w:b/>
              </w:rPr>
              <w:t>from 1-month post-dose 2 in the ZOE-50/-70 trials</w:t>
            </w:r>
          </w:p>
        </w:tc>
      </w:tr>
      <w:tr w:rsidR="00FD7604" w:rsidRPr="00AD7238" w14:paraId="0300E046" w14:textId="77777777" w:rsidTr="002830D4">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6F5339" w14:textId="1919FEFA"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4CD8AE03" w14:textId="4E6C7FDC" w:rsidR="00FD7604" w:rsidRPr="00AD7238" w:rsidRDefault="00FD7604" w:rsidP="004C3425">
            <w:pPr>
              <w:pStyle w:val="TableText0"/>
              <w:keepLines/>
              <w:jc w:val="center"/>
            </w:pPr>
            <w:r w:rsidRPr="00AD7238">
              <w:t>13,881</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2F98900B" w14:textId="33720180" w:rsidR="00FD7604" w:rsidRPr="00AD7238" w:rsidRDefault="00FD7604" w:rsidP="004C3425">
            <w:pPr>
              <w:pStyle w:val="TableText0"/>
              <w:keepLines/>
              <w:jc w:val="center"/>
            </w:pPr>
            <w:r w:rsidRPr="00AD7238">
              <w:t>84</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0ADABF81" w14:textId="37B05887" w:rsidR="00FD7604" w:rsidRPr="00AD7238" w:rsidRDefault="00FD7604" w:rsidP="004C3425">
            <w:pPr>
              <w:pStyle w:val="TableText0"/>
              <w:keepLines/>
              <w:jc w:val="center"/>
            </w:pPr>
            <w:r w:rsidRPr="00AD7238">
              <w:t>85,796.7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4F1729C" w14:textId="03410265" w:rsidR="00FD7604" w:rsidRPr="00AD7238" w:rsidRDefault="00FD7604" w:rsidP="004C3425">
            <w:pPr>
              <w:pStyle w:val="TableText0"/>
              <w:keepLines/>
              <w:jc w:val="center"/>
            </w:pPr>
            <w:r w:rsidRPr="00AD7238">
              <w:t>1.0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DC68DBC" w14:textId="70059DE0" w:rsidR="00FD7604" w:rsidRPr="00AD7238" w:rsidRDefault="00FD7604" w:rsidP="004C3425">
            <w:pPr>
              <w:pStyle w:val="TableText0"/>
              <w:keepLines/>
              <w:jc w:val="center"/>
            </w:pPr>
            <w:r w:rsidRPr="00AD7238">
              <w:t>13,881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5382E95" w14:textId="22869BA1" w:rsidR="00FD7604" w:rsidRPr="00AD7238" w:rsidRDefault="00FD7604" w:rsidP="004C3425">
            <w:pPr>
              <w:pStyle w:val="TableText0"/>
              <w:keepLines/>
              <w:jc w:val="center"/>
            </w:pPr>
            <w:r w:rsidRPr="00AD7238">
              <w:t>785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75FAFF7" w14:textId="210D46A2" w:rsidR="00FD7604" w:rsidRPr="00AD7238" w:rsidRDefault="00FD7604" w:rsidP="004C3425">
            <w:pPr>
              <w:pStyle w:val="TableText0"/>
              <w:keepLines/>
              <w:jc w:val="center"/>
            </w:pPr>
            <w:r w:rsidRPr="00AD7238">
              <w:t>85,796.7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0CEE8C85" w14:textId="155B71D9" w:rsidR="00FD7604" w:rsidRPr="00AD7238" w:rsidRDefault="00FD7604" w:rsidP="004C3425">
            <w:pPr>
              <w:pStyle w:val="TableText0"/>
              <w:keepLines/>
              <w:jc w:val="center"/>
            </w:pPr>
            <w:r w:rsidRPr="00AD7238">
              <w:t>8.9</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36919279" w14:textId="702B3FC3" w:rsidR="00FD7604" w:rsidRPr="00AD7238" w:rsidRDefault="00FD7604" w:rsidP="004C3425">
            <w:pPr>
              <w:pStyle w:val="TableText0"/>
              <w:keepLines/>
              <w:jc w:val="center"/>
            </w:pPr>
            <w:r w:rsidRPr="00AD7238">
              <w:t>89.0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9AD02BA" w14:textId="463A02F1" w:rsidR="00FD7604" w:rsidRPr="00AD7238" w:rsidRDefault="00FD7604" w:rsidP="004C3425">
            <w:pPr>
              <w:pStyle w:val="TableText0"/>
              <w:keepLines/>
              <w:jc w:val="center"/>
            </w:pPr>
            <w:r w:rsidRPr="00AD7238">
              <w:t>88.2,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4D4E5A15" w14:textId="3A8FAEFE" w:rsidR="00FD7604" w:rsidRPr="00AD7238" w:rsidRDefault="00FD7604" w:rsidP="004C3425">
            <w:pPr>
              <w:pStyle w:val="TableText0"/>
              <w:keepLines/>
              <w:jc w:val="center"/>
            </w:pPr>
            <w:r w:rsidRPr="00AD7238">
              <w:t>93.2</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51E2C087" w14:textId="35391F24" w:rsidR="00FD7604" w:rsidRPr="00AD7238" w:rsidRDefault="00FD7604" w:rsidP="004C3425">
            <w:pPr>
              <w:pStyle w:val="TableText0"/>
              <w:keepLines/>
              <w:jc w:val="center"/>
            </w:pPr>
            <w:r w:rsidRPr="00AD7238">
              <w:t>&lt;0.0001</w:t>
            </w:r>
          </w:p>
        </w:tc>
      </w:tr>
      <w:tr w:rsidR="00FD7604" w:rsidRPr="00AD7238" w14:paraId="35F6F9A0" w14:textId="77777777" w:rsidTr="002830D4">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A8A01D" w14:textId="720F78FC"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r w:rsidRPr="00AD7238">
              <w:rPr>
                <w:rFonts w:ascii="Arial Narrow" w:hAnsi="Arial Narrow" w:cs="Arial Narrow"/>
                <w:sz w:val="20"/>
                <w:szCs w:val="20"/>
              </w:rPr>
              <w:t>Year 1</w:t>
            </w:r>
            <w:r w:rsidRPr="00AD7238">
              <w:rPr>
                <w:rFonts w:ascii="Arial Narrow" w:hAnsi="Arial Narrow" w:cs="Arial Narrow"/>
                <w:sz w:val="20"/>
                <w:szCs w:val="20"/>
                <w:vertAlign w:val="superscript"/>
              </w:rPr>
              <w:t>b</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07136BB5" w14:textId="6B6C6BE3" w:rsidR="00FD7604" w:rsidRPr="00AD7238" w:rsidRDefault="00FD7604" w:rsidP="004C3425">
            <w:pPr>
              <w:pStyle w:val="TableText0"/>
              <w:keepLines/>
              <w:jc w:val="center"/>
            </w:pPr>
            <w:r w:rsidRPr="00AD7238">
              <w:t>13,881</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0F17A9D7" w14:textId="3973CC11" w:rsidR="00FD7604" w:rsidRPr="00AD7238" w:rsidRDefault="00FD7604" w:rsidP="004C3425">
            <w:pPr>
              <w:pStyle w:val="TableText0"/>
              <w:keepLines/>
              <w:jc w:val="center"/>
            </w:pPr>
            <w:r w:rsidRPr="00AD7238">
              <w:t>3</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19DB6198" w14:textId="2A687188" w:rsidR="00FD7604" w:rsidRPr="00AD7238" w:rsidRDefault="00FD7604" w:rsidP="004C3425">
            <w:pPr>
              <w:pStyle w:val="TableText0"/>
              <w:keepLines/>
              <w:jc w:val="center"/>
            </w:pPr>
            <w:r w:rsidRPr="00AD7238">
              <w:t>13,744.5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03BB872" w14:textId="1A589612" w:rsidR="00FD7604" w:rsidRPr="00AD7238" w:rsidRDefault="00FD7604" w:rsidP="004C3425">
            <w:pPr>
              <w:pStyle w:val="TableText0"/>
              <w:keepLines/>
              <w:jc w:val="center"/>
            </w:pPr>
            <w:r w:rsidRPr="00AD7238">
              <w:t>0.2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E1FB80B" w14:textId="5381F912" w:rsidR="00FD7604" w:rsidRPr="00AD7238" w:rsidRDefault="00FD7604" w:rsidP="004C3425">
            <w:pPr>
              <w:pStyle w:val="TableText0"/>
              <w:keepLines/>
              <w:jc w:val="center"/>
            </w:pPr>
            <w:r w:rsidRPr="00AD7238">
              <w:t>14,045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1E4548B" w14:textId="3C3CFAC9" w:rsidR="00FD7604" w:rsidRPr="00AD7238" w:rsidRDefault="00FD7604" w:rsidP="004C3425">
            <w:pPr>
              <w:pStyle w:val="TableText0"/>
              <w:keepLines/>
              <w:jc w:val="center"/>
            </w:pPr>
            <w:r w:rsidRPr="00AD7238">
              <w:t>130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F8C041B" w14:textId="0A6DC34B" w:rsidR="00FD7604" w:rsidRPr="00AD7238" w:rsidRDefault="00FD7604" w:rsidP="004C3425">
            <w:pPr>
              <w:pStyle w:val="TableText0"/>
              <w:keepLines/>
              <w:jc w:val="center"/>
            </w:pPr>
            <w:r w:rsidRPr="00AD7238">
              <w:t>13,823.3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29864EB6" w14:textId="392978A7" w:rsidR="00FD7604" w:rsidRPr="00AD7238" w:rsidRDefault="00FD7604" w:rsidP="004C3425">
            <w:pPr>
              <w:pStyle w:val="TableText0"/>
              <w:keepLines/>
              <w:jc w:val="center"/>
            </w:pPr>
            <w:r w:rsidRPr="00AD7238">
              <w:t>9.4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208670DD" w14:textId="1CA0780B" w:rsidR="00FD7604" w:rsidRPr="00AD7238" w:rsidRDefault="00FD7604" w:rsidP="004C3425">
            <w:pPr>
              <w:pStyle w:val="TableText0"/>
              <w:keepLines/>
              <w:jc w:val="center"/>
            </w:pPr>
            <w:r w:rsidRPr="00AD7238">
              <w:t>97.7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0A49278" w14:textId="5329ED20" w:rsidR="00FD7604" w:rsidRPr="00AD7238" w:rsidRDefault="00FD7604" w:rsidP="004C3425">
            <w:pPr>
              <w:pStyle w:val="TableText0"/>
              <w:keepLines/>
              <w:jc w:val="center"/>
            </w:pPr>
            <w:r w:rsidRPr="00AD7238">
              <w:t>93.1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493EAAD" w14:textId="0A7AC822" w:rsidR="00FD7604" w:rsidRPr="00AD7238" w:rsidRDefault="00FD7604" w:rsidP="004C3425">
            <w:pPr>
              <w:pStyle w:val="TableText0"/>
              <w:keepLines/>
              <w:jc w:val="center"/>
            </w:pPr>
            <w:r w:rsidRPr="00AD7238">
              <w:t>99.5</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599EA399" w14:textId="235C7C39" w:rsidR="00FD7604" w:rsidRPr="00AD7238" w:rsidRDefault="00FD7604" w:rsidP="004C3425">
            <w:pPr>
              <w:pStyle w:val="TableText0"/>
              <w:keepLines/>
              <w:jc w:val="center"/>
            </w:pPr>
            <w:r w:rsidRPr="00AD7238">
              <w:t>&lt;0.0001</w:t>
            </w:r>
          </w:p>
        </w:tc>
      </w:tr>
      <w:tr w:rsidR="00FD7604" w:rsidRPr="00AD7238" w14:paraId="5A215FBC" w14:textId="77777777" w:rsidTr="002830D4">
        <w:trPr>
          <w:trHeight w:val="63"/>
        </w:trPr>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D34F2E" w14:textId="56A14D49"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r w:rsidRPr="00AD7238">
              <w:rPr>
                <w:rFonts w:ascii="Arial Narrow" w:hAnsi="Arial Narrow" w:cs="Arial Narrow"/>
                <w:sz w:val="20"/>
                <w:szCs w:val="20"/>
              </w:rPr>
              <w:t>Year 2</w:t>
            </w:r>
            <w:r w:rsidRPr="00AD7238">
              <w:rPr>
                <w:rFonts w:ascii="Arial Narrow" w:hAnsi="Arial Narrow" w:cs="Arial Narrow"/>
                <w:sz w:val="20"/>
                <w:szCs w:val="20"/>
                <w:vertAlign w:val="superscript"/>
              </w:rPr>
              <w:t>b</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6B9192AA" w14:textId="2E164F34" w:rsidR="00FD7604" w:rsidRPr="00AD7238" w:rsidRDefault="00FD7604" w:rsidP="004C3425">
            <w:pPr>
              <w:pStyle w:val="TableText0"/>
              <w:keepLines/>
              <w:jc w:val="center"/>
            </w:pPr>
            <w:r w:rsidRPr="00AD7238">
              <w:t>13,569</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4AB486BB" w14:textId="28E95615" w:rsidR="00FD7604" w:rsidRPr="00AD7238" w:rsidRDefault="00FD7604" w:rsidP="004C3425">
            <w:pPr>
              <w:pStyle w:val="TableText0"/>
              <w:keepLines/>
              <w:jc w:val="center"/>
            </w:pPr>
            <w:r w:rsidRPr="00AD7238">
              <w:t>10</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0AA1A142" w14:textId="1A983574" w:rsidR="00FD7604" w:rsidRPr="00AD7238" w:rsidRDefault="00FD7604" w:rsidP="004C3425">
            <w:pPr>
              <w:pStyle w:val="TableText0"/>
              <w:keepLines/>
              <w:jc w:val="center"/>
            </w:pPr>
            <w:r w:rsidRPr="00AD7238">
              <w:t>13,415.6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5B414F9" w14:textId="39D825CB" w:rsidR="00FD7604" w:rsidRPr="00AD7238" w:rsidRDefault="00FD7604" w:rsidP="004C3425">
            <w:pPr>
              <w:pStyle w:val="TableText0"/>
              <w:keepLines/>
              <w:jc w:val="center"/>
            </w:pPr>
            <w:r w:rsidRPr="00AD7238">
              <w:t>0.7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89596E9" w14:textId="342EA940" w:rsidR="00FD7604" w:rsidRPr="00AD7238" w:rsidRDefault="00FD7604" w:rsidP="004C3425">
            <w:pPr>
              <w:pStyle w:val="TableText0"/>
              <w:keepLines/>
              <w:jc w:val="center"/>
            </w:pPr>
            <w:r w:rsidRPr="00AD7238">
              <w:t>13,564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3DCB2543" w14:textId="7D1FC12E" w:rsidR="00FD7604" w:rsidRPr="00AD7238" w:rsidRDefault="00FD7604" w:rsidP="004C3425">
            <w:pPr>
              <w:pStyle w:val="TableText0"/>
              <w:keepLines/>
              <w:jc w:val="center"/>
            </w:pPr>
            <w:r w:rsidRPr="00AD7238">
              <w:t>136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5615328" w14:textId="4643061C" w:rsidR="00FD7604" w:rsidRPr="00AD7238" w:rsidRDefault="00FD7604" w:rsidP="004C3425">
            <w:pPr>
              <w:pStyle w:val="TableText0"/>
              <w:keepLines/>
              <w:jc w:val="center"/>
            </w:pPr>
            <w:r w:rsidRPr="00AD7238">
              <w:t>13,332.5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71BFFADF" w14:textId="17DAD95A" w:rsidR="00FD7604" w:rsidRPr="00AD7238" w:rsidRDefault="00FD7604" w:rsidP="004C3425">
            <w:pPr>
              <w:pStyle w:val="TableText0"/>
              <w:keepLines/>
              <w:jc w:val="center"/>
            </w:pPr>
            <w:r w:rsidRPr="00AD7238">
              <w:t>10.2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6D0838F1" w14:textId="0B89719B" w:rsidR="00FD7604" w:rsidRPr="00AD7238" w:rsidRDefault="00FD7604" w:rsidP="004C3425">
            <w:pPr>
              <w:pStyle w:val="TableText0"/>
              <w:keepLines/>
              <w:jc w:val="center"/>
            </w:pPr>
            <w:r w:rsidRPr="00AD7238">
              <w:t>92.7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F7D602C" w14:textId="32D80CC5" w:rsidR="00FD7604" w:rsidRPr="00AD7238" w:rsidRDefault="00FD7604" w:rsidP="004C3425">
            <w:pPr>
              <w:pStyle w:val="TableText0"/>
              <w:keepLines/>
              <w:jc w:val="center"/>
            </w:pPr>
            <w:r w:rsidRPr="00AD7238">
              <w:t>86.2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7DF641B" w14:textId="256EA3A8" w:rsidR="00FD7604" w:rsidRPr="00AD7238" w:rsidRDefault="00FD7604" w:rsidP="004C3425">
            <w:pPr>
              <w:pStyle w:val="TableText0"/>
              <w:keepLines/>
              <w:jc w:val="center"/>
            </w:pPr>
            <w:r w:rsidRPr="00AD7238">
              <w:t>96.6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10103DD9" w14:textId="20891F74" w:rsidR="00FD7604" w:rsidRPr="00AD7238" w:rsidRDefault="00FD7604" w:rsidP="004C3425">
            <w:pPr>
              <w:pStyle w:val="TableText0"/>
              <w:keepLines/>
              <w:jc w:val="center"/>
            </w:pPr>
            <w:r w:rsidRPr="00AD7238">
              <w:t>&lt;0.0001</w:t>
            </w:r>
          </w:p>
        </w:tc>
      </w:tr>
      <w:tr w:rsidR="00FD7604" w:rsidRPr="00AD7238" w14:paraId="0F97377D" w14:textId="77777777" w:rsidTr="002830D4">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628816" w14:textId="0C724178"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r w:rsidRPr="00AD7238">
              <w:rPr>
                <w:rFonts w:ascii="Arial Narrow" w:hAnsi="Arial Narrow" w:cs="Arial Narrow"/>
                <w:sz w:val="20"/>
                <w:szCs w:val="20"/>
              </w:rPr>
              <w:t>Year 3</w:t>
            </w:r>
            <w:r w:rsidRPr="00AD7238">
              <w:rPr>
                <w:rFonts w:ascii="Arial Narrow" w:hAnsi="Arial Narrow" w:cs="Arial Narrow"/>
                <w:sz w:val="20"/>
                <w:szCs w:val="20"/>
                <w:vertAlign w:val="superscript"/>
              </w:rPr>
              <w:t>b</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580B9732" w14:textId="47885A31" w:rsidR="00FD7604" w:rsidRPr="00AD7238" w:rsidRDefault="00FD7604" w:rsidP="004C3425">
            <w:pPr>
              <w:pStyle w:val="TableText0"/>
              <w:keepLines/>
              <w:jc w:val="center"/>
            </w:pPr>
            <w:r w:rsidRPr="00AD7238">
              <w:t>13,185</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4FB445E2" w14:textId="54F8D45A" w:rsidR="00FD7604" w:rsidRPr="00AD7238" w:rsidRDefault="00FD7604" w:rsidP="004C3425">
            <w:pPr>
              <w:pStyle w:val="TableText0"/>
              <w:keepLines/>
              <w:jc w:val="center"/>
            </w:pPr>
            <w:r w:rsidRPr="00AD7238">
              <w:t>9</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51E9DE72" w14:textId="68F776A1" w:rsidR="00FD7604" w:rsidRPr="00AD7238" w:rsidRDefault="00FD7604" w:rsidP="004C3425">
            <w:pPr>
              <w:pStyle w:val="TableText0"/>
              <w:keepLines/>
              <w:jc w:val="center"/>
            </w:pPr>
            <w:r w:rsidRPr="00AD7238">
              <w:t>13,016.1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407921C" w14:textId="203DE471" w:rsidR="00FD7604" w:rsidRPr="00AD7238" w:rsidRDefault="00FD7604" w:rsidP="004C3425">
            <w:pPr>
              <w:pStyle w:val="TableText0"/>
              <w:keepLines/>
              <w:jc w:val="center"/>
            </w:pPr>
            <w:r w:rsidRPr="00AD7238">
              <w:t>0.7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17CF5B9" w14:textId="01718451" w:rsidR="00FD7604" w:rsidRPr="00AD7238" w:rsidRDefault="00FD7604" w:rsidP="004C3425">
            <w:pPr>
              <w:pStyle w:val="TableText0"/>
              <w:keepLines/>
              <w:jc w:val="center"/>
            </w:pPr>
            <w:r w:rsidRPr="00AD7238">
              <w:t>13,074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31EB5A81" w14:textId="7AEDD2EA" w:rsidR="00FD7604" w:rsidRPr="00AD7238" w:rsidRDefault="00FD7604" w:rsidP="004C3425">
            <w:pPr>
              <w:pStyle w:val="TableText0"/>
              <w:keepLines/>
              <w:jc w:val="center"/>
            </w:pPr>
            <w:r w:rsidRPr="00AD7238">
              <w:t>116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CFBC55B" w14:textId="10C163C2" w:rsidR="00FD7604" w:rsidRPr="00AD7238" w:rsidRDefault="00FD7604" w:rsidP="004C3425">
            <w:pPr>
              <w:pStyle w:val="TableText0"/>
              <w:keepLines/>
              <w:jc w:val="center"/>
            </w:pPr>
            <w:r w:rsidRPr="00AD7238">
              <w:t>12,834.0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51CF05C4" w14:textId="765EBBC2" w:rsidR="00FD7604" w:rsidRPr="00AD7238" w:rsidRDefault="00FD7604" w:rsidP="004C3425">
            <w:pPr>
              <w:pStyle w:val="TableText0"/>
              <w:keepLines/>
              <w:jc w:val="center"/>
            </w:pPr>
            <w:r w:rsidRPr="00AD7238">
              <w:t>9.0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E1D2043" w14:textId="1E76F75B" w:rsidR="00FD7604" w:rsidRPr="00AD7238" w:rsidRDefault="00FD7604" w:rsidP="004C3425">
            <w:pPr>
              <w:pStyle w:val="TableText0"/>
              <w:keepLines/>
              <w:jc w:val="center"/>
            </w:pPr>
            <w:r w:rsidRPr="00AD7238">
              <w:t>92.4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E6B634A" w14:textId="54FC1F65" w:rsidR="00FD7604" w:rsidRPr="00AD7238" w:rsidRDefault="00FD7604" w:rsidP="004C3425">
            <w:pPr>
              <w:pStyle w:val="TableText0"/>
              <w:keepLines/>
              <w:jc w:val="center"/>
            </w:pPr>
            <w:r w:rsidRPr="00AD7238">
              <w:t>85.0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48CCC328" w14:textId="674D4E84" w:rsidR="00FD7604" w:rsidRPr="00AD7238" w:rsidRDefault="00FD7604" w:rsidP="004C3425">
            <w:pPr>
              <w:pStyle w:val="TableText0"/>
              <w:keepLines/>
              <w:jc w:val="center"/>
            </w:pPr>
            <w:r w:rsidRPr="00AD7238">
              <w:t>96.6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7267B4FD" w14:textId="1BC9FC37" w:rsidR="00FD7604" w:rsidRPr="00AD7238" w:rsidRDefault="00FD7604" w:rsidP="004C3425">
            <w:pPr>
              <w:pStyle w:val="TableText0"/>
              <w:keepLines/>
              <w:jc w:val="center"/>
            </w:pPr>
            <w:r w:rsidRPr="00AD7238">
              <w:t>&lt;0.0001</w:t>
            </w:r>
          </w:p>
        </w:tc>
      </w:tr>
      <w:tr w:rsidR="00FD7604" w:rsidRPr="00AD7238" w14:paraId="2CA81C22" w14:textId="77777777" w:rsidTr="002830D4">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386757" w14:textId="051EDF89"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sz w:val="20"/>
                <w:szCs w:val="20"/>
              </w:rPr>
            </w:pPr>
            <w:r w:rsidRPr="00AD7238">
              <w:rPr>
                <w:rFonts w:ascii="Arial Narrow" w:hAnsi="Arial Narrow" w:cs="Arial Narrow"/>
                <w:sz w:val="20"/>
                <w:szCs w:val="20"/>
              </w:rPr>
              <w:t>Year 4</w:t>
            </w:r>
            <w:r w:rsidRPr="00AD7238">
              <w:rPr>
                <w:rFonts w:ascii="Arial Narrow" w:hAnsi="Arial Narrow" w:cs="Arial Narrow"/>
                <w:sz w:val="20"/>
                <w:szCs w:val="20"/>
                <w:vertAlign w:val="superscript"/>
              </w:rPr>
              <w:t>b</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09E13F8A" w14:textId="2EDD90CA" w:rsidR="00FD7604" w:rsidRPr="00AD7238" w:rsidRDefault="00FD7604" w:rsidP="004C3425">
            <w:pPr>
              <w:pStyle w:val="TableText0"/>
              <w:keepLines/>
              <w:jc w:val="center"/>
            </w:pPr>
            <w:r w:rsidRPr="00AD7238">
              <w:t>12,757</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214F36D3" w14:textId="050861D0" w:rsidR="00FD7604" w:rsidRPr="00AD7238" w:rsidRDefault="00FD7604" w:rsidP="004C3425">
            <w:pPr>
              <w:pStyle w:val="TableText0"/>
              <w:keepLines/>
              <w:jc w:val="center"/>
            </w:pPr>
            <w:r w:rsidRPr="00AD7238">
              <w:t>10</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76F6FE23" w14:textId="2D9D2688" w:rsidR="00FD7604" w:rsidRPr="00AD7238" w:rsidRDefault="00FD7604" w:rsidP="004C3425">
            <w:pPr>
              <w:pStyle w:val="TableText0"/>
              <w:keepLines/>
              <w:jc w:val="center"/>
            </w:pPr>
            <w:r w:rsidRPr="00AD7238">
              <w:t>12,946.7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C807B79" w14:textId="0FDADB6C" w:rsidR="00FD7604" w:rsidRPr="00AD7238" w:rsidRDefault="00FD7604" w:rsidP="004C3425">
            <w:pPr>
              <w:pStyle w:val="TableText0"/>
              <w:keepLines/>
              <w:jc w:val="center"/>
            </w:pPr>
            <w:r w:rsidRPr="00AD7238">
              <w:t>0.8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80DCD69" w14:textId="5A20742F" w:rsidR="00FD7604" w:rsidRPr="00AD7238" w:rsidRDefault="00FD7604" w:rsidP="004C3425">
            <w:pPr>
              <w:pStyle w:val="TableText0"/>
              <w:keepLines/>
              <w:jc w:val="center"/>
            </w:pPr>
            <w:r w:rsidRPr="00AD7238">
              <w:t>12,517</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48E2A1B" w14:textId="2A160C06" w:rsidR="00FD7604" w:rsidRPr="00AD7238" w:rsidRDefault="00FD7604" w:rsidP="004C3425">
            <w:pPr>
              <w:pStyle w:val="TableText0"/>
              <w:keepLines/>
              <w:jc w:val="center"/>
            </w:pPr>
            <w:r w:rsidRPr="00AD7238">
              <w:t>95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CF23C68" w14:textId="2AD8155A" w:rsidR="00FD7604" w:rsidRPr="00AD7238" w:rsidRDefault="00FD7604" w:rsidP="004C3425">
            <w:pPr>
              <w:pStyle w:val="TableText0"/>
              <w:keepLines/>
              <w:jc w:val="center"/>
            </w:pPr>
            <w:r w:rsidRPr="00AD7238">
              <w:t>12,637.4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4041927" w14:textId="30726D88" w:rsidR="00FD7604" w:rsidRPr="00AD7238" w:rsidRDefault="00FD7604" w:rsidP="004C3425">
            <w:pPr>
              <w:pStyle w:val="TableText0"/>
              <w:keepLines/>
              <w:jc w:val="center"/>
            </w:pPr>
            <w:r w:rsidRPr="00AD7238">
              <w:t>7.5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6C45CFEC" w14:textId="3B3E51F1" w:rsidR="00FD7604" w:rsidRPr="00AD7238" w:rsidRDefault="00FD7604" w:rsidP="004C3425">
            <w:pPr>
              <w:pStyle w:val="TableText0"/>
              <w:keepLines/>
              <w:jc w:val="center"/>
            </w:pPr>
            <w:r w:rsidRPr="00AD7238">
              <w:t>89.8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4D467A02" w14:textId="60DA4EF5" w:rsidR="00FD7604" w:rsidRPr="00AD7238" w:rsidRDefault="00FD7604" w:rsidP="004C3425">
            <w:pPr>
              <w:pStyle w:val="TableText0"/>
              <w:keepLines/>
              <w:jc w:val="center"/>
            </w:pPr>
            <w:r w:rsidRPr="00AD7238">
              <w:t>80.3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23C38083" w14:textId="321406FD" w:rsidR="00FD7604" w:rsidRPr="00AD7238" w:rsidRDefault="00FD7604" w:rsidP="004C3425">
            <w:pPr>
              <w:pStyle w:val="TableText0"/>
              <w:keepLines/>
              <w:jc w:val="center"/>
            </w:pPr>
            <w:r w:rsidRPr="00AD7238">
              <w:t>95.2</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1E25D6A4" w14:textId="455CE6A9" w:rsidR="00FD7604" w:rsidRPr="00AD7238" w:rsidRDefault="00FD7604" w:rsidP="004C3425">
            <w:pPr>
              <w:pStyle w:val="TableText0"/>
              <w:keepLines/>
              <w:jc w:val="center"/>
            </w:pPr>
            <w:r w:rsidRPr="00AD7238">
              <w:t>&lt;0.0001</w:t>
            </w:r>
          </w:p>
        </w:tc>
      </w:tr>
      <w:tr w:rsidR="00645957" w:rsidRPr="00AD7238" w14:paraId="5D2523BA" w14:textId="77777777">
        <w:tc>
          <w:tcPr>
            <w:tcW w:w="9069" w:type="dxa"/>
            <w:gridSpan w:val="13"/>
            <w:tcBorders>
              <w:top w:val="single" w:sz="2" w:space="0" w:color="000000"/>
              <w:left w:val="single" w:sz="2" w:space="0" w:color="000000"/>
              <w:bottom w:val="single" w:sz="2" w:space="0" w:color="000000"/>
              <w:right w:val="single" w:sz="2" w:space="0" w:color="000000"/>
            </w:tcBorders>
            <w:shd w:val="clear" w:color="auto" w:fill="auto"/>
            <w:vAlign w:val="center"/>
          </w:tcPr>
          <w:p w14:paraId="5B4E1269" w14:textId="7C71F14F" w:rsidR="00645957" w:rsidRPr="00AD7238" w:rsidRDefault="00645957" w:rsidP="004C3425">
            <w:pPr>
              <w:pStyle w:val="TableText0"/>
              <w:keepLines/>
            </w:pPr>
            <w:r w:rsidRPr="00AD7238">
              <w:rPr>
                <w:b/>
              </w:rPr>
              <w:t>Gap between ZOE-50/-70 analysis and ZOSTER-049</w:t>
            </w:r>
          </w:p>
        </w:tc>
      </w:tr>
      <w:tr w:rsidR="00FD7604" w:rsidRPr="00AD7238" w14:paraId="0035D224" w14:textId="77777777">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C2C353" w14:textId="16466300"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iCs/>
                <w:sz w:val="20"/>
                <w:szCs w:val="20"/>
              </w:rPr>
            </w:pPr>
            <w:r w:rsidRPr="00AD7238">
              <w:rPr>
                <w:rFonts w:ascii="Arial Narrow" w:hAnsi="Arial Narrow" w:cs="Arial Narrow"/>
                <w:iCs/>
                <w:sz w:val="20"/>
                <w:szCs w:val="20"/>
              </w:rPr>
              <w:t>Year 6</w:t>
            </w:r>
            <w:r w:rsidRPr="00AD7238">
              <w:rPr>
                <w:rFonts w:ascii="Arial Narrow" w:hAnsi="Arial Narrow" w:cs="Arial Narrow"/>
                <w:iCs/>
                <w:sz w:val="20"/>
                <w:szCs w:val="20"/>
                <w:vertAlign w:val="superscript"/>
              </w:rPr>
              <w:t>a</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21CC2EC8" w14:textId="19A7874E" w:rsidR="00FD7604" w:rsidRPr="00AD7238" w:rsidRDefault="00FD7604" w:rsidP="004C3425">
            <w:pPr>
              <w:pStyle w:val="TableText0"/>
              <w:keepLines/>
              <w:jc w:val="center"/>
            </w:pPr>
            <w:r w:rsidRPr="00AD7238">
              <w:t>7,277</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312B6A27" w14:textId="4AFE6D8A" w:rsidR="00FD7604" w:rsidRPr="00AD7238" w:rsidRDefault="00FD7604" w:rsidP="004C3425">
            <w:pPr>
              <w:pStyle w:val="TableText0"/>
              <w:keepLines/>
              <w:jc w:val="center"/>
            </w:pPr>
            <w:r w:rsidRPr="00AD7238">
              <w:t>7</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6994162F" w14:textId="1DBD156F" w:rsidR="00FD7604" w:rsidRPr="00AD7238" w:rsidRDefault="00FD7604" w:rsidP="004C3425">
            <w:pPr>
              <w:pStyle w:val="TableText0"/>
              <w:keepLines/>
              <w:jc w:val="center"/>
            </w:pPr>
            <w:r w:rsidRPr="00AD7238">
              <w:t>7,210.2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123F5DE" w14:textId="71169237" w:rsidR="00FD7604" w:rsidRPr="00AD7238" w:rsidRDefault="00FD7604" w:rsidP="004C3425">
            <w:pPr>
              <w:pStyle w:val="TableText0"/>
              <w:keepLines/>
              <w:jc w:val="center"/>
            </w:pPr>
            <w:r w:rsidRPr="00AD7238">
              <w:t>1.0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B9C3BF7" w14:textId="09F42951" w:rsidR="00FD7604" w:rsidRPr="00AD7238" w:rsidRDefault="00FD7604" w:rsidP="004C3425">
            <w:pPr>
              <w:pStyle w:val="TableText0"/>
              <w:keepLines/>
              <w:jc w:val="center"/>
            </w:pPr>
            <w:r w:rsidRPr="00AD7238">
              <w:t>7,277</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3B51F04" w14:textId="76E1BA1A" w:rsidR="00FD7604" w:rsidRPr="00AD7238" w:rsidRDefault="00FD7604" w:rsidP="004C3425">
            <w:pPr>
              <w:pStyle w:val="TableText0"/>
              <w:keepLines/>
              <w:jc w:val="center"/>
            </w:pPr>
            <w:r w:rsidRPr="00AD7238">
              <w:t>61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6739D57" w14:textId="4CAD61B1" w:rsidR="00FD7604" w:rsidRPr="00AD7238" w:rsidRDefault="00FD7604" w:rsidP="004C3425">
            <w:pPr>
              <w:pStyle w:val="TableText0"/>
              <w:keepLines/>
              <w:jc w:val="center"/>
            </w:pPr>
            <w:r w:rsidRPr="00AD7238">
              <w:t>7,210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2C67F7FC" w14:textId="67A599FC" w:rsidR="00FD7604" w:rsidRPr="00AD7238" w:rsidRDefault="00FD7604" w:rsidP="004C3425">
            <w:pPr>
              <w:pStyle w:val="TableText0"/>
              <w:keepLines/>
              <w:jc w:val="center"/>
            </w:pPr>
            <w:r w:rsidRPr="00AD7238">
              <w:t>8.5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2BA14F2C" w14:textId="4D58E883" w:rsidR="00FD7604" w:rsidRPr="00AD7238" w:rsidRDefault="00FD7604" w:rsidP="004C3425">
            <w:pPr>
              <w:pStyle w:val="TableText0"/>
              <w:keepLines/>
              <w:jc w:val="center"/>
            </w:pPr>
            <w:r w:rsidRPr="00AD7238">
              <w:t>88.5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6670F8B" w14:textId="66DCBCD5" w:rsidR="00FD7604" w:rsidRPr="00AD7238" w:rsidRDefault="00FD7604" w:rsidP="004C3425">
            <w:pPr>
              <w:pStyle w:val="TableText0"/>
              <w:keepLines/>
              <w:jc w:val="center"/>
            </w:pPr>
            <w:r w:rsidRPr="00AD7238">
              <w:t>74.9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ACC290E" w14:textId="3D453004" w:rsidR="00FD7604" w:rsidRPr="00AD7238" w:rsidRDefault="00FD7604" w:rsidP="004C3425">
            <w:pPr>
              <w:pStyle w:val="TableText0"/>
              <w:keepLines/>
              <w:jc w:val="center"/>
            </w:pPr>
            <w:r w:rsidRPr="00AD7238">
              <w:t>95.6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254FC498" w14:textId="224FCDDD" w:rsidR="00FD7604" w:rsidRPr="00AD7238" w:rsidRDefault="00FD7604" w:rsidP="004C3425">
            <w:pPr>
              <w:pStyle w:val="TableText0"/>
              <w:keepLines/>
              <w:jc w:val="center"/>
            </w:pPr>
            <w:r w:rsidRPr="00AD7238">
              <w:t>&lt;0.0001</w:t>
            </w:r>
          </w:p>
        </w:tc>
      </w:tr>
      <w:tr w:rsidR="00FD7604" w:rsidRPr="00AD7238" w14:paraId="015C7F67" w14:textId="77777777">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B572B" w14:textId="2550B8A4"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iCs/>
                <w:sz w:val="20"/>
                <w:szCs w:val="20"/>
              </w:rPr>
            </w:pPr>
            <w:r w:rsidRPr="00AD7238">
              <w:rPr>
                <w:rFonts w:ascii="Arial Narrow" w:hAnsi="Arial Narrow" w:cs="Arial Narrow"/>
                <w:iCs/>
                <w:sz w:val="20"/>
                <w:szCs w:val="20"/>
              </w:rPr>
              <w:t>Year 7</w:t>
            </w:r>
            <w:r w:rsidRPr="00AD7238">
              <w:rPr>
                <w:rFonts w:ascii="Arial Narrow" w:hAnsi="Arial Narrow" w:cs="Arial Narrow"/>
                <w:iCs/>
                <w:sz w:val="20"/>
                <w:szCs w:val="20"/>
                <w:vertAlign w:val="superscript"/>
              </w:rPr>
              <w:t>a</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32DBC6EB" w14:textId="6A996AE7" w:rsidR="00FD7604" w:rsidRPr="00AD7238" w:rsidRDefault="00FD7604" w:rsidP="004C3425">
            <w:pPr>
              <w:pStyle w:val="TableText0"/>
              <w:keepLines/>
              <w:jc w:val="center"/>
            </w:pPr>
            <w:r w:rsidRPr="00AD7238">
              <w:t>7,100</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346AF35F" w14:textId="1AA71509" w:rsidR="00FD7604" w:rsidRPr="00AD7238" w:rsidRDefault="00FD7604" w:rsidP="004C3425">
            <w:pPr>
              <w:pStyle w:val="TableText0"/>
              <w:keepLines/>
              <w:jc w:val="center"/>
            </w:pPr>
            <w:r w:rsidRPr="00AD7238">
              <w:t>10</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060760BA" w14:textId="16DEAA14" w:rsidR="00FD7604" w:rsidRPr="00AD7238" w:rsidRDefault="00FD7604" w:rsidP="004C3425">
            <w:pPr>
              <w:pStyle w:val="TableText0"/>
              <w:keepLines/>
              <w:jc w:val="center"/>
            </w:pPr>
            <w:r w:rsidRPr="00AD7238">
              <w:t>6,995.8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416718C" w14:textId="71F7B632" w:rsidR="00FD7604" w:rsidRPr="00AD7238" w:rsidRDefault="00FD7604" w:rsidP="004C3425">
            <w:pPr>
              <w:pStyle w:val="TableText0"/>
              <w:keepLines/>
              <w:jc w:val="center"/>
            </w:pPr>
            <w:r w:rsidRPr="00AD7238">
              <w:t>1.4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4C0EE79E" w14:textId="47157E65" w:rsidR="00FD7604" w:rsidRPr="00AD7238" w:rsidRDefault="00FD7604" w:rsidP="004C3425">
            <w:pPr>
              <w:pStyle w:val="TableText0"/>
              <w:keepLines/>
              <w:jc w:val="center"/>
            </w:pPr>
            <w:r w:rsidRPr="00AD7238">
              <w:t>7,100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2D8777B" w14:textId="1E9EC7A1" w:rsidR="00FD7604" w:rsidRPr="00AD7238" w:rsidRDefault="00FD7604" w:rsidP="004C3425">
            <w:pPr>
              <w:pStyle w:val="TableText0"/>
              <w:keepLines/>
              <w:jc w:val="center"/>
            </w:pPr>
            <w:r w:rsidRPr="00AD7238">
              <w:t>60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56C96C7" w14:textId="4C5D2449" w:rsidR="00FD7604" w:rsidRPr="00AD7238" w:rsidRDefault="00FD7604" w:rsidP="004C3425">
            <w:pPr>
              <w:pStyle w:val="TableText0"/>
              <w:keepLines/>
              <w:jc w:val="center"/>
            </w:pPr>
            <w:r w:rsidRPr="00AD7238">
              <w:t>6,995.8</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61E13C1D" w14:textId="0D9E960C" w:rsidR="00FD7604" w:rsidRPr="00AD7238" w:rsidRDefault="00FD7604" w:rsidP="004C3425">
            <w:pPr>
              <w:pStyle w:val="TableText0"/>
              <w:keepLines/>
              <w:jc w:val="center"/>
            </w:pPr>
            <w:r w:rsidRPr="00AD7238">
              <w:t>8.6</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18CC0D10" w14:textId="48CBB28C" w:rsidR="00FD7604" w:rsidRPr="00AD7238" w:rsidRDefault="00FD7604" w:rsidP="004C3425">
            <w:pPr>
              <w:pStyle w:val="TableText0"/>
              <w:keepLines/>
              <w:jc w:val="center"/>
            </w:pPr>
            <w:r w:rsidRPr="00AD7238">
              <w:t>83.3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71DE132" w14:textId="498D9208" w:rsidR="00FD7604" w:rsidRPr="00AD7238" w:rsidRDefault="00FD7604" w:rsidP="004C3425">
            <w:pPr>
              <w:pStyle w:val="TableText0"/>
              <w:keepLines/>
              <w:jc w:val="center"/>
            </w:pPr>
            <w:r w:rsidRPr="00AD7238">
              <w:t>67.2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05538D3" w14:textId="57280955" w:rsidR="00FD7604" w:rsidRPr="00AD7238" w:rsidRDefault="00FD7604" w:rsidP="004C3425">
            <w:pPr>
              <w:pStyle w:val="TableText0"/>
              <w:keepLines/>
              <w:jc w:val="center"/>
            </w:pPr>
            <w:r w:rsidRPr="00AD7238">
              <w:t>92.4</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60719B37" w14:textId="35FAE635" w:rsidR="00FD7604" w:rsidRPr="00AD7238" w:rsidRDefault="00FD7604" w:rsidP="004C3425">
            <w:pPr>
              <w:pStyle w:val="TableText0"/>
              <w:keepLines/>
              <w:jc w:val="center"/>
            </w:pPr>
            <w:r w:rsidRPr="00AD7238">
              <w:t>&lt;0.0001</w:t>
            </w:r>
          </w:p>
        </w:tc>
      </w:tr>
      <w:tr w:rsidR="00FD7604" w:rsidRPr="00AD7238" w14:paraId="34B6F3D7" w14:textId="77777777">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903BED" w14:textId="24C8238D"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iCs/>
                <w:sz w:val="20"/>
                <w:szCs w:val="20"/>
              </w:rPr>
            </w:pPr>
            <w:r w:rsidRPr="00AD7238">
              <w:rPr>
                <w:rFonts w:ascii="Arial Narrow" w:hAnsi="Arial Narrow" w:cs="Arial Narrow"/>
                <w:iCs/>
                <w:sz w:val="20"/>
                <w:szCs w:val="20"/>
              </w:rPr>
              <w:t>Year 8</w:t>
            </w:r>
            <w:r w:rsidRPr="00AD7238">
              <w:rPr>
                <w:rFonts w:ascii="Arial Narrow" w:hAnsi="Arial Narrow" w:cs="Arial Narrow"/>
                <w:iCs/>
                <w:sz w:val="20"/>
                <w:szCs w:val="20"/>
                <w:vertAlign w:val="superscript"/>
              </w:rPr>
              <w:t>a</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3C57E511" w14:textId="755E6168" w:rsidR="00FD7604" w:rsidRPr="00AD7238" w:rsidRDefault="00FD7604" w:rsidP="004C3425">
            <w:pPr>
              <w:pStyle w:val="TableText0"/>
              <w:keepLines/>
              <w:jc w:val="center"/>
            </w:pPr>
            <w:r w:rsidRPr="00AD7238">
              <w:t>6,878</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12FB86AF" w14:textId="40CBD109" w:rsidR="00FD7604" w:rsidRPr="00AD7238" w:rsidRDefault="00FD7604" w:rsidP="004C3425">
            <w:pPr>
              <w:pStyle w:val="TableText0"/>
              <w:keepLines/>
              <w:jc w:val="center"/>
            </w:pPr>
            <w:r w:rsidRPr="00AD7238">
              <w:t>9</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566AA251" w14:textId="661F22A7" w:rsidR="00FD7604" w:rsidRPr="00AD7238" w:rsidRDefault="00FD7604" w:rsidP="004C3425">
            <w:pPr>
              <w:pStyle w:val="TableText0"/>
              <w:keepLines/>
              <w:jc w:val="center"/>
            </w:pPr>
            <w:r w:rsidRPr="00AD7238">
              <w:t>6,762.9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3E1E6D9" w14:textId="25377F25" w:rsidR="00FD7604" w:rsidRPr="00AD7238" w:rsidRDefault="00FD7604" w:rsidP="004C3425">
            <w:pPr>
              <w:pStyle w:val="TableText0"/>
              <w:keepLines/>
              <w:jc w:val="center"/>
            </w:pPr>
            <w:r w:rsidRPr="00AD7238">
              <w:t>1.3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C62027A" w14:textId="5D15630A" w:rsidR="00FD7604" w:rsidRPr="00AD7238" w:rsidRDefault="00FD7604" w:rsidP="004C3425">
            <w:pPr>
              <w:pStyle w:val="TableText0"/>
              <w:keepLines/>
              <w:jc w:val="center"/>
            </w:pPr>
            <w:r w:rsidRPr="00AD7238">
              <w:t>6,878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705CE85" w14:textId="1885641B" w:rsidR="00FD7604" w:rsidRPr="00AD7238" w:rsidRDefault="00FD7604" w:rsidP="004C3425">
            <w:pPr>
              <w:pStyle w:val="TableText0"/>
              <w:keepLines/>
              <w:jc w:val="center"/>
            </w:pPr>
            <w:r w:rsidRPr="00AD7238">
              <w:t>57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4D0BA1B" w14:textId="505E21BF" w:rsidR="00FD7604" w:rsidRPr="00AD7238" w:rsidRDefault="00FD7604" w:rsidP="004C3425">
            <w:pPr>
              <w:pStyle w:val="TableText0"/>
              <w:keepLines/>
              <w:jc w:val="center"/>
            </w:pPr>
            <w:r w:rsidRPr="00AD7238">
              <w:t>6,762.9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468065F7" w14:textId="577B6B16" w:rsidR="00FD7604" w:rsidRPr="00AD7238" w:rsidRDefault="00FD7604" w:rsidP="004C3425">
            <w:pPr>
              <w:pStyle w:val="TableText0"/>
              <w:keepLines/>
              <w:jc w:val="center"/>
            </w:pPr>
            <w:r w:rsidRPr="00AD7238">
              <w:t>8.4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46D48B7F" w14:textId="7BC6CA82" w:rsidR="00FD7604" w:rsidRPr="00AD7238" w:rsidRDefault="00FD7604" w:rsidP="004C3425">
            <w:pPr>
              <w:pStyle w:val="TableText0"/>
              <w:keepLines/>
              <w:jc w:val="center"/>
            </w:pPr>
            <w:r w:rsidRPr="00AD7238">
              <w:t>84.2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2F86E03" w14:textId="1453DC88" w:rsidR="00FD7604" w:rsidRPr="00AD7238" w:rsidRDefault="00FD7604" w:rsidP="004C3425">
            <w:pPr>
              <w:pStyle w:val="TableText0"/>
              <w:keepLines/>
              <w:jc w:val="center"/>
            </w:pPr>
            <w:r w:rsidRPr="00AD7238">
              <w:t>67.9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FA151FD" w14:textId="70401842" w:rsidR="00FD7604" w:rsidRPr="00AD7238" w:rsidRDefault="00FD7604" w:rsidP="004C3425">
            <w:pPr>
              <w:pStyle w:val="TableText0"/>
              <w:keepLines/>
              <w:jc w:val="center"/>
            </w:pPr>
            <w:r w:rsidRPr="00AD7238">
              <w:t>93.1</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1AD33C24" w14:textId="65EF876C" w:rsidR="00FD7604" w:rsidRPr="00AD7238" w:rsidRDefault="00FD7604" w:rsidP="004C3425">
            <w:pPr>
              <w:pStyle w:val="TableText0"/>
              <w:keepLines/>
              <w:jc w:val="center"/>
            </w:pPr>
            <w:r w:rsidRPr="00AD7238">
              <w:t>&lt;0.0001</w:t>
            </w:r>
          </w:p>
        </w:tc>
      </w:tr>
      <w:tr w:rsidR="00FD7604" w:rsidRPr="00AD7238" w14:paraId="71F3DC84" w14:textId="77777777">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B552E0" w14:textId="2D08A600"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iCs/>
                <w:sz w:val="20"/>
                <w:szCs w:val="20"/>
              </w:rPr>
            </w:pPr>
            <w:r w:rsidRPr="00AD7238">
              <w:rPr>
                <w:rFonts w:ascii="Arial Narrow" w:hAnsi="Arial Narrow" w:cs="Arial Narrow"/>
                <w:iCs/>
                <w:sz w:val="20"/>
                <w:szCs w:val="20"/>
              </w:rPr>
              <w:t>Year 9</w:t>
            </w:r>
            <w:r w:rsidRPr="00AD7238">
              <w:rPr>
                <w:rFonts w:ascii="Arial Narrow" w:hAnsi="Arial Narrow" w:cs="Arial Narrow"/>
                <w:iCs/>
                <w:sz w:val="20"/>
                <w:szCs w:val="20"/>
                <w:vertAlign w:val="superscript"/>
              </w:rPr>
              <w:t>a</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6C39380F" w14:textId="312B265B" w:rsidR="00FD7604" w:rsidRPr="00AD7238" w:rsidRDefault="00FD7604" w:rsidP="004C3425">
            <w:pPr>
              <w:pStyle w:val="TableText0"/>
              <w:keepLines/>
              <w:jc w:val="center"/>
            </w:pPr>
            <w:r w:rsidRPr="00AD7238">
              <w:t>6,648</w:t>
            </w:r>
          </w:p>
        </w:tc>
        <w:tc>
          <w:tcPr>
            <w:tcW w:w="680" w:type="dxa"/>
            <w:tcBorders>
              <w:top w:val="single" w:sz="2" w:space="0" w:color="000000"/>
              <w:left w:val="single" w:sz="2" w:space="0" w:color="000000"/>
              <w:bottom w:val="single" w:sz="2" w:space="0" w:color="000000"/>
              <w:right w:val="single" w:sz="2" w:space="0" w:color="000000"/>
            </w:tcBorders>
            <w:shd w:val="clear" w:color="auto" w:fill="auto"/>
          </w:tcPr>
          <w:p w14:paraId="6A288BBC" w14:textId="5F6B4F04" w:rsidR="00FD7604" w:rsidRPr="00AD7238" w:rsidRDefault="00FD7604" w:rsidP="004C3425">
            <w:pPr>
              <w:pStyle w:val="TableText0"/>
              <w:keepLines/>
              <w:jc w:val="center"/>
            </w:pPr>
            <w:r w:rsidRPr="00AD7238">
              <w:t>15</w:t>
            </w:r>
          </w:p>
        </w:tc>
        <w:tc>
          <w:tcPr>
            <w:tcW w:w="823" w:type="dxa"/>
            <w:tcBorders>
              <w:top w:val="single" w:sz="2" w:space="0" w:color="000000"/>
              <w:left w:val="single" w:sz="2" w:space="0" w:color="000000"/>
              <w:bottom w:val="single" w:sz="2" w:space="0" w:color="000000"/>
              <w:right w:val="single" w:sz="2" w:space="0" w:color="000000"/>
            </w:tcBorders>
            <w:shd w:val="clear" w:color="auto" w:fill="auto"/>
          </w:tcPr>
          <w:p w14:paraId="3085A7E7" w14:textId="32C3441D" w:rsidR="00FD7604" w:rsidRPr="00AD7238" w:rsidRDefault="00FD7604" w:rsidP="004C3425">
            <w:pPr>
              <w:pStyle w:val="TableText0"/>
              <w:keepLines/>
              <w:jc w:val="center"/>
            </w:pPr>
            <w:r w:rsidRPr="00AD7238">
              <w:t>6,487.6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2872562" w14:textId="3EC09D3F" w:rsidR="00FD7604" w:rsidRPr="00AD7238" w:rsidRDefault="00FD7604" w:rsidP="004C3425">
            <w:pPr>
              <w:pStyle w:val="TableText0"/>
              <w:keepLines/>
              <w:jc w:val="center"/>
            </w:pPr>
            <w:r w:rsidRPr="00AD7238">
              <w:t>2.3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5B1D99F" w14:textId="7E5D43C3" w:rsidR="00FD7604" w:rsidRPr="00AD7238" w:rsidRDefault="00FD7604" w:rsidP="004C3425">
            <w:pPr>
              <w:pStyle w:val="TableText0"/>
              <w:keepLines/>
              <w:jc w:val="center"/>
            </w:pPr>
            <w:r w:rsidRPr="00AD7238">
              <w:t>6,648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72F68B5D" w14:textId="5AFD93CA" w:rsidR="00FD7604" w:rsidRPr="00AD7238" w:rsidRDefault="00FD7604" w:rsidP="004C3425">
            <w:pPr>
              <w:pStyle w:val="TableText0"/>
              <w:keepLines/>
              <w:jc w:val="center"/>
            </w:pPr>
            <w:r w:rsidRPr="00AD7238">
              <w:t>55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774D707C" w14:textId="4D1B8147" w:rsidR="00FD7604" w:rsidRPr="00AD7238" w:rsidRDefault="00FD7604" w:rsidP="004C3425">
            <w:pPr>
              <w:pStyle w:val="TableText0"/>
              <w:keepLines/>
              <w:jc w:val="center"/>
            </w:pPr>
            <w:r w:rsidRPr="00AD7238">
              <w:t>6,487.6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70E12F11" w14:textId="05E8B7D9" w:rsidR="00FD7604" w:rsidRPr="00AD7238" w:rsidRDefault="00FD7604" w:rsidP="004C3425">
            <w:pPr>
              <w:pStyle w:val="TableText0"/>
              <w:keepLines/>
              <w:jc w:val="center"/>
            </w:pPr>
            <w:r w:rsidRPr="00AD7238">
              <w:t>8.5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14:paraId="09D7A048" w14:textId="2CF64BE1" w:rsidR="00FD7604" w:rsidRPr="00AD7238" w:rsidRDefault="00FD7604" w:rsidP="004C3425">
            <w:pPr>
              <w:pStyle w:val="TableText0"/>
              <w:keepLines/>
              <w:jc w:val="center"/>
            </w:pPr>
            <w:r w:rsidRPr="00AD7238">
              <w:t>72.7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02C9C6F" w14:textId="7FC9D3F2" w:rsidR="00FD7604" w:rsidRPr="00AD7238" w:rsidRDefault="00FD7604" w:rsidP="004C3425">
            <w:pPr>
              <w:pStyle w:val="TableText0"/>
              <w:keepLines/>
              <w:jc w:val="center"/>
            </w:pPr>
            <w:r w:rsidRPr="00AD7238">
              <w:t>51.0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A7A2398" w14:textId="7CD4E99D" w:rsidR="00FD7604" w:rsidRPr="00AD7238" w:rsidRDefault="00FD7604" w:rsidP="004C3425">
            <w:pPr>
              <w:pStyle w:val="TableText0"/>
              <w:keepLines/>
              <w:jc w:val="center"/>
            </w:pPr>
            <w:r w:rsidRPr="00AD7238">
              <w:t>85.7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7AB44CD1" w14:textId="0F13323C" w:rsidR="00FD7604" w:rsidRPr="00AD7238" w:rsidRDefault="00FD7604" w:rsidP="004C3425">
            <w:pPr>
              <w:pStyle w:val="TableText0"/>
              <w:keepLines/>
              <w:jc w:val="center"/>
            </w:pPr>
            <w:r w:rsidRPr="00AD7238">
              <w:t>&lt;0.0001</w:t>
            </w:r>
          </w:p>
        </w:tc>
      </w:tr>
      <w:tr w:rsidR="00FD7604" w:rsidRPr="00AD7238" w14:paraId="337162E9" w14:textId="77777777">
        <w:tc>
          <w:tcPr>
            <w:tcW w:w="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5FB80E" w14:textId="77777777" w:rsidR="00FD7604" w:rsidRPr="00AD7238" w:rsidRDefault="00FD7604" w:rsidP="004C3425">
            <w:pPr>
              <w:keepNext/>
              <w:keepLines/>
              <w:kinsoku w:val="0"/>
              <w:overflowPunct w:val="0"/>
              <w:autoSpaceDE w:val="0"/>
              <w:autoSpaceDN w:val="0"/>
              <w:adjustRightInd w:val="0"/>
              <w:spacing w:line="224" w:lineRule="exact"/>
              <w:jc w:val="left"/>
              <w:rPr>
                <w:rFonts w:ascii="Arial Narrow" w:hAnsi="Arial Narrow" w:cs="Arial Narrow"/>
                <w:iCs/>
                <w:sz w:val="20"/>
                <w:szCs w:val="20"/>
              </w:rPr>
            </w:pPr>
            <w:r w:rsidRPr="00AD7238">
              <w:rPr>
                <w:rFonts w:ascii="Arial Narrow" w:hAnsi="Arial Narrow" w:cs="Arial Narrow"/>
                <w:iCs/>
                <w:sz w:val="20"/>
                <w:szCs w:val="20"/>
              </w:rPr>
              <w:t>Year 10</w:t>
            </w:r>
            <w:r w:rsidRPr="00AD7238">
              <w:rPr>
                <w:rFonts w:ascii="Arial Narrow" w:hAnsi="Arial Narrow" w:cs="Arial Narrow"/>
                <w:iCs/>
                <w:sz w:val="20"/>
                <w:szCs w:val="20"/>
                <w:vertAlign w:val="superscript"/>
              </w:rPr>
              <w:t>a,c</w:t>
            </w:r>
          </w:p>
        </w:tc>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24AD8D" w14:textId="6E7AE78F" w:rsidR="00FD7604" w:rsidRPr="00AD7238" w:rsidRDefault="00FD7604" w:rsidP="004C3425">
            <w:pPr>
              <w:pStyle w:val="TableText0"/>
              <w:keepLines/>
              <w:jc w:val="center"/>
            </w:pPr>
            <w:r w:rsidRPr="00AD7238">
              <w:t>6,258</w:t>
            </w:r>
          </w:p>
        </w:tc>
        <w:tc>
          <w:tcPr>
            <w:tcW w:w="6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22EA76" w14:textId="7C1248E4" w:rsidR="00FD7604" w:rsidRPr="00AD7238" w:rsidRDefault="00FD7604" w:rsidP="004C3425">
            <w:pPr>
              <w:pStyle w:val="TableText0"/>
              <w:keepLines/>
              <w:jc w:val="center"/>
            </w:pPr>
            <w:r w:rsidRPr="00AD7238">
              <w:t>11</w:t>
            </w:r>
          </w:p>
        </w:tc>
        <w:tc>
          <w:tcPr>
            <w:tcW w:w="8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89B4F8" w14:textId="64833B0D" w:rsidR="00FD7604" w:rsidRPr="00AD7238" w:rsidRDefault="00FD7604" w:rsidP="004C3425">
            <w:pPr>
              <w:pStyle w:val="TableText0"/>
              <w:keepLines/>
              <w:jc w:val="center"/>
            </w:pPr>
            <w:r w:rsidRPr="00AD7238">
              <w:t>4,896.1</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F04A90" w14:textId="78342903" w:rsidR="00FD7604" w:rsidRPr="00AD7238" w:rsidRDefault="00FD7604" w:rsidP="004C3425">
            <w:pPr>
              <w:pStyle w:val="TableText0"/>
              <w:keepLines/>
              <w:jc w:val="center"/>
            </w:pPr>
            <w:r w:rsidRPr="00AD7238">
              <w:t>2.3</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694031" w14:textId="041643C4" w:rsidR="00FD7604" w:rsidRPr="00AD7238" w:rsidRDefault="00FD7604" w:rsidP="004C3425">
            <w:pPr>
              <w:pStyle w:val="TableText0"/>
              <w:keepLines/>
              <w:jc w:val="center"/>
            </w:pPr>
            <w:r w:rsidRPr="00AD7238">
              <w:t>6,258</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D07563" w14:textId="65326A6D" w:rsidR="00FD7604" w:rsidRPr="00AD7238" w:rsidRDefault="00FD7604" w:rsidP="004C3425">
            <w:pPr>
              <w:pStyle w:val="TableText0"/>
              <w:keepLines/>
              <w:jc w:val="center"/>
            </w:pPr>
            <w:r w:rsidRPr="00AD7238">
              <w:t>41</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342BC8" w14:textId="5A29C897" w:rsidR="00FD7604" w:rsidRPr="00AD7238" w:rsidRDefault="00FD7604" w:rsidP="004C3425">
            <w:pPr>
              <w:pStyle w:val="TableText0"/>
              <w:keepLines/>
              <w:jc w:val="center"/>
            </w:pPr>
            <w:r w:rsidRPr="00AD7238">
              <w:t>4,869.1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80892C" w14:textId="161E5E07" w:rsidR="00FD7604" w:rsidRPr="00AD7238" w:rsidRDefault="00FD7604" w:rsidP="004C3425">
            <w:pPr>
              <w:pStyle w:val="TableText0"/>
              <w:keepLines/>
              <w:jc w:val="center"/>
            </w:pPr>
            <w:r w:rsidRPr="00AD7238">
              <w:t>8.4</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1B3DF0" w14:textId="68E63027" w:rsidR="00FD7604" w:rsidRPr="00AD7238" w:rsidRDefault="00FD7604" w:rsidP="004C3425">
            <w:pPr>
              <w:pStyle w:val="TableText0"/>
              <w:keepLines/>
              <w:jc w:val="center"/>
            </w:pPr>
            <w:r w:rsidRPr="00AD7238">
              <w:t>73.2</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24220B" w14:textId="61D23BC8" w:rsidR="00FD7604" w:rsidRPr="00AD7238" w:rsidRDefault="00FD7604" w:rsidP="004C3425">
            <w:pPr>
              <w:pStyle w:val="TableText0"/>
              <w:keepLines/>
              <w:jc w:val="center"/>
            </w:pPr>
            <w:r w:rsidRPr="00AD7238">
              <w:t>46.9</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3AAB3B" w14:textId="594C4BE9" w:rsidR="00FD7604" w:rsidRPr="00AD7238" w:rsidRDefault="00FD7604" w:rsidP="004C3425">
            <w:pPr>
              <w:pStyle w:val="TableText0"/>
              <w:keepLines/>
              <w:jc w:val="center"/>
            </w:pPr>
            <w:r w:rsidRPr="00AD7238">
              <w:t>87.6</w:t>
            </w: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C7C8DB" w14:textId="5F0904D5" w:rsidR="00FD7604" w:rsidRPr="00AD7238" w:rsidRDefault="00FD7604" w:rsidP="004C3425">
            <w:pPr>
              <w:pStyle w:val="TableText0"/>
              <w:keepLines/>
              <w:jc w:val="center"/>
            </w:pPr>
            <w:r w:rsidRPr="00AD7238">
              <w:t>&lt;0.0001</w:t>
            </w:r>
          </w:p>
        </w:tc>
      </w:tr>
    </w:tbl>
    <w:p w14:paraId="1FEC46F5" w14:textId="50096BD2" w:rsidR="00D73D20" w:rsidRPr="00AD7238" w:rsidRDefault="00D73D20" w:rsidP="004C3425">
      <w:pPr>
        <w:pStyle w:val="TableFooter"/>
        <w:keepNext/>
        <w:keepLines/>
      </w:pPr>
      <w:r w:rsidRPr="00AD7238">
        <w:t xml:space="preserve">Source: Table 2-17, p85 of the </w:t>
      </w:r>
      <w:r w:rsidR="00815FA2" w:rsidRPr="00AD7238">
        <w:t>re</w:t>
      </w:r>
      <w:r w:rsidRPr="00AD7238">
        <w:t>submission</w:t>
      </w:r>
    </w:p>
    <w:p w14:paraId="466AF554" w14:textId="2E820A05" w:rsidR="00D73D20" w:rsidRPr="00AD7238" w:rsidRDefault="00D73D20" w:rsidP="004C3425">
      <w:pPr>
        <w:pStyle w:val="TableFooter"/>
        <w:keepNext/>
        <w:keepLines/>
      </w:pPr>
      <w:r w:rsidRPr="00AD7238">
        <w:t>HZ</w:t>
      </w:r>
      <w:r w:rsidR="00DE338A" w:rsidRPr="00AD7238">
        <w:t xml:space="preserve"> = </w:t>
      </w:r>
      <w:r w:rsidRPr="00AD7238">
        <w:t>herpes zoster; IR</w:t>
      </w:r>
      <w:r w:rsidR="00DE338A" w:rsidRPr="00AD7238">
        <w:t xml:space="preserve"> = </w:t>
      </w:r>
      <w:r w:rsidRPr="00AD7238">
        <w:t>incidence rate; LTFU</w:t>
      </w:r>
      <w:r w:rsidR="00DE338A" w:rsidRPr="00AD7238">
        <w:t xml:space="preserve"> = </w:t>
      </w:r>
      <w:r w:rsidRPr="00AD7238">
        <w:t xml:space="preserve">long-term follow-up; </w:t>
      </w:r>
      <w:r w:rsidR="001D513B">
        <w:t xml:space="preserve">mTVC = modified total vaccinated cohort; </w:t>
      </w:r>
      <w:r w:rsidRPr="00AD7238">
        <w:t>N</w:t>
      </w:r>
      <w:r w:rsidR="00DE338A" w:rsidRPr="00AD7238">
        <w:t xml:space="preserve"> = </w:t>
      </w:r>
      <w:r w:rsidRPr="00AD7238">
        <w:t>number of individuals included in each group; n</w:t>
      </w:r>
      <w:r w:rsidR="00DE338A" w:rsidRPr="00AD7238">
        <w:t xml:space="preserve"> = </w:t>
      </w:r>
      <w:r w:rsidRPr="00AD7238">
        <w:t>number of individuals having at least one confirmed herpes zoster episode; PY</w:t>
      </w:r>
      <w:r w:rsidR="00DE338A" w:rsidRPr="00AD7238">
        <w:t xml:space="preserve"> = </w:t>
      </w:r>
      <w:r w:rsidRPr="00AD7238">
        <w:t>person-year; RZV</w:t>
      </w:r>
      <w:r w:rsidR="00DE338A" w:rsidRPr="00AD7238">
        <w:t xml:space="preserve"> = </w:t>
      </w:r>
      <w:r w:rsidRPr="00AD7238">
        <w:t>recombinant zoster vaccine (</w:t>
      </w:r>
      <w:r w:rsidRPr="00615B0D">
        <w:rPr>
          <w:iCs/>
        </w:rPr>
        <w:t>Shingrix</w:t>
      </w:r>
      <w:r w:rsidRPr="00AD7238">
        <w:t>); T (year)</w:t>
      </w:r>
      <w:r w:rsidR="00DE338A" w:rsidRPr="00AD7238">
        <w:t xml:space="preserve"> = </w:t>
      </w:r>
      <w:r w:rsidRPr="00AD7238">
        <w:t>sum of follow-up expressed in years; VE</w:t>
      </w:r>
      <w:r w:rsidR="00DE338A" w:rsidRPr="00AD7238">
        <w:t xml:space="preserve"> = </w:t>
      </w:r>
      <w:r w:rsidRPr="00AD7238">
        <w:t xml:space="preserve">vaccine efficacy. </w:t>
      </w:r>
    </w:p>
    <w:p w14:paraId="4435945A" w14:textId="780B3B63" w:rsidR="00D73D20" w:rsidRPr="00AD7238" w:rsidRDefault="00D73D20" w:rsidP="004C3425">
      <w:pPr>
        <w:pStyle w:val="TableFooter"/>
        <w:keepNext/>
        <w:keepLines/>
        <w:rPr>
          <w:color w:val="000000"/>
        </w:rPr>
      </w:pPr>
      <w:r w:rsidRPr="00AD7238">
        <w:rPr>
          <w:color w:val="000000"/>
        </w:rPr>
        <w:t xml:space="preserve">Notes: The follow-up ceased at the first occurrence of a confirmed herpes zoster episode, last contact date, or data lock point for this second interim analysis. All efficacy estimates are adjusted by region. </w:t>
      </w:r>
    </w:p>
    <w:p w14:paraId="56892C11" w14:textId="77777777" w:rsidR="00D73D20" w:rsidRPr="00E13BA9" w:rsidRDefault="00D73D20" w:rsidP="004C3425">
      <w:pPr>
        <w:pStyle w:val="TableFooter"/>
        <w:keepNext/>
        <w:keepLines/>
        <w:rPr>
          <w:color w:val="000000"/>
          <w:szCs w:val="18"/>
        </w:rPr>
      </w:pPr>
      <w:r w:rsidRPr="00C36EA3">
        <w:rPr>
          <w:color w:val="000000"/>
          <w:szCs w:val="18"/>
          <w:vertAlign w:val="superscript"/>
        </w:rPr>
        <w:t>a</w:t>
      </w:r>
      <w:r w:rsidRPr="00E13BA9">
        <w:rPr>
          <w:color w:val="000000"/>
          <w:szCs w:val="18"/>
        </w:rPr>
        <w:t xml:space="preserve"> RZV vs matched historical controls from the placebo group in the ZOE-50/70 studies. </w:t>
      </w:r>
    </w:p>
    <w:p w14:paraId="676C6D2D" w14:textId="77777777" w:rsidR="00D73D20" w:rsidRPr="00E13BA9" w:rsidRDefault="00D73D20" w:rsidP="004C3425">
      <w:pPr>
        <w:pStyle w:val="TableFooter"/>
        <w:keepNext/>
        <w:keepLines/>
        <w:rPr>
          <w:color w:val="000000"/>
          <w:szCs w:val="18"/>
        </w:rPr>
      </w:pPr>
      <w:r w:rsidRPr="00C36EA3">
        <w:rPr>
          <w:color w:val="000000"/>
          <w:szCs w:val="18"/>
          <w:vertAlign w:val="superscript"/>
        </w:rPr>
        <w:t>b</w:t>
      </w:r>
      <w:r w:rsidRPr="00E13BA9">
        <w:rPr>
          <w:color w:val="000000"/>
          <w:szCs w:val="18"/>
        </w:rPr>
        <w:t xml:space="preserve"> RZV vs placebo recipients from the ZOE-50/70 trials adjusted for region. </w:t>
      </w:r>
    </w:p>
    <w:p w14:paraId="45A551DB" w14:textId="4D11BD17" w:rsidR="00D73D20" w:rsidRPr="00AD7238" w:rsidRDefault="00D73D20" w:rsidP="004C3425">
      <w:pPr>
        <w:pStyle w:val="TableFooter"/>
        <w:keepNext/>
        <w:keepLines/>
        <w:rPr>
          <w:color w:val="000000"/>
          <w:szCs w:val="18"/>
        </w:rPr>
      </w:pPr>
      <w:r w:rsidRPr="00C36EA3">
        <w:rPr>
          <w:color w:val="000000"/>
          <w:szCs w:val="18"/>
          <w:vertAlign w:val="superscript"/>
        </w:rPr>
        <w:t>c</w:t>
      </w:r>
      <w:r w:rsidRPr="00E13BA9">
        <w:rPr>
          <w:color w:val="000000"/>
          <w:szCs w:val="18"/>
        </w:rPr>
        <w:t xml:space="preserve"> At</w:t>
      </w:r>
      <w:r w:rsidRPr="00AD7238">
        <w:rPr>
          <w:color w:val="000000"/>
          <w:szCs w:val="18"/>
        </w:rPr>
        <w:t xml:space="preserve"> the data lock point data collection for year 10 was still incomplete. </w:t>
      </w:r>
    </w:p>
    <w:p w14:paraId="6A6B43A0" w14:textId="77777777" w:rsidR="00F12F79" w:rsidRPr="00AD7238" w:rsidRDefault="00F12F79" w:rsidP="00D73D20">
      <w:pPr>
        <w:pStyle w:val="TableFooter"/>
        <w:rPr>
          <w:color w:val="000000"/>
          <w:szCs w:val="18"/>
        </w:rPr>
      </w:pPr>
    </w:p>
    <w:p w14:paraId="6C94F3E3" w14:textId="31698D76" w:rsidR="00D73D20" w:rsidRPr="00AD7238" w:rsidRDefault="00D73D20" w:rsidP="00D73D20">
      <w:pPr>
        <w:pStyle w:val="3-BodyText"/>
      </w:pPr>
      <w:r w:rsidRPr="00AD7238">
        <w:t>Although VE</w:t>
      </w:r>
      <w:r w:rsidRPr="00AD7238">
        <w:rPr>
          <w:vertAlign w:val="subscript"/>
        </w:rPr>
        <w:t xml:space="preserve">HZ </w:t>
      </w:r>
      <w:r w:rsidRPr="00AD7238">
        <w:t>remained high and reduction in HZ cases by RZV remained statistically significant, VE</w:t>
      </w:r>
      <w:r w:rsidRPr="00AD7238">
        <w:rPr>
          <w:vertAlign w:val="subscript"/>
        </w:rPr>
        <w:t xml:space="preserve">HZ </w:t>
      </w:r>
      <w:r w:rsidRPr="00AD7238">
        <w:t xml:space="preserve">waned from 97.7% in Year 1 to 72.7% in Year 9. Data for Year 10 is incomplete, and the trial is estimated to be completed in January 2024. </w:t>
      </w:r>
      <w:r w:rsidRPr="00615B0D">
        <w:rPr>
          <w:iCs/>
        </w:rPr>
        <w:t xml:space="preserve">Data presented </w:t>
      </w:r>
      <w:r w:rsidR="004C4C12">
        <w:rPr>
          <w:iCs/>
        </w:rPr>
        <w:t>are for</w:t>
      </w:r>
      <w:r w:rsidR="004C4C12" w:rsidRPr="00615B0D">
        <w:rPr>
          <w:iCs/>
        </w:rPr>
        <w:t xml:space="preserve"> </w:t>
      </w:r>
      <w:r w:rsidRPr="00615B0D">
        <w:rPr>
          <w:iCs/>
        </w:rPr>
        <w:t xml:space="preserve">trial participants who have received both RZV doses. </w:t>
      </w:r>
      <w:r w:rsidR="000A6496" w:rsidRPr="00A65E17">
        <w:t>The ESC acknowledged the reduction in VE</w:t>
      </w:r>
      <w:r w:rsidR="000A6496" w:rsidRPr="00A65E17">
        <w:rPr>
          <w:vertAlign w:val="subscript"/>
        </w:rPr>
        <w:t>HZ</w:t>
      </w:r>
      <w:r w:rsidR="000A6496" w:rsidRPr="00A65E17">
        <w:t xml:space="preserve"> over time, with a marked reduction in Year 9 (but noted the wide </w:t>
      </w:r>
      <w:r w:rsidR="00331A7C" w:rsidRPr="00A65E17">
        <w:t>CIs</w:t>
      </w:r>
      <w:r w:rsidR="000A6496" w:rsidRPr="00A65E17">
        <w:t xml:space="preserve"> around the Year 9 estimate). </w:t>
      </w:r>
      <w:r w:rsidR="00E92AD1" w:rsidRPr="00A65E17">
        <w:t xml:space="preserve">The </w:t>
      </w:r>
      <w:r w:rsidR="00915A5A">
        <w:t>Pre-Sub-Committee Response (</w:t>
      </w:r>
      <w:r w:rsidR="00E92AD1" w:rsidRPr="00A65E17">
        <w:t>PSCR</w:t>
      </w:r>
      <w:r w:rsidR="00915A5A">
        <w:t>)</w:t>
      </w:r>
      <w:r w:rsidR="00E92AD1" w:rsidRPr="00A65E17">
        <w:t xml:space="preserve"> stated the reported reduced VE</w:t>
      </w:r>
      <w:r w:rsidR="00C34821" w:rsidRPr="00A65E17">
        <w:t xml:space="preserve"> in Year 9</w:t>
      </w:r>
      <w:r w:rsidR="00E92AD1" w:rsidRPr="00A65E17">
        <w:t xml:space="preserve"> coincides with the COVID-19 pandemic, which may have contributed to an increased risk of HZ in adults diagnosed with COVID-19 (Bhavsar, 2022).</w:t>
      </w:r>
      <w:r w:rsidR="00E92AD1" w:rsidRPr="00E92AD1">
        <w:rPr>
          <w:iCs/>
        </w:rPr>
        <w:t xml:space="preserve"> </w:t>
      </w:r>
      <w:r w:rsidR="00E92AD1" w:rsidRPr="00A65E17">
        <w:t xml:space="preserve">The PSCR stated subjects have also been lost to follow-up over time, due to the ageing population, contributing to increased variability of VE estimates in the </w:t>
      </w:r>
      <w:r w:rsidR="00C53D68">
        <w:t>long term follow up (</w:t>
      </w:r>
      <w:r w:rsidR="00E92AD1" w:rsidRPr="00A65E17">
        <w:t>LTFU</w:t>
      </w:r>
      <w:r w:rsidR="00C53D68">
        <w:t>)</w:t>
      </w:r>
      <w:r w:rsidR="00E92AD1" w:rsidRPr="00A65E17">
        <w:t xml:space="preserve"> data.</w:t>
      </w:r>
      <w:r w:rsidR="00E92AD1" w:rsidRPr="00E92AD1">
        <w:rPr>
          <w:iCs/>
        </w:rPr>
        <w:t xml:space="preserve"> </w:t>
      </w:r>
      <w:r w:rsidR="00E92AD1" w:rsidRPr="00A65E17">
        <w:t>Furthermore, the PSCR noted estimates of RZV VE</w:t>
      </w:r>
      <w:r w:rsidR="00E92AD1" w:rsidRPr="00A65E17">
        <w:rPr>
          <w:vertAlign w:val="subscript"/>
        </w:rPr>
        <w:t>HZ</w:t>
      </w:r>
      <w:r w:rsidR="00E92AD1" w:rsidRPr="00A65E17">
        <w:t xml:space="preserve"> beyond Year 4 in ZOSTER-049 may be conservative, as adjustments for subject ageing and increasing risk of HZ over time were not included in the regression model for the historical control group.</w:t>
      </w:r>
      <w:r w:rsidR="00B97F3E" w:rsidRPr="00A65E17">
        <w:t xml:space="preserve"> The ESC noted the referenced study (Bhavsar, 2022) did report a higher HZ risk in people ≥ 50 YOA diagnosed with COVID-19. However, the ESC considered this data may not be directly comparable to the Australian population due to the differing epidemiology of COVID-19 between countries. The ESC noted data reported by the NNDSS indicated a reduced number of </w:t>
      </w:r>
      <w:r w:rsidR="004C4C12">
        <w:lastRenderedPageBreak/>
        <w:t>HZ</w:t>
      </w:r>
      <w:r w:rsidR="004C4C12" w:rsidRPr="00A65E17">
        <w:t xml:space="preserve"> </w:t>
      </w:r>
      <w:r w:rsidR="00B97F3E" w:rsidRPr="00A65E17">
        <w:t>cases reported for people ≥ 70 YOA between 2020 and 2022</w:t>
      </w:r>
      <w:r w:rsidR="00881071" w:rsidRPr="00A65E17">
        <w:rPr>
          <w:rStyle w:val="FootnoteReference"/>
        </w:rPr>
        <w:footnoteReference w:id="3"/>
      </w:r>
      <w:r w:rsidR="00BD7C4B" w:rsidRPr="00A65E17">
        <w:t>, which may reflect a reduced number or cases and/or reduced diagnosis/reporting</w:t>
      </w:r>
      <w:r w:rsidR="00B97F3E" w:rsidRPr="00A65E17">
        <w:t xml:space="preserve">. </w:t>
      </w:r>
    </w:p>
    <w:p w14:paraId="295D4A05" w14:textId="1974B093" w:rsidR="00D73D20" w:rsidRPr="00AD7238" w:rsidRDefault="00D73D20" w:rsidP="003C590D">
      <w:pPr>
        <w:pStyle w:val="3-BodyText"/>
        <w:numPr>
          <w:ilvl w:val="0"/>
          <w:numId w:val="0"/>
        </w:numPr>
        <w:ind w:left="720" w:hanging="720"/>
        <w:outlineLvl w:val="2"/>
        <w:rPr>
          <w:b/>
          <w:bCs/>
          <w:u w:val="single"/>
        </w:rPr>
      </w:pPr>
      <w:r w:rsidRPr="00AD7238">
        <w:rPr>
          <w:b/>
          <w:bCs/>
          <w:u w:val="single"/>
        </w:rPr>
        <w:t>Supportive evidence</w:t>
      </w:r>
    </w:p>
    <w:p w14:paraId="7AED73B6" w14:textId="35729C16" w:rsidR="00D73D20" w:rsidRPr="00AD7238" w:rsidRDefault="00D73D20" w:rsidP="00D73D20">
      <w:pPr>
        <w:pStyle w:val="3-BodyText"/>
      </w:pPr>
      <w:r w:rsidRPr="00AD7238">
        <w:t xml:space="preserve">The </w:t>
      </w:r>
      <w:r w:rsidR="00DE338A" w:rsidRPr="00AD7238">
        <w:t>re</w:t>
      </w:r>
      <w:r w:rsidRPr="00AD7238">
        <w:t xml:space="preserve">submission presented supportive evidence for </w:t>
      </w:r>
      <w:r w:rsidR="00A129F0" w:rsidRPr="00AD7238">
        <w:t xml:space="preserve">the </w:t>
      </w:r>
      <w:r w:rsidRPr="00AD7238">
        <w:t xml:space="preserve">proposed </w:t>
      </w:r>
      <w:r w:rsidR="00A129F0" w:rsidRPr="00AD7238">
        <w:t xml:space="preserve">NIP </w:t>
      </w:r>
      <w:r w:rsidRPr="00AD7238">
        <w:t>populations that were excluded from the ZOE-50</w:t>
      </w:r>
      <w:r w:rsidR="00452116">
        <w:t xml:space="preserve"> and ZOE</w:t>
      </w:r>
      <w:r w:rsidRPr="00AD7238">
        <w:t xml:space="preserve">-70 trials. This included immunocompromised </w:t>
      </w:r>
      <w:r w:rsidR="001F01F8">
        <w:t>people</w:t>
      </w:r>
      <w:r w:rsidR="001F01F8" w:rsidRPr="00AD7238">
        <w:t xml:space="preserve"> </w:t>
      </w:r>
      <w:r w:rsidRPr="00AD7238">
        <w:t xml:space="preserve">and individuals who previously experienced HZ or previously </w:t>
      </w:r>
      <w:r w:rsidR="0065470B">
        <w:t>received</w:t>
      </w:r>
      <w:r w:rsidRPr="00AD7238">
        <w:t xml:space="preserve"> ZVL. </w:t>
      </w:r>
    </w:p>
    <w:p w14:paraId="027CFB6A" w14:textId="1E9AA809" w:rsidR="00D73D20" w:rsidRPr="00AD7238" w:rsidRDefault="00D73D20" w:rsidP="00D73D20">
      <w:pPr>
        <w:pStyle w:val="3-BodyText"/>
      </w:pPr>
      <w:r w:rsidRPr="00AD7238">
        <w:t xml:space="preserve">Supportive evidence for individuals who have previously experienced HZ or previously </w:t>
      </w:r>
      <w:r w:rsidR="005A2E65">
        <w:t>received</w:t>
      </w:r>
      <w:r w:rsidRPr="00AD7238">
        <w:t xml:space="preserve"> ZVL include:</w:t>
      </w:r>
    </w:p>
    <w:p w14:paraId="0FC5D360" w14:textId="47ADF069" w:rsidR="00D73D20" w:rsidRPr="00AD7238" w:rsidRDefault="00D73D20" w:rsidP="00D5557B">
      <w:pPr>
        <w:pStyle w:val="ListParagraph"/>
        <w:numPr>
          <w:ilvl w:val="0"/>
          <w:numId w:val="25"/>
        </w:numPr>
      </w:pPr>
      <w:r w:rsidRPr="00AD7238">
        <w:t>ZOSTER-033: An open</w:t>
      </w:r>
      <w:r w:rsidR="00A129F0" w:rsidRPr="00AD7238">
        <w:t xml:space="preserve"> label</w:t>
      </w:r>
      <w:r w:rsidRPr="00AD7238">
        <w:t xml:space="preserve">, single arm immunogenicity and safety study in </w:t>
      </w:r>
      <w:r w:rsidR="00897A83" w:rsidRPr="00AD7238">
        <w:t xml:space="preserve">people </w:t>
      </w:r>
      <w:r w:rsidRPr="00AD7238">
        <w:t xml:space="preserve">≥ 50 YOA who previously have had HZ demonstrated its primary objective of </w:t>
      </w:r>
      <w:r w:rsidR="00B05BB1">
        <w:t xml:space="preserve">a lower limit of the 95% CI </w:t>
      </w:r>
      <w:r w:rsidRPr="00AD7238">
        <w:t xml:space="preserve">≥ 60% anti-gE vaccine response rate (VRR) one month following a two-dose </w:t>
      </w:r>
      <w:r w:rsidRPr="006E790F">
        <w:t>vaccination (81.7%). No safety concerns</w:t>
      </w:r>
      <w:r w:rsidRPr="00AD7238">
        <w:t xml:space="preserve"> were identified in this study.</w:t>
      </w:r>
    </w:p>
    <w:p w14:paraId="334AB064" w14:textId="3D1E5B8A" w:rsidR="00D73D20" w:rsidRPr="00AD7238" w:rsidRDefault="00D73D20" w:rsidP="00D5557B">
      <w:pPr>
        <w:pStyle w:val="ListParagraph"/>
        <w:numPr>
          <w:ilvl w:val="0"/>
          <w:numId w:val="25"/>
        </w:numPr>
      </w:pPr>
      <w:r w:rsidRPr="00AD7238">
        <w:t xml:space="preserve">ZOSTER-048: An open label, group-matched multicentre immunogenicity and safety study comparing RZV in </w:t>
      </w:r>
      <w:r w:rsidR="00897A83" w:rsidRPr="00AD7238">
        <w:t>people</w:t>
      </w:r>
      <w:r w:rsidRPr="00AD7238">
        <w:t xml:space="preserve"> ≥</w:t>
      </w:r>
      <w:r w:rsidR="005A2E65">
        <w:t xml:space="preserve"> </w:t>
      </w:r>
      <w:r w:rsidRPr="00AD7238">
        <w:t>65 YOA who were previously vaccinated with ZVL ≥</w:t>
      </w:r>
      <w:r w:rsidR="005A2E65">
        <w:t xml:space="preserve"> </w:t>
      </w:r>
      <w:r w:rsidRPr="00AD7238">
        <w:t xml:space="preserve">5 years prior compared to adults who never received ZVL showed that the immunogenicity profiles between the two groups were similar. </w:t>
      </w:r>
    </w:p>
    <w:p w14:paraId="535DC4BE" w14:textId="77777777" w:rsidR="00D73D20" w:rsidRPr="00AD7238" w:rsidRDefault="00D73D20" w:rsidP="00D5557B">
      <w:pPr>
        <w:pStyle w:val="ListParagraph"/>
        <w:numPr>
          <w:ilvl w:val="0"/>
          <w:numId w:val="25"/>
        </w:numPr>
        <w:rPr>
          <w:rFonts w:eastAsia="MinionPro-Regular"/>
        </w:rPr>
      </w:pPr>
      <w:r w:rsidRPr="00AD7238">
        <w:t xml:space="preserve">ZOSTER-046 (Weinberg, 2018): A </w:t>
      </w:r>
      <w:r w:rsidRPr="00AD7238">
        <w:rPr>
          <w:rFonts w:eastAsia="MinionPro-Regular"/>
        </w:rPr>
        <w:t>randomized, double-blind, placebo-controlled immunogenicity trial stratified by age (</w:t>
      </w:r>
      <w:r w:rsidRPr="00AD7238">
        <w:t>50–59 and 70–85</w:t>
      </w:r>
      <w:r w:rsidRPr="00AD7238">
        <w:rPr>
          <w:rFonts w:eastAsia="MinionPro-Regular"/>
        </w:rPr>
        <w:t xml:space="preserve"> YOA) demonstrated no </w:t>
      </w:r>
      <w:r w:rsidRPr="00AD7238">
        <w:t>difference in immunogenicity outcomes</w:t>
      </w:r>
      <w:r w:rsidRPr="00AD7238">
        <w:rPr>
          <w:rFonts w:eastAsia="MinionPro-Regular"/>
        </w:rPr>
        <w:t xml:space="preserve"> (cell-mediated immunity, CMI)</w:t>
      </w:r>
      <w:r w:rsidRPr="00AD7238">
        <w:t xml:space="preserve"> for RZV between vaccine-naïve participants and prior ZVL recipients</w:t>
      </w:r>
      <w:r w:rsidRPr="00AD7238">
        <w:rPr>
          <w:rFonts w:eastAsia="MinionPro-Regular"/>
        </w:rPr>
        <w:t xml:space="preserve">. </w:t>
      </w:r>
    </w:p>
    <w:p w14:paraId="079E07B7" w14:textId="2888D846" w:rsidR="00D73D20" w:rsidRDefault="00D73D20" w:rsidP="00D73D20">
      <w:pPr>
        <w:pStyle w:val="3-BodyText"/>
        <w:rPr>
          <w:iCs/>
        </w:rPr>
      </w:pPr>
      <w:r w:rsidRPr="00AD7238">
        <w:t xml:space="preserve">The </w:t>
      </w:r>
      <w:r w:rsidR="00815FA2" w:rsidRPr="00AD7238">
        <w:t>re</w:t>
      </w:r>
      <w:r w:rsidRPr="00AD7238">
        <w:t xml:space="preserve">submission also included four observational studies to support </w:t>
      </w:r>
      <w:r w:rsidR="004776AC" w:rsidRPr="00AD7238">
        <w:t>vaccine efficacy</w:t>
      </w:r>
      <w:r w:rsidRPr="00AD7238">
        <w:t xml:space="preserve"> of RZV in adults who received prior ZVL (Izurieta 2021; Sun 2021a; Sun 2021b; Lu 2021). These were studies which compared VE</w:t>
      </w:r>
      <w:r w:rsidR="006B3205">
        <w:rPr>
          <w:vertAlign w:val="subscript"/>
        </w:rPr>
        <w:t>HZ</w:t>
      </w:r>
      <w:r w:rsidRPr="00AD7238">
        <w:t xml:space="preserve"> in ZVL-naïve individuals and those with prior ZVL vaccination in the previous year (Lu 2021; Sun 2021a) or within 5 years (Sun 2021b; Izurieta 2021). VE</w:t>
      </w:r>
      <w:r w:rsidR="006B3205">
        <w:rPr>
          <w:vertAlign w:val="subscript"/>
        </w:rPr>
        <w:t>HZ</w:t>
      </w:r>
      <w:r w:rsidRPr="00AD7238">
        <w:t xml:space="preserve"> among those &gt;</w:t>
      </w:r>
      <w:r w:rsidR="006B3205">
        <w:t xml:space="preserve"> </w:t>
      </w:r>
      <w:r w:rsidRPr="00AD7238">
        <w:t>65 YOA with prior ZVL vaccination within 5 years was 63% (95% CI, 58.3, 67.2)</w:t>
      </w:r>
      <w:r w:rsidR="00645957" w:rsidRPr="00AD7238">
        <w:t xml:space="preserve"> compared to 71.1% (95% CI: 69.5, 72.6%) in ZVL naïve </w:t>
      </w:r>
      <w:r w:rsidR="00645957" w:rsidRPr="006E790F">
        <w:t>people</w:t>
      </w:r>
      <w:r w:rsidRPr="006E790F">
        <w:t xml:space="preserve"> </w:t>
      </w:r>
      <w:r w:rsidR="00A67DBA" w:rsidRPr="006E790F">
        <w:t xml:space="preserve">with </w:t>
      </w:r>
      <w:r w:rsidRPr="006E790F">
        <w:t>an absolute difference of 8.1%</w:t>
      </w:r>
      <w:r w:rsidRPr="00AD7238">
        <w:rPr>
          <w:rFonts w:cs="Calibri"/>
          <w:sz w:val="22"/>
          <w:szCs w:val="22"/>
        </w:rPr>
        <w:t xml:space="preserve"> (</w:t>
      </w:r>
      <w:r w:rsidRPr="00AD7238">
        <w:t xml:space="preserve">Izurieta 2021). </w:t>
      </w:r>
      <w:r w:rsidRPr="00615B0D">
        <w:rPr>
          <w:iCs/>
        </w:rPr>
        <w:t xml:space="preserve">ATAGI noted that this </w:t>
      </w:r>
      <w:r w:rsidR="006C48A0">
        <w:rPr>
          <w:iCs/>
        </w:rPr>
        <w:t xml:space="preserve">difference </w:t>
      </w:r>
      <w:r w:rsidRPr="00615B0D">
        <w:rPr>
          <w:iCs/>
        </w:rPr>
        <w:t xml:space="preserve">may have been driven by the lower rate of HZ incidence in </w:t>
      </w:r>
      <w:r w:rsidR="002409AE">
        <w:rPr>
          <w:iCs/>
        </w:rPr>
        <w:t xml:space="preserve">individuals </w:t>
      </w:r>
      <w:r w:rsidRPr="00615B0D">
        <w:rPr>
          <w:iCs/>
        </w:rPr>
        <w:t>with ZVL vaccination compared to ZVL-naïve</w:t>
      </w:r>
      <w:r w:rsidR="002409AE">
        <w:rPr>
          <w:iCs/>
        </w:rPr>
        <w:t xml:space="preserve"> people</w:t>
      </w:r>
      <w:r w:rsidRPr="00615B0D">
        <w:rPr>
          <w:iCs/>
        </w:rPr>
        <w:t xml:space="preserve"> and could be indicative of residual protection against HZ in those with prior ZVL.</w:t>
      </w:r>
    </w:p>
    <w:p w14:paraId="15C9C1F5" w14:textId="37EB7DEC" w:rsidR="006F7065" w:rsidRPr="006F7065" w:rsidRDefault="006F7065" w:rsidP="00D73D20">
      <w:pPr>
        <w:pStyle w:val="3-BodyText"/>
      </w:pPr>
      <w:r>
        <w:rPr>
          <w:iCs/>
        </w:rPr>
        <w:lastRenderedPageBreak/>
        <w:t xml:space="preserve">The </w:t>
      </w:r>
      <w:r w:rsidRPr="00615B0D">
        <w:rPr>
          <w:iCs/>
        </w:rPr>
        <w:t xml:space="preserve">ATAGI </w:t>
      </w:r>
      <w:r w:rsidR="006C48A0">
        <w:rPr>
          <w:iCs/>
        </w:rPr>
        <w:t xml:space="preserve">advice also </w:t>
      </w:r>
      <w:r w:rsidRPr="00615B0D">
        <w:rPr>
          <w:iCs/>
        </w:rPr>
        <w:t>noted that supportive studies showed favourable safety, robust immunogenicity and efficacy outcomes in those with history of HZ and those who previously received ZVL in the previous 5 years.</w:t>
      </w:r>
    </w:p>
    <w:p w14:paraId="549ABE96" w14:textId="205BB93A" w:rsidR="00D73D20" w:rsidRPr="00AD7238" w:rsidRDefault="00D73D20" w:rsidP="00D73D20">
      <w:pPr>
        <w:pStyle w:val="3-BodyText"/>
      </w:pPr>
      <w:r w:rsidRPr="00AD7238">
        <w:t>Supportive evidence on selected immunocompromised or high-risk populations such as hematopoietic cell transplant recipients, HIV infected individuals,</w:t>
      </w:r>
      <w:r w:rsidR="002409AE">
        <w:t xml:space="preserve"> people</w:t>
      </w:r>
      <w:r w:rsidR="001F01F8">
        <w:t xml:space="preserve"> with </w:t>
      </w:r>
      <w:r w:rsidRPr="00AD7238">
        <w:t>solid tumours receiving chemotherapy and those with renal transplant were presented. These include:</w:t>
      </w:r>
    </w:p>
    <w:p w14:paraId="4F8E68CB" w14:textId="2A4B3148" w:rsidR="00D73D20" w:rsidRPr="00AD7238" w:rsidRDefault="00D73D20" w:rsidP="00D5557B">
      <w:pPr>
        <w:pStyle w:val="ListParagraph"/>
        <w:numPr>
          <w:ilvl w:val="0"/>
          <w:numId w:val="26"/>
        </w:numPr>
      </w:pPr>
      <w:r w:rsidRPr="00AD7238">
        <w:t xml:space="preserve">ZOSTER-001: A randomised, </w:t>
      </w:r>
      <w:r w:rsidR="001D513B">
        <w:t>obse</w:t>
      </w:r>
      <w:r w:rsidR="00644DA5">
        <w:t>r</w:t>
      </w:r>
      <w:r w:rsidR="001D513B">
        <w:t xml:space="preserve">ver-blind, </w:t>
      </w:r>
      <w:r w:rsidRPr="00AD7238">
        <w:t>placebo-controlled immunogenicity and safety trial in those who had undergone autologous H</w:t>
      </w:r>
      <w:r w:rsidR="006B3205">
        <w:t>S</w:t>
      </w:r>
      <w:r w:rsidRPr="00AD7238">
        <w:t>CT</w:t>
      </w:r>
      <w:r w:rsidR="00E264AE">
        <w:t>.</w:t>
      </w:r>
      <w:r w:rsidRPr="00AD7238">
        <w:t xml:space="preserve"> </w:t>
      </w:r>
    </w:p>
    <w:p w14:paraId="25570798" w14:textId="4DC738F5" w:rsidR="00D73D20" w:rsidRPr="00AD7238" w:rsidRDefault="00D73D20" w:rsidP="00D5557B">
      <w:pPr>
        <w:pStyle w:val="ListParagraph"/>
        <w:numPr>
          <w:ilvl w:val="0"/>
          <w:numId w:val="26"/>
        </w:numPr>
      </w:pPr>
      <w:r w:rsidRPr="00AD7238">
        <w:t xml:space="preserve">ZOSTER-002: </w:t>
      </w:r>
      <w:bookmarkStart w:id="29" w:name="_Hlk124937048"/>
      <w:r w:rsidRPr="00AD7238">
        <w:t>A randomi</w:t>
      </w:r>
      <w:r w:rsidR="00897A83" w:rsidRPr="00AD7238">
        <w:t>s</w:t>
      </w:r>
      <w:r w:rsidRPr="00AD7238">
        <w:t xml:space="preserve">ed, observer-blind, placebo-controlled </w:t>
      </w:r>
      <w:r w:rsidR="00D21A36" w:rsidRPr="00AD7238">
        <w:t xml:space="preserve">efficacy and </w:t>
      </w:r>
      <w:r w:rsidRPr="00AD7238">
        <w:t>safety trial evaluating</w:t>
      </w:r>
      <w:r w:rsidR="00EA6F59">
        <w:t xml:space="preserve"> the</w:t>
      </w:r>
      <w:r w:rsidRPr="00AD7238">
        <w:t xml:space="preserve"> VE</w:t>
      </w:r>
      <w:r w:rsidR="006B3205">
        <w:rPr>
          <w:vertAlign w:val="subscript"/>
        </w:rPr>
        <w:t>HZ</w:t>
      </w:r>
      <w:r w:rsidRPr="00AD7238">
        <w:t xml:space="preserve"> </w:t>
      </w:r>
      <w:bookmarkEnd w:id="29"/>
      <w:r w:rsidR="006B3205">
        <w:t xml:space="preserve">of RZV </w:t>
      </w:r>
      <w:r w:rsidRPr="00AD7238">
        <w:t>in autologous H</w:t>
      </w:r>
      <w:r w:rsidR="006B3205">
        <w:t>S</w:t>
      </w:r>
      <w:r w:rsidRPr="00AD7238">
        <w:t xml:space="preserve">CT recipients. The </w:t>
      </w:r>
      <w:r w:rsidR="006B3205" w:rsidRPr="00AD7238">
        <w:t>VE</w:t>
      </w:r>
      <w:r w:rsidR="006B3205">
        <w:rPr>
          <w:vertAlign w:val="subscript"/>
        </w:rPr>
        <w:t>HZ</w:t>
      </w:r>
      <w:r w:rsidR="006B3205" w:rsidRPr="00AD7238">
        <w:t xml:space="preserve"> </w:t>
      </w:r>
      <w:r w:rsidR="00C76C8B">
        <w:t xml:space="preserve">in adults </w:t>
      </w:r>
      <w:r w:rsidR="006B3205">
        <w:t xml:space="preserve">was reported to be </w:t>
      </w:r>
      <w:r w:rsidRPr="00AD7238">
        <w:t>6</w:t>
      </w:r>
      <w:r w:rsidRPr="00A65E17">
        <w:rPr>
          <w:iCs/>
        </w:rPr>
        <w:t>8.</w:t>
      </w:r>
      <w:r w:rsidR="00C76C8B" w:rsidRPr="00A65E17">
        <w:rPr>
          <w:iCs/>
        </w:rPr>
        <w:t>2% (95%CI: 55.5, 77.6</w:t>
      </w:r>
      <w:r w:rsidR="00C76C8B">
        <w:t xml:space="preserve">) </w:t>
      </w:r>
      <w:r w:rsidR="006B3205">
        <w:t>(</w:t>
      </w:r>
      <w:r w:rsidRPr="00AD7238">
        <w:t>p&lt;0.0001</w:t>
      </w:r>
      <w:r w:rsidR="00692A30">
        <w:t>) (</w:t>
      </w:r>
      <w:r w:rsidRPr="00AD7238">
        <w:t>median follow-up of 21 months</w:t>
      </w:r>
      <w:r w:rsidR="00692A30">
        <w:t>)</w:t>
      </w:r>
      <w:r w:rsidRPr="00AD7238">
        <w:t xml:space="preserve">. </w:t>
      </w:r>
    </w:p>
    <w:p w14:paraId="16CB0F83" w14:textId="712654E1" w:rsidR="00D73D20" w:rsidRPr="00AD7238" w:rsidRDefault="00D73D20" w:rsidP="00D5557B">
      <w:pPr>
        <w:pStyle w:val="ListParagraph"/>
        <w:numPr>
          <w:ilvl w:val="0"/>
          <w:numId w:val="26"/>
        </w:numPr>
      </w:pPr>
      <w:r w:rsidRPr="00AD7238">
        <w:t xml:space="preserve">ZOSTER-015: A randomised, </w:t>
      </w:r>
      <w:r w:rsidR="00692A30">
        <w:t>observer-blind, placebo-</w:t>
      </w:r>
      <w:r w:rsidRPr="00AD7238">
        <w:t>controlled study evaluating safety and immunogenicity in HIV-infected adults at high risk of HZ</w:t>
      </w:r>
      <w:r w:rsidR="00E264AE">
        <w:t>.</w:t>
      </w:r>
      <w:r w:rsidRPr="00AD7238">
        <w:t xml:space="preserve"> </w:t>
      </w:r>
    </w:p>
    <w:p w14:paraId="071EDE66" w14:textId="10D3BB05" w:rsidR="00D73D20" w:rsidRPr="00AD7238" w:rsidRDefault="00D73D20" w:rsidP="00D5557B">
      <w:pPr>
        <w:pStyle w:val="ListParagraph"/>
        <w:numPr>
          <w:ilvl w:val="0"/>
          <w:numId w:val="26"/>
        </w:numPr>
      </w:pPr>
      <w:r w:rsidRPr="00AD7238">
        <w:t xml:space="preserve">ZOSTER-028: A randomised, observer-blind, placebo-controlled immunogenicity and safety trial in adults with solid tumours receiving chemotherapy. </w:t>
      </w:r>
    </w:p>
    <w:p w14:paraId="46469F4F" w14:textId="7A279970" w:rsidR="00D73D20" w:rsidRPr="00AD7238" w:rsidRDefault="00D73D20" w:rsidP="00D5557B">
      <w:pPr>
        <w:pStyle w:val="ListParagraph"/>
        <w:numPr>
          <w:ilvl w:val="0"/>
          <w:numId w:val="26"/>
        </w:numPr>
      </w:pPr>
      <w:r w:rsidRPr="00AD7238">
        <w:t>ZOSTER-039: A randomi</w:t>
      </w:r>
      <w:r w:rsidR="00EA6F59">
        <w:t>s</w:t>
      </w:r>
      <w:r w:rsidRPr="00AD7238">
        <w:t xml:space="preserve">ed, observer-blind, placebo-controlled immunogenicity and safety trial in adults with haematologic malignancies. </w:t>
      </w:r>
      <w:r w:rsidR="00C76C8B" w:rsidRPr="00A65E17">
        <w:rPr>
          <w:iCs/>
        </w:rPr>
        <w:t>A post-hoc analysis reported a VE</w:t>
      </w:r>
      <w:r w:rsidR="00C76C8B" w:rsidRPr="00A65E17">
        <w:rPr>
          <w:iCs/>
          <w:vertAlign w:val="subscript"/>
        </w:rPr>
        <w:t>HZ</w:t>
      </w:r>
      <w:r w:rsidR="00C76C8B" w:rsidRPr="00A65E17">
        <w:rPr>
          <w:iCs/>
        </w:rPr>
        <w:t xml:space="preserve"> of 87.2% (95%CI: 44.3, 98.6) (median follow up 11.1 months).</w:t>
      </w:r>
      <w:r w:rsidR="00C76C8B">
        <w:t xml:space="preserve">  </w:t>
      </w:r>
    </w:p>
    <w:p w14:paraId="1E5A72A4" w14:textId="09101225" w:rsidR="00D73D20" w:rsidRPr="00AD7238" w:rsidRDefault="00D73D20" w:rsidP="00D5557B">
      <w:pPr>
        <w:pStyle w:val="ListParagraph"/>
        <w:numPr>
          <w:ilvl w:val="0"/>
          <w:numId w:val="26"/>
        </w:numPr>
      </w:pPr>
      <w:r w:rsidRPr="00AD7238">
        <w:t>ZOSTER-041: A randomised, observer-blind, placebo-controlled, immunogenicity and safety trial in adults with renal transplant</w:t>
      </w:r>
      <w:r w:rsidR="00E264AE">
        <w:t>.</w:t>
      </w:r>
      <w:r w:rsidRPr="00AD7238">
        <w:t xml:space="preserve"> </w:t>
      </w:r>
    </w:p>
    <w:p w14:paraId="0EECC85C" w14:textId="1CEA3FF2" w:rsidR="00D73D20" w:rsidRPr="006E790F" w:rsidRDefault="00D73D20" w:rsidP="00D5557B">
      <w:pPr>
        <w:pStyle w:val="ListParagraph"/>
        <w:numPr>
          <w:ilvl w:val="0"/>
          <w:numId w:val="26"/>
        </w:numPr>
        <w:rPr>
          <w:rFonts w:ascii="Calibri" w:hAnsi="Calibri"/>
          <w:snapToGrid/>
        </w:rPr>
      </w:pPr>
      <w:r w:rsidRPr="00AD7238">
        <w:rPr>
          <w:rFonts w:ascii="Calibri" w:hAnsi="Calibri"/>
          <w:snapToGrid/>
        </w:rPr>
        <w:t>ZOE-50/-70 (post-hoc analysis): VE</w:t>
      </w:r>
      <w:r w:rsidR="00E85D1D">
        <w:rPr>
          <w:rFonts w:ascii="Calibri" w:hAnsi="Calibri"/>
          <w:snapToGrid/>
          <w:vertAlign w:val="subscript"/>
        </w:rPr>
        <w:t>HZ</w:t>
      </w:r>
      <w:r w:rsidRPr="00AD7238">
        <w:rPr>
          <w:rFonts w:ascii="Calibri" w:hAnsi="Calibri"/>
          <w:snapToGrid/>
        </w:rPr>
        <w:t xml:space="preserve"> of 90.5% (95% CI: 73.5, 97.5%) in ZOE-50/70 </w:t>
      </w:r>
      <w:r w:rsidRPr="006E790F">
        <w:rPr>
          <w:rFonts w:ascii="Calibri" w:hAnsi="Calibri"/>
          <w:snapToGrid/>
        </w:rPr>
        <w:t xml:space="preserve">participants with </w:t>
      </w:r>
      <w:r w:rsidR="00B05BB1" w:rsidRPr="006E790F">
        <w:rPr>
          <w:rFonts w:ascii="Calibri" w:hAnsi="Calibri"/>
          <w:snapToGrid/>
        </w:rPr>
        <w:t xml:space="preserve">at least one </w:t>
      </w:r>
      <w:r w:rsidRPr="006E790F">
        <w:rPr>
          <w:rFonts w:ascii="Calibri" w:hAnsi="Calibri"/>
          <w:snapToGrid/>
        </w:rPr>
        <w:t xml:space="preserve">pre-existing </w:t>
      </w:r>
      <w:r w:rsidR="00F86809" w:rsidRPr="006E790F">
        <w:rPr>
          <w:rFonts w:ascii="Calibri" w:hAnsi="Calibri"/>
          <w:snapToGrid/>
        </w:rPr>
        <w:t>potential immune-mediated disorder</w:t>
      </w:r>
      <w:r w:rsidR="00A67DBA" w:rsidRPr="006E790F">
        <w:rPr>
          <w:rFonts w:ascii="Calibri" w:hAnsi="Calibri"/>
          <w:snapToGrid/>
        </w:rPr>
        <w:t>s</w:t>
      </w:r>
      <w:r w:rsidR="00F86809" w:rsidRPr="006E790F">
        <w:rPr>
          <w:rFonts w:ascii="Calibri" w:hAnsi="Calibri"/>
          <w:snapToGrid/>
        </w:rPr>
        <w:t xml:space="preserve"> (</w:t>
      </w:r>
      <w:r w:rsidRPr="006E790F">
        <w:rPr>
          <w:rFonts w:ascii="Calibri" w:hAnsi="Calibri"/>
          <w:snapToGrid/>
        </w:rPr>
        <w:t>pIMD</w:t>
      </w:r>
      <w:r w:rsidR="00F86809" w:rsidRPr="006E790F">
        <w:rPr>
          <w:rFonts w:ascii="Calibri" w:hAnsi="Calibri"/>
          <w:snapToGrid/>
        </w:rPr>
        <w:t>)</w:t>
      </w:r>
      <w:r w:rsidRPr="006E790F">
        <w:rPr>
          <w:rFonts w:ascii="Calibri" w:hAnsi="Calibri"/>
          <w:snapToGrid/>
        </w:rPr>
        <w:t>, with the lowest being 84.4% (95% CI: 30.8, 98.3%) in the 70–79</w:t>
      </w:r>
      <w:r w:rsidR="0089048F" w:rsidRPr="006E790F">
        <w:rPr>
          <w:rFonts w:ascii="Calibri" w:hAnsi="Calibri"/>
          <w:snapToGrid/>
        </w:rPr>
        <w:t xml:space="preserve"> YOA</w:t>
      </w:r>
      <w:r w:rsidRPr="006E790F">
        <w:rPr>
          <w:rFonts w:ascii="Calibri" w:hAnsi="Calibri"/>
          <w:snapToGrid/>
        </w:rPr>
        <w:t xml:space="preserve"> group.</w:t>
      </w:r>
    </w:p>
    <w:p w14:paraId="235F8ADD" w14:textId="2FC187F1" w:rsidR="00D73D20" w:rsidRDefault="00F44270" w:rsidP="00C76C8B">
      <w:pPr>
        <w:pStyle w:val="3-BodyText"/>
      </w:pPr>
      <w:r w:rsidRPr="006E790F">
        <w:t xml:space="preserve">The </w:t>
      </w:r>
      <w:r w:rsidR="00D73D20" w:rsidRPr="006E790F">
        <w:t xml:space="preserve">ATAGI </w:t>
      </w:r>
      <w:r w:rsidR="006C48A0" w:rsidRPr="006E790F">
        <w:t xml:space="preserve">pre-submission advice </w:t>
      </w:r>
      <w:r w:rsidR="00D73D20" w:rsidRPr="006E790F">
        <w:t>noted that for immunocompromised adults aged 18-</w:t>
      </w:r>
      <w:r w:rsidR="00674C86">
        <w:t> </w:t>
      </w:r>
      <w:r w:rsidR="00D73D20" w:rsidRPr="006E790F">
        <w:t xml:space="preserve">49 years, RZV is the only vaccine indicated and available to prevent </w:t>
      </w:r>
      <w:r w:rsidR="00DF7B0A" w:rsidRPr="006E790F">
        <w:t>HZ</w:t>
      </w:r>
      <w:r w:rsidR="00D73D20" w:rsidRPr="006E790F">
        <w:t xml:space="preserve"> and</w:t>
      </w:r>
      <w:r w:rsidR="00DF7B0A" w:rsidRPr="006E790F">
        <w:t xml:space="preserve"> </w:t>
      </w:r>
      <w:r w:rsidR="00D73D20" w:rsidRPr="006E790F">
        <w:t xml:space="preserve">ATAGI recommended that immunocompromised adults </w:t>
      </w:r>
      <w:bookmarkStart w:id="30" w:name="_Hlk137587151"/>
      <w:r w:rsidR="00B05BB1" w:rsidRPr="006E790F">
        <w:rPr>
          <w:rFonts w:cstheme="minorHAnsi"/>
        </w:rPr>
        <w:t>≥</w:t>
      </w:r>
      <w:bookmarkEnd w:id="30"/>
      <w:r w:rsidR="00D73D20" w:rsidRPr="006E790F">
        <w:t xml:space="preserve">18 </w:t>
      </w:r>
      <w:r w:rsidR="00A9608F" w:rsidRPr="006E790F">
        <w:t>YOA</w:t>
      </w:r>
      <w:r w:rsidR="00D73D20" w:rsidRPr="006E790F">
        <w:t xml:space="preserve"> be considered as a separate NIP cohort. ATAGI noted that supportive studies showed favourable</w:t>
      </w:r>
      <w:r w:rsidR="00D73D20" w:rsidRPr="00615B0D">
        <w:t xml:space="preserve"> safety, robust immunogenicity and efficacy outcomes in adults ≥ 18 years at increased risk of HZ.</w:t>
      </w:r>
    </w:p>
    <w:p w14:paraId="10F320E3" w14:textId="77777777" w:rsidR="00D73D20" w:rsidRPr="00AD7238" w:rsidRDefault="00D73D20" w:rsidP="00D73D20">
      <w:pPr>
        <w:pStyle w:val="4-SubsectionHeading"/>
      </w:pPr>
      <w:bookmarkStart w:id="31" w:name="_Toc22897642"/>
      <w:bookmarkStart w:id="32" w:name="_Toc124949414"/>
      <w:r w:rsidRPr="00AD7238">
        <w:t>Comparative harms</w:t>
      </w:r>
      <w:bookmarkEnd w:id="31"/>
      <w:bookmarkEnd w:id="32"/>
    </w:p>
    <w:p w14:paraId="5A416EDE" w14:textId="3DAE180D" w:rsidR="00D73D20" w:rsidRPr="00AD7238" w:rsidRDefault="00D73D20" w:rsidP="00D73D20">
      <w:pPr>
        <w:pStyle w:val="3-BodyText"/>
      </w:pPr>
      <w:r w:rsidRPr="00AD7238">
        <w:fldChar w:fldCharType="begin" w:fldLock="1"/>
      </w:r>
      <w:r w:rsidRPr="00AD7238">
        <w:instrText xml:space="preserve"> REF _Ref122266001 \h </w:instrText>
      </w:r>
      <w:r w:rsidRPr="00AD7238">
        <w:fldChar w:fldCharType="separate"/>
      </w:r>
      <w:r w:rsidR="00602E99" w:rsidRPr="00AD7238">
        <w:t xml:space="preserve">Table </w:t>
      </w:r>
      <w:r w:rsidR="00602E99">
        <w:rPr>
          <w:noProof/>
        </w:rPr>
        <w:t>8</w:t>
      </w:r>
      <w:r w:rsidRPr="00AD7238">
        <w:fldChar w:fldCharType="end"/>
      </w:r>
      <w:r w:rsidRPr="00AD7238">
        <w:t xml:space="preserve"> summarises the key adverse events in the ZOE trials.</w:t>
      </w:r>
    </w:p>
    <w:p w14:paraId="1B4722A7" w14:textId="29819990" w:rsidR="00D73D20" w:rsidRPr="00AD7238" w:rsidRDefault="00D73D20" w:rsidP="00D73D20">
      <w:pPr>
        <w:pStyle w:val="Caption"/>
      </w:pPr>
      <w:bookmarkStart w:id="33" w:name="_Ref122266001"/>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8</w:t>
      </w:r>
      <w:r w:rsidR="000442ED">
        <w:rPr>
          <w:noProof/>
        </w:rPr>
        <w:fldChar w:fldCharType="end"/>
      </w:r>
      <w:bookmarkEnd w:id="33"/>
      <w:r w:rsidRPr="00AD7238">
        <w:t>: Summary of key adverse events in the randomised trials</w:t>
      </w:r>
    </w:p>
    <w:tbl>
      <w:tblPr>
        <w:tblStyle w:val="TableGrid"/>
        <w:tblW w:w="0" w:type="auto"/>
        <w:tblLook w:val="04A0" w:firstRow="1" w:lastRow="0" w:firstColumn="1" w:lastColumn="0" w:noHBand="0" w:noVBand="1"/>
      </w:tblPr>
      <w:tblGrid>
        <w:gridCol w:w="1421"/>
        <w:gridCol w:w="2108"/>
        <w:gridCol w:w="1371"/>
        <w:gridCol w:w="1372"/>
        <w:gridCol w:w="1372"/>
        <w:gridCol w:w="1372"/>
      </w:tblGrid>
      <w:tr w:rsidR="00DE1AD0" w:rsidRPr="00AD7238" w14:paraId="7086EEE9" w14:textId="77777777">
        <w:tc>
          <w:tcPr>
            <w:tcW w:w="1421" w:type="dxa"/>
            <w:vMerge w:val="restart"/>
          </w:tcPr>
          <w:p w14:paraId="59D7993D" w14:textId="77777777" w:rsidR="00DE1AD0" w:rsidRPr="00AD7238" w:rsidRDefault="00DE1AD0">
            <w:pPr>
              <w:pStyle w:val="TableFigureHeading"/>
            </w:pPr>
            <w:r w:rsidRPr="00AD7238">
              <w:t>Adverse Events</w:t>
            </w:r>
          </w:p>
        </w:tc>
        <w:tc>
          <w:tcPr>
            <w:tcW w:w="2108" w:type="dxa"/>
            <w:vMerge w:val="restart"/>
          </w:tcPr>
          <w:p w14:paraId="3F1EA655" w14:textId="77777777" w:rsidR="00DE1AD0" w:rsidRPr="00AD7238" w:rsidRDefault="00DE1AD0">
            <w:pPr>
              <w:pStyle w:val="TableFigureHeading"/>
            </w:pPr>
            <w:r w:rsidRPr="00AD7238">
              <w:t>Type</w:t>
            </w:r>
          </w:p>
        </w:tc>
        <w:tc>
          <w:tcPr>
            <w:tcW w:w="2743" w:type="dxa"/>
            <w:gridSpan w:val="2"/>
          </w:tcPr>
          <w:p w14:paraId="15DFD74F" w14:textId="77777777" w:rsidR="00DE1AD0" w:rsidRPr="00AD7238" w:rsidRDefault="00DE1AD0">
            <w:pPr>
              <w:pStyle w:val="TableFigureHeading"/>
              <w:jc w:val="center"/>
            </w:pPr>
            <w:r w:rsidRPr="00AD7238">
              <w:t>RZV pooled ZOE-50/70</w:t>
            </w:r>
          </w:p>
        </w:tc>
        <w:tc>
          <w:tcPr>
            <w:tcW w:w="2744" w:type="dxa"/>
            <w:gridSpan w:val="2"/>
          </w:tcPr>
          <w:p w14:paraId="4753AFAA" w14:textId="77777777" w:rsidR="00DE1AD0" w:rsidRPr="00AD7238" w:rsidRDefault="00DE1AD0">
            <w:pPr>
              <w:pStyle w:val="TableFigureHeading"/>
              <w:jc w:val="center"/>
            </w:pPr>
            <w:r w:rsidRPr="00AD7238">
              <w:t>Placebo</w:t>
            </w:r>
          </w:p>
        </w:tc>
      </w:tr>
      <w:tr w:rsidR="00DE1AD0" w:rsidRPr="00AD7238" w14:paraId="57DC8C54" w14:textId="77777777">
        <w:tc>
          <w:tcPr>
            <w:tcW w:w="1421" w:type="dxa"/>
            <w:vMerge/>
          </w:tcPr>
          <w:p w14:paraId="03885EE7" w14:textId="77777777" w:rsidR="00DE1AD0" w:rsidRPr="00AD7238" w:rsidRDefault="00DE1AD0">
            <w:pPr>
              <w:pStyle w:val="TableFigureHeading"/>
            </w:pPr>
          </w:p>
        </w:tc>
        <w:tc>
          <w:tcPr>
            <w:tcW w:w="2108" w:type="dxa"/>
            <w:vMerge/>
          </w:tcPr>
          <w:p w14:paraId="21AD79F2" w14:textId="77777777" w:rsidR="00DE1AD0" w:rsidRPr="00AD7238" w:rsidRDefault="00DE1AD0">
            <w:pPr>
              <w:pStyle w:val="TableFigureHeading"/>
            </w:pPr>
          </w:p>
        </w:tc>
        <w:tc>
          <w:tcPr>
            <w:tcW w:w="1371" w:type="dxa"/>
          </w:tcPr>
          <w:p w14:paraId="172BEAF8" w14:textId="77777777" w:rsidR="00DE1AD0" w:rsidRPr="00AD7238" w:rsidRDefault="00DE1AD0">
            <w:pPr>
              <w:pStyle w:val="TableFigureHeading"/>
              <w:jc w:val="center"/>
              <w:rPr>
                <w:vertAlign w:val="superscript"/>
              </w:rPr>
            </w:pPr>
            <w:r w:rsidRPr="00AD7238">
              <w:t>N=14,645</w:t>
            </w:r>
          </w:p>
        </w:tc>
        <w:tc>
          <w:tcPr>
            <w:tcW w:w="1372" w:type="dxa"/>
          </w:tcPr>
          <w:p w14:paraId="0AE1EC76" w14:textId="77777777" w:rsidR="00DE1AD0" w:rsidRPr="00AD7238" w:rsidRDefault="00DE1AD0">
            <w:pPr>
              <w:pStyle w:val="TableFigureHeading"/>
              <w:jc w:val="center"/>
            </w:pPr>
            <w:r w:rsidRPr="00AD7238">
              <w:t>%</w:t>
            </w:r>
          </w:p>
        </w:tc>
        <w:tc>
          <w:tcPr>
            <w:tcW w:w="1372" w:type="dxa"/>
          </w:tcPr>
          <w:p w14:paraId="18391F78" w14:textId="77777777" w:rsidR="00DE1AD0" w:rsidRPr="00AD7238" w:rsidRDefault="00DE1AD0">
            <w:pPr>
              <w:pStyle w:val="TableFigureHeading"/>
              <w:jc w:val="center"/>
              <w:rPr>
                <w:vertAlign w:val="superscript"/>
              </w:rPr>
            </w:pPr>
            <w:r w:rsidRPr="00AD7238">
              <w:t>N=14,660</w:t>
            </w:r>
          </w:p>
        </w:tc>
        <w:tc>
          <w:tcPr>
            <w:tcW w:w="1372" w:type="dxa"/>
          </w:tcPr>
          <w:p w14:paraId="627905B3" w14:textId="77777777" w:rsidR="00DE1AD0" w:rsidRPr="00AD7238" w:rsidRDefault="00DE1AD0">
            <w:pPr>
              <w:pStyle w:val="TableFigureHeading"/>
              <w:jc w:val="center"/>
            </w:pPr>
            <w:r w:rsidRPr="00AD7238">
              <w:t>%</w:t>
            </w:r>
          </w:p>
        </w:tc>
      </w:tr>
      <w:tr w:rsidR="00DE1AD0" w:rsidRPr="00AD7238" w14:paraId="7C981B13" w14:textId="77777777">
        <w:tc>
          <w:tcPr>
            <w:tcW w:w="9016" w:type="dxa"/>
            <w:gridSpan w:val="6"/>
          </w:tcPr>
          <w:p w14:paraId="4300465C" w14:textId="6AB549AE" w:rsidR="00DE1AD0" w:rsidRPr="006E790F" w:rsidRDefault="00DE1AD0">
            <w:pPr>
              <w:pStyle w:val="TableText0"/>
              <w:rPr>
                <w:b/>
                <w:bCs w:val="0"/>
              </w:rPr>
            </w:pPr>
            <w:r w:rsidRPr="006E790F">
              <w:rPr>
                <w:b/>
                <w:bCs w:val="0"/>
              </w:rPr>
              <w:t xml:space="preserve">Solicited local </w:t>
            </w:r>
            <w:r w:rsidR="00A9608F" w:rsidRPr="006E790F">
              <w:rPr>
                <w:b/>
                <w:bCs w:val="0"/>
              </w:rPr>
              <w:t>s</w:t>
            </w:r>
            <w:r w:rsidRPr="006E790F">
              <w:rPr>
                <w:b/>
                <w:bCs w:val="0"/>
              </w:rPr>
              <w:t>ymptoms reported</w:t>
            </w:r>
            <w:r w:rsidR="00B05BB1" w:rsidRPr="006E790F">
              <w:rPr>
                <w:b/>
                <w:bCs w:val="0"/>
              </w:rPr>
              <w:t xml:space="preserve"> during the 7-day post-vaccination period</w:t>
            </w:r>
            <w:r w:rsidRPr="006E790F">
              <w:rPr>
                <w:b/>
                <w:bCs w:val="0"/>
              </w:rPr>
              <w:t xml:space="preserve"> </w:t>
            </w:r>
          </w:p>
        </w:tc>
      </w:tr>
      <w:tr w:rsidR="00DE1AD0" w:rsidRPr="00AD7238" w14:paraId="144CBBFA" w14:textId="77777777">
        <w:tc>
          <w:tcPr>
            <w:tcW w:w="1421" w:type="dxa"/>
            <w:vMerge w:val="restart"/>
          </w:tcPr>
          <w:p w14:paraId="72539811" w14:textId="77777777" w:rsidR="00DE1AD0" w:rsidRPr="00AD7238" w:rsidRDefault="00DE1AD0">
            <w:pPr>
              <w:pStyle w:val="TableText0"/>
            </w:pPr>
            <w:r w:rsidRPr="00AD7238">
              <w:t>Injection site pain</w:t>
            </w:r>
          </w:p>
        </w:tc>
        <w:tc>
          <w:tcPr>
            <w:tcW w:w="2108" w:type="dxa"/>
          </w:tcPr>
          <w:p w14:paraId="0BFDC13C" w14:textId="77777777" w:rsidR="00DE1AD0" w:rsidRPr="00AD7238" w:rsidRDefault="00DE1AD0">
            <w:pPr>
              <w:pStyle w:val="TableText0"/>
            </w:pPr>
            <w:r w:rsidRPr="00AD7238">
              <w:t>Any grade</w:t>
            </w:r>
          </w:p>
        </w:tc>
        <w:tc>
          <w:tcPr>
            <w:tcW w:w="1371" w:type="dxa"/>
          </w:tcPr>
          <w:p w14:paraId="20EAD46B" w14:textId="77777777" w:rsidR="00DE1AD0" w:rsidRPr="00AD7238" w:rsidRDefault="00DE1AD0">
            <w:pPr>
              <w:pStyle w:val="TableText0"/>
              <w:jc w:val="center"/>
            </w:pPr>
            <w:r w:rsidRPr="00AD7238">
              <w:t>3365</w:t>
            </w:r>
          </w:p>
        </w:tc>
        <w:tc>
          <w:tcPr>
            <w:tcW w:w="1372" w:type="dxa"/>
          </w:tcPr>
          <w:p w14:paraId="6BE3DA7F" w14:textId="77777777" w:rsidR="00DE1AD0" w:rsidRPr="00AD7238" w:rsidRDefault="00DE1AD0">
            <w:pPr>
              <w:pStyle w:val="TableText0"/>
              <w:jc w:val="center"/>
            </w:pPr>
            <w:r w:rsidRPr="00AD7238">
              <w:t>22.98</w:t>
            </w:r>
          </w:p>
        </w:tc>
        <w:tc>
          <w:tcPr>
            <w:tcW w:w="1372" w:type="dxa"/>
          </w:tcPr>
          <w:p w14:paraId="1F421ADF" w14:textId="77777777" w:rsidR="00DE1AD0" w:rsidRPr="006E790F" w:rsidRDefault="00DE1AD0">
            <w:pPr>
              <w:pStyle w:val="TableText0"/>
              <w:jc w:val="center"/>
            </w:pPr>
            <w:r w:rsidRPr="006E790F">
              <w:t>252</w:t>
            </w:r>
          </w:p>
        </w:tc>
        <w:tc>
          <w:tcPr>
            <w:tcW w:w="1372" w:type="dxa"/>
          </w:tcPr>
          <w:p w14:paraId="460DA3AB" w14:textId="77777777" w:rsidR="00DE1AD0" w:rsidRPr="00AD7238" w:rsidRDefault="00DE1AD0">
            <w:pPr>
              <w:pStyle w:val="TableText0"/>
              <w:jc w:val="center"/>
            </w:pPr>
            <w:r w:rsidRPr="00AD7238">
              <w:t>1.72</w:t>
            </w:r>
          </w:p>
        </w:tc>
      </w:tr>
      <w:tr w:rsidR="00DE1AD0" w:rsidRPr="00AD7238" w14:paraId="0663BB11" w14:textId="77777777">
        <w:tc>
          <w:tcPr>
            <w:tcW w:w="1421" w:type="dxa"/>
            <w:vMerge/>
          </w:tcPr>
          <w:p w14:paraId="5ED42C07" w14:textId="77777777" w:rsidR="00DE1AD0" w:rsidRPr="00AD7238" w:rsidRDefault="00DE1AD0">
            <w:pPr>
              <w:pStyle w:val="TableText0"/>
            </w:pPr>
          </w:p>
        </w:tc>
        <w:tc>
          <w:tcPr>
            <w:tcW w:w="2108" w:type="dxa"/>
          </w:tcPr>
          <w:p w14:paraId="0CA9E9F4" w14:textId="77777777" w:rsidR="00DE1AD0" w:rsidRPr="00AD7238" w:rsidRDefault="00DE1AD0">
            <w:pPr>
              <w:pStyle w:val="TableText0"/>
            </w:pPr>
            <w:r w:rsidRPr="00AD7238">
              <w:t>Grade 3</w:t>
            </w:r>
          </w:p>
        </w:tc>
        <w:tc>
          <w:tcPr>
            <w:tcW w:w="1371" w:type="dxa"/>
          </w:tcPr>
          <w:p w14:paraId="6D80EE36" w14:textId="77777777" w:rsidR="00DE1AD0" w:rsidRPr="00AD7238" w:rsidRDefault="00DE1AD0">
            <w:pPr>
              <w:pStyle w:val="TableText0"/>
              <w:jc w:val="center"/>
            </w:pPr>
            <w:r w:rsidRPr="00AD7238">
              <w:t>212</w:t>
            </w:r>
          </w:p>
        </w:tc>
        <w:tc>
          <w:tcPr>
            <w:tcW w:w="1372" w:type="dxa"/>
          </w:tcPr>
          <w:p w14:paraId="063F6CC8" w14:textId="77777777" w:rsidR="00DE1AD0" w:rsidRPr="00AD7238" w:rsidRDefault="00DE1AD0">
            <w:pPr>
              <w:pStyle w:val="TableText0"/>
              <w:jc w:val="center"/>
            </w:pPr>
            <w:r w:rsidRPr="00AD7238">
              <w:t>1.40</w:t>
            </w:r>
          </w:p>
        </w:tc>
        <w:tc>
          <w:tcPr>
            <w:tcW w:w="1372" w:type="dxa"/>
          </w:tcPr>
          <w:p w14:paraId="4A3CDC25" w14:textId="77777777" w:rsidR="00DE1AD0" w:rsidRPr="006E790F" w:rsidRDefault="00DE1AD0">
            <w:pPr>
              <w:pStyle w:val="TableText0"/>
              <w:jc w:val="center"/>
            </w:pPr>
            <w:r w:rsidRPr="006E790F">
              <w:t>5</w:t>
            </w:r>
          </w:p>
        </w:tc>
        <w:tc>
          <w:tcPr>
            <w:tcW w:w="1372" w:type="dxa"/>
          </w:tcPr>
          <w:p w14:paraId="1BD646B8" w14:textId="77777777" w:rsidR="00DE1AD0" w:rsidRPr="00AD7238" w:rsidRDefault="00DE1AD0">
            <w:pPr>
              <w:pStyle w:val="TableText0"/>
              <w:jc w:val="center"/>
            </w:pPr>
            <w:r w:rsidRPr="00AD7238">
              <w:t>0.0</w:t>
            </w:r>
          </w:p>
        </w:tc>
      </w:tr>
      <w:tr w:rsidR="00DE1AD0" w:rsidRPr="00AD7238" w14:paraId="418C7B1A" w14:textId="77777777">
        <w:tc>
          <w:tcPr>
            <w:tcW w:w="1421" w:type="dxa"/>
            <w:vMerge w:val="restart"/>
          </w:tcPr>
          <w:p w14:paraId="3B0C33D2" w14:textId="77777777" w:rsidR="00DE1AD0" w:rsidRPr="00AD7238" w:rsidRDefault="00DE1AD0">
            <w:pPr>
              <w:pStyle w:val="TableText0"/>
            </w:pPr>
            <w:r w:rsidRPr="00AD7238">
              <w:t>Injective site erythema</w:t>
            </w:r>
          </w:p>
        </w:tc>
        <w:tc>
          <w:tcPr>
            <w:tcW w:w="2108" w:type="dxa"/>
          </w:tcPr>
          <w:p w14:paraId="5E2CE56A" w14:textId="77777777" w:rsidR="00DE1AD0" w:rsidRPr="00AD7238" w:rsidRDefault="00DE1AD0">
            <w:pPr>
              <w:pStyle w:val="TableText0"/>
            </w:pPr>
            <w:r w:rsidRPr="00AD7238">
              <w:t>Any grade</w:t>
            </w:r>
          </w:p>
        </w:tc>
        <w:tc>
          <w:tcPr>
            <w:tcW w:w="1371" w:type="dxa"/>
          </w:tcPr>
          <w:p w14:paraId="7B6A0373" w14:textId="77777777" w:rsidR="00DE1AD0" w:rsidRPr="00AD7238" w:rsidRDefault="00DE1AD0">
            <w:pPr>
              <w:pStyle w:val="TableText0"/>
              <w:jc w:val="center"/>
            </w:pPr>
            <w:r w:rsidRPr="00AD7238">
              <w:t>1357</w:t>
            </w:r>
          </w:p>
        </w:tc>
        <w:tc>
          <w:tcPr>
            <w:tcW w:w="1372" w:type="dxa"/>
          </w:tcPr>
          <w:p w14:paraId="2D133ADB" w14:textId="77777777" w:rsidR="00DE1AD0" w:rsidRPr="00AD7238" w:rsidRDefault="00DE1AD0">
            <w:pPr>
              <w:pStyle w:val="TableText0"/>
              <w:jc w:val="center"/>
            </w:pPr>
            <w:r w:rsidRPr="00AD7238">
              <w:t>9.27</w:t>
            </w:r>
          </w:p>
        </w:tc>
        <w:tc>
          <w:tcPr>
            <w:tcW w:w="1372" w:type="dxa"/>
          </w:tcPr>
          <w:p w14:paraId="55C5A293" w14:textId="77777777" w:rsidR="00DE1AD0" w:rsidRPr="006E790F" w:rsidRDefault="00DE1AD0">
            <w:pPr>
              <w:pStyle w:val="TableText0"/>
              <w:jc w:val="center"/>
            </w:pPr>
            <w:r w:rsidRPr="006E790F">
              <w:t>37</w:t>
            </w:r>
          </w:p>
        </w:tc>
        <w:tc>
          <w:tcPr>
            <w:tcW w:w="1372" w:type="dxa"/>
          </w:tcPr>
          <w:p w14:paraId="19FAB207" w14:textId="77777777" w:rsidR="00DE1AD0" w:rsidRPr="00AD7238" w:rsidRDefault="00DE1AD0">
            <w:pPr>
              <w:pStyle w:val="TableText0"/>
              <w:jc w:val="center"/>
            </w:pPr>
            <w:r w:rsidRPr="00AD7238">
              <w:t>0.25</w:t>
            </w:r>
          </w:p>
        </w:tc>
      </w:tr>
      <w:tr w:rsidR="00DE1AD0" w:rsidRPr="00AD7238" w14:paraId="38A26D5C" w14:textId="77777777">
        <w:tc>
          <w:tcPr>
            <w:tcW w:w="1421" w:type="dxa"/>
            <w:vMerge/>
          </w:tcPr>
          <w:p w14:paraId="455B7600" w14:textId="77777777" w:rsidR="00DE1AD0" w:rsidRPr="00AD7238" w:rsidRDefault="00DE1AD0">
            <w:pPr>
              <w:pStyle w:val="TableText0"/>
            </w:pPr>
          </w:p>
        </w:tc>
        <w:tc>
          <w:tcPr>
            <w:tcW w:w="2108" w:type="dxa"/>
          </w:tcPr>
          <w:p w14:paraId="60CACADE" w14:textId="77777777" w:rsidR="00DE1AD0" w:rsidRPr="00AD7238" w:rsidRDefault="00DE1AD0">
            <w:pPr>
              <w:pStyle w:val="TableText0"/>
            </w:pPr>
            <w:r w:rsidRPr="00AD7238">
              <w:t>Grade 3</w:t>
            </w:r>
          </w:p>
        </w:tc>
        <w:tc>
          <w:tcPr>
            <w:tcW w:w="1371" w:type="dxa"/>
          </w:tcPr>
          <w:p w14:paraId="5ED5A3ED" w14:textId="77777777" w:rsidR="00DE1AD0" w:rsidRPr="00AD7238" w:rsidRDefault="00DE1AD0">
            <w:pPr>
              <w:pStyle w:val="TableText0"/>
              <w:jc w:val="center"/>
            </w:pPr>
            <w:r w:rsidRPr="00AD7238">
              <w:t>58</w:t>
            </w:r>
          </w:p>
        </w:tc>
        <w:tc>
          <w:tcPr>
            <w:tcW w:w="1372" w:type="dxa"/>
          </w:tcPr>
          <w:p w14:paraId="44FEAFE9" w14:textId="77777777" w:rsidR="00DE1AD0" w:rsidRPr="00AD7238" w:rsidRDefault="00DE1AD0">
            <w:pPr>
              <w:pStyle w:val="TableText0"/>
              <w:jc w:val="center"/>
            </w:pPr>
            <w:r w:rsidRPr="00AD7238">
              <w:t>0.40</w:t>
            </w:r>
          </w:p>
        </w:tc>
        <w:tc>
          <w:tcPr>
            <w:tcW w:w="1372" w:type="dxa"/>
          </w:tcPr>
          <w:p w14:paraId="79AF5E4D" w14:textId="77777777" w:rsidR="00DE1AD0" w:rsidRPr="006E790F" w:rsidRDefault="00DE1AD0">
            <w:pPr>
              <w:pStyle w:val="TableText0"/>
              <w:jc w:val="center"/>
            </w:pPr>
            <w:r w:rsidRPr="006E790F">
              <w:t>0</w:t>
            </w:r>
          </w:p>
        </w:tc>
        <w:tc>
          <w:tcPr>
            <w:tcW w:w="1372" w:type="dxa"/>
          </w:tcPr>
          <w:p w14:paraId="57C195F3" w14:textId="77777777" w:rsidR="00DE1AD0" w:rsidRPr="00AD7238" w:rsidRDefault="00DE1AD0">
            <w:pPr>
              <w:pStyle w:val="TableText0"/>
              <w:jc w:val="center"/>
            </w:pPr>
            <w:r w:rsidRPr="00AD7238">
              <w:t>0.0</w:t>
            </w:r>
          </w:p>
        </w:tc>
      </w:tr>
      <w:tr w:rsidR="00DE1AD0" w:rsidRPr="00AD7238" w14:paraId="2879724E" w14:textId="77777777">
        <w:tc>
          <w:tcPr>
            <w:tcW w:w="1421" w:type="dxa"/>
            <w:vMerge w:val="restart"/>
          </w:tcPr>
          <w:p w14:paraId="4A4A3358" w14:textId="77777777" w:rsidR="00DE1AD0" w:rsidRPr="00AD7238" w:rsidRDefault="00DE1AD0">
            <w:pPr>
              <w:pStyle w:val="TableText0"/>
            </w:pPr>
            <w:r w:rsidRPr="00AD7238">
              <w:t>Injective site swelling</w:t>
            </w:r>
          </w:p>
        </w:tc>
        <w:tc>
          <w:tcPr>
            <w:tcW w:w="2108" w:type="dxa"/>
          </w:tcPr>
          <w:p w14:paraId="1BA09767" w14:textId="77777777" w:rsidR="00DE1AD0" w:rsidRPr="00AD7238" w:rsidRDefault="00DE1AD0">
            <w:pPr>
              <w:pStyle w:val="TableText0"/>
            </w:pPr>
            <w:r w:rsidRPr="00AD7238">
              <w:t>Any grade</w:t>
            </w:r>
          </w:p>
        </w:tc>
        <w:tc>
          <w:tcPr>
            <w:tcW w:w="1371" w:type="dxa"/>
          </w:tcPr>
          <w:p w14:paraId="7ADD1B7D" w14:textId="77777777" w:rsidR="00DE1AD0" w:rsidRPr="00AD7238" w:rsidRDefault="00DE1AD0">
            <w:pPr>
              <w:pStyle w:val="TableText0"/>
              <w:jc w:val="center"/>
            </w:pPr>
            <w:r w:rsidRPr="00AD7238">
              <w:t>1014</w:t>
            </w:r>
          </w:p>
        </w:tc>
        <w:tc>
          <w:tcPr>
            <w:tcW w:w="1372" w:type="dxa"/>
          </w:tcPr>
          <w:p w14:paraId="0F7478C8" w14:textId="77777777" w:rsidR="00DE1AD0" w:rsidRPr="00AD7238" w:rsidRDefault="00DE1AD0">
            <w:pPr>
              <w:pStyle w:val="TableText0"/>
              <w:jc w:val="center"/>
            </w:pPr>
            <w:r w:rsidRPr="00AD7238">
              <w:t>6.92</w:t>
            </w:r>
          </w:p>
        </w:tc>
        <w:tc>
          <w:tcPr>
            <w:tcW w:w="1372" w:type="dxa"/>
          </w:tcPr>
          <w:p w14:paraId="024A5991" w14:textId="77777777" w:rsidR="00DE1AD0" w:rsidRPr="006E790F" w:rsidRDefault="00DE1AD0">
            <w:pPr>
              <w:pStyle w:val="TableText0"/>
              <w:jc w:val="center"/>
            </w:pPr>
            <w:r w:rsidRPr="006E790F">
              <w:t>22</w:t>
            </w:r>
          </w:p>
        </w:tc>
        <w:tc>
          <w:tcPr>
            <w:tcW w:w="1372" w:type="dxa"/>
          </w:tcPr>
          <w:p w14:paraId="795AB908" w14:textId="77777777" w:rsidR="00DE1AD0" w:rsidRPr="00AD7238" w:rsidRDefault="00DE1AD0">
            <w:pPr>
              <w:pStyle w:val="TableText0"/>
              <w:jc w:val="center"/>
            </w:pPr>
            <w:r w:rsidRPr="00AD7238">
              <w:t>0.15</w:t>
            </w:r>
          </w:p>
        </w:tc>
      </w:tr>
      <w:tr w:rsidR="00DE1AD0" w:rsidRPr="00AD7238" w14:paraId="273CA8AA" w14:textId="77777777">
        <w:tc>
          <w:tcPr>
            <w:tcW w:w="1421" w:type="dxa"/>
            <w:vMerge/>
          </w:tcPr>
          <w:p w14:paraId="5622D142" w14:textId="77777777" w:rsidR="00DE1AD0" w:rsidRPr="00AD7238" w:rsidRDefault="00DE1AD0">
            <w:pPr>
              <w:pStyle w:val="TableText0"/>
            </w:pPr>
          </w:p>
        </w:tc>
        <w:tc>
          <w:tcPr>
            <w:tcW w:w="2108" w:type="dxa"/>
          </w:tcPr>
          <w:p w14:paraId="10C2B04A" w14:textId="77777777" w:rsidR="00DE1AD0" w:rsidRPr="00AD7238" w:rsidRDefault="00DE1AD0">
            <w:pPr>
              <w:pStyle w:val="TableText0"/>
            </w:pPr>
            <w:r w:rsidRPr="00AD7238">
              <w:t>Grade 3</w:t>
            </w:r>
          </w:p>
        </w:tc>
        <w:tc>
          <w:tcPr>
            <w:tcW w:w="1371" w:type="dxa"/>
          </w:tcPr>
          <w:p w14:paraId="17F1BC29" w14:textId="77777777" w:rsidR="00DE1AD0" w:rsidRPr="00AD7238" w:rsidRDefault="00DE1AD0">
            <w:pPr>
              <w:pStyle w:val="TableText0"/>
              <w:jc w:val="center"/>
            </w:pPr>
            <w:r w:rsidRPr="00AD7238">
              <w:t>42</w:t>
            </w:r>
          </w:p>
        </w:tc>
        <w:tc>
          <w:tcPr>
            <w:tcW w:w="1372" w:type="dxa"/>
          </w:tcPr>
          <w:p w14:paraId="2FCC29FE" w14:textId="77777777" w:rsidR="00DE1AD0" w:rsidRPr="00AD7238" w:rsidRDefault="00DE1AD0">
            <w:pPr>
              <w:pStyle w:val="TableText0"/>
              <w:jc w:val="center"/>
            </w:pPr>
            <w:r w:rsidRPr="00AD7238">
              <w:t>0.30</w:t>
            </w:r>
          </w:p>
        </w:tc>
        <w:tc>
          <w:tcPr>
            <w:tcW w:w="1372" w:type="dxa"/>
          </w:tcPr>
          <w:p w14:paraId="4673B87C" w14:textId="77777777" w:rsidR="00DE1AD0" w:rsidRPr="006E790F" w:rsidRDefault="00DE1AD0">
            <w:pPr>
              <w:pStyle w:val="TableText0"/>
              <w:jc w:val="center"/>
            </w:pPr>
            <w:r w:rsidRPr="006E790F">
              <w:t>0</w:t>
            </w:r>
          </w:p>
        </w:tc>
        <w:tc>
          <w:tcPr>
            <w:tcW w:w="1372" w:type="dxa"/>
          </w:tcPr>
          <w:p w14:paraId="60794443" w14:textId="77777777" w:rsidR="00DE1AD0" w:rsidRPr="00AD7238" w:rsidRDefault="00DE1AD0">
            <w:pPr>
              <w:pStyle w:val="TableText0"/>
              <w:jc w:val="center"/>
            </w:pPr>
            <w:r w:rsidRPr="00AD7238">
              <w:t>0.0</w:t>
            </w:r>
          </w:p>
        </w:tc>
      </w:tr>
      <w:tr w:rsidR="00DE1AD0" w:rsidRPr="00AD7238" w14:paraId="1596FEF1" w14:textId="77777777">
        <w:tc>
          <w:tcPr>
            <w:tcW w:w="9016" w:type="dxa"/>
            <w:gridSpan w:val="6"/>
          </w:tcPr>
          <w:p w14:paraId="5D1F51EE" w14:textId="47D89378" w:rsidR="00DE1AD0" w:rsidRPr="006E790F" w:rsidRDefault="00DE1AD0">
            <w:pPr>
              <w:pStyle w:val="TableText0"/>
              <w:rPr>
                <w:b/>
                <w:bCs w:val="0"/>
              </w:rPr>
            </w:pPr>
            <w:r w:rsidRPr="006E790F">
              <w:rPr>
                <w:b/>
                <w:bCs w:val="0"/>
              </w:rPr>
              <w:t xml:space="preserve">Solicited general symptoms reported </w:t>
            </w:r>
            <w:r w:rsidR="00B05BB1" w:rsidRPr="006E790F">
              <w:rPr>
                <w:b/>
                <w:bCs w:val="0"/>
              </w:rPr>
              <w:t xml:space="preserve">during the 7-day post-vaccination period </w:t>
            </w:r>
          </w:p>
        </w:tc>
      </w:tr>
      <w:tr w:rsidR="00DE1AD0" w:rsidRPr="00AD7238" w14:paraId="0C6DABBB" w14:textId="77777777">
        <w:tc>
          <w:tcPr>
            <w:tcW w:w="1421" w:type="dxa"/>
            <w:vMerge w:val="restart"/>
          </w:tcPr>
          <w:p w14:paraId="5CBF111B" w14:textId="77777777" w:rsidR="00DE1AD0" w:rsidRPr="00AD7238" w:rsidRDefault="00DE1AD0">
            <w:pPr>
              <w:pStyle w:val="TableText0"/>
            </w:pPr>
            <w:r w:rsidRPr="00AD7238">
              <w:t>Pain</w:t>
            </w:r>
          </w:p>
        </w:tc>
        <w:tc>
          <w:tcPr>
            <w:tcW w:w="2108" w:type="dxa"/>
          </w:tcPr>
          <w:p w14:paraId="2900236F" w14:textId="77777777" w:rsidR="00DE1AD0" w:rsidRPr="00AD7238" w:rsidRDefault="00DE1AD0">
            <w:pPr>
              <w:pStyle w:val="TableText0"/>
            </w:pPr>
            <w:r w:rsidRPr="00AD7238">
              <w:t>Any grade</w:t>
            </w:r>
          </w:p>
        </w:tc>
        <w:tc>
          <w:tcPr>
            <w:tcW w:w="1371" w:type="dxa"/>
          </w:tcPr>
          <w:p w14:paraId="055C1F03" w14:textId="114FF2AE" w:rsidR="00DE1AD0" w:rsidRPr="00AD7238" w:rsidRDefault="00DE1AD0">
            <w:pPr>
              <w:pStyle w:val="TableText0"/>
              <w:jc w:val="center"/>
            </w:pPr>
            <w:r w:rsidRPr="00AD7238">
              <w:t>9973*</w:t>
            </w:r>
          </w:p>
        </w:tc>
        <w:tc>
          <w:tcPr>
            <w:tcW w:w="1372" w:type="dxa"/>
          </w:tcPr>
          <w:p w14:paraId="3A1E66B8" w14:textId="5E443AAE" w:rsidR="00DE1AD0" w:rsidRPr="00AD7238" w:rsidRDefault="00DE1AD0">
            <w:pPr>
              <w:pStyle w:val="TableText0"/>
              <w:jc w:val="center"/>
            </w:pPr>
            <w:r w:rsidRPr="00AD7238">
              <w:t>68.1</w:t>
            </w:r>
            <w:r w:rsidR="00B86DA0" w:rsidRPr="00AD7238">
              <w:t>0</w:t>
            </w:r>
          </w:p>
        </w:tc>
        <w:tc>
          <w:tcPr>
            <w:tcW w:w="1372" w:type="dxa"/>
          </w:tcPr>
          <w:p w14:paraId="3B577643" w14:textId="5646CB64" w:rsidR="00DE1AD0" w:rsidRPr="00AD7238" w:rsidRDefault="00DE1AD0">
            <w:pPr>
              <w:pStyle w:val="TableText0"/>
              <w:jc w:val="center"/>
            </w:pPr>
            <w:r w:rsidRPr="00AD7238">
              <w:t>1012*</w:t>
            </w:r>
          </w:p>
        </w:tc>
        <w:tc>
          <w:tcPr>
            <w:tcW w:w="1372" w:type="dxa"/>
          </w:tcPr>
          <w:p w14:paraId="2560C4E1" w14:textId="77777777" w:rsidR="00DE1AD0" w:rsidRPr="00AD7238" w:rsidRDefault="00DE1AD0">
            <w:pPr>
              <w:pStyle w:val="TableText0"/>
              <w:jc w:val="center"/>
            </w:pPr>
            <w:r w:rsidRPr="00AD7238">
              <w:t>6.9</w:t>
            </w:r>
          </w:p>
        </w:tc>
      </w:tr>
      <w:tr w:rsidR="00DE1AD0" w:rsidRPr="00AD7238" w14:paraId="14CA0414" w14:textId="77777777">
        <w:tc>
          <w:tcPr>
            <w:tcW w:w="1421" w:type="dxa"/>
            <w:vMerge/>
          </w:tcPr>
          <w:p w14:paraId="6661DD0E" w14:textId="77777777" w:rsidR="00DE1AD0" w:rsidRPr="00AD7238" w:rsidRDefault="00DE1AD0">
            <w:pPr>
              <w:pStyle w:val="TableText0"/>
            </w:pPr>
          </w:p>
        </w:tc>
        <w:tc>
          <w:tcPr>
            <w:tcW w:w="2108" w:type="dxa"/>
          </w:tcPr>
          <w:p w14:paraId="536A3DCC" w14:textId="77777777" w:rsidR="00DE1AD0" w:rsidRPr="00AD7238" w:rsidRDefault="00DE1AD0">
            <w:pPr>
              <w:pStyle w:val="TableText0"/>
            </w:pPr>
            <w:r w:rsidRPr="00AD7238">
              <w:t>Grade 3</w:t>
            </w:r>
          </w:p>
        </w:tc>
        <w:tc>
          <w:tcPr>
            <w:tcW w:w="1371" w:type="dxa"/>
          </w:tcPr>
          <w:p w14:paraId="2DD1A18A" w14:textId="055C9650" w:rsidR="00DE1AD0" w:rsidRPr="00AD7238" w:rsidRDefault="00DE1AD0">
            <w:pPr>
              <w:pStyle w:val="TableText0"/>
              <w:jc w:val="center"/>
            </w:pPr>
            <w:r w:rsidRPr="00AD7238">
              <w:t>557*</w:t>
            </w:r>
          </w:p>
        </w:tc>
        <w:tc>
          <w:tcPr>
            <w:tcW w:w="1372" w:type="dxa"/>
          </w:tcPr>
          <w:p w14:paraId="5E2EEA39" w14:textId="23EA4FB0" w:rsidR="00DE1AD0" w:rsidRPr="00AD7238" w:rsidRDefault="00DE1AD0">
            <w:pPr>
              <w:pStyle w:val="TableText0"/>
              <w:jc w:val="center"/>
            </w:pPr>
            <w:r w:rsidRPr="00AD7238">
              <w:t>3.8</w:t>
            </w:r>
            <w:r w:rsidR="00B86DA0" w:rsidRPr="00AD7238">
              <w:t>0</w:t>
            </w:r>
          </w:p>
        </w:tc>
        <w:tc>
          <w:tcPr>
            <w:tcW w:w="1372" w:type="dxa"/>
          </w:tcPr>
          <w:p w14:paraId="48DC644C" w14:textId="29F01AC3" w:rsidR="00DE1AD0" w:rsidRPr="00AD7238" w:rsidRDefault="00DE1AD0">
            <w:pPr>
              <w:pStyle w:val="TableText0"/>
              <w:jc w:val="center"/>
            </w:pPr>
            <w:r w:rsidRPr="00AD7238">
              <w:t>29*</w:t>
            </w:r>
          </w:p>
        </w:tc>
        <w:tc>
          <w:tcPr>
            <w:tcW w:w="1372" w:type="dxa"/>
          </w:tcPr>
          <w:p w14:paraId="4A009E69" w14:textId="77777777" w:rsidR="00DE1AD0" w:rsidRPr="00AD7238" w:rsidRDefault="00DE1AD0">
            <w:pPr>
              <w:pStyle w:val="TableText0"/>
              <w:jc w:val="center"/>
            </w:pPr>
            <w:r w:rsidRPr="00AD7238">
              <w:t>0.2</w:t>
            </w:r>
          </w:p>
        </w:tc>
      </w:tr>
      <w:tr w:rsidR="00DE1AD0" w:rsidRPr="00AD7238" w14:paraId="5627FAAA" w14:textId="77777777">
        <w:tc>
          <w:tcPr>
            <w:tcW w:w="1421" w:type="dxa"/>
            <w:vMerge w:val="restart"/>
          </w:tcPr>
          <w:p w14:paraId="250B3641" w14:textId="77777777" w:rsidR="00DE1AD0" w:rsidRPr="00AD7238" w:rsidRDefault="00DE1AD0">
            <w:pPr>
              <w:pStyle w:val="TableText0"/>
            </w:pPr>
            <w:r w:rsidRPr="00AD7238">
              <w:t>Myalgia</w:t>
            </w:r>
          </w:p>
        </w:tc>
        <w:tc>
          <w:tcPr>
            <w:tcW w:w="2108" w:type="dxa"/>
          </w:tcPr>
          <w:p w14:paraId="3A2D1DED" w14:textId="77777777" w:rsidR="00DE1AD0" w:rsidRPr="00AD7238" w:rsidRDefault="00DE1AD0">
            <w:pPr>
              <w:pStyle w:val="TableText0"/>
            </w:pPr>
            <w:r w:rsidRPr="00AD7238">
              <w:t>Any grade</w:t>
            </w:r>
          </w:p>
        </w:tc>
        <w:tc>
          <w:tcPr>
            <w:tcW w:w="1371" w:type="dxa"/>
          </w:tcPr>
          <w:p w14:paraId="6FE1DD6B" w14:textId="77777777" w:rsidR="00DE1AD0" w:rsidRPr="00AD7238" w:rsidRDefault="00DE1AD0">
            <w:pPr>
              <w:pStyle w:val="TableText0"/>
              <w:jc w:val="center"/>
            </w:pPr>
            <w:r w:rsidRPr="00AD7238">
              <w:t>478</w:t>
            </w:r>
          </w:p>
        </w:tc>
        <w:tc>
          <w:tcPr>
            <w:tcW w:w="1372" w:type="dxa"/>
          </w:tcPr>
          <w:p w14:paraId="46F84749" w14:textId="77777777" w:rsidR="00DE1AD0" w:rsidRPr="00AD7238" w:rsidRDefault="00DE1AD0">
            <w:pPr>
              <w:pStyle w:val="TableText0"/>
              <w:jc w:val="center"/>
            </w:pPr>
            <w:r w:rsidRPr="00AD7238">
              <w:t>3.26</w:t>
            </w:r>
          </w:p>
        </w:tc>
        <w:tc>
          <w:tcPr>
            <w:tcW w:w="1372" w:type="dxa"/>
          </w:tcPr>
          <w:p w14:paraId="3DD38746" w14:textId="77777777" w:rsidR="00DE1AD0" w:rsidRPr="00AD7238" w:rsidRDefault="00DE1AD0">
            <w:pPr>
              <w:pStyle w:val="TableText0"/>
              <w:jc w:val="center"/>
            </w:pPr>
            <w:r w:rsidRPr="00AD7238">
              <w:t>105</w:t>
            </w:r>
          </w:p>
        </w:tc>
        <w:tc>
          <w:tcPr>
            <w:tcW w:w="1372" w:type="dxa"/>
          </w:tcPr>
          <w:p w14:paraId="76F95467" w14:textId="77777777" w:rsidR="00DE1AD0" w:rsidRPr="00AD7238" w:rsidRDefault="00DE1AD0">
            <w:pPr>
              <w:pStyle w:val="TableText0"/>
              <w:jc w:val="center"/>
            </w:pPr>
            <w:r w:rsidRPr="00AD7238">
              <w:t>0.72</w:t>
            </w:r>
          </w:p>
        </w:tc>
      </w:tr>
      <w:tr w:rsidR="00DE1AD0" w:rsidRPr="00AD7238" w14:paraId="10BB7961" w14:textId="77777777">
        <w:tc>
          <w:tcPr>
            <w:tcW w:w="1421" w:type="dxa"/>
            <w:vMerge/>
          </w:tcPr>
          <w:p w14:paraId="56C8205A" w14:textId="77777777" w:rsidR="00DE1AD0" w:rsidRPr="00AD7238" w:rsidRDefault="00DE1AD0">
            <w:pPr>
              <w:pStyle w:val="TableText0"/>
            </w:pPr>
          </w:p>
        </w:tc>
        <w:tc>
          <w:tcPr>
            <w:tcW w:w="2108" w:type="dxa"/>
          </w:tcPr>
          <w:p w14:paraId="568DF94E" w14:textId="77777777" w:rsidR="00DE1AD0" w:rsidRPr="00AD7238" w:rsidRDefault="00DE1AD0">
            <w:pPr>
              <w:pStyle w:val="TableText0"/>
            </w:pPr>
            <w:r w:rsidRPr="00AD7238">
              <w:t>Grade 3</w:t>
            </w:r>
          </w:p>
        </w:tc>
        <w:tc>
          <w:tcPr>
            <w:tcW w:w="1371" w:type="dxa"/>
          </w:tcPr>
          <w:p w14:paraId="1FA212A9" w14:textId="77777777" w:rsidR="00DE1AD0" w:rsidRPr="00AD7238" w:rsidRDefault="00DE1AD0">
            <w:pPr>
              <w:pStyle w:val="TableText0"/>
              <w:jc w:val="center"/>
            </w:pPr>
            <w:r w:rsidRPr="00AD7238">
              <w:t>63</w:t>
            </w:r>
          </w:p>
        </w:tc>
        <w:tc>
          <w:tcPr>
            <w:tcW w:w="1372" w:type="dxa"/>
          </w:tcPr>
          <w:p w14:paraId="27B29166" w14:textId="6F73EF13" w:rsidR="00DE1AD0" w:rsidRPr="00AD7238" w:rsidRDefault="00DE1AD0">
            <w:pPr>
              <w:pStyle w:val="TableText0"/>
              <w:jc w:val="center"/>
            </w:pPr>
            <w:r w:rsidRPr="00AD7238">
              <w:t>0.4</w:t>
            </w:r>
            <w:r w:rsidR="00B86DA0" w:rsidRPr="00AD7238">
              <w:t>0</w:t>
            </w:r>
          </w:p>
        </w:tc>
        <w:tc>
          <w:tcPr>
            <w:tcW w:w="1372" w:type="dxa"/>
          </w:tcPr>
          <w:p w14:paraId="0880ABC8" w14:textId="77777777" w:rsidR="00DE1AD0" w:rsidRPr="00AD7238" w:rsidRDefault="00DE1AD0">
            <w:pPr>
              <w:pStyle w:val="TableText0"/>
              <w:jc w:val="center"/>
            </w:pPr>
            <w:r w:rsidRPr="00AD7238">
              <w:t>8</w:t>
            </w:r>
          </w:p>
        </w:tc>
        <w:tc>
          <w:tcPr>
            <w:tcW w:w="1372" w:type="dxa"/>
          </w:tcPr>
          <w:p w14:paraId="4B4AD433" w14:textId="77777777" w:rsidR="00DE1AD0" w:rsidRPr="00AD7238" w:rsidRDefault="00DE1AD0">
            <w:pPr>
              <w:pStyle w:val="TableText0"/>
              <w:jc w:val="center"/>
            </w:pPr>
            <w:r w:rsidRPr="00AD7238">
              <w:t>0.1</w:t>
            </w:r>
          </w:p>
        </w:tc>
      </w:tr>
      <w:tr w:rsidR="00DE1AD0" w:rsidRPr="00AD7238" w14:paraId="7544D45F" w14:textId="77777777">
        <w:tc>
          <w:tcPr>
            <w:tcW w:w="1421" w:type="dxa"/>
            <w:vMerge w:val="restart"/>
          </w:tcPr>
          <w:p w14:paraId="032C3158" w14:textId="77777777" w:rsidR="00DE1AD0" w:rsidRPr="00AD7238" w:rsidRDefault="00DE1AD0">
            <w:pPr>
              <w:pStyle w:val="TableText0"/>
            </w:pPr>
            <w:r w:rsidRPr="00AD7238">
              <w:t>Fatigue</w:t>
            </w:r>
          </w:p>
        </w:tc>
        <w:tc>
          <w:tcPr>
            <w:tcW w:w="2108" w:type="dxa"/>
          </w:tcPr>
          <w:p w14:paraId="516DABCC" w14:textId="77777777" w:rsidR="00DE1AD0" w:rsidRPr="00AD7238" w:rsidRDefault="00DE1AD0">
            <w:pPr>
              <w:pStyle w:val="TableText0"/>
            </w:pPr>
            <w:r w:rsidRPr="00AD7238">
              <w:t>Any grade</w:t>
            </w:r>
          </w:p>
        </w:tc>
        <w:tc>
          <w:tcPr>
            <w:tcW w:w="1371" w:type="dxa"/>
          </w:tcPr>
          <w:p w14:paraId="77649F1A" w14:textId="77777777" w:rsidR="00DE1AD0" w:rsidRPr="00AD7238" w:rsidRDefault="00DE1AD0">
            <w:pPr>
              <w:pStyle w:val="TableText0"/>
              <w:jc w:val="center"/>
            </w:pPr>
            <w:r w:rsidRPr="00AD7238">
              <w:t>522</w:t>
            </w:r>
          </w:p>
        </w:tc>
        <w:tc>
          <w:tcPr>
            <w:tcW w:w="1372" w:type="dxa"/>
          </w:tcPr>
          <w:p w14:paraId="6A38B229" w14:textId="77777777" w:rsidR="00DE1AD0" w:rsidRPr="00AD7238" w:rsidRDefault="00DE1AD0">
            <w:pPr>
              <w:pStyle w:val="TableText0"/>
              <w:jc w:val="center"/>
            </w:pPr>
            <w:r w:rsidRPr="00AD7238">
              <w:t>3.56</w:t>
            </w:r>
          </w:p>
        </w:tc>
        <w:tc>
          <w:tcPr>
            <w:tcW w:w="1372" w:type="dxa"/>
          </w:tcPr>
          <w:p w14:paraId="1C17C9B4" w14:textId="77777777" w:rsidR="00DE1AD0" w:rsidRPr="00AD7238" w:rsidRDefault="00DE1AD0">
            <w:pPr>
              <w:pStyle w:val="TableText0"/>
              <w:jc w:val="center"/>
            </w:pPr>
            <w:r w:rsidRPr="00AD7238">
              <w:t>140</w:t>
            </w:r>
          </w:p>
        </w:tc>
        <w:tc>
          <w:tcPr>
            <w:tcW w:w="1372" w:type="dxa"/>
          </w:tcPr>
          <w:p w14:paraId="57A1CD10" w14:textId="77777777" w:rsidR="00DE1AD0" w:rsidRPr="00AD7238" w:rsidRDefault="00DE1AD0">
            <w:pPr>
              <w:pStyle w:val="TableText0"/>
              <w:jc w:val="center"/>
            </w:pPr>
            <w:r w:rsidRPr="00AD7238">
              <w:t>0.95</w:t>
            </w:r>
          </w:p>
        </w:tc>
      </w:tr>
      <w:tr w:rsidR="00DE1AD0" w:rsidRPr="00AD7238" w14:paraId="4357A106" w14:textId="77777777">
        <w:tc>
          <w:tcPr>
            <w:tcW w:w="1421" w:type="dxa"/>
            <w:vMerge/>
          </w:tcPr>
          <w:p w14:paraId="6C94407D" w14:textId="77777777" w:rsidR="00DE1AD0" w:rsidRPr="00AD7238" w:rsidRDefault="00DE1AD0">
            <w:pPr>
              <w:pStyle w:val="TableText0"/>
            </w:pPr>
          </w:p>
        </w:tc>
        <w:tc>
          <w:tcPr>
            <w:tcW w:w="2108" w:type="dxa"/>
          </w:tcPr>
          <w:p w14:paraId="0E7ADE8B" w14:textId="77777777" w:rsidR="00DE1AD0" w:rsidRPr="00AD7238" w:rsidRDefault="00DE1AD0">
            <w:pPr>
              <w:pStyle w:val="TableText0"/>
            </w:pPr>
            <w:r w:rsidRPr="00AD7238">
              <w:t>Grade 3</w:t>
            </w:r>
          </w:p>
        </w:tc>
        <w:tc>
          <w:tcPr>
            <w:tcW w:w="1371" w:type="dxa"/>
          </w:tcPr>
          <w:p w14:paraId="1AB839F7" w14:textId="77777777" w:rsidR="00DE1AD0" w:rsidRPr="00AD7238" w:rsidRDefault="00DE1AD0">
            <w:pPr>
              <w:pStyle w:val="TableText0"/>
              <w:jc w:val="center"/>
            </w:pPr>
            <w:r w:rsidRPr="00AD7238">
              <w:t>62</w:t>
            </w:r>
          </w:p>
        </w:tc>
        <w:tc>
          <w:tcPr>
            <w:tcW w:w="1372" w:type="dxa"/>
          </w:tcPr>
          <w:p w14:paraId="28946670" w14:textId="1C39769C" w:rsidR="00DE1AD0" w:rsidRPr="00AD7238" w:rsidRDefault="00DE1AD0">
            <w:pPr>
              <w:pStyle w:val="TableText0"/>
              <w:jc w:val="center"/>
            </w:pPr>
            <w:r w:rsidRPr="00AD7238">
              <w:t>0.4</w:t>
            </w:r>
            <w:r w:rsidR="00B86DA0" w:rsidRPr="00AD7238">
              <w:t>0</w:t>
            </w:r>
          </w:p>
        </w:tc>
        <w:tc>
          <w:tcPr>
            <w:tcW w:w="1372" w:type="dxa"/>
          </w:tcPr>
          <w:p w14:paraId="602AA8E2" w14:textId="77777777" w:rsidR="00DE1AD0" w:rsidRPr="00AD7238" w:rsidRDefault="00DE1AD0">
            <w:pPr>
              <w:pStyle w:val="TableText0"/>
              <w:jc w:val="center"/>
            </w:pPr>
            <w:r w:rsidRPr="00AD7238">
              <w:t>7</w:t>
            </w:r>
          </w:p>
        </w:tc>
        <w:tc>
          <w:tcPr>
            <w:tcW w:w="1372" w:type="dxa"/>
          </w:tcPr>
          <w:p w14:paraId="5F9DC9E8" w14:textId="77777777" w:rsidR="00DE1AD0" w:rsidRPr="00AD7238" w:rsidRDefault="00DE1AD0">
            <w:pPr>
              <w:pStyle w:val="TableText0"/>
              <w:jc w:val="center"/>
            </w:pPr>
            <w:r w:rsidRPr="00AD7238">
              <w:t>0.0</w:t>
            </w:r>
          </w:p>
        </w:tc>
      </w:tr>
      <w:tr w:rsidR="00DE1AD0" w:rsidRPr="00AD7238" w14:paraId="3C45F5D8" w14:textId="77777777">
        <w:tc>
          <w:tcPr>
            <w:tcW w:w="1421" w:type="dxa"/>
            <w:vMerge w:val="restart"/>
          </w:tcPr>
          <w:p w14:paraId="13C9318F" w14:textId="77777777" w:rsidR="00DE1AD0" w:rsidRPr="00AD7238" w:rsidRDefault="00DE1AD0">
            <w:pPr>
              <w:pStyle w:val="TableText0"/>
            </w:pPr>
            <w:r w:rsidRPr="00AD7238">
              <w:t>Headache</w:t>
            </w:r>
          </w:p>
        </w:tc>
        <w:tc>
          <w:tcPr>
            <w:tcW w:w="2108" w:type="dxa"/>
          </w:tcPr>
          <w:p w14:paraId="287EEE47" w14:textId="77777777" w:rsidR="00DE1AD0" w:rsidRPr="00AD7238" w:rsidRDefault="00DE1AD0">
            <w:pPr>
              <w:pStyle w:val="TableText0"/>
            </w:pPr>
            <w:r w:rsidRPr="00AD7238">
              <w:t>Any grade</w:t>
            </w:r>
          </w:p>
        </w:tc>
        <w:tc>
          <w:tcPr>
            <w:tcW w:w="1371" w:type="dxa"/>
          </w:tcPr>
          <w:p w14:paraId="2887DD88" w14:textId="77777777" w:rsidR="00DE1AD0" w:rsidRPr="00AD7238" w:rsidRDefault="00DE1AD0">
            <w:pPr>
              <w:pStyle w:val="TableText0"/>
              <w:jc w:val="center"/>
            </w:pPr>
            <w:r w:rsidRPr="00AD7238">
              <w:t>954</w:t>
            </w:r>
          </w:p>
        </w:tc>
        <w:tc>
          <w:tcPr>
            <w:tcW w:w="1372" w:type="dxa"/>
          </w:tcPr>
          <w:p w14:paraId="7F4A65AC" w14:textId="77777777" w:rsidR="00DE1AD0" w:rsidRPr="00AD7238" w:rsidRDefault="00DE1AD0">
            <w:pPr>
              <w:pStyle w:val="TableText0"/>
              <w:jc w:val="center"/>
            </w:pPr>
            <w:r w:rsidRPr="00AD7238">
              <w:t>6.51</w:t>
            </w:r>
          </w:p>
        </w:tc>
        <w:tc>
          <w:tcPr>
            <w:tcW w:w="1372" w:type="dxa"/>
          </w:tcPr>
          <w:p w14:paraId="642B6B52" w14:textId="77777777" w:rsidR="00DE1AD0" w:rsidRPr="00AD7238" w:rsidRDefault="00DE1AD0">
            <w:pPr>
              <w:pStyle w:val="TableText0"/>
              <w:jc w:val="center"/>
            </w:pPr>
            <w:r w:rsidRPr="00AD7238">
              <w:t>445</w:t>
            </w:r>
          </w:p>
        </w:tc>
        <w:tc>
          <w:tcPr>
            <w:tcW w:w="1372" w:type="dxa"/>
          </w:tcPr>
          <w:p w14:paraId="70C12218" w14:textId="77777777" w:rsidR="00DE1AD0" w:rsidRPr="00AD7238" w:rsidRDefault="00DE1AD0">
            <w:pPr>
              <w:pStyle w:val="TableText0"/>
              <w:jc w:val="center"/>
            </w:pPr>
            <w:r w:rsidRPr="00AD7238">
              <w:t>3.04</w:t>
            </w:r>
          </w:p>
        </w:tc>
      </w:tr>
      <w:tr w:rsidR="00DE1AD0" w:rsidRPr="00AD7238" w14:paraId="0C7D1748" w14:textId="77777777">
        <w:tc>
          <w:tcPr>
            <w:tcW w:w="1421" w:type="dxa"/>
            <w:vMerge/>
          </w:tcPr>
          <w:p w14:paraId="62F53483" w14:textId="77777777" w:rsidR="00DE1AD0" w:rsidRPr="00AD7238" w:rsidRDefault="00DE1AD0">
            <w:pPr>
              <w:pStyle w:val="TableText0"/>
            </w:pPr>
          </w:p>
        </w:tc>
        <w:tc>
          <w:tcPr>
            <w:tcW w:w="2108" w:type="dxa"/>
          </w:tcPr>
          <w:p w14:paraId="73EC65A5" w14:textId="77777777" w:rsidR="00DE1AD0" w:rsidRPr="00AD7238" w:rsidRDefault="00DE1AD0">
            <w:pPr>
              <w:pStyle w:val="TableText0"/>
            </w:pPr>
            <w:r w:rsidRPr="00AD7238">
              <w:t>Grade 3</w:t>
            </w:r>
          </w:p>
        </w:tc>
        <w:tc>
          <w:tcPr>
            <w:tcW w:w="1371" w:type="dxa"/>
          </w:tcPr>
          <w:p w14:paraId="4F0465E6" w14:textId="77777777" w:rsidR="00DE1AD0" w:rsidRPr="00AD7238" w:rsidRDefault="00DE1AD0">
            <w:pPr>
              <w:pStyle w:val="TableText0"/>
              <w:jc w:val="center"/>
            </w:pPr>
            <w:r w:rsidRPr="00AD7238">
              <w:t>99</w:t>
            </w:r>
          </w:p>
        </w:tc>
        <w:tc>
          <w:tcPr>
            <w:tcW w:w="1372" w:type="dxa"/>
          </w:tcPr>
          <w:p w14:paraId="76C6053D" w14:textId="74B3B597" w:rsidR="00DE1AD0" w:rsidRPr="00AD7238" w:rsidRDefault="00DE1AD0">
            <w:pPr>
              <w:pStyle w:val="TableText0"/>
              <w:jc w:val="center"/>
            </w:pPr>
            <w:r w:rsidRPr="00AD7238">
              <w:t>0.7</w:t>
            </w:r>
            <w:r w:rsidR="00B86DA0" w:rsidRPr="00AD7238">
              <w:t>0</w:t>
            </w:r>
          </w:p>
        </w:tc>
        <w:tc>
          <w:tcPr>
            <w:tcW w:w="1372" w:type="dxa"/>
          </w:tcPr>
          <w:p w14:paraId="25C3E973" w14:textId="77777777" w:rsidR="00DE1AD0" w:rsidRPr="00AD7238" w:rsidRDefault="00DE1AD0">
            <w:pPr>
              <w:pStyle w:val="TableText0"/>
              <w:jc w:val="center"/>
            </w:pPr>
            <w:r w:rsidRPr="00AD7238">
              <w:t>27</w:t>
            </w:r>
          </w:p>
        </w:tc>
        <w:tc>
          <w:tcPr>
            <w:tcW w:w="1372" w:type="dxa"/>
          </w:tcPr>
          <w:p w14:paraId="67DFB705" w14:textId="77777777" w:rsidR="00DE1AD0" w:rsidRPr="00AD7238" w:rsidRDefault="00DE1AD0">
            <w:pPr>
              <w:pStyle w:val="TableText0"/>
              <w:jc w:val="center"/>
            </w:pPr>
            <w:r w:rsidRPr="00AD7238">
              <w:t>0.2</w:t>
            </w:r>
          </w:p>
        </w:tc>
      </w:tr>
      <w:tr w:rsidR="00DE1AD0" w:rsidRPr="00AD7238" w14:paraId="78B75B7E" w14:textId="77777777">
        <w:tc>
          <w:tcPr>
            <w:tcW w:w="1421" w:type="dxa"/>
            <w:vMerge w:val="restart"/>
          </w:tcPr>
          <w:p w14:paraId="35F2DE2D" w14:textId="77777777" w:rsidR="00DE1AD0" w:rsidRPr="00AD7238" w:rsidRDefault="00DE1AD0">
            <w:pPr>
              <w:pStyle w:val="TableText0"/>
            </w:pPr>
            <w:r w:rsidRPr="00AD7238">
              <w:t>Chills</w:t>
            </w:r>
          </w:p>
        </w:tc>
        <w:tc>
          <w:tcPr>
            <w:tcW w:w="2108" w:type="dxa"/>
          </w:tcPr>
          <w:p w14:paraId="414246F4" w14:textId="77777777" w:rsidR="00DE1AD0" w:rsidRPr="00AD7238" w:rsidRDefault="00DE1AD0">
            <w:pPr>
              <w:pStyle w:val="TableText0"/>
            </w:pPr>
            <w:r w:rsidRPr="00AD7238">
              <w:t>Any grade</w:t>
            </w:r>
          </w:p>
        </w:tc>
        <w:tc>
          <w:tcPr>
            <w:tcW w:w="1371" w:type="dxa"/>
          </w:tcPr>
          <w:p w14:paraId="26A8D9FB" w14:textId="77777777" w:rsidR="00DE1AD0" w:rsidRPr="00AD7238" w:rsidRDefault="00DE1AD0">
            <w:pPr>
              <w:pStyle w:val="TableText0"/>
              <w:jc w:val="center"/>
            </w:pPr>
            <w:r w:rsidRPr="00AD7238">
              <w:t>516</w:t>
            </w:r>
          </w:p>
        </w:tc>
        <w:tc>
          <w:tcPr>
            <w:tcW w:w="1372" w:type="dxa"/>
          </w:tcPr>
          <w:p w14:paraId="36BF35C5" w14:textId="77777777" w:rsidR="00DE1AD0" w:rsidRPr="00AD7238" w:rsidRDefault="00DE1AD0">
            <w:pPr>
              <w:pStyle w:val="TableText0"/>
              <w:jc w:val="center"/>
            </w:pPr>
            <w:r w:rsidRPr="00AD7238">
              <w:t>3.52</w:t>
            </w:r>
          </w:p>
        </w:tc>
        <w:tc>
          <w:tcPr>
            <w:tcW w:w="1372" w:type="dxa"/>
          </w:tcPr>
          <w:p w14:paraId="607E9A42" w14:textId="77777777" w:rsidR="00DE1AD0" w:rsidRPr="00AD7238" w:rsidRDefault="00DE1AD0">
            <w:pPr>
              <w:pStyle w:val="TableText0"/>
              <w:jc w:val="center"/>
            </w:pPr>
            <w:r w:rsidRPr="00AD7238">
              <w:t>35</w:t>
            </w:r>
          </w:p>
        </w:tc>
        <w:tc>
          <w:tcPr>
            <w:tcW w:w="1372" w:type="dxa"/>
          </w:tcPr>
          <w:p w14:paraId="73F0D20E" w14:textId="77777777" w:rsidR="00DE1AD0" w:rsidRPr="00AD7238" w:rsidRDefault="00DE1AD0">
            <w:pPr>
              <w:pStyle w:val="TableText0"/>
              <w:jc w:val="center"/>
            </w:pPr>
            <w:r w:rsidRPr="00AD7238">
              <w:t>0.24</w:t>
            </w:r>
          </w:p>
        </w:tc>
      </w:tr>
      <w:tr w:rsidR="00DE1AD0" w:rsidRPr="00AD7238" w14:paraId="1CBBEB89" w14:textId="77777777">
        <w:tc>
          <w:tcPr>
            <w:tcW w:w="1421" w:type="dxa"/>
            <w:vMerge/>
          </w:tcPr>
          <w:p w14:paraId="2D3DED15" w14:textId="77777777" w:rsidR="00DE1AD0" w:rsidRPr="00AD7238" w:rsidRDefault="00DE1AD0">
            <w:pPr>
              <w:pStyle w:val="TableText0"/>
            </w:pPr>
          </w:p>
        </w:tc>
        <w:tc>
          <w:tcPr>
            <w:tcW w:w="2108" w:type="dxa"/>
          </w:tcPr>
          <w:p w14:paraId="3BBCFF4B" w14:textId="77777777" w:rsidR="00DE1AD0" w:rsidRPr="00AD7238" w:rsidRDefault="00DE1AD0">
            <w:pPr>
              <w:pStyle w:val="TableText0"/>
            </w:pPr>
            <w:r w:rsidRPr="00AD7238">
              <w:t>Grade 3</w:t>
            </w:r>
          </w:p>
        </w:tc>
        <w:tc>
          <w:tcPr>
            <w:tcW w:w="1371" w:type="dxa"/>
          </w:tcPr>
          <w:p w14:paraId="5C9AB0B8" w14:textId="77777777" w:rsidR="00DE1AD0" w:rsidRPr="00AD7238" w:rsidRDefault="00DE1AD0">
            <w:pPr>
              <w:pStyle w:val="TableText0"/>
              <w:jc w:val="center"/>
            </w:pPr>
            <w:r w:rsidRPr="00AD7238">
              <w:t>87</w:t>
            </w:r>
          </w:p>
        </w:tc>
        <w:tc>
          <w:tcPr>
            <w:tcW w:w="1372" w:type="dxa"/>
          </w:tcPr>
          <w:p w14:paraId="357A5FD5" w14:textId="6C0C3109" w:rsidR="00DE1AD0" w:rsidRPr="00AD7238" w:rsidRDefault="00DE1AD0">
            <w:pPr>
              <w:pStyle w:val="TableText0"/>
              <w:jc w:val="center"/>
            </w:pPr>
            <w:r w:rsidRPr="00AD7238">
              <w:t>0.6</w:t>
            </w:r>
            <w:r w:rsidR="00B86DA0" w:rsidRPr="00AD7238">
              <w:t>0</w:t>
            </w:r>
          </w:p>
        </w:tc>
        <w:tc>
          <w:tcPr>
            <w:tcW w:w="1372" w:type="dxa"/>
          </w:tcPr>
          <w:p w14:paraId="32BB31D1" w14:textId="77777777" w:rsidR="00DE1AD0" w:rsidRPr="00AD7238" w:rsidRDefault="00DE1AD0">
            <w:pPr>
              <w:pStyle w:val="TableText0"/>
              <w:jc w:val="center"/>
            </w:pPr>
            <w:r w:rsidRPr="00AD7238">
              <w:t>2</w:t>
            </w:r>
          </w:p>
        </w:tc>
        <w:tc>
          <w:tcPr>
            <w:tcW w:w="1372" w:type="dxa"/>
          </w:tcPr>
          <w:p w14:paraId="5272E4AF" w14:textId="77777777" w:rsidR="00DE1AD0" w:rsidRPr="00AD7238" w:rsidRDefault="00DE1AD0">
            <w:pPr>
              <w:pStyle w:val="TableText0"/>
              <w:jc w:val="center"/>
            </w:pPr>
            <w:r w:rsidRPr="00AD7238">
              <w:t>0.0</w:t>
            </w:r>
          </w:p>
        </w:tc>
      </w:tr>
      <w:tr w:rsidR="00DE1AD0" w:rsidRPr="00AD7238" w14:paraId="012205E0" w14:textId="77777777">
        <w:tc>
          <w:tcPr>
            <w:tcW w:w="1421" w:type="dxa"/>
            <w:vMerge w:val="restart"/>
          </w:tcPr>
          <w:p w14:paraId="7047B810" w14:textId="77777777" w:rsidR="00DE1AD0" w:rsidRPr="00AD7238" w:rsidRDefault="00DE1AD0">
            <w:pPr>
              <w:pStyle w:val="TableText0"/>
            </w:pPr>
            <w:r w:rsidRPr="00AD7238">
              <w:t>Fever</w:t>
            </w:r>
          </w:p>
        </w:tc>
        <w:tc>
          <w:tcPr>
            <w:tcW w:w="2108" w:type="dxa"/>
          </w:tcPr>
          <w:p w14:paraId="0A6D4117" w14:textId="77777777" w:rsidR="00DE1AD0" w:rsidRPr="00AD7238" w:rsidRDefault="00DE1AD0">
            <w:pPr>
              <w:pStyle w:val="TableText0"/>
            </w:pPr>
            <w:r w:rsidRPr="00AD7238">
              <w:t>Any grade</w:t>
            </w:r>
          </w:p>
        </w:tc>
        <w:tc>
          <w:tcPr>
            <w:tcW w:w="1371" w:type="dxa"/>
          </w:tcPr>
          <w:p w14:paraId="1C66CBD3" w14:textId="77777777" w:rsidR="00DE1AD0" w:rsidRPr="00AD7238" w:rsidRDefault="00DE1AD0">
            <w:pPr>
              <w:pStyle w:val="TableText0"/>
              <w:jc w:val="center"/>
            </w:pPr>
            <w:r w:rsidRPr="00AD7238">
              <w:t>1037</w:t>
            </w:r>
          </w:p>
        </w:tc>
        <w:tc>
          <w:tcPr>
            <w:tcW w:w="1372" w:type="dxa"/>
          </w:tcPr>
          <w:p w14:paraId="2EA62788" w14:textId="77777777" w:rsidR="00DE1AD0" w:rsidRPr="00AD7238" w:rsidRDefault="00DE1AD0">
            <w:pPr>
              <w:pStyle w:val="TableText0"/>
              <w:jc w:val="center"/>
            </w:pPr>
            <w:r w:rsidRPr="00AD7238">
              <w:t>7.08</w:t>
            </w:r>
          </w:p>
        </w:tc>
        <w:tc>
          <w:tcPr>
            <w:tcW w:w="1372" w:type="dxa"/>
          </w:tcPr>
          <w:p w14:paraId="374769FE" w14:textId="77777777" w:rsidR="00DE1AD0" w:rsidRPr="00AD7238" w:rsidRDefault="00DE1AD0">
            <w:pPr>
              <w:pStyle w:val="TableText0"/>
              <w:jc w:val="center"/>
            </w:pPr>
            <w:r w:rsidRPr="00AD7238">
              <w:t>76</w:t>
            </w:r>
          </w:p>
        </w:tc>
        <w:tc>
          <w:tcPr>
            <w:tcW w:w="1372" w:type="dxa"/>
          </w:tcPr>
          <w:p w14:paraId="49BA0A18" w14:textId="77777777" w:rsidR="00DE1AD0" w:rsidRPr="00AD7238" w:rsidRDefault="00DE1AD0">
            <w:pPr>
              <w:pStyle w:val="TableText0"/>
              <w:jc w:val="center"/>
            </w:pPr>
            <w:r w:rsidRPr="00AD7238">
              <w:t>0.52</w:t>
            </w:r>
          </w:p>
        </w:tc>
      </w:tr>
      <w:tr w:rsidR="00DE1AD0" w:rsidRPr="00AD7238" w14:paraId="26062C49" w14:textId="77777777">
        <w:tc>
          <w:tcPr>
            <w:tcW w:w="1421" w:type="dxa"/>
            <w:vMerge/>
          </w:tcPr>
          <w:p w14:paraId="11481CF9" w14:textId="77777777" w:rsidR="00DE1AD0" w:rsidRPr="00AD7238" w:rsidRDefault="00DE1AD0">
            <w:pPr>
              <w:pStyle w:val="TableText0"/>
            </w:pPr>
          </w:p>
        </w:tc>
        <w:tc>
          <w:tcPr>
            <w:tcW w:w="2108" w:type="dxa"/>
          </w:tcPr>
          <w:p w14:paraId="168C3196" w14:textId="77777777" w:rsidR="00DE1AD0" w:rsidRPr="00AD7238" w:rsidRDefault="00DE1AD0">
            <w:pPr>
              <w:pStyle w:val="TableText0"/>
            </w:pPr>
            <w:r w:rsidRPr="00AD7238">
              <w:t>Grade 3</w:t>
            </w:r>
          </w:p>
        </w:tc>
        <w:tc>
          <w:tcPr>
            <w:tcW w:w="1371" w:type="dxa"/>
          </w:tcPr>
          <w:p w14:paraId="1B56FE28" w14:textId="77777777" w:rsidR="00DE1AD0" w:rsidRPr="00AD7238" w:rsidRDefault="00DE1AD0">
            <w:pPr>
              <w:pStyle w:val="TableText0"/>
              <w:jc w:val="center"/>
            </w:pPr>
            <w:r w:rsidRPr="00AD7238">
              <w:t>138</w:t>
            </w:r>
          </w:p>
        </w:tc>
        <w:tc>
          <w:tcPr>
            <w:tcW w:w="1372" w:type="dxa"/>
          </w:tcPr>
          <w:p w14:paraId="7360F844" w14:textId="3B13D3D2" w:rsidR="00DE1AD0" w:rsidRPr="00AD7238" w:rsidRDefault="00DE1AD0">
            <w:pPr>
              <w:pStyle w:val="TableText0"/>
              <w:jc w:val="center"/>
            </w:pPr>
            <w:r w:rsidRPr="00AD7238">
              <w:t>0.9</w:t>
            </w:r>
            <w:r w:rsidR="00B86DA0" w:rsidRPr="00AD7238">
              <w:t>0</w:t>
            </w:r>
          </w:p>
        </w:tc>
        <w:tc>
          <w:tcPr>
            <w:tcW w:w="1372" w:type="dxa"/>
          </w:tcPr>
          <w:p w14:paraId="6A2145F2" w14:textId="77777777" w:rsidR="00DE1AD0" w:rsidRPr="00AD7238" w:rsidRDefault="00DE1AD0">
            <w:pPr>
              <w:pStyle w:val="TableText0"/>
              <w:jc w:val="center"/>
            </w:pPr>
            <w:r w:rsidRPr="00AD7238">
              <w:t>10</w:t>
            </w:r>
          </w:p>
        </w:tc>
        <w:tc>
          <w:tcPr>
            <w:tcW w:w="1372" w:type="dxa"/>
          </w:tcPr>
          <w:p w14:paraId="1985331A" w14:textId="70638F28" w:rsidR="00DE1AD0" w:rsidRPr="00AD7238" w:rsidRDefault="00DE1AD0">
            <w:pPr>
              <w:pStyle w:val="TableText0"/>
              <w:jc w:val="center"/>
            </w:pPr>
            <w:r w:rsidRPr="00AD7238">
              <w:t>0.1</w:t>
            </w:r>
            <w:r w:rsidR="00B86DA0" w:rsidRPr="00AD7238">
              <w:t>0</w:t>
            </w:r>
          </w:p>
        </w:tc>
      </w:tr>
      <w:tr w:rsidR="00DE1AD0" w:rsidRPr="00AD7238" w14:paraId="7F67F3F2" w14:textId="77777777">
        <w:tc>
          <w:tcPr>
            <w:tcW w:w="1421" w:type="dxa"/>
            <w:vMerge w:val="restart"/>
          </w:tcPr>
          <w:p w14:paraId="55DDBD11" w14:textId="77777777" w:rsidR="00DE1AD0" w:rsidRPr="00AD7238" w:rsidRDefault="00DE1AD0">
            <w:pPr>
              <w:pStyle w:val="TableText0"/>
            </w:pPr>
            <w:r w:rsidRPr="00AD7238">
              <w:t>GI</w:t>
            </w:r>
          </w:p>
        </w:tc>
        <w:tc>
          <w:tcPr>
            <w:tcW w:w="2108" w:type="dxa"/>
          </w:tcPr>
          <w:p w14:paraId="36AB1922" w14:textId="77777777" w:rsidR="00DE1AD0" w:rsidRPr="00AD7238" w:rsidRDefault="00DE1AD0">
            <w:pPr>
              <w:pStyle w:val="TableText0"/>
            </w:pPr>
            <w:r w:rsidRPr="00AD7238">
              <w:t>Any grade</w:t>
            </w:r>
          </w:p>
        </w:tc>
        <w:tc>
          <w:tcPr>
            <w:tcW w:w="1371" w:type="dxa"/>
          </w:tcPr>
          <w:p w14:paraId="5CEFECAA" w14:textId="77777777" w:rsidR="00DE1AD0" w:rsidRPr="00AD7238" w:rsidRDefault="00DE1AD0">
            <w:pPr>
              <w:pStyle w:val="TableText0"/>
              <w:jc w:val="center"/>
            </w:pPr>
            <w:r w:rsidRPr="00AD7238">
              <w:t>197</w:t>
            </w:r>
          </w:p>
        </w:tc>
        <w:tc>
          <w:tcPr>
            <w:tcW w:w="1372" w:type="dxa"/>
          </w:tcPr>
          <w:p w14:paraId="7B572240" w14:textId="77777777" w:rsidR="00DE1AD0" w:rsidRPr="00AD7238" w:rsidRDefault="00DE1AD0">
            <w:pPr>
              <w:pStyle w:val="TableText0"/>
              <w:jc w:val="center"/>
            </w:pPr>
            <w:r w:rsidRPr="00AD7238">
              <w:t>1.35</w:t>
            </w:r>
          </w:p>
        </w:tc>
        <w:tc>
          <w:tcPr>
            <w:tcW w:w="1372" w:type="dxa"/>
          </w:tcPr>
          <w:p w14:paraId="58C9F20D" w14:textId="77777777" w:rsidR="00DE1AD0" w:rsidRPr="00AD7238" w:rsidRDefault="00DE1AD0">
            <w:pPr>
              <w:pStyle w:val="TableText0"/>
              <w:jc w:val="center"/>
            </w:pPr>
            <w:r w:rsidRPr="00AD7238">
              <w:t>69</w:t>
            </w:r>
          </w:p>
        </w:tc>
        <w:tc>
          <w:tcPr>
            <w:tcW w:w="1372" w:type="dxa"/>
          </w:tcPr>
          <w:p w14:paraId="5657BFDA" w14:textId="77777777" w:rsidR="00DE1AD0" w:rsidRPr="00AD7238" w:rsidRDefault="00DE1AD0">
            <w:pPr>
              <w:pStyle w:val="TableText0"/>
              <w:jc w:val="center"/>
            </w:pPr>
            <w:r w:rsidRPr="00AD7238">
              <w:t>0.47</w:t>
            </w:r>
          </w:p>
        </w:tc>
      </w:tr>
      <w:tr w:rsidR="00DE1AD0" w:rsidRPr="00AD7238" w14:paraId="3AB3A6D3" w14:textId="77777777">
        <w:tc>
          <w:tcPr>
            <w:tcW w:w="1421" w:type="dxa"/>
            <w:vMerge/>
          </w:tcPr>
          <w:p w14:paraId="52067E61" w14:textId="77777777" w:rsidR="00DE1AD0" w:rsidRPr="00AD7238" w:rsidRDefault="00DE1AD0">
            <w:pPr>
              <w:pStyle w:val="TableText0"/>
            </w:pPr>
          </w:p>
        </w:tc>
        <w:tc>
          <w:tcPr>
            <w:tcW w:w="2108" w:type="dxa"/>
          </w:tcPr>
          <w:p w14:paraId="5E2B25A1" w14:textId="77777777" w:rsidR="00DE1AD0" w:rsidRPr="00AD7238" w:rsidRDefault="00DE1AD0">
            <w:pPr>
              <w:pStyle w:val="TableText0"/>
            </w:pPr>
            <w:r w:rsidRPr="00AD7238">
              <w:t>Grade 3</w:t>
            </w:r>
          </w:p>
        </w:tc>
        <w:tc>
          <w:tcPr>
            <w:tcW w:w="1371" w:type="dxa"/>
          </w:tcPr>
          <w:p w14:paraId="384F7BE3" w14:textId="77777777" w:rsidR="00DE1AD0" w:rsidRPr="00AD7238" w:rsidRDefault="00DE1AD0">
            <w:pPr>
              <w:pStyle w:val="TableText0"/>
              <w:jc w:val="center"/>
            </w:pPr>
            <w:r w:rsidRPr="00AD7238">
              <w:t>26</w:t>
            </w:r>
          </w:p>
        </w:tc>
        <w:tc>
          <w:tcPr>
            <w:tcW w:w="1372" w:type="dxa"/>
          </w:tcPr>
          <w:p w14:paraId="5C508A9B" w14:textId="6376AA6A" w:rsidR="00DE1AD0" w:rsidRPr="00AD7238" w:rsidRDefault="00DE1AD0">
            <w:pPr>
              <w:pStyle w:val="TableText0"/>
              <w:jc w:val="center"/>
            </w:pPr>
            <w:r w:rsidRPr="00AD7238">
              <w:t>0.2</w:t>
            </w:r>
            <w:r w:rsidR="00B86DA0" w:rsidRPr="00AD7238">
              <w:t>0</w:t>
            </w:r>
          </w:p>
        </w:tc>
        <w:tc>
          <w:tcPr>
            <w:tcW w:w="1372" w:type="dxa"/>
          </w:tcPr>
          <w:p w14:paraId="18E23FAB" w14:textId="77777777" w:rsidR="00DE1AD0" w:rsidRPr="00AD7238" w:rsidRDefault="00DE1AD0">
            <w:pPr>
              <w:pStyle w:val="TableText0"/>
              <w:jc w:val="center"/>
            </w:pPr>
            <w:r w:rsidRPr="00AD7238">
              <w:t>6</w:t>
            </w:r>
          </w:p>
        </w:tc>
        <w:tc>
          <w:tcPr>
            <w:tcW w:w="1372" w:type="dxa"/>
          </w:tcPr>
          <w:p w14:paraId="3AB1310E" w14:textId="77777777" w:rsidR="00DE1AD0" w:rsidRPr="00AD7238" w:rsidRDefault="00DE1AD0">
            <w:pPr>
              <w:pStyle w:val="TableText0"/>
              <w:jc w:val="center"/>
            </w:pPr>
            <w:r w:rsidRPr="00AD7238">
              <w:t>0.0</w:t>
            </w:r>
          </w:p>
        </w:tc>
      </w:tr>
      <w:tr w:rsidR="00DE1AD0" w:rsidRPr="00AD7238" w14:paraId="2656A596" w14:textId="77777777">
        <w:tc>
          <w:tcPr>
            <w:tcW w:w="9016" w:type="dxa"/>
            <w:gridSpan w:val="6"/>
          </w:tcPr>
          <w:p w14:paraId="1913C419" w14:textId="77777777" w:rsidR="00DE1AD0" w:rsidRPr="00AD7238" w:rsidRDefault="00DE1AD0">
            <w:pPr>
              <w:pStyle w:val="TableText0"/>
              <w:rPr>
                <w:b/>
                <w:bCs w:val="0"/>
              </w:rPr>
            </w:pPr>
            <w:r w:rsidRPr="00AD7238">
              <w:rPr>
                <w:b/>
                <w:bCs w:val="0"/>
              </w:rPr>
              <w:t>Unsolicited AEs reported during the 30-day or 1-year post-vaccination period</w:t>
            </w:r>
          </w:p>
        </w:tc>
      </w:tr>
      <w:tr w:rsidR="00DE1AD0" w:rsidRPr="00AD7238" w14:paraId="1B291002" w14:textId="77777777">
        <w:tc>
          <w:tcPr>
            <w:tcW w:w="1421" w:type="dxa"/>
          </w:tcPr>
          <w:p w14:paraId="651B2F4D" w14:textId="77777777" w:rsidR="00DE1AD0" w:rsidRPr="00AD7238" w:rsidRDefault="00DE1AD0">
            <w:pPr>
              <w:pStyle w:val="TableText0"/>
            </w:pPr>
            <w:r w:rsidRPr="00AD7238">
              <w:t>All AEs</w:t>
            </w:r>
          </w:p>
        </w:tc>
        <w:tc>
          <w:tcPr>
            <w:tcW w:w="2108" w:type="dxa"/>
          </w:tcPr>
          <w:p w14:paraId="5EF28592" w14:textId="77777777" w:rsidR="00DE1AD0" w:rsidRPr="00AD7238" w:rsidRDefault="00DE1AD0">
            <w:pPr>
              <w:pStyle w:val="TableText0"/>
            </w:pPr>
            <w:r w:rsidRPr="00AD7238">
              <w:t>30 days post-vaccination</w:t>
            </w:r>
          </w:p>
        </w:tc>
        <w:tc>
          <w:tcPr>
            <w:tcW w:w="1371" w:type="dxa"/>
          </w:tcPr>
          <w:p w14:paraId="18FB21C3" w14:textId="77777777" w:rsidR="00DE1AD0" w:rsidRPr="00AD7238" w:rsidRDefault="00DE1AD0">
            <w:pPr>
              <w:pStyle w:val="TableText0"/>
              <w:jc w:val="center"/>
            </w:pPr>
            <w:r w:rsidRPr="00AD7238">
              <w:t>7393</w:t>
            </w:r>
          </w:p>
        </w:tc>
        <w:tc>
          <w:tcPr>
            <w:tcW w:w="1372" w:type="dxa"/>
          </w:tcPr>
          <w:p w14:paraId="754AE2A5" w14:textId="45C8205D" w:rsidR="00DE1AD0" w:rsidRPr="00AD7238" w:rsidRDefault="00DE1AD0">
            <w:pPr>
              <w:pStyle w:val="TableText0"/>
              <w:jc w:val="center"/>
            </w:pPr>
            <w:r w:rsidRPr="00AD7238">
              <w:t>50.5</w:t>
            </w:r>
          </w:p>
        </w:tc>
        <w:tc>
          <w:tcPr>
            <w:tcW w:w="1372" w:type="dxa"/>
          </w:tcPr>
          <w:p w14:paraId="54E5C59B" w14:textId="77777777" w:rsidR="00DE1AD0" w:rsidRPr="00AD7238" w:rsidRDefault="00DE1AD0">
            <w:pPr>
              <w:pStyle w:val="TableText0"/>
              <w:jc w:val="center"/>
            </w:pPr>
            <w:r w:rsidRPr="00AD7238">
              <w:t>4689</w:t>
            </w:r>
          </w:p>
        </w:tc>
        <w:tc>
          <w:tcPr>
            <w:tcW w:w="1372" w:type="dxa"/>
          </w:tcPr>
          <w:p w14:paraId="0DDABA48" w14:textId="77777777" w:rsidR="00DE1AD0" w:rsidRPr="00AD7238" w:rsidRDefault="00DE1AD0">
            <w:pPr>
              <w:pStyle w:val="TableText0"/>
              <w:jc w:val="center"/>
            </w:pPr>
            <w:r w:rsidRPr="00AD7238">
              <w:t xml:space="preserve">32.0 </w:t>
            </w:r>
          </w:p>
        </w:tc>
      </w:tr>
      <w:tr w:rsidR="00DE1AD0" w:rsidRPr="00AD7238" w14:paraId="6C028E67" w14:textId="77777777">
        <w:tc>
          <w:tcPr>
            <w:tcW w:w="1421" w:type="dxa"/>
          </w:tcPr>
          <w:p w14:paraId="1157EAE1" w14:textId="77777777" w:rsidR="00DE1AD0" w:rsidRPr="00AD7238" w:rsidRDefault="00DE1AD0">
            <w:pPr>
              <w:pStyle w:val="TableText0"/>
            </w:pPr>
            <w:r w:rsidRPr="00AD7238">
              <w:t>Grade 3 AEs</w:t>
            </w:r>
          </w:p>
        </w:tc>
        <w:tc>
          <w:tcPr>
            <w:tcW w:w="2108" w:type="dxa"/>
          </w:tcPr>
          <w:p w14:paraId="74DA7E85" w14:textId="77777777" w:rsidR="00DE1AD0" w:rsidRPr="00AD7238" w:rsidRDefault="00DE1AD0">
            <w:pPr>
              <w:pStyle w:val="TableText0"/>
            </w:pPr>
            <w:r w:rsidRPr="00AD7238">
              <w:t>30 days post-vaccination</w:t>
            </w:r>
          </w:p>
        </w:tc>
        <w:tc>
          <w:tcPr>
            <w:tcW w:w="1371" w:type="dxa"/>
          </w:tcPr>
          <w:p w14:paraId="7D34AAC6" w14:textId="77777777" w:rsidR="00DE1AD0" w:rsidRPr="00AD7238" w:rsidRDefault="00DE1AD0">
            <w:pPr>
              <w:pStyle w:val="TableText0"/>
              <w:jc w:val="center"/>
            </w:pPr>
            <w:r w:rsidRPr="00AD7238">
              <w:t>1094</w:t>
            </w:r>
          </w:p>
        </w:tc>
        <w:tc>
          <w:tcPr>
            <w:tcW w:w="1372" w:type="dxa"/>
          </w:tcPr>
          <w:p w14:paraId="688874E0" w14:textId="643EBBB3" w:rsidR="00DE1AD0" w:rsidRPr="00AD7238" w:rsidRDefault="00DE1AD0">
            <w:pPr>
              <w:pStyle w:val="TableText0"/>
              <w:jc w:val="center"/>
            </w:pPr>
            <w:r w:rsidRPr="00AD7238">
              <w:t>7.5</w:t>
            </w:r>
          </w:p>
        </w:tc>
        <w:tc>
          <w:tcPr>
            <w:tcW w:w="1372" w:type="dxa"/>
          </w:tcPr>
          <w:p w14:paraId="55F89475" w14:textId="77777777" w:rsidR="00DE1AD0" w:rsidRPr="00AD7238" w:rsidRDefault="00DE1AD0">
            <w:pPr>
              <w:pStyle w:val="TableText0"/>
              <w:jc w:val="center"/>
            </w:pPr>
            <w:r w:rsidRPr="00AD7238">
              <w:t>563</w:t>
            </w:r>
          </w:p>
        </w:tc>
        <w:tc>
          <w:tcPr>
            <w:tcW w:w="1372" w:type="dxa"/>
          </w:tcPr>
          <w:p w14:paraId="3C64399A" w14:textId="77777777" w:rsidR="00DE1AD0" w:rsidRPr="00AD7238" w:rsidRDefault="00DE1AD0">
            <w:pPr>
              <w:pStyle w:val="TableText0"/>
              <w:jc w:val="center"/>
            </w:pPr>
            <w:r w:rsidRPr="00AD7238">
              <w:t xml:space="preserve">3.8 </w:t>
            </w:r>
          </w:p>
        </w:tc>
      </w:tr>
      <w:tr w:rsidR="00DE1AD0" w:rsidRPr="00AD7238" w14:paraId="6C08599F" w14:textId="77777777">
        <w:tc>
          <w:tcPr>
            <w:tcW w:w="1421" w:type="dxa"/>
          </w:tcPr>
          <w:p w14:paraId="391DEDDE" w14:textId="77777777" w:rsidR="00DE1AD0" w:rsidRPr="00AD7238" w:rsidRDefault="00DE1AD0">
            <w:pPr>
              <w:pStyle w:val="TableText0"/>
            </w:pPr>
            <w:r w:rsidRPr="00AD7238">
              <w:t>Related AEs</w:t>
            </w:r>
          </w:p>
        </w:tc>
        <w:tc>
          <w:tcPr>
            <w:tcW w:w="2108" w:type="dxa"/>
          </w:tcPr>
          <w:p w14:paraId="4C3B3F94" w14:textId="77777777" w:rsidR="00DE1AD0" w:rsidRPr="00AD7238" w:rsidRDefault="00DE1AD0">
            <w:pPr>
              <w:pStyle w:val="TableText0"/>
            </w:pPr>
            <w:r w:rsidRPr="00AD7238">
              <w:t>30 days post-vaccination</w:t>
            </w:r>
          </w:p>
        </w:tc>
        <w:tc>
          <w:tcPr>
            <w:tcW w:w="1371" w:type="dxa"/>
          </w:tcPr>
          <w:p w14:paraId="1802FA1E" w14:textId="77777777" w:rsidR="00DE1AD0" w:rsidRPr="00AD7238" w:rsidRDefault="00DE1AD0">
            <w:pPr>
              <w:pStyle w:val="TableText0"/>
              <w:jc w:val="center"/>
            </w:pPr>
            <w:r w:rsidRPr="00AD7238">
              <w:t>5052</w:t>
            </w:r>
          </w:p>
        </w:tc>
        <w:tc>
          <w:tcPr>
            <w:tcW w:w="1372" w:type="dxa"/>
          </w:tcPr>
          <w:p w14:paraId="45421336" w14:textId="77777777" w:rsidR="00DE1AD0" w:rsidRPr="00AD7238" w:rsidRDefault="00DE1AD0">
            <w:pPr>
              <w:pStyle w:val="TableText0"/>
              <w:jc w:val="center"/>
            </w:pPr>
            <w:r w:rsidRPr="00AD7238">
              <w:t xml:space="preserve">34.5 </w:t>
            </w:r>
          </w:p>
        </w:tc>
        <w:tc>
          <w:tcPr>
            <w:tcW w:w="1372" w:type="dxa"/>
          </w:tcPr>
          <w:p w14:paraId="12E7CEF2" w14:textId="77777777" w:rsidR="00DE1AD0" w:rsidRPr="00AD7238" w:rsidRDefault="00DE1AD0">
            <w:pPr>
              <w:pStyle w:val="TableText0"/>
              <w:jc w:val="center"/>
            </w:pPr>
            <w:r w:rsidRPr="00AD7238">
              <w:t>968</w:t>
            </w:r>
          </w:p>
        </w:tc>
        <w:tc>
          <w:tcPr>
            <w:tcW w:w="1372" w:type="dxa"/>
          </w:tcPr>
          <w:p w14:paraId="61FAC299" w14:textId="77777777" w:rsidR="00DE1AD0" w:rsidRPr="00AD7238" w:rsidRDefault="00DE1AD0">
            <w:pPr>
              <w:pStyle w:val="TableText0"/>
              <w:jc w:val="center"/>
            </w:pPr>
            <w:r w:rsidRPr="00AD7238">
              <w:t xml:space="preserve">6.6 </w:t>
            </w:r>
          </w:p>
        </w:tc>
      </w:tr>
      <w:tr w:rsidR="00DE1AD0" w:rsidRPr="00AD7238" w14:paraId="42011013" w14:textId="77777777">
        <w:tc>
          <w:tcPr>
            <w:tcW w:w="1421" w:type="dxa"/>
            <w:vMerge w:val="restart"/>
          </w:tcPr>
          <w:p w14:paraId="17631423" w14:textId="77777777" w:rsidR="00DE1AD0" w:rsidRPr="00AD7238" w:rsidRDefault="00DE1AD0">
            <w:pPr>
              <w:pStyle w:val="TableText0"/>
            </w:pPr>
            <w:r w:rsidRPr="00AD7238">
              <w:t>SAEs</w:t>
            </w:r>
          </w:p>
        </w:tc>
        <w:tc>
          <w:tcPr>
            <w:tcW w:w="2108" w:type="dxa"/>
          </w:tcPr>
          <w:p w14:paraId="4F08416E" w14:textId="77777777" w:rsidR="00DE1AD0" w:rsidRPr="00AD7238" w:rsidRDefault="00DE1AD0">
            <w:pPr>
              <w:pStyle w:val="TableText0"/>
            </w:pPr>
            <w:r w:rsidRPr="00AD7238">
              <w:t>30 days post-vaccination</w:t>
            </w:r>
          </w:p>
        </w:tc>
        <w:tc>
          <w:tcPr>
            <w:tcW w:w="1371" w:type="dxa"/>
          </w:tcPr>
          <w:p w14:paraId="0AC2F414" w14:textId="77777777" w:rsidR="00DE1AD0" w:rsidRPr="00AD7238" w:rsidRDefault="00DE1AD0">
            <w:pPr>
              <w:pStyle w:val="TableText0"/>
              <w:jc w:val="center"/>
            </w:pPr>
            <w:r w:rsidRPr="00AD7238">
              <w:t>342</w:t>
            </w:r>
          </w:p>
        </w:tc>
        <w:tc>
          <w:tcPr>
            <w:tcW w:w="1372" w:type="dxa"/>
          </w:tcPr>
          <w:p w14:paraId="741A51F1" w14:textId="77777777" w:rsidR="00DE1AD0" w:rsidRPr="00AD7238" w:rsidRDefault="00DE1AD0">
            <w:pPr>
              <w:pStyle w:val="TableText0"/>
              <w:jc w:val="center"/>
            </w:pPr>
            <w:r w:rsidRPr="00AD7238">
              <w:t xml:space="preserve">2.3 </w:t>
            </w:r>
          </w:p>
        </w:tc>
        <w:tc>
          <w:tcPr>
            <w:tcW w:w="1372" w:type="dxa"/>
          </w:tcPr>
          <w:p w14:paraId="30C690F9" w14:textId="77777777" w:rsidR="00DE1AD0" w:rsidRPr="00AD7238" w:rsidRDefault="00DE1AD0">
            <w:pPr>
              <w:pStyle w:val="TableText0"/>
              <w:jc w:val="center"/>
            </w:pPr>
            <w:r w:rsidRPr="00AD7238">
              <w:t>327</w:t>
            </w:r>
          </w:p>
        </w:tc>
        <w:tc>
          <w:tcPr>
            <w:tcW w:w="1372" w:type="dxa"/>
          </w:tcPr>
          <w:p w14:paraId="4CB47533" w14:textId="77777777" w:rsidR="00DE1AD0" w:rsidRPr="00AD7238" w:rsidRDefault="00DE1AD0">
            <w:pPr>
              <w:pStyle w:val="TableText0"/>
              <w:jc w:val="center"/>
            </w:pPr>
            <w:r w:rsidRPr="00AD7238">
              <w:t xml:space="preserve">2.2 </w:t>
            </w:r>
          </w:p>
        </w:tc>
      </w:tr>
      <w:tr w:rsidR="00DE1AD0" w:rsidRPr="00AD7238" w14:paraId="327AC3F8" w14:textId="77777777">
        <w:tc>
          <w:tcPr>
            <w:tcW w:w="1421" w:type="dxa"/>
            <w:vMerge/>
          </w:tcPr>
          <w:p w14:paraId="3DD28DFB" w14:textId="77777777" w:rsidR="00DE1AD0" w:rsidRPr="00AD7238" w:rsidRDefault="00DE1AD0">
            <w:pPr>
              <w:pStyle w:val="TableText0"/>
            </w:pPr>
          </w:p>
        </w:tc>
        <w:tc>
          <w:tcPr>
            <w:tcW w:w="2108" w:type="dxa"/>
          </w:tcPr>
          <w:p w14:paraId="519DB14C" w14:textId="77777777" w:rsidR="00DE1AD0" w:rsidRPr="00AD7238" w:rsidRDefault="00DE1AD0">
            <w:pPr>
              <w:pStyle w:val="TableText0"/>
            </w:pPr>
            <w:r w:rsidRPr="00AD7238">
              <w:t>1 year post vaccination</w:t>
            </w:r>
          </w:p>
        </w:tc>
        <w:tc>
          <w:tcPr>
            <w:tcW w:w="1371" w:type="dxa"/>
          </w:tcPr>
          <w:p w14:paraId="29A785A8" w14:textId="77777777" w:rsidR="00DE1AD0" w:rsidRPr="00AD7238" w:rsidRDefault="00DE1AD0">
            <w:pPr>
              <w:pStyle w:val="TableText0"/>
              <w:jc w:val="center"/>
            </w:pPr>
            <w:r w:rsidRPr="00AD7238">
              <w:t>1482</w:t>
            </w:r>
          </w:p>
        </w:tc>
        <w:tc>
          <w:tcPr>
            <w:tcW w:w="1372" w:type="dxa"/>
          </w:tcPr>
          <w:p w14:paraId="1ABF37BB" w14:textId="482B60C7" w:rsidR="00DE1AD0" w:rsidRPr="00AD7238" w:rsidRDefault="00DE1AD0">
            <w:pPr>
              <w:pStyle w:val="TableText0"/>
              <w:jc w:val="center"/>
            </w:pPr>
            <w:r w:rsidRPr="00AD7238">
              <w:t>10.1</w:t>
            </w:r>
          </w:p>
        </w:tc>
        <w:tc>
          <w:tcPr>
            <w:tcW w:w="1372" w:type="dxa"/>
          </w:tcPr>
          <w:p w14:paraId="34C9AF2A" w14:textId="77777777" w:rsidR="00DE1AD0" w:rsidRPr="00AD7238" w:rsidRDefault="00DE1AD0">
            <w:pPr>
              <w:pStyle w:val="TableText0"/>
              <w:jc w:val="center"/>
            </w:pPr>
            <w:r w:rsidRPr="00AD7238">
              <w:t>1525</w:t>
            </w:r>
          </w:p>
        </w:tc>
        <w:tc>
          <w:tcPr>
            <w:tcW w:w="1372" w:type="dxa"/>
          </w:tcPr>
          <w:p w14:paraId="3851BADF" w14:textId="77777777" w:rsidR="00DE1AD0" w:rsidRPr="00AD7238" w:rsidRDefault="00DE1AD0">
            <w:pPr>
              <w:pStyle w:val="TableText0"/>
              <w:jc w:val="center"/>
            </w:pPr>
            <w:r w:rsidRPr="00AD7238">
              <w:t xml:space="preserve">10.4 </w:t>
            </w:r>
          </w:p>
        </w:tc>
      </w:tr>
      <w:tr w:rsidR="00DE1AD0" w:rsidRPr="00AD7238" w14:paraId="59E89A7B" w14:textId="77777777">
        <w:tc>
          <w:tcPr>
            <w:tcW w:w="1421" w:type="dxa"/>
            <w:vMerge w:val="restart"/>
          </w:tcPr>
          <w:p w14:paraId="2ABCDB75" w14:textId="77777777" w:rsidR="00DE1AD0" w:rsidRPr="00AD7238" w:rsidRDefault="00DE1AD0">
            <w:pPr>
              <w:pStyle w:val="TableText0"/>
            </w:pPr>
            <w:r w:rsidRPr="00AD7238">
              <w:t>AEs with fatal outcomes</w:t>
            </w:r>
          </w:p>
        </w:tc>
        <w:tc>
          <w:tcPr>
            <w:tcW w:w="2108" w:type="dxa"/>
          </w:tcPr>
          <w:p w14:paraId="2A3BF398" w14:textId="77777777" w:rsidR="00DE1AD0" w:rsidRPr="00AD7238" w:rsidRDefault="00DE1AD0">
            <w:pPr>
              <w:pStyle w:val="TableText0"/>
            </w:pPr>
            <w:r w:rsidRPr="00AD7238">
              <w:t>30 days post-vaccination</w:t>
            </w:r>
          </w:p>
        </w:tc>
        <w:tc>
          <w:tcPr>
            <w:tcW w:w="1371" w:type="dxa"/>
          </w:tcPr>
          <w:p w14:paraId="58FCCAC2" w14:textId="77777777" w:rsidR="00DE1AD0" w:rsidRPr="00AD7238" w:rsidRDefault="00DE1AD0">
            <w:pPr>
              <w:pStyle w:val="TableText0"/>
              <w:jc w:val="center"/>
            </w:pPr>
            <w:r w:rsidRPr="00AD7238">
              <w:t>17</w:t>
            </w:r>
          </w:p>
        </w:tc>
        <w:tc>
          <w:tcPr>
            <w:tcW w:w="1372" w:type="dxa"/>
          </w:tcPr>
          <w:p w14:paraId="74FB6BAF" w14:textId="77777777" w:rsidR="00DE1AD0" w:rsidRPr="00AD7238" w:rsidRDefault="00DE1AD0">
            <w:pPr>
              <w:pStyle w:val="TableText0"/>
              <w:jc w:val="center"/>
            </w:pPr>
            <w:r w:rsidRPr="00AD7238">
              <w:t xml:space="preserve">0.1 </w:t>
            </w:r>
          </w:p>
        </w:tc>
        <w:tc>
          <w:tcPr>
            <w:tcW w:w="1372" w:type="dxa"/>
          </w:tcPr>
          <w:p w14:paraId="6C5F1866" w14:textId="77777777" w:rsidR="00DE1AD0" w:rsidRPr="00AD7238" w:rsidRDefault="00DE1AD0">
            <w:pPr>
              <w:pStyle w:val="TableText0"/>
              <w:jc w:val="center"/>
            </w:pPr>
            <w:r w:rsidRPr="00AD7238">
              <w:t>21</w:t>
            </w:r>
          </w:p>
        </w:tc>
        <w:tc>
          <w:tcPr>
            <w:tcW w:w="1372" w:type="dxa"/>
          </w:tcPr>
          <w:p w14:paraId="1737FCC4" w14:textId="77777777" w:rsidR="00DE1AD0" w:rsidRPr="00AD7238" w:rsidRDefault="00DE1AD0">
            <w:pPr>
              <w:pStyle w:val="TableText0"/>
              <w:jc w:val="center"/>
            </w:pPr>
            <w:r w:rsidRPr="00AD7238">
              <w:t xml:space="preserve">0.1 </w:t>
            </w:r>
          </w:p>
        </w:tc>
      </w:tr>
      <w:tr w:rsidR="00DE1AD0" w:rsidRPr="00AD7238" w14:paraId="4C8F0FFC" w14:textId="77777777">
        <w:tc>
          <w:tcPr>
            <w:tcW w:w="1421" w:type="dxa"/>
            <w:vMerge/>
          </w:tcPr>
          <w:p w14:paraId="4B7B5220" w14:textId="77777777" w:rsidR="00DE1AD0" w:rsidRPr="00AD7238" w:rsidRDefault="00DE1AD0">
            <w:pPr>
              <w:pStyle w:val="TableText0"/>
            </w:pPr>
          </w:p>
        </w:tc>
        <w:tc>
          <w:tcPr>
            <w:tcW w:w="2108" w:type="dxa"/>
          </w:tcPr>
          <w:p w14:paraId="550A6F9D" w14:textId="77777777" w:rsidR="00DE1AD0" w:rsidRPr="00AD7238" w:rsidRDefault="00DE1AD0">
            <w:pPr>
              <w:pStyle w:val="TableText0"/>
            </w:pPr>
            <w:r w:rsidRPr="00AD7238">
              <w:t>1 year post vaccination</w:t>
            </w:r>
          </w:p>
        </w:tc>
        <w:tc>
          <w:tcPr>
            <w:tcW w:w="1371" w:type="dxa"/>
          </w:tcPr>
          <w:p w14:paraId="0C68B9A6" w14:textId="77777777" w:rsidR="00DE1AD0" w:rsidRPr="00AD7238" w:rsidRDefault="00DE1AD0">
            <w:pPr>
              <w:pStyle w:val="TableText0"/>
              <w:jc w:val="center"/>
            </w:pPr>
            <w:r w:rsidRPr="00AD7238">
              <w:t>153</w:t>
            </w:r>
          </w:p>
        </w:tc>
        <w:tc>
          <w:tcPr>
            <w:tcW w:w="1372" w:type="dxa"/>
          </w:tcPr>
          <w:p w14:paraId="28A6C017" w14:textId="77777777" w:rsidR="00DE1AD0" w:rsidRPr="00AD7238" w:rsidRDefault="00DE1AD0">
            <w:pPr>
              <w:pStyle w:val="TableText0"/>
              <w:jc w:val="center"/>
            </w:pPr>
            <w:r w:rsidRPr="00AD7238">
              <w:t xml:space="preserve">1.0 </w:t>
            </w:r>
          </w:p>
        </w:tc>
        <w:tc>
          <w:tcPr>
            <w:tcW w:w="1372" w:type="dxa"/>
          </w:tcPr>
          <w:p w14:paraId="20240155" w14:textId="77777777" w:rsidR="00DE1AD0" w:rsidRPr="00AD7238" w:rsidRDefault="00DE1AD0">
            <w:pPr>
              <w:pStyle w:val="TableText0"/>
              <w:jc w:val="center"/>
            </w:pPr>
            <w:r w:rsidRPr="00AD7238">
              <w:t>168</w:t>
            </w:r>
          </w:p>
        </w:tc>
        <w:tc>
          <w:tcPr>
            <w:tcW w:w="1372" w:type="dxa"/>
          </w:tcPr>
          <w:p w14:paraId="2053DE97" w14:textId="77777777" w:rsidR="00DE1AD0" w:rsidRPr="00AD7238" w:rsidRDefault="00DE1AD0">
            <w:pPr>
              <w:pStyle w:val="TableText0"/>
              <w:jc w:val="center"/>
            </w:pPr>
            <w:r w:rsidRPr="00AD7238">
              <w:t xml:space="preserve">1.1 </w:t>
            </w:r>
          </w:p>
        </w:tc>
      </w:tr>
      <w:tr w:rsidR="00DE1AD0" w:rsidRPr="00AD7238" w14:paraId="4869785C" w14:textId="77777777">
        <w:tc>
          <w:tcPr>
            <w:tcW w:w="1421" w:type="dxa"/>
            <w:vMerge w:val="restart"/>
          </w:tcPr>
          <w:p w14:paraId="27651B2D" w14:textId="77777777" w:rsidR="00DE1AD0" w:rsidRPr="00AD7238" w:rsidRDefault="00DE1AD0">
            <w:pPr>
              <w:pStyle w:val="TableText0"/>
            </w:pPr>
            <w:r w:rsidRPr="00AD7238">
              <w:t>pIMD (AE of special interest)</w:t>
            </w:r>
          </w:p>
        </w:tc>
        <w:tc>
          <w:tcPr>
            <w:tcW w:w="2108" w:type="dxa"/>
          </w:tcPr>
          <w:p w14:paraId="6CD06503" w14:textId="77777777" w:rsidR="00DE1AD0" w:rsidRPr="00AD7238" w:rsidRDefault="00DE1AD0">
            <w:pPr>
              <w:pStyle w:val="TableText0"/>
            </w:pPr>
            <w:r w:rsidRPr="00AD7238">
              <w:t>30 days post-vaccination</w:t>
            </w:r>
          </w:p>
        </w:tc>
        <w:tc>
          <w:tcPr>
            <w:tcW w:w="1371" w:type="dxa"/>
          </w:tcPr>
          <w:p w14:paraId="11C011DD" w14:textId="77777777" w:rsidR="00DE1AD0" w:rsidRPr="00AD7238" w:rsidRDefault="00DE1AD0">
            <w:pPr>
              <w:pStyle w:val="TableText0"/>
              <w:jc w:val="center"/>
            </w:pPr>
            <w:r w:rsidRPr="00AD7238">
              <w:t>30</w:t>
            </w:r>
          </w:p>
        </w:tc>
        <w:tc>
          <w:tcPr>
            <w:tcW w:w="1372" w:type="dxa"/>
          </w:tcPr>
          <w:p w14:paraId="107A02CF" w14:textId="77777777" w:rsidR="00DE1AD0" w:rsidRPr="00AD7238" w:rsidRDefault="00DE1AD0">
            <w:pPr>
              <w:pStyle w:val="TableText0"/>
              <w:jc w:val="center"/>
            </w:pPr>
            <w:r w:rsidRPr="00AD7238">
              <w:t xml:space="preserve">0.2 </w:t>
            </w:r>
          </w:p>
        </w:tc>
        <w:tc>
          <w:tcPr>
            <w:tcW w:w="1372" w:type="dxa"/>
          </w:tcPr>
          <w:p w14:paraId="33CA8987" w14:textId="77777777" w:rsidR="00DE1AD0" w:rsidRPr="00AD7238" w:rsidRDefault="00DE1AD0">
            <w:pPr>
              <w:pStyle w:val="TableText0"/>
              <w:jc w:val="center"/>
            </w:pPr>
            <w:r w:rsidRPr="00AD7238">
              <w:t>30</w:t>
            </w:r>
          </w:p>
        </w:tc>
        <w:tc>
          <w:tcPr>
            <w:tcW w:w="1372" w:type="dxa"/>
          </w:tcPr>
          <w:p w14:paraId="7C0AE112" w14:textId="77777777" w:rsidR="00DE1AD0" w:rsidRPr="00AD7238" w:rsidRDefault="00DE1AD0">
            <w:pPr>
              <w:pStyle w:val="TableText0"/>
              <w:jc w:val="center"/>
            </w:pPr>
            <w:r w:rsidRPr="00AD7238">
              <w:t xml:space="preserve">0.2 </w:t>
            </w:r>
          </w:p>
        </w:tc>
      </w:tr>
      <w:tr w:rsidR="00DE1AD0" w:rsidRPr="00AD7238" w14:paraId="4F462875" w14:textId="77777777">
        <w:tc>
          <w:tcPr>
            <w:tcW w:w="1421" w:type="dxa"/>
            <w:vMerge/>
          </w:tcPr>
          <w:p w14:paraId="113B2EFA" w14:textId="77777777" w:rsidR="00DE1AD0" w:rsidRPr="00AD7238" w:rsidRDefault="00DE1AD0">
            <w:pPr>
              <w:pStyle w:val="TableText0"/>
            </w:pPr>
          </w:p>
        </w:tc>
        <w:tc>
          <w:tcPr>
            <w:tcW w:w="2108" w:type="dxa"/>
          </w:tcPr>
          <w:p w14:paraId="2685E039" w14:textId="77777777" w:rsidR="00DE1AD0" w:rsidRPr="00AD7238" w:rsidRDefault="00DE1AD0">
            <w:pPr>
              <w:pStyle w:val="TableText0"/>
            </w:pPr>
            <w:r w:rsidRPr="00AD7238">
              <w:t>1 year post vaccination</w:t>
            </w:r>
          </w:p>
        </w:tc>
        <w:tc>
          <w:tcPr>
            <w:tcW w:w="1371" w:type="dxa"/>
          </w:tcPr>
          <w:p w14:paraId="78F7B568" w14:textId="77777777" w:rsidR="00DE1AD0" w:rsidRPr="00AD7238" w:rsidRDefault="00DE1AD0">
            <w:pPr>
              <w:pStyle w:val="TableText0"/>
              <w:jc w:val="center"/>
            </w:pPr>
            <w:r w:rsidRPr="00AD7238">
              <w:t>90</w:t>
            </w:r>
          </w:p>
        </w:tc>
        <w:tc>
          <w:tcPr>
            <w:tcW w:w="1372" w:type="dxa"/>
          </w:tcPr>
          <w:p w14:paraId="51F75AA7" w14:textId="77777777" w:rsidR="00DE1AD0" w:rsidRPr="00AD7238" w:rsidRDefault="00DE1AD0">
            <w:pPr>
              <w:pStyle w:val="TableText0"/>
              <w:jc w:val="center"/>
            </w:pPr>
            <w:r w:rsidRPr="00AD7238">
              <w:t xml:space="preserve">0.6 </w:t>
            </w:r>
          </w:p>
        </w:tc>
        <w:tc>
          <w:tcPr>
            <w:tcW w:w="1372" w:type="dxa"/>
          </w:tcPr>
          <w:p w14:paraId="195DACE2" w14:textId="77777777" w:rsidR="00DE1AD0" w:rsidRPr="00AD7238" w:rsidRDefault="00DE1AD0">
            <w:pPr>
              <w:pStyle w:val="TableText0"/>
              <w:jc w:val="center"/>
            </w:pPr>
            <w:r w:rsidRPr="00AD7238">
              <w:t>105</w:t>
            </w:r>
          </w:p>
        </w:tc>
        <w:tc>
          <w:tcPr>
            <w:tcW w:w="1372" w:type="dxa"/>
          </w:tcPr>
          <w:p w14:paraId="39BE2960" w14:textId="77777777" w:rsidR="00DE1AD0" w:rsidRPr="00AD7238" w:rsidRDefault="00DE1AD0">
            <w:pPr>
              <w:pStyle w:val="TableText0"/>
              <w:jc w:val="center"/>
            </w:pPr>
            <w:r w:rsidRPr="00AD7238">
              <w:t xml:space="preserve">0.7 </w:t>
            </w:r>
          </w:p>
        </w:tc>
      </w:tr>
      <w:tr w:rsidR="00DE1AD0" w:rsidRPr="00AD7238" w14:paraId="0D1B3580" w14:textId="77777777">
        <w:tc>
          <w:tcPr>
            <w:tcW w:w="1421" w:type="dxa"/>
            <w:vMerge/>
          </w:tcPr>
          <w:p w14:paraId="518AEF83" w14:textId="77777777" w:rsidR="00DE1AD0" w:rsidRPr="00AD7238" w:rsidRDefault="00DE1AD0">
            <w:pPr>
              <w:pStyle w:val="TableText0"/>
            </w:pPr>
          </w:p>
        </w:tc>
        <w:tc>
          <w:tcPr>
            <w:tcW w:w="2108" w:type="dxa"/>
          </w:tcPr>
          <w:p w14:paraId="5A135AB7" w14:textId="77777777" w:rsidR="00DE1AD0" w:rsidRPr="00AD7238" w:rsidRDefault="00DE1AD0">
            <w:pPr>
              <w:pStyle w:val="TableText0"/>
            </w:pPr>
            <w:r w:rsidRPr="00AD7238">
              <w:t xml:space="preserve">Related; 1 year post- vaccination </w:t>
            </w:r>
          </w:p>
        </w:tc>
        <w:tc>
          <w:tcPr>
            <w:tcW w:w="1371" w:type="dxa"/>
          </w:tcPr>
          <w:p w14:paraId="338C0E6D" w14:textId="77777777" w:rsidR="00DE1AD0" w:rsidRPr="00AD7238" w:rsidRDefault="00DE1AD0">
            <w:pPr>
              <w:pStyle w:val="TableText0"/>
              <w:jc w:val="center"/>
            </w:pPr>
            <w:r w:rsidRPr="00AD7238">
              <w:t>15</w:t>
            </w:r>
          </w:p>
        </w:tc>
        <w:tc>
          <w:tcPr>
            <w:tcW w:w="1372" w:type="dxa"/>
          </w:tcPr>
          <w:p w14:paraId="1F122D50" w14:textId="77777777" w:rsidR="00DE1AD0" w:rsidRPr="00AD7238" w:rsidRDefault="00DE1AD0">
            <w:pPr>
              <w:pStyle w:val="TableText0"/>
              <w:jc w:val="center"/>
            </w:pPr>
            <w:r w:rsidRPr="00AD7238">
              <w:t xml:space="preserve">0.1 </w:t>
            </w:r>
          </w:p>
        </w:tc>
        <w:tc>
          <w:tcPr>
            <w:tcW w:w="1372" w:type="dxa"/>
          </w:tcPr>
          <w:p w14:paraId="17611501" w14:textId="77777777" w:rsidR="00DE1AD0" w:rsidRPr="00AD7238" w:rsidRDefault="00DE1AD0">
            <w:pPr>
              <w:pStyle w:val="TableText0"/>
              <w:jc w:val="center"/>
            </w:pPr>
            <w:r w:rsidRPr="00AD7238">
              <w:t>15</w:t>
            </w:r>
          </w:p>
        </w:tc>
        <w:tc>
          <w:tcPr>
            <w:tcW w:w="1372" w:type="dxa"/>
          </w:tcPr>
          <w:p w14:paraId="026F9106" w14:textId="77777777" w:rsidR="00DE1AD0" w:rsidRPr="00AD7238" w:rsidRDefault="00DE1AD0">
            <w:pPr>
              <w:pStyle w:val="TableText0"/>
              <w:jc w:val="center"/>
            </w:pPr>
            <w:r w:rsidRPr="00AD7238">
              <w:t xml:space="preserve">0.1 </w:t>
            </w:r>
          </w:p>
        </w:tc>
      </w:tr>
    </w:tbl>
    <w:p w14:paraId="1EE69EE9" w14:textId="5A9E34B7" w:rsidR="00D73D20" w:rsidRPr="00AD7238" w:rsidRDefault="00D73D20" w:rsidP="00D73D20">
      <w:pPr>
        <w:pStyle w:val="FooterTableFigure"/>
      </w:pPr>
      <w:r w:rsidRPr="00AD7238">
        <w:t xml:space="preserve">Source: </w:t>
      </w:r>
      <w:r w:rsidR="001C09AD" w:rsidRPr="006E790F">
        <w:t>López-Fauqued (2019), Table 1 to Table 4</w:t>
      </w:r>
      <w:r w:rsidR="00DB2C18" w:rsidRPr="006E790F">
        <w:t xml:space="preserve"> </w:t>
      </w:r>
      <w:r w:rsidR="001C09AD" w:rsidRPr="006E790F">
        <w:t xml:space="preserve">and </w:t>
      </w:r>
      <w:r w:rsidRPr="006E790F">
        <w:t>Table</w:t>
      </w:r>
      <w:r w:rsidR="00A67DBA" w:rsidRPr="006E790F">
        <w:t xml:space="preserve"> 2-23, 2-24 and</w:t>
      </w:r>
      <w:r w:rsidRPr="006E790F">
        <w:t xml:space="preserve"> 2-25, p93-94 of the </w:t>
      </w:r>
      <w:r w:rsidR="00815FA2" w:rsidRPr="006E790F">
        <w:t>re</w:t>
      </w:r>
      <w:r w:rsidRPr="006E790F">
        <w:t>submission</w:t>
      </w:r>
    </w:p>
    <w:p w14:paraId="106B0E64" w14:textId="3E0307A5" w:rsidR="00D73D20" w:rsidRPr="00AD7238" w:rsidRDefault="00D73D20" w:rsidP="00D73D20">
      <w:pPr>
        <w:pStyle w:val="FooterTableFigure"/>
      </w:pPr>
      <w:r w:rsidRPr="00AD7238">
        <w:t>AE</w:t>
      </w:r>
      <w:r w:rsidR="009E6AE9" w:rsidRPr="00AD7238">
        <w:t xml:space="preserve"> = </w:t>
      </w:r>
      <w:r w:rsidRPr="00AD7238">
        <w:t>adverse event; CI</w:t>
      </w:r>
      <w:r w:rsidR="009E6AE9" w:rsidRPr="00AD7238">
        <w:t xml:space="preserve"> = </w:t>
      </w:r>
      <w:r w:rsidRPr="00AD7238">
        <w:t>confidence interval; GI</w:t>
      </w:r>
      <w:r w:rsidR="009E6AE9" w:rsidRPr="00AD7238">
        <w:t xml:space="preserve"> = </w:t>
      </w:r>
      <w:r w:rsidRPr="00AD7238">
        <w:t>gastrointestinal; n</w:t>
      </w:r>
      <w:r w:rsidR="009E6AE9" w:rsidRPr="00AD7238">
        <w:t xml:space="preserve"> = </w:t>
      </w:r>
      <w:r w:rsidRPr="00AD7238">
        <w:t>number of patients experiencing an AE; N</w:t>
      </w:r>
      <w:r w:rsidR="009E6AE9" w:rsidRPr="00AD7238">
        <w:t xml:space="preserve"> = </w:t>
      </w:r>
      <w:r w:rsidRPr="00AD7238">
        <w:t>total number of patients; NR</w:t>
      </w:r>
      <w:r w:rsidR="009E6AE9" w:rsidRPr="00AD7238">
        <w:t xml:space="preserve"> = </w:t>
      </w:r>
      <w:r w:rsidRPr="00AD7238">
        <w:t>not reported; pIMD</w:t>
      </w:r>
      <w:r w:rsidR="009E6AE9" w:rsidRPr="00AD7238">
        <w:t xml:space="preserve"> = </w:t>
      </w:r>
      <w:r w:rsidRPr="00AD7238">
        <w:t>potential immune-mediated diseases; RZV</w:t>
      </w:r>
      <w:r w:rsidR="009E6AE9" w:rsidRPr="00AD7238">
        <w:t xml:space="preserve"> = </w:t>
      </w:r>
      <w:r w:rsidRPr="00AD7238">
        <w:t>recombinant zoster vaccine; SAE</w:t>
      </w:r>
      <w:r w:rsidR="009E6AE9" w:rsidRPr="00AD7238">
        <w:t xml:space="preserve"> = </w:t>
      </w:r>
      <w:r w:rsidRPr="00AD7238">
        <w:t>serious adverse event.</w:t>
      </w:r>
    </w:p>
    <w:p w14:paraId="1DD42661" w14:textId="288052C3" w:rsidR="00D73D20" w:rsidRPr="00AD7238" w:rsidRDefault="00D73D20" w:rsidP="00D73D20">
      <w:pPr>
        <w:pStyle w:val="3-BodyText"/>
      </w:pPr>
      <w:r w:rsidRPr="00AD7238">
        <w:t xml:space="preserve">The safety of RZV was evaluated by pooling data from </w:t>
      </w:r>
      <w:r w:rsidR="003C7D98">
        <w:t xml:space="preserve">the </w:t>
      </w:r>
      <w:r w:rsidRPr="00AD7238">
        <w:t xml:space="preserve">ZOE-50 and ZOE-70 trials, involving 29,305 adults aged 50 years and older who received at least one dose of RZV (n=14,645) or placebo (n=14,660) administered according to the 0- and 2-month schedule. </w:t>
      </w:r>
      <w:r w:rsidRPr="00615B0D">
        <w:rPr>
          <w:iCs/>
        </w:rPr>
        <w:t xml:space="preserve">These results </w:t>
      </w:r>
      <w:r w:rsidR="00A52A2A" w:rsidRPr="00615B0D">
        <w:rPr>
          <w:iCs/>
        </w:rPr>
        <w:t xml:space="preserve">have been updated to reflect the </w:t>
      </w:r>
      <w:r w:rsidR="00F76D01" w:rsidRPr="00615B0D">
        <w:rPr>
          <w:iCs/>
        </w:rPr>
        <w:t xml:space="preserve">pooled total vaccinated cohort across both trials. </w:t>
      </w:r>
    </w:p>
    <w:p w14:paraId="64B47EBA" w14:textId="62637D83" w:rsidR="00D73D20" w:rsidRPr="00AD7238" w:rsidRDefault="00D73D20" w:rsidP="00D73D20">
      <w:pPr>
        <w:pStyle w:val="3-BodyText"/>
      </w:pPr>
      <w:r w:rsidRPr="00AD7238">
        <w:t xml:space="preserve">The pooled </w:t>
      </w:r>
      <w:r w:rsidR="0060176B" w:rsidRPr="00AD7238">
        <w:t>safety</w:t>
      </w:r>
      <w:r w:rsidR="00B31298" w:rsidRPr="00AD7238">
        <w:t xml:space="preserve"> </w:t>
      </w:r>
      <w:r w:rsidRPr="00AD7238">
        <w:t>analysis indicated the most frequently reported solicited local symptom following RZV was pain (</w:t>
      </w:r>
      <w:r w:rsidR="00FD3989" w:rsidRPr="00AD7238">
        <w:t>68.1</w:t>
      </w:r>
      <w:r w:rsidRPr="00AD7238">
        <w:t>%). Reactogenicity was lower in the placebo group and pain was the most frequently reported solicited local symptom (</w:t>
      </w:r>
      <w:r w:rsidR="002614A4" w:rsidRPr="00AD7238">
        <w:t>6</w:t>
      </w:r>
      <w:r w:rsidRPr="00AD7238">
        <w:t xml:space="preserve">.9%). </w:t>
      </w:r>
      <w:r w:rsidRPr="00615B0D">
        <w:rPr>
          <w:iCs/>
        </w:rPr>
        <w:t xml:space="preserve">ATAGI noted </w:t>
      </w:r>
      <w:r w:rsidR="00957F23" w:rsidRPr="00615B0D">
        <w:rPr>
          <w:iCs/>
        </w:rPr>
        <w:t xml:space="preserve">‘the incidence of solicited local and general symptoms was numerically lower in adults aged 70 years and older compared with those aged 50 to 69 years. </w:t>
      </w:r>
      <w:r w:rsidR="00957F23" w:rsidRPr="00615B0D">
        <w:rPr>
          <w:iCs/>
        </w:rPr>
        <w:lastRenderedPageBreak/>
        <w:t>There was a higher incidence of pain and swelling at the injection site, fatigue, myalgia, headache, shivering, fever and gastrointestinal symptoms in adults aged 50 to 69 years compared with those aged 70 years and older. The overall frequency and severity of these events did not indicate a clinically meaningful different reactogenicity profile in the younger age strata</w:t>
      </w:r>
      <w:r w:rsidR="000A4A0A" w:rsidRPr="00615B0D">
        <w:rPr>
          <w:iCs/>
        </w:rPr>
        <w:t>’</w:t>
      </w:r>
      <w:r w:rsidR="00957F23" w:rsidRPr="00615B0D">
        <w:rPr>
          <w:iCs/>
        </w:rPr>
        <w:t>.</w:t>
      </w:r>
      <w:r w:rsidR="00957F23" w:rsidRPr="00615B0D" w:rsidDel="00957F23">
        <w:rPr>
          <w:iCs/>
        </w:rPr>
        <w:t xml:space="preserve"> </w:t>
      </w:r>
    </w:p>
    <w:p w14:paraId="7B6E9E6D" w14:textId="1DD308EC" w:rsidR="00D73D20" w:rsidRPr="00AD7238" w:rsidRDefault="00D73D20" w:rsidP="00D73D20">
      <w:pPr>
        <w:pStyle w:val="3-BodyText"/>
      </w:pPr>
      <w:r w:rsidRPr="00AD7238">
        <w:t>In the</w:t>
      </w:r>
      <w:r w:rsidR="0060176B" w:rsidRPr="00AD7238">
        <w:t xml:space="preserve"> pooled safety analysis</w:t>
      </w:r>
      <w:r w:rsidRPr="00AD7238">
        <w:t xml:space="preserve">, 634 subjects (4.3%) in the </w:t>
      </w:r>
      <w:r w:rsidRPr="00AD7238">
        <w:rPr>
          <w:iCs/>
        </w:rPr>
        <w:t>RZV</w:t>
      </w:r>
      <w:r w:rsidRPr="00615B0D">
        <w:t xml:space="preserve"> </w:t>
      </w:r>
      <w:r w:rsidRPr="00AD7238">
        <w:t xml:space="preserve">group and 680 subjects (4.6%) in the placebo group died during the entire study period. </w:t>
      </w:r>
      <w:r w:rsidRPr="00615B0D">
        <w:rPr>
          <w:iCs/>
        </w:rPr>
        <w:t>ATAGI had considered that</w:t>
      </w:r>
      <w:r w:rsidRPr="00AD7238">
        <w:t xml:space="preserve"> </w:t>
      </w:r>
      <w:r w:rsidRPr="00615B0D">
        <w:rPr>
          <w:iCs/>
        </w:rPr>
        <w:t>none of the fatal cases were considered related to vaccination.</w:t>
      </w:r>
    </w:p>
    <w:p w14:paraId="5DC0BB46" w14:textId="77777777" w:rsidR="00D73D20" w:rsidRPr="00AD7238" w:rsidRDefault="00D73D20" w:rsidP="00D73D20">
      <w:pPr>
        <w:pStyle w:val="3-BodyText"/>
      </w:pPr>
      <w:r w:rsidRPr="00AD7238">
        <w:t>Long-term follow-up results from the ZOSTER-049 trial showed no deaths or other SAEs which were causally related to vaccination.</w:t>
      </w:r>
    </w:p>
    <w:p w14:paraId="45DD5A0D" w14:textId="77777777" w:rsidR="00D73D20" w:rsidRPr="00AD7238" w:rsidRDefault="00D73D20" w:rsidP="00D73D20">
      <w:pPr>
        <w:pStyle w:val="4-SubsectionHeading"/>
      </w:pPr>
      <w:bookmarkStart w:id="34" w:name="_Toc22897643"/>
      <w:bookmarkStart w:id="35" w:name="_Toc124949415"/>
      <w:r w:rsidRPr="00AD7238">
        <w:t>Benefits/harms</w:t>
      </w:r>
      <w:bookmarkEnd w:id="34"/>
      <w:bookmarkEnd w:id="35"/>
    </w:p>
    <w:p w14:paraId="57D47498" w14:textId="2E682573" w:rsidR="00D73D20" w:rsidRPr="00AD7238" w:rsidRDefault="00D73D20" w:rsidP="00D73D20">
      <w:pPr>
        <w:pStyle w:val="3-BodyText"/>
      </w:pPr>
      <w:r w:rsidRPr="00AD7238">
        <w:t xml:space="preserve">A summary of the comparative benefits and harms for RZV versus placebo (no vaccine) is presented in </w:t>
      </w:r>
      <w:r w:rsidRPr="00AD7238">
        <w:fldChar w:fldCharType="begin" w:fldLock="1"/>
      </w:r>
      <w:r w:rsidRPr="00AD7238">
        <w:instrText xml:space="preserve"> REF _Ref122266030 \h  \* MERGEFORMAT </w:instrText>
      </w:r>
      <w:r w:rsidRPr="00AD7238">
        <w:fldChar w:fldCharType="separate"/>
      </w:r>
      <w:r w:rsidR="00602E99" w:rsidRPr="00602E99">
        <w:rPr>
          <w:rStyle w:val="CommentReference"/>
          <w:rFonts w:asciiTheme="minorHAnsi" w:hAnsiTheme="minorHAnsi"/>
          <w:b w:val="0"/>
          <w:sz w:val="24"/>
          <w:szCs w:val="24"/>
        </w:rPr>
        <w:t>Table 9</w:t>
      </w:r>
      <w:r w:rsidRPr="00AD7238">
        <w:fldChar w:fldCharType="end"/>
      </w:r>
      <w:r w:rsidRPr="00AD7238">
        <w:t>.</w:t>
      </w:r>
    </w:p>
    <w:p w14:paraId="0C89DD30" w14:textId="79F50F43" w:rsidR="00D73D20" w:rsidRPr="00AD7238" w:rsidRDefault="00D73D20" w:rsidP="00322CDD">
      <w:pPr>
        <w:pStyle w:val="Caption"/>
        <w:rPr>
          <w:rStyle w:val="CommentReference"/>
          <w:b/>
          <w:bCs w:val="0"/>
        </w:rPr>
      </w:pPr>
      <w:bookmarkStart w:id="36" w:name="_Ref122266030"/>
      <w:r w:rsidRPr="00AD7238">
        <w:rPr>
          <w:rStyle w:val="CommentReference"/>
          <w:b/>
          <w:bCs w:val="0"/>
        </w:rPr>
        <w:lastRenderedPageBreak/>
        <w:t xml:space="preserve">Table </w:t>
      </w:r>
      <w:r w:rsidRPr="00AD7238">
        <w:rPr>
          <w:rStyle w:val="CommentReference"/>
          <w:b/>
          <w:bCs w:val="0"/>
        </w:rPr>
        <w:fldChar w:fldCharType="begin" w:fldLock="1"/>
      </w:r>
      <w:r w:rsidRPr="00AD7238">
        <w:rPr>
          <w:rStyle w:val="CommentReference"/>
          <w:b/>
          <w:bCs w:val="0"/>
        </w:rPr>
        <w:instrText xml:space="preserve"> SEQ Table \* ARABIC </w:instrText>
      </w:r>
      <w:r w:rsidRPr="00AD7238">
        <w:rPr>
          <w:rStyle w:val="CommentReference"/>
          <w:b/>
          <w:bCs w:val="0"/>
        </w:rPr>
        <w:fldChar w:fldCharType="separate"/>
      </w:r>
      <w:r w:rsidR="00602E99">
        <w:rPr>
          <w:rStyle w:val="CommentReference"/>
          <w:b/>
          <w:bCs w:val="0"/>
          <w:noProof/>
        </w:rPr>
        <w:t>9</w:t>
      </w:r>
      <w:r w:rsidRPr="00AD7238">
        <w:rPr>
          <w:rStyle w:val="CommentReference"/>
          <w:b/>
          <w:bCs w:val="0"/>
        </w:rPr>
        <w:fldChar w:fldCharType="end"/>
      </w:r>
      <w:bookmarkEnd w:id="36"/>
      <w:r w:rsidRPr="00AD7238">
        <w:rPr>
          <w:rStyle w:val="CommentReference"/>
          <w:b/>
          <w:bCs w:val="0"/>
        </w:rPr>
        <w:t>: Summary of comparative benefits and harms for RZV and no vaccine</w:t>
      </w:r>
    </w:p>
    <w:tbl>
      <w:tblPr>
        <w:tblW w:w="5000" w:type="pct"/>
        <w:tblLayout w:type="fixed"/>
        <w:tblCellMar>
          <w:left w:w="28" w:type="dxa"/>
          <w:right w:w="28" w:type="dxa"/>
        </w:tblCellMar>
        <w:tblLook w:val="04A0" w:firstRow="1" w:lastRow="0" w:firstColumn="1" w:lastColumn="0" w:noHBand="0" w:noVBand="1"/>
      </w:tblPr>
      <w:tblGrid>
        <w:gridCol w:w="2416"/>
        <w:gridCol w:w="1123"/>
        <w:gridCol w:w="1127"/>
        <w:gridCol w:w="1407"/>
        <w:gridCol w:w="985"/>
        <w:gridCol w:w="985"/>
        <w:gridCol w:w="974"/>
      </w:tblGrid>
      <w:tr w:rsidR="00D73D20" w:rsidRPr="00AD7238" w14:paraId="0A50B60A" w14:textId="77777777">
        <w:trPr>
          <w:trHeight w:val="150"/>
        </w:trPr>
        <w:tc>
          <w:tcPr>
            <w:tcW w:w="13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7387B"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Trial</w:t>
            </w:r>
          </w:p>
        </w:tc>
        <w:tc>
          <w:tcPr>
            <w:tcW w:w="623" w:type="pct"/>
            <w:vMerge w:val="restart"/>
            <w:tcBorders>
              <w:top w:val="single" w:sz="4" w:space="0" w:color="auto"/>
              <w:left w:val="single" w:sz="4" w:space="0" w:color="auto"/>
              <w:right w:val="single" w:sz="4" w:space="0" w:color="auto"/>
            </w:tcBorders>
            <w:vAlign w:val="center"/>
          </w:tcPr>
          <w:p w14:paraId="6A3E8971"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N</w:t>
            </w:r>
          </w:p>
        </w:tc>
        <w:tc>
          <w:tcPr>
            <w:tcW w:w="1405" w:type="pct"/>
            <w:gridSpan w:val="2"/>
            <w:vMerge w:val="restart"/>
            <w:tcBorders>
              <w:top w:val="single" w:sz="4" w:space="0" w:color="auto"/>
              <w:left w:val="single" w:sz="4" w:space="0" w:color="auto"/>
              <w:bottom w:val="single" w:sz="4" w:space="0" w:color="auto"/>
              <w:right w:val="single" w:sz="4" w:space="0" w:color="auto"/>
            </w:tcBorders>
            <w:vAlign w:val="center"/>
          </w:tcPr>
          <w:p w14:paraId="7C2BAE2E"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VE,</w:t>
            </w:r>
          </w:p>
          <w:p w14:paraId="32C61DC3"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 (95% CI)</w:t>
            </w:r>
          </w:p>
        </w:tc>
        <w:tc>
          <w:tcPr>
            <w:tcW w:w="1092" w:type="pct"/>
            <w:gridSpan w:val="2"/>
            <w:tcBorders>
              <w:top w:val="single" w:sz="4" w:space="0" w:color="auto"/>
              <w:left w:val="single" w:sz="4" w:space="0" w:color="auto"/>
              <w:bottom w:val="single" w:sz="4" w:space="0" w:color="auto"/>
              <w:right w:val="single" w:sz="4" w:space="0" w:color="auto"/>
            </w:tcBorders>
            <w:vAlign w:val="center"/>
          </w:tcPr>
          <w:p w14:paraId="75708FD6" w14:textId="16E54F2C"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Event rate/year/1,000 individuals vaccinated</w:t>
            </w:r>
            <w:r w:rsidR="007A005D" w:rsidRPr="007A005D">
              <w:rPr>
                <w:rFonts w:ascii="Arial Narrow" w:hAnsi="Arial Narrow"/>
                <w:b/>
                <w:color w:val="000000"/>
                <w:sz w:val="20"/>
                <w:szCs w:val="18"/>
                <w:vertAlign w:val="superscript"/>
              </w:rPr>
              <w:t>a</w:t>
            </w:r>
            <w:r w:rsidRPr="00AD7238">
              <w:rPr>
                <w:rFonts w:ascii="Arial Narrow" w:hAnsi="Arial Narrow"/>
                <w:b/>
                <w:color w:val="000000"/>
                <w:sz w:val="20"/>
                <w:szCs w:val="18"/>
              </w:rPr>
              <w:t xml:space="preserve"> </w:t>
            </w: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7A4B0850"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Increment</w:t>
            </w:r>
          </w:p>
          <w:p w14:paraId="2B8AE3C5" w14:textId="695B94B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(per year</w:t>
            </w:r>
            <w:r w:rsidR="00CA0BB2">
              <w:rPr>
                <w:rFonts w:ascii="Arial Narrow" w:hAnsi="Arial Narrow"/>
                <w:b/>
                <w:color w:val="000000"/>
                <w:sz w:val="20"/>
                <w:szCs w:val="18"/>
              </w:rPr>
              <w:t xml:space="preserve"> per 1,000 vaccinated</w:t>
            </w:r>
            <w:r w:rsidRPr="00AD7238">
              <w:rPr>
                <w:rFonts w:ascii="Arial Narrow" w:hAnsi="Arial Narrow"/>
                <w:b/>
                <w:color w:val="000000"/>
                <w:sz w:val="20"/>
                <w:szCs w:val="18"/>
              </w:rPr>
              <w:t>)</w:t>
            </w:r>
            <w:r w:rsidR="007A005D" w:rsidRPr="007A005D">
              <w:rPr>
                <w:rFonts w:ascii="Arial Narrow" w:hAnsi="Arial Narrow"/>
                <w:b/>
                <w:color w:val="000000"/>
                <w:sz w:val="20"/>
                <w:szCs w:val="18"/>
                <w:vertAlign w:val="superscript"/>
              </w:rPr>
              <w:t>b</w:t>
            </w:r>
          </w:p>
        </w:tc>
      </w:tr>
      <w:tr w:rsidR="00D73D20" w:rsidRPr="00AD7238" w14:paraId="56480D28" w14:textId="77777777">
        <w:trPr>
          <w:trHeight w:val="159"/>
        </w:trPr>
        <w:tc>
          <w:tcPr>
            <w:tcW w:w="13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645D52" w14:textId="77777777" w:rsidR="00D73D20" w:rsidRPr="00AD7238" w:rsidRDefault="00D73D20" w:rsidP="00322CDD">
            <w:pPr>
              <w:keepNext/>
              <w:keepLines/>
              <w:rPr>
                <w:rFonts w:ascii="Arial Narrow" w:hAnsi="Arial Narrow"/>
                <w:b/>
                <w:color w:val="000000"/>
                <w:sz w:val="20"/>
                <w:szCs w:val="18"/>
              </w:rPr>
            </w:pPr>
          </w:p>
        </w:tc>
        <w:tc>
          <w:tcPr>
            <w:tcW w:w="623" w:type="pct"/>
            <w:vMerge/>
            <w:tcBorders>
              <w:left w:val="single" w:sz="4" w:space="0" w:color="auto"/>
              <w:bottom w:val="single" w:sz="4" w:space="0" w:color="auto"/>
              <w:right w:val="single" w:sz="4" w:space="0" w:color="auto"/>
            </w:tcBorders>
            <w:vAlign w:val="center"/>
          </w:tcPr>
          <w:p w14:paraId="065CFBC4" w14:textId="77777777" w:rsidR="00D73D20" w:rsidRPr="00AD7238" w:rsidRDefault="00D73D20" w:rsidP="00322CDD">
            <w:pPr>
              <w:keepNext/>
              <w:keepLines/>
              <w:jc w:val="center"/>
              <w:rPr>
                <w:rFonts w:ascii="Arial Narrow" w:hAnsi="Arial Narrow"/>
                <w:b/>
                <w:color w:val="000000"/>
                <w:sz w:val="20"/>
                <w:szCs w:val="18"/>
              </w:rPr>
            </w:pPr>
          </w:p>
        </w:tc>
        <w:tc>
          <w:tcPr>
            <w:tcW w:w="1405" w:type="pct"/>
            <w:gridSpan w:val="2"/>
            <w:vMerge/>
            <w:tcBorders>
              <w:top w:val="single" w:sz="4" w:space="0" w:color="auto"/>
              <w:left w:val="single" w:sz="4" w:space="0" w:color="auto"/>
              <w:bottom w:val="single" w:sz="4" w:space="0" w:color="auto"/>
              <w:right w:val="single" w:sz="4" w:space="0" w:color="auto"/>
            </w:tcBorders>
            <w:vAlign w:val="center"/>
          </w:tcPr>
          <w:p w14:paraId="38335409" w14:textId="77777777" w:rsidR="00D73D20" w:rsidRPr="00AD7238" w:rsidRDefault="00D73D20" w:rsidP="00322CDD">
            <w:pPr>
              <w:keepNext/>
              <w:keepLines/>
              <w:jc w:val="center"/>
              <w:rPr>
                <w:rFonts w:ascii="Arial Narrow" w:hAnsi="Arial Narrow"/>
                <w:b/>
                <w:color w:val="000000"/>
                <w:sz w:val="20"/>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242BC233"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 xml:space="preserve">RZV </w:t>
            </w:r>
          </w:p>
        </w:tc>
        <w:tc>
          <w:tcPr>
            <w:tcW w:w="546" w:type="pct"/>
            <w:tcBorders>
              <w:top w:val="single" w:sz="4" w:space="0" w:color="auto"/>
              <w:left w:val="single" w:sz="4" w:space="0" w:color="auto"/>
              <w:bottom w:val="single" w:sz="4" w:space="0" w:color="auto"/>
              <w:right w:val="single" w:sz="4" w:space="0" w:color="auto"/>
            </w:tcBorders>
            <w:vAlign w:val="center"/>
          </w:tcPr>
          <w:p w14:paraId="3DC5EBB4"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PBO</w:t>
            </w:r>
          </w:p>
        </w:tc>
        <w:tc>
          <w:tcPr>
            <w:tcW w:w="539" w:type="pct"/>
            <w:vMerge/>
            <w:tcBorders>
              <w:top w:val="single" w:sz="4" w:space="0" w:color="auto"/>
              <w:left w:val="single" w:sz="4" w:space="0" w:color="auto"/>
              <w:bottom w:val="single" w:sz="4" w:space="0" w:color="auto"/>
              <w:right w:val="single" w:sz="4" w:space="0" w:color="auto"/>
            </w:tcBorders>
            <w:vAlign w:val="center"/>
          </w:tcPr>
          <w:p w14:paraId="6CF035AD" w14:textId="77777777" w:rsidR="00D73D20" w:rsidRPr="00AD7238" w:rsidRDefault="00D73D20" w:rsidP="00322CDD">
            <w:pPr>
              <w:keepNext/>
              <w:keepLines/>
              <w:jc w:val="center"/>
              <w:rPr>
                <w:rFonts w:ascii="Arial Narrow" w:hAnsi="Arial Narrow"/>
                <w:b/>
                <w:color w:val="000000"/>
                <w:sz w:val="20"/>
                <w:szCs w:val="18"/>
              </w:rPr>
            </w:pPr>
          </w:p>
        </w:tc>
      </w:tr>
      <w:tr w:rsidR="00D73D20" w:rsidRPr="00AD7238" w14:paraId="6073B814" w14:textId="77777777">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252D932C"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Benefits</w:t>
            </w:r>
          </w:p>
        </w:tc>
      </w:tr>
      <w:tr w:rsidR="00D73D20" w:rsidRPr="00AD7238" w14:paraId="3E17CF53" w14:textId="77777777">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5269C0D7"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Reduction in HZ cases</w:t>
            </w:r>
          </w:p>
        </w:tc>
      </w:tr>
      <w:tr w:rsidR="00D73D20" w:rsidRPr="00AD7238" w14:paraId="46D5C027"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3279671D"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ZOE-50</w:t>
            </w:r>
          </w:p>
        </w:tc>
        <w:tc>
          <w:tcPr>
            <w:tcW w:w="623" w:type="pct"/>
            <w:tcBorders>
              <w:top w:val="single" w:sz="4" w:space="0" w:color="auto"/>
              <w:left w:val="single" w:sz="4" w:space="0" w:color="auto"/>
              <w:bottom w:val="single" w:sz="4" w:space="0" w:color="auto"/>
              <w:right w:val="single" w:sz="4" w:space="0" w:color="auto"/>
            </w:tcBorders>
            <w:vAlign w:val="center"/>
          </w:tcPr>
          <w:p w14:paraId="767593B5"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14,749</w:t>
            </w:r>
          </w:p>
        </w:tc>
        <w:tc>
          <w:tcPr>
            <w:tcW w:w="1405" w:type="pct"/>
            <w:gridSpan w:val="2"/>
            <w:tcBorders>
              <w:top w:val="single" w:sz="4" w:space="0" w:color="auto"/>
              <w:left w:val="single" w:sz="4" w:space="0" w:color="auto"/>
              <w:bottom w:val="single" w:sz="4" w:space="0" w:color="auto"/>
              <w:right w:val="single" w:sz="4" w:space="0" w:color="auto"/>
            </w:tcBorders>
            <w:vAlign w:val="center"/>
          </w:tcPr>
          <w:p w14:paraId="17B06E3C" w14:textId="77777777" w:rsidR="00D73D20" w:rsidRPr="00AD7238" w:rsidRDefault="00D73D20" w:rsidP="00322CDD">
            <w:pPr>
              <w:pStyle w:val="TableText0"/>
              <w:keepLines/>
              <w:jc w:val="center"/>
            </w:pPr>
            <w:r w:rsidRPr="00AD7238">
              <w:t>97.16% (93.72, 98.97)</w:t>
            </w:r>
          </w:p>
        </w:tc>
        <w:tc>
          <w:tcPr>
            <w:tcW w:w="546" w:type="pct"/>
            <w:tcBorders>
              <w:top w:val="single" w:sz="4" w:space="0" w:color="auto"/>
              <w:left w:val="single" w:sz="4" w:space="0" w:color="auto"/>
              <w:bottom w:val="single" w:sz="4" w:space="0" w:color="auto"/>
              <w:right w:val="single" w:sz="4" w:space="0" w:color="auto"/>
            </w:tcBorders>
            <w:vAlign w:val="center"/>
          </w:tcPr>
          <w:p w14:paraId="6681A16D"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0.3</w:t>
            </w:r>
          </w:p>
        </w:tc>
        <w:tc>
          <w:tcPr>
            <w:tcW w:w="546" w:type="pct"/>
            <w:tcBorders>
              <w:top w:val="single" w:sz="4" w:space="0" w:color="auto"/>
              <w:left w:val="single" w:sz="4" w:space="0" w:color="auto"/>
              <w:bottom w:val="single" w:sz="4" w:space="0" w:color="auto"/>
              <w:right w:val="single" w:sz="4" w:space="0" w:color="auto"/>
            </w:tcBorders>
            <w:vAlign w:val="center"/>
          </w:tcPr>
          <w:p w14:paraId="161AC431"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9.1</w:t>
            </w:r>
          </w:p>
        </w:tc>
        <w:tc>
          <w:tcPr>
            <w:tcW w:w="539" w:type="pct"/>
            <w:tcBorders>
              <w:top w:val="single" w:sz="4" w:space="0" w:color="auto"/>
              <w:left w:val="single" w:sz="4" w:space="0" w:color="auto"/>
              <w:bottom w:val="single" w:sz="4" w:space="0" w:color="auto"/>
              <w:right w:val="single" w:sz="4" w:space="0" w:color="auto"/>
            </w:tcBorders>
            <w:vAlign w:val="center"/>
          </w:tcPr>
          <w:p w14:paraId="1BE54D5E"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-8.8</w:t>
            </w:r>
          </w:p>
        </w:tc>
      </w:tr>
      <w:tr w:rsidR="00D73D20" w:rsidRPr="00AD7238" w14:paraId="63833A11"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11396A11"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ZOE-70</w:t>
            </w:r>
          </w:p>
        </w:tc>
        <w:tc>
          <w:tcPr>
            <w:tcW w:w="623" w:type="pct"/>
            <w:tcBorders>
              <w:top w:val="single" w:sz="4" w:space="0" w:color="auto"/>
              <w:left w:val="single" w:sz="4" w:space="0" w:color="auto"/>
              <w:bottom w:val="single" w:sz="4" w:space="0" w:color="auto"/>
              <w:right w:val="single" w:sz="4" w:space="0" w:color="auto"/>
            </w:tcBorders>
            <w:vAlign w:val="center"/>
          </w:tcPr>
          <w:p w14:paraId="62A6D61B"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13,163</w:t>
            </w:r>
          </w:p>
        </w:tc>
        <w:tc>
          <w:tcPr>
            <w:tcW w:w="1405" w:type="pct"/>
            <w:gridSpan w:val="2"/>
            <w:tcBorders>
              <w:top w:val="single" w:sz="4" w:space="0" w:color="auto"/>
              <w:left w:val="single" w:sz="4" w:space="0" w:color="auto"/>
              <w:bottom w:val="single" w:sz="4" w:space="0" w:color="auto"/>
              <w:right w:val="single" w:sz="4" w:space="0" w:color="auto"/>
            </w:tcBorders>
            <w:vAlign w:val="center"/>
          </w:tcPr>
          <w:p w14:paraId="3570B209" w14:textId="77777777" w:rsidR="00D73D20" w:rsidRPr="00AD7238" w:rsidRDefault="00D73D20" w:rsidP="00322CDD">
            <w:pPr>
              <w:pStyle w:val="TableText0"/>
              <w:keepLines/>
              <w:jc w:val="center"/>
              <w:rPr>
                <w:rFonts w:ascii="Calibri" w:hAnsi="Calibri"/>
                <w:szCs w:val="20"/>
              </w:rPr>
            </w:pPr>
            <w:r w:rsidRPr="00AD7238">
              <w:rPr>
                <w:szCs w:val="20"/>
              </w:rPr>
              <w:t>89.79% (84.29, 93.66)</w:t>
            </w:r>
          </w:p>
        </w:tc>
        <w:tc>
          <w:tcPr>
            <w:tcW w:w="546" w:type="pct"/>
            <w:tcBorders>
              <w:top w:val="single" w:sz="4" w:space="0" w:color="auto"/>
              <w:left w:val="single" w:sz="4" w:space="0" w:color="auto"/>
              <w:bottom w:val="single" w:sz="4" w:space="0" w:color="auto"/>
              <w:right w:val="single" w:sz="4" w:space="0" w:color="auto"/>
            </w:tcBorders>
            <w:vAlign w:val="center"/>
          </w:tcPr>
          <w:p w14:paraId="3F6AD025"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0.9</w:t>
            </w:r>
          </w:p>
        </w:tc>
        <w:tc>
          <w:tcPr>
            <w:tcW w:w="546" w:type="pct"/>
            <w:tcBorders>
              <w:top w:val="single" w:sz="4" w:space="0" w:color="auto"/>
              <w:left w:val="single" w:sz="4" w:space="0" w:color="auto"/>
              <w:bottom w:val="single" w:sz="4" w:space="0" w:color="auto"/>
              <w:right w:val="single" w:sz="4" w:space="0" w:color="auto"/>
            </w:tcBorders>
            <w:vAlign w:val="center"/>
          </w:tcPr>
          <w:p w14:paraId="7FC00337"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9.2</w:t>
            </w:r>
          </w:p>
        </w:tc>
        <w:tc>
          <w:tcPr>
            <w:tcW w:w="539" w:type="pct"/>
            <w:tcBorders>
              <w:top w:val="single" w:sz="4" w:space="0" w:color="auto"/>
              <w:left w:val="single" w:sz="4" w:space="0" w:color="auto"/>
              <w:bottom w:val="single" w:sz="4" w:space="0" w:color="auto"/>
              <w:right w:val="single" w:sz="4" w:space="0" w:color="auto"/>
            </w:tcBorders>
            <w:vAlign w:val="center"/>
          </w:tcPr>
          <w:p w14:paraId="044844C7"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-8.3</w:t>
            </w:r>
          </w:p>
        </w:tc>
      </w:tr>
      <w:tr w:rsidR="00D73D20" w:rsidRPr="00AD7238" w14:paraId="1E466943"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3C578BB9" w14:textId="46A124A3"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r w:rsidR="00A107DA">
              <w:rPr>
                <w:rFonts w:ascii="Arial Narrow" w:hAnsi="Arial Narrow"/>
                <w:color w:val="000000"/>
                <w:sz w:val="20"/>
                <w:szCs w:val="18"/>
              </w:rPr>
              <w:t>*</w:t>
            </w:r>
          </w:p>
        </w:tc>
        <w:tc>
          <w:tcPr>
            <w:tcW w:w="623" w:type="pct"/>
            <w:tcBorders>
              <w:top w:val="single" w:sz="4" w:space="0" w:color="auto"/>
              <w:left w:val="single" w:sz="4" w:space="0" w:color="auto"/>
              <w:bottom w:val="single" w:sz="4" w:space="0" w:color="auto"/>
              <w:right w:val="single" w:sz="4" w:space="0" w:color="auto"/>
            </w:tcBorders>
            <w:vAlign w:val="center"/>
          </w:tcPr>
          <w:p w14:paraId="0598011E"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16,596</w:t>
            </w:r>
          </w:p>
        </w:tc>
        <w:tc>
          <w:tcPr>
            <w:tcW w:w="1405" w:type="pct"/>
            <w:gridSpan w:val="2"/>
            <w:tcBorders>
              <w:top w:val="single" w:sz="4" w:space="0" w:color="auto"/>
              <w:left w:val="single" w:sz="4" w:space="0" w:color="auto"/>
              <w:bottom w:val="single" w:sz="4" w:space="0" w:color="auto"/>
              <w:right w:val="single" w:sz="4" w:space="0" w:color="auto"/>
            </w:tcBorders>
            <w:vAlign w:val="center"/>
          </w:tcPr>
          <w:p w14:paraId="336F8543" w14:textId="77777777" w:rsidR="00D73D20" w:rsidRPr="00AD7238" w:rsidRDefault="00D73D20" w:rsidP="00322CDD">
            <w:pPr>
              <w:pStyle w:val="TableText0"/>
              <w:keepLines/>
              <w:jc w:val="center"/>
            </w:pPr>
            <w:r w:rsidRPr="00AD7238">
              <w:t>91.30% (86.88, 94.46)</w:t>
            </w:r>
          </w:p>
        </w:tc>
        <w:tc>
          <w:tcPr>
            <w:tcW w:w="546" w:type="pct"/>
            <w:tcBorders>
              <w:top w:val="single" w:sz="4" w:space="0" w:color="auto"/>
              <w:left w:val="single" w:sz="4" w:space="0" w:color="auto"/>
              <w:bottom w:val="single" w:sz="4" w:space="0" w:color="auto"/>
              <w:right w:val="single" w:sz="4" w:space="0" w:color="auto"/>
            </w:tcBorders>
            <w:vAlign w:val="center"/>
          </w:tcPr>
          <w:p w14:paraId="58581901"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0.8</w:t>
            </w:r>
          </w:p>
        </w:tc>
        <w:tc>
          <w:tcPr>
            <w:tcW w:w="546" w:type="pct"/>
            <w:tcBorders>
              <w:top w:val="single" w:sz="4" w:space="0" w:color="auto"/>
              <w:left w:val="single" w:sz="4" w:space="0" w:color="auto"/>
              <w:bottom w:val="single" w:sz="4" w:space="0" w:color="auto"/>
              <w:right w:val="single" w:sz="4" w:space="0" w:color="auto"/>
            </w:tcBorders>
            <w:vAlign w:val="center"/>
          </w:tcPr>
          <w:p w14:paraId="46C42802"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9.3</w:t>
            </w:r>
          </w:p>
        </w:tc>
        <w:tc>
          <w:tcPr>
            <w:tcW w:w="539" w:type="pct"/>
            <w:tcBorders>
              <w:top w:val="single" w:sz="4" w:space="0" w:color="auto"/>
              <w:left w:val="single" w:sz="4" w:space="0" w:color="auto"/>
              <w:bottom w:val="single" w:sz="4" w:space="0" w:color="auto"/>
              <w:right w:val="single" w:sz="4" w:space="0" w:color="auto"/>
            </w:tcBorders>
            <w:vAlign w:val="center"/>
          </w:tcPr>
          <w:p w14:paraId="6E3FBD19"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-8.5</w:t>
            </w:r>
          </w:p>
        </w:tc>
      </w:tr>
      <w:tr w:rsidR="00D73D20" w:rsidRPr="00AD7238" w14:paraId="26C3C47D" w14:textId="77777777">
        <w:tc>
          <w:tcPr>
            <w:tcW w:w="1340" w:type="pct"/>
            <w:tcBorders>
              <w:top w:val="single" w:sz="4" w:space="0" w:color="auto"/>
              <w:left w:val="single" w:sz="4" w:space="0" w:color="auto"/>
              <w:bottom w:val="double" w:sz="4" w:space="0" w:color="auto"/>
              <w:right w:val="single" w:sz="4" w:space="0" w:color="auto"/>
            </w:tcBorders>
            <w:shd w:val="clear" w:color="auto" w:fill="auto"/>
            <w:vAlign w:val="center"/>
          </w:tcPr>
          <w:p w14:paraId="0E40E883" w14:textId="3D5A7AED" w:rsidR="00D73D20" w:rsidRPr="00AD7238" w:rsidRDefault="00D73D20" w:rsidP="00322CDD">
            <w:pPr>
              <w:pStyle w:val="Tabletext"/>
              <w:keepNext/>
              <w:keepLines/>
              <w:rPr>
                <w:color w:val="000000"/>
                <w:szCs w:val="18"/>
                <w:vertAlign w:val="superscript"/>
              </w:rPr>
            </w:pPr>
            <w:r w:rsidRPr="00AD7238">
              <w:t>ZOSTER-049</w:t>
            </w:r>
            <w:r w:rsidR="003F7F02" w:rsidRPr="00AD7238">
              <w:t xml:space="preserve"> </w:t>
            </w:r>
            <w:r w:rsidR="007A005D">
              <w:rPr>
                <w:vertAlign w:val="superscript"/>
              </w:rPr>
              <w:t>c,d</w:t>
            </w:r>
          </w:p>
        </w:tc>
        <w:tc>
          <w:tcPr>
            <w:tcW w:w="623" w:type="pct"/>
            <w:tcBorders>
              <w:top w:val="single" w:sz="4" w:space="0" w:color="auto"/>
              <w:left w:val="single" w:sz="4" w:space="0" w:color="auto"/>
              <w:bottom w:val="double" w:sz="4" w:space="0" w:color="auto"/>
              <w:right w:val="single" w:sz="4" w:space="0" w:color="auto"/>
            </w:tcBorders>
            <w:vAlign w:val="center"/>
          </w:tcPr>
          <w:p w14:paraId="6B24B3C4" w14:textId="3D2C4B35" w:rsidR="00D73D20" w:rsidRPr="00AD7238" w:rsidRDefault="00E7231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7,277</w:t>
            </w:r>
          </w:p>
        </w:tc>
        <w:tc>
          <w:tcPr>
            <w:tcW w:w="1405" w:type="pct"/>
            <w:gridSpan w:val="2"/>
            <w:tcBorders>
              <w:top w:val="single" w:sz="4" w:space="0" w:color="auto"/>
              <w:left w:val="single" w:sz="4" w:space="0" w:color="auto"/>
              <w:bottom w:val="double" w:sz="4" w:space="0" w:color="auto"/>
              <w:right w:val="single" w:sz="4" w:space="0" w:color="auto"/>
            </w:tcBorders>
            <w:vAlign w:val="center"/>
          </w:tcPr>
          <w:p w14:paraId="7A115FA9" w14:textId="77777777" w:rsidR="00D73D20" w:rsidRPr="00AD7238" w:rsidRDefault="00D73D20" w:rsidP="00322CDD">
            <w:pPr>
              <w:pStyle w:val="TableText0"/>
              <w:keepLines/>
              <w:jc w:val="center"/>
            </w:pPr>
            <w:r w:rsidRPr="00AD7238">
              <w:t xml:space="preserve">81.6% (75.9, 89.8) </w:t>
            </w:r>
          </w:p>
        </w:tc>
        <w:tc>
          <w:tcPr>
            <w:tcW w:w="546" w:type="pct"/>
            <w:tcBorders>
              <w:top w:val="single" w:sz="4" w:space="0" w:color="auto"/>
              <w:left w:val="single" w:sz="4" w:space="0" w:color="auto"/>
              <w:bottom w:val="double" w:sz="4" w:space="0" w:color="auto"/>
              <w:right w:val="single" w:sz="4" w:space="0" w:color="auto"/>
            </w:tcBorders>
            <w:vAlign w:val="center"/>
          </w:tcPr>
          <w:p w14:paraId="078FC12C" w14:textId="674E0D03"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1.6</w:t>
            </w:r>
          </w:p>
        </w:tc>
        <w:tc>
          <w:tcPr>
            <w:tcW w:w="546" w:type="pct"/>
            <w:tcBorders>
              <w:top w:val="single" w:sz="4" w:space="0" w:color="auto"/>
              <w:left w:val="single" w:sz="4" w:space="0" w:color="auto"/>
              <w:bottom w:val="double" w:sz="4" w:space="0" w:color="auto"/>
              <w:right w:val="single" w:sz="4" w:space="0" w:color="auto"/>
            </w:tcBorders>
            <w:vAlign w:val="center"/>
          </w:tcPr>
          <w:p w14:paraId="30F26251"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8.7</w:t>
            </w:r>
          </w:p>
        </w:tc>
        <w:tc>
          <w:tcPr>
            <w:tcW w:w="539" w:type="pct"/>
            <w:tcBorders>
              <w:top w:val="single" w:sz="4" w:space="0" w:color="auto"/>
              <w:left w:val="single" w:sz="4" w:space="0" w:color="auto"/>
              <w:bottom w:val="double" w:sz="4" w:space="0" w:color="auto"/>
              <w:right w:val="single" w:sz="4" w:space="0" w:color="auto"/>
            </w:tcBorders>
            <w:vAlign w:val="center"/>
          </w:tcPr>
          <w:p w14:paraId="5DB29324" w14:textId="38562759"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-7.</w:t>
            </w:r>
            <w:r w:rsidR="00CC2A2D" w:rsidRPr="00AD7238">
              <w:rPr>
                <w:rFonts w:ascii="Arial Narrow" w:hAnsi="Arial Narrow"/>
                <w:color w:val="000000"/>
                <w:sz w:val="20"/>
                <w:szCs w:val="18"/>
              </w:rPr>
              <w:t>1</w:t>
            </w:r>
          </w:p>
        </w:tc>
      </w:tr>
      <w:tr w:rsidR="00D73D20" w:rsidRPr="00AD7238" w14:paraId="587E14C6" w14:textId="77777777">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3F55C547"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Reduction in PHN cases</w:t>
            </w:r>
          </w:p>
        </w:tc>
      </w:tr>
      <w:tr w:rsidR="00D73D20" w:rsidRPr="00AD7238" w14:paraId="577199C2"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77EFE3EA"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ZOE-50</w:t>
            </w:r>
          </w:p>
        </w:tc>
        <w:tc>
          <w:tcPr>
            <w:tcW w:w="623" w:type="pct"/>
            <w:tcBorders>
              <w:top w:val="single" w:sz="4" w:space="0" w:color="auto"/>
              <w:left w:val="single" w:sz="4" w:space="0" w:color="auto"/>
              <w:bottom w:val="single" w:sz="4" w:space="0" w:color="auto"/>
              <w:right w:val="single" w:sz="4" w:space="0" w:color="auto"/>
            </w:tcBorders>
            <w:vAlign w:val="center"/>
          </w:tcPr>
          <w:p w14:paraId="49078F1A"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14,753</w:t>
            </w:r>
          </w:p>
        </w:tc>
        <w:tc>
          <w:tcPr>
            <w:tcW w:w="1405" w:type="pct"/>
            <w:gridSpan w:val="2"/>
            <w:tcBorders>
              <w:top w:val="single" w:sz="4" w:space="0" w:color="auto"/>
              <w:left w:val="single" w:sz="4" w:space="0" w:color="auto"/>
              <w:bottom w:val="single" w:sz="4" w:space="0" w:color="auto"/>
              <w:right w:val="single" w:sz="4" w:space="0" w:color="auto"/>
            </w:tcBorders>
            <w:vAlign w:val="center"/>
          </w:tcPr>
          <w:p w14:paraId="4209C577"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100% (77.11, 100.0)</w:t>
            </w:r>
          </w:p>
        </w:tc>
        <w:tc>
          <w:tcPr>
            <w:tcW w:w="546" w:type="pct"/>
            <w:tcBorders>
              <w:top w:val="single" w:sz="4" w:space="0" w:color="auto"/>
              <w:left w:val="single" w:sz="4" w:space="0" w:color="auto"/>
              <w:bottom w:val="single" w:sz="4" w:space="0" w:color="auto"/>
              <w:right w:val="single" w:sz="4" w:space="0" w:color="auto"/>
            </w:tcBorders>
            <w:vAlign w:val="center"/>
          </w:tcPr>
          <w:p w14:paraId="0BE94B16"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0.0</w:t>
            </w:r>
          </w:p>
        </w:tc>
        <w:tc>
          <w:tcPr>
            <w:tcW w:w="546" w:type="pct"/>
            <w:tcBorders>
              <w:top w:val="single" w:sz="4" w:space="0" w:color="auto"/>
              <w:left w:val="single" w:sz="4" w:space="0" w:color="auto"/>
              <w:bottom w:val="single" w:sz="4" w:space="0" w:color="auto"/>
              <w:right w:val="single" w:sz="4" w:space="0" w:color="auto"/>
            </w:tcBorders>
            <w:vAlign w:val="center"/>
          </w:tcPr>
          <w:p w14:paraId="0FF25134"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0.6</w:t>
            </w:r>
          </w:p>
        </w:tc>
        <w:tc>
          <w:tcPr>
            <w:tcW w:w="539" w:type="pct"/>
            <w:tcBorders>
              <w:top w:val="single" w:sz="4" w:space="0" w:color="auto"/>
              <w:left w:val="single" w:sz="4" w:space="0" w:color="auto"/>
              <w:bottom w:val="single" w:sz="4" w:space="0" w:color="auto"/>
              <w:right w:val="single" w:sz="4" w:space="0" w:color="auto"/>
            </w:tcBorders>
            <w:vAlign w:val="center"/>
          </w:tcPr>
          <w:p w14:paraId="5E21F2EF"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-0.6</w:t>
            </w:r>
          </w:p>
        </w:tc>
      </w:tr>
      <w:tr w:rsidR="00D73D20" w:rsidRPr="00AD7238" w14:paraId="124BC420"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3C2486A3"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ZOE-70</w:t>
            </w:r>
          </w:p>
        </w:tc>
        <w:tc>
          <w:tcPr>
            <w:tcW w:w="623" w:type="pct"/>
            <w:tcBorders>
              <w:top w:val="single" w:sz="4" w:space="0" w:color="auto"/>
              <w:left w:val="single" w:sz="4" w:space="0" w:color="auto"/>
              <w:bottom w:val="single" w:sz="4" w:space="0" w:color="auto"/>
              <w:right w:val="single" w:sz="4" w:space="0" w:color="auto"/>
            </w:tcBorders>
            <w:vAlign w:val="center"/>
          </w:tcPr>
          <w:p w14:paraId="604DE8EA"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13,163</w:t>
            </w:r>
          </w:p>
        </w:tc>
        <w:tc>
          <w:tcPr>
            <w:tcW w:w="1405" w:type="pct"/>
            <w:gridSpan w:val="2"/>
            <w:tcBorders>
              <w:top w:val="single" w:sz="4" w:space="0" w:color="auto"/>
              <w:left w:val="single" w:sz="4" w:space="0" w:color="auto"/>
              <w:bottom w:val="single" w:sz="4" w:space="0" w:color="auto"/>
              <w:right w:val="single" w:sz="4" w:space="0" w:color="auto"/>
            </w:tcBorders>
            <w:vAlign w:val="center"/>
          </w:tcPr>
          <w:p w14:paraId="27ED40B6"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85.49% (58.52, 96.30)</w:t>
            </w:r>
          </w:p>
        </w:tc>
        <w:tc>
          <w:tcPr>
            <w:tcW w:w="546" w:type="pct"/>
            <w:tcBorders>
              <w:top w:val="single" w:sz="4" w:space="0" w:color="auto"/>
              <w:left w:val="single" w:sz="4" w:space="0" w:color="auto"/>
              <w:bottom w:val="single" w:sz="4" w:space="0" w:color="auto"/>
              <w:right w:val="single" w:sz="4" w:space="0" w:color="auto"/>
            </w:tcBorders>
            <w:vAlign w:val="center"/>
          </w:tcPr>
          <w:p w14:paraId="53D84894"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0.2</w:t>
            </w:r>
          </w:p>
        </w:tc>
        <w:tc>
          <w:tcPr>
            <w:tcW w:w="546" w:type="pct"/>
            <w:tcBorders>
              <w:top w:val="single" w:sz="4" w:space="0" w:color="auto"/>
              <w:left w:val="single" w:sz="4" w:space="0" w:color="auto"/>
              <w:bottom w:val="single" w:sz="4" w:space="0" w:color="auto"/>
              <w:right w:val="single" w:sz="4" w:space="0" w:color="auto"/>
            </w:tcBorders>
            <w:vAlign w:val="center"/>
          </w:tcPr>
          <w:p w14:paraId="2B653407"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1.1</w:t>
            </w:r>
          </w:p>
        </w:tc>
        <w:tc>
          <w:tcPr>
            <w:tcW w:w="539" w:type="pct"/>
            <w:tcBorders>
              <w:top w:val="single" w:sz="4" w:space="0" w:color="auto"/>
              <w:left w:val="single" w:sz="4" w:space="0" w:color="auto"/>
              <w:bottom w:val="single" w:sz="4" w:space="0" w:color="auto"/>
              <w:right w:val="single" w:sz="4" w:space="0" w:color="auto"/>
            </w:tcBorders>
            <w:vAlign w:val="center"/>
          </w:tcPr>
          <w:p w14:paraId="6489B759"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-0.9</w:t>
            </w:r>
          </w:p>
        </w:tc>
      </w:tr>
      <w:tr w:rsidR="00D73D20" w:rsidRPr="00AD7238" w14:paraId="069D6A27" w14:textId="77777777">
        <w:tc>
          <w:tcPr>
            <w:tcW w:w="1340" w:type="pct"/>
            <w:tcBorders>
              <w:top w:val="single" w:sz="4" w:space="0" w:color="auto"/>
              <w:left w:val="single" w:sz="4" w:space="0" w:color="auto"/>
              <w:bottom w:val="double" w:sz="4" w:space="0" w:color="auto"/>
              <w:right w:val="single" w:sz="4" w:space="0" w:color="auto"/>
            </w:tcBorders>
            <w:shd w:val="clear" w:color="auto" w:fill="auto"/>
            <w:vAlign w:val="center"/>
          </w:tcPr>
          <w:p w14:paraId="7FAFBD96" w14:textId="2F0749AC"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r w:rsidR="00A107DA">
              <w:rPr>
                <w:rFonts w:ascii="Arial Narrow" w:hAnsi="Arial Narrow"/>
                <w:color w:val="000000"/>
                <w:sz w:val="20"/>
                <w:szCs w:val="18"/>
              </w:rPr>
              <w:t>*</w:t>
            </w:r>
          </w:p>
        </w:tc>
        <w:tc>
          <w:tcPr>
            <w:tcW w:w="623" w:type="pct"/>
            <w:tcBorders>
              <w:top w:val="single" w:sz="4" w:space="0" w:color="auto"/>
              <w:left w:val="single" w:sz="4" w:space="0" w:color="auto"/>
              <w:bottom w:val="double" w:sz="4" w:space="0" w:color="auto"/>
              <w:right w:val="single" w:sz="4" w:space="0" w:color="auto"/>
            </w:tcBorders>
            <w:vAlign w:val="center"/>
          </w:tcPr>
          <w:p w14:paraId="14092C04"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16,596</w:t>
            </w:r>
          </w:p>
        </w:tc>
        <w:tc>
          <w:tcPr>
            <w:tcW w:w="1405" w:type="pct"/>
            <w:gridSpan w:val="2"/>
            <w:tcBorders>
              <w:top w:val="single" w:sz="4" w:space="0" w:color="auto"/>
              <w:left w:val="single" w:sz="4" w:space="0" w:color="auto"/>
              <w:bottom w:val="double" w:sz="4" w:space="0" w:color="auto"/>
              <w:right w:val="single" w:sz="4" w:space="0" w:color="auto"/>
            </w:tcBorders>
            <w:vAlign w:val="center"/>
          </w:tcPr>
          <w:p w14:paraId="3EEA4722"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88.78% (68.70, 97.10)</w:t>
            </w:r>
          </w:p>
        </w:tc>
        <w:tc>
          <w:tcPr>
            <w:tcW w:w="546" w:type="pct"/>
            <w:tcBorders>
              <w:top w:val="single" w:sz="4" w:space="0" w:color="auto"/>
              <w:left w:val="single" w:sz="4" w:space="0" w:color="auto"/>
              <w:bottom w:val="double" w:sz="4" w:space="0" w:color="auto"/>
              <w:right w:val="single" w:sz="4" w:space="0" w:color="auto"/>
            </w:tcBorders>
            <w:vAlign w:val="center"/>
          </w:tcPr>
          <w:p w14:paraId="3CB7A73D"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0.1</w:t>
            </w:r>
          </w:p>
        </w:tc>
        <w:tc>
          <w:tcPr>
            <w:tcW w:w="546" w:type="pct"/>
            <w:tcBorders>
              <w:top w:val="single" w:sz="4" w:space="0" w:color="auto"/>
              <w:left w:val="single" w:sz="4" w:space="0" w:color="auto"/>
              <w:bottom w:val="double" w:sz="4" w:space="0" w:color="auto"/>
              <w:right w:val="single" w:sz="4" w:space="0" w:color="auto"/>
            </w:tcBorders>
            <w:vAlign w:val="center"/>
          </w:tcPr>
          <w:p w14:paraId="6C97985D"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1.2</w:t>
            </w:r>
          </w:p>
        </w:tc>
        <w:tc>
          <w:tcPr>
            <w:tcW w:w="539" w:type="pct"/>
            <w:tcBorders>
              <w:top w:val="single" w:sz="4" w:space="0" w:color="auto"/>
              <w:left w:val="single" w:sz="4" w:space="0" w:color="auto"/>
              <w:bottom w:val="double" w:sz="4" w:space="0" w:color="auto"/>
              <w:right w:val="single" w:sz="4" w:space="0" w:color="auto"/>
            </w:tcBorders>
            <w:vAlign w:val="center"/>
          </w:tcPr>
          <w:p w14:paraId="0EBD1363" w14:textId="77777777" w:rsidR="00D73D20" w:rsidRPr="00AD7238" w:rsidRDefault="00D73D2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-1.1</w:t>
            </w:r>
          </w:p>
        </w:tc>
      </w:tr>
      <w:tr w:rsidR="00D73D20" w:rsidRPr="00AD7238" w14:paraId="2DA983C8" w14:textId="77777777">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5FFDFB96"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 xml:space="preserve">Harms </w:t>
            </w:r>
          </w:p>
        </w:tc>
      </w:tr>
      <w:tr w:rsidR="00D73D20" w:rsidRPr="00AD7238" w14:paraId="6FE630A4" w14:textId="77777777">
        <w:trPr>
          <w:trHeight w:val="70"/>
        </w:trPr>
        <w:tc>
          <w:tcPr>
            <w:tcW w:w="13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3164C6" w14:textId="77777777" w:rsidR="00D73D20" w:rsidRPr="00AD7238" w:rsidRDefault="00D73D20" w:rsidP="00322CDD">
            <w:pPr>
              <w:keepNext/>
              <w:keepLines/>
              <w:rPr>
                <w:rFonts w:ascii="Arial Narrow" w:hAnsi="Arial Narrow"/>
                <w:b/>
                <w:color w:val="000000"/>
                <w:sz w:val="20"/>
                <w:szCs w:val="18"/>
              </w:rPr>
            </w:pPr>
          </w:p>
        </w:tc>
        <w:tc>
          <w:tcPr>
            <w:tcW w:w="623" w:type="pct"/>
            <w:vMerge w:val="restart"/>
            <w:tcBorders>
              <w:top w:val="single" w:sz="4" w:space="0" w:color="auto"/>
              <w:left w:val="single" w:sz="4" w:space="0" w:color="auto"/>
              <w:bottom w:val="single" w:sz="4" w:space="0" w:color="auto"/>
              <w:right w:val="single" w:sz="4" w:space="0" w:color="auto"/>
            </w:tcBorders>
            <w:vAlign w:val="center"/>
          </w:tcPr>
          <w:p w14:paraId="10F3E6F6" w14:textId="6A318572"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RZV</w:t>
            </w:r>
          </w:p>
          <w:p w14:paraId="77F01579"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n/N</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14:paraId="5074C64E" w14:textId="08D96918"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PBO</w:t>
            </w:r>
          </w:p>
          <w:p w14:paraId="2AE88836"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n/N</w:t>
            </w:r>
          </w:p>
        </w:tc>
        <w:tc>
          <w:tcPr>
            <w:tcW w:w="780" w:type="pct"/>
            <w:vMerge w:val="restart"/>
            <w:tcBorders>
              <w:top w:val="single" w:sz="4" w:space="0" w:color="auto"/>
              <w:left w:val="single" w:sz="4" w:space="0" w:color="auto"/>
              <w:bottom w:val="single" w:sz="4" w:space="0" w:color="auto"/>
              <w:right w:val="single" w:sz="4" w:space="0" w:color="auto"/>
            </w:tcBorders>
            <w:vAlign w:val="center"/>
          </w:tcPr>
          <w:p w14:paraId="35BE4C58"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RR</w:t>
            </w:r>
          </w:p>
          <w:p w14:paraId="6083A5CE"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(95% CI)</w:t>
            </w:r>
          </w:p>
        </w:tc>
        <w:tc>
          <w:tcPr>
            <w:tcW w:w="1092" w:type="pct"/>
            <w:gridSpan w:val="2"/>
            <w:tcBorders>
              <w:top w:val="single" w:sz="4" w:space="0" w:color="auto"/>
              <w:left w:val="single" w:sz="4" w:space="0" w:color="auto"/>
              <w:bottom w:val="single" w:sz="4" w:space="0" w:color="auto"/>
              <w:right w:val="single" w:sz="4" w:space="0" w:color="auto"/>
            </w:tcBorders>
            <w:vAlign w:val="center"/>
          </w:tcPr>
          <w:p w14:paraId="357CC7DF" w14:textId="4A43E9ED"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Event /1,000 individuals vaccinated</w:t>
            </w:r>
          </w:p>
        </w:tc>
        <w:tc>
          <w:tcPr>
            <w:tcW w:w="539" w:type="pct"/>
            <w:vMerge w:val="restart"/>
            <w:tcBorders>
              <w:top w:val="single" w:sz="4" w:space="0" w:color="auto"/>
              <w:left w:val="single" w:sz="4" w:space="0" w:color="auto"/>
              <w:bottom w:val="single" w:sz="4" w:space="0" w:color="auto"/>
              <w:right w:val="single" w:sz="4" w:space="0" w:color="auto"/>
            </w:tcBorders>
            <w:vAlign w:val="center"/>
          </w:tcPr>
          <w:p w14:paraId="0F0C8F68" w14:textId="3B20E473"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RD</w:t>
            </w:r>
            <w:r w:rsidR="00DA054C" w:rsidRPr="00DA054C">
              <w:rPr>
                <w:rFonts w:ascii="Arial Narrow" w:hAnsi="Arial Narrow"/>
                <w:b/>
                <w:color w:val="000000"/>
                <w:sz w:val="20"/>
                <w:szCs w:val="18"/>
                <w:vertAlign w:val="superscript"/>
              </w:rPr>
              <w:t>b</w:t>
            </w:r>
          </w:p>
        </w:tc>
      </w:tr>
      <w:tr w:rsidR="00D73D20" w:rsidRPr="00AD7238" w14:paraId="04DC3A55" w14:textId="77777777">
        <w:trPr>
          <w:trHeight w:val="193"/>
        </w:trPr>
        <w:tc>
          <w:tcPr>
            <w:tcW w:w="13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E4F5B1" w14:textId="77777777" w:rsidR="00D73D20" w:rsidRPr="00AD7238" w:rsidRDefault="00D73D20" w:rsidP="00322CDD">
            <w:pPr>
              <w:keepNext/>
              <w:keepLines/>
              <w:rPr>
                <w:rFonts w:ascii="Arial Narrow" w:hAnsi="Arial Narrow"/>
                <w:b/>
                <w:color w:val="000000"/>
                <w:sz w:val="20"/>
                <w:szCs w:val="18"/>
              </w:rPr>
            </w:pPr>
          </w:p>
        </w:tc>
        <w:tc>
          <w:tcPr>
            <w:tcW w:w="623" w:type="pct"/>
            <w:vMerge/>
            <w:tcBorders>
              <w:top w:val="single" w:sz="4" w:space="0" w:color="auto"/>
              <w:left w:val="single" w:sz="4" w:space="0" w:color="auto"/>
              <w:bottom w:val="single" w:sz="4" w:space="0" w:color="auto"/>
              <w:right w:val="single" w:sz="4" w:space="0" w:color="auto"/>
            </w:tcBorders>
            <w:vAlign w:val="center"/>
          </w:tcPr>
          <w:p w14:paraId="26B279B8" w14:textId="77777777" w:rsidR="00D73D20" w:rsidRPr="00AD7238" w:rsidRDefault="00D73D20" w:rsidP="00322CDD">
            <w:pPr>
              <w:keepNext/>
              <w:keepLines/>
              <w:jc w:val="center"/>
              <w:rPr>
                <w:rFonts w:ascii="Arial Narrow" w:hAnsi="Arial Narrow"/>
                <w:b/>
                <w:color w:val="000000"/>
                <w:sz w:val="20"/>
                <w:szCs w:val="18"/>
              </w:rPr>
            </w:pPr>
          </w:p>
        </w:tc>
        <w:tc>
          <w:tcPr>
            <w:tcW w:w="625" w:type="pct"/>
            <w:vMerge/>
            <w:tcBorders>
              <w:top w:val="single" w:sz="4" w:space="0" w:color="auto"/>
              <w:left w:val="single" w:sz="4" w:space="0" w:color="auto"/>
              <w:bottom w:val="single" w:sz="4" w:space="0" w:color="auto"/>
              <w:right w:val="single" w:sz="4" w:space="0" w:color="auto"/>
            </w:tcBorders>
            <w:vAlign w:val="center"/>
          </w:tcPr>
          <w:p w14:paraId="27F44968" w14:textId="77777777" w:rsidR="00D73D20" w:rsidRPr="00AD7238" w:rsidRDefault="00D73D20" w:rsidP="00322CDD">
            <w:pPr>
              <w:keepNext/>
              <w:keepLines/>
              <w:jc w:val="center"/>
              <w:rPr>
                <w:rFonts w:ascii="Arial Narrow" w:hAnsi="Arial Narrow"/>
                <w:b/>
                <w:color w:val="000000"/>
                <w:sz w:val="20"/>
                <w:szCs w:val="18"/>
              </w:rPr>
            </w:pPr>
          </w:p>
        </w:tc>
        <w:tc>
          <w:tcPr>
            <w:tcW w:w="780" w:type="pct"/>
            <w:vMerge/>
            <w:tcBorders>
              <w:top w:val="single" w:sz="4" w:space="0" w:color="auto"/>
              <w:left w:val="single" w:sz="4" w:space="0" w:color="auto"/>
              <w:bottom w:val="single" w:sz="4" w:space="0" w:color="auto"/>
              <w:right w:val="single" w:sz="4" w:space="0" w:color="auto"/>
            </w:tcBorders>
            <w:vAlign w:val="center"/>
          </w:tcPr>
          <w:p w14:paraId="61B0F225" w14:textId="77777777" w:rsidR="00D73D20" w:rsidRPr="00AD7238" w:rsidRDefault="00D73D20" w:rsidP="00322CDD">
            <w:pPr>
              <w:keepNext/>
              <w:keepLines/>
              <w:jc w:val="center"/>
              <w:rPr>
                <w:rFonts w:ascii="Arial Narrow" w:hAnsi="Arial Narrow"/>
                <w:b/>
                <w:color w:val="000000"/>
                <w:sz w:val="20"/>
                <w:szCs w:val="18"/>
              </w:rPr>
            </w:pPr>
          </w:p>
        </w:tc>
        <w:tc>
          <w:tcPr>
            <w:tcW w:w="546" w:type="pct"/>
            <w:tcBorders>
              <w:top w:val="single" w:sz="4" w:space="0" w:color="auto"/>
              <w:left w:val="single" w:sz="4" w:space="0" w:color="auto"/>
              <w:bottom w:val="single" w:sz="4" w:space="0" w:color="auto"/>
              <w:right w:val="single" w:sz="4" w:space="0" w:color="auto"/>
            </w:tcBorders>
            <w:vAlign w:val="center"/>
          </w:tcPr>
          <w:p w14:paraId="5C466DB3"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 xml:space="preserve">RZV </w:t>
            </w:r>
          </w:p>
        </w:tc>
        <w:tc>
          <w:tcPr>
            <w:tcW w:w="546" w:type="pct"/>
            <w:tcBorders>
              <w:top w:val="single" w:sz="4" w:space="0" w:color="auto"/>
              <w:left w:val="single" w:sz="4" w:space="0" w:color="auto"/>
              <w:bottom w:val="single" w:sz="4" w:space="0" w:color="auto"/>
              <w:right w:val="single" w:sz="4" w:space="0" w:color="auto"/>
            </w:tcBorders>
            <w:vAlign w:val="center"/>
          </w:tcPr>
          <w:p w14:paraId="14EB5A53" w14:textId="77777777" w:rsidR="00D73D20" w:rsidRPr="00AD7238" w:rsidRDefault="00D73D20" w:rsidP="00322CDD">
            <w:pPr>
              <w:keepNext/>
              <w:keepLines/>
              <w:jc w:val="center"/>
              <w:rPr>
                <w:rFonts w:ascii="Arial Narrow" w:hAnsi="Arial Narrow"/>
                <w:b/>
                <w:color w:val="000000"/>
                <w:sz w:val="20"/>
                <w:szCs w:val="18"/>
              </w:rPr>
            </w:pPr>
            <w:r w:rsidRPr="00AD7238">
              <w:rPr>
                <w:rFonts w:ascii="Arial Narrow" w:hAnsi="Arial Narrow"/>
                <w:b/>
                <w:color w:val="000000"/>
                <w:sz w:val="20"/>
                <w:szCs w:val="18"/>
              </w:rPr>
              <w:t>PBO</w:t>
            </w:r>
          </w:p>
        </w:tc>
        <w:tc>
          <w:tcPr>
            <w:tcW w:w="539" w:type="pct"/>
            <w:vMerge/>
            <w:tcBorders>
              <w:top w:val="single" w:sz="4" w:space="0" w:color="auto"/>
              <w:left w:val="single" w:sz="4" w:space="0" w:color="auto"/>
              <w:bottom w:val="single" w:sz="4" w:space="0" w:color="auto"/>
              <w:right w:val="single" w:sz="4" w:space="0" w:color="auto"/>
            </w:tcBorders>
            <w:vAlign w:val="center"/>
          </w:tcPr>
          <w:p w14:paraId="23F4E404" w14:textId="77777777" w:rsidR="00D73D20" w:rsidRPr="00AD7238" w:rsidRDefault="00D73D20" w:rsidP="00322CDD">
            <w:pPr>
              <w:keepNext/>
              <w:keepLines/>
              <w:jc w:val="center"/>
              <w:rPr>
                <w:rFonts w:ascii="Arial Narrow" w:hAnsi="Arial Narrow"/>
                <w:b/>
                <w:color w:val="000000"/>
                <w:sz w:val="20"/>
                <w:szCs w:val="18"/>
              </w:rPr>
            </w:pPr>
          </w:p>
        </w:tc>
      </w:tr>
      <w:tr w:rsidR="00D73D20" w:rsidRPr="00AD7238" w14:paraId="69CA56AC"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B6904B" w14:textId="77777777" w:rsidR="00D73D20" w:rsidRPr="00AD7238" w:rsidRDefault="00D73D20" w:rsidP="00322CDD">
            <w:pPr>
              <w:keepNext/>
              <w:keepLines/>
              <w:rPr>
                <w:rFonts w:ascii="Arial Narrow" w:hAnsi="Arial Narrow"/>
                <w:b/>
                <w:color w:val="000000"/>
                <w:sz w:val="20"/>
                <w:szCs w:val="18"/>
              </w:rPr>
            </w:pPr>
            <w:r w:rsidRPr="00AD7238">
              <w:rPr>
                <w:rFonts w:ascii="Arial Narrow" w:hAnsi="Arial Narrow"/>
                <w:b/>
                <w:color w:val="000000"/>
                <w:sz w:val="20"/>
                <w:szCs w:val="18"/>
              </w:rPr>
              <w:t>Pain, Grade 3</w:t>
            </w:r>
          </w:p>
        </w:tc>
      </w:tr>
      <w:tr w:rsidR="00D73D20" w:rsidRPr="00AD7238" w14:paraId="667D9389"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126C04FD" w14:textId="45A217C3"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r w:rsidR="00A107DA">
              <w:rPr>
                <w:rFonts w:ascii="Arial Narrow" w:hAnsi="Arial Narrow"/>
                <w:color w:val="000000"/>
                <w:sz w:val="20"/>
                <w:szCs w:val="18"/>
              </w:rPr>
              <w:t>*</w:t>
            </w:r>
          </w:p>
        </w:tc>
        <w:tc>
          <w:tcPr>
            <w:tcW w:w="623" w:type="pct"/>
            <w:tcBorders>
              <w:top w:val="single" w:sz="4" w:space="0" w:color="auto"/>
              <w:left w:val="single" w:sz="4" w:space="0" w:color="auto"/>
              <w:bottom w:val="single" w:sz="4" w:space="0" w:color="auto"/>
              <w:right w:val="single" w:sz="4" w:space="0" w:color="auto"/>
            </w:tcBorders>
            <w:vAlign w:val="center"/>
          </w:tcPr>
          <w:p w14:paraId="55082517" w14:textId="343F8438" w:rsidR="00D73D20" w:rsidRPr="00AD7238" w:rsidRDefault="00C313A9"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557/14</w:t>
            </w:r>
            <w:r w:rsidR="00795041" w:rsidRPr="00AD7238">
              <w:rPr>
                <w:rFonts w:ascii="Arial Narrow" w:hAnsi="Arial Narrow"/>
                <w:color w:val="000000"/>
                <w:sz w:val="20"/>
                <w:szCs w:val="18"/>
              </w:rPr>
              <w:t>,</w:t>
            </w:r>
            <w:r w:rsidRPr="00AD7238">
              <w:rPr>
                <w:rFonts w:ascii="Arial Narrow" w:hAnsi="Arial Narrow"/>
                <w:color w:val="000000"/>
                <w:sz w:val="20"/>
                <w:szCs w:val="18"/>
              </w:rPr>
              <w:t>645</w:t>
            </w:r>
          </w:p>
        </w:tc>
        <w:tc>
          <w:tcPr>
            <w:tcW w:w="625" w:type="pct"/>
            <w:tcBorders>
              <w:top w:val="single" w:sz="4" w:space="0" w:color="auto"/>
              <w:left w:val="single" w:sz="4" w:space="0" w:color="auto"/>
              <w:bottom w:val="single" w:sz="4" w:space="0" w:color="auto"/>
              <w:right w:val="single" w:sz="4" w:space="0" w:color="auto"/>
            </w:tcBorders>
            <w:vAlign w:val="center"/>
          </w:tcPr>
          <w:p w14:paraId="3483D2A0" w14:textId="03C01E1B" w:rsidR="00D73D20" w:rsidRPr="00AD7238" w:rsidRDefault="00352424"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29/14</w:t>
            </w:r>
            <w:r w:rsidR="00795041" w:rsidRPr="00AD7238">
              <w:rPr>
                <w:rFonts w:ascii="Arial Narrow" w:hAnsi="Arial Narrow"/>
                <w:color w:val="000000"/>
                <w:sz w:val="20"/>
                <w:szCs w:val="18"/>
              </w:rPr>
              <w:t>,</w:t>
            </w:r>
            <w:r w:rsidRPr="00AD7238">
              <w:rPr>
                <w:rFonts w:ascii="Arial Narrow" w:hAnsi="Arial Narrow"/>
                <w:color w:val="000000"/>
                <w:sz w:val="20"/>
                <w:szCs w:val="18"/>
              </w:rPr>
              <w:t>660</w:t>
            </w:r>
          </w:p>
        </w:tc>
        <w:tc>
          <w:tcPr>
            <w:tcW w:w="780" w:type="pct"/>
            <w:tcBorders>
              <w:top w:val="single" w:sz="4" w:space="0" w:color="auto"/>
              <w:left w:val="single" w:sz="4" w:space="0" w:color="auto"/>
              <w:bottom w:val="single" w:sz="4" w:space="0" w:color="auto"/>
              <w:right w:val="single" w:sz="4" w:space="0" w:color="auto"/>
            </w:tcBorders>
            <w:vAlign w:val="center"/>
          </w:tcPr>
          <w:p w14:paraId="403413D9" w14:textId="38836AA8" w:rsidR="00D73D20" w:rsidRPr="00AD7238" w:rsidRDefault="00DC64AA"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19.23</w:t>
            </w:r>
            <w:r w:rsidR="00557FC8" w:rsidRPr="00AD7238">
              <w:rPr>
                <w:rFonts w:ascii="Arial Narrow" w:hAnsi="Arial Narrow"/>
                <w:color w:val="000000"/>
                <w:sz w:val="20"/>
                <w:szCs w:val="18"/>
              </w:rPr>
              <w:t xml:space="preserve"> (NR)</w:t>
            </w:r>
          </w:p>
        </w:tc>
        <w:tc>
          <w:tcPr>
            <w:tcW w:w="546" w:type="pct"/>
            <w:tcBorders>
              <w:top w:val="single" w:sz="4" w:space="0" w:color="auto"/>
              <w:left w:val="single" w:sz="4" w:space="0" w:color="auto"/>
              <w:bottom w:val="single" w:sz="4" w:space="0" w:color="auto"/>
              <w:right w:val="single" w:sz="4" w:space="0" w:color="auto"/>
            </w:tcBorders>
            <w:vAlign w:val="center"/>
          </w:tcPr>
          <w:p w14:paraId="28EA4FDD" w14:textId="249F8520" w:rsidR="00D73D20" w:rsidRPr="00AD7238" w:rsidRDefault="00352424"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38</w:t>
            </w:r>
            <w:r w:rsidR="00540BBA" w:rsidRPr="00AD7238">
              <w:rPr>
                <w:rFonts w:ascii="Arial Narrow" w:hAnsi="Arial Narrow"/>
                <w:color w:val="000000"/>
                <w:sz w:val="20"/>
                <w:szCs w:val="18"/>
              </w:rPr>
              <w:t>.03</w:t>
            </w:r>
          </w:p>
        </w:tc>
        <w:tc>
          <w:tcPr>
            <w:tcW w:w="546" w:type="pct"/>
            <w:tcBorders>
              <w:top w:val="single" w:sz="4" w:space="0" w:color="auto"/>
              <w:left w:val="single" w:sz="4" w:space="0" w:color="auto"/>
              <w:bottom w:val="single" w:sz="4" w:space="0" w:color="auto"/>
              <w:right w:val="single" w:sz="4" w:space="0" w:color="auto"/>
            </w:tcBorders>
            <w:vAlign w:val="center"/>
          </w:tcPr>
          <w:p w14:paraId="40069791" w14:textId="16C2EB27" w:rsidR="00D73D20" w:rsidRPr="00AD7238" w:rsidRDefault="00416FAD"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1.98</w:t>
            </w:r>
          </w:p>
        </w:tc>
        <w:tc>
          <w:tcPr>
            <w:tcW w:w="539" w:type="pct"/>
            <w:tcBorders>
              <w:top w:val="single" w:sz="4" w:space="0" w:color="auto"/>
              <w:left w:val="single" w:sz="4" w:space="0" w:color="auto"/>
              <w:bottom w:val="single" w:sz="4" w:space="0" w:color="auto"/>
              <w:right w:val="single" w:sz="4" w:space="0" w:color="auto"/>
            </w:tcBorders>
            <w:vAlign w:val="center"/>
          </w:tcPr>
          <w:p w14:paraId="57F17E0D" w14:textId="4EC3F86E" w:rsidR="00D73D20" w:rsidRPr="00AD7238" w:rsidRDefault="00416FAD"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36.0</w:t>
            </w:r>
            <w:r w:rsidR="00A63490" w:rsidRPr="00AD7238">
              <w:rPr>
                <w:rFonts w:ascii="Arial Narrow" w:hAnsi="Arial Narrow"/>
                <w:color w:val="000000"/>
                <w:sz w:val="20"/>
                <w:szCs w:val="18"/>
              </w:rPr>
              <w:t>6</w:t>
            </w:r>
          </w:p>
        </w:tc>
      </w:tr>
      <w:tr w:rsidR="00D73D20" w:rsidRPr="00AD7238" w14:paraId="46A45084"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91CE4D" w14:textId="4F1E75D1" w:rsidR="00D73D20" w:rsidRPr="00AD7238" w:rsidRDefault="00530D5E" w:rsidP="00322CDD">
            <w:pPr>
              <w:keepNext/>
              <w:keepLines/>
              <w:rPr>
                <w:rFonts w:ascii="Arial Narrow" w:hAnsi="Arial Narrow"/>
                <w:b/>
                <w:color w:val="000000"/>
                <w:sz w:val="20"/>
                <w:szCs w:val="18"/>
              </w:rPr>
            </w:pPr>
            <w:r w:rsidRPr="00AD7238">
              <w:rPr>
                <w:rFonts w:ascii="Arial Narrow" w:hAnsi="Arial Narrow"/>
                <w:b/>
                <w:color w:val="000000"/>
                <w:sz w:val="20"/>
                <w:szCs w:val="18"/>
              </w:rPr>
              <w:t>Injection site erythema (any)</w:t>
            </w:r>
          </w:p>
        </w:tc>
      </w:tr>
      <w:tr w:rsidR="00D73D20" w:rsidRPr="00AD7238" w14:paraId="217DF6D4"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28B1AB33"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14:paraId="430195CC" w14:textId="1722CC15" w:rsidR="00D73D20" w:rsidRPr="00AD7238" w:rsidRDefault="00530D5E"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w:t>
            </w:r>
            <w:r w:rsidR="00795041" w:rsidRPr="00AD7238">
              <w:rPr>
                <w:rFonts w:ascii="Arial Narrow" w:hAnsi="Arial Narrow"/>
                <w:color w:val="000000"/>
                <w:sz w:val="20"/>
                <w:szCs w:val="18"/>
              </w:rPr>
              <w:t>,</w:t>
            </w:r>
            <w:r w:rsidRPr="00AD7238">
              <w:rPr>
                <w:rFonts w:ascii="Arial Narrow" w:hAnsi="Arial Narrow"/>
                <w:color w:val="000000"/>
                <w:sz w:val="20"/>
                <w:szCs w:val="18"/>
              </w:rPr>
              <w:t>357/14</w:t>
            </w:r>
            <w:r w:rsidR="00795041" w:rsidRPr="00AD7238">
              <w:rPr>
                <w:rFonts w:ascii="Arial Narrow" w:hAnsi="Arial Narrow"/>
                <w:color w:val="000000"/>
                <w:sz w:val="20"/>
                <w:szCs w:val="18"/>
              </w:rPr>
              <w:t>,</w:t>
            </w:r>
            <w:r w:rsidRPr="00AD7238">
              <w:rPr>
                <w:rFonts w:ascii="Arial Narrow" w:hAnsi="Arial Narrow"/>
                <w:color w:val="000000"/>
                <w:sz w:val="20"/>
                <w:szCs w:val="18"/>
              </w:rPr>
              <w:t>645</w:t>
            </w:r>
          </w:p>
        </w:tc>
        <w:tc>
          <w:tcPr>
            <w:tcW w:w="625" w:type="pct"/>
            <w:tcBorders>
              <w:top w:val="single" w:sz="4" w:space="0" w:color="auto"/>
              <w:left w:val="single" w:sz="4" w:space="0" w:color="auto"/>
              <w:bottom w:val="single" w:sz="4" w:space="0" w:color="auto"/>
              <w:right w:val="single" w:sz="4" w:space="0" w:color="auto"/>
            </w:tcBorders>
            <w:vAlign w:val="center"/>
          </w:tcPr>
          <w:p w14:paraId="2EDC9DE2" w14:textId="7C50FC63" w:rsidR="00D73D20" w:rsidRPr="00AD7238" w:rsidRDefault="00530D5E"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37</w:t>
            </w:r>
            <w:r w:rsidR="00686E6A" w:rsidRPr="00AD7238">
              <w:rPr>
                <w:rFonts w:ascii="Arial Narrow" w:hAnsi="Arial Narrow"/>
                <w:color w:val="000000"/>
                <w:sz w:val="20"/>
                <w:szCs w:val="18"/>
              </w:rPr>
              <w:t>/14</w:t>
            </w:r>
            <w:r w:rsidR="00795041" w:rsidRPr="00AD7238">
              <w:rPr>
                <w:rFonts w:ascii="Arial Narrow" w:hAnsi="Arial Narrow"/>
                <w:color w:val="000000"/>
                <w:sz w:val="20"/>
                <w:szCs w:val="18"/>
              </w:rPr>
              <w:t>,</w:t>
            </w:r>
            <w:r w:rsidR="00686E6A" w:rsidRPr="00AD7238">
              <w:rPr>
                <w:rFonts w:ascii="Arial Narrow" w:hAnsi="Arial Narrow"/>
                <w:color w:val="000000"/>
                <w:sz w:val="20"/>
                <w:szCs w:val="18"/>
              </w:rPr>
              <w:t>660</w:t>
            </w:r>
          </w:p>
        </w:tc>
        <w:tc>
          <w:tcPr>
            <w:tcW w:w="780" w:type="pct"/>
            <w:tcBorders>
              <w:top w:val="single" w:sz="4" w:space="0" w:color="auto"/>
              <w:left w:val="single" w:sz="4" w:space="0" w:color="auto"/>
              <w:bottom w:val="single" w:sz="4" w:space="0" w:color="auto"/>
              <w:right w:val="single" w:sz="4" w:space="0" w:color="auto"/>
            </w:tcBorders>
            <w:vAlign w:val="center"/>
          </w:tcPr>
          <w:p w14:paraId="60A1BAB8" w14:textId="246A0E4D" w:rsidR="00D73D20" w:rsidRPr="00AD7238" w:rsidRDefault="00686E6A"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36.71</w:t>
            </w:r>
            <w:r w:rsidR="00557FC8" w:rsidRPr="00AD7238">
              <w:rPr>
                <w:rFonts w:ascii="Arial Narrow" w:hAnsi="Arial Narrow"/>
                <w:color w:val="000000"/>
                <w:sz w:val="20"/>
                <w:szCs w:val="18"/>
              </w:rPr>
              <w:t xml:space="preserve"> (26.50, 52.37)</w:t>
            </w:r>
          </w:p>
        </w:tc>
        <w:tc>
          <w:tcPr>
            <w:tcW w:w="546" w:type="pct"/>
            <w:tcBorders>
              <w:top w:val="single" w:sz="4" w:space="0" w:color="auto"/>
              <w:left w:val="single" w:sz="4" w:space="0" w:color="auto"/>
              <w:bottom w:val="single" w:sz="4" w:space="0" w:color="auto"/>
              <w:right w:val="single" w:sz="4" w:space="0" w:color="auto"/>
            </w:tcBorders>
            <w:vAlign w:val="center"/>
          </w:tcPr>
          <w:p w14:paraId="378519F5" w14:textId="13B3729F" w:rsidR="00D73D20" w:rsidRPr="00AD7238" w:rsidRDefault="002F3F17"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92.66</w:t>
            </w:r>
          </w:p>
        </w:tc>
        <w:tc>
          <w:tcPr>
            <w:tcW w:w="546" w:type="pct"/>
            <w:tcBorders>
              <w:top w:val="single" w:sz="4" w:space="0" w:color="auto"/>
              <w:left w:val="single" w:sz="4" w:space="0" w:color="auto"/>
              <w:bottom w:val="single" w:sz="4" w:space="0" w:color="auto"/>
              <w:right w:val="single" w:sz="4" w:space="0" w:color="auto"/>
            </w:tcBorders>
            <w:vAlign w:val="center"/>
          </w:tcPr>
          <w:p w14:paraId="0841A22D" w14:textId="6640FEA6" w:rsidR="00D73D20" w:rsidRPr="00AD7238" w:rsidRDefault="002F3F17"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2.52</w:t>
            </w:r>
          </w:p>
        </w:tc>
        <w:tc>
          <w:tcPr>
            <w:tcW w:w="539" w:type="pct"/>
            <w:tcBorders>
              <w:top w:val="single" w:sz="4" w:space="0" w:color="auto"/>
              <w:left w:val="single" w:sz="4" w:space="0" w:color="auto"/>
              <w:bottom w:val="single" w:sz="4" w:space="0" w:color="auto"/>
              <w:right w:val="single" w:sz="4" w:space="0" w:color="auto"/>
            </w:tcBorders>
            <w:vAlign w:val="center"/>
          </w:tcPr>
          <w:p w14:paraId="58F7477A" w14:textId="66760BAE" w:rsidR="00D73D20" w:rsidRPr="00AD7238" w:rsidRDefault="002F3F17"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90.14</w:t>
            </w:r>
          </w:p>
        </w:tc>
      </w:tr>
      <w:tr w:rsidR="00D73D20" w:rsidRPr="00AD7238" w14:paraId="69DD62F5"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72DEE1" w14:textId="59AB0932" w:rsidR="00D73D20" w:rsidRPr="00AD7238" w:rsidRDefault="00A948BD" w:rsidP="00322CDD">
            <w:pPr>
              <w:keepNext/>
              <w:keepLines/>
              <w:rPr>
                <w:rFonts w:ascii="Arial Narrow" w:hAnsi="Arial Narrow"/>
                <w:color w:val="000000"/>
                <w:sz w:val="20"/>
                <w:szCs w:val="18"/>
              </w:rPr>
            </w:pPr>
            <w:r w:rsidRPr="00AD7238">
              <w:rPr>
                <w:rFonts w:ascii="Arial Narrow" w:hAnsi="Arial Narrow"/>
                <w:b/>
                <w:color w:val="000000"/>
                <w:sz w:val="20"/>
                <w:szCs w:val="18"/>
              </w:rPr>
              <w:t>Injection site swelling (any)</w:t>
            </w:r>
          </w:p>
        </w:tc>
      </w:tr>
      <w:tr w:rsidR="00D73D20" w:rsidRPr="00AD7238" w14:paraId="288B351B"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6D2A4FB5"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14:paraId="0B40B284" w14:textId="596F990C" w:rsidR="00D73D20" w:rsidRPr="00AD7238" w:rsidRDefault="00A948BD"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w:t>
            </w:r>
            <w:r w:rsidR="00795041" w:rsidRPr="00AD7238">
              <w:rPr>
                <w:rFonts w:ascii="Arial Narrow" w:hAnsi="Arial Narrow"/>
                <w:color w:val="000000"/>
                <w:sz w:val="20"/>
                <w:szCs w:val="18"/>
              </w:rPr>
              <w:t>,</w:t>
            </w:r>
            <w:r w:rsidRPr="00AD7238">
              <w:rPr>
                <w:rFonts w:ascii="Arial Narrow" w:hAnsi="Arial Narrow"/>
                <w:color w:val="000000"/>
                <w:sz w:val="20"/>
                <w:szCs w:val="18"/>
              </w:rPr>
              <w:t>014/14</w:t>
            </w:r>
            <w:r w:rsidR="00795041" w:rsidRPr="00AD7238">
              <w:rPr>
                <w:rFonts w:ascii="Arial Narrow" w:hAnsi="Arial Narrow"/>
                <w:color w:val="000000"/>
                <w:sz w:val="20"/>
                <w:szCs w:val="18"/>
              </w:rPr>
              <w:t>,</w:t>
            </w:r>
            <w:r w:rsidRPr="00AD7238">
              <w:rPr>
                <w:rFonts w:ascii="Arial Narrow" w:hAnsi="Arial Narrow"/>
                <w:color w:val="000000"/>
                <w:sz w:val="20"/>
                <w:szCs w:val="18"/>
              </w:rPr>
              <w:t>645</w:t>
            </w:r>
          </w:p>
        </w:tc>
        <w:tc>
          <w:tcPr>
            <w:tcW w:w="625" w:type="pct"/>
            <w:tcBorders>
              <w:top w:val="single" w:sz="4" w:space="0" w:color="auto"/>
              <w:left w:val="single" w:sz="4" w:space="0" w:color="auto"/>
              <w:bottom w:val="single" w:sz="4" w:space="0" w:color="auto"/>
              <w:right w:val="single" w:sz="4" w:space="0" w:color="auto"/>
            </w:tcBorders>
            <w:vAlign w:val="center"/>
          </w:tcPr>
          <w:p w14:paraId="4C0D2AD3" w14:textId="54026E5E" w:rsidR="00D73D20" w:rsidRPr="00AD7238" w:rsidRDefault="005A65E4"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22/14</w:t>
            </w:r>
            <w:r w:rsidR="00795041" w:rsidRPr="00AD7238">
              <w:rPr>
                <w:rFonts w:ascii="Arial Narrow" w:hAnsi="Arial Narrow"/>
                <w:color w:val="000000"/>
                <w:sz w:val="20"/>
                <w:szCs w:val="18"/>
              </w:rPr>
              <w:t>,</w:t>
            </w:r>
            <w:r w:rsidRPr="00AD7238">
              <w:rPr>
                <w:rFonts w:ascii="Arial Narrow" w:hAnsi="Arial Narrow"/>
                <w:color w:val="000000"/>
                <w:sz w:val="20"/>
                <w:szCs w:val="18"/>
              </w:rPr>
              <w:t>660</w:t>
            </w:r>
          </w:p>
        </w:tc>
        <w:tc>
          <w:tcPr>
            <w:tcW w:w="780" w:type="pct"/>
            <w:tcBorders>
              <w:top w:val="single" w:sz="4" w:space="0" w:color="auto"/>
              <w:left w:val="single" w:sz="4" w:space="0" w:color="auto"/>
              <w:bottom w:val="single" w:sz="4" w:space="0" w:color="auto"/>
              <w:right w:val="single" w:sz="4" w:space="0" w:color="auto"/>
            </w:tcBorders>
            <w:vAlign w:val="center"/>
          </w:tcPr>
          <w:p w14:paraId="3030B553" w14:textId="4C9ADEBB" w:rsidR="00D73D20" w:rsidRPr="00AD7238" w:rsidRDefault="005A65E4"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46.14</w:t>
            </w:r>
            <w:r w:rsidR="00557FC8" w:rsidRPr="00AD7238">
              <w:rPr>
                <w:rFonts w:ascii="Arial Narrow" w:hAnsi="Arial Narrow"/>
                <w:color w:val="000000"/>
                <w:sz w:val="20"/>
                <w:szCs w:val="18"/>
              </w:rPr>
              <w:t xml:space="preserve"> (</w:t>
            </w:r>
            <w:r w:rsidR="00CF6067" w:rsidRPr="00AD7238">
              <w:rPr>
                <w:rFonts w:ascii="Arial Narrow" w:hAnsi="Arial Narrow"/>
                <w:color w:val="000000"/>
                <w:sz w:val="20"/>
                <w:szCs w:val="18"/>
              </w:rPr>
              <w:t>30.30, 73.96)</w:t>
            </w:r>
          </w:p>
        </w:tc>
        <w:tc>
          <w:tcPr>
            <w:tcW w:w="546" w:type="pct"/>
            <w:tcBorders>
              <w:top w:val="single" w:sz="4" w:space="0" w:color="auto"/>
              <w:left w:val="single" w:sz="4" w:space="0" w:color="auto"/>
              <w:bottom w:val="single" w:sz="4" w:space="0" w:color="auto"/>
              <w:right w:val="single" w:sz="4" w:space="0" w:color="auto"/>
            </w:tcBorders>
            <w:vAlign w:val="center"/>
          </w:tcPr>
          <w:p w14:paraId="57A8EE5E" w14:textId="6C5F82D9" w:rsidR="00D73D20" w:rsidRPr="00AD7238" w:rsidRDefault="00330467" w:rsidP="00322CDD">
            <w:pPr>
              <w:keepNext/>
              <w:keepLines/>
              <w:jc w:val="center"/>
              <w:rPr>
                <w:rFonts w:ascii="Arial Narrow" w:hAnsi="Arial Narrow"/>
                <w:color w:val="000000"/>
                <w:sz w:val="20"/>
                <w:szCs w:val="18"/>
              </w:rPr>
            </w:pPr>
            <w:r w:rsidRPr="00AD7238">
              <w:rPr>
                <w:rFonts w:ascii="Arial Narrow" w:hAnsi="Arial Narrow"/>
                <w:color w:val="000000"/>
                <w:sz w:val="20"/>
              </w:rPr>
              <w:t>69.24</w:t>
            </w:r>
          </w:p>
        </w:tc>
        <w:tc>
          <w:tcPr>
            <w:tcW w:w="546" w:type="pct"/>
            <w:tcBorders>
              <w:top w:val="single" w:sz="4" w:space="0" w:color="auto"/>
              <w:left w:val="single" w:sz="4" w:space="0" w:color="auto"/>
              <w:bottom w:val="single" w:sz="4" w:space="0" w:color="auto"/>
              <w:right w:val="single" w:sz="4" w:space="0" w:color="auto"/>
            </w:tcBorders>
            <w:vAlign w:val="center"/>
          </w:tcPr>
          <w:p w14:paraId="06CD755A" w14:textId="272BB3A6" w:rsidR="00D73D20" w:rsidRPr="00AD7238" w:rsidRDefault="00330467" w:rsidP="00322CDD">
            <w:pPr>
              <w:keepNext/>
              <w:keepLines/>
              <w:jc w:val="center"/>
              <w:rPr>
                <w:rFonts w:ascii="Arial Narrow" w:hAnsi="Arial Narrow"/>
                <w:color w:val="000000"/>
                <w:sz w:val="20"/>
                <w:szCs w:val="18"/>
              </w:rPr>
            </w:pPr>
            <w:r w:rsidRPr="00AD7238">
              <w:rPr>
                <w:rFonts w:ascii="Arial Narrow" w:hAnsi="Arial Narrow"/>
                <w:color w:val="000000"/>
                <w:sz w:val="20"/>
              </w:rPr>
              <w:t>1.50</w:t>
            </w:r>
          </w:p>
        </w:tc>
        <w:tc>
          <w:tcPr>
            <w:tcW w:w="539" w:type="pct"/>
            <w:tcBorders>
              <w:top w:val="single" w:sz="4" w:space="0" w:color="auto"/>
              <w:left w:val="single" w:sz="4" w:space="0" w:color="auto"/>
              <w:bottom w:val="single" w:sz="4" w:space="0" w:color="auto"/>
              <w:right w:val="single" w:sz="4" w:space="0" w:color="auto"/>
            </w:tcBorders>
            <w:vAlign w:val="center"/>
          </w:tcPr>
          <w:p w14:paraId="131BB213" w14:textId="5297A1AC" w:rsidR="00D73D20" w:rsidRPr="00AD7238" w:rsidRDefault="00330467" w:rsidP="00322CDD">
            <w:pPr>
              <w:keepNext/>
              <w:keepLines/>
              <w:jc w:val="center"/>
              <w:rPr>
                <w:rFonts w:ascii="Arial Narrow" w:hAnsi="Arial Narrow"/>
                <w:color w:val="000000"/>
                <w:sz w:val="20"/>
                <w:szCs w:val="18"/>
              </w:rPr>
            </w:pPr>
            <w:r w:rsidRPr="00AD7238">
              <w:rPr>
                <w:rFonts w:ascii="Arial Narrow" w:hAnsi="Arial Narrow"/>
                <w:color w:val="000000"/>
                <w:sz w:val="20"/>
              </w:rPr>
              <w:t>67.74</w:t>
            </w:r>
          </w:p>
        </w:tc>
      </w:tr>
      <w:tr w:rsidR="00D73D20" w:rsidRPr="00AD7238" w14:paraId="16F9D3E5" w14:textId="7777777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811B1B"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b/>
                <w:color w:val="000000"/>
                <w:sz w:val="20"/>
                <w:szCs w:val="18"/>
              </w:rPr>
              <w:t>Serious adverse events, at least one symptom</w:t>
            </w:r>
          </w:p>
        </w:tc>
      </w:tr>
      <w:tr w:rsidR="00D73D20" w:rsidRPr="00AD7238" w14:paraId="2889C298" w14:textId="77777777">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0942C00D" w14:textId="77777777" w:rsidR="00D73D20" w:rsidRPr="00AD7238" w:rsidRDefault="00D73D20" w:rsidP="00322CDD">
            <w:pPr>
              <w:keepNext/>
              <w:keepLines/>
              <w:rPr>
                <w:rFonts w:ascii="Arial Narrow" w:hAnsi="Arial Narrow"/>
                <w:color w:val="000000"/>
                <w:sz w:val="20"/>
                <w:szCs w:val="18"/>
              </w:rPr>
            </w:pPr>
            <w:r w:rsidRPr="00AD7238">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14:paraId="60CE6D9D" w14:textId="625C45A4" w:rsidR="00D73D20" w:rsidRPr="00AD7238" w:rsidRDefault="00A86A1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w:t>
            </w:r>
            <w:r w:rsidR="00795041" w:rsidRPr="00AD7238">
              <w:rPr>
                <w:rFonts w:ascii="Arial Narrow" w:hAnsi="Arial Narrow"/>
                <w:color w:val="000000"/>
                <w:sz w:val="20"/>
                <w:szCs w:val="18"/>
              </w:rPr>
              <w:t>,</w:t>
            </w:r>
            <w:r w:rsidRPr="00AD7238">
              <w:rPr>
                <w:rFonts w:ascii="Arial Narrow" w:hAnsi="Arial Narrow"/>
                <w:color w:val="000000"/>
                <w:sz w:val="20"/>
                <w:szCs w:val="18"/>
              </w:rPr>
              <w:t>482/14</w:t>
            </w:r>
            <w:r w:rsidR="00795041" w:rsidRPr="00AD7238">
              <w:rPr>
                <w:rFonts w:ascii="Arial Narrow" w:hAnsi="Arial Narrow"/>
                <w:color w:val="000000"/>
                <w:sz w:val="20"/>
                <w:szCs w:val="18"/>
              </w:rPr>
              <w:t>,</w:t>
            </w:r>
            <w:r w:rsidRPr="00AD7238">
              <w:rPr>
                <w:rFonts w:ascii="Arial Narrow" w:hAnsi="Arial Narrow"/>
                <w:color w:val="000000"/>
                <w:sz w:val="20"/>
                <w:szCs w:val="18"/>
              </w:rPr>
              <w:t>645</w:t>
            </w:r>
          </w:p>
        </w:tc>
        <w:tc>
          <w:tcPr>
            <w:tcW w:w="625" w:type="pct"/>
            <w:tcBorders>
              <w:top w:val="single" w:sz="4" w:space="0" w:color="auto"/>
              <w:left w:val="single" w:sz="4" w:space="0" w:color="auto"/>
              <w:bottom w:val="single" w:sz="4" w:space="0" w:color="auto"/>
              <w:right w:val="single" w:sz="4" w:space="0" w:color="auto"/>
            </w:tcBorders>
            <w:vAlign w:val="center"/>
          </w:tcPr>
          <w:p w14:paraId="6A501765" w14:textId="5EBEAD12" w:rsidR="00D73D20" w:rsidRPr="00AD7238" w:rsidRDefault="00A86A10" w:rsidP="00322CDD">
            <w:pPr>
              <w:keepNext/>
              <w:keepLines/>
              <w:jc w:val="center"/>
              <w:rPr>
                <w:rFonts w:ascii="Arial Narrow" w:hAnsi="Arial Narrow"/>
                <w:color w:val="000000"/>
                <w:sz w:val="20"/>
                <w:szCs w:val="18"/>
              </w:rPr>
            </w:pPr>
            <w:r w:rsidRPr="00AD7238">
              <w:rPr>
                <w:rFonts w:ascii="Arial Narrow" w:hAnsi="Arial Narrow"/>
                <w:color w:val="000000"/>
                <w:sz w:val="20"/>
                <w:szCs w:val="18"/>
              </w:rPr>
              <w:t>1</w:t>
            </w:r>
            <w:r w:rsidR="00795041" w:rsidRPr="00AD7238">
              <w:rPr>
                <w:rFonts w:ascii="Arial Narrow" w:hAnsi="Arial Narrow"/>
                <w:color w:val="000000"/>
                <w:sz w:val="20"/>
                <w:szCs w:val="18"/>
              </w:rPr>
              <w:t>,</w:t>
            </w:r>
            <w:r w:rsidRPr="00AD7238">
              <w:rPr>
                <w:rFonts w:ascii="Arial Narrow" w:hAnsi="Arial Narrow"/>
                <w:color w:val="000000"/>
                <w:sz w:val="20"/>
                <w:szCs w:val="18"/>
              </w:rPr>
              <w:t>525/14</w:t>
            </w:r>
            <w:r w:rsidR="00795041" w:rsidRPr="00AD7238">
              <w:rPr>
                <w:rFonts w:ascii="Arial Narrow" w:hAnsi="Arial Narrow"/>
                <w:color w:val="000000"/>
                <w:sz w:val="20"/>
                <w:szCs w:val="18"/>
              </w:rPr>
              <w:t>,</w:t>
            </w:r>
            <w:r w:rsidRPr="00AD7238">
              <w:rPr>
                <w:rFonts w:ascii="Arial Narrow" w:hAnsi="Arial Narrow"/>
                <w:color w:val="000000"/>
                <w:sz w:val="20"/>
                <w:szCs w:val="18"/>
              </w:rPr>
              <w:t>660</w:t>
            </w:r>
          </w:p>
        </w:tc>
        <w:tc>
          <w:tcPr>
            <w:tcW w:w="780" w:type="pct"/>
            <w:tcBorders>
              <w:top w:val="single" w:sz="4" w:space="0" w:color="auto"/>
              <w:left w:val="single" w:sz="4" w:space="0" w:color="auto"/>
              <w:bottom w:val="single" w:sz="4" w:space="0" w:color="auto"/>
              <w:right w:val="single" w:sz="4" w:space="0" w:color="auto"/>
            </w:tcBorders>
            <w:vAlign w:val="center"/>
          </w:tcPr>
          <w:p w14:paraId="1D9E6518" w14:textId="2A112B8E" w:rsidR="00D73D20" w:rsidRPr="00AD7238" w:rsidRDefault="00A86A10" w:rsidP="00322CDD">
            <w:pPr>
              <w:pStyle w:val="Tabletext"/>
              <w:keepNext/>
              <w:keepLines/>
              <w:jc w:val="center"/>
              <w:rPr>
                <w:rFonts w:cs="Arial"/>
                <w:color w:val="000000"/>
                <w:szCs w:val="18"/>
              </w:rPr>
            </w:pPr>
            <w:r w:rsidRPr="00AD7238">
              <w:rPr>
                <w:rFonts w:cs="Arial"/>
                <w:color w:val="000000"/>
                <w:szCs w:val="18"/>
              </w:rPr>
              <w:t>0.97 (0.91, 1.05)</w:t>
            </w:r>
          </w:p>
        </w:tc>
        <w:tc>
          <w:tcPr>
            <w:tcW w:w="546" w:type="pct"/>
            <w:tcBorders>
              <w:top w:val="single" w:sz="4" w:space="0" w:color="auto"/>
              <w:left w:val="single" w:sz="4" w:space="0" w:color="auto"/>
              <w:bottom w:val="single" w:sz="4" w:space="0" w:color="auto"/>
              <w:right w:val="single" w:sz="4" w:space="0" w:color="auto"/>
            </w:tcBorders>
            <w:vAlign w:val="center"/>
          </w:tcPr>
          <w:p w14:paraId="609916AB" w14:textId="6FC0B422" w:rsidR="00D73D20" w:rsidRPr="00AD7238" w:rsidRDefault="00A50089" w:rsidP="00322CDD">
            <w:pPr>
              <w:keepNext/>
              <w:keepLines/>
              <w:jc w:val="center"/>
              <w:rPr>
                <w:rFonts w:ascii="Arial Narrow" w:hAnsi="Arial Narrow"/>
                <w:color w:val="000000"/>
                <w:sz w:val="20"/>
                <w:szCs w:val="18"/>
              </w:rPr>
            </w:pPr>
            <w:r w:rsidRPr="00AD7238">
              <w:rPr>
                <w:rFonts w:ascii="Arial Narrow" w:hAnsi="Arial Narrow"/>
                <w:color w:val="000000"/>
                <w:sz w:val="20"/>
              </w:rPr>
              <w:t>101.19</w:t>
            </w:r>
          </w:p>
        </w:tc>
        <w:tc>
          <w:tcPr>
            <w:tcW w:w="546" w:type="pct"/>
            <w:tcBorders>
              <w:top w:val="single" w:sz="4" w:space="0" w:color="auto"/>
              <w:left w:val="single" w:sz="4" w:space="0" w:color="auto"/>
              <w:bottom w:val="single" w:sz="4" w:space="0" w:color="auto"/>
              <w:right w:val="single" w:sz="4" w:space="0" w:color="auto"/>
            </w:tcBorders>
            <w:vAlign w:val="center"/>
          </w:tcPr>
          <w:p w14:paraId="6C078CDD" w14:textId="4ECB7C7A" w:rsidR="00D73D20" w:rsidRPr="00AD7238" w:rsidRDefault="00A50089" w:rsidP="00322CDD">
            <w:pPr>
              <w:keepNext/>
              <w:keepLines/>
              <w:jc w:val="center"/>
              <w:rPr>
                <w:rFonts w:ascii="Arial Narrow" w:hAnsi="Arial Narrow"/>
                <w:color w:val="000000"/>
                <w:sz w:val="20"/>
                <w:szCs w:val="18"/>
              </w:rPr>
            </w:pPr>
            <w:r w:rsidRPr="00AD7238">
              <w:rPr>
                <w:rFonts w:ascii="Arial Narrow" w:hAnsi="Arial Narrow"/>
                <w:color w:val="000000"/>
                <w:sz w:val="20"/>
              </w:rPr>
              <w:t>104.02</w:t>
            </w:r>
          </w:p>
        </w:tc>
        <w:tc>
          <w:tcPr>
            <w:tcW w:w="539" w:type="pct"/>
            <w:tcBorders>
              <w:top w:val="single" w:sz="4" w:space="0" w:color="auto"/>
              <w:left w:val="single" w:sz="4" w:space="0" w:color="auto"/>
              <w:bottom w:val="single" w:sz="4" w:space="0" w:color="auto"/>
              <w:right w:val="single" w:sz="4" w:space="0" w:color="auto"/>
            </w:tcBorders>
            <w:vAlign w:val="center"/>
          </w:tcPr>
          <w:p w14:paraId="78B3E5F4" w14:textId="6F734589" w:rsidR="00D73D20" w:rsidRPr="00AD7238" w:rsidRDefault="00A50089" w:rsidP="00322CDD">
            <w:pPr>
              <w:keepNext/>
              <w:keepLines/>
              <w:jc w:val="center"/>
              <w:rPr>
                <w:rFonts w:ascii="Arial Narrow" w:hAnsi="Arial Narrow"/>
                <w:color w:val="000000"/>
                <w:sz w:val="20"/>
                <w:szCs w:val="18"/>
              </w:rPr>
            </w:pPr>
            <w:r w:rsidRPr="00AD7238">
              <w:rPr>
                <w:rFonts w:ascii="Arial Narrow" w:hAnsi="Arial Narrow"/>
                <w:color w:val="000000"/>
                <w:sz w:val="20"/>
              </w:rPr>
              <w:t>-2</w:t>
            </w:r>
            <w:r w:rsidR="00EF4D5C" w:rsidRPr="00AD7238">
              <w:rPr>
                <w:rFonts w:ascii="Arial Narrow" w:hAnsi="Arial Narrow"/>
                <w:color w:val="000000"/>
                <w:sz w:val="20"/>
              </w:rPr>
              <w:t>.83</w:t>
            </w:r>
          </w:p>
        </w:tc>
      </w:tr>
    </w:tbl>
    <w:p w14:paraId="47FB0BEC" w14:textId="134225B9" w:rsidR="00D73D20" w:rsidRPr="00AD7238" w:rsidRDefault="00D73D20" w:rsidP="00322CDD">
      <w:pPr>
        <w:pStyle w:val="TableFooter"/>
        <w:keepNext/>
        <w:keepLines/>
      </w:pPr>
      <w:r w:rsidRPr="00AD7238">
        <w:t xml:space="preserve">Source: Tables 2-14, 2-15 and 2-17 p81-85, and Tables 2-23 and 2-25 p93-95 of the </w:t>
      </w:r>
      <w:r w:rsidR="00815FA2" w:rsidRPr="00AD7238">
        <w:t>re</w:t>
      </w:r>
      <w:r w:rsidRPr="00AD7238">
        <w:t>submission</w:t>
      </w:r>
      <w:r w:rsidR="000302BF" w:rsidRPr="00AD7238">
        <w:t xml:space="preserve"> and López-Fauqued (2019), Table 1 to Table 4</w:t>
      </w:r>
    </w:p>
    <w:p w14:paraId="349850BD" w14:textId="07F41C63" w:rsidR="00D73D20" w:rsidRPr="00AD7238" w:rsidRDefault="00D73D20" w:rsidP="00E77E0F">
      <w:pPr>
        <w:pStyle w:val="TableFooter"/>
        <w:keepNext/>
        <w:keepLines/>
      </w:pPr>
      <w:r w:rsidRPr="00AD7238">
        <w:rPr>
          <w:rFonts w:eastAsia="Calibri"/>
        </w:rPr>
        <w:t>CI</w:t>
      </w:r>
      <w:r w:rsidR="009E6AE9" w:rsidRPr="00AD7238">
        <w:rPr>
          <w:rFonts w:eastAsia="Calibri"/>
        </w:rPr>
        <w:t xml:space="preserve"> = </w:t>
      </w:r>
      <w:r w:rsidRPr="00AD7238">
        <w:rPr>
          <w:rFonts w:eastAsia="Calibri"/>
        </w:rPr>
        <w:t>confidence interval; HZ</w:t>
      </w:r>
      <w:r w:rsidR="009E6AE9" w:rsidRPr="00AD7238">
        <w:rPr>
          <w:rFonts w:eastAsia="Calibri"/>
        </w:rPr>
        <w:t xml:space="preserve"> = </w:t>
      </w:r>
      <w:r w:rsidRPr="00AD7238">
        <w:rPr>
          <w:rFonts w:eastAsia="Calibri"/>
        </w:rPr>
        <w:t>herpes zoster; n</w:t>
      </w:r>
      <w:r w:rsidR="009E6AE9" w:rsidRPr="00AD7238">
        <w:rPr>
          <w:rFonts w:eastAsia="Calibri"/>
        </w:rPr>
        <w:t xml:space="preserve"> = </w:t>
      </w:r>
      <w:r w:rsidRPr="00AD7238">
        <w:rPr>
          <w:rFonts w:eastAsia="Calibri"/>
        </w:rPr>
        <w:t>number of participants reporting data; N</w:t>
      </w:r>
      <w:r w:rsidR="009E6AE9" w:rsidRPr="00AD7238">
        <w:rPr>
          <w:rFonts w:eastAsia="Calibri"/>
        </w:rPr>
        <w:t xml:space="preserve"> = </w:t>
      </w:r>
      <w:r w:rsidRPr="00AD7238">
        <w:rPr>
          <w:rFonts w:eastAsia="Calibri"/>
        </w:rPr>
        <w:t>total participants in group; NR</w:t>
      </w:r>
      <w:r w:rsidR="009E6AE9" w:rsidRPr="00AD7238">
        <w:rPr>
          <w:rFonts w:eastAsia="Calibri"/>
        </w:rPr>
        <w:t xml:space="preserve"> = </w:t>
      </w:r>
      <w:r w:rsidRPr="00AD7238">
        <w:rPr>
          <w:rFonts w:eastAsia="Calibri"/>
        </w:rPr>
        <w:t>not reported; PBO</w:t>
      </w:r>
      <w:r w:rsidR="009E6AE9" w:rsidRPr="00AD7238">
        <w:rPr>
          <w:rFonts w:eastAsia="Calibri"/>
        </w:rPr>
        <w:t xml:space="preserve"> = </w:t>
      </w:r>
      <w:r w:rsidRPr="00AD7238">
        <w:rPr>
          <w:rFonts w:eastAsia="Calibri"/>
        </w:rPr>
        <w:t>placebo; PHN</w:t>
      </w:r>
      <w:r w:rsidR="009E6AE9" w:rsidRPr="00AD7238">
        <w:rPr>
          <w:rFonts w:eastAsia="Calibri"/>
        </w:rPr>
        <w:t xml:space="preserve"> = </w:t>
      </w:r>
      <w:r w:rsidRPr="00AD7238">
        <w:rPr>
          <w:rFonts w:eastAsia="Calibri"/>
        </w:rPr>
        <w:t>post-herpetic neuralgia; RD</w:t>
      </w:r>
      <w:r w:rsidR="009E6AE9" w:rsidRPr="00AD7238">
        <w:rPr>
          <w:rFonts w:eastAsia="Calibri"/>
        </w:rPr>
        <w:t xml:space="preserve"> = </w:t>
      </w:r>
      <w:r w:rsidRPr="00AD7238">
        <w:rPr>
          <w:rFonts w:eastAsia="Calibri"/>
        </w:rPr>
        <w:t>risk difference; RR</w:t>
      </w:r>
      <w:r w:rsidR="009E6AE9" w:rsidRPr="00AD7238">
        <w:rPr>
          <w:rFonts w:eastAsia="Calibri"/>
        </w:rPr>
        <w:t xml:space="preserve"> = </w:t>
      </w:r>
      <w:r w:rsidRPr="00AD7238">
        <w:rPr>
          <w:rFonts w:eastAsia="Calibri"/>
        </w:rPr>
        <w:t>relative risk</w:t>
      </w:r>
      <w:r w:rsidRPr="00AD7238">
        <w:t xml:space="preserve">; </w:t>
      </w:r>
      <w:r w:rsidRPr="00AD7238">
        <w:rPr>
          <w:rFonts w:eastAsia="Calibri"/>
        </w:rPr>
        <w:t>RZV</w:t>
      </w:r>
      <w:r w:rsidR="009E6AE9" w:rsidRPr="00AD7238">
        <w:rPr>
          <w:rFonts w:eastAsia="Calibri"/>
        </w:rPr>
        <w:t xml:space="preserve"> = </w:t>
      </w:r>
      <w:r w:rsidRPr="00AD7238">
        <w:rPr>
          <w:rFonts w:eastAsia="Calibri"/>
        </w:rPr>
        <w:t>recombinant zoster vaccine</w:t>
      </w:r>
      <w:r w:rsidRPr="00AD7238">
        <w:t xml:space="preserve"> SAE</w:t>
      </w:r>
      <w:r w:rsidR="009E6AE9" w:rsidRPr="00AD7238">
        <w:t xml:space="preserve"> = </w:t>
      </w:r>
      <w:r w:rsidRPr="00AD7238">
        <w:t xml:space="preserve">serious </w:t>
      </w:r>
    </w:p>
    <w:p w14:paraId="525E31EF" w14:textId="62A67095" w:rsidR="00D73D20" w:rsidRPr="00AD7238" w:rsidRDefault="007A005D" w:rsidP="00322CDD">
      <w:pPr>
        <w:pStyle w:val="TableFooter"/>
        <w:keepNext/>
        <w:keepLines/>
      </w:pPr>
      <w:r w:rsidRPr="007A005D">
        <w:rPr>
          <w:vertAlign w:val="superscript"/>
        </w:rPr>
        <w:t>a</w:t>
      </w:r>
      <w:r w:rsidR="00D73D20" w:rsidRPr="00AD7238">
        <w:t xml:space="preserve"> Mean duration of follow-up: ZOE-50 = 3.2 years; ZOE-70 = 3.7 years.</w:t>
      </w:r>
    </w:p>
    <w:p w14:paraId="02AE7E69" w14:textId="513918D8" w:rsidR="00D73D20" w:rsidRPr="00AD7238" w:rsidRDefault="007A005D" w:rsidP="00322CDD">
      <w:pPr>
        <w:pStyle w:val="TableFooter"/>
        <w:keepNext/>
        <w:keepLines/>
      </w:pPr>
      <w:r w:rsidRPr="007A005D">
        <w:rPr>
          <w:vertAlign w:val="superscript"/>
        </w:rPr>
        <w:t>b</w:t>
      </w:r>
      <w:r w:rsidR="00D73D20" w:rsidRPr="00AD7238">
        <w:t xml:space="preserve"> Calculated during the evaluation</w:t>
      </w:r>
    </w:p>
    <w:p w14:paraId="7B343AC9" w14:textId="26C94614" w:rsidR="00D73D20" w:rsidRPr="00AD7238" w:rsidRDefault="007A005D" w:rsidP="00322CDD">
      <w:pPr>
        <w:pStyle w:val="TableFooter"/>
        <w:keepNext/>
        <w:keepLines/>
      </w:pPr>
      <w:r>
        <w:rPr>
          <w:vertAlign w:val="superscript"/>
        </w:rPr>
        <w:t>c</w:t>
      </w:r>
      <w:r w:rsidR="003F7F02" w:rsidRPr="00AD7238">
        <w:t xml:space="preserve"> Evidence not considered by the PBAC in the 2018 submission</w:t>
      </w:r>
    </w:p>
    <w:p w14:paraId="72F86D45" w14:textId="6E91A697" w:rsidR="002C266E" w:rsidRDefault="007A005D" w:rsidP="00A107DA">
      <w:pPr>
        <w:pStyle w:val="TableFooter"/>
        <w:keepNext/>
        <w:keepLines/>
      </w:pPr>
      <w:r>
        <w:rPr>
          <w:vertAlign w:val="superscript"/>
        </w:rPr>
        <w:t>d</w:t>
      </w:r>
      <w:r w:rsidR="002C266E" w:rsidRPr="00AD7238">
        <w:rPr>
          <w:vertAlign w:val="superscript"/>
        </w:rPr>
        <w:t xml:space="preserve"> </w:t>
      </w:r>
      <w:r w:rsidR="002C266E" w:rsidRPr="00AD7238">
        <w:t>Based on data collected after at least 4 years of follow-up in ZOE-</w:t>
      </w:r>
      <w:r w:rsidR="004F1BA1" w:rsidRPr="00AD7238">
        <w:t>LTFU</w:t>
      </w:r>
      <w:r w:rsidR="002C266E" w:rsidRPr="00AD7238">
        <w:t xml:space="preserve"> and up to 10 years postvaccination in ZOE-50/70.</w:t>
      </w:r>
    </w:p>
    <w:p w14:paraId="64B0D7AE" w14:textId="5E118CCA" w:rsidR="00A107DA" w:rsidRPr="00AD7238" w:rsidRDefault="00A107DA" w:rsidP="00A107DA">
      <w:pPr>
        <w:pStyle w:val="TableFooter"/>
        <w:keepNext/>
        <w:keepLines/>
      </w:pPr>
      <w:bookmarkStart w:id="37" w:name="_Hlk137587304"/>
      <w:r>
        <w:t>*</w:t>
      </w:r>
      <w:r w:rsidR="00007E9B">
        <w:t>P</w:t>
      </w:r>
      <w:r>
        <w:t xml:space="preserve">ersons </w:t>
      </w:r>
      <w:r w:rsidRPr="00A107DA">
        <w:t>aged ≥70 YOA</w:t>
      </w:r>
    </w:p>
    <w:bookmarkEnd w:id="37"/>
    <w:p w14:paraId="1DC03D84" w14:textId="2A720A6E" w:rsidR="00D73D20" w:rsidRPr="00AD7238" w:rsidRDefault="00D73D20" w:rsidP="00D73D20">
      <w:pPr>
        <w:pStyle w:val="3-BodyText"/>
      </w:pPr>
      <w:r w:rsidRPr="00AD7238">
        <w:t xml:space="preserve">On the basis of direct evidence presented by the </w:t>
      </w:r>
      <w:r w:rsidR="009E6AE9" w:rsidRPr="00AD7238">
        <w:t>re</w:t>
      </w:r>
      <w:r w:rsidRPr="00AD7238">
        <w:t>submission, for every 1</w:t>
      </w:r>
      <w:r w:rsidR="00795041" w:rsidRPr="00AD7238">
        <w:t>,</w:t>
      </w:r>
      <w:r w:rsidRPr="00AD7238">
        <w:t>00</w:t>
      </w:r>
      <w:r w:rsidR="00DC64AA" w:rsidRPr="00AD7238">
        <w:t>0</w:t>
      </w:r>
      <w:r w:rsidRPr="00AD7238">
        <w:t xml:space="preserve"> </w:t>
      </w:r>
      <w:r w:rsidR="00D8229A">
        <w:t>individuals</w:t>
      </w:r>
      <w:r w:rsidR="00D8229A" w:rsidRPr="00AD7238">
        <w:t xml:space="preserve"> </w:t>
      </w:r>
      <w:r w:rsidRPr="00AD7238">
        <w:t>vaccinated with RZV in comparison to placebo (no vaccine) over a mean duration follow-up of 3.2 to 3.7 years:</w:t>
      </w:r>
    </w:p>
    <w:p w14:paraId="47A8E8B0" w14:textId="2C5ACF28" w:rsidR="00C76C8B" w:rsidRPr="00A65E17" w:rsidRDefault="00C76C8B" w:rsidP="00C76C8B">
      <w:pPr>
        <w:pStyle w:val="ListParagraph"/>
        <w:numPr>
          <w:ilvl w:val="0"/>
          <w:numId w:val="24"/>
        </w:numPr>
        <w:spacing w:before="40" w:after="40"/>
        <w:ind w:left="1077" w:hanging="357"/>
        <w:rPr>
          <w:iCs/>
        </w:rPr>
      </w:pPr>
      <w:r w:rsidRPr="00A65E17">
        <w:rPr>
          <w:iCs/>
        </w:rPr>
        <w:t>The number of cases of HZ would reduce by a</w:t>
      </w:r>
      <w:r w:rsidR="00D73D20" w:rsidRPr="00A65E17">
        <w:rPr>
          <w:iCs/>
        </w:rPr>
        <w:t xml:space="preserve">pproximately 8 to 9 </w:t>
      </w:r>
      <w:r w:rsidRPr="00A65E17">
        <w:rPr>
          <w:iCs/>
        </w:rPr>
        <w:t>per year</w:t>
      </w:r>
      <w:r w:rsidR="00D73D20" w:rsidRPr="00A65E17">
        <w:rPr>
          <w:iCs/>
        </w:rPr>
        <w:t>.</w:t>
      </w:r>
    </w:p>
    <w:p w14:paraId="01A3F4A4" w14:textId="6866B7E0" w:rsidR="00C76C8B" w:rsidRPr="00A65E17" w:rsidRDefault="00C76C8B" w:rsidP="00C76C8B">
      <w:pPr>
        <w:pStyle w:val="ListParagraph"/>
        <w:numPr>
          <w:ilvl w:val="0"/>
          <w:numId w:val="24"/>
        </w:numPr>
        <w:spacing w:before="40"/>
        <w:ind w:left="1077" w:hanging="357"/>
        <w:rPr>
          <w:iCs/>
        </w:rPr>
      </w:pPr>
      <w:r w:rsidRPr="00A65E17">
        <w:rPr>
          <w:iCs/>
        </w:rPr>
        <w:t>The number of cases of PHN would reduce by approximately 1 per year</w:t>
      </w:r>
    </w:p>
    <w:p w14:paraId="08249DC7" w14:textId="7406F5ED" w:rsidR="00AA73A3" w:rsidRPr="00AD7238" w:rsidRDefault="00AA73A3" w:rsidP="00AA73A3">
      <w:pPr>
        <w:pStyle w:val="3-BodyText"/>
      </w:pPr>
      <w:r w:rsidRPr="00AD7238">
        <w:t xml:space="preserve">On the basis of direct evidence presented by the </w:t>
      </w:r>
      <w:r w:rsidR="009E6AE9" w:rsidRPr="00AD7238">
        <w:t>re</w:t>
      </w:r>
      <w:r w:rsidRPr="00AD7238">
        <w:t>submission, for every 1</w:t>
      </w:r>
      <w:r w:rsidR="00795041" w:rsidRPr="00AD7238">
        <w:t>,</w:t>
      </w:r>
      <w:r w:rsidRPr="00AD7238">
        <w:t xml:space="preserve">000 </w:t>
      </w:r>
      <w:r w:rsidR="00D8229A">
        <w:t>individuals</w:t>
      </w:r>
      <w:r w:rsidR="00D8229A" w:rsidRPr="00AD7238">
        <w:t xml:space="preserve"> </w:t>
      </w:r>
      <w:r w:rsidRPr="00AD7238">
        <w:t xml:space="preserve">vaccinated with RZV in comparison to placebo (no vaccine) over a </w:t>
      </w:r>
      <w:r w:rsidR="003B4D5C" w:rsidRPr="00AD7238">
        <w:t>median</w:t>
      </w:r>
      <w:r w:rsidRPr="00AD7238">
        <w:t xml:space="preserve"> duration follow-up of </w:t>
      </w:r>
      <w:r w:rsidR="003B4D5C" w:rsidRPr="00AD7238">
        <w:t>4.4</w:t>
      </w:r>
      <w:r w:rsidRPr="00AD7238">
        <w:t xml:space="preserve"> years:</w:t>
      </w:r>
    </w:p>
    <w:p w14:paraId="2AB21767" w14:textId="57A8EED1" w:rsidR="00D73D20" w:rsidRPr="00AD7238" w:rsidRDefault="00D73D20" w:rsidP="00D5557B">
      <w:pPr>
        <w:pStyle w:val="ListParagraph"/>
        <w:numPr>
          <w:ilvl w:val="0"/>
          <w:numId w:val="24"/>
        </w:numPr>
        <w:spacing w:before="40" w:after="40"/>
        <w:ind w:left="1077" w:hanging="357"/>
      </w:pPr>
      <w:r w:rsidRPr="00AD7238">
        <w:t xml:space="preserve">Approximately </w:t>
      </w:r>
      <w:r w:rsidR="000779B4" w:rsidRPr="00AD7238">
        <w:t xml:space="preserve">36 </w:t>
      </w:r>
      <w:r w:rsidRPr="00AD7238">
        <w:t>additional individuals would experience Grade 3 pain.</w:t>
      </w:r>
    </w:p>
    <w:p w14:paraId="0D389400" w14:textId="6DC92B65" w:rsidR="00D73D20" w:rsidRPr="00AD7238" w:rsidRDefault="00D73D20" w:rsidP="00D5557B">
      <w:pPr>
        <w:pStyle w:val="ListParagraph"/>
        <w:numPr>
          <w:ilvl w:val="0"/>
          <w:numId w:val="24"/>
        </w:numPr>
        <w:spacing w:before="40" w:after="40"/>
        <w:ind w:left="1077" w:hanging="357"/>
      </w:pPr>
      <w:r w:rsidRPr="00AD7238">
        <w:t xml:space="preserve">Approximately </w:t>
      </w:r>
      <w:r w:rsidR="000779B4" w:rsidRPr="00AD7238">
        <w:t xml:space="preserve">90 </w:t>
      </w:r>
      <w:r w:rsidRPr="00AD7238">
        <w:t xml:space="preserve">additional individuals would experience </w:t>
      </w:r>
      <w:r w:rsidR="000779B4" w:rsidRPr="00AD7238">
        <w:t>any injection site erythema</w:t>
      </w:r>
      <w:r w:rsidRPr="00AD7238">
        <w:t>.</w:t>
      </w:r>
    </w:p>
    <w:p w14:paraId="4E9285B6" w14:textId="63FE5E22" w:rsidR="00D73D20" w:rsidRPr="00AD7238" w:rsidRDefault="00D73D20" w:rsidP="00D5557B">
      <w:pPr>
        <w:pStyle w:val="ListParagraph"/>
        <w:numPr>
          <w:ilvl w:val="0"/>
          <w:numId w:val="24"/>
        </w:numPr>
        <w:spacing w:before="40"/>
        <w:ind w:left="1077" w:hanging="357"/>
      </w:pPr>
      <w:r w:rsidRPr="00AD7238">
        <w:lastRenderedPageBreak/>
        <w:t xml:space="preserve">Approximately </w:t>
      </w:r>
      <w:r w:rsidR="000779B4" w:rsidRPr="00AD7238">
        <w:t xml:space="preserve">68 </w:t>
      </w:r>
      <w:r w:rsidRPr="00AD7238">
        <w:t xml:space="preserve">additional individuals would experience </w:t>
      </w:r>
      <w:r w:rsidR="000779B4" w:rsidRPr="00AD7238">
        <w:t>any injection site swelling</w:t>
      </w:r>
      <w:r w:rsidRPr="00AD7238">
        <w:t>.</w:t>
      </w:r>
    </w:p>
    <w:p w14:paraId="66207C6B" w14:textId="066F95FA" w:rsidR="00D73D20" w:rsidRPr="00CD2D4D" w:rsidRDefault="00CD2D4D" w:rsidP="00D73D20">
      <w:pPr>
        <w:pStyle w:val="3-BodyText"/>
      </w:pPr>
      <w:r w:rsidRPr="00A65E17">
        <w:rPr>
          <w:iCs/>
        </w:rPr>
        <w:t xml:space="preserve">The long-term follow-up results suggest a reduction in vaccine efficacy over time. </w:t>
      </w:r>
    </w:p>
    <w:p w14:paraId="70926782" w14:textId="4F8EE874" w:rsidR="00D73D20" w:rsidRPr="00AD7238" w:rsidRDefault="00D73D20" w:rsidP="00D73D20">
      <w:pPr>
        <w:pStyle w:val="4-SubsectionHeading"/>
      </w:pPr>
      <w:bookmarkStart w:id="38" w:name="_Toc22897644"/>
      <w:bookmarkStart w:id="39" w:name="_Toc124949416"/>
      <w:r w:rsidRPr="00AD7238">
        <w:t>Clinical claim</w:t>
      </w:r>
      <w:bookmarkEnd w:id="38"/>
      <w:bookmarkEnd w:id="39"/>
    </w:p>
    <w:p w14:paraId="071E6792" w14:textId="4A156861" w:rsidR="00D5557B" w:rsidRDefault="00D73D20" w:rsidP="00D73D20">
      <w:pPr>
        <w:pStyle w:val="3-BodyText"/>
        <w:rPr>
          <w:rFonts w:eastAsia="Calibri"/>
          <w:iCs/>
        </w:rPr>
      </w:pPr>
      <w:r w:rsidRPr="00AD7238">
        <w:rPr>
          <w:rFonts w:eastAsia="Calibri"/>
        </w:rPr>
        <w:t xml:space="preserve">The </w:t>
      </w:r>
      <w:r w:rsidR="00AC0D88" w:rsidRPr="00AD7238">
        <w:rPr>
          <w:rFonts w:eastAsia="Calibri"/>
        </w:rPr>
        <w:t>re</w:t>
      </w:r>
      <w:r w:rsidRPr="00AD7238">
        <w:rPr>
          <w:rFonts w:eastAsia="Calibri"/>
        </w:rPr>
        <w:t xml:space="preserve">submission described RZV as superior in terms of effectiveness compared with placebo and slightly inferior in terms of safety compared to no vaccine (placebo) for the proposed NIP populations: </w:t>
      </w:r>
      <w:r w:rsidR="00D2087C" w:rsidRPr="00AD7238">
        <w:rPr>
          <w:rFonts w:eastAsia="Calibri"/>
        </w:rPr>
        <w:t>n</w:t>
      </w:r>
      <w:r w:rsidRPr="00AD7238">
        <w:rPr>
          <w:rFonts w:eastAsia="Calibri"/>
        </w:rPr>
        <w:t xml:space="preserve">on-Indigenous adults ≥65 </w:t>
      </w:r>
      <w:r w:rsidR="00357FC9">
        <w:rPr>
          <w:rFonts w:eastAsia="Calibri"/>
        </w:rPr>
        <w:t>YOA</w:t>
      </w:r>
      <w:r w:rsidRPr="00AD7238">
        <w:rPr>
          <w:rFonts w:eastAsia="Calibri"/>
        </w:rPr>
        <w:t xml:space="preserve">, and Aboriginal and Torres Strait Islander adults ≥50 </w:t>
      </w:r>
      <w:r w:rsidR="00357FC9">
        <w:rPr>
          <w:rFonts w:eastAsia="Calibri"/>
        </w:rPr>
        <w:t>YOA</w:t>
      </w:r>
      <w:r w:rsidRPr="00615B0D">
        <w:rPr>
          <w:rFonts w:eastAsia="Calibri"/>
          <w:iCs/>
        </w:rPr>
        <w:t xml:space="preserve">. </w:t>
      </w:r>
    </w:p>
    <w:p w14:paraId="3B99C769" w14:textId="7954C4CB" w:rsidR="00D73D20" w:rsidRPr="00615B0D" w:rsidRDefault="00D73D20" w:rsidP="00D73D20">
      <w:pPr>
        <w:pStyle w:val="3-BodyText"/>
        <w:rPr>
          <w:rFonts w:eastAsia="Calibri"/>
          <w:iCs/>
        </w:rPr>
      </w:pPr>
      <w:r w:rsidRPr="00615B0D">
        <w:rPr>
          <w:rFonts w:eastAsia="Calibri"/>
          <w:iCs/>
        </w:rPr>
        <w:t>Th</w:t>
      </w:r>
      <w:r w:rsidR="00D5557B">
        <w:rPr>
          <w:rFonts w:eastAsia="Calibri"/>
          <w:iCs/>
        </w:rPr>
        <w:t xml:space="preserve">e </w:t>
      </w:r>
      <w:r w:rsidR="00D5557B" w:rsidRPr="00A65E17">
        <w:rPr>
          <w:rFonts w:eastAsia="Calibri"/>
        </w:rPr>
        <w:t>ESC considered th</w:t>
      </w:r>
      <w:r w:rsidR="00F17E55" w:rsidRPr="00A65E17">
        <w:rPr>
          <w:rFonts w:eastAsia="Calibri"/>
        </w:rPr>
        <w:t>e</w:t>
      </w:r>
      <w:r w:rsidRPr="00615B0D">
        <w:rPr>
          <w:rFonts w:eastAsia="Calibri"/>
          <w:iCs/>
        </w:rPr>
        <w:t xml:space="preserve"> claim </w:t>
      </w:r>
      <w:r w:rsidR="00D5557B" w:rsidRPr="00A65E17">
        <w:rPr>
          <w:rFonts w:eastAsia="Calibri"/>
        </w:rPr>
        <w:t>of superior effectiveness</w:t>
      </w:r>
      <w:r w:rsidR="00D5557B">
        <w:rPr>
          <w:rFonts w:eastAsia="Calibri"/>
          <w:iCs/>
        </w:rPr>
        <w:t xml:space="preserve"> </w:t>
      </w:r>
      <w:r w:rsidRPr="00615B0D">
        <w:rPr>
          <w:rFonts w:eastAsia="Calibri"/>
          <w:iCs/>
        </w:rPr>
        <w:t xml:space="preserve">was adequately </w:t>
      </w:r>
      <w:r w:rsidR="006E5C04" w:rsidRPr="00615B0D">
        <w:rPr>
          <w:rFonts w:eastAsia="Calibri"/>
          <w:iCs/>
        </w:rPr>
        <w:t>supported</w:t>
      </w:r>
      <w:r w:rsidR="00D5557B">
        <w:rPr>
          <w:rFonts w:eastAsia="Calibri"/>
          <w:iCs/>
        </w:rPr>
        <w:t xml:space="preserve"> </w:t>
      </w:r>
      <w:r w:rsidR="00D5557B" w:rsidRPr="00A65E17">
        <w:rPr>
          <w:rFonts w:eastAsia="Calibri"/>
        </w:rPr>
        <w:t>for the proposed NIP populations</w:t>
      </w:r>
      <w:r w:rsidR="006E5C04" w:rsidRPr="00615B0D">
        <w:rPr>
          <w:rFonts w:eastAsia="Calibri"/>
          <w:iCs/>
        </w:rPr>
        <w:t>;</w:t>
      </w:r>
      <w:r w:rsidRPr="00615B0D">
        <w:rPr>
          <w:rFonts w:eastAsia="Calibri"/>
          <w:iCs/>
        </w:rPr>
        <w:t xml:space="preserve"> however</w:t>
      </w:r>
      <w:r w:rsidR="00D5557B">
        <w:rPr>
          <w:rFonts w:eastAsia="Calibri"/>
          <w:iCs/>
        </w:rPr>
        <w:t>,</w:t>
      </w:r>
      <w:r w:rsidRPr="00615B0D">
        <w:rPr>
          <w:rFonts w:eastAsia="Calibri"/>
          <w:iCs/>
        </w:rPr>
        <w:t xml:space="preserve"> </w:t>
      </w:r>
      <w:r w:rsidR="00D5557B">
        <w:rPr>
          <w:rFonts w:eastAsia="Calibri"/>
          <w:iCs/>
        </w:rPr>
        <w:t>there was</w:t>
      </w:r>
      <w:r w:rsidR="00024DE7">
        <w:rPr>
          <w:rFonts w:eastAsia="Calibri"/>
          <w:iCs/>
        </w:rPr>
        <w:t xml:space="preserve"> </w:t>
      </w:r>
      <w:r w:rsidRPr="00615B0D">
        <w:rPr>
          <w:rFonts w:eastAsia="Calibri"/>
          <w:iCs/>
        </w:rPr>
        <w:t xml:space="preserve">some uncertainty </w:t>
      </w:r>
      <w:r w:rsidR="0055426F" w:rsidRPr="00615B0D">
        <w:rPr>
          <w:rFonts w:eastAsia="Calibri"/>
          <w:iCs/>
        </w:rPr>
        <w:t>regarding the magnitude of benefit</w:t>
      </w:r>
      <w:r w:rsidR="00D5557B">
        <w:rPr>
          <w:rFonts w:eastAsia="Calibri"/>
          <w:iCs/>
        </w:rPr>
        <w:t>:</w:t>
      </w:r>
      <w:r w:rsidRPr="00615B0D">
        <w:rPr>
          <w:rFonts w:eastAsia="Calibri"/>
          <w:iCs/>
        </w:rPr>
        <w:t xml:space="preserve"> </w:t>
      </w:r>
    </w:p>
    <w:p w14:paraId="1583D140" w14:textId="28E7E4A3" w:rsidR="00D73D20" w:rsidRPr="00615B0D" w:rsidRDefault="00D73D20" w:rsidP="00D5557B">
      <w:pPr>
        <w:pStyle w:val="ListParagraph"/>
        <w:numPr>
          <w:ilvl w:val="0"/>
          <w:numId w:val="13"/>
        </w:numPr>
        <w:rPr>
          <w:rFonts w:eastAsia="Calibri"/>
          <w:iCs/>
        </w:rPr>
      </w:pPr>
      <w:r w:rsidRPr="00615B0D">
        <w:rPr>
          <w:iCs/>
        </w:rPr>
        <w:t xml:space="preserve">The LTFU data shows a reduction in vaccine efficacy </w:t>
      </w:r>
      <w:r w:rsidR="00CD2D4D" w:rsidRPr="00A65E17">
        <w:t>over time</w:t>
      </w:r>
      <w:r w:rsidRPr="00615B0D">
        <w:rPr>
          <w:iCs/>
        </w:rPr>
        <w:t>. This creates uncertainty around the long-term efficacy of the treatment, and the need for a booster in the future, which could impact the effectiveness and cost effectiveness of RZV.</w:t>
      </w:r>
    </w:p>
    <w:p w14:paraId="7CFF5060" w14:textId="3F8D37FA" w:rsidR="00D73D20" w:rsidRPr="001B6579" w:rsidRDefault="00D73D20" w:rsidP="00D5557B">
      <w:pPr>
        <w:pStyle w:val="ListParagraph"/>
        <w:numPr>
          <w:ilvl w:val="0"/>
          <w:numId w:val="13"/>
        </w:numPr>
        <w:rPr>
          <w:iCs/>
        </w:rPr>
      </w:pPr>
      <w:r w:rsidRPr="006E790F">
        <w:rPr>
          <w:iCs/>
        </w:rPr>
        <w:t>Immunocompromised</w:t>
      </w:r>
      <w:r w:rsidR="002409AE" w:rsidRPr="006E790F">
        <w:rPr>
          <w:iCs/>
        </w:rPr>
        <w:t xml:space="preserve"> people</w:t>
      </w:r>
      <w:r w:rsidRPr="006E790F">
        <w:rPr>
          <w:iCs/>
        </w:rPr>
        <w:t xml:space="preserve"> and individuals who</w:t>
      </w:r>
      <w:r w:rsidRPr="00615B0D">
        <w:rPr>
          <w:iCs/>
        </w:rPr>
        <w:t xml:space="preserve"> have previously experienced HZ or </w:t>
      </w:r>
      <w:r w:rsidR="00AC0D88" w:rsidRPr="00615B0D">
        <w:rPr>
          <w:iCs/>
        </w:rPr>
        <w:t xml:space="preserve">have been </w:t>
      </w:r>
      <w:r w:rsidRPr="00615B0D">
        <w:rPr>
          <w:iCs/>
        </w:rPr>
        <w:t xml:space="preserve">previously </w:t>
      </w:r>
      <w:r w:rsidR="00AC0D88" w:rsidRPr="00615B0D">
        <w:rPr>
          <w:iCs/>
        </w:rPr>
        <w:t xml:space="preserve">vaccinated </w:t>
      </w:r>
      <w:r w:rsidRPr="00615B0D">
        <w:rPr>
          <w:iCs/>
        </w:rPr>
        <w:t xml:space="preserve">with ZVL were excluded from the pivotal trials. </w:t>
      </w:r>
      <w:r w:rsidR="001B6579" w:rsidRPr="00A65E17">
        <w:t>While supportive studies provided some</w:t>
      </w:r>
      <w:r w:rsidR="001B6579">
        <w:rPr>
          <w:iCs/>
        </w:rPr>
        <w:t xml:space="preserve"> e</w:t>
      </w:r>
      <w:r w:rsidRPr="00615B0D">
        <w:rPr>
          <w:iCs/>
        </w:rPr>
        <w:t xml:space="preserve">vidence to demonstrate </w:t>
      </w:r>
      <w:r w:rsidR="004776AC" w:rsidRPr="00615B0D">
        <w:rPr>
          <w:iCs/>
        </w:rPr>
        <w:t>vaccine efficacy</w:t>
      </w:r>
      <w:r w:rsidRPr="00615B0D">
        <w:rPr>
          <w:iCs/>
        </w:rPr>
        <w:t xml:space="preserve"> </w:t>
      </w:r>
      <w:r w:rsidR="0055426F" w:rsidRPr="00615B0D">
        <w:rPr>
          <w:iCs/>
        </w:rPr>
        <w:t>in these</w:t>
      </w:r>
      <w:r w:rsidR="002409AE">
        <w:rPr>
          <w:iCs/>
        </w:rPr>
        <w:t xml:space="preserve"> individuals</w:t>
      </w:r>
      <w:r w:rsidR="001B6579">
        <w:rPr>
          <w:iCs/>
        </w:rPr>
        <w:t xml:space="preserve">, </w:t>
      </w:r>
      <w:r w:rsidR="001B6579" w:rsidRPr="00A65E17">
        <w:t>many were</w:t>
      </w:r>
      <w:r w:rsidR="001B6579">
        <w:rPr>
          <w:iCs/>
        </w:rPr>
        <w:t xml:space="preserve"> </w:t>
      </w:r>
      <w:r w:rsidRPr="00615B0D">
        <w:rPr>
          <w:iCs/>
        </w:rPr>
        <w:t>immunogenicity studie</w:t>
      </w:r>
      <w:r w:rsidR="001B6579">
        <w:rPr>
          <w:iCs/>
        </w:rPr>
        <w:t xml:space="preserve">s and </w:t>
      </w:r>
      <w:r w:rsidR="001F6CD4">
        <w:rPr>
          <w:iCs/>
        </w:rPr>
        <w:t>t</w:t>
      </w:r>
      <w:r w:rsidRPr="00615B0D">
        <w:rPr>
          <w:iCs/>
        </w:rPr>
        <w:t xml:space="preserve">here is currently no validated established immunological </w:t>
      </w:r>
      <w:r w:rsidRPr="001B6579">
        <w:rPr>
          <w:iCs/>
        </w:rPr>
        <w:t xml:space="preserve">correlate of protection for HZ. </w:t>
      </w:r>
    </w:p>
    <w:p w14:paraId="601A5C97" w14:textId="01C7B991" w:rsidR="00024DE7" w:rsidRPr="00A65E17" w:rsidRDefault="00024DE7" w:rsidP="00D5557B">
      <w:pPr>
        <w:pStyle w:val="3-BodyText"/>
        <w:rPr>
          <w:iCs/>
        </w:rPr>
      </w:pPr>
      <w:r w:rsidRPr="00A65E17">
        <w:t>The ESC considered that while the supportive studies demonstrated RZV was</w:t>
      </w:r>
      <w:r w:rsidR="001B6579" w:rsidRPr="00A65E17">
        <w:t xml:space="preserve"> likely to be</w:t>
      </w:r>
      <w:r w:rsidRPr="00A65E17">
        <w:t xml:space="preserve"> effective and safe in </w:t>
      </w:r>
      <w:r w:rsidR="002E21E5" w:rsidRPr="00A65E17">
        <w:t>immunocompromised people and individuals who have previously experienced HZ or have been previously vaccinated with ZVL</w:t>
      </w:r>
      <w:r w:rsidRPr="00A65E17">
        <w:t xml:space="preserve">, it remained uncertain if the vaccine effectiveness would be as </w:t>
      </w:r>
      <w:r w:rsidR="001B6579" w:rsidRPr="00A65E17">
        <w:t>observed in the ZOE studies</w:t>
      </w:r>
      <w:r w:rsidRPr="00A65E17">
        <w:t xml:space="preserve">.  </w:t>
      </w:r>
    </w:p>
    <w:p w14:paraId="4453BABC" w14:textId="59361751" w:rsidR="00D5557B" w:rsidRDefault="00D5557B" w:rsidP="00D5557B">
      <w:pPr>
        <w:pStyle w:val="3-BodyText"/>
        <w:rPr>
          <w:iCs/>
        </w:rPr>
      </w:pPr>
      <w:r w:rsidRPr="00A65E17">
        <w:rPr>
          <w:iCs/>
        </w:rPr>
        <w:t xml:space="preserve">The ESC noted the </w:t>
      </w:r>
      <w:r w:rsidR="00291630" w:rsidRPr="00A65E17">
        <w:rPr>
          <w:iCs/>
        </w:rPr>
        <w:t>PBAC had previously considered the claim of inferior safety compared to no vaccine was reas</w:t>
      </w:r>
      <w:r w:rsidR="00EF7130" w:rsidRPr="00A65E17">
        <w:rPr>
          <w:iCs/>
        </w:rPr>
        <w:t>onabl</w:t>
      </w:r>
      <w:r w:rsidR="00291630" w:rsidRPr="00A65E17">
        <w:rPr>
          <w:iCs/>
        </w:rPr>
        <w:t>e</w:t>
      </w:r>
      <w:r w:rsidR="00EF7130" w:rsidRPr="00A65E17">
        <w:rPr>
          <w:iCs/>
        </w:rPr>
        <w:t xml:space="preserve"> (noting the increased frequency of injection site reactions compared to placebo) (paragraph 6.41, R</w:t>
      </w:r>
      <w:r w:rsidR="008658BB" w:rsidRPr="00A65E17">
        <w:rPr>
          <w:iCs/>
        </w:rPr>
        <w:t>Z</w:t>
      </w:r>
      <w:r w:rsidR="00EF7130" w:rsidRPr="00A65E17">
        <w:rPr>
          <w:iCs/>
        </w:rPr>
        <w:t>V PSD, November 2018 PBAC meeting). The ESC noted</w:t>
      </w:r>
      <w:r w:rsidRPr="00A65E17">
        <w:rPr>
          <w:iCs/>
        </w:rPr>
        <w:t xml:space="preserve"> no new safety concerns relating to the vaccine have been identified.</w:t>
      </w:r>
    </w:p>
    <w:p w14:paraId="719A2E20" w14:textId="45FF70F6" w:rsidR="0087771F" w:rsidRPr="00CE42B4" w:rsidRDefault="0087771F" w:rsidP="0087771F">
      <w:pPr>
        <w:widowControl w:val="0"/>
        <w:numPr>
          <w:ilvl w:val="1"/>
          <w:numId w:val="1"/>
        </w:numPr>
        <w:spacing w:after="120"/>
        <w:rPr>
          <w:rFonts w:asciiTheme="minorHAnsi" w:hAnsiTheme="minorHAnsi"/>
          <w:snapToGrid w:val="0"/>
          <w:szCs w:val="20"/>
        </w:rPr>
      </w:pPr>
      <w:bookmarkStart w:id="40"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r w:rsidR="004C4C12">
        <w:rPr>
          <w:rFonts w:asciiTheme="minorHAnsi" w:hAnsiTheme="minorHAnsi"/>
          <w:snapToGrid w:val="0"/>
          <w:szCs w:val="20"/>
        </w:rPr>
        <w:t xml:space="preserve"> but agreed with the ESC that some uncertainty regarding the magnitude of benefit remained</w:t>
      </w:r>
      <w:r w:rsidRPr="00CE42B4">
        <w:rPr>
          <w:rFonts w:asciiTheme="minorHAnsi" w:hAnsiTheme="minorHAnsi"/>
          <w:snapToGrid w:val="0"/>
          <w:szCs w:val="20"/>
        </w:rPr>
        <w:t>.</w:t>
      </w:r>
    </w:p>
    <w:p w14:paraId="0B297351" w14:textId="14A30707" w:rsidR="0087771F" w:rsidRPr="0087771F" w:rsidRDefault="0087771F" w:rsidP="0087771F">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inferior </w:t>
      </w:r>
      <w:r w:rsidR="00A147A6">
        <w:rPr>
          <w:rFonts w:asciiTheme="minorHAnsi" w:hAnsiTheme="minorHAnsi"/>
          <w:snapToGrid w:val="0"/>
          <w:szCs w:val="20"/>
        </w:rPr>
        <w:t xml:space="preserve">comparative safety </w:t>
      </w:r>
      <w:r w:rsidRPr="00CE42B4">
        <w:rPr>
          <w:rFonts w:asciiTheme="minorHAnsi" w:hAnsiTheme="minorHAnsi"/>
          <w:snapToGrid w:val="0"/>
          <w:szCs w:val="20"/>
        </w:rPr>
        <w:t>was reasonable.</w:t>
      </w:r>
      <w:bookmarkEnd w:id="40"/>
    </w:p>
    <w:p w14:paraId="69BB61B1" w14:textId="77777777" w:rsidR="00D73D20" w:rsidRPr="00AD7238" w:rsidRDefault="00D73D20" w:rsidP="00D73D20">
      <w:pPr>
        <w:pStyle w:val="4-SubsectionHeading"/>
      </w:pPr>
      <w:bookmarkStart w:id="41" w:name="_Toc22897645"/>
      <w:bookmarkStart w:id="42" w:name="_Toc124949417"/>
      <w:r w:rsidRPr="00AD7238">
        <w:t>Economic analysis</w:t>
      </w:r>
      <w:bookmarkEnd w:id="41"/>
      <w:bookmarkEnd w:id="42"/>
      <w:r w:rsidRPr="00AD7238">
        <w:t xml:space="preserve"> </w:t>
      </w:r>
    </w:p>
    <w:p w14:paraId="549FB604" w14:textId="7D814D82" w:rsidR="00D73D20" w:rsidRPr="00615B0D" w:rsidRDefault="00D73D20" w:rsidP="00836B71">
      <w:pPr>
        <w:pStyle w:val="3-BodyText"/>
      </w:pPr>
      <w:r w:rsidRPr="00AD7238">
        <w:t>The type of economic evaluation presented was a cost-utility analysis</w:t>
      </w:r>
      <w:r w:rsidR="00AC4CF8" w:rsidRPr="00AD7238">
        <w:t>.</w:t>
      </w:r>
      <w:r w:rsidRPr="00AD7238">
        <w:t xml:space="preserve"> </w:t>
      </w:r>
      <w:r w:rsidRPr="00615B0D">
        <w:t>The model structure is the same as the 2018 submission. Major updates</w:t>
      </w:r>
      <w:r w:rsidR="00B85EFD" w:rsidRPr="00615B0D">
        <w:t xml:space="preserve"> are summarised in</w:t>
      </w:r>
      <w:r w:rsidRPr="00615B0D">
        <w:t xml:space="preserve"> </w:t>
      </w:r>
      <w:r w:rsidRPr="00615B0D">
        <w:fldChar w:fldCharType="begin" w:fldLock="1"/>
      </w:r>
      <w:r w:rsidRPr="00615B0D">
        <w:instrText xml:space="preserve"> REF _Ref122266060 \h </w:instrText>
      </w:r>
      <w:r w:rsidR="003561F8" w:rsidRPr="00615B0D">
        <w:instrText xml:space="preserve"> \* MERGEFORMAT </w:instrText>
      </w:r>
      <w:r w:rsidRPr="00615B0D">
        <w:fldChar w:fldCharType="separate"/>
      </w:r>
      <w:r w:rsidR="00602E99" w:rsidRPr="00AD7238">
        <w:t xml:space="preserve">Table </w:t>
      </w:r>
      <w:r w:rsidR="00602E99">
        <w:rPr>
          <w:noProof/>
        </w:rPr>
        <w:t>10</w:t>
      </w:r>
      <w:r w:rsidRPr="00615B0D">
        <w:fldChar w:fldCharType="end"/>
      </w:r>
      <w:r w:rsidR="00DD20D2" w:rsidRPr="00615B0D">
        <w:t>.</w:t>
      </w:r>
    </w:p>
    <w:p w14:paraId="3ADA6FD4" w14:textId="401F27DD" w:rsidR="00D73D20" w:rsidRPr="00AD7238" w:rsidRDefault="00D73D20" w:rsidP="003228A3">
      <w:pPr>
        <w:pStyle w:val="Caption"/>
        <w:rPr>
          <w:rStyle w:val="CommentReference"/>
          <w:b/>
          <w:szCs w:val="24"/>
        </w:rPr>
      </w:pPr>
      <w:bookmarkStart w:id="43" w:name="_Ref122266060"/>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10</w:t>
      </w:r>
      <w:r w:rsidR="000442ED">
        <w:rPr>
          <w:noProof/>
        </w:rPr>
        <w:fldChar w:fldCharType="end"/>
      </w:r>
      <w:bookmarkEnd w:id="43"/>
      <w:r w:rsidRPr="00AD7238">
        <w:t>:</w:t>
      </w:r>
      <w:r w:rsidRPr="00AD7238">
        <w:rPr>
          <w:rStyle w:val="CommentReference"/>
          <w:b/>
          <w:szCs w:val="24"/>
        </w:rPr>
        <w:t xml:space="preserve"> Summary of model structure, key inputs and rationale</w:t>
      </w:r>
      <w:r w:rsidR="00007E9B">
        <w:rPr>
          <w:rStyle w:val="CommentReference"/>
          <w:b/>
          <w:szCs w:val="24"/>
        </w:rPr>
        <w:t xml:space="preserve"> (for primary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5"/>
        <w:gridCol w:w="3776"/>
        <w:gridCol w:w="3776"/>
      </w:tblGrid>
      <w:tr w:rsidR="00D73D20" w:rsidRPr="00AD7238" w14:paraId="23C46AE4" w14:textId="77777777" w:rsidTr="00561B7F">
        <w:trPr>
          <w:cantSplit/>
          <w:tblHeader/>
        </w:trPr>
        <w:tc>
          <w:tcPr>
            <w:tcW w:w="812" w:type="pct"/>
            <w:shd w:val="clear" w:color="auto" w:fill="auto"/>
            <w:vAlign w:val="center"/>
          </w:tcPr>
          <w:p w14:paraId="6900FCF1" w14:textId="77777777" w:rsidR="00D73D20" w:rsidRPr="00AD7238" w:rsidRDefault="00D73D20" w:rsidP="003228A3">
            <w:pPr>
              <w:pStyle w:val="In-tableHeading"/>
              <w:keepLines/>
              <w:rPr>
                <w:lang w:val="en-AU"/>
              </w:rPr>
            </w:pPr>
            <w:r w:rsidRPr="00AD7238">
              <w:rPr>
                <w:lang w:val="en-AU"/>
              </w:rPr>
              <w:t>Component</w:t>
            </w:r>
          </w:p>
        </w:tc>
        <w:tc>
          <w:tcPr>
            <w:tcW w:w="2094" w:type="pct"/>
            <w:shd w:val="clear" w:color="auto" w:fill="auto"/>
            <w:vAlign w:val="center"/>
          </w:tcPr>
          <w:p w14:paraId="65F49D17" w14:textId="3B32F128" w:rsidR="00D73D20" w:rsidRPr="00AD7238" w:rsidRDefault="00AC0D88" w:rsidP="003228A3">
            <w:pPr>
              <w:pStyle w:val="In-tableHeading"/>
              <w:keepLines/>
              <w:jc w:val="center"/>
              <w:rPr>
                <w:lang w:val="en-AU"/>
              </w:rPr>
            </w:pPr>
            <w:r w:rsidRPr="00AD7238">
              <w:rPr>
                <w:lang w:val="en-AU"/>
              </w:rPr>
              <w:t xml:space="preserve"> Re</w:t>
            </w:r>
            <w:r w:rsidR="00D73D20" w:rsidRPr="00AD7238">
              <w:rPr>
                <w:lang w:val="en-AU"/>
              </w:rPr>
              <w:t>submission</w:t>
            </w:r>
          </w:p>
        </w:tc>
        <w:tc>
          <w:tcPr>
            <w:tcW w:w="2094" w:type="pct"/>
          </w:tcPr>
          <w:p w14:paraId="743B58A3" w14:textId="77777777" w:rsidR="00D73D20" w:rsidRPr="00AD7238" w:rsidRDefault="00D73D20" w:rsidP="003228A3">
            <w:pPr>
              <w:pStyle w:val="In-tableHeading"/>
              <w:keepLines/>
              <w:jc w:val="center"/>
              <w:rPr>
                <w:lang w:val="en-AU"/>
              </w:rPr>
            </w:pPr>
            <w:r w:rsidRPr="00AD7238">
              <w:rPr>
                <w:lang w:val="en-AU"/>
              </w:rPr>
              <w:t>2018 submission</w:t>
            </w:r>
          </w:p>
        </w:tc>
      </w:tr>
      <w:tr w:rsidR="00D73D20" w:rsidRPr="00AD7238" w14:paraId="26E3DBB7" w14:textId="77777777" w:rsidTr="00561B7F">
        <w:trPr>
          <w:cantSplit/>
        </w:trPr>
        <w:tc>
          <w:tcPr>
            <w:tcW w:w="812" w:type="pct"/>
            <w:shd w:val="clear" w:color="auto" w:fill="auto"/>
            <w:vAlign w:val="center"/>
          </w:tcPr>
          <w:p w14:paraId="4145621A" w14:textId="6626A685" w:rsidR="00D73D20" w:rsidRPr="00AD7238" w:rsidRDefault="00F545E3" w:rsidP="003228A3">
            <w:pPr>
              <w:pStyle w:val="TableText0"/>
              <w:keepLines/>
            </w:pPr>
            <w:r>
              <w:t>P</w:t>
            </w:r>
            <w:r w:rsidR="00A4275B" w:rsidRPr="00AD7238">
              <w:t>opulation</w:t>
            </w:r>
          </w:p>
        </w:tc>
        <w:tc>
          <w:tcPr>
            <w:tcW w:w="2094" w:type="pct"/>
            <w:shd w:val="clear" w:color="auto" w:fill="auto"/>
            <w:vAlign w:val="center"/>
          </w:tcPr>
          <w:p w14:paraId="738B813B" w14:textId="436917E2" w:rsidR="00D73D20" w:rsidRPr="00AD7238" w:rsidRDefault="00836B71" w:rsidP="003228A3">
            <w:pPr>
              <w:pStyle w:val="TableText0"/>
              <w:keepLines/>
            </w:pPr>
            <w:r w:rsidRPr="00AD7238">
              <w:t>Aboriginal and Torres Strait Islander</w:t>
            </w:r>
            <w:r w:rsidR="00ED3F13" w:rsidRPr="00AD7238">
              <w:t xml:space="preserve"> adults</w:t>
            </w:r>
            <w:r w:rsidR="00D73D20" w:rsidRPr="00AD7238">
              <w:t xml:space="preserve"> </w:t>
            </w:r>
            <w:r w:rsidR="00D73D20" w:rsidRPr="00AD7238">
              <w:rPr>
                <w:u w:val="single"/>
              </w:rPr>
              <w:t>&gt;</w:t>
            </w:r>
            <w:r w:rsidR="00D73D20" w:rsidRPr="00AD7238">
              <w:t>50 YOA</w:t>
            </w:r>
          </w:p>
          <w:p w14:paraId="49E9AAF8" w14:textId="31C61736" w:rsidR="00D73D20" w:rsidRPr="00AD7238" w:rsidRDefault="00D73D20" w:rsidP="003228A3">
            <w:pPr>
              <w:pStyle w:val="TableText0"/>
              <w:keepLines/>
            </w:pPr>
            <w:r w:rsidRPr="00AD7238">
              <w:t xml:space="preserve">Non-Indigenous adults </w:t>
            </w:r>
            <w:r w:rsidRPr="00AD7238">
              <w:rPr>
                <w:u w:val="single"/>
              </w:rPr>
              <w:t>&gt;</w:t>
            </w:r>
            <w:r w:rsidRPr="00AD7238">
              <w:t>65 YOA</w:t>
            </w:r>
          </w:p>
        </w:tc>
        <w:tc>
          <w:tcPr>
            <w:tcW w:w="2094" w:type="pct"/>
          </w:tcPr>
          <w:p w14:paraId="4F67909F" w14:textId="3F9D59E5" w:rsidR="00A40C17" w:rsidRDefault="001F6CD4" w:rsidP="003228A3">
            <w:pPr>
              <w:pStyle w:val="TableText0"/>
              <w:keepLines/>
            </w:pPr>
            <w:r w:rsidRPr="00AD7238">
              <w:t xml:space="preserve">Adults </w:t>
            </w:r>
            <w:r w:rsidRPr="00AD7238">
              <w:rPr>
                <w:u w:val="single"/>
              </w:rPr>
              <w:t>&gt;</w:t>
            </w:r>
            <w:r>
              <w:rPr>
                <w:u w:val="single"/>
              </w:rPr>
              <w:t xml:space="preserve"> </w:t>
            </w:r>
            <w:r w:rsidRPr="00AD7238">
              <w:t>60 YOA</w:t>
            </w:r>
          </w:p>
          <w:p w14:paraId="3B8835F4" w14:textId="77777777" w:rsidR="00A40C17" w:rsidRPr="00AD7238" w:rsidRDefault="00A40C17" w:rsidP="003228A3">
            <w:pPr>
              <w:pStyle w:val="TableText0"/>
              <w:keepLines/>
            </w:pPr>
          </w:p>
          <w:p w14:paraId="5D3A7693" w14:textId="075645A0" w:rsidR="00D73D20" w:rsidRPr="00AD7238" w:rsidDel="009C5932" w:rsidRDefault="00D73D20" w:rsidP="003228A3">
            <w:pPr>
              <w:pStyle w:val="TableText0"/>
              <w:keepLines/>
            </w:pPr>
          </w:p>
        </w:tc>
      </w:tr>
      <w:tr w:rsidR="00F545E3" w:rsidRPr="00AD7238" w14:paraId="0B906B4C" w14:textId="77777777" w:rsidTr="00561B7F">
        <w:trPr>
          <w:cantSplit/>
        </w:trPr>
        <w:tc>
          <w:tcPr>
            <w:tcW w:w="812" w:type="pct"/>
            <w:shd w:val="clear" w:color="auto" w:fill="auto"/>
            <w:vAlign w:val="center"/>
          </w:tcPr>
          <w:p w14:paraId="1308DD7E" w14:textId="6F5BADAC" w:rsidR="00F545E3" w:rsidRPr="006E790F" w:rsidRDefault="00F545E3" w:rsidP="003228A3">
            <w:pPr>
              <w:pStyle w:val="TableText0"/>
              <w:keepLines/>
            </w:pPr>
            <w:r w:rsidRPr="006E790F">
              <w:t>Comparison</w:t>
            </w:r>
          </w:p>
        </w:tc>
        <w:tc>
          <w:tcPr>
            <w:tcW w:w="2094" w:type="pct"/>
            <w:shd w:val="clear" w:color="auto" w:fill="auto"/>
            <w:vAlign w:val="center"/>
          </w:tcPr>
          <w:p w14:paraId="57059ACB" w14:textId="77777777" w:rsidR="00F545E3" w:rsidRPr="006E790F" w:rsidRDefault="00F545E3" w:rsidP="003228A3">
            <w:pPr>
              <w:pStyle w:val="TableText0"/>
              <w:keepLines/>
            </w:pPr>
            <w:r w:rsidRPr="006E790F">
              <w:t>RZV</w:t>
            </w:r>
            <w:r w:rsidRPr="006E790F" w:rsidDel="009C5932">
              <w:t xml:space="preserve"> vs</w:t>
            </w:r>
            <w:r w:rsidRPr="006E790F">
              <w:t>. no vaccine</w:t>
            </w:r>
          </w:p>
          <w:p w14:paraId="5625F82C" w14:textId="77777777" w:rsidR="00F545E3" w:rsidRPr="006E790F" w:rsidRDefault="00F545E3" w:rsidP="003228A3">
            <w:pPr>
              <w:pStyle w:val="TableText0"/>
              <w:keepLines/>
            </w:pPr>
          </w:p>
        </w:tc>
        <w:tc>
          <w:tcPr>
            <w:tcW w:w="2094" w:type="pct"/>
          </w:tcPr>
          <w:p w14:paraId="6B36411B" w14:textId="2D897AD9" w:rsidR="00F545E3" w:rsidRPr="008B348A" w:rsidRDefault="00F545E3" w:rsidP="003228A3">
            <w:pPr>
              <w:pStyle w:val="Tabletext"/>
              <w:keepNext/>
              <w:keepLines/>
            </w:pPr>
            <w:r w:rsidRPr="008B348A">
              <w:t xml:space="preserve">60 </w:t>
            </w:r>
            <w:r>
              <w:t xml:space="preserve">and 80 </w:t>
            </w:r>
            <w:r w:rsidRPr="008B348A">
              <w:t>year</w:t>
            </w:r>
            <w:r>
              <w:t>s</w:t>
            </w:r>
            <w:r w:rsidRPr="008B348A">
              <w:t xml:space="preserve"> old:</w:t>
            </w:r>
            <w:r>
              <w:t xml:space="preserve"> </w:t>
            </w:r>
            <w:r w:rsidRPr="00AD7238">
              <w:t>RZV</w:t>
            </w:r>
            <w:r w:rsidRPr="00AD7238" w:rsidDel="009C5932">
              <w:t xml:space="preserve"> vs</w:t>
            </w:r>
            <w:r w:rsidRPr="00AD7238">
              <w:t>.</w:t>
            </w:r>
            <w:r w:rsidRPr="008B348A">
              <w:t xml:space="preserve"> </w:t>
            </w:r>
            <w:r w:rsidR="004C4C12">
              <w:t>n</w:t>
            </w:r>
            <w:r w:rsidRPr="008B348A">
              <w:t>o vaccine</w:t>
            </w:r>
          </w:p>
          <w:p w14:paraId="09AEA22E" w14:textId="1B6C8A5E" w:rsidR="00F545E3" w:rsidRPr="008B348A" w:rsidRDefault="00F545E3" w:rsidP="003228A3">
            <w:pPr>
              <w:pStyle w:val="Tabletext"/>
              <w:keepNext/>
              <w:keepLines/>
            </w:pPr>
            <w:r w:rsidRPr="008B348A">
              <w:t>70</w:t>
            </w:r>
            <w:r>
              <w:t xml:space="preserve"> years</w:t>
            </w:r>
            <w:r w:rsidRPr="008B348A">
              <w:t xml:space="preserve"> old: </w:t>
            </w:r>
            <w:r w:rsidRPr="00AD7238">
              <w:t>RZV</w:t>
            </w:r>
            <w:r w:rsidRPr="00AD7238" w:rsidDel="009C5932">
              <w:t xml:space="preserve"> vs</w:t>
            </w:r>
            <w:r w:rsidRPr="00AD7238">
              <w:t xml:space="preserve">. </w:t>
            </w:r>
            <w:r>
              <w:t>ZVL</w:t>
            </w:r>
          </w:p>
        </w:tc>
      </w:tr>
      <w:tr w:rsidR="00D73D20" w:rsidRPr="00AD7238" w14:paraId="2FB51289" w14:textId="77777777" w:rsidTr="00561B7F">
        <w:trPr>
          <w:cantSplit/>
        </w:trPr>
        <w:tc>
          <w:tcPr>
            <w:tcW w:w="812" w:type="pct"/>
            <w:shd w:val="clear" w:color="auto" w:fill="auto"/>
            <w:vAlign w:val="center"/>
          </w:tcPr>
          <w:p w14:paraId="0E70CE0E" w14:textId="77777777" w:rsidR="00D73D20" w:rsidRPr="00AD7238" w:rsidRDefault="00D73D20" w:rsidP="003228A3">
            <w:pPr>
              <w:pStyle w:val="TableText0"/>
              <w:keepLines/>
            </w:pPr>
            <w:r w:rsidRPr="00AD7238">
              <w:t>Time horizon</w:t>
            </w:r>
          </w:p>
        </w:tc>
        <w:tc>
          <w:tcPr>
            <w:tcW w:w="2094" w:type="pct"/>
            <w:shd w:val="clear" w:color="auto" w:fill="auto"/>
            <w:vAlign w:val="center"/>
          </w:tcPr>
          <w:p w14:paraId="189DA902" w14:textId="2EA7235C" w:rsidR="00D73D20" w:rsidRPr="00AD7238" w:rsidRDefault="00D73D20" w:rsidP="003228A3">
            <w:pPr>
              <w:pStyle w:val="TableText0"/>
              <w:keepLines/>
            </w:pPr>
            <w:r w:rsidRPr="00AD7238">
              <w:t xml:space="preserve">Maximum age of 100 years: up to 50 years for </w:t>
            </w:r>
            <w:r w:rsidR="00562392" w:rsidRPr="00AD7238">
              <w:t xml:space="preserve">Aboriginal and Torres Strait Islander </w:t>
            </w:r>
            <w:r w:rsidRPr="00AD7238">
              <w:t xml:space="preserve">adults and up to 35 years for </w:t>
            </w:r>
            <w:r w:rsidR="00173404" w:rsidRPr="00AD7238">
              <w:t>non-</w:t>
            </w:r>
            <w:r w:rsidRPr="00AD7238">
              <w:t xml:space="preserve">Indigenous adults in the model base case versus 10 years </w:t>
            </w:r>
            <w:r w:rsidR="00173404" w:rsidRPr="00AD7238">
              <w:t xml:space="preserve">follow up </w:t>
            </w:r>
            <w:r w:rsidRPr="00AD7238">
              <w:t>in trial</w:t>
            </w:r>
          </w:p>
        </w:tc>
        <w:tc>
          <w:tcPr>
            <w:tcW w:w="2094" w:type="pct"/>
          </w:tcPr>
          <w:p w14:paraId="736974DC" w14:textId="0667434C" w:rsidR="00D73D20" w:rsidRPr="00AD7238" w:rsidRDefault="00173404" w:rsidP="003228A3">
            <w:pPr>
              <w:pStyle w:val="TableText0"/>
              <w:keepLines/>
            </w:pPr>
            <w:r w:rsidRPr="00AD7238">
              <w:t xml:space="preserve">Maximum age of 114 years: up to 54 years for adults in the model base case versus 3.2 to 3.7 years follow up in the trials </w:t>
            </w:r>
          </w:p>
        </w:tc>
      </w:tr>
      <w:tr w:rsidR="00D73D20" w:rsidRPr="00AD7238" w14:paraId="19F0C1D9" w14:textId="77777777" w:rsidTr="00561B7F">
        <w:trPr>
          <w:cantSplit/>
        </w:trPr>
        <w:tc>
          <w:tcPr>
            <w:tcW w:w="812" w:type="pct"/>
            <w:shd w:val="clear" w:color="auto" w:fill="auto"/>
            <w:vAlign w:val="center"/>
          </w:tcPr>
          <w:p w14:paraId="5094D9ED" w14:textId="77777777" w:rsidR="00D73D20" w:rsidRPr="00AD7238" w:rsidRDefault="00D73D20" w:rsidP="00561B7F">
            <w:pPr>
              <w:pStyle w:val="TableText0"/>
              <w:keepNext w:val="0"/>
            </w:pPr>
            <w:r w:rsidRPr="00AD7238">
              <w:t>Outcomes</w:t>
            </w:r>
          </w:p>
        </w:tc>
        <w:tc>
          <w:tcPr>
            <w:tcW w:w="2094" w:type="pct"/>
            <w:shd w:val="clear" w:color="auto" w:fill="auto"/>
            <w:vAlign w:val="center"/>
          </w:tcPr>
          <w:p w14:paraId="392E182A" w14:textId="177E36B2" w:rsidR="00D73D20" w:rsidRPr="00AD7238" w:rsidRDefault="00D73D20" w:rsidP="00561B7F">
            <w:pPr>
              <w:pStyle w:val="TableText0"/>
              <w:keepNext w:val="0"/>
              <w:widowControl w:val="0"/>
            </w:pPr>
            <w:r w:rsidRPr="00AD7238">
              <w:t>QALYs, direct healthcare costs, incremental cost per QALY (ICER)</w:t>
            </w:r>
            <w:r w:rsidR="00A4275B" w:rsidRPr="00AD7238">
              <w:t>,</w:t>
            </w:r>
            <w:r w:rsidR="00AC0D88" w:rsidRPr="00AD7238">
              <w:t xml:space="preserve"> </w:t>
            </w:r>
            <w:r w:rsidRPr="00AD7238">
              <w:t>LYs, HZ cases, PHN cases, non-PHN HZ-related complications, HZ-related deaths</w:t>
            </w:r>
          </w:p>
        </w:tc>
        <w:tc>
          <w:tcPr>
            <w:tcW w:w="2094" w:type="pct"/>
          </w:tcPr>
          <w:p w14:paraId="3861C5DF" w14:textId="77777777" w:rsidR="00D73D20" w:rsidRPr="00AD7238" w:rsidRDefault="00D73D20" w:rsidP="00561B7F">
            <w:pPr>
              <w:pStyle w:val="TableText0"/>
              <w:keepNext w:val="0"/>
              <w:widowControl w:val="0"/>
            </w:pPr>
            <w:r w:rsidRPr="00AD7238">
              <w:t>Unchanged</w:t>
            </w:r>
          </w:p>
        </w:tc>
      </w:tr>
      <w:tr w:rsidR="00D73D20" w:rsidRPr="00AD7238" w14:paraId="627CFC27" w14:textId="77777777" w:rsidTr="00561B7F">
        <w:trPr>
          <w:cantSplit/>
        </w:trPr>
        <w:tc>
          <w:tcPr>
            <w:tcW w:w="812" w:type="pct"/>
            <w:shd w:val="clear" w:color="auto" w:fill="auto"/>
            <w:vAlign w:val="center"/>
          </w:tcPr>
          <w:p w14:paraId="44496066" w14:textId="77777777" w:rsidR="00D73D20" w:rsidRPr="00AD7238" w:rsidRDefault="00D73D20" w:rsidP="00561B7F">
            <w:pPr>
              <w:pStyle w:val="TableText0"/>
              <w:keepNext w:val="0"/>
            </w:pPr>
            <w:r w:rsidRPr="00AD7238">
              <w:t>Methods used to generate results</w:t>
            </w:r>
          </w:p>
        </w:tc>
        <w:tc>
          <w:tcPr>
            <w:tcW w:w="2094" w:type="pct"/>
            <w:shd w:val="clear" w:color="auto" w:fill="auto"/>
            <w:vAlign w:val="center"/>
          </w:tcPr>
          <w:p w14:paraId="4E03F63B" w14:textId="77777777" w:rsidR="00D73D20" w:rsidRPr="00AD7238" w:rsidRDefault="00D73D20" w:rsidP="00561B7F">
            <w:pPr>
              <w:pStyle w:val="TableText0"/>
              <w:keepNext w:val="0"/>
            </w:pPr>
            <w:r w:rsidRPr="00AD7238">
              <w:t>Multi-cohort Markov model using cohort expected values</w:t>
            </w:r>
          </w:p>
        </w:tc>
        <w:tc>
          <w:tcPr>
            <w:tcW w:w="2094" w:type="pct"/>
          </w:tcPr>
          <w:p w14:paraId="090A12B9" w14:textId="77777777" w:rsidR="00D73D20" w:rsidRPr="00AD7238" w:rsidRDefault="00D73D20" w:rsidP="00561B7F">
            <w:pPr>
              <w:pStyle w:val="TableText0"/>
              <w:keepNext w:val="0"/>
            </w:pPr>
            <w:r w:rsidRPr="00AD7238">
              <w:t>Unchanged</w:t>
            </w:r>
          </w:p>
        </w:tc>
      </w:tr>
      <w:tr w:rsidR="00D73D20" w:rsidRPr="00AD7238" w14:paraId="45E69D8A" w14:textId="77777777" w:rsidTr="00561B7F">
        <w:trPr>
          <w:cantSplit/>
        </w:trPr>
        <w:tc>
          <w:tcPr>
            <w:tcW w:w="812" w:type="pct"/>
            <w:shd w:val="clear" w:color="auto" w:fill="auto"/>
            <w:vAlign w:val="center"/>
          </w:tcPr>
          <w:p w14:paraId="6FE23FCD" w14:textId="77777777" w:rsidR="00D73D20" w:rsidRPr="00AD7238" w:rsidRDefault="00D73D20" w:rsidP="00561B7F">
            <w:pPr>
              <w:pStyle w:val="TableText0"/>
              <w:keepNext w:val="0"/>
            </w:pPr>
            <w:r w:rsidRPr="00AD7238">
              <w:t>Health states</w:t>
            </w:r>
          </w:p>
        </w:tc>
        <w:tc>
          <w:tcPr>
            <w:tcW w:w="2094" w:type="pct"/>
            <w:shd w:val="clear" w:color="auto" w:fill="auto"/>
            <w:vAlign w:val="center"/>
          </w:tcPr>
          <w:p w14:paraId="55B6A14B" w14:textId="77777777" w:rsidR="00D73D20" w:rsidRPr="00AD7238" w:rsidRDefault="00D73D20" w:rsidP="00561B7F">
            <w:pPr>
              <w:pStyle w:val="TableText0"/>
              <w:keepNext w:val="0"/>
              <w:widowControl w:val="0"/>
            </w:pPr>
            <w:r w:rsidRPr="00AD7238">
              <w:t>No HZ or complications</w:t>
            </w:r>
          </w:p>
          <w:p w14:paraId="5A56A3F8" w14:textId="77777777" w:rsidR="00D73D20" w:rsidRPr="00AD7238" w:rsidRDefault="00D73D20" w:rsidP="00561B7F">
            <w:pPr>
              <w:pStyle w:val="TableText0"/>
              <w:keepNext w:val="0"/>
              <w:widowControl w:val="0"/>
            </w:pPr>
            <w:r w:rsidRPr="00AD7238">
              <w:t>HZ</w:t>
            </w:r>
          </w:p>
          <w:p w14:paraId="48DD463F" w14:textId="77777777" w:rsidR="00D73D20" w:rsidRPr="00AD7238" w:rsidRDefault="00D73D20" w:rsidP="00561B7F">
            <w:pPr>
              <w:pStyle w:val="TableText0"/>
              <w:keepNext w:val="0"/>
              <w:widowControl w:val="0"/>
            </w:pPr>
            <w:r w:rsidRPr="00AD7238">
              <w:t>PHN</w:t>
            </w:r>
          </w:p>
          <w:p w14:paraId="6BDCC0F7" w14:textId="77777777" w:rsidR="00D73D20" w:rsidRPr="00AD7238" w:rsidRDefault="00D73D20" w:rsidP="00561B7F">
            <w:pPr>
              <w:pStyle w:val="TableText0"/>
              <w:keepNext w:val="0"/>
              <w:widowControl w:val="0"/>
            </w:pPr>
            <w:r w:rsidRPr="00AD7238">
              <w:t>Non-PHN HZ-related complication (ocular, neurological, disseminated, cutaneous)</w:t>
            </w:r>
          </w:p>
          <w:p w14:paraId="392E3713" w14:textId="6DE201F4" w:rsidR="00DE602B" w:rsidRPr="00AD7238" w:rsidRDefault="00DE602B" w:rsidP="00561B7F">
            <w:pPr>
              <w:pStyle w:val="TableText0"/>
              <w:keepNext w:val="0"/>
              <w:widowControl w:val="0"/>
            </w:pPr>
            <w:r w:rsidRPr="00AD7238">
              <w:t>Recurrent HZ</w:t>
            </w:r>
          </w:p>
          <w:p w14:paraId="0EE3BB05" w14:textId="5C6481E0" w:rsidR="00506A36" w:rsidRPr="00AD7238" w:rsidRDefault="00D73D20" w:rsidP="00561B7F">
            <w:pPr>
              <w:pStyle w:val="TableText0"/>
              <w:keepNext w:val="0"/>
            </w:pPr>
            <w:r w:rsidRPr="00AD7238">
              <w:t>Death (absorbing)</w:t>
            </w:r>
          </w:p>
        </w:tc>
        <w:tc>
          <w:tcPr>
            <w:tcW w:w="2094" w:type="pct"/>
          </w:tcPr>
          <w:p w14:paraId="518A68E3" w14:textId="77777777" w:rsidR="00D73D20" w:rsidRPr="00AD7238" w:rsidRDefault="00D73D20" w:rsidP="00561B7F">
            <w:pPr>
              <w:pStyle w:val="TableText0"/>
              <w:keepNext w:val="0"/>
              <w:widowControl w:val="0"/>
            </w:pPr>
            <w:r w:rsidRPr="00AD7238">
              <w:t>Unchanged</w:t>
            </w:r>
          </w:p>
        </w:tc>
      </w:tr>
      <w:tr w:rsidR="00D73D20" w:rsidRPr="00AD7238" w14:paraId="37C90835" w14:textId="77777777" w:rsidTr="00561B7F">
        <w:trPr>
          <w:cantSplit/>
        </w:trPr>
        <w:tc>
          <w:tcPr>
            <w:tcW w:w="812" w:type="pct"/>
            <w:shd w:val="clear" w:color="auto" w:fill="auto"/>
            <w:vAlign w:val="center"/>
          </w:tcPr>
          <w:p w14:paraId="3B367F24" w14:textId="77777777" w:rsidR="00D73D20" w:rsidRPr="00AD7238" w:rsidRDefault="00D73D20" w:rsidP="00561B7F">
            <w:pPr>
              <w:pStyle w:val="TableText0"/>
              <w:keepNext w:val="0"/>
            </w:pPr>
            <w:r w:rsidRPr="00AD7238">
              <w:t>Cycle length</w:t>
            </w:r>
          </w:p>
        </w:tc>
        <w:tc>
          <w:tcPr>
            <w:tcW w:w="2094" w:type="pct"/>
            <w:shd w:val="clear" w:color="auto" w:fill="auto"/>
            <w:vAlign w:val="center"/>
          </w:tcPr>
          <w:p w14:paraId="34B850E9" w14:textId="77777777" w:rsidR="00D73D20" w:rsidRPr="00AD7238" w:rsidRDefault="00D73D20" w:rsidP="00561B7F">
            <w:pPr>
              <w:pStyle w:val="TableText0"/>
              <w:keepNext w:val="0"/>
            </w:pPr>
            <w:r w:rsidRPr="00AD7238">
              <w:t>1 year</w:t>
            </w:r>
          </w:p>
        </w:tc>
        <w:tc>
          <w:tcPr>
            <w:tcW w:w="2094" w:type="pct"/>
          </w:tcPr>
          <w:p w14:paraId="1E04C367" w14:textId="77777777" w:rsidR="00D73D20" w:rsidRPr="00AD7238" w:rsidDel="00DD7E0E" w:rsidRDefault="00D73D20" w:rsidP="00561B7F">
            <w:pPr>
              <w:pStyle w:val="TableText0"/>
              <w:keepNext w:val="0"/>
            </w:pPr>
            <w:r w:rsidRPr="00AD7238">
              <w:t>Unchanged</w:t>
            </w:r>
          </w:p>
        </w:tc>
      </w:tr>
      <w:tr w:rsidR="00D73D20" w:rsidRPr="00AD7238" w14:paraId="7EF5F80D" w14:textId="77777777" w:rsidTr="00561B7F">
        <w:trPr>
          <w:cantSplit/>
        </w:trPr>
        <w:tc>
          <w:tcPr>
            <w:tcW w:w="812" w:type="pct"/>
            <w:shd w:val="clear" w:color="auto" w:fill="auto"/>
            <w:vAlign w:val="center"/>
          </w:tcPr>
          <w:p w14:paraId="364C9F2A" w14:textId="77777777" w:rsidR="00D73D20" w:rsidRPr="00AD7238" w:rsidRDefault="00D73D20" w:rsidP="00561B7F">
            <w:pPr>
              <w:pStyle w:val="TableText0"/>
              <w:keepNext w:val="0"/>
            </w:pPr>
            <w:r w:rsidRPr="00AD7238">
              <w:t xml:space="preserve">Transition probabilities </w:t>
            </w:r>
          </w:p>
          <w:p w14:paraId="3482D3CB" w14:textId="77777777" w:rsidR="00D73D20" w:rsidRPr="00AD7238" w:rsidRDefault="00D73D20" w:rsidP="00561B7F">
            <w:pPr>
              <w:pStyle w:val="TableText0"/>
              <w:keepNext w:val="0"/>
            </w:pPr>
          </w:p>
        </w:tc>
        <w:tc>
          <w:tcPr>
            <w:tcW w:w="2094" w:type="pct"/>
            <w:shd w:val="clear" w:color="auto" w:fill="auto"/>
            <w:vAlign w:val="center"/>
          </w:tcPr>
          <w:p w14:paraId="1A03DBCE" w14:textId="77777777" w:rsidR="00D73D20" w:rsidRPr="00AD7238" w:rsidRDefault="00D73D20" w:rsidP="00561B7F">
            <w:pPr>
              <w:pStyle w:val="TableText0"/>
              <w:keepNext w:val="0"/>
            </w:pPr>
            <w:r w:rsidRPr="00AD7238">
              <w:rPr>
                <w:rFonts w:cs="Times New Roman"/>
              </w:rPr>
              <w:t>Age-specific annual incidence of HZ and PHN – MacIntyre (2015) (BEACH 2006-2013)</w:t>
            </w:r>
          </w:p>
          <w:p w14:paraId="21142523" w14:textId="5BF9BD40" w:rsidR="00D73D20" w:rsidRPr="00AD7238" w:rsidRDefault="00D73D20" w:rsidP="00561B7F">
            <w:pPr>
              <w:pStyle w:val="TableText0"/>
              <w:keepNext w:val="0"/>
              <w:rPr>
                <w:rFonts w:cs="Times New Roman"/>
              </w:rPr>
            </w:pPr>
            <w:r w:rsidRPr="00AD7238">
              <w:rPr>
                <w:rFonts w:cs="Times New Roman"/>
              </w:rPr>
              <w:t xml:space="preserve">Age-specific risk of </w:t>
            </w:r>
            <w:r w:rsidR="00A11239" w:rsidRPr="00AD7238">
              <w:rPr>
                <w:rFonts w:cs="Times New Roman"/>
              </w:rPr>
              <w:t>non-PHN</w:t>
            </w:r>
            <w:r w:rsidR="00B20A3C" w:rsidRPr="00AD7238">
              <w:rPr>
                <w:rFonts w:cs="Times New Roman"/>
              </w:rPr>
              <w:t xml:space="preserve"> </w:t>
            </w:r>
            <w:r w:rsidRPr="00AD7238">
              <w:rPr>
                <w:rFonts w:cs="Times New Roman"/>
              </w:rPr>
              <w:t>HZ-related complications – Yawn (2007)</w:t>
            </w:r>
          </w:p>
          <w:p w14:paraId="1CE16524" w14:textId="77777777" w:rsidR="00D73D20" w:rsidRPr="00AD7238" w:rsidRDefault="00D73D20" w:rsidP="00561B7F">
            <w:pPr>
              <w:pStyle w:val="TableText0"/>
              <w:keepNext w:val="0"/>
              <w:rPr>
                <w:rFonts w:cs="Times New Roman"/>
              </w:rPr>
            </w:pPr>
            <w:r w:rsidRPr="00AD7238">
              <w:rPr>
                <w:rFonts w:cs="Times New Roman"/>
              </w:rPr>
              <w:t>Age-specific HZ-related mortality – Le and Rothberg (2015)</w:t>
            </w:r>
          </w:p>
          <w:p w14:paraId="0DF1DD1D" w14:textId="77777777" w:rsidR="00D73D20" w:rsidRPr="00AD7238" w:rsidRDefault="00D73D20" w:rsidP="00561B7F">
            <w:pPr>
              <w:pStyle w:val="TableText0"/>
              <w:keepNext w:val="0"/>
              <w:rPr>
                <w:rFonts w:cs="Times New Roman"/>
              </w:rPr>
            </w:pPr>
            <w:r w:rsidRPr="00AD7238">
              <w:rPr>
                <w:rFonts w:cs="Times New Roman"/>
              </w:rPr>
              <w:t>Age-specific all-cause mortality – ABS (2021); ABS (2018b)</w:t>
            </w:r>
          </w:p>
          <w:p w14:paraId="12BC5C82" w14:textId="77777777" w:rsidR="00D73D20" w:rsidRPr="00AD7238" w:rsidRDefault="00D73D20" w:rsidP="00561B7F">
            <w:pPr>
              <w:pStyle w:val="TableText0"/>
              <w:keepNext w:val="0"/>
              <w:rPr>
                <w:rFonts w:cs="Times New Roman"/>
              </w:rPr>
            </w:pPr>
            <w:r w:rsidRPr="00AD7238">
              <w:rPr>
                <w:rFonts w:cs="Times New Roman"/>
              </w:rPr>
              <w:t>Trial-based vaccine efficacy for HZ and PHN –ZOE-50 and ZOE-70</w:t>
            </w:r>
          </w:p>
          <w:p w14:paraId="5F3598D4" w14:textId="38B0D04D" w:rsidR="00D73D20" w:rsidRPr="00AD7238" w:rsidRDefault="00D73D20" w:rsidP="00561B7F">
            <w:pPr>
              <w:pStyle w:val="TableText0"/>
              <w:keepNext w:val="0"/>
            </w:pPr>
            <w:r w:rsidRPr="00AD7238">
              <w:t xml:space="preserve">Vaccine efficacy waning for HZ and PHN – </w:t>
            </w:r>
            <w:r w:rsidRPr="00002D44">
              <w:t>RZV: ZOSTER-049; ZVL</w:t>
            </w:r>
            <w:r w:rsidR="006F5D88" w:rsidRPr="00002D44">
              <w:t xml:space="preserve"> (</w:t>
            </w:r>
            <w:r w:rsidR="002246E1">
              <w:t xml:space="preserve">used </w:t>
            </w:r>
            <w:r w:rsidR="006F5D88" w:rsidRPr="00002D44">
              <w:t>for waning with only 1 dose</w:t>
            </w:r>
            <w:r w:rsidR="002246E1">
              <w:t xml:space="preserve"> of RZV</w:t>
            </w:r>
            <w:r w:rsidR="006F5D88" w:rsidRPr="00002D44">
              <w:t>)</w:t>
            </w:r>
            <w:r w:rsidRPr="00002D44">
              <w:t>:</w:t>
            </w:r>
            <w:r w:rsidRPr="00AD7238">
              <w:t xml:space="preserve"> </w:t>
            </w:r>
            <w:r w:rsidR="001F6CD4">
              <w:t xml:space="preserve">ZVL </w:t>
            </w:r>
            <w:r w:rsidRPr="00AD7238">
              <w:t>LTPS</w:t>
            </w:r>
            <w:r w:rsidR="001F6CD4">
              <w:t xml:space="preserve"> study</w:t>
            </w:r>
          </w:p>
        </w:tc>
        <w:tc>
          <w:tcPr>
            <w:tcW w:w="2094" w:type="pct"/>
          </w:tcPr>
          <w:p w14:paraId="2634E04C" w14:textId="77777777" w:rsidR="00D73D20" w:rsidRPr="00AD7238" w:rsidRDefault="00D73D20" w:rsidP="00561B7F">
            <w:pPr>
              <w:pStyle w:val="TableText0"/>
              <w:keepNext w:val="0"/>
              <w:rPr>
                <w:rFonts w:cs="Times New Roman"/>
              </w:rPr>
            </w:pPr>
            <w:r w:rsidRPr="00AD7238">
              <w:rPr>
                <w:rFonts w:cs="Times New Roman"/>
              </w:rPr>
              <w:t>Unchanged</w:t>
            </w:r>
          </w:p>
          <w:p w14:paraId="558D90EF" w14:textId="77777777" w:rsidR="00D73D20" w:rsidRPr="00AD7238" w:rsidRDefault="00D73D20" w:rsidP="00561B7F">
            <w:pPr>
              <w:pStyle w:val="TableText0"/>
              <w:keepNext w:val="0"/>
              <w:rPr>
                <w:rFonts w:cs="Times New Roman"/>
              </w:rPr>
            </w:pPr>
          </w:p>
          <w:p w14:paraId="32FE0C0C" w14:textId="77777777" w:rsidR="00D73D20" w:rsidRPr="00AD7238" w:rsidRDefault="00D73D20" w:rsidP="00561B7F">
            <w:pPr>
              <w:pStyle w:val="TableText0"/>
              <w:keepNext w:val="0"/>
              <w:rPr>
                <w:rFonts w:cs="Times New Roman"/>
              </w:rPr>
            </w:pPr>
            <w:r w:rsidRPr="00AD7238">
              <w:rPr>
                <w:rFonts w:cs="Times New Roman"/>
              </w:rPr>
              <w:t>Unchanged</w:t>
            </w:r>
          </w:p>
          <w:p w14:paraId="5720FF6D" w14:textId="77777777" w:rsidR="00D73D20" w:rsidRPr="00AD7238" w:rsidRDefault="00D73D20" w:rsidP="00561B7F">
            <w:pPr>
              <w:pStyle w:val="TableText0"/>
              <w:keepNext w:val="0"/>
              <w:rPr>
                <w:rFonts w:cs="Times New Roman"/>
              </w:rPr>
            </w:pPr>
          </w:p>
          <w:p w14:paraId="27F3D4FC" w14:textId="77777777" w:rsidR="00D73D20" w:rsidRPr="00AD7238" w:rsidRDefault="00D73D20" w:rsidP="00561B7F">
            <w:pPr>
              <w:pStyle w:val="TableText0"/>
              <w:keepNext w:val="0"/>
              <w:rPr>
                <w:rFonts w:cs="Times New Roman"/>
              </w:rPr>
            </w:pPr>
            <w:r w:rsidRPr="00AD7238">
              <w:rPr>
                <w:rFonts w:cs="Times New Roman"/>
              </w:rPr>
              <w:t>Unchanged</w:t>
            </w:r>
          </w:p>
          <w:p w14:paraId="503E9FF6" w14:textId="77777777" w:rsidR="00D73D20" w:rsidRPr="00AD7238" w:rsidRDefault="00D73D20" w:rsidP="00561B7F">
            <w:pPr>
              <w:pStyle w:val="TableText0"/>
              <w:keepNext w:val="0"/>
              <w:rPr>
                <w:rFonts w:cs="Times New Roman"/>
              </w:rPr>
            </w:pPr>
          </w:p>
          <w:p w14:paraId="0D8B8719" w14:textId="77777777" w:rsidR="00D73D20" w:rsidRPr="00AD7238" w:rsidRDefault="00D73D20" w:rsidP="00561B7F">
            <w:pPr>
              <w:pStyle w:val="TableText0"/>
              <w:keepNext w:val="0"/>
              <w:rPr>
                <w:rFonts w:cs="Times New Roman"/>
              </w:rPr>
            </w:pPr>
            <w:r w:rsidRPr="00AD7238">
              <w:rPr>
                <w:rFonts w:cs="Times New Roman"/>
              </w:rPr>
              <w:t>Unchanged</w:t>
            </w:r>
          </w:p>
          <w:p w14:paraId="3CCA7EAF" w14:textId="77777777" w:rsidR="00D73D20" w:rsidRPr="00AD7238" w:rsidRDefault="00D73D20" w:rsidP="00561B7F">
            <w:pPr>
              <w:pStyle w:val="TableText0"/>
              <w:keepNext w:val="0"/>
              <w:rPr>
                <w:rFonts w:cs="Times New Roman"/>
              </w:rPr>
            </w:pPr>
          </w:p>
          <w:p w14:paraId="3F6AC6AE" w14:textId="77777777" w:rsidR="00D73D20" w:rsidRPr="00AD7238" w:rsidRDefault="00D73D20" w:rsidP="00561B7F">
            <w:pPr>
              <w:pStyle w:val="TableText0"/>
              <w:keepNext w:val="0"/>
              <w:rPr>
                <w:rFonts w:cs="Times New Roman"/>
              </w:rPr>
            </w:pPr>
            <w:r w:rsidRPr="00AD7238">
              <w:rPr>
                <w:rFonts w:cs="Times New Roman"/>
              </w:rPr>
              <w:t>Unchanged</w:t>
            </w:r>
          </w:p>
          <w:p w14:paraId="7E54E982" w14:textId="77777777" w:rsidR="00D73D20" w:rsidRPr="00AD7238" w:rsidRDefault="00D73D20" w:rsidP="00561B7F">
            <w:pPr>
              <w:pStyle w:val="TableText0"/>
              <w:keepNext w:val="0"/>
              <w:rPr>
                <w:rFonts w:cs="Times New Roman"/>
              </w:rPr>
            </w:pPr>
          </w:p>
          <w:p w14:paraId="1A8F1A70" w14:textId="77777777" w:rsidR="00D73D20" w:rsidRPr="00AD7238" w:rsidRDefault="00D73D20" w:rsidP="00561B7F">
            <w:pPr>
              <w:pStyle w:val="TableText0"/>
              <w:keepNext w:val="0"/>
              <w:rPr>
                <w:rFonts w:cs="Times New Roman"/>
              </w:rPr>
            </w:pPr>
            <w:r w:rsidRPr="00AD7238">
              <w:rPr>
                <w:rFonts w:cs="Times New Roman"/>
              </w:rPr>
              <w:t>Vaccine efficacy waning was only from ZOE-50 and ZOE-70</w:t>
            </w:r>
          </w:p>
        </w:tc>
      </w:tr>
      <w:tr w:rsidR="00D73D20" w:rsidRPr="00AD7238" w14:paraId="4BAA85A0" w14:textId="77777777" w:rsidTr="00561B7F">
        <w:trPr>
          <w:cantSplit/>
        </w:trPr>
        <w:tc>
          <w:tcPr>
            <w:tcW w:w="812" w:type="pct"/>
            <w:shd w:val="clear" w:color="auto" w:fill="auto"/>
            <w:vAlign w:val="center"/>
          </w:tcPr>
          <w:p w14:paraId="3D3A01DC" w14:textId="4B65A388" w:rsidR="00D73D20" w:rsidRPr="00AD7238" w:rsidRDefault="00D73D20" w:rsidP="00561B7F">
            <w:pPr>
              <w:pStyle w:val="TableText0"/>
              <w:keepNext w:val="0"/>
            </w:pPr>
            <w:r w:rsidRPr="00AD7238">
              <w:t xml:space="preserve">Extrapolation </w:t>
            </w:r>
            <w:r w:rsidR="00373921">
              <w:t>of VE over time</w:t>
            </w:r>
          </w:p>
        </w:tc>
        <w:tc>
          <w:tcPr>
            <w:tcW w:w="2094" w:type="pct"/>
            <w:shd w:val="clear" w:color="auto" w:fill="auto"/>
            <w:vAlign w:val="center"/>
          </w:tcPr>
          <w:p w14:paraId="75662791" w14:textId="0E3AAD3A" w:rsidR="00D73D20" w:rsidRPr="00AD7238" w:rsidRDefault="00D73D20" w:rsidP="00561B7F">
            <w:pPr>
              <w:pStyle w:val="TableText0"/>
              <w:keepNext w:val="0"/>
            </w:pPr>
            <w:r w:rsidRPr="00AD7238">
              <w:t>To estimate RZV take for VE</w:t>
            </w:r>
            <w:r w:rsidRPr="00AD7238">
              <w:rPr>
                <w:vertAlign w:val="subscript"/>
              </w:rPr>
              <w:t>HZ</w:t>
            </w:r>
            <w:r w:rsidR="002D0450" w:rsidRPr="00AD7238">
              <w:rPr>
                <w:vertAlign w:val="subscript"/>
              </w:rPr>
              <w:t xml:space="preserve"> </w:t>
            </w:r>
            <w:r w:rsidR="002D0450" w:rsidRPr="00AD7238">
              <w:t>(i.e. vaccine effectiveness immediately after vaccination)</w:t>
            </w:r>
            <w:r w:rsidRPr="00AD7238">
              <w:t>, a linear regression was fit</w:t>
            </w:r>
            <w:r w:rsidR="00373921">
              <w:t>ted</w:t>
            </w:r>
            <w:r w:rsidRPr="00AD7238">
              <w:t xml:space="preserve"> to the annual VE</w:t>
            </w:r>
            <w:r w:rsidRPr="00AD7238">
              <w:rPr>
                <w:vertAlign w:val="subscript"/>
              </w:rPr>
              <w:t>HZ</w:t>
            </w:r>
            <w:r w:rsidRPr="00AD7238">
              <w:t xml:space="preserve"> estimates from year 1 to year 8 separately for adults 50-69 YOA and adults ≥70 YOA (Curran, 2021; Boutry, 202</w:t>
            </w:r>
            <w:r w:rsidR="00002D44">
              <w:t>1</w:t>
            </w:r>
            <w:r w:rsidR="004C4C12">
              <w:t>)</w:t>
            </w:r>
            <w:r w:rsidRPr="00AD7238">
              <w:t>. The intercept for each of these linear models was then used as the two-dose RZV take immediately after receipt of the second dose, while the respective slopes informed VE waning.</w:t>
            </w:r>
            <w:r w:rsidRPr="00AD7238" w:rsidDel="00FC688C">
              <w:t xml:space="preserve"> </w:t>
            </w:r>
          </w:p>
        </w:tc>
        <w:tc>
          <w:tcPr>
            <w:tcW w:w="2094" w:type="pct"/>
          </w:tcPr>
          <w:p w14:paraId="0BAF5535" w14:textId="77777777" w:rsidR="00D73D20" w:rsidRDefault="00D73D20" w:rsidP="00561B7F">
            <w:pPr>
              <w:pStyle w:val="TableText0"/>
              <w:keepNext w:val="0"/>
            </w:pPr>
            <w:r w:rsidRPr="00AD7238">
              <w:t>RZV VE were from ZOE-50 and ZOE-70 with a mean follow-up of 3.2 and 3.7 years, respectively</w:t>
            </w:r>
          </w:p>
          <w:p w14:paraId="0AECAE4D" w14:textId="77777777" w:rsidR="00C522D4" w:rsidRDefault="00C522D4" w:rsidP="00561B7F">
            <w:pPr>
              <w:pStyle w:val="TableText0"/>
              <w:keepNext w:val="0"/>
            </w:pPr>
          </w:p>
          <w:p w14:paraId="6B08CCED" w14:textId="64E4AF71" w:rsidR="00C522D4" w:rsidRPr="00C522D4" w:rsidRDefault="00C522D4" w:rsidP="00561B7F">
            <w:pPr>
              <w:pStyle w:val="TableText0"/>
              <w:keepNext w:val="0"/>
              <w:rPr>
                <w:i/>
              </w:rPr>
            </w:pPr>
            <w:r w:rsidRPr="00A65E17">
              <w:t>Waning assumed to be 1.0% for the first four years following vaccination, 2.3% after four years before the age of 70, and 3.6% after turning 70.</w:t>
            </w:r>
          </w:p>
        </w:tc>
      </w:tr>
      <w:tr w:rsidR="003C483D" w:rsidRPr="00AD7238" w14:paraId="68588373" w14:textId="77777777" w:rsidTr="00373921">
        <w:trPr>
          <w:cantSplit/>
        </w:trPr>
        <w:tc>
          <w:tcPr>
            <w:tcW w:w="812" w:type="pct"/>
            <w:shd w:val="clear" w:color="auto" w:fill="auto"/>
            <w:vAlign w:val="center"/>
          </w:tcPr>
          <w:p w14:paraId="157E18D7" w14:textId="017E7832" w:rsidR="00963315" w:rsidRPr="00AD7238" w:rsidRDefault="00963315" w:rsidP="00561B7F">
            <w:pPr>
              <w:pStyle w:val="TableText0"/>
              <w:keepNext w:val="0"/>
            </w:pPr>
            <w:r w:rsidRPr="00AD7238">
              <w:t>Vaccine effectiveness against PHN</w:t>
            </w:r>
          </w:p>
        </w:tc>
        <w:tc>
          <w:tcPr>
            <w:tcW w:w="2094" w:type="pct"/>
            <w:shd w:val="clear" w:color="auto" w:fill="auto"/>
            <w:vAlign w:val="center"/>
          </w:tcPr>
          <w:p w14:paraId="218B9E0A" w14:textId="29442131" w:rsidR="00963315" w:rsidRPr="00AD7238" w:rsidRDefault="00963315" w:rsidP="00561B7F">
            <w:pPr>
              <w:pStyle w:val="TableText0"/>
              <w:keepNext w:val="0"/>
            </w:pPr>
            <w:r w:rsidRPr="00AD7238">
              <w:t>Assumes that VE</w:t>
            </w:r>
            <w:r w:rsidR="00746390" w:rsidRPr="00AD7238">
              <w:rPr>
                <w:vertAlign w:val="subscript"/>
              </w:rPr>
              <w:t>PHN</w:t>
            </w:r>
            <w:r w:rsidR="00746390" w:rsidRPr="00AD7238">
              <w:t>=VE</w:t>
            </w:r>
            <w:r w:rsidR="00746390" w:rsidRPr="00AD7238">
              <w:rPr>
                <w:vertAlign w:val="subscript"/>
              </w:rPr>
              <w:t>HZ</w:t>
            </w:r>
            <w:r w:rsidR="00746390" w:rsidRPr="00AD7238">
              <w:t xml:space="preserve"> for </w:t>
            </w:r>
            <w:r w:rsidR="00584E28" w:rsidRPr="00AD7238">
              <w:t>RZV</w:t>
            </w:r>
          </w:p>
        </w:tc>
        <w:tc>
          <w:tcPr>
            <w:tcW w:w="2094" w:type="pct"/>
            <w:vAlign w:val="center"/>
          </w:tcPr>
          <w:p w14:paraId="043AA660" w14:textId="7D7BA09D" w:rsidR="00963315" w:rsidRPr="00AD7238" w:rsidRDefault="00963315" w:rsidP="00373921">
            <w:pPr>
              <w:pStyle w:val="TableText0"/>
              <w:keepNext w:val="0"/>
            </w:pPr>
            <w:r w:rsidRPr="00AD7238">
              <w:t>Unchanged</w:t>
            </w:r>
          </w:p>
        </w:tc>
      </w:tr>
      <w:tr w:rsidR="00D73D20" w:rsidRPr="00AD7238" w14:paraId="40E0F97A" w14:textId="77777777" w:rsidTr="00561B7F">
        <w:trPr>
          <w:cantSplit/>
        </w:trPr>
        <w:tc>
          <w:tcPr>
            <w:tcW w:w="812" w:type="pct"/>
            <w:shd w:val="clear" w:color="auto" w:fill="auto"/>
            <w:vAlign w:val="center"/>
          </w:tcPr>
          <w:p w14:paraId="67D529C2" w14:textId="77777777" w:rsidR="00D73D20" w:rsidRPr="00AD7238" w:rsidRDefault="00D73D20" w:rsidP="00561B7F">
            <w:pPr>
              <w:pStyle w:val="TableText0"/>
              <w:keepNext w:val="0"/>
            </w:pPr>
            <w:r w:rsidRPr="00AD7238">
              <w:lastRenderedPageBreak/>
              <w:t>Health related quality of life</w:t>
            </w:r>
          </w:p>
        </w:tc>
        <w:tc>
          <w:tcPr>
            <w:tcW w:w="2094" w:type="pct"/>
            <w:shd w:val="clear" w:color="auto" w:fill="auto"/>
            <w:vAlign w:val="center"/>
          </w:tcPr>
          <w:p w14:paraId="77AFE11F" w14:textId="74AF9883" w:rsidR="00356FA5" w:rsidRPr="00AD7238" w:rsidRDefault="00D73D20" w:rsidP="00561B7F">
            <w:pPr>
              <w:pStyle w:val="TableText0"/>
              <w:keepNext w:val="0"/>
            </w:pPr>
            <w:r w:rsidRPr="00AD7238">
              <w:t>McCaffery (2016) was identified as a study reporting equally applicable, but more recent, estimates during the preparation of this resubmission; this study is hence employed in the current model.</w:t>
            </w:r>
          </w:p>
        </w:tc>
        <w:tc>
          <w:tcPr>
            <w:tcW w:w="2094" w:type="pct"/>
          </w:tcPr>
          <w:p w14:paraId="315C66D0" w14:textId="77777777" w:rsidR="00D73D20" w:rsidRPr="00AD7238" w:rsidRDefault="00D73D20" w:rsidP="00561B7F">
            <w:pPr>
              <w:pStyle w:val="TableText0"/>
              <w:keepNext w:val="0"/>
            </w:pPr>
            <w:r w:rsidRPr="00AD7238">
              <w:t>Utility values were informed by</w:t>
            </w:r>
            <w:r w:rsidRPr="00AD7238">
              <w:rPr>
                <w:rFonts w:cs="Courier New"/>
                <w:szCs w:val="18"/>
              </w:rPr>
              <w:t xml:space="preserve"> Clemens (2014) – an Australian EQ-5D-3L data set based upon Queensland population.</w:t>
            </w:r>
          </w:p>
        </w:tc>
      </w:tr>
    </w:tbl>
    <w:p w14:paraId="11CF94D7" w14:textId="09747BDD" w:rsidR="00D73D20" w:rsidRPr="00AD7238" w:rsidRDefault="00D73D20" w:rsidP="00561B7F">
      <w:pPr>
        <w:pStyle w:val="TableFooter"/>
        <w:keepNext/>
      </w:pPr>
      <w:r w:rsidRPr="00AD7238">
        <w:t xml:space="preserve">Source: Table 3.2, p110 of the </w:t>
      </w:r>
      <w:r w:rsidR="00815FA2" w:rsidRPr="00AD7238">
        <w:t>re</w:t>
      </w:r>
      <w:r w:rsidRPr="00AD7238">
        <w:t>submission.</w:t>
      </w:r>
    </w:p>
    <w:p w14:paraId="4E7BAE74" w14:textId="25FDA745" w:rsidR="00D73D20" w:rsidRPr="003C590D" w:rsidRDefault="00D73D20" w:rsidP="003C590D">
      <w:pPr>
        <w:pStyle w:val="TableFooter"/>
        <w:keepNext/>
        <w:spacing w:after="120"/>
        <w:rPr>
          <w:vertAlign w:val="superscript"/>
        </w:rPr>
      </w:pPr>
      <w:r w:rsidRPr="00AD7238">
        <w:t>ABS</w:t>
      </w:r>
      <w:r w:rsidR="009E6AE9" w:rsidRPr="00AD7238">
        <w:t xml:space="preserve"> = </w:t>
      </w:r>
      <w:r w:rsidRPr="00AD7238">
        <w:t>Australian Bureau of Statistics; ATAGI</w:t>
      </w:r>
      <w:r w:rsidR="009E6AE9" w:rsidRPr="00AD7238">
        <w:t xml:space="preserve"> = </w:t>
      </w:r>
      <w:r w:rsidRPr="00AD7238">
        <w:t>Australian Technical Advisory Group on Immunisation; BEACH</w:t>
      </w:r>
      <w:r w:rsidR="009E6AE9" w:rsidRPr="00AD7238">
        <w:t xml:space="preserve"> = </w:t>
      </w:r>
      <w:r w:rsidRPr="00AD7238">
        <w:t>Bettering the Evaluation and Care of Health dataset; HZ</w:t>
      </w:r>
      <w:r w:rsidR="009E6AE9" w:rsidRPr="00AD7238">
        <w:t xml:space="preserve"> = </w:t>
      </w:r>
      <w:r w:rsidRPr="00AD7238">
        <w:t>herpes zoster; ICER</w:t>
      </w:r>
      <w:r w:rsidR="009E6AE9" w:rsidRPr="00AD7238">
        <w:t xml:space="preserve"> = </w:t>
      </w:r>
      <w:r w:rsidRPr="00AD7238">
        <w:t xml:space="preserve">incremental cost-effectiveness ratio; </w:t>
      </w:r>
      <w:r w:rsidR="001F6CD4">
        <w:t xml:space="preserve">LTPS = </w:t>
      </w:r>
      <w:r w:rsidR="001F6CD4" w:rsidRPr="00CC60FB">
        <w:rPr>
          <w:szCs w:val="16"/>
        </w:rPr>
        <w:t xml:space="preserve">long-term </w:t>
      </w:r>
      <w:r w:rsidR="001F6CD4">
        <w:rPr>
          <w:szCs w:val="16"/>
        </w:rPr>
        <w:t>p</w:t>
      </w:r>
      <w:r w:rsidR="001F6CD4" w:rsidRPr="00CC60FB">
        <w:rPr>
          <w:szCs w:val="16"/>
        </w:rPr>
        <w:t xml:space="preserve">ersistence </w:t>
      </w:r>
      <w:r w:rsidR="001F6CD4">
        <w:rPr>
          <w:szCs w:val="16"/>
        </w:rPr>
        <w:t>s</w:t>
      </w:r>
      <w:r w:rsidR="001F6CD4" w:rsidRPr="00CC60FB">
        <w:rPr>
          <w:szCs w:val="16"/>
        </w:rPr>
        <w:t>tudy</w:t>
      </w:r>
      <w:r w:rsidR="001F6CD4">
        <w:rPr>
          <w:szCs w:val="16"/>
        </w:rPr>
        <w:t>;</w:t>
      </w:r>
      <w:r w:rsidR="001F6CD4" w:rsidRPr="00AD7238">
        <w:t xml:space="preserve"> </w:t>
      </w:r>
      <w:r w:rsidRPr="00AD7238">
        <w:t>LY</w:t>
      </w:r>
      <w:r w:rsidR="009E6AE9" w:rsidRPr="00AD7238">
        <w:t xml:space="preserve"> = </w:t>
      </w:r>
      <w:r w:rsidRPr="00AD7238">
        <w:t>life-years; PHN</w:t>
      </w:r>
      <w:r w:rsidR="009E6AE9" w:rsidRPr="00AD7238">
        <w:t xml:space="preserve"> = </w:t>
      </w:r>
      <w:r w:rsidRPr="00AD7238">
        <w:t>post-herpetic neuralgia; PBAC</w:t>
      </w:r>
      <w:r w:rsidR="009E6AE9" w:rsidRPr="00AD7238">
        <w:t xml:space="preserve"> = </w:t>
      </w:r>
      <w:r w:rsidRPr="00AD7238">
        <w:t>Pharmaceuticals Benefits Advisory Committee; QALY</w:t>
      </w:r>
      <w:r w:rsidR="009E6AE9" w:rsidRPr="00AD7238">
        <w:t xml:space="preserve"> = </w:t>
      </w:r>
      <w:r w:rsidRPr="00AD7238">
        <w:t>quality adjusted life years; RZV</w:t>
      </w:r>
      <w:r w:rsidR="009E6AE9" w:rsidRPr="00AD7238">
        <w:t xml:space="preserve"> = </w:t>
      </w:r>
      <w:r w:rsidRPr="00AD7238">
        <w:t>Recombinant Zoster Vaccine; VE</w:t>
      </w:r>
      <w:r w:rsidRPr="00AD7238">
        <w:rPr>
          <w:vertAlign w:val="subscript"/>
        </w:rPr>
        <w:t>HZ</w:t>
      </w:r>
      <w:r w:rsidR="009E6AE9" w:rsidRPr="00AD7238">
        <w:t xml:space="preserve"> = </w:t>
      </w:r>
      <w:r w:rsidRPr="00AD7238">
        <w:t>Vaccine efficacy for HZ; VE</w:t>
      </w:r>
      <w:r w:rsidRPr="00AD7238">
        <w:rPr>
          <w:vertAlign w:val="subscript"/>
        </w:rPr>
        <w:t>PHN</w:t>
      </w:r>
      <w:r w:rsidR="009E6AE9" w:rsidRPr="00AD7238">
        <w:t xml:space="preserve"> = </w:t>
      </w:r>
      <w:r w:rsidRPr="00AD7238">
        <w:t>Vaccine efficacy for PHN; ZVL</w:t>
      </w:r>
      <w:r w:rsidR="009E6AE9" w:rsidRPr="00AD7238">
        <w:t xml:space="preserve"> = </w:t>
      </w:r>
      <w:r w:rsidRPr="00AD7238">
        <w:t>Zostavax</w:t>
      </w:r>
      <w:r w:rsidRPr="00AD7238">
        <w:rPr>
          <w:vertAlign w:val="superscript"/>
        </w:rPr>
        <w:t>®</w:t>
      </w:r>
    </w:p>
    <w:p w14:paraId="121F4D08" w14:textId="1276B553" w:rsidR="00025BE1" w:rsidRPr="003C590D" w:rsidRDefault="00025BE1" w:rsidP="003C590D">
      <w:pPr>
        <w:pStyle w:val="3-BodyText"/>
        <w:numPr>
          <w:ilvl w:val="0"/>
          <w:numId w:val="0"/>
        </w:numPr>
        <w:ind w:left="720" w:hanging="720"/>
        <w:outlineLvl w:val="2"/>
        <w:rPr>
          <w:b/>
          <w:bCs/>
          <w:u w:val="single"/>
        </w:rPr>
      </w:pPr>
      <w:r w:rsidRPr="003C590D">
        <w:rPr>
          <w:b/>
          <w:bCs/>
          <w:u w:val="single"/>
        </w:rPr>
        <w:t>Incidence of HZ and PHN</w:t>
      </w:r>
    </w:p>
    <w:p w14:paraId="79E0811D" w14:textId="4F148DFE" w:rsidR="00D73D20" w:rsidRPr="00615B0D" w:rsidRDefault="00D73D20" w:rsidP="00D73D20">
      <w:pPr>
        <w:pStyle w:val="3-BodyText"/>
        <w:rPr>
          <w:iCs/>
        </w:rPr>
      </w:pPr>
      <w:bookmarkStart w:id="44" w:name="_Ref127523687"/>
      <w:r w:rsidRPr="00615B0D">
        <w:rPr>
          <w:iCs/>
        </w:rPr>
        <w:t xml:space="preserve">The use of data from MacIntyre (as per 2018 submission) as the base-case </w:t>
      </w:r>
      <w:r w:rsidR="00592E7A" w:rsidRPr="00A65E17">
        <w:t>may</w:t>
      </w:r>
      <w:r w:rsidR="00592E7A">
        <w:rPr>
          <w:iCs/>
        </w:rPr>
        <w:t xml:space="preserve"> </w:t>
      </w:r>
      <w:r w:rsidRPr="00615B0D">
        <w:rPr>
          <w:iCs/>
        </w:rPr>
        <w:t>overestimate the incidence of HZ and PHN, thus favouring RZ</w:t>
      </w:r>
      <w:r w:rsidR="00041EAC" w:rsidRPr="00615B0D">
        <w:rPr>
          <w:iCs/>
        </w:rPr>
        <w:t>V</w:t>
      </w:r>
      <w:r w:rsidRPr="00615B0D">
        <w:rPr>
          <w:iCs/>
        </w:rPr>
        <w:t xml:space="preserve">. </w:t>
      </w:r>
      <w:r w:rsidRPr="00B8593C">
        <w:rPr>
          <w:iCs/>
        </w:rPr>
        <w:t xml:space="preserve">ATAGI </w:t>
      </w:r>
      <w:r w:rsidR="00B8593C" w:rsidRPr="00B8593C">
        <w:rPr>
          <w:iCs/>
        </w:rPr>
        <w:t xml:space="preserve">pre-submission </w:t>
      </w:r>
      <w:r w:rsidR="005E4FF9">
        <w:rPr>
          <w:iCs/>
        </w:rPr>
        <w:t xml:space="preserve">advice noted </w:t>
      </w:r>
      <w:r w:rsidR="005E4FF9" w:rsidRPr="00615B0D">
        <w:rPr>
          <w:iCs/>
        </w:rPr>
        <w:t xml:space="preserve">Qian (2021) and Lin (2022) </w:t>
      </w:r>
      <w:r w:rsidR="005E4FF9">
        <w:rPr>
          <w:iCs/>
        </w:rPr>
        <w:t xml:space="preserve">are </w:t>
      </w:r>
      <w:r w:rsidR="005E4FF9" w:rsidRPr="00615B0D">
        <w:rPr>
          <w:iCs/>
        </w:rPr>
        <w:t>recently published Australian studies providing HZ incidence estimates in older Australians (</w:t>
      </w:r>
      <w:r w:rsidR="005E4FF9" w:rsidRPr="00615B0D">
        <w:rPr>
          <w:rFonts w:cstheme="minorBidi"/>
        </w:rPr>
        <w:t>≥</w:t>
      </w:r>
      <w:r w:rsidR="005E4FF9" w:rsidRPr="00615B0D">
        <w:rPr>
          <w:iCs/>
        </w:rPr>
        <w:t xml:space="preserve"> 45 YOA)</w:t>
      </w:r>
      <w:r w:rsidR="005E4FF9">
        <w:rPr>
          <w:iCs/>
        </w:rPr>
        <w:t xml:space="preserve"> and</w:t>
      </w:r>
      <w:r w:rsidR="005E4FF9" w:rsidRPr="00615B0D">
        <w:rPr>
          <w:iCs/>
        </w:rPr>
        <w:t xml:space="preserve"> </w:t>
      </w:r>
      <w:r w:rsidRPr="00B8593C">
        <w:rPr>
          <w:iCs/>
        </w:rPr>
        <w:t>advi</w:t>
      </w:r>
      <w:r w:rsidR="00B8381B">
        <w:rPr>
          <w:iCs/>
        </w:rPr>
        <w:t>sed</w:t>
      </w:r>
      <w:r w:rsidRPr="00B8593C">
        <w:rPr>
          <w:iCs/>
        </w:rPr>
        <w:t xml:space="preserve"> a pooled estimate from MacIntyre (2015), Qian (2021) and Lin (2022) </w:t>
      </w:r>
      <w:r w:rsidR="00EF7130" w:rsidRPr="00B8593C">
        <w:t>could be used</w:t>
      </w:r>
      <w:r w:rsidRPr="00B8593C">
        <w:rPr>
          <w:iCs/>
        </w:rPr>
        <w:t>.</w:t>
      </w:r>
      <w:r w:rsidRPr="00615B0D">
        <w:rPr>
          <w:iCs/>
        </w:rPr>
        <w:t xml:space="preserve"> Estimates from MacIntyre were higher than those presented in</w:t>
      </w:r>
      <w:r w:rsidR="00592E7A">
        <w:rPr>
          <w:iCs/>
        </w:rPr>
        <w:t xml:space="preserve"> </w:t>
      </w:r>
      <w:r w:rsidRPr="00615B0D">
        <w:rPr>
          <w:iCs/>
        </w:rPr>
        <w:t xml:space="preserve">Qian </w:t>
      </w:r>
      <w:r w:rsidR="00A329A2">
        <w:rPr>
          <w:iCs/>
        </w:rPr>
        <w:t xml:space="preserve">2021 </w:t>
      </w:r>
      <w:r w:rsidRPr="00615B0D">
        <w:rPr>
          <w:iCs/>
        </w:rPr>
        <w:t>and Lin</w:t>
      </w:r>
      <w:r w:rsidR="00A329A2">
        <w:rPr>
          <w:iCs/>
        </w:rPr>
        <w:t xml:space="preserve"> 2022</w:t>
      </w:r>
      <w:r w:rsidRPr="00615B0D">
        <w:rPr>
          <w:iCs/>
        </w:rPr>
        <w:t>. For example,</w:t>
      </w:r>
      <w:r w:rsidR="00C716CF" w:rsidRPr="00615B0D">
        <w:rPr>
          <w:iCs/>
        </w:rPr>
        <w:t xml:space="preserve"> </w:t>
      </w:r>
      <w:r w:rsidR="00B839C5" w:rsidRPr="00615B0D">
        <w:rPr>
          <w:iCs/>
        </w:rPr>
        <w:t>HZ incidence</w:t>
      </w:r>
      <w:r w:rsidRPr="00615B0D">
        <w:rPr>
          <w:iCs/>
        </w:rPr>
        <w:t xml:space="preserve"> for </w:t>
      </w:r>
      <w:r w:rsidRPr="00615B0D">
        <w:rPr>
          <w:iCs/>
          <w:u w:val="single"/>
        </w:rPr>
        <w:t>&gt;</w:t>
      </w:r>
      <w:r w:rsidRPr="00615B0D">
        <w:rPr>
          <w:iCs/>
        </w:rPr>
        <w:t xml:space="preserve">80 YOA, MacIntyre: 19.89 per 1000 persons; Qian: 13.31 per 1000 persons; and Lin: 9.3 per 1000 persons. See </w:t>
      </w:r>
      <w:r w:rsidRPr="00615B0D">
        <w:rPr>
          <w:iCs/>
        </w:rPr>
        <w:fldChar w:fldCharType="begin" w:fldLock="1"/>
      </w:r>
      <w:r w:rsidRPr="00615B0D">
        <w:rPr>
          <w:iCs/>
        </w:rPr>
        <w:instrText xml:space="preserve"> REF _Ref122266079 \h  \* MERGEFORMAT </w:instrText>
      </w:r>
      <w:r w:rsidRPr="00615B0D">
        <w:rPr>
          <w:iCs/>
        </w:rPr>
      </w:r>
      <w:r w:rsidRPr="00615B0D">
        <w:rPr>
          <w:iCs/>
        </w:rPr>
        <w:fldChar w:fldCharType="separate"/>
      </w:r>
      <w:r w:rsidR="00441995" w:rsidRPr="00441995">
        <w:rPr>
          <w:iCs/>
        </w:rPr>
        <w:t xml:space="preserve">Figure </w:t>
      </w:r>
      <w:r w:rsidR="00441995" w:rsidRPr="00441995">
        <w:rPr>
          <w:iCs/>
          <w:noProof/>
        </w:rPr>
        <w:t>1</w:t>
      </w:r>
      <w:r w:rsidRPr="00615B0D">
        <w:rPr>
          <w:iCs/>
        </w:rPr>
        <w:fldChar w:fldCharType="end"/>
      </w:r>
      <w:r w:rsidRPr="00615B0D">
        <w:rPr>
          <w:iCs/>
        </w:rPr>
        <w:t xml:space="preserve"> for more information</w:t>
      </w:r>
      <w:r w:rsidR="00795CB5" w:rsidRPr="00615B0D">
        <w:rPr>
          <w:iCs/>
        </w:rPr>
        <w:t xml:space="preserve"> (MacInty</w:t>
      </w:r>
      <w:r w:rsidR="00592E7A">
        <w:rPr>
          <w:iCs/>
        </w:rPr>
        <w:t>r</w:t>
      </w:r>
      <w:r w:rsidR="00795CB5" w:rsidRPr="00615B0D">
        <w:rPr>
          <w:iCs/>
        </w:rPr>
        <w:t>e sol</w:t>
      </w:r>
      <w:r w:rsidR="00AC3E28" w:rsidRPr="00615B0D">
        <w:rPr>
          <w:iCs/>
        </w:rPr>
        <w:t>id</w:t>
      </w:r>
      <w:r w:rsidR="00795CB5" w:rsidRPr="00615B0D">
        <w:rPr>
          <w:iCs/>
        </w:rPr>
        <w:t xml:space="preserve"> blue line, Qian yellow line, Lin green line)</w:t>
      </w:r>
      <w:r w:rsidRPr="00615B0D">
        <w:rPr>
          <w:iCs/>
        </w:rPr>
        <w:t>.</w:t>
      </w:r>
      <w:bookmarkEnd w:id="44"/>
    </w:p>
    <w:p w14:paraId="34C621BC" w14:textId="189781AD" w:rsidR="00D73D20" w:rsidRPr="00AD7238" w:rsidRDefault="00D73D20" w:rsidP="00D73D20">
      <w:pPr>
        <w:pStyle w:val="Caption"/>
      </w:pPr>
      <w:bookmarkStart w:id="45" w:name="_Ref122266079"/>
      <w:r w:rsidRPr="00AD7238">
        <w:t xml:space="preserve">Figure </w:t>
      </w:r>
      <w:r w:rsidR="000442ED">
        <w:fldChar w:fldCharType="begin" w:fldLock="1"/>
      </w:r>
      <w:r w:rsidR="000442ED">
        <w:instrText xml:space="preserve"> SEQ Figure \* ARABIC </w:instrText>
      </w:r>
      <w:r w:rsidR="000442ED">
        <w:fldChar w:fldCharType="separate"/>
      </w:r>
      <w:r w:rsidR="00602E99">
        <w:rPr>
          <w:noProof/>
        </w:rPr>
        <w:t>1</w:t>
      </w:r>
      <w:r w:rsidR="000442ED">
        <w:rPr>
          <w:noProof/>
        </w:rPr>
        <w:fldChar w:fldCharType="end"/>
      </w:r>
      <w:bookmarkEnd w:id="45"/>
      <w:r w:rsidRPr="00AD7238">
        <w:t>: Summary of identified Australian HZ incidence data</w:t>
      </w:r>
    </w:p>
    <w:p w14:paraId="3008E7DD" w14:textId="4CD8B85C" w:rsidR="00D73D20" w:rsidRPr="00AD7238" w:rsidRDefault="00561B7F" w:rsidP="00D73D20">
      <w:pPr>
        <w:pStyle w:val="Caption"/>
      </w:pPr>
      <w:r>
        <w:rPr>
          <w:noProof/>
        </w:rPr>
        <w:drawing>
          <wp:inline distT="0" distB="0" distL="0" distR="0" wp14:anchorId="51A375A6" wp14:editId="3AC4F9C4">
            <wp:extent cx="5736590" cy="2273935"/>
            <wp:effectExtent l="0" t="0" r="0" b="0"/>
            <wp:docPr id="8" name="Picture 8" descr="Figure 1: Summary of identified Australian HZ incidenc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Summary of identified Australian HZ incidence d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590" cy="2273935"/>
                    </a:xfrm>
                    <a:prstGeom prst="rect">
                      <a:avLst/>
                    </a:prstGeom>
                    <a:noFill/>
                  </pic:spPr>
                </pic:pic>
              </a:graphicData>
            </a:graphic>
          </wp:inline>
        </w:drawing>
      </w:r>
    </w:p>
    <w:p w14:paraId="60B3D676" w14:textId="77777777" w:rsidR="00D73D20" w:rsidRPr="00AD7238" w:rsidRDefault="00D73D20" w:rsidP="00D73D20">
      <w:pPr>
        <w:pStyle w:val="FooterTableFigure"/>
      </w:pPr>
      <w:r w:rsidRPr="00AD7238">
        <w:t>Source: Figure 3-3, p143 of the submission</w:t>
      </w:r>
    </w:p>
    <w:p w14:paraId="6E6F8706" w14:textId="3C8352A6" w:rsidR="00D73D20" w:rsidRPr="00214A59" w:rsidRDefault="00D73D20" w:rsidP="00214A59">
      <w:pPr>
        <w:pStyle w:val="3-BodyText"/>
        <w:rPr>
          <w:b/>
          <w:bCs/>
          <w:iCs/>
        </w:rPr>
      </w:pPr>
      <w:r w:rsidRPr="00AD7238">
        <w:t xml:space="preserve">The </w:t>
      </w:r>
      <w:r w:rsidR="006E2AAD" w:rsidRPr="00AD7238">
        <w:t>re</w:t>
      </w:r>
      <w:r w:rsidRPr="00AD7238">
        <w:t>submission presented sensitivity analys</w:t>
      </w:r>
      <w:r w:rsidR="00B8593C">
        <w:t>e</w:t>
      </w:r>
      <w:r w:rsidRPr="00AD7238">
        <w:t xml:space="preserve">s </w:t>
      </w:r>
      <w:r w:rsidR="00B8593C">
        <w:t xml:space="preserve">based on a </w:t>
      </w:r>
      <w:r w:rsidRPr="00AD7238">
        <w:t>pooled estimate from MacIntyre and Qian</w:t>
      </w:r>
      <w:r w:rsidR="00B8593C">
        <w:t xml:space="preserve"> and using Qian alone</w:t>
      </w:r>
      <w:r w:rsidRPr="00AD7238">
        <w:t>.</w:t>
      </w:r>
      <w:r w:rsidRPr="00615B0D">
        <w:rPr>
          <w:iCs/>
        </w:rPr>
        <w:t xml:space="preserve"> </w:t>
      </w:r>
      <w:r w:rsidR="004C4C12" w:rsidRPr="004C4C12">
        <w:rPr>
          <w:iCs/>
        </w:rPr>
        <w:t xml:space="preserve">The ICER increased to </w:t>
      </w:r>
      <w:r w:rsidR="00214A59" w:rsidRPr="00214A59">
        <w:rPr>
          <w:iCs/>
        </w:rPr>
        <w:t>$25,000 to &lt; $35,000</w:t>
      </w:r>
      <w:r w:rsidR="004C4C12" w:rsidRPr="00214A59">
        <w:rPr>
          <w:iCs/>
        </w:rPr>
        <w:t xml:space="preserve">/QALY using pooled data from MacIntyre and Qian and to </w:t>
      </w:r>
      <w:r w:rsidR="00214A59" w:rsidRPr="00214A59">
        <w:rPr>
          <w:iCs/>
        </w:rPr>
        <w:t>$25,000 to &lt; $35,000</w:t>
      </w:r>
      <w:r w:rsidR="004C4C12" w:rsidRPr="00214A59">
        <w:rPr>
          <w:iCs/>
        </w:rPr>
        <w:t>/QALY using Qian alone.</w:t>
      </w:r>
      <w:r w:rsidR="001B6B1A" w:rsidRPr="00214A59">
        <w:rPr>
          <w:iCs/>
        </w:rPr>
        <w:t xml:space="preserve"> </w:t>
      </w:r>
      <w:r w:rsidR="008E08AA" w:rsidRPr="00214A59">
        <w:rPr>
          <w:iCs/>
        </w:rPr>
        <w:t>A s</w:t>
      </w:r>
      <w:r w:rsidRPr="00214A59">
        <w:rPr>
          <w:iCs/>
        </w:rPr>
        <w:t xml:space="preserve">ensitivity analysis conducted during the evaluation using </w:t>
      </w:r>
      <w:r w:rsidR="00592E7A" w:rsidRPr="00214A59">
        <w:rPr>
          <w:iCs/>
        </w:rPr>
        <w:t>data</w:t>
      </w:r>
      <w:r w:rsidR="00A329A2" w:rsidRPr="00214A59">
        <w:rPr>
          <w:iCs/>
        </w:rPr>
        <w:t xml:space="preserve"> </w:t>
      </w:r>
      <w:r w:rsidRPr="00214A59">
        <w:rPr>
          <w:iCs/>
        </w:rPr>
        <w:t xml:space="preserve">from Lin </w:t>
      </w:r>
      <w:r w:rsidR="008E08AA" w:rsidRPr="00214A59">
        <w:rPr>
          <w:iCs/>
        </w:rPr>
        <w:t xml:space="preserve">alone </w:t>
      </w:r>
      <w:r w:rsidRPr="00214A59">
        <w:rPr>
          <w:iCs/>
        </w:rPr>
        <w:t xml:space="preserve">found the ICER </w:t>
      </w:r>
      <w:r w:rsidR="00795CB5" w:rsidRPr="00214A59">
        <w:rPr>
          <w:iCs/>
        </w:rPr>
        <w:t>increased</w:t>
      </w:r>
      <w:r w:rsidR="001D4327" w:rsidRPr="00214A59" w:rsidDel="001D4327">
        <w:rPr>
          <w:iCs/>
        </w:rPr>
        <w:t xml:space="preserve"> </w:t>
      </w:r>
      <w:r w:rsidRPr="00214A59">
        <w:rPr>
          <w:iCs/>
        </w:rPr>
        <w:t xml:space="preserve">to </w:t>
      </w:r>
      <w:r w:rsidR="00214A59" w:rsidRPr="00214A59">
        <w:rPr>
          <w:iCs/>
        </w:rPr>
        <w:t>$55,000 to &lt; $75,000</w:t>
      </w:r>
      <w:r w:rsidR="00795CB5" w:rsidRPr="00214A59">
        <w:rPr>
          <w:iCs/>
        </w:rPr>
        <w:t>/ QALY</w:t>
      </w:r>
      <w:r w:rsidRPr="00214A59">
        <w:rPr>
          <w:iCs/>
        </w:rPr>
        <w:t xml:space="preserve"> for the non-Indigenous population; and to </w:t>
      </w:r>
      <w:r w:rsidR="00214A59" w:rsidRPr="00214A59">
        <w:rPr>
          <w:iCs/>
        </w:rPr>
        <w:t>$115,000 to &lt; $135,000</w:t>
      </w:r>
      <w:r w:rsidR="00795CB5" w:rsidRPr="00214A59">
        <w:rPr>
          <w:iCs/>
        </w:rPr>
        <w:t>/ QALY</w:t>
      </w:r>
      <w:r w:rsidRPr="00214A59">
        <w:rPr>
          <w:iCs/>
        </w:rPr>
        <w:t xml:space="preserve"> for the</w:t>
      </w:r>
      <w:r w:rsidR="00F44EE9" w:rsidRPr="00214A59">
        <w:rPr>
          <w:iCs/>
        </w:rPr>
        <w:t xml:space="preserve"> Aboriginal and Torres Strait Islander</w:t>
      </w:r>
      <w:r w:rsidRPr="00214A59">
        <w:rPr>
          <w:iCs/>
        </w:rPr>
        <w:t xml:space="preserve"> population.</w:t>
      </w:r>
      <w:r w:rsidR="00F44EE9" w:rsidRPr="00214A59">
        <w:rPr>
          <w:iCs/>
        </w:rPr>
        <w:t xml:space="preserve"> An analys</w:t>
      </w:r>
      <w:r w:rsidR="008D4471" w:rsidRPr="00214A59">
        <w:rPr>
          <w:iCs/>
        </w:rPr>
        <w:t>i</w:t>
      </w:r>
      <w:r w:rsidR="00F44EE9" w:rsidRPr="00214A59">
        <w:rPr>
          <w:iCs/>
        </w:rPr>
        <w:t xml:space="preserve">s using the pooled estimates from MacIntyre, Qian and Lin was not presented in the </w:t>
      </w:r>
      <w:r w:rsidR="00AC0D88" w:rsidRPr="00214A59">
        <w:rPr>
          <w:iCs/>
        </w:rPr>
        <w:t>re</w:t>
      </w:r>
      <w:r w:rsidR="00F44EE9" w:rsidRPr="00214A59">
        <w:rPr>
          <w:iCs/>
        </w:rPr>
        <w:t xml:space="preserve">submission and </w:t>
      </w:r>
      <w:r w:rsidR="008D4471" w:rsidRPr="00214A59">
        <w:rPr>
          <w:iCs/>
        </w:rPr>
        <w:t xml:space="preserve">the pooled data was not provided to enable </w:t>
      </w:r>
      <w:r w:rsidR="00F44EE9" w:rsidRPr="00214A59">
        <w:rPr>
          <w:iCs/>
        </w:rPr>
        <w:t xml:space="preserve">a </w:t>
      </w:r>
      <w:r w:rsidR="00F44EE9" w:rsidRPr="00214A59">
        <w:rPr>
          <w:iCs/>
        </w:rPr>
        <w:lastRenderedPageBreak/>
        <w:t>sensitivity analysis</w:t>
      </w:r>
      <w:r w:rsidR="008D4471" w:rsidRPr="00214A59">
        <w:rPr>
          <w:iCs/>
        </w:rPr>
        <w:t xml:space="preserve"> during evaluation</w:t>
      </w:r>
      <w:r w:rsidR="00F44EE9" w:rsidRPr="00214A59">
        <w:rPr>
          <w:iCs/>
        </w:rPr>
        <w:t xml:space="preserve">. </w:t>
      </w:r>
      <w:r w:rsidR="005E4FF9" w:rsidRPr="00214A59">
        <w:rPr>
          <w:iCs/>
        </w:rPr>
        <w:t xml:space="preserve">The PSCR </w:t>
      </w:r>
      <w:r w:rsidR="00EC51F8" w:rsidRPr="00214A59">
        <w:rPr>
          <w:iCs/>
        </w:rPr>
        <w:t xml:space="preserve">reiterated the discussion in the resubmission </w:t>
      </w:r>
      <w:r w:rsidR="005E4FF9" w:rsidRPr="00214A59">
        <w:rPr>
          <w:iCs/>
        </w:rPr>
        <w:t>that</w:t>
      </w:r>
      <w:r w:rsidR="00D55B41" w:rsidRPr="00214A59">
        <w:rPr>
          <w:iCs/>
        </w:rPr>
        <w:t xml:space="preserve"> </w:t>
      </w:r>
      <w:r w:rsidR="005E4FF9" w:rsidRPr="00A65E17">
        <w:t>Lin (2022) was not included in any pooled estimates</w:t>
      </w:r>
      <w:r w:rsidR="005E4FF9">
        <w:t xml:space="preserve"> as it </w:t>
      </w:r>
      <w:r w:rsidR="005E4FF9" w:rsidRPr="00A65E17">
        <w:t>was not designed to estimate the risk of HZ in the Australian population, as its case ascertainment method relies on free-text search and consistent GP encounter recording practices.</w:t>
      </w:r>
    </w:p>
    <w:p w14:paraId="04DA8DDF" w14:textId="5AFA7962" w:rsidR="00726AEF" w:rsidRPr="00A65E17" w:rsidRDefault="00726AEF" w:rsidP="00C522D4">
      <w:pPr>
        <w:pStyle w:val="3-BodyText"/>
      </w:pPr>
      <w:r w:rsidRPr="00A65E17">
        <w:t>The ESC</w:t>
      </w:r>
      <w:r w:rsidR="00942695" w:rsidRPr="00A65E17">
        <w:t xml:space="preserve"> advised</w:t>
      </w:r>
      <w:r w:rsidRPr="00A65E17">
        <w:t xml:space="preserve"> additional ATAGI guidance around the most reliable estimate of incidence would be informative. </w:t>
      </w:r>
      <w:r w:rsidR="001B6B1A">
        <w:t>The ATAGI post-</w:t>
      </w:r>
      <w:r w:rsidR="001D4327">
        <w:t>submission</w:t>
      </w:r>
      <w:r w:rsidR="001B6B1A">
        <w:t xml:space="preserve"> advice </w:t>
      </w:r>
      <w:r w:rsidR="005E4FF9">
        <w:t>reiterated that the MacIntyre study may overestimate the HZ incidence and suggested that data from the MacIntrye</w:t>
      </w:r>
      <w:r w:rsidR="00EC51F8">
        <w:t xml:space="preserve"> (2015)</w:t>
      </w:r>
      <w:r w:rsidR="005E4FF9">
        <w:t>, Qian</w:t>
      </w:r>
      <w:r w:rsidR="00EC51F8">
        <w:t xml:space="preserve"> (2021)</w:t>
      </w:r>
      <w:r w:rsidR="005E4FF9">
        <w:t xml:space="preserve"> and Lin </w:t>
      </w:r>
      <w:r w:rsidR="00EC51F8">
        <w:t xml:space="preserve">(2022) </w:t>
      </w:r>
      <w:r w:rsidR="005E4FF9">
        <w:t>studies be combined to create one pooled point-estimate for the pre-vaccine HZ incidence. The pre-PBAC response reiterate</w:t>
      </w:r>
      <w:r w:rsidR="00D55B41">
        <w:t xml:space="preserve">d that it was not appropriate to include the Lin study in the pooled estimate due to methodological issues. The pre-PBAC response acknowledged the incidence remains an area of uncertainty and stated </w:t>
      </w:r>
      <w:r w:rsidR="00D55B41" w:rsidRPr="00D55B41">
        <w:t xml:space="preserve">the PBAC may </w:t>
      </w:r>
      <w:r w:rsidR="00D55B41">
        <w:t xml:space="preserve">wish to </w:t>
      </w:r>
      <w:r w:rsidR="00D55B41" w:rsidRPr="00D55B41">
        <w:t>consider the cost-effectiveness of RZV using the base-case estimates from</w:t>
      </w:r>
      <w:r w:rsidR="00D55B41">
        <w:t xml:space="preserve"> MacIntyre</w:t>
      </w:r>
      <w:r w:rsidR="00D55B41" w:rsidRPr="00D55B41">
        <w:t xml:space="preserve"> </w:t>
      </w:r>
      <w:r w:rsidR="00D55B41">
        <w:t xml:space="preserve">(2015) </w:t>
      </w:r>
      <w:r w:rsidR="00D55B41" w:rsidRPr="00D55B41">
        <w:t xml:space="preserve">or using pooled incidence from </w:t>
      </w:r>
      <w:r w:rsidR="00D55B41">
        <w:t xml:space="preserve">MacIntyre </w:t>
      </w:r>
      <w:r w:rsidR="00EC51F8">
        <w:t xml:space="preserve">(2015) </w:t>
      </w:r>
      <w:r w:rsidR="00D55B41" w:rsidRPr="00D55B41">
        <w:t>&amp; Qian (2021).</w:t>
      </w:r>
    </w:p>
    <w:p w14:paraId="43153F1B" w14:textId="6C89D459" w:rsidR="00D73D20" w:rsidRDefault="00D73D20" w:rsidP="00D73D20">
      <w:pPr>
        <w:pStyle w:val="3-BodyText"/>
        <w:rPr>
          <w:iCs/>
        </w:rPr>
      </w:pPr>
      <w:r w:rsidRPr="00AD7238">
        <w:t xml:space="preserve">The </w:t>
      </w:r>
      <w:r w:rsidR="008A5C19" w:rsidRPr="00AD7238">
        <w:t>re</w:t>
      </w:r>
      <w:r w:rsidRPr="00AD7238">
        <w:t>submission used data derived from MacIntyre</w:t>
      </w:r>
      <w:r w:rsidR="005248B0" w:rsidRPr="00AD7238">
        <w:t xml:space="preserve"> (</w:t>
      </w:r>
      <w:r w:rsidRPr="00AD7238">
        <w:t>2015</w:t>
      </w:r>
      <w:r w:rsidR="005248B0" w:rsidRPr="00AD7238">
        <w:t>)</w:t>
      </w:r>
      <w:r w:rsidRPr="00AD7238">
        <w:t xml:space="preserve"> to estimate the age-specific incidence of PHN following a case of HZ.</w:t>
      </w:r>
      <w:r w:rsidRPr="00615B0D">
        <w:rPr>
          <w:iCs/>
        </w:rPr>
        <w:t xml:space="preserve"> This is unchanged </w:t>
      </w:r>
      <w:r w:rsidR="008A5C19" w:rsidRPr="00615B0D">
        <w:rPr>
          <w:iCs/>
        </w:rPr>
        <w:t xml:space="preserve">from the </w:t>
      </w:r>
      <w:r w:rsidR="008D4471" w:rsidRPr="00615B0D">
        <w:rPr>
          <w:iCs/>
        </w:rPr>
        <w:t xml:space="preserve">2018 </w:t>
      </w:r>
      <w:r w:rsidRPr="00615B0D">
        <w:rPr>
          <w:iCs/>
        </w:rPr>
        <w:t xml:space="preserve">submission. </w:t>
      </w:r>
      <w:r w:rsidR="00E102D3" w:rsidRPr="00615B0D">
        <w:rPr>
          <w:iCs/>
        </w:rPr>
        <w:t>ATAGI noted</w:t>
      </w:r>
      <w:r w:rsidR="00522D84" w:rsidRPr="00615B0D">
        <w:rPr>
          <w:iCs/>
        </w:rPr>
        <w:t xml:space="preserve"> there is limited data</w:t>
      </w:r>
      <w:r w:rsidR="00462E1D" w:rsidRPr="00615B0D">
        <w:rPr>
          <w:iCs/>
        </w:rPr>
        <w:t xml:space="preserve"> </w:t>
      </w:r>
      <w:r w:rsidR="005248B0" w:rsidRPr="00615B0D">
        <w:rPr>
          <w:iCs/>
        </w:rPr>
        <w:t>and that MacIntyre (2015) was the most recent Australian data</w:t>
      </w:r>
      <w:r w:rsidR="001F6CD4">
        <w:rPr>
          <w:iCs/>
        </w:rPr>
        <w:t>.</w:t>
      </w:r>
    </w:p>
    <w:p w14:paraId="4E47FF75" w14:textId="57516575" w:rsidR="002E21E5" w:rsidRDefault="002E21E5" w:rsidP="00D73D20">
      <w:pPr>
        <w:pStyle w:val="3-BodyText"/>
        <w:rPr>
          <w:iCs/>
        </w:rPr>
      </w:pPr>
      <w:r w:rsidRPr="00A65E17">
        <w:t>There are limited data regarding HZ incidence in Aboriginal and Torres Strait Islander people.</w:t>
      </w:r>
      <w:r w:rsidRPr="002E21E5">
        <w:rPr>
          <w:iCs/>
        </w:rPr>
        <w:t xml:space="preserve"> </w:t>
      </w:r>
      <w:r w:rsidRPr="00A65E17">
        <w:t xml:space="preserve">The ESC noted incidence rate ratios </w:t>
      </w:r>
      <w:r w:rsidR="00C03E46">
        <w:t xml:space="preserve">for rates of hospitalisation for HZ </w:t>
      </w:r>
      <w:r w:rsidRPr="00A65E17">
        <w:t>from</w:t>
      </w:r>
      <w:r w:rsidR="00EE4625" w:rsidRPr="00A65E17">
        <w:t xml:space="preserve"> Sheel 2017 </w:t>
      </w:r>
      <w:r w:rsidRPr="00A65E17">
        <w:t>were used to inform adjustments to the baseline risk of HZ in Aboriginal and Torres Strait Islander population relative to the non-Indigenous population.</w:t>
      </w:r>
      <w:r>
        <w:rPr>
          <w:iCs/>
        </w:rPr>
        <w:t xml:space="preserve"> </w:t>
      </w:r>
      <w:r w:rsidR="00EE4625" w:rsidRPr="00A65E17">
        <w:t>The ESC considered the incidence in the Aboriginal and Torres Strait Islander population as uncertain but, overall, the approach in the resubmission was likely to be appropriate.</w:t>
      </w:r>
      <w:r w:rsidR="00EE4625">
        <w:rPr>
          <w:iCs/>
        </w:rPr>
        <w:t xml:space="preserve"> </w:t>
      </w:r>
    </w:p>
    <w:p w14:paraId="5E7B6D12" w14:textId="4440F0A7" w:rsidR="00025BE1" w:rsidRPr="003C590D" w:rsidRDefault="00025BE1" w:rsidP="003C590D">
      <w:pPr>
        <w:pStyle w:val="3-BodyText"/>
        <w:numPr>
          <w:ilvl w:val="0"/>
          <w:numId w:val="0"/>
        </w:numPr>
        <w:ind w:left="720" w:hanging="720"/>
        <w:outlineLvl w:val="2"/>
        <w:rPr>
          <w:b/>
          <w:bCs/>
          <w:u w:val="single"/>
        </w:rPr>
      </w:pPr>
      <w:r w:rsidRPr="003C590D">
        <w:rPr>
          <w:b/>
          <w:bCs/>
          <w:u w:val="single"/>
        </w:rPr>
        <w:t>Vaccine efficacy</w:t>
      </w:r>
    </w:p>
    <w:p w14:paraId="76235B06" w14:textId="4567E6B2" w:rsidR="00D163AA" w:rsidRDefault="00D163AA" w:rsidP="00D73D20">
      <w:pPr>
        <w:pStyle w:val="3-BodyText"/>
      </w:pPr>
      <w:r w:rsidRPr="00AD7238">
        <w:t>The resubmission applied a linear regression to fit the annual VE</w:t>
      </w:r>
      <w:r w:rsidRPr="00AD7238">
        <w:rPr>
          <w:vertAlign w:val="subscript"/>
        </w:rPr>
        <w:t>HZ</w:t>
      </w:r>
      <w:r w:rsidRPr="00AD7238">
        <w:t xml:space="preserve"> estimates from year 1 to year 8 separately for adults 50-69 YOA and adults ≥70 YOA from the first interim analysis of ZOSTER-049 (Curran, 2021; Boutry, 2021). The intercept for each of these linear models was then used as the two-dose RZV take after receipt of the second dose, while the respective slopes informed VE waning.</w:t>
      </w:r>
    </w:p>
    <w:p w14:paraId="2122D0AB" w14:textId="239A518D" w:rsidR="00D73D20" w:rsidRPr="00AD7238" w:rsidRDefault="00D73D20" w:rsidP="00D73D20">
      <w:pPr>
        <w:pStyle w:val="3-BodyText"/>
      </w:pPr>
      <w:r w:rsidRPr="00AD7238">
        <w:t>The estimated RZV two-dose VE</w:t>
      </w:r>
      <w:r w:rsidRPr="00AD7238">
        <w:rPr>
          <w:vertAlign w:val="subscript"/>
        </w:rPr>
        <w:t>HZ</w:t>
      </w:r>
      <w:r w:rsidRPr="00AD7238">
        <w:t xml:space="preserve"> take was 98.9% (95% CI: 94.0, 100.0) for adults 50-69 YOA and 95.4% (95% CI: 89.7, 100.0) for adults ≥70</w:t>
      </w:r>
      <w:r w:rsidR="006E2AAD" w:rsidRPr="00AD7238">
        <w:t xml:space="preserve"> YOA</w:t>
      </w:r>
      <w:r w:rsidRPr="00AD7238">
        <w:t>. These estimates have changed slightly from the</w:t>
      </w:r>
      <w:r w:rsidR="00815FA2" w:rsidRPr="00AD7238">
        <w:t xml:space="preserve"> 2018</w:t>
      </w:r>
      <w:r w:rsidRPr="00AD7238">
        <w:t xml:space="preserve"> submission – 98.4% and 97.8%, respectively</w:t>
      </w:r>
      <w:r w:rsidR="008D4471" w:rsidRPr="00AD7238">
        <w:t>,</w:t>
      </w:r>
      <w:r w:rsidRPr="00AD7238">
        <w:t xml:space="preserve"> due to the inclusion of long-term follow-up VE data from ZOSTER-049. </w:t>
      </w:r>
    </w:p>
    <w:p w14:paraId="074D6C1C" w14:textId="79336AAC" w:rsidR="00025BE1" w:rsidRPr="00025BE1" w:rsidRDefault="00025BE1">
      <w:pPr>
        <w:pStyle w:val="3-BodyText"/>
      </w:pPr>
      <w:r w:rsidRPr="00AD7238">
        <w:t>Based on the linear regression</w:t>
      </w:r>
      <w:r w:rsidR="00893CFE">
        <w:t xml:space="preserve"> models, the</w:t>
      </w:r>
      <w:r w:rsidRPr="00AD7238">
        <w:t xml:space="preserve"> assumed annual waning rates </w:t>
      </w:r>
      <w:r w:rsidR="00893CFE">
        <w:t>were</w:t>
      </w:r>
      <w:r w:rsidR="00893CFE" w:rsidRPr="00AD7238">
        <w:t xml:space="preserve"> </w:t>
      </w:r>
      <w:r w:rsidRPr="00AD7238">
        <w:t>1.5% for adults before the age of 70</w:t>
      </w:r>
      <w:r w:rsidR="00893CFE">
        <w:t xml:space="preserve"> years</w:t>
      </w:r>
      <w:r w:rsidRPr="00AD7238">
        <w:t xml:space="preserve"> and 2.3% </w:t>
      </w:r>
      <w:r w:rsidR="00893CFE">
        <w:t>for adults older than</w:t>
      </w:r>
      <w:r w:rsidRPr="00AD7238">
        <w:t xml:space="preserve"> 70 </w:t>
      </w:r>
      <w:r w:rsidR="00893CFE">
        <w:t xml:space="preserve">years </w:t>
      </w:r>
      <w:r w:rsidRPr="00AD7238">
        <w:t xml:space="preserve">(with no change in waning rates dependent on time after vaccination). </w:t>
      </w:r>
      <w:r w:rsidR="003740F7">
        <w:t xml:space="preserve">With the exception of the rate used for the first 4 years following vaccination, </w:t>
      </w:r>
      <w:r w:rsidR="003740F7">
        <w:rPr>
          <w:iCs/>
        </w:rPr>
        <w:t>t</w:t>
      </w:r>
      <w:r w:rsidR="003740F7" w:rsidRPr="00893CFE">
        <w:rPr>
          <w:iCs/>
        </w:rPr>
        <w:t>he waning rates</w:t>
      </w:r>
      <w:r w:rsidR="003740F7">
        <w:rPr>
          <w:iCs/>
        </w:rPr>
        <w:t xml:space="preserve"> used in the </w:t>
      </w:r>
      <w:r w:rsidR="003740F7">
        <w:rPr>
          <w:iCs/>
        </w:rPr>
        <w:lastRenderedPageBreak/>
        <w:t>resubmission</w:t>
      </w:r>
      <w:r w:rsidR="003740F7" w:rsidRPr="00893CFE">
        <w:rPr>
          <w:iCs/>
        </w:rPr>
        <w:t xml:space="preserve"> were lower </w:t>
      </w:r>
      <w:r w:rsidR="003740F7">
        <w:rPr>
          <w:iCs/>
        </w:rPr>
        <w:t>than</w:t>
      </w:r>
      <w:r w:rsidR="003740F7" w:rsidRPr="00893CFE">
        <w:rPr>
          <w:iCs/>
        </w:rPr>
        <w:t xml:space="preserve"> those used in the 2018 submission</w:t>
      </w:r>
      <w:r w:rsidR="003740F7">
        <w:rPr>
          <w:iCs/>
        </w:rPr>
        <w:t xml:space="preserve"> </w:t>
      </w:r>
      <w:r w:rsidR="00A329A2" w:rsidRPr="00893CFE">
        <w:rPr>
          <w:iCs/>
        </w:rPr>
        <w:t xml:space="preserve">(1.0% for the first four years following vaccination, 2.3% after four years before the age of 70, and 3.6% after turning 70, refer to Table 13, </w:t>
      </w:r>
      <w:r w:rsidR="00915A5A">
        <w:rPr>
          <w:iCs/>
        </w:rPr>
        <w:t>RZV</w:t>
      </w:r>
      <w:r w:rsidR="00A329A2" w:rsidRPr="00893CFE">
        <w:rPr>
          <w:iCs/>
        </w:rPr>
        <w:t xml:space="preserve"> PSD, November 2018 PBAC meeting). </w:t>
      </w:r>
      <w:r w:rsidRPr="00893CFE">
        <w:rPr>
          <w:iCs/>
        </w:rPr>
        <w:t xml:space="preserve">Scenarios assuming an annual RZV waning rate of 5.4% beginning at 10 and 15 years were tested </w:t>
      </w:r>
      <w:r w:rsidRPr="00A65E17">
        <w:t>during the evaluation</w:t>
      </w:r>
      <w:r w:rsidRPr="00893CFE">
        <w:rPr>
          <w:iCs/>
        </w:rPr>
        <w:t>, demonstrating modest impact on cost-effectiveness results</w:t>
      </w:r>
      <w:r w:rsidR="00F754CD">
        <w:rPr>
          <w:iCs/>
        </w:rPr>
        <w:t xml:space="preserve"> (refer to </w:t>
      </w:r>
      <w:r w:rsidR="00F754CD">
        <w:rPr>
          <w:iCs/>
        </w:rPr>
        <w:fldChar w:fldCharType="begin" w:fldLock="1"/>
      </w:r>
      <w:r w:rsidR="00F754CD">
        <w:rPr>
          <w:iCs/>
        </w:rPr>
        <w:instrText xml:space="preserve"> REF _Ref122266952 \h </w:instrText>
      </w:r>
      <w:r w:rsidR="00F754CD">
        <w:rPr>
          <w:iCs/>
        </w:rPr>
      </w:r>
      <w:r w:rsidR="00F754CD">
        <w:rPr>
          <w:iCs/>
        </w:rPr>
        <w:fldChar w:fldCharType="separate"/>
      </w:r>
      <w:r w:rsidR="00441995" w:rsidRPr="00AD7238">
        <w:t xml:space="preserve">Table </w:t>
      </w:r>
      <w:r w:rsidR="00441995">
        <w:rPr>
          <w:noProof/>
        </w:rPr>
        <w:t>15</w:t>
      </w:r>
      <w:r w:rsidR="00F754CD">
        <w:rPr>
          <w:iCs/>
        </w:rPr>
        <w:fldChar w:fldCharType="end"/>
      </w:r>
      <w:r w:rsidR="00F754CD">
        <w:rPr>
          <w:iCs/>
        </w:rPr>
        <w:t xml:space="preserve"> and </w:t>
      </w:r>
      <w:r w:rsidR="00F754CD" w:rsidRPr="00F754CD">
        <w:rPr>
          <w:iCs/>
        </w:rPr>
        <w:fldChar w:fldCharType="begin" w:fldLock="1"/>
      </w:r>
      <w:r w:rsidR="00F754CD" w:rsidRPr="00F754CD">
        <w:rPr>
          <w:iCs/>
        </w:rPr>
        <w:instrText xml:space="preserve"> REF _Ref122266959 \h  \* MERGEFORMAT </w:instrText>
      </w:r>
      <w:r w:rsidR="00F754CD" w:rsidRPr="00F754CD">
        <w:rPr>
          <w:iCs/>
        </w:rPr>
      </w:r>
      <w:r w:rsidR="00F754CD" w:rsidRPr="00F754CD">
        <w:rPr>
          <w:iCs/>
        </w:rPr>
        <w:fldChar w:fldCharType="separate"/>
      </w:r>
      <w:r w:rsidR="00441995" w:rsidRPr="00441995">
        <w:rPr>
          <w:iCs/>
        </w:rPr>
        <w:t>Table 16</w:t>
      </w:r>
      <w:r w:rsidR="00F754CD" w:rsidRPr="00F754CD">
        <w:rPr>
          <w:iCs/>
        </w:rPr>
        <w:fldChar w:fldCharType="end"/>
      </w:r>
      <w:r w:rsidR="00F754CD" w:rsidRPr="00F754CD">
        <w:t>)</w:t>
      </w:r>
      <w:r w:rsidRPr="00F754CD">
        <w:t>.</w:t>
      </w:r>
    </w:p>
    <w:p w14:paraId="0950C354" w14:textId="6D478260" w:rsidR="00912038" w:rsidRDefault="00025BE1" w:rsidP="00025BE1">
      <w:pPr>
        <w:pStyle w:val="3-BodyText"/>
      </w:pPr>
      <w:bookmarkStart w:id="46" w:name="_Ref129798022"/>
      <w:r w:rsidRPr="00025BE1">
        <w:t>Single do</w:t>
      </w:r>
      <w:r w:rsidR="00912038">
        <w:t>s</w:t>
      </w:r>
      <w:r w:rsidRPr="00025BE1">
        <w:t>e RZV VE</w:t>
      </w:r>
      <w:r w:rsidRPr="00912038">
        <w:rPr>
          <w:vertAlign w:val="subscript"/>
        </w:rPr>
        <w:t>HZ</w:t>
      </w:r>
      <w:r w:rsidRPr="00025BE1">
        <w:t xml:space="preserve"> was assumed to be 90.1% (for 50-69 YOA) and 69.5% (for ≥ 70 YOA) and </w:t>
      </w:r>
      <w:r w:rsidR="00767B3A">
        <w:t>g</w:t>
      </w:r>
      <w:r w:rsidR="00767B3A" w:rsidRPr="00767B3A">
        <w:t xml:space="preserve">iven the absence of data and lack of long-term follow up for </w:t>
      </w:r>
      <w:r w:rsidR="00492D6E">
        <w:t>a</w:t>
      </w:r>
      <w:r w:rsidR="00492D6E" w:rsidRPr="00767B3A">
        <w:t xml:space="preserve"> </w:t>
      </w:r>
      <w:r w:rsidR="00767B3A" w:rsidRPr="00767B3A">
        <w:t>single dose</w:t>
      </w:r>
      <w:r w:rsidR="00492D6E">
        <w:t xml:space="preserve"> of RZV</w:t>
      </w:r>
      <w:r w:rsidR="00767B3A" w:rsidRPr="00767B3A">
        <w:t>, the resubmission assumed the waning rate</w:t>
      </w:r>
      <w:r w:rsidR="00492D6E">
        <w:t xml:space="preserve"> following a single dose</w:t>
      </w:r>
      <w:r w:rsidR="00767B3A" w:rsidRPr="00767B3A">
        <w:t xml:space="preserve"> to be the same as</w:t>
      </w:r>
      <w:r w:rsidR="00492D6E">
        <w:t xml:space="preserve"> for</w:t>
      </w:r>
      <w:r w:rsidR="00767B3A" w:rsidRPr="00767B3A">
        <w:t xml:space="preserve"> ZVL </w:t>
      </w:r>
      <w:r w:rsidR="00492D6E">
        <w:t>(</w:t>
      </w:r>
      <w:r w:rsidR="00767B3A" w:rsidRPr="00767B3A">
        <w:t>5.4% in years 1 to 4 and 5.1% from year 5 onwards</w:t>
      </w:r>
      <w:r w:rsidR="00492D6E">
        <w:t>)</w:t>
      </w:r>
      <w:r w:rsidR="00767B3A" w:rsidRPr="00767B3A">
        <w:t xml:space="preserve">. </w:t>
      </w:r>
      <w:r w:rsidR="00912038" w:rsidRPr="00A65E17">
        <w:rPr>
          <w:iCs/>
        </w:rPr>
        <w:t xml:space="preserve">The </w:t>
      </w:r>
      <w:r w:rsidR="00A700B2" w:rsidRPr="00A65E17">
        <w:rPr>
          <w:iCs/>
        </w:rPr>
        <w:t>ESC noted</w:t>
      </w:r>
      <w:r w:rsidR="008D1AF6" w:rsidRPr="00A65E17">
        <w:rPr>
          <w:iCs/>
        </w:rPr>
        <w:t xml:space="preserve"> </w:t>
      </w:r>
      <w:r w:rsidRPr="00A65E17">
        <w:rPr>
          <w:iCs/>
        </w:rPr>
        <w:t>single dose VE</w:t>
      </w:r>
      <w:r w:rsidRPr="00A65E17">
        <w:rPr>
          <w:iCs/>
          <w:vertAlign w:val="subscript"/>
        </w:rPr>
        <w:t>HZ</w:t>
      </w:r>
      <w:r w:rsidRPr="00A65E17">
        <w:rPr>
          <w:iCs/>
        </w:rPr>
        <w:t xml:space="preserve"> was </w:t>
      </w:r>
      <w:r w:rsidR="008D1AF6" w:rsidRPr="00A65E17">
        <w:rPr>
          <w:iCs/>
        </w:rPr>
        <w:t xml:space="preserve">from a post-hoc analysis of all </w:t>
      </w:r>
      <w:r w:rsidR="00561625" w:rsidRPr="00A65E17">
        <w:rPr>
          <w:iCs/>
        </w:rPr>
        <w:t xml:space="preserve">individuals </w:t>
      </w:r>
      <w:r w:rsidR="008D1AF6" w:rsidRPr="00A65E17">
        <w:rPr>
          <w:iCs/>
        </w:rPr>
        <w:t xml:space="preserve">in the ZOE-50 and ZOE-70 trials that received at least one dose of RZV. The ESC noted </w:t>
      </w:r>
      <w:r w:rsidRPr="00A65E17">
        <w:rPr>
          <w:iCs/>
        </w:rPr>
        <w:t xml:space="preserve">follow-up </w:t>
      </w:r>
      <w:r w:rsidR="008D1AF6" w:rsidRPr="00A65E17">
        <w:rPr>
          <w:iCs/>
        </w:rPr>
        <w:t xml:space="preserve">was short (76 days for ZOE-50 and </w:t>
      </w:r>
      <w:r w:rsidRPr="00A65E17">
        <w:rPr>
          <w:iCs/>
        </w:rPr>
        <w:t>85 days</w:t>
      </w:r>
      <w:r w:rsidR="008D1AF6" w:rsidRPr="00A65E17">
        <w:rPr>
          <w:iCs/>
        </w:rPr>
        <w:t xml:space="preserve"> for ZOE-70) and considered the VE</w:t>
      </w:r>
      <w:r w:rsidR="008D1AF6" w:rsidRPr="00A65E17">
        <w:rPr>
          <w:iCs/>
          <w:vertAlign w:val="subscript"/>
        </w:rPr>
        <w:t>HZ</w:t>
      </w:r>
      <w:r w:rsidR="008D1AF6" w:rsidRPr="00A65E17">
        <w:rPr>
          <w:iCs/>
        </w:rPr>
        <w:t xml:space="preserve"> of a single dose</w:t>
      </w:r>
      <w:r w:rsidR="00045031" w:rsidRPr="00A65E17">
        <w:rPr>
          <w:iCs/>
        </w:rPr>
        <w:t>, and its rate of waning,</w:t>
      </w:r>
      <w:r w:rsidR="008D1AF6" w:rsidRPr="00A65E17">
        <w:rPr>
          <w:iCs/>
        </w:rPr>
        <w:t xml:space="preserve"> remained uncertain</w:t>
      </w:r>
      <w:r w:rsidRPr="00025BE1">
        <w:t>.</w:t>
      </w:r>
      <w:bookmarkEnd w:id="46"/>
      <w:r w:rsidRPr="00025BE1">
        <w:t xml:space="preserve"> </w:t>
      </w:r>
    </w:p>
    <w:p w14:paraId="303A0829" w14:textId="6F8CE3A5" w:rsidR="00025BE1" w:rsidRPr="00025BE1" w:rsidRDefault="00025BE1" w:rsidP="00952E13">
      <w:pPr>
        <w:pStyle w:val="3-BodyText"/>
      </w:pPr>
      <w:r w:rsidRPr="00025BE1">
        <w:t>Based on the rates used, the estimated duration of</w:t>
      </w:r>
      <w:r w:rsidR="00045031">
        <w:t xml:space="preserve"> any</w:t>
      </w:r>
      <w:r w:rsidRPr="00025BE1">
        <w:t xml:space="preserve"> protection for 1 dose was </w:t>
      </w:r>
      <w:r w:rsidR="00763513" w:rsidRPr="00A65E17">
        <w:rPr>
          <w:iCs/>
        </w:rPr>
        <w:t>17</w:t>
      </w:r>
      <w:r w:rsidRPr="00025BE1">
        <w:t xml:space="preserve"> years for those 50-69 YOA and </w:t>
      </w:r>
      <w:r w:rsidR="00763513" w:rsidRPr="00A65E17">
        <w:rPr>
          <w:iCs/>
        </w:rPr>
        <w:t>13</w:t>
      </w:r>
      <w:r w:rsidR="00763513" w:rsidRPr="00025BE1">
        <w:t xml:space="preserve"> </w:t>
      </w:r>
      <w:r w:rsidRPr="00025BE1">
        <w:t xml:space="preserve">years for ≥ 70 YOA, compared to an estimated duration of protection </w:t>
      </w:r>
      <w:r w:rsidR="00020326">
        <w:t xml:space="preserve">for 2 doses </w:t>
      </w:r>
      <w:r w:rsidRPr="00025BE1">
        <w:t xml:space="preserve">of 50 years for those </w:t>
      </w:r>
      <w:r w:rsidR="00952E13" w:rsidRPr="00A65E17">
        <w:rPr>
          <w:iCs/>
        </w:rPr>
        <w:t>entering the model at 50 YOA. RZV remain</w:t>
      </w:r>
      <w:r w:rsidR="00881071" w:rsidRPr="00A65E17">
        <w:rPr>
          <w:iCs/>
        </w:rPr>
        <w:t>ed</w:t>
      </w:r>
      <w:r w:rsidR="00952E13" w:rsidRPr="00A65E17">
        <w:rPr>
          <w:iCs/>
        </w:rPr>
        <w:t xml:space="preserve"> </w:t>
      </w:r>
      <w:r w:rsidR="00045031" w:rsidRPr="00A65E17">
        <w:rPr>
          <w:iCs/>
        </w:rPr>
        <w:t xml:space="preserve">partially </w:t>
      </w:r>
      <w:r w:rsidR="00952E13" w:rsidRPr="00A65E17">
        <w:rPr>
          <w:iCs/>
        </w:rPr>
        <w:t>effective in individuals over 50 YOA at the end of the modelled time horizon</w:t>
      </w:r>
      <w:r w:rsidRPr="00025BE1">
        <w:t xml:space="preserve">.  </w:t>
      </w:r>
    </w:p>
    <w:p w14:paraId="6DBA634E" w14:textId="69E36B43" w:rsidR="00501FA4" w:rsidRPr="00AD7238" w:rsidRDefault="00853DC8" w:rsidP="00D73D20">
      <w:pPr>
        <w:pStyle w:val="3-BodyText"/>
      </w:pPr>
      <w:r w:rsidRPr="00AD7238">
        <w:fldChar w:fldCharType="begin" w:fldLock="1"/>
      </w:r>
      <w:r w:rsidRPr="00AD7238">
        <w:instrText xml:space="preserve"> REF _Ref124752866 \h  \* MERGEFORMAT </w:instrText>
      </w:r>
      <w:r w:rsidRPr="00AD7238">
        <w:fldChar w:fldCharType="separate"/>
      </w:r>
      <w:r w:rsidR="00602E99" w:rsidRPr="00602E99">
        <w:t>Figure 2</w:t>
      </w:r>
      <w:r w:rsidRPr="00AD7238">
        <w:fldChar w:fldCharType="end"/>
      </w:r>
      <w:r w:rsidR="00501FA4" w:rsidRPr="00AD7238">
        <w:t xml:space="preserve"> shows the RZV</w:t>
      </w:r>
      <w:r w:rsidR="00BB3DF4" w:rsidRPr="00AD7238">
        <w:t xml:space="preserve"> one- and</w:t>
      </w:r>
      <w:r w:rsidR="00501FA4" w:rsidRPr="00AD7238">
        <w:t xml:space="preserve"> two-dose VE waning across different age </w:t>
      </w:r>
      <w:r w:rsidR="006817A1" w:rsidRPr="00AD7238">
        <w:t xml:space="preserve">groups. </w:t>
      </w:r>
    </w:p>
    <w:p w14:paraId="0490DEE5" w14:textId="7A0EB86B" w:rsidR="005C5930" w:rsidRPr="00AB2C91" w:rsidRDefault="006817A1" w:rsidP="00853DC8">
      <w:pPr>
        <w:pStyle w:val="Caption"/>
        <w:rPr>
          <w:rStyle w:val="CommentReference"/>
          <w:b/>
          <w:szCs w:val="24"/>
        </w:rPr>
      </w:pPr>
      <w:bookmarkStart w:id="47" w:name="_Ref124752866"/>
      <w:r w:rsidRPr="00AB2C91">
        <w:rPr>
          <w:rStyle w:val="CommentReference"/>
          <w:b/>
          <w:szCs w:val="24"/>
        </w:rPr>
        <w:t>Figure</w:t>
      </w:r>
      <w:r w:rsidR="00853DC8" w:rsidRPr="00AB2C91">
        <w:rPr>
          <w:rStyle w:val="CommentReference"/>
          <w:b/>
          <w:szCs w:val="24"/>
        </w:rPr>
        <w:t xml:space="preserve"> </w:t>
      </w:r>
      <w:r w:rsidR="00853DC8" w:rsidRPr="00AB2C91">
        <w:rPr>
          <w:rStyle w:val="CommentReference"/>
          <w:b/>
          <w:szCs w:val="24"/>
        </w:rPr>
        <w:fldChar w:fldCharType="begin" w:fldLock="1"/>
      </w:r>
      <w:r w:rsidR="00853DC8" w:rsidRPr="00AB2C91">
        <w:rPr>
          <w:rStyle w:val="CommentReference"/>
          <w:b/>
          <w:szCs w:val="24"/>
        </w:rPr>
        <w:instrText xml:space="preserve"> SEQ Figure \* ARABIC </w:instrText>
      </w:r>
      <w:r w:rsidR="00853DC8" w:rsidRPr="00AB2C91">
        <w:rPr>
          <w:rStyle w:val="CommentReference"/>
          <w:b/>
          <w:szCs w:val="24"/>
        </w:rPr>
        <w:fldChar w:fldCharType="separate"/>
      </w:r>
      <w:r w:rsidR="00602E99">
        <w:rPr>
          <w:rStyle w:val="CommentReference"/>
          <w:b/>
          <w:noProof/>
          <w:szCs w:val="24"/>
        </w:rPr>
        <w:t>2</w:t>
      </w:r>
      <w:r w:rsidR="00853DC8" w:rsidRPr="00AB2C91">
        <w:rPr>
          <w:rStyle w:val="CommentReference"/>
          <w:b/>
          <w:szCs w:val="24"/>
        </w:rPr>
        <w:fldChar w:fldCharType="end"/>
      </w:r>
      <w:bookmarkEnd w:id="47"/>
      <w:r w:rsidRPr="00AB2C91">
        <w:rPr>
          <w:rStyle w:val="CommentReference"/>
          <w:b/>
          <w:szCs w:val="24"/>
        </w:rPr>
        <w:t xml:space="preserve">: </w:t>
      </w:r>
      <w:r w:rsidR="00432E34" w:rsidRPr="00AB2C91">
        <w:rPr>
          <w:rStyle w:val="CommentReference"/>
          <w:b/>
          <w:szCs w:val="24"/>
        </w:rPr>
        <w:t xml:space="preserve">Trends of </w:t>
      </w:r>
      <w:r w:rsidRPr="00AB2C91">
        <w:rPr>
          <w:rStyle w:val="CommentReference"/>
          <w:b/>
          <w:szCs w:val="24"/>
        </w:rPr>
        <w:t>two-dose</w:t>
      </w:r>
      <w:r w:rsidR="00A12AC0" w:rsidRPr="00AB2C91">
        <w:rPr>
          <w:rStyle w:val="CommentReference"/>
          <w:b/>
          <w:szCs w:val="24"/>
        </w:rPr>
        <w:t xml:space="preserve"> (figure on the left)</w:t>
      </w:r>
      <w:r w:rsidRPr="00AB2C91">
        <w:rPr>
          <w:rStyle w:val="CommentReference"/>
          <w:b/>
          <w:szCs w:val="24"/>
        </w:rPr>
        <w:t xml:space="preserve"> </w:t>
      </w:r>
      <w:r w:rsidR="00BB3DF4" w:rsidRPr="00AB2C91">
        <w:rPr>
          <w:rStyle w:val="CommentReference"/>
          <w:b/>
          <w:szCs w:val="24"/>
        </w:rPr>
        <w:t xml:space="preserve">and one-dose </w:t>
      </w:r>
      <w:r w:rsidR="00A12AC0" w:rsidRPr="00AB2C91">
        <w:rPr>
          <w:rStyle w:val="CommentReference"/>
          <w:b/>
          <w:szCs w:val="24"/>
        </w:rPr>
        <w:t xml:space="preserve">(figure on the right) </w:t>
      </w:r>
      <w:r w:rsidRPr="00AB2C91">
        <w:rPr>
          <w:rStyle w:val="CommentReference"/>
          <w:b/>
          <w:szCs w:val="24"/>
        </w:rPr>
        <w:t xml:space="preserve">RZV VE by age of </w:t>
      </w:r>
      <w:r w:rsidR="00432E34" w:rsidRPr="00AB2C91">
        <w:rPr>
          <w:rStyle w:val="CommentReference"/>
          <w:b/>
          <w:szCs w:val="24"/>
        </w:rPr>
        <w:t>vaccination</w:t>
      </w:r>
    </w:p>
    <w:p w14:paraId="6E5139F4" w14:textId="0F1A6AA4" w:rsidR="00432E34" w:rsidRPr="00AD7238" w:rsidRDefault="00432E34" w:rsidP="006817A1">
      <w:pPr>
        <w:pStyle w:val="3-BodyText"/>
        <w:numPr>
          <w:ilvl w:val="0"/>
          <w:numId w:val="0"/>
        </w:numPr>
        <w:rPr>
          <w:rStyle w:val="CommentReference"/>
        </w:rPr>
      </w:pPr>
      <w:r w:rsidRPr="00AD7238">
        <w:rPr>
          <w:noProof/>
          <w:sz w:val="18"/>
          <w:szCs w:val="16"/>
        </w:rPr>
        <w:drawing>
          <wp:inline distT="0" distB="0" distL="0" distR="0" wp14:anchorId="671A8F37" wp14:editId="443540E8">
            <wp:extent cx="2757104" cy="1694906"/>
            <wp:effectExtent l="0" t="0" r="5715" b="635"/>
            <wp:docPr id="7" name="Picture 7" descr="Figure 2: Trends of two-dose (figure on the left) and one-dose (figure on the right) RZV VE by age of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Trends of two-dose (figure on the left) and one-dose (figure on the right) RZV VE by age of vaccin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201" cy="1717711"/>
                    </a:xfrm>
                    <a:prstGeom prst="rect">
                      <a:avLst/>
                    </a:prstGeom>
                    <a:noFill/>
                  </pic:spPr>
                </pic:pic>
              </a:graphicData>
            </a:graphic>
          </wp:inline>
        </w:drawing>
      </w:r>
      <w:r w:rsidR="00BB3DF4" w:rsidRPr="00AD7238">
        <w:rPr>
          <w:rStyle w:val="CommentReference"/>
        </w:rPr>
        <w:t xml:space="preserve"> </w:t>
      </w:r>
      <w:r w:rsidR="00BB3DF4" w:rsidRPr="00AD7238">
        <w:rPr>
          <w:noProof/>
        </w:rPr>
        <w:drawing>
          <wp:inline distT="0" distB="0" distL="0" distR="0" wp14:anchorId="24994A61" wp14:editId="2BE0F16D">
            <wp:extent cx="2771952" cy="1706809"/>
            <wp:effectExtent l="0" t="0" r="0" b="8255"/>
            <wp:docPr id="10" name="Picture 10" descr="Figure 2: Trends of two-dose (figure on the left) and one-dose (figure on the right) RZV VE by age of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2: Trends of two-dose (figure on the left) and one-dose (figure on the right) RZV VE by age of vaccin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5196" cy="1727279"/>
                    </a:xfrm>
                    <a:prstGeom prst="rect">
                      <a:avLst/>
                    </a:prstGeom>
                    <a:noFill/>
                  </pic:spPr>
                </pic:pic>
              </a:graphicData>
            </a:graphic>
          </wp:inline>
        </w:drawing>
      </w:r>
    </w:p>
    <w:p w14:paraId="603C7CF9" w14:textId="222B81DC" w:rsidR="00432E34" w:rsidRPr="00AD7238" w:rsidRDefault="00432E34" w:rsidP="00432E34">
      <w:pPr>
        <w:jc w:val="left"/>
        <w:rPr>
          <w:rFonts w:ascii="Arial Narrow" w:hAnsi="Arial Narrow"/>
          <w:sz w:val="18"/>
          <w:szCs w:val="16"/>
        </w:rPr>
      </w:pPr>
      <w:r w:rsidRPr="00AD7238">
        <w:rPr>
          <w:rFonts w:ascii="Arial Narrow" w:hAnsi="Arial Narrow"/>
          <w:sz w:val="18"/>
          <w:szCs w:val="16"/>
        </w:rPr>
        <w:t>Source: Figure 3-7</w:t>
      </w:r>
      <w:r w:rsidR="00BB3DF4" w:rsidRPr="00AD7238">
        <w:rPr>
          <w:rFonts w:ascii="Arial Narrow" w:hAnsi="Arial Narrow"/>
          <w:sz w:val="18"/>
          <w:szCs w:val="16"/>
        </w:rPr>
        <w:t xml:space="preserve"> and 3-8</w:t>
      </w:r>
      <w:r w:rsidRPr="00AD7238">
        <w:rPr>
          <w:rFonts w:ascii="Arial Narrow" w:hAnsi="Arial Narrow"/>
          <w:sz w:val="18"/>
          <w:szCs w:val="16"/>
        </w:rPr>
        <w:t>, p163</w:t>
      </w:r>
      <w:r w:rsidR="00BB3DF4" w:rsidRPr="00AD7238">
        <w:rPr>
          <w:rFonts w:ascii="Arial Narrow" w:hAnsi="Arial Narrow"/>
          <w:sz w:val="18"/>
          <w:szCs w:val="16"/>
        </w:rPr>
        <w:t>, 164</w:t>
      </w:r>
      <w:r w:rsidRPr="00AD7238">
        <w:rPr>
          <w:rFonts w:ascii="Arial Narrow" w:hAnsi="Arial Narrow"/>
          <w:sz w:val="18"/>
          <w:szCs w:val="16"/>
        </w:rPr>
        <w:t xml:space="preserve"> of the </w:t>
      </w:r>
      <w:r w:rsidR="00815FA2" w:rsidRPr="00AD7238">
        <w:rPr>
          <w:rFonts w:ascii="Arial Narrow" w:hAnsi="Arial Narrow"/>
          <w:sz w:val="18"/>
          <w:szCs w:val="16"/>
        </w:rPr>
        <w:t>res</w:t>
      </w:r>
      <w:r w:rsidRPr="00AD7238">
        <w:rPr>
          <w:rFonts w:ascii="Arial Narrow" w:hAnsi="Arial Narrow"/>
          <w:sz w:val="18"/>
          <w:szCs w:val="16"/>
        </w:rPr>
        <w:t>ubmission.</w:t>
      </w:r>
    </w:p>
    <w:p w14:paraId="591F7C5E" w14:textId="1823E6E2" w:rsidR="00BB3DF4" w:rsidRPr="003C590D" w:rsidRDefault="00432E34" w:rsidP="003C590D">
      <w:pPr>
        <w:spacing w:after="120"/>
        <w:jc w:val="left"/>
        <w:rPr>
          <w:rFonts w:ascii="Arial Narrow" w:hAnsi="Arial Narrow"/>
          <w:sz w:val="18"/>
          <w:szCs w:val="16"/>
        </w:rPr>
      </w:pPr>
      <w:r w:rsidRPr="00AD7238">
        <w:rPr>
          <w:rFonts w:ascii="Arial Narrow" w:hAnsi="Arial Narrow"/>
          <w:sz w:val="18"/>
          <w:szCs w:val="16"/>
        </w:rPr>
        <w:t>RZV</w:t>
      </w:r>
      <w:r w:rsidR="009E6AE9" w:rsidRPr="00AD7238">
        <w:rPr>
          <w:rFonts w:ascii="Arial Narrow" w:hAnsi="Arial Narrow"/>
          <w:sz w:val="18"/>
          <w:szCs w:val="16"/>
        </w:rPr>
        <w:t xml:space="preserve"> = </w:t>
      </w:r>
      <w:r w:rsidRPr="00AD7238">
        <w:rPr>
          <w:rFonts w:ascii="Arial Narrow" w:hAnsi="Arial Narrow"/>
          <w:sz w:val="18"/>
          <w:szCs w:val="16"/>
        </w:rPr>
        <w:t>recombinant zoster vaccine (</w:t>
      </w:r>
      <w:r w:rsidRPr="00615B0D">
        <w:rPr>
          <w:rFonts w:ascii="Arial Narrow" w:hAnsi="Arial Narrow"/>
          <w:iCs/>
          <w:sz w:val="18"/>
          <w:szCs w:val="16"/>
        </w:rPr>
        <w:t>Shingrix</w:t>
      </w:r>
      <w:r w:rsidRPr="00AD7238">
        <w:rPr>
          <w:rFonts w:ascii="Arial Narrow" w:hAnsi="Arial Narrow"/>
          <w:sz w:val="18"/>
          <w:szCs w:val="16"/>
        </w:rPr>
        <w:t>).</w:t>
      </w:r>
      <w:r w:rsidRPr="00AD7238">
        <w:rPr>
          <w:rFonts w:ascii="Arial Narrow" w:hAnsi="Arial Narrow"/>
          <w:sz w:val="18"/>
          <w:szCs w:val="16"/>
        </w:rPr>
        <w:br/>
        <w:t>Notes: Dotted lines represent estimated VE beyond the age of 100 years</w:t>
      </w:r>
      <w:r w:rsidR="00A12AC0" w:rsidRPr="00AD7238">
        <w:rPr>
          <w:rFonts w:ascii="Arial Narrow" w:hAnsi="Arial Narrow"/>
          <w:sz w:val="18"/>
          <w:szCs w:val="16"/>
        </w:rPr>
        <w:t xml:space="preserve"> (i.e., beyond modelled time horizon)</w:t>
      </w:r>
      <w:r w:rsidRPr="00AD7238">
        <w:rPr>
          <w:rFonts w:ascii="Arial Narrow" w:hAnsi="Arial Narrow"/>
          <w:sz w:val="18"/>
          <w:szCs w:val="16"/>
        </w:rPr>
        <w:t>.</w:t>
      </w:r>
    </w:p>
    <w:p w14:paraId="32545C8A" w14:textId="1C28162B" w:rsidR="00D73D20" w:rsidRPr="00AD7238" w:rsidRDefault="00D73D20" w:rsidP="00D73D20">
      <w:pPr>
        <w:pStyle w:val="3-BodyText"/>
      </w:pPr>
      <w:r w:rsidRPr="00AD7238">
        <w:t xml:space="preserve">Although longer-term follow-up data was presented demonstrating vaccine efficacy </w:t>
      </w:r>
      <w:r w:rsidRPr="006E790F">
        <w:t xml:space="preserve">up to 8 </w:t>
      </w:r>
      <w:r w:rsidR="00F96285" w:rsidRPr="006E790F">
        <w:t xml:space="preserve">years </w:t>
      </w:r>
      <w:r w:rsidRPr="006E790F">
        <w:t>(ZOSTER-049</w:t>
      </w:r>
      <w:r w:rsidRPr="00AD7238">
        <w:t xml:space="preserve">), there remains uncertainty around the long-term effectiveness of RZV given that the time horizon of the model is up to a maximum age of 100 years.  </w:t>
      </w:r>
    </w:p>
    <w:p w14:paraId="701F3256" w14:textId="0422C335" w:rsidR="002419AB" w:rsidRPr="00AD7238" w:rsidRDefault="00D73D20" w:rsidP="002419AB">
      <w:pPr>
        <w:pStyle w:val="3-BodyText"/>
      </w:pPr>
      <w:bookmarkStart w:id="48" w:name="_Ref127521108"/>
      <w:r w:rsidRPr="00615B0D">
        <w:rPr>
          <w:iCs/>
        </w:rPr>
        <w:t>The</w:t>
      </w:r>
      <w:r w:rsidRPr="00615B0D">
        <w:t xml:space="preserve"> </w:t>
      </w:r>
      <w:r w:rsidR="00AC4B28" w:rsidRPr="00615B0D">
        <w:t>re</w:t>
      </w:r>
      <w:r w:rsidRPr="00615B0D">
        <w:t>submission assumed that vaccine efficacy against post-herpetic neuralgia (VE</w:t>
      </w:r>
      <w:r w:rsidRPr="00615B0D">
        <w:rPr>
          <w:vertAlign w:val="subscript"/>
        </w:rPr>
        <w:t>PHN</w:t>
      </w:r>
      <w:r w:rsidRPr="00615B0D">
        <w:t xml:space="preserve">) </w:t>
      </w:r>
      <w:r w:rsidR="00020326">
        <w:t>wa</w:t>
      </w:r>
      <w:r w:rsidRPr="00615B0D">
        <w:t>s the same as VE</w:t>
      </w:r>
      <w:r w:rsidRPr="00615B0D">
        <w:rPr>
          <w:vertAlign w:val="subscript"/>
        </w:rPr>
        <w:t>HZ</w:t>
      </w:r>
      <w:r w:rsidRPr="00615B0D">
        <w:t xml:space="preserve">. </w:t>
      </w:r>
      <w:r w:rsidRPr="00AD7238">
        <w:t xml:space="preserve">Given the very high efficacy of RZV in reducing HZ cases in the ZOE trials, there were </w:t>
      </w:r>
      <w:r w:rsidR="00C236A5" w:rsidRPr="00AD7238">
        <w:t>few</w:t>
      </w:r>
      <w:r w:rsidRPr="00AD7238">
        <w:t xml:space="preserve"> PHN </w:t>
      </w:r>
      <w:r w:rsidR="00C236A5" w:rsidRPr="00AD7238">
        <w:t xml:space="preserve">cases </w:t>
      </w:r>
      <w:r w:rsidRPr="00AD7238">
        <w:t>to calculate VE</w:t>
      </w:r>
      <w:r w:rsidRPr="00AD7238">
        <w:rPr>
          <w:vertAlign w:val="subscript"/>
        </w:rPr>
        <w:t>PHN</w:t>
      </w:r>
      <w:r w:rsidRPr="00AD7238">
        <w:t xml:space="preserve"> in some age sub-groups. RZV VE</w:t>
      </w:r>
      <w:r w:rsidRPr="00AD7238">
        <w:rPr>
          <w:vertAlign w:val="subscript"/>
        </w:rPr>
        <w:t>PHN</w:t>
      </w:r>
      <w:r w:rsidRPr="00AD7238">
        <w:t xml:space="preserve"> in adults aged &gt;70 YOA was 88.78% (95% CI: 68.70 to 97.10) (pooled ZOE-</w:t>
      </w:r>
      <w:r w:rsidRPr="00AD7238">
        <w:lastRenderedPageBreak/>
        <w:t>50/70).</w:t>
      </w:r>
      <w:r w:rsidR="00C23490" w:rsidRPr="00AD7238">
        <w:t xml:space="preserve"> </w:t>
      </w:r>
      <w:r w:rsidR="00C23490" w:rsidRPr="00615B0D">
        <w:rPr>
          <w:iCs/>
        </w:rPr>
        <w:t>T</w:t>
      </w:r>
      <w:r w:rsidR="00F833FE" w:rsidRPr="00615B0D">
        <w:rPr>
          <w:iCs/>
        </w:rPr>
        <w:t xml:space="preserve">he model </w:t>
      </w:r>
      <w:r w:rsidR="00C23490" w:rsidRPr="00615B0D">
        <w:rPr>
          <w:iCs/>
        </w:rPr>
        <w:t>applied a VE</w:t>
      </w:r>
      <w:r w:rsidR="00C23490" w:rsidRPr="00615B0D">
        <w:rPr>
          <w:iCs/>
          <w:vertAlign w:val="subscript"/>
        </w:rPr>
        <w:t>PHN</w:t>
      </w:r>
      <w:r w:rsidR="00C23490" w:rsidRPr="00615B0D">
        <w:rPr>
          <w:iCs/>
        </w:rPr>
        <w:t xml:space="preserve"> of </w:t>
      </w:r>
      <w:r w:rsidR="00E02FB8" w:rsidRPr="00615B0D">
        <w:rPr>
          <w:iCs/>
        </w:rPr>
        <w:t>95.4%</w:t>
      </w:r>
      <w:r w:rsidR="00A611C3">
        <w:rPr>
          <w:iCs/>
        </w:rPr>
        <w:t xml:space="preserve"> </w:t>
      </w:r>
      <w:r w:rsidR="00161355" w:rsidRPr="00615B0D">
        <w:rPr>
          <w:iCs/>
        </w:rPr>
        <w:t>which</w:t>
      </w:r>
      <w:r w:rsidR="002419AB" w:rsidRPr="00615B0D">
        <w:rPr>
          <w:iCs/>
        </w:rPr>
        <w:t xml:space="preserve"> </w:t>
      </w:r>
      <w:r w:rsidR="00A611C3" w:rsidRPr="00A65E17">
        <w:t>the evaluation considered</w:t>
      </w:r>
      <w:r w:rsidR="00A611C3">
        <w:rPr>
          <w:iCs/>
        </w:rPr>
        <w:t xml:space="preserve"> </w:t>
      </w:r>
      <w:r w:rsidR="002419AB" w:rsidRPr="00615B0D">
        <w:rPr>
          <w:iCs/>
        </w:rPr>
        <w:t>was not justified and not appropriate</w:t>
      </w:r>
      <w:r w:rsidR="00020326">
        <w:rPr>
          <w:iCs/>
        </w:rPr>
        <w:t xml:space="preserve">. </w:t>
      </w:r>
      <w:r w:rsidR="008D1AF6" w:rsidRPr="00A65E17">
        <w:t>The PSCR noted that ATAGI stated “no additional top-up efficacy for RZV can be calculated based on the limited number of breakthrough cases in the key trials, and therefore the assumption for RZV that VE</w:t>
      </w:r>
      <w:r w:rsidR="008D1AF6" w:rsidRPr="00A65E17">
        <w:rPr>
          <w:vertAlign w:val="subscript"/>
        </w:rPr>
        <w:t xml:space="preserve">HZ </w:t>
      </w:r>
      <w:r w:rsidR="008D1AF6" w:rsidRPr="00A65E17">
        <w:t>is equal to VE</w:t>
      </w:r>
      <w:r w:rsidR="008D1AF6" w:rsidRPr="00A65E17">
        <w:rPr>
          <w:vertAlign w:val="subscript"/>
        </w:rPr>
        <w:t>PHN</w:t>
      </w:r>
      <w:r w:rsidR="008D1AF6" w:rsidRPr="00A65E17">
        <w:t xml:space="preserve"> appears reasonable” (ATAGI 2022 pre-</w:t>
      </w:r>
      <w:r w:rsidR="00D55B41">
        <w:t>submission</w:t>
      </w:r>
      <w:r w:rsidR="008D1AF6" w:rsidRPr="00A65E17">
        <w:t xml:space="preserve"> </w:t>
      </w:r>
      <w:r w:rsidR="00602E99">
        <w:t>a</w:t>
      </w:r>
      <w:r w:rsidR="008D1AF6" w:rsidRPr="00A65E17">
        <w:t>dvice, response to Q15, p108). The ESC agreed with ATAGI that this assumption was reasonable and further noted the vaccine efficacy for PHN did not have a significant impact on the ICER.</w:t>
      </w:r>
      <w:bookmarkEnd w:id="48"/>
    </w:p>
    <w:p w14:paraId="058AFB32" w14:textId="6F8636F7" w:rsidR="00EE4625" w:rsidRPr="005A7FF1" w:rsidRDefault="00EE4625" w:rsidP="005A7FF1">
      <w:pPr>
        <w:pStyle w:val="3-BodyText"/>
        <w:rPr>
          <w:b/>
          <w:bCs/>
          <w:iCs/>
        </w:rPr>
      </w:pPr>
      <w:bookmarkStart w:id="49" w:name="_Ref129798016"/>
      <w:r w:rsidRPr="00A65E17">
        <w:rPr>
          <w:iCs/>
        </w:rPr>
        <w:t xml:space="preserve">The ESC noted that Izurieta 2021 was a large observational study among individuals ≥ 65 YOA in the USA. </w:t>
      </w:r>
      <w:r w:rsidR="004114AC" w:rsidRPr="00A65E17">
        <w:rPr>
          <w:iCs/>
        </w:rPr>
        <w:t>Based on data from 15,589,546 unvaccinated peopl</w:t>
      </w:r>
      <w:r w:rsidR="003970FE" w:rsidRPr="00A65E17">
        <w:rPr>
          <w:iCs/>
        </w:rPr>
        <w:t>e</w:t>
      </w:r>
      <w:r w:rsidR="004114AC" w:rsidRPr="00A65E17">
        <w:rPr>
          <w:iCs/>
        </w:rPr>
        <w:t>, 1,498,275 people vaccinated with 1 dose of RZV and 1,006,446 people vaccinated with 2 doses of RZV, t</w:t>
      </w:r>
      <w:r w:rsidRPr="00A65E17">
        <w:rPr>
          <w:iCs/>
        </w:rPr>
        <w:t xml:space="preserve">he reported </w:t>
      </w:r>
      <w:r w:rsidR="00453C31">
        <w:rPr>
          <w:iCs/>
        </w:rPr>
        <w:t xml:space="preserve">vaccine </w:t>
      </w:r>
      <w:r w:rsidR="00453C31" w:rsidRPr="006E790F">
        <w:rPr>
          <w:iCs/>
        </w:rPr>
        <w:t xml:space="preserve">effectiveness </w:t>
      </w:r>
      <w:r w:rsidR="00EF3B54" w:rsidRPr="006E790F">
        <w:rPr>
          <w:iCs/>
        </w:rPr>
        <w:t>against HZ (VEff</w:t>
      </w:r>
      <w:r w:rsidR="00EF3B54" w:rsidRPr="006E790F">
        <w:rPr>
          <w:iCs/>
          <w:vertAlign w:val="subscript"/>
        </w:rPr>
        <w:t>HZ</w:t>
      </w:r>
      <w:r w:rsidR="00EF3B54" w:rsidRPr="006E790F">
        <w:rPr>
          <w:iCs/>
        </w:rPr>
        <w:t xml:space="preserve">) </w:t>
      </w:r>
      <w:r w:rsidRPr="006E790F">
        <w:rPr>
          <w:iCs/>
        </w:rPr>
        <w:t xml:space="preserve"> of one dose was 56.9% (95% CI: 55.0, 58.8) and two doses was 70.1% (</w:t>
      </w:r>
      <w:r w:rsidR="004114AC" w:rsidRPr="006E790F">
        <w:rPr>
          <w:iCs/>
        </w:rPr>
        <w:t>95%CI: 68.6, 71.5%)</w:t>
      </w:r>
      <w:r w:rsidR="003970FE" w:rsidRPr="006E790F">
        <w:rPr>
          <w:iCs/>
        </w:rPr>
        <w:t>.</w:t>
      </w:r>
      <w:r w:rsidR="004114AC" w:rsidRPr="006E790F">
        <w:t xml:space="preserve"> </w:t>
      </w:r>
      <w:r w:rsidR="004114AC" w:rsidRPr="006E790F">
        <w:rPr>
          <w:iCs/>
        </w:rPr>
        <w:t>Sensitivity analysis using</w:t>
      </w:r>
      <w:r w:rsidR="000372EA" w:rsidRPr="006E790F">
        <w:rPr>
          <w:iCs/>
        </w:rPr>
        <w:t xml:space="preserve"> the two dose VE</w:t>
      </w:r>
      <w:r w:rsidR="00453C31" w:rsidRPr="006E790F">
        <w:rPr>
          <w:iCs/>
        </w:rPr>
        <w:t>ff</w:t>
      </w:r>
      <w:r w:rsidR="00EF3B54" w:rsidRPr="006E790F">
        <w:rPr>
          <w:iCs/>
          <w:vertAlign w:val="subscript"/>
        </w:rPr>
        <w:t>HZ</w:t>
      </w:r>
      <w:r w:rsidR="004114AC" w:rsidRPr="006E790F">
        <w:rPr>
          <w:iCs/>
        </w:rPr>
        <w:t xml:space="preserve"> </w:t>
      </w:r>
      <w:r w:rsidR="000372EA" w:rsidRPr="006E790F">
        <w:rPr>
          <w:iCs/>
        </w:rPr>
        <w:t xml:space="preserve">from </w:t>
      </w:r>
      <w:r w:rsidR="004114AC" w:rsidRPr="006E790F">
        <w:rPr>
          <w:iCs/>
        </w:rPr>
        <w:t xml:space="preserve">this data found that ICERs </w:t>
      </w:r>
      <w:r w:rsidR="00F14480" w:rsidRPr="006E790F">
        <w:rPr>
          <w:iCs/>
        </w:rPr>
        <w:t>increased</w:t>
      </w:r>
      <w:r w:rsidR="004114AC" w:rsidRPr="006E790F">
        <w:rPr>
          <w:iCs/>
        </w:rPr>
        <w:t xml:space="preserve"> to </w:t>
      </w:r>
      <w:r w:rsidR="005A7FF1" w:rsidRPr="006E790F">
        <w:rPr>
          <w:iCs/>
        </w:rPr>
        <w:t>$35,000 to &lt; $45,000</w:t>
      </w:r>
      <w:r w:rsidR="00415503" w:rsidRPr="006E790F">
        <w:rPr>
          <w:iCs/>
        </w:rPr>
        <w:t>/ QALY</w:t>
      </w:r>
      <w:r w:rsidR="004114AC" w:rsidRPr="006E790F">
        <w:rPr>
          <w:iCs/>
        </w:rPr>
        <w:t xml:space="preserve"> for</w:t>
      </w:r>
      <w:r w:rsidR="004114AC" w:rsidRPr="00A65E17">
        <w:rPr>
          <w:iCs/>
        </w:rPr>
        <w:t xml:space="preserve"> non-Indigenous adults &gt;65 YOA; and to </w:t>
      </w:r>
      <w:r w:rsidR="005A7FF1" w:rsidRPr="005A7FF1">
        <w:rPr>
          <w:iCs/>
        </w:rPr>
        <w:t>$95,000 to &lt; $115,000</w:t>
      </w:r>
      <w:r w:rsidR="00415503" w:rsidRPr="005A7FF1">
        <w:rPr>
          <w:iCs/>
        </w:rPr>
        <w:t>/ QALY</w:t>
      </w:r>
      <w:r w:rsidR="004114AC" w:rsidRPr="005A7FF1">
        <w:rPr>
          <w:iCs/>
        </w:rPr>
        <w:t xml:space="preserve"> for Aboriginal and Torres Strait Islander adults &gt; 50 YOA. The ESC considered it would be informative to seek ATAGI advice on the clinical relevance of this study and whether it is appropriate to include it in the economic model.</w:t>
      </w:r>
      <w:bookmarkEnd w:id="49"/>
      <w:r w:rsidR="004114AC" w:rsidRPr="005A7FF1">
        <w:rPr>
          <w:iCs/>
        </w:rPr>
        <w:t xml:space="preserve"> </w:t>
      </w:r>
      <w:r w:rsidR="00141A6A" w:rsidRPr="005A7FF1">
        <w:rPr>
          <w:iCs/>
        </w:rPr>
        <w:t xml:space="preserve">The ATAGI </w:t>
      </w:r>
      <w:r w:rsidR="00510830" w:rsidRPr="005A7FF1">
        <w:rPr>
          <w:iCs/>
        </w:rPr>
        <w:t xml:space="preserve">post-submission </w:t>
      </w:r>
      <w:r w:rsidR="00141A6A" w:rsidRPr="005A7FF1">
        <w:rPr>
          <w:iCs/>
        </w:rPr>
        <w:t>advice stated ZOE-50 and ZOE-70 were the appropriate data source</w:t>
      </w:r>
      <w:r w:rsidR="00EC51F8" w:rsidRPr="005A7FF1">
        <w:rPr>
          <w:iCs/>
        </w:rPr>
        <w:t>s</w:t>
      </w:r>
      <w:r w:rsidR="00141A6A" w:rsidRPr="005A7FF1">
        <w:rPr>
          <w:iCs/>
        </w:rPr>
        <w:t xml:space="preserve"> for the base case and </w:t>
      </w:r>
      <w:r w:rsidR="00EC51F8" w:rsidRPr="005A7FF1">
        <w:rPr>
          <w:iCs/>
        </w:rPr>
        <w:t xml:space="preserve">the two dose </w:t>
      </w:r>
      <w:r w:rsidR="00141A6A" w:rsidRPr="005A7FF1">
        <w:rPr>
          <w:iCs/>
        </w:rPr>
        <w:t>vaccine effectiveness data from Izurieta 2021 could be used for sensitivity analysis.</w:t>
      </w:r>
    </w:p>
    <w:p w14:paraId="2452065E" w14:textId="14F83FDA" w:rsidR="00025BE1" w:rsidRPr="003C590D" w:rsidRDefault="00025BE1" w:rsidP="003C590D">
      <w:pPr>
        <w:pStyle w:val="3-BodyText"/>
        <w:numPr>
          <w:ilvl w:val="0"/>
          <w:numId w:val="0"/>
        </w:numPr>
        <w:ind w:left="720" w:hanging="720"/>
        <w:outlineLvl w:val="2"/>
        <w:rPr>
          <w:b/>
          <w:bCs/>
          <w:u w:val="single"/>
        </w:rPr>
      </w:pPr>
      <w:r w:rsidRPr="003C590D">
        <w:rPr>
          <w:b/>
          <w:bCs/>
          <w:u w:val="single"/>
        </w:rPr>
        <w:t>Coverage</w:t>
      </w:r>
    </w:p>
    <w:p w14:paraId="2329D0FC" w14:textId="44A77E47" w:rsidR="00D73D20" w:rsidRPr="00A65E17" w:rsidRDefault="00D73D20" w:rsidP="00D73D20">
      <w:pPr>
        <w:pStyle w:val="3-BodyText"/>
      </w:pPr>
      <w:r w:rsidRPr="00AD7238">
        <w:t xml:space="preserve">The </w:t>
      </w:r>
      <w:r w:rsidR="009E6AE9" w:rsidRPr="00AD7238">
        <w:t>re</w:t>
      </w:r>
      <w:r w:rsidRPr="00AD7238">
        <w:t xml:space="preserve">submission assumed a two-dose vaccine compliance of 75% for adults 50-59 YOA </w:t>
      </w:r>
      <w:r w:rsidR="00130378" w:rsidRPr="00AD7238">
        <w:t xml:space="preserve">(based on </w:t>
      </w:r>
      <w:r w:rsidR="007E1534" w:rsidRPr="00AD7238">
        <w:t>a 12-month series completion reported in Canada</w:t>
      </w:r>
      <w:r w:rsidR="009C6E2D">
        <w:t>,</w:t>
      </w:r>
      <w:r w:rsidR="007D38A6">
        <w:t xml:space="preserve"> </w:t>
      </w:r>
      <w:r w:rsidR="007E1534" w:rsidRPr="00AD7238">
        <w:t xml:space="preserve">McGirr, 2021) </w:t>
      </w:r>
      <w:r w:rsidRPr="00AD7238">
        <w:t xml:space="preserve">and 81% for adults </w:t>
      </w:r>
      <w:r w:rsidRPr="00AD7238">
        <w:rPr>
          <w:u w:val="single"/>
        </w:rPr>
        <w:t>&gt;</w:t>
      </w:r>
      <w:r w:rsidRPr="00AD7238">
        <w:t xml:space="preserve">60 YOA </w:t>
      </w:r>
      <w:r w:rsidR="00012AA3" w:rsidRPr="00AD7238">
        <w:t xml:space="preserve">(based on the midpoint of a 12-month </w:t>
      </w:r>
      <w:r w:rsidR="00AB2345" w:rsidRPr="00AD7238">
        <w:t>series completion across post-marketing studies in Canada and the US</w:t>
      </w:r>
      <w:r w:rsidR="001E77B2" w:rsidRPr="00AD7238">
        <w:t>)</w:t>
      </w:r>
      <w:r w:rsidR="009C6E2D">
        <w:t>. These estimates are</w:t>
      </w:r>
      <w:r w:rsidRPr="00AD7238">
        <w:t xml:space="preserve"> higher than the 65</w:t>
      </w:r>
      <w:r w:rsidR="00842BBA" w:rsidRPr="00AD7238">
        <w:t>%</w:t>
      </w:r>
      <w:r w:rsidRPr="00AD7238">
        <w:t xml:space="preserve"> to 78% adherence recommended by ATAGI</w:t>
      </w:r>
      <w:r w:rsidRPr="00615B0D">
        <w:rPr>
          <w:iCs/>
        </w:rPr>
        <w:t xml:space="preserve">. </w:t>
      </w:r>
      <w:r w:rsidR="009C6E2D">
        <w:rPr>
          <w:iCs/>
        </w:rPr>
        <w:t>S</w:t>
      </w:r>
      <w:r w:rsidRPr="00615B0D">
        <w:rPr>
          <w:iCs/>
        </w:rPr>
        <w:t>ensitivity analyses using 65% for 2-dose completion was conducted during the evaluation and resulted in minimal change in the ICERs</w:t>
      </w:r>
      <w:r w:rsidR="00141A6A">
        <w:rPr>
          <w:iCs/>
        </w:rPr>
        <w:t xml:space="preserve">. </w:t>
      </w:r>
      <w:r w:rsidR="0020324E" w:rsidRPr="00A65E17">
        <w:t xml:space="preserve">The ESC considered the impact </w:t>
      </w:r>
      <w:r w:rsidR="009725C7" w:rsidRPr="00A65E17">
        <w:t xml:space="preserve">of a lower second dose coverage </w:t>
      </w:r>
      <w:r w:rsidR="0020324E" w:rsidRPr="00A65E17">
        <w:t xml:space="preserve">was likely minimal as reduced second dose coverage reduces both effectiveness and vaccine cost. </w:t>
      </w:r>
    </w:p>
    <w:p w14:paraId="3F937827" w14:textId="6522F1D8" w:rsidR="00025BE1" w:rsidRPr="003C590D" w:rsidRDefault="00025BE1" w:rsidP="003C590D">
      <w:pPr>
        <w:pStyle w:val="3-BodyText"/>
        <w:numPr>
          <w:ilvl w:val="0"/>
          <w:numId w:val="0"/>
        </w:numPr>
        <w:ind w:left="720" w:hanging="720"/>
        <w:outlineLvl w:val="2"/>
        <w:rPr>
          <w:b/>
          <w:bCs/>
          <w:u w:val="single"/>
        </w:rPr>
      </w:pPr>
      <w:r w:rsidRPr="003C590D">
        <w:rPr>
          <w:b/>
          <w:bCs/>
          <w:u w:val="single"/>
        </w:rPr>
        <w:t>Utilities</w:t>
      </w:r>
    </w:p>
    <w:p w14:paraId="27677326" w14:textId="493674E5" w:rsidR="00192274" w:rsidRDefault="00086842">
      <w:pPr>
        <w:pStyle w:val="3-BodyText"/>
        <w:rPr>
          <w:iCs/>
        </w:rPr>
      </w:pPr>
      <w:r w:rsidRPr="00AD7238">
        <w:t>The estimated QALY loss per HZ or PHN case were based on the same values used in the 2018 submission (Gater, 2014; Serpell, 2014; Curran, 2017</w:t>
      </w:r>
      <w:r w:rsidR="00554FA7" w:rsidRPr="00AD7238">
        <w:t>)</w:t>
      </w:r>
      <w:r w:rsidRPr="00AD7238">
        <w:t xml:space="preserve">. </w:t>
      </w:r>
      <w:r w:rsidR="00B74877" w:rsidRPr="00615B0D">
        <w:rPr>
          <w:iCs/>
        </w:rPr>
        <w:t xml:space="preserve">Updated literature </w:t>
      </w:r>
      <w:r w:rsidR="00B74877" w:rsidRPr="006E790F">
        <w:rPr>
          <w:iCs/>
        </w:rPr>
        <w:t xml:space="preserve">from </w:t>
      </w:r>
      <w:r w:rsidR="00936BCF" w:rsidRPr="006E790F">
        <w:rPr>
          <w:iCs/>
        </w:rPr>
        <w:t xml:space="preserve">Curran (2018a) and Curran (2019a) </w:t>
      </w:r>
      <w:r w:rsidR="00E06E66" w:rsidRPr="006E790F">
        <w:rPr>
          <w:iCs/>
        </w:rPr>
        <w:t>indicate</w:t>
      </w:r>
      <w:r w:rsidR="00936BCF" w:rsidRPr="006E790F">
        <w:rPr>
          <w:iCs/>
        </w:rPr>
        <w:t xml:space="preserve"> that the </w:t>
      </w:r>
      <w:r w:rsidR="00192274" w:rsidRPr="006E790F">
        <w:rPr>
          <w:iCs/>
        </w:rPr>
        <w:t>QALY loss per HZ and PHN case incorporated into the economic model appears to be higher than those applied in published models</w:t>
      </w:r>
      <w:r w:rsidR="00F83F10" w:rsidRPr="006E790F">
        <w:rPr>
          <w:iCs/>
        </w:rPr>
        <w:t xml:space="preserve"> </w:t>
      </w:r>
      <w:r w:rsidR="009E42B9" w:rsidRPr="006E790F">
        <w:rPr>
          <w:iCs/>
        </w:rPr>
        <w:t xml:space="preserve">and </w:t>
      </w:r>
      <w:r w:rsidR="00497971" w:rsidRPr="006E790F">
        <w:rPr>
          <w:iCs/>
        </w:rPr>
        <w:t xml:space="preserve">observed in </w:t>
      </w:r>
      <w:r w:rsidR="009E42B9" w:rsidRPr="006E790F">
        <w:rPr>
          <w:iCs/>
        </w:rPr>
        <w:t>ZOE trial participants</w:t>
      </w:r>
      <w:r w:rsidR="00192274" w:rsidRPr="006E790F">
        <w:rPr>
          <w:iCs/>
        </w:rPr>
        <w:t xml:space="preserve">. For example, Curran (2018a) applied </w:t>
      </w:r>
      <w:r w:rsidR="009C6E2D" w:rsidRPr="006E790F">
        <w:rPr>
          <w:iCs/>
        </w:rPr>
        <w:t>a</w:t>
      </w:r>
      <w:r w:rsidR="00192274" w:rsidRPr="006E790F">
        <w:rPr>
          <w:iCs/>
        </w:rPr>
        <w:t xml:space="preserve"> QALY loss</w:t>
      </w:r>
      <w:r w:rsidR="009C181F" w:rsidRPr="006E790F">
        <w:rPr>
          <w:iCs/>
        </w:rPr>
        <w:t xml:space="preserve"> for HZ without PHN</w:t>
      </w:r>
      <w:r w:rsidR="00192274" w:rsidRPr="006E790F">
        <w:rPr>
          <w:iCs/>
        </w:rPr>
        <w:t xml:space="preserve"> </w:t>
      </w:r>
      <w:r w:rsidR="009C6E2D" w:rsidRPr="006E790F">
        <w:rPr>
          <w:iCs/>
        </w:rPr>
        <w:t>of</w:t>
      </w:r>
      <w:r w:rsidR="00192274" w:rsidRPr="006E790F">
        <w:rPr>
          <w:iCs/>
        </w:rPr>
        <w:t xml:space="preserve"> 0.005, 0.010 and 0.012 for age groups 50-59, 60-69 and 70+ YOA respectively</w:t>
      </w:r>
      <w:r w:rsidR="00497971" w:rsidRPr="006E790F">
        <w:rPr>
          <w:iCs/>
        </w:rPr>
        <w:t>,</w:t>
      </w:r>
      <w:r w:rsidR="009C181F" w:rsidRPr="006E790F">
        <w:rPr>
          <w:iCs/>
        </w:rPr>
        <w:t xml:space="preserve"> </w:t>
      </w:r>
      <w:r w:rsidR="009C6E2D" w:rsidRPr="006E790F">
        <w:rPr>
          <w:iCs/>
        </w:rPr>
        <w:t xml:space="preserve">compared with </w:t>
      </w:r>
      <w:r w:rsidR="009C181F" w:rsidRPr="006E790F">
        <w:rPr>
          <w:iCs/>
        </w:rPr>
        <w:t xml:space="preserve">a value of </w:t>
      </w:r>
      <w:r w:rsidR="00F91566" w:rsidRPr="006E790F">
        <w:rPr>
          <w:iCs/>
        </w:rPr>
        <w:t>0.023-0.024 in the current model</w:t>
      </w:r>
      <w:r w:rsidR="00192274" w:rsidRPr="006E790F">
        <w:rPr>
          <w:iCs/>
        </w:rPr>
        <w:t xml:space="preserve">. </w:t>
      </w:r>
      <w:r w:rsidR="00F91566" w:rsidRPr="006E790F">
        <w:rPr>
          <w:iCs/>
        </w:rPr>
        <w:t xml:space="preserve">Further, </w:t>
      </w:r>
      <w:r w:rsidR="00192274" w:rsidRPr="006E790F">
        <w:rPr>
          <w:iCs/>
        </w:rPr>
        <w:t>Curran (2019a) also showed that utility loss (disutility) from</w:t>
      </w:r>
      <w:r w:rsidR="00ED1A96" w:rsidRPr="006E790F">
        <w:rPr>
          <w:iCs/>
        </w:rPr>
        <w:t xml:space="preserve"> a HZ event in</w:t>
      </w:r>
      <w:r w:rsidR="00192274" w:rsidRPr="006E790F">
        <w:rPr>
          <w:iCs/>
        </w:rPr>
        <w:t xml:space="preserve"> ZOE-50 and ZOE-70 placebo arm participants decreased substantially from Day 0 to Week 4 in all age groups. For example, estimated utility </w:t>
      </w:r>
      <w:r w:rsidR="00192274" w:rsidRPr="006E790F">
        <w:rPr>
          <w:iCs/>
        </w:rPr>
        <w:lastRenderedPageBreak/>
        <w:t xml:space="preserve">loss was 0.258 at Day 0 </w:t>
      </w:r>
      <w:r w:rsidR="00793A8F" w:rsidRPr="006E790F">
        <w:rPr>
          <w:iCs/>
        </w:rPr>
        <w:t xml:space="preserve">of an HZ </w:t>
      </w:r>
      <w:r w:rsidR="005C302C" w:rsidRPr="006E790F">
        <w:rPr>
          <w:iCs/>
        </w:rPr>
        <w:t xml:space="preserve">episode </w:t>
      </w:r>
      <w:r w:rsidR="00192274" w:rsidRPr="006E790F">
        <w:rPr>
          <w:iCs/>
        </w:rPr>
        <w:t>and decreased to 0.008 by Week 4</w:t>
      </w:r>
      <w:r w:rsidR="00365AEC" w:rsidRPr="006E790F">
        <w:rPr>
          <w:iCs/>
        </w:rPr>
        <w:t xml:space="preserve"> compared to a constant disutility of </w:t>
      </w:r>
      <w:r w:rsidR="00FB0D9B" w:rsidRPr="006E790F">
        <w:rPr>
          <w:iCs/>
        </w:rPr>
        <w:t>0.173</w:t>
      </w:r>
      <w:r w:rsidR="002F7C23" w:rsidRPr="006E790F">
        <w:rPr>
          <w:iCs/>
        </w:rPr>
        <w:t xml:space="preserve"> over </w:t>
      </w:r>
      <w:r w:rsidR="007B6D43" w:rsidRPr="006E790F">
        <w:rPr>
          <w:iCs/>
        </w:rPr>
        <w:t>approximately 7 weeks</w:t>
      </w:r>
      <w:r w:rsidR="00372334" w:rsidRPr="006E790F">
        <w:rPr>
          <w:iCs/>
        </w:rPr>
        <w:t xml:space="preserve"> that was used</w:t>
      </w:r>
      <w:r w:rsidR="00372334" w:rsidRPr="00615B0D">
        <w:rPr>
          <w:iCs/>
        </w:rPr>
        <w:t xml:space="preserve"> in the model</w:t>
      </w:r>
      <w:r w:rsidR="007B6D43" w:rsidRPr="00615B0D">
        <w:rPr>
          <w:iCs/>
        </w:rPr>
        <w:t xml:space="preserve">. </w:t>
      </w:r>
      <w:r w:rsidR="004C3425" w:rsidRPr="00615B0D">
        <w:rPr>
          <w:iCs/>
        </w:rPr>
        <w:t>Th</w:t>
      </w:r>
      <w:r w:rsidR="004C3425">
        <w:rPr>
          <w:iCs/>
        </w:rPr>
        <w:t xml:space="preserve">e </w:t>
      </w:r>
      <w:r w:rsidR="004C3425" w:rsidRPr="00A65E17">
        <w:t>evaluation considered this</w:t>
      </w:r>
      <w:r w:rsidR="004C3425">
        <w:rPr>
          <w:iCs/>
        </w:rPr>
        <w:t xml:space="preserve"> </w:t>
      </w:r>
      <w:r w:rsidR="004C3425" w:rsidRPr="00615B0D">
        <w:rPr>
          <w:iCs/>
        </w:rPr>
        <w:t>remains a source of uncertainty and is highly influential on the cost-effectiveness of RZV.</w:t>
      </w:r>
      <w:r w:rsidR="004C3425">
        <w:rPr>
          <w:iCs/>
        </w:rPr>
        <w:t xml:space="preserve"> </w:t>
      </w:r>
    </w:p>
    <w:p w14:paraId="492F58B2" w14:textId="6E2F165F" w:rsidR="004C3425" w:rsidRPr="00C57EB1" w:rsidRDefault="004C3425">
      <w:pPr>
        <w:pStyle w:val="3-BodyText"/>
        <w:rPr>
          <w:iCs/>
        </w:rPr>
      </w:pPr>
      <w:r w:rsidRPr="00A65E17">
        <w:rPr>
          <w:rFonts w:ascii="Calibri" w:hAnsi="Calibri" w:cs="Calibri"/>
          <w:iCs/>
        </w:rPr>
        <w:t xml:space="preserve">The ESC acknowledged the utilities remain unchanged from the November 2018 submission. However, the ESC considered the QALY loss per case of HZ and PHN were overestimated. The ESC noted the ZOE-50 and ZOE-70 trial data demonstrated the expected attenuation of disease impact over the period of HZ. </w:t>
      </w:r>
      <w:r w:rsidRPr="006E790F">
        <w:rPr>
          <w:rFonts w:ascii="Calibri" w:hAnsi="Calibri" w:cs="Calibri"/>
          <w:iCs/>
        </w:rPr>
        <w:t xml:space="preserve">For example, trial data estimated a disutility of 0.258 at Day 0 of an HZ episode which decreased to 0.008 by Week 4 (assuming linear decline from week 0 to 4 the approximate QALY loss per HZ case would be 0.0175 </w:t>
      </w:r>
      <w:r w:rsidR="00D54333" w:rsidRPr="006E790F">
        <w:rPr>
          <w:rFonts w:ascii="Calibri" w:hAnsi="Calibri" w:cs="Calibri"/>
          <w:iCs/>
        </w:rPr>
        <w:t>i.e.</w:t>
      </w:r>
      <w:r w:rsidRPr="006E790F">
        <w:rPr>
          <w:rFonts w:ascii="Calibri" w:hAnsi="Calibri" w:cs="Calibri"/>
          <w:iCs/>
        </w:rPr>
        <w:t xml:space="preserve"> (0.258/2)*1 (month)/12 (life year)). This is different to the economic model which applied a constant disutility of 0.173 over</w:t>
      </w:r>
      <w:r w:rsidRPr="00A65E17">
        <w:rPr>
          <w:rFonts w:ascii="Calibri" w:hAnsi="Calibri" w:cs="Calibri"/>
          <w:iCs/>
        </w:rPr>
        <w:t xml:space="preserve"> approximately 7 weeks (QALY loss of 0.02328 per HZ case </w:t>
      </w:r>
      <w:r w:rsidR="00D54333" w:rsidRPr="00A65E17">
        <w:rPr>
          <w:rFonts w:ascii="Calibri" w:hAnsi="Calibri" w:cs="Calibri"/>
          <w:iCs/>
        </w:rPr>
        <w:t>i.e.</w:t>
      </w:r>
      <w:r w:rsidRPr="00A65E17">
        <w:rPr>
          <w:rFonts w:ascii="Calibri" w:hAnsi="Calibri" w:cs="Calibri"/>
          <w:iCs/>
        </w:rPr>
        <w:t xml:space="preserve"> 0.173*1.61 (months) /12 (life year)). </w:t>
      </w:r>
      <w:r w:rsidR="004F0389" w:rsidRPr="00A65E17">
        <w:rPr>
          <w:rFonts w:ascii="Calibri" w:hAnsi="Calibri" w:cs="Calibri"/>
          <w:iCs/>
        </w:rPr>
        <w:t>The ESC noted the ICER was sensitive to the assumed QALY loss per case</w:t>
      </w:r>
      <w:r w:rsidR="004F0389">
        <w:rPr>
          <w:rFonts w:ascii="Calibri" w:hAnsi="Calibri" w:cs="Calibri"/>
          <w:iCs/>
        </w:rPr>
        <w:t xml:space="preserve">. </w:t>
      </w:r>
      <w:r w:rsidRPr="00A65E17">
        <w:rPr>
          <w:rFonts w:ascii="Calibri" w:hAnsi="Calibri" w:cs="Calibri"/>
          <w:iCs/>
        </w:rPr>
        <w:t xml:space="preserve">As ZOE-50 and ZOE-70 were the key source of clinical data in the resubmission, the ESC considered the utility values from these studies should </w:t>
      </w:r>
      <w:r w:rsidR="00EC51F8">
        <w:rPr>
          <w:rFonts w:ascii="Calibri" w:hAnsi="Calibri" w:cs="Calibri"/>
          <w:iCs/>
        </w:rPr>
        <w:t xml:space="preserve">have </w:t>
      </w:r>
      <w:r w:rsidRPr="00A65E17">
        <w:rPr>
          <w:rFonts w:ascii="Calibri" w:hAnsi="Calibri" w:cs="Calibri"/>
          <w:iCs/>
        </w:rPr>
        <w:t>be</w:t>
      </w:r>
      <w:r w:rsidR="00EC51F8">
        <w:rPr>
          <w:rFonts w:ascii="Calibri" w:hAnsi="Calibri" w:cs="Calibri"/>
          <w:iCs/>
        </w:rPr>
        <w:t>en</w:t>
      </w:r>
      <w:r w:rsidRPr="00A65E17">
        <w:rPr>
          <w:rFonts w:ascii="Calibri" w:hAnsi="Calibri" w:cs="Calibri"/>
          <w:iCs/>
        </w:rPr>
        <w:t xml:space="preserve"> used in the economic model. </w:t>
      </w:r>
    </w:p>
    <w:p w14:paraId="3E8A2D52" w14:textId="2C926372" w:rsidR="00C57EB1" w:rsidRPr="004F0389" w:rsidRDefault="00C57EB1">
      <w:pPr>
        <w:pStyle w:val="3-BodyText"/>
        <w:rPr>
          <w:iCs/>
        </w:rPr>
      </w:pPr>
      <w:r>
        <w:rPr>
          <w:rFonts w:ascii="Calibri" w:hAnsi="Calibri" w:cs="Calibri"/>
          <w:iCs/>
        </w:rPr>
        <w:t>The pre</w:t>
      </w:r>
      <w:r w:rsidRPr="00C57EB1">
        <w:rPr>
          <w:iCs/>
        </w:rPr>
        <w:t>-</w:t>
      </w:r>
      <w:r>
        <w:rPr>
          <w:iCs/>
        </w:rPr>
        <w:t xml:space="preserve">PBAC response noted the example above was based on the utility loss </w:t>
      </w:r>
      <w:r w:rsidR="004F0389">
        <w:rPr>
          <w:iCs/>
        </w:rPr>
        <w:t>i</w:t>
      </w:r>
      <w:r>
        <w:rPr>
          <w:iCs/>
        </w:rPr>
        <w:t>n individuals aged 50 to 59 YOA and</w:t>
      </w:r>
      <w:r w:rsidR="004F0389">
        <w:rPr>
          <w:iCs/>
        </w:rPr>
        <w:t xml:space="preserve"> utility loss in individuals aged 60 to 69 YOA and </w:t>
      </w:r>
      <w:r w:rsidR="004F0389">
        <w:rPr>
          <w:rFonts w:cstheme="minorHAnsi"/>
          <w:iCs/>
        </w:rPr>
        <w:t>≥</w:t>
      </w:r>
      <w:r w:rsidR="004F0389">
        <w:rPr>
          <w:iCs/>
        </w:rPr>
        <w:t xml:space="preserve"> 70 YOA remained high (0.008 and 0.035, respectively). The pre-PBAC response stated the assumption that all HZ cases resolve within 28 days is an underestimate for the populations most relevant for NIP listing. The pre-PBAC stated the </w:t>
      </w:r>
      <w:r w:rsidR="004F0389" w:rsidRPr="00AB216A">
        <w:rPr>
          <w:bCs/>
          <w:iCs/>
        </w:rPr>
        <w:t xml:space="preserve">base-case QALY loss estimates per HZ case </w:t>
      </w:r>
      <w:r w:rsidR="004F0389" w:rsidRPr="00AB216A" w:rsidDel="002E283C">
        <w:rPr>
          <w:bCs/>
          <w:iCs/>
        </w:rPr>
        <w:t>were also</w:t>
      </w:r>
      <w:r w:rsidR="004F0389" w:rsidRPr="00AB216A">
        <w:rPr>
          <w:bCs/>
          <w:iCs/>
        </w:rPr>
        <w:t xml:space="preserve"> conservative</w:t>
      </w:r>
      <w:r w:rsidR="004F0389" w:rsidRPr="00AB216A">
        <w:t>,</w:t>
      </w:r>
      <w:r w:rsidR="004F0389" w:rsidRPr="00AB216A">
        <w:rPr>
          <w:bCs/>
          <w:iCs/>
        </w:rPr>
        <w:t xml:space="preserve"> as they </w:t>
      </w:r>
      <w:r w:rsidR="004F0389" w:rsidRPr="00AB216A" w:rsidDel="002E283C">
        <w:rPr>
          <w:bCs/>
          <w:iCs/>
        </w:rPr>
        <w:t xml:space="preserve">did </w:t>
      </w:r>
      <w:r w:rsidR="004F0389" w:rsidRPr="00AB216A">
        <w:rPr>
          <w:bCs/>
          <w:iCs/>
        </w:rPr>
        <w:t>not incorporate differential QALY losses for breakthrough HZ cases in RZV</w:t>
      </w:r>
      <w:r w:rsidR="004F0389" w:rsidRPr="00AB216A">
        <w:t>-</w:t>
      </w:r>
      <w:r w:rsidR="004F0389" w:rsidRPr="00AB216A">
        <w:rPr>
          <w:bCs/>
          <w:iCs/>
        </w:rPr>
        <w:t>vaccinated subjects relative to unvaccinated subjects.</w:t>
      </w:r>
    </w:p>
    <w:p w14:paraId="39DAF831" w14:textId="4A4F8BDE" w:rsidR="00025BE1" w:rsidRPr="003C590D" w:rsidRDefault="00025BE1" w:rsidP="003C590D">
      <w:pPr>
        <w:pStyle w:val="3-BodyText"/>
        <w:numPr>
          <w:ilvl w:val="0"/>
          <w:numId w:val="0"/>
        </w:numPr>
        <w:ind w:left="720" w:hanging="720"/>
        <w:outlineLvl w:val="2"/>
        <w:rPr>
          <w:b/>
          <w:bCs/>
          <w:u w:val="single"/>
        </w:rPr>
      </w:pPr>
      <w:r w:rsidRPr="003C590D">
        <w:rPr>
          <w:b/>
          <w:bCs/>
          <w:u w:val="single"/>
        </w:rPr>
        <w:t>Resource use</w:t>
      </w:r>
    </w:p>
    <w:p w14:paraId="70BEFC12" w14:textId="1A3634C0" w:rsidR="007F74B0" w:rsidRDefault="00E37693">
      <w:pPr>
        <w:pStyle w:val="3-BodyText"/>
        <w:rPr>
          <w:iCs/>
        </w:rPr>
      </w:pPr>
      <w:bookmarkStart w:id="50" w:name="_Ref127539099"/>
      <w:r w:rsidRPr="00AD7238">
        <w:t xml:space="preserve">Resource utilisation estimates were </w:t>
      </w:r>
      <w:r w:rsidR="00E02D41" w:rsidRPr="00AD7238">
        <w:t>derived from a combination of sources which included MacIntyre (2019), Karki (2016) and Yawn (2007</w:t>
      </w:r>
      <w:r w:rsidR="00CA0198" w:rsidRPr="00AD7238">
        <w:t xml:space="preserve">). </w:t>
      </w:r>
      <w:r w:rsidR="00982595">
        <w:t>T</w:t>
      </w:r>
      <w:r w:rsidR="00615B9D">
        <w:t xml:space="preserve">he evaluation </w:t>
      </w:r>
      <w:r w:rsidR="00982595">
        <w:t xml:space="preserve">considered </w:t>
      </w:r>
      <w:r w:rsidR="00615B9D">
        <w:rPr>
          <w:iCs/>
        </w:rPr>
        <w:t>t</w:t>
      </w:r>
      <w:r w:rsidR="006B5498" w:rsidRPr="00615B0D">
        <w:rPr>
          <w:iCs/>
        </w:rPr>
        <w:t>he hospitalisations</w:t>
      </w:r>
      <w:r w:rsidR="00615B9D">
        <w:rPr>
          <w:iCs/>
        </w:rPr>
        <w:t xml:space="preserve"> per case of HZ with either PHN or non-PHN complications were</w:t>
      </w:r>
      <w:r w:rsidR="006B5498" w:rsidRPr="00615B0D">
        <w:rPr>
          <w:iCs/>
        </w:rPr>
        <w:t xml:space="preserve"> high, ranging from 0.151</w:t>
      </w:r>
      <w:r w:rsidR="00615B9D">
        <w:rPr>
          <w:iCs/>
        </w:rPr>
        <w:t xml:space="preserve"> for those aged 50-59 years</w:t>
      </w:r>
      <w:r w:rsidR="006B5498" w:rsidRPr="00615B0D">
        <w:rPr>
          <w:iCs/>
        </w:rPr>
        <w:t xml:space="preserve"> to 0.371</w:t>
      </w:r>
      <w:r w:rsidR="00615B9D">
        <w:rPr>
          <w:iCs/>
        </w:rPr>
        <w:t xml:space="preserve"> for those aged </w:t>
      </w:r>
      <w:r w:rsidR="00615B9D">
        <w:rPr>
          <w:rFonts w:cstheme="minorHAnsi"/>
          <w:iCs/>
        </w:rPr>
        <w:t>≥</w:t>
      </w:r>
      <w:r w:rsidR="00615B9D">
        <w:rPr>
          <w:iCs/>
        </w:rPr>
        <w:t>80 years</w:t>
      </w:r>
      <w:r w:rsidR="006B5498" w:rsidRPr="00615B0D">
        <w:rPr>
          <w:iCs/>
        </w:rPr>
        <w:t xml:space="preserve">. </w:t>
      </w:r>
      <w:r w:rsidR="00F540EC" w:rsidRPr="00A65E17">
        <w:t>The ESC noted a reduction in costs associated with HZ cases, PHN cases and non-PHN complications accounted for a high proportion of the cost offsets in the economic model (</w:t>
      </w:r>
      <w:r w:rsidR="00F540EC" w:rsidRPr="00A65E17">
        <w:fldChar w:fldCharType="begin" w:fldLock="1"/>
      </w:r>
      <w:r w:rsidR="00F540EC" w:rsidRPr="00A65E17">
        <w:instrText xml:space="preserve"> REF _Ref122266171 \h  \* MERGEFORMAT </w:instrText>
      </w:r>
      <w:r w:rsidR="00F540EC" w:rsidRPr="00A65E17">
        <w:fldChar w:fldCharType="separate"/>
      </w:r>
      <w:r w:rsidR="00441995" w:rsidRPr="00AD7238">
        <w:t xml:space="preserve">Table </w:t>
      </w:r>
      <w:r w:rsidR="00441995">
        <w:rPr>
          <w:noProof/>
        </w:rPr>
        <w:t>12</w:t>
      </w:r>
      <w:r w:rsidR="00F540EC" w:rsidRPr="00A65E17">
        <w:fldChar w:fldCharType="end"/>
      </w:r>
      <w:r w:rsidR="00F540EC" w:rsidRPr="00A65E17">
        <w:t>).</w:t>
      </w:r>
      <w:bookmarkEnd w:id="50"/>
      <w:r w:rsidR="00F540EC">
        <w:rPr>
          <w:iCs/>
        </w:rPr>
        <w:t xml:space="preserve"> </w:t>
      </w:r>
    </w:p>
    <w:p w14:paraId="1BCC060C" w14:textId="02D5F90A" w:rsidR="00025BE1" w:rsidRPr="003C590D" w:rsidRDefault="00025BE1" w:rsidP="003C590D">
      <w:pPr>
        <w:pStyle w:val="3-BodyText"/>
        <w:numPr>
          <w:ilvl w:val="0"/>
          <w:numId w:val="0"/>
        </w:numPr>
        <w:ind w:left="720" w:hanging="720"/>
        <w:outlineLvl w:val="2"/>
        <w:rPr>
          <w:b/>
          <w:bCs/>
          <w:u w:val="single"/>
        </w:rPr>
      </w:pPr>
      <w:r w:rsidRPr="003C590D">
        <w:rPr>
          <w:b/>
          <w:bCs/>
          <w:u w:val="single"/>
        </w:rPr>
        <w:t>Model results</w:t>
      </w:r>
    </w:p>
    <w:p w14:paraId="28C11131" w14:textId="32A4B6F5" w:rsidR="00D73D20" w:rsidRPr="00AD7238" w:rsidRDefault="00D73D20" w:rsidP="00D73D20">
      <w:pPr>
        <w:pStyle w:val="3-BodyText"/>
      </w:pPr>
      <w:r w:rsidRPr="00AD7238">
        <w:t xml:space="preserve">The key drivers of the model results are provided in </w:t>
      </w:r>
      <w:r w:rsidRPr="00AD7238">
        <w:fldChar w:fldCharType="begin" w:fldLock="1"/>
      </w:r>
      <w:r w:rsidRPr="00AD7238">
        <w:instrText xml:space="preserve"> REF _Ref122266139 \h </w:instrText>
      </w:r>
      <w:r w:rsidRPr="00AD7238">
        <w:fldChar w:fldCharType="separate"/>
      </w:r>
      <w:r w:rsidR="00602E99" w:rsidRPr="00AD7238">
        <w:t xml:space="preserve">Table </w:t>
      </w:r>
      <w:r w:rsidR="00602E99">
        <w:rPr>
          <w:noProof/>
        </w:rPr>
        <w:t>11</w:t>
      </w:r>
      <w:r w:rsidRPr="00AD7238">
        <w:fldChar w:fldCharType="end"/>
      </w:r>
      <w:r w:rsidRPr="00AD7238">
        <w:t xml:space="preserve">. </w:t>
      </w:r>
    </w:p>
    <w:p w14:paraId="11BD549A" w14:textId="130730AD" w:rsidR="00D73D20" w:rsidRPr="00AD7238" w:rsidRDefault="00D73D20" w:rsidP="00D73D20">
      <w:pPr>
        <w:pStyle w:val="Caption"/>
        <w:rPr>
          <w:rStyle w:val="CommentReference"/>
          <w:b/>
          <w:szCs w:val="24"/>
        </w:rPr>
      </w:pPr>
      <w:bookmarkStart w:id="51" w:name="_Ref122266139"/>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11</w:t>
      </w:r>
      <w:r w:rsidR="000442ED">
        <w:rPr>
          <w:noProof/>
        </w:rPr>
        <w:fldChar w:fldCharType="end"/>
      </w:r>
      <w:bookmarkEnd w:id="51"/>
      <w:r w:rsidRPr="00AD7238">
        <w:t>:</w:t>
      </w:r>
      <w:r w:rsidRPr="00AD7238">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544"/>
        <w:gridCol w:w="4202"/>
      </w:tblGrid>
      <w:tr w:rsidR="00D73D20" w:rsidRPr="00AD7238" w14:paraId="5B51D324" w14:textId="77777777" w:rsidTr="00CC6B2D">
        <w:trPr>
          <w:tblHeader/>
        </w:trPr>
        <w:tc>
          <w:tcPr>
            <w:tcW w:w="705" w:type="pct"/>
            <w:shd w:val="clear" w:color="auto" w:fill="auto"/>
            <w:vAlign w:val="center"/>
          </w:tcPr>
          <w:p w14:paraId="27635C95" w14:textId="77777777" w:rsidR="00D73D20" w:rsidRPr="00AD7238" w:rsidRDefault="00D73D20">
            <w:pPr>
              <w:pStyle w:val="In-tableHeading"/>
              <w:jc w:val="center"/>
              <w:rPr>
                <w:lang w:val="en-AU"/>
              </w:rPr>
            </w:pPr>
            <w:r w:rsidRPr="00AD7238">
              <w:rPr>
                <w:lang w:val="en-AU"/>
              </w:rPr>
              <w:t>Description</w:t>
            </w:r>
          </w:p>
        </w:tc>
        <w:tc>
          <w:tcPr>
            <w:tcW w:w="1965" w:type="pct"/>
            <w:shd w:val="clear" w:color="auto" w:fill="auto"/>
            <w:vAlign w:val="center"/>
          </w:tcPr>
          <w:p w14:paraId="29E3824B" w14:textId="77777777" w:rsidR="00D73D20" w:rsidRPr="00AD7238" w:rsidRDefault="00D73D20">
            <w:pPr>
              <w:pStyle w:val="In-tableHeading"/>
              <w:jc w:val="center"/>
              <w:rPr>
                <w:lang w:val="en-AU"/>
              </w:rPr>
            </w:pPr>
            <w:r w:rsidRPr="00AD7238">
              <w:rPr>
                <w:lang w:val="en-AU"/>
              </w:rPr>
              <w:t>Method/Value</w:t>
            </w:r>
          </w:p>
        </w:tc>
        <w:tc>
          <w:tcPr>
            <w:tcW w:w="2330" w:type="pct"/>
            <w:shd w:val="clear" w:color="auto" w:fill="auto"/>
            <w:vAlign w:val="center"/>
          </w:tcPr>
          <w:p w14:paraId="180A39A3" w14:textId="77777777" w:rsidR="00D73D20" w:rsidRPr="00AD7238" w:rsidRDefault="00D73D20">
            <w:pPr>
              <w:pStyle w:val="In-tableHeading"/>
              <w:jc w:val="center"/>
              <w:rPr>
                <w:lang w:val="en-AU"/>
              </w:rPr>
            </w:pPr>
            <w:r w:rsidRPr="00AD7238">
              <w:rPr>
                <w:lang w:val="en-AU"/>
              </w:rPr>
              <w:t>Impact</w:t>
            </w:r>
          </w:p>
        </w:tc>
      </w:tr>
      <w:tr w:rsidR="00D73D20" w:rsidRPr="00615B0D" w14:paraId="60644086" w14:textId="77777777" w:rsidTr="00CC6B2D">
        <w:tc>
          <w:tcPr>
            <w:tcW w:w="705" w:type="pct"/>
            <w:shd w:val="clear" w:color="auto" w:fill="auto"/>
            <w:vAlign w:val="center"/>
          </w:tcPr>
          <w:p w14:paraId="6D1DFD5E" w14:textId="77777777" w:rsidR="00D73D20" w:rsidRPr="00615B0D" w:rsidRDefault="00D73D20">
            <w:pPr>
              <w:pStyle w:val="TableText0"/>
            </w:pPr>
            <w:r w:rsidRPr="00615B0D">
              <w:t>Age-specific annual incidence of HZ and PHN</w:t>
            </w:r>
          </w:p>
        </w:tc>
        <w:tc>
          <w:tcPr>
            <w:tcW w:w="1965" w:type="pct"/>
            <w:shd w:val="clear" w:color="auto" w:fill="auto"/>
            <w:vAlign w:val="center"/>
          </w:tcPr>
          <w:p w14:paraId="328DF191" w14:textId="77777777" w:rsidR="00D73D20" w:rsidRPr="00615B0D" w:rsidRDefault="00D73D20">
            <w:pPr>
              <w:pStyle w:val="TableText0"/>
            </w:pPr>
            <w:r w:rsidRPr="00615B0D">
              <w:t>Incidence is based on data from the BEACH 2006-2013 (MacIntyre, 2015)</w:t>
            </w:r>
          </w:p>
        </w:tc>
        <w:tc>
          <w:tcPr>
            <w:tcW w:w="2330" w:type="pct"/>
            <w:shd w:val="clear" w:color="auto" w:fill="auto"/>
            <w:vAlign w:val="center"/>
          </w:tcPr>
          <w:p w14:paraId="0A79093E" w14:textId="2A7D0283" w:rsidR="00D73D20" w:rsidRPr="00615B0D" w:rsidRDefault="00D73D20">
            <w:pPr>
              <w:pStyle w:val="TableText0"/>
            </w:pPr>
            <w:r w:rsidRPr="00615B0D">
              <w:t xml:space="preserve">High, favours RZV. </w:t>
            </w:r>
          </w:p>
        </w:tc>
      </w:tr>
      <w:tr w:rsidR="00D73D20" w:rsidRPr="00AD7238" w14:paraId="71EB284D" w14:textId="77777777" w:rsidTr="00CC6B2D">
        <w:tc>
          <w:tcPr>
            <w:tcW w:w="705" w:type="pct"/>
            <w:shd w:val="clear" w:color="auto" w:fill="auto"/>
            <w:vAlign w:val="center"/>
          </w:tcPr>
          <w:p w14:paraId="010C4CF2" w14:textId="77777777" w:rsidR="00D73D20" w:rsidRPr="00AD7238" w:rsidRDefault="00D73D20">
            <w:pPr>
              <w:pStyle w:val="TableText0"/>
            </w:pPr>
            <w:r w:rsidRPr="00AD7238">
              <w:t>Vaccine efficacy</w:t>
            </w:r>
          </w:p>
        </w:tc>
        <w:tc>
          <w:tcPr>
            <w:tcW w:w="1965" w:type="pct"/>
            <w:shd w:val="clear" w:color="auto" w:fill="auto"/>
            <w:vAlign w:val="center"/>
          </w:tcPr>
          <w:p w14:paraId="4FF0817B" w14:textId="77777777" w:rsidR="00D73D20" w:rsidRPr="00AD7238" w:rsidRDefault="00D73D20">
            <w:pPr>
              <w:pStyle w:val="TableText0"/>
            </w:pPr>
            <w:r w:rsidRPr="00AD7238">
              <w:t xml:space="preserve">Data from ZOE-50 and ZOE-70. </w:t>
            </w:r>
            <w:r w:rsidRPr="00AD7238">
              <w:rPr>
                <w:szCs w:val="20"/>
              </w:rPr>
              <w:t>Efficacy at Year 0 was based on the intercept after fitting a linear function to trial data. It was assumed that VE</w:t>
            </w:r>
            <w:r w:rsidRPr="00AD7238">
              <w:rPr>
                <w:szCs w:val="20"/>
                <w:vertAlign w:val="subscript"/>
              </w:rPr>
              <w:t>PHN</w:t>
            </w:r>
            <w:r w:rsidRPr="00AD7238">
              <w:rPr>
                <w:szCs w:val="20"/>
              </w:rPr>
              <w:t xml:space="preserve"> = VE</w:t>
            </w:r>
            <w:r w:rsidRPr="00AD7238">
              <w:rPr>
                <w:szCs w:val="20"/>
                <w:vertAlign w:val="subscript"/>
              </w:rPr>
              <w:t>HZ</w:t>
            </w:r>
            <w:r w:rsidRPr="00AD7238">
              <w:rPr>
                <w:szCs w:val="20"/>
              </w:rPr>
              <w:t>.</w:t>
            </w:r>
          </w:p>
        </w:tc>
        <w:tc>
          <w:tcPr>
            <w:tcW w:w="2330" w:type="pct"/>
            <w:shd w:val="clear" w:color="auto" w:fill="auto"/>
            <w:vAlign w:val="center"/>
          </w:tcPr>
          <w:p w14:paraId="58A433E9" w14:textId="5B46F93C" w:rsidR="00D73D20" w:rsidRPr="00615B0D" w:rsidRDefault="00D73D20">
            <w:pPr>
              <w:pStyle w:val="TableText0"/>
            </w:pPr>
            <w:r w:rsidRPr="00615B0D">
              <w:t xml:space="preserve">High, favours RZV. Alternate use of real-world </w:t>
            </w:r>
            <w:r w:rsidR="00EF3B54">
              <w:t xml:space="preserve">effectiveness </w:t>
            </w:r>
            <w:r w:rsidRPr="006E790F">
              <w:t xml:space="preserve"> data (Izureita</w:t>
            </w:r>
            <w:r w:rsidRPr="00615B0D">
              <w:t xml:space="preserve"> 2021) had a significant impact on the cost-effectiveness of RZV (up to a 113% increase in ICER)</w:t>
            </w:r>
          </w:p>
          <w:p w14:paraId="2E6849FD" w14:textId="77777777" w:rsidR="00D73D20" w:rsidRPr="00AD7238" w:rsidRDefault="00D73D20">
            <w:pPr>
              <w:pStyle w:val="TableText0"/>
              <w:rPr>
                <w:i/>
              </w:rPr>
            </w:pPr>
            <w:r w:rsidRPr="00615B0D">
              <w:t xml:space="preserve"> </w:t>
            </w:r>
          </w:p>
        </w:tc>
      </w:tr>
      <w:tr w:rsidR="001B3880" w:rsidRPr="00615B0D" w14:paraId="5325BB78" w14:textId="77777777" w:rsidTr="00CC6B2D">
        <w:tc>
          <w:tcPr>
            <w:tcW w:w="705" w:type="pct"/>
            <w:shd w:val="clear" w:color="auto" w:fill="auto"/>
            <w:vAlign w:val="center"/>
          </w:tcPr>
          <w:p w14:paraId="5F877760" w14:textId="329CF529" w:rsidR="001B3880" w:rsidRPr="00615B0D" w:rsidRDefault="001B3880" w:rsidP="001B3880">
            <w:pPr>
              <w:pStyle w:val="TableText0"/>
            </w:pPr>
            <w:r w:rsidRPr="00615B0D">
              <w:t>QALY loss per HZ case with and without PHN</w:t>
            </w:r>
          </w:p>
        </w:tc>
        <w:tc>
          <w:tcPr>
            <w:tcW w:w="1965" w:type="pct"/>
            <w:shd w:val="clear" w:color="auto" w:fill="auto"/>
            <w:vAlign w:val="center"/>
          </w:tcPr>
          <w:p w14:paraId="6AFB820D" w14:textId="4A75E309" w:rsidR="001B3880" w:rsidRPr="00615B0D" w:rsidRDefault="001B3880" w:rsidP="001B3880">
            <w:pPr>
              <w:pStyle w:val="TableText0"/>
            </w:pPr>
            <w:r w:rsidRPr="00615B0D">
              <w:t xml:space="preserve">Data from </w:t>
            </w:r>
            <w:r w:rsidRPr="00615B0D">
              <w:rPr>
                <w:szCs w:val="20"/>
              </w:rPr>
              <w:t>Gater (2014), Serpell (2014) and Curran (2017).</w:t>
            </w:r>
          </w:p>
        </w:tc>
        <w:tc>
          <w:tcPr>
            <w:tcW w:w="2330" w:type="pct"/>
            <w:shd w:val="clear" w:color="auto" w:fill="auto"/>
            <w:vAlign w:val="center"/>
          </w:tcPr>
          <w:p w14:paraId="4DB9274E" w14:textId="2F8707BA" w:rsidR="001B3880" w:rsidRPr="00615B0D" w:rsidRDefault="001B3880" w:rsidP="001B3880">
            <w:pPr>
              <w:pStyle w:val="TableText0"/>
            </w:pPr>
            <w:r w:rsidRPr="00615B0D">
              <w:t>High,</w:t>
            </w:r>
            <w:r w:rsidR="00592E7A" w:rsidRPr="00A65E17">
              <w:rPr>
                <w:iCs/>
              </w:rPr>
              <w:t xml:space="preserve"> likely</w:t>
            </w:r>
            <w:r w:rsidR="00592E7A">
              <w:t xml:space="preserve"> </w:t>
            </w:r>
            <w:r w:rsidR="00F42CF1" w:rsidRPr="00615B0D">
              <w:t xml:space="preserve">favouring RZV. </w:t>
            </w:r>
          </w:p>
        </w:tc>
      </w:tr>
      <w:tr w:rsidR="001B3880" w:rsidRPr="00615B0D" w14:paraId="7BEA168F" w14:textId="77777777" w:rsidTr="006E790F">
        <w:trPr>
          <w:trHeight w:val="742"/>
        </w:trPr>
        <w:tc>
          <w:tcPr>
            <w:tcW w:w="705" w:type="pct"/>
            <w:shd w:val="clear" w:color="auto" w:fill="auto"/>
            <w:vAlign w:val="center"/>
          </w:tcPr>
          <w:p w14:paraId="6576176B" w14:textId="77777777" w:rsidR="001B3880" w:rsidRPr="00615B0D" w:rsidRDefault="001B3880" w:rsidP="001B3880">
            <w:pPr>
              <w:pStyle w:val="TableText0"/>
            </w:pPr>
            <w:r w:rsidRPr="00615B0D">
              <w:t>Annual waning of vaccine efficacy</w:t>
            </w:r>
          </w:p>
        </w:tc>
        <w:tc>
          <w:tcPr>
            <w:tcW w:w="1965" w:type="pct"/>
            <w:shd w:val="clear" w:color="auto" w:fill="auto"/>
            <w:vAlign w:val="center"/>
          </w:tcPr>
          <w:p w14:paraId="7E6D510A" w14:textId="77777777" w:rsidR="001B3880" w:rsidRPr="00615B0D" w:rsidRDefault="001B3880" w:rsidP="001B3880">
            <w:pPr>
              <w:pStyle w:val="TableText0"/>
            </w:pPr>
            <w:r w:rsidRPr="00615B0D">
              <w:t xml:space="preserve">Data from ZOE-50, ZOE-70 and ZOSTER-049. Waning estimated by </w:t>
            </w:r>
            <w:r w:rsidRPr="00615B0D">
              <w:rPr>
                <w:szCs w:val="20"/>
              </w:rPr>
              <w:t>fitting a linear function to trial data.</w:t>
            </w:r>
          </w:p>
        </w:tc>
        <w:tc>
          <w:tcPr>
            <w:tcW w:w="2330" w:type="pct"/>
            <w:shd w:val="clear" w:color="auto" w:fill="auto"/>
            <w:vAlign w:val="center"/>
          </w:tcPr>
          <w:p w14:paraId="42CADF6C" w14:textId="3761514C" w:rsidR="001B3880" w:rsidRPr="00615B0D" w:rsidRDefault="001B3880" w:rsidP="001B3880">
            <w:pPr>
              <w:pStyle w:val="TableText0"/>
            </w:pPr>
            <w:r w:rsidRPr="00615B0D">
              <w:t xml:space="preserve">Moderate, </w:t>
            </w:r>
            <w:r w:rsidR="00F540EC" w:rsidRPr="00A65E17">
              <w:rPr>
                <w:iCs/>
              </w:rPr>
              <w:t>direction unknown</w:t>
            </w:r>
            <w:r w:rsidRPr="00615B0D">
              <w:t xml:space="preserve"> </w:t>
            </w:r>
          </w:p>
        </w:tc>
      </w:tr>
      <w:tr w:rsidR="001B3880" w:rsidRPr="00615B0D" w14:paraId="1EFE9061" w14:textId="77777777" w:rsidTr="00CC6B2D">
        <w:tc>
          <w:tcPr>
            <w:tcW w:w="705" w:type="pct"/>
            <w:shd w:val="clear" w:color="auto" w:fill="auto"/>
            <w:vAlign w:val="center"/>
          </w:tcPr>
          <w:p w14:paraId="1C564DE7" w14:textId="77777777" w:rsidR="001B3880" w:rsidRPr="00615B0D" w:rsidRDefault="001B3880" w:rsidP="001B3880">
            <w:pPr>
              <w:pStyle w:val="TableText0"/>
            </w:pPr>
            <w:r w:rsidRPr="00615B0D">
              <w:t>Discount rate</w:t>
            </w:r>
          </w:p>
        </w:tc>
        <w:tc>
          <w:tcPr>
            <w:tcW w:w="1965" w:type="pct"/>
            <w:shd w:val="clear" w:color="auto" w:fill="auto"/>
            <w:vAlign w:val="center"/>
          </w:tcPr>
          <w:p w14:paraId="35F76A77" w14:textId="77777777" w:rsidR="001B3880" w:rsidRPr="00615B0D" w:rsidRDefault="001B3880" w:rsidP="001B3880">
            <w:pPr>
              <w:pStyle w:val="TableText0"/>
            </w:pPr>
            <w:r w:rsidRPr="00615B0D">
              <w:t>Base case 5%</w:t>
            </w:r>
          </w:p>
        </w:tc>
        <w:tc>
          <w:tcPr>
            <w:tcW w:w="2330" w:type="pct"/>
            <w:shd w:val="clear" w:color="auto" w:fill="auto"/>
            <w:vAlign w:val="center"/>
          </w:tcPr>
          <w:p w14:paraId="6FBC1F02" w14:textId="009764B3" w:rsidR="001B3880" w:rsidRPr="00615B0D" w:rsidRDefault="001B3880" w:rsidP="001B3880">
            <w:pPr>
              <w:pStyle w:val="TableText0"/>
            </w:pPr>
            <w:r w:rsidRPr="00615B0D">
              <w:t>Moderate</w:t>
            </w:r>
            <w:r w:rsidR="00025BE1">
              <w:t>, r</w:t>
            </w:r>
            <w:r w:rsidRPr="00615B0D">
              <w:t xml:space="preserve">educing the discount </w:t>
            </w:r>
            <w:r w:rsidRPr="006E790F">
              <w:t xml:space="preserve">rate </w:t>
            </w:r>
            <w:r w:rsidR="00E946BC" w:rsidRPr="006E790F">
              <w:t>decreases the ICER</w:t>
            </w:r>
            <w:r w:rsidRPr="006E790F">
              <w:t>.</w:t>
            </w:r>
          </w:p>
        </w:tc>
      </w:tr>
    </w:tbl>
    <w:p w14:paraId="26F5AE6F" w14:textId="77777777" w:rsidR="00D73D20" w:rsidRPr="00AD7238" w:rsidRDefault="00D73D20" w:rsidP="00D73D20">
      <w:pPr>
        <w:pStyle w:val="FooterTableFigure"/>
      </w:pPr>
      <w:r w:rsidRPr="00AD7238">
        <w:t>Source: Compiled during the evaluation</w:t>
      </w:r>
    </w:p>
    <w:p w14:paraId="3A319FF5" w14:textId="6760CBC8" w:rsidR="00D73D20" w:rsidRPr="00AD7238" w:rsidRDefault="00D73D20" w:rsidP="00D73D20">
      <w:pPr>
        <w:pStyle w:val="FooterTableFigure"/>
      </w:pPr>
      <w:r w:rsidRPr="00AD7238">
        <w:t>BEACH</w:t>
      </w:r>
      <w:r w:rsidR="001653EF" w:rsidRPr="00AD7238">
        <w:t xml:space="preserve"> = </w:t>
      </w:r>
      <w:r w:rsidRPr="00AD7238">
        <w:t>Bettering the Evaluation and Care of Health dataset; HZ</w:t>
      </w:r>
      <w:r w:rsidR="001653EF" w:rsidRPr="00AD7238">
        <w:t xml:space="preserve"> = </w:t>
      </w:r>
      <w:r w:rsidRPr="00AD7238">
        <w:t>herpes zoster; PHN</w:t>
      </w:r>
      <w:r w:rsidR="001653EF" w:rsidRPr="00AD7238">
        <w:t xml:space="preserve"> = </w:t>
      </w:r>
      <w:r w:rsidRPr="00AD7238">
        <w:t>post-herpetic neuralgia; VE</w:t>
      </w:r>
      <w:r w:rsidRPr="00AD7238">
        <w:rPr>
          <w:vertAlign w:val="subscript"/>
        </w:rPr>
        <w:t>HZ</w:t>
      </w:r>
      <w:r w:rsidRPr="00AD7238">
        <w:t>, Vaccine efficacy for HZ; VE</w:t>
      </w:r>
      <w:r w:rsidRPr="00AD7238">
        <w:rPr>
          <w:vertAlign w:val="subscript"/>
        </w:rPr>
        <w:t>PHN</w:t>
      </w:r>
      <w:r w:rsidRPr="00AD7238">
        <w:t>, Vaccine efficacy for PHN</w:t>
      </w:r>
    </w:p>
    <w:p w14:paraId="49E1EE6B" w14:textId="13C5D052" w:rsidR="00D73D20" w:rsidRPr="00AD7238" w:rsidRDefault="00D73D20" w:rsidP="00D73D20">
      <w:pPr>
        <w:pStyle w:val="3-BodyText"/>
      </w:pPr>
      <w:r w:rsidRPr="00AD7238">
        <w:rPr>
          <w:rStyle w:val="CommentReference"/>
          <w:rFonts w:asciiTheme="minorHAnsi" w:hAnsiTheme="minorHAnsi"/>
          <w:b w:val="0"/>
          <w:sz w:val="24"/>
          <w:szCs w:val="24"/>
        </w:rPr>
        <w:t xml:space="preserve">The results of the economic evaluation for RZV vs. no vaccine are summarised in </w:t>
      </w:r>
      <w:r w:rsidRPr="00AD7238">
        <w:fldChar w:fldCharType="begin" w:fldLock="1"/>
      </w:r>
      <w:r w:rsidRPr="00AD7238">
        <w:rPr>
          <w:rStyle w:val="CommentReference"/>
          <w:rFonts w:asciiTheme="minorHAnsi" w:hAnsiTheme="minorHAnsi"/>
          <w:b w:val="0"/>
          <w:sz w:val="24"/>
          <w:szCs w:val="24"/>
        </w:rPr>
        <w:instrText xml:space="preserve"> REF _Ref122266171 \h </w:instrText>
      </w:r>
      <w:r w:rsidRPr="00AD7238">
        <w:fldChar w:fldCharType="separate"/>
      </w:r>
      <w:r w:rsidR="00602E99" w:rsidRPr="00AD7238">
        <w:t xml:space="preserve">Table </w:t>
      </w:r>
      <w:r w:rsidR="00602E99">
        <w:rPr>
          <w:noProof/>
        </w:rPr>
        <w:t>12</w:t>
      </w:r>
      <w:r w:rsidRPr="00AD7238">
        <w:fldChar w:fldCharType="end"/>
      </w:r>
      <w:r w:rsidRPr="00AD7238">
        <w:t xml:space="preserve"> and </w:t>
      </w:r>
      <w:r w:rsidRPr="00AD7238">
        <w:fldChar w:fldCharType="begin" w:fldLock="1"/>
      </w:r>
      <w:r w:rsidRPr="00AD7238">
        <w:instrText xml:space="preserve"> REF _Ref122266173 \h </w:instrText>
      </w:r>
      <w:r w:rsidRPr="00AD7238">
        <w:fldChar w:fldCharType="separate"/>
      </w:r>
      <w:r w:rsidR="00602E99" w:rsidRPr="00AD7238">
        <w:t xml:space="preserve">Table </w:t>
      </w:r>
      <w:r w:rsidR="00602E99">
        <w:rPr>
          <w:noProof/>
        </w:rPr>
        <w:t>13</w:t>
      </w:r>
      <w:r w:rsidRPr="00AD7238">
        <w:fldChar w:fldCharType="end"/>
      </w:r>
      <w:r w:rsidRPr="00AD7238">
        <w:t xml:space="preserve"> for non-Indigenous adults &gt;65 YOA and for</w:t>
      </w:r>
      <w:r w:rsidR="00B72668" w:rsidRPr="00AD7238">
        <w:t xml:space="preserve"> Aboriginal and Torres Strait Islander</w:t>
      </w:r>
      <w:r w:rsidRPr="00AD7238">
        <w:t xml:space="preserve"> adults &gt;50 YOA, respectively. </w:t>
      </w:r>
    </w:p>
    <w:p w14:paraId="7B846525" w14:textId="577F2342" w:rsidR="00D73D20" w:rsidRPr="00AD7238" w:rsidRDefault="00D73D20" w:rsidP="005A7FF1">
      <w:pPr>
        <w:pStyle w:val="Caption"/>
        <w:rPr>
          <w:rStyle w:val="CommentReference"/>
          <w:b/>
          <w:szCs w:val="18"/>
        </w:rPr>
      </w:pPr>
      <w:bookmarkStart w:id="52" w:name="_Ref104805181"/>
      <w:bookmarkStart w:id="53" w:name="_Ref122266171"/>
      <w:r w:rsidRPr="00AD7238">
        <w:lastRenderedPageBreak/>
        <w:t xml:space="preserve">Table </w:t>
      </w:r>
      <w:bookmarkEnd w:id="52"/>
      <w:r w:rsidRPr="00AD7238">
        <w:fldChar w:fldCharType="begin" w:fldLock="1"/>
      </w:r>
      <w:r w:rsidRPr="00AD7238">
        <w:instrText xml:space="preserve"> SEQ Table \* ARABIC </w:instrText>
      </w:r>
      <w:r w:rsidRPr="00AD7238">
        <w:fldChar w:fldCharType="separate"/>
      </w:r>
      <w:r w:rsidR="00602E99">
        <w:rPr>
          <w:noProof/>
        </w:rPr>
        <w:t>12</w:t>
      </w:r>
      <w:r w:rsidRPr="00AD7238">
        <w:fldChar w:fldCharType="end"/>
      </w:r>
      <w:bookmarkEnd w:id="53"/>
      <w:r w:rsidRPr="00AD7238">
        <w:rPr>
          <w:rStyle w:val="CommentReference"/>
          <w:b/>
          <w:szCs w:val="24"/>
        </w:rPr>
        <w:t xml:space="preserve">: Results of the economic evaluation for </w:t>
      </w:r>
      <w:r w:rsidRPr="00AD7238">
        <w:t>RZV vs no vaccine – non-Indigenous adults ≥</w:t>
      </w:r>
      <w:r w:rsidR="00A40C17">
        <w:t xml:space="preserve"> </w:t>
      </w:r>
      <w:r w:rsidRPr="00AD7238">
        <w:t>65 YOA</w:t>
      </w:r>
    </w:p>
    <w:tbl>
      <w:tblPr>
        <w:tblW w:w="0" w:type="auto"/>
        <w:tblLayout w:type="fixed"/>
        <w:tblLook w:val="04A0" w:firstRow="1" w:lastRow="0" w:firstColumn="1" w:lastColumn="0" w:noHBand="0" w:noVBand="1"/>
      </w:tblPr>
      <w:tblGrid>
        <w:gridCol w:w="2440"/>
        <w:gridCol w:w="1644"/>
        <w:gridCol w:w="1644"/>
        <w:gridCol w:w="1644"/>
        <w:gridCol w:w="1645"/>
      </w:tblGrid>
      <w:tr w:rsidR="00D73D20" w:rsidRPr="00AD7238" w14:paraId="31D90B88" w14:textId="77777777" w:rsidTr="005F243E">
        <w:trPr>
          <w:trHeight w:val="510"/>
          <w:tblHeader/>
        </w:trPr>
        <w:tc>
          <w:tcPr>
            <w:tcW w:w="2440" w:type="dxa"/>
            <w:tcBorders>
              <w:top w:val="single" w:sz="4" w:space="0" w:color="auto"/>
              <w:left w:val="single" w:sz="4" w:space="0" w:color="auto"/>
              <w:bottom w:val="single" w:sz="4" w:space="0" w:color="auto"/>
              <w:right w:val="single" w:sz="4" w:space="0" w:color="auto"/>
            </w:tcBorders>
            <w:shd w:val="clear" w:color="000000" w:fill="BFBFBF"/>
            <w:noWrap/>
            <w:hideMark/>
          </w:tcPr>
          <w:p w14:paraId="21293A53" w14:textId="77777777" w:rsidR="00D73D20" w:rsidRPr="00AD7238" w:rsidRDefault="00D73D20" w:rsidP="005A7FF1">
            <w:pPr>
              <w:pStyle w:val="TableFigureHeading"/>
            </w:pPr>
            <w:r w:rsidRPr="00AD7238">
              <w:t>Result</w:t>
            </w:r>
          </w:p>
        </w:tc>
        <w:tc>
          <w:tcPr>
            <w:tcW w:w="1644" w:type="dxa"/>
            <w:tcBorders>
              <w:top w:val="single" w:sz="4" w:space="0" w:color="auto"/>
              <w:left w:val="nil"/>
              <w:bottom w:val="single" w:sz="4" w:space="0" w:color="auto"/>
              <w:right w:val="single" w:sz="4" w:space="0" w:color="auto"/>
            </w:tcBorders>
            <w:shd w:val="clear" w:color="000000" w:fill="BFBFBF"/>
            <w:noWrap/>
            <w:hideMark/>
          </w:tcPr>
          <w:p w14:paraId="45AF3B9F" w14:textId="088A36C8" w:rsidR="00D73D20" w:rsidRPr="00AD7238" w:rsidRDefault="00D73D20" w:rsidP="005A7FF1">
            <w:pPr>
              <w:pStyle w:val="TableFigureHeading"/>
              <w:jc w:val="center"/>
            </w:pPr>
            <w:r w:rsidRPr="00AD7238">
              <w:t>RZV</w:t>
            </w:r>
          </w:p>
        </w:tc>
        <w:tc>
          <w:tcPr>
            <w:tcW w:w="1644" w:type="dxa"/>
            <w:tcBorders>
              <w:top w:val="single" w:sz="4" w:space="0" w:color="auto"/>
              <w:left w:val="nil"/>
              <w:bottom w:val="single" w:sz="4" w:space="0" w:color="auto"/>
              <w:right w:val="single" w:sz="4" w:space="0" w:color="auto"/>
            </w:tcBorders>
            <w:shd w:val="clear" w:color="000000" w:fill="BFBFBF"/>
            <w:noWrap/>
            <w:hideMark/>
          </w:tcPr>
          <w:p w14:paraId="6E8F28D0" w14:textId="77777777" w:rsidR="00D73D20" w:rsidRPr="00AD7238" w:rsidRDefault="00D73D20" w:rsidP="005A7FF1">
            <w:pPr>
              <w:pStyle w:val="TableFigureHeading"/>
              <w:jc w:val="center"/>
            </w:pPr>
            <w:r w:rsidRPr="00AD7238">
              <w:t>No vaccine</w:t>
            </w:r>
          </w:p>
        </w:tc>
        <w:tc>
          <w:tcPr>
            <w:tcW w:w="1644" w:type="dxa"/>
            <w:tcBorders>
              <w:top w:val="single" w:sz="4" w:space="0" w:color="auto"/>
              <w:left w:val="nil"/>
              <w:bottom w:val="single" w:sz="4" w:space="0" w:color="auto"/>
              <w:right w:val="single" w:sz="4" w:space="0" w:color="auto"/>
            </w:tcBorders>
            <w:shd w:val="clear" w:color="000000" w:fill="BFBFBF"/>
            <w:hideMark/>
          </w:tcPr>
          <w:p w14:paraId="051D9C8A" w14:textId="77777777" w:rsidR="00D73D20" w:rsidRPr="00AD7238" w:rsidRDefault="00D73D20" w:rsidP="005A7FF1">
            <w:pPr>
              <w:pStyle w:val="TableFigureHeading"/>
              <w:jc w:val="center"/>
            </w:pPr>
            <w:r w:rsidRPr="00AD7238">
              <w:t>Incremental difference</w:t>
            </w:r>
          </w:p>
        </w:tc>
        <w:tc>
          <w:tcPr>
            <w:tcW w:w="1645" w:type="dxa"/>
            <w:tcBorders>
              <w:top w:val="single" w:sz="4" w:space="0" w:color="auto"/>
              <w:left w:val="nil"/>
              <w:bottom w:val="single" w:sz="4" w:space="0" w:color="auto"/>
              <w:right w:val="single" w:sz="4" w:space="0" w:color="auto"/>
            </w:tcBorders>
            <w:shd w:val="clear" w:color="000000" w:fill="BFBFBF"/>
            <w:hideMark/>
          </w:tcPr>
          <w:p w14:paraId="5C0B200A" w14:textId="77777777" w:rsidR="00D73D20" w:rsidRPr="00AD7238" w:rsidRDefault="00D73D20" w:rsidP="005A7FF1">
            <w:pPr>
              <w:pStyle w:val="TableFigureHeading"/>
              <w:jc w:val="center"/>
            </w:pPr>
            <w:r w:rsidRPr="00AD7238">
              <w:t>% of total difference</w:t>
            </w:r>
          </w:p>
        </w:tc>
      </w:tr>
      <w:tr w:rsidR="00D73D20" w:rsidRPr="00AD7238" w14:paraId="77EF7186" w14:textId="77777777" w:rsidTr="005F243E">
        <w:trPr>
          <w:trHeight w:val="255"/>
        </w:trPr>
        <w:tc>
          <w:tcPr>
            <w:tcW w:w="9017"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6E9C2975" w14:textId="40069F61" w:rsidR="00D73D20" w:rsidRPr="00AD7238" w:rsidRDefault="00D73D20" w:rsidP="005A7FF1">
            <w:pPr>
              <w:keepNext/>
              <w:jc w:val="left"/>
              <w:rPr>
                <w:rFonts w:ascii="Arial Narrow" w:hAnsi="Arial Narrow"/>
                <w:sz w:val="20"/>
                <w:szCs w:val="20"/>
              </w:rPr>
            </w:pPr>
            <w:r w:rsidRPr="00AD7238">
              <w:rPr>
                <w:rFonts w:ascii="Arial Narrow" w:hAnsi="Arial Narrow"/>
                <w:sz w:val="20"/>
                <w:szCs w:val="20"/>
              </w:rPr>
              <w:t>Case counts</w:t>
            </w:r>
            <w:r w:rsidR="008439D0" w:rsidRPr="00AD7238">
              <w:rPr>
                <w:rFonts w:ascii="Arial Narrow" w:hAnsi="Arial Narrow"/>
                <w:sz w:val="20"/>
                <w:szCs w:val="20"/>
              </w:rPr>
              <w:t xml:space="preserve"> per million vaccinated</w:t>
            </w:r>
          </w:p>
        </w:tc>
      </w:tr>
      <w:tr w:rsidR="00D73D20" w:rsidRPr="00AD7238" w14:paraId="42F073FB"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37E323FB"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HZ cases</w:t>
            </w:r>
          </w:p>
        </w:tc>
        <w:tc>
          <w:tcPr>
            <w:tcW w:w="1644" w:type="dxa"/>
            <w:tcBorders>
              <w:top w:val="nil"/>
              <w:left w:val="nil"/>
              <w:bottom w:val="single" w:sz="4" w:space="0" w:color="auto"/>
              <w:right w:val="single" w:sz="4" w:space="0" w:color="auto"/>
            </w:tcBorders>
            <w:shd w:val="clear" w:color="auto" w:fill="auto"/>
            <w:noWrap/>
            <w:hideMark/>
          </w:tcPr>
          <w:p w14:paraId="1FE8293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105,944</w:t>
            </w:r>
          </w:p>
        </w:tc>
        <w:tc>
          <w:tcPr>
            <w:tcW w:w="1644" w:type="dxa"/>
            <w:tcBorders>
              <w:top w:val="nil"/>
              <w:left w:val="nil"/>
              <w:bottom w:val="single" w:sz="4" w:space="0" w:color="auto"/>
              <w:right w:val="single" w:sz="4" w:space="0" w:color="auto"/>
            </w:tcBorders>
            <w:shd w:val="clear" w:color="auto" w:fill="auto"/>
            <w:noWrap/>
            <w:hideMark/>
          </w:tcPr>
          <w:p w14:paraId="2882762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280,510</w:t>
            </w:r>
          </w:p>
        </w:tc>
        <w:tc>
          <w:tcPr>
            <w:tcW w:w="1644" w:type="dxa"/>
            <w:tcBorders>
              <w:top w:val="nil"/>
              <w:left w:val="nil"/>
              <w:bottom w:val="single" w:sz="4" w:space="0" w:color="auto"/>
              <w:right w:val="single" w:sz="4" w:space="0" w:color="auto"/>
            </w:tcBorders>
            <w:shd w:val="clear" w:color="auto" w:fill="auto"/>
            <w:noWrap/>
            <w:hideMark/>
          </w:tcPr>
          <w:p w14:paraId="2FFAA495"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-174,566</w:t>
            </w:r>
          </w:p>
        </w:tc>
        <w:tc>
          <w:tcPr>
            <w:tcW w:w="1645" w:type="dxa"/>
            <w:tcBorders>
              <w:top w:val="nil"/>
              <w:left w:val="nil"/>
              <w:bottom w:val="single" w:sz="4" w:space="0" w:color="auto"/>
              <w:right w:val="single" w:sz="4" w:space="0" w:color="auto"/>
            </w:tcBorders>
            <w:shd w:val="clear" w:color="auto" w:fill="auto"/>
            <w:noWrap/>
            <w:hideMark/>
          </w:tcPr>
          <w:p w14:paraId="3D88C4B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27479CE8"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1D9E3E8D"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PHN cases</w:t>
            </w:r>
          </w:p>
        </w:tc>
        <w:tc>
          <w:tcPr>
            <w:tcW w:w="1644" w:type="dxa"/>
            <w:tcBorders>
              <w:top w:val="nil"/>
              <w:left w:val="nil"/>
              <w:bottom w:val="single" w:sz="4" w:space="0" w:color="auto"/>
              <w:right w:val="single" w:sz="4" w:space="0" w:color="auto"/>
            </w:tcBorders>
            <w:shd w:val="clear" w:color="auto" w:fill="auto"/>
            <w:noWrap/>
            <w:hideMark/>
          </w:tcPr>
          <w:p w14:paraId="5AD25CF2" w14:textId="77777777" w:rsidR="00D73D20" w:rsidRPr="00AD7238" w:rsidRDefault="00D73D20" w:rsidP="005A7FF1">
            <w:pPr>
              <w:pStyle w:val="Tabletext"/>
              <w:keepNext/>
              <w:jc w:val="center"/>
            </w:pPr>
            <w:r w:rsidRPr="00AD7238">
              <w:t>26,054</w:t>
            </w:r>
          </w:p>
        </w:tc>
        <w:tc>
          <w:tcPr>
            <w:tcW w:w="1644" w:type="dxa"/>
            <w:tcBorders>
              <w:top w:val="nil"/>
              <w:left w:val="nil"/>
              <w:bottom w:val="single" w:sz="4" w:space="0" w:color="auto"/>
              <w:right w:val="single" w:sz="4" w:space="0" w:color="auto"/>
            </w:tcBorders>
            <w:shd w:val="clear" w:color="auto" w:fill="auto"/>
            <w:noWrap/>
            <w:hideMark/>
          </w:tcPr>
          <w:p w14:paraId="534492D2" w14:textId="77777777" w:rsidR="00D73D20" w:rsidRPr="00AD7238" w:rsidRDefault="00D73D20" w:rsidP="005A7FF1">
            <w:pPr>
              <w:pStyle w:val="Tabletext"/>
              <w:keepNext/>
              <w:jc w:val="center"/>
            </w:pPr>
            <w:r w:rsidRPr="00AD7238">
              <w:t>66,269</w:t>
            </w:r>
          </w:p>
        </w:tc>
        <w:tc>
          <w:tcPr>
            <w:tcW w:w="1644" w:type="dxa"/>
            <w:tcBorders>
              <w:top w:val="nil"/>
              <w:left w:val="nil"/>
              <w:bottom w:val="single" w:sz="4" w:space="0" w:color="auto"/>
              <w:right w:val="single" w:sz="4" w:space="0" w:color="auto"/>
            </w:tcBorders>
            <w:shd w:val="clear" w:color="auto" w:fill="auto"/>
            <w:noWrap/>
            <w:hideMark/>
          </w:tcPr>
          <w:p w14:paraId="08C15324" w14:textId="77777777" w:rsidR="00D73D20" w:rsidRPr="00AD7238" w:rsidRDefault="00D73D20" w:rsidP="005A7FF1">
            <w:pPr>
              <w:pStyle w:val="Tabletext"/>
              <w:keepNext/>
              <w:jc w:val="center"/>
            </w:pPr>
            <w:r w:rsidRPr="00AD7238">
              <w:t>-40,214</w:t>
            </w:r>
          </w:p>
        </w:tc>
        <w:tc>
          <w:tcPr>
            <w:tcW w:w="1645" w:type="dxa"/>
            <w:tcBorders>
              <w:top w:val="nil"/>
              <w:left w:val="nil"/>
              <w:bottom w:val="single" w:sz="4" w:space="0" w:color="auto"/>
              <w:right w:val="single" w:sz="4" w:space="0" w:color="auto"/>
            </w:tcBorders>
            <w:shd w:val="clear" w:color="auto" w:fill="auto"/>
            <w:noWrap/>
            <w:hideMark/>
          </w:tcPr>
          <w:p w14:paraId="7B9F3F2D" w14:textId="77777777" w:rsidR="00D73D20" w:rsidRPr="00AD7238" w:rsidRDefault="00D73D20" w:rsidP="005A7FF1">
            <w:pPr>
              <w:pStyle w:val="Tabletext"/>
              <w:keepNext/>
              <w:jc w:val="center"/>
            </w:pPr>
            <w:r w:rsidRPr="00AD7238">
              <w:t>-</w:t>
            </w:r>
          </w:p>
        </w:tc>
      </w:tr>
      <w:tr w:rsidR="00D73D20" w:rsidRPr="00AD7238" w14:paraId="17EF0680"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015B37FE"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Non-PHN complications cases</w:t>
            </w:r>
          </w:p>
        </w:tc>
        <w:tc>
          <w:tcPr>
            <w:tcW w:w="1644" w:type="dxa"/>
            <w:tcBorders>
              <w:top w:val="nil"/>
              <w:left w:val="nil"/>
              <w:bottom w:val="single" w:sz="4" w:space="0" w:color="auto"/>
              <w:right w:val="single" w:sz="4" w:space="0" w:color="auto"/>
            </w:tcBorders>
            <w:shd w:val="clear" w:color="auto" w:fill="auto"/>
            <w:noWrap/>
            <w:hideMark/>
          </w:tcPr>
          <w:p w14:paraId="237FB83C" w14:textId="77777777" w:rsidR="00D73D20" w:rsidRPr="00AD7238" w:rsidRDefault="00D73D20" w:rsidP="005A7FF1">
            <w:pPr>
              <w:pStyle w:val="Tabletext"/>
              <w:keepNext/>
              <w:jc w:val="center"/>
            </w:pPr>
            <w:r w:rsidRPr="00AD7238">
              <w:t>17,629</w:t>
            </w:r>
          </w:p>
        </w:tc>
        <w:tc>
          <w:tcPr>
            <w:tcW w:w="1644" w:type="dxa"/>
            <w:tcBorders>
              <w:top w:val="nil"/>
              <w:left w:val="nil"/>
              <w:bottom w:val="single" w:sz="4" w:space="0" w:color="auto"/>
              <w:right w:val="single" w:sz="4" w:space="0" w:color="auto"/>
            </w:tcBorders>
            <w:shd w:val="clear" w:color="auto" w:fill="auto"/>
            <w:noWrap/>
            <w:hideMark/>
          </w:tcPr>
          <w:p w14:paraId="75CB88AC" w14:textId="77777777" w:rsidR="00D73D20" w:rsidRPr="00AD7238" w:rsidRDefault="00D73D20" w:rsidP="005A7FF1">
            <w:pPr>
              <w:pStyle w:val="Tabletext"/>
              <w:keepNext/>
              <w:jc w:val="center"/>
            </w:pPr>
            <w:r w:rsidRPr="00AD7238">
              <w:t>44,648</w:t>
            </w:r>
          </w:p>
        </w:tc>
        <w:tc>
          <w:tcPr>
            <w:tcW w:w="1644" w:type="dxa"/>
            <w:tcBorders>
              <w:top w:val="nil"/>
              <w:left w:val="nil"/>
              <w:bottom w:val="single" w:sz="4" w:space="0" w:color="auto"/>
              <w:right w:val="single" w:sz="4" w:space="0" w:color="auto"/>
            </w:tcBorders>
            <w:shd w:val="clear" w:color="auto" w:fill="auto"/>
            <w:noWrap/>
            <w:hideMark/>
          </w:tcPr>
          <w:p w14:paraId="1C4720A4" w14:textId="77777777" w:rsidR="00D73D20" w:rsidRPr="00AD7238" w:rsidRDefault="00D73D20" w:rsidP="005A7FF1">
            <w:pPr>
              <w:pStyle w:val="Tabletext"/>
              <w:keepNext/>
              <w:jc w:val="center"/>
            </w:pPr>
            <w:r w:rsidRPr="00AD7238">
              <w:t>-27,018</w:t>
            </w:r>
          </w:p>
        </w:tc>
        <w:tc>
          <w:tcPr>
            <w:tcW w:w="1645" w:type="dxa"/>
            <w:tcBorders>
              <w:top w:val="nil"/>
              <w:left w:val="nil"/>
              <w:bottom w:val="single" w:sz="4" w:space="0" w:color="auto"/>
              <w:right w:val="single" w:sz="4" w:space="0" w:color="auto"/>
            </w:tcBorders>
            <w:shd w:val="clear" w:color="auto" w:fill="auto"/>
            <w:noWrap/>
            <w:hideMark/>
          </w:tcPr>
          <w:p w14:paraId="6FBBEFE5" w14:textId="77777777" w:rsidR="00D73D20" w:rsidRPr="00AD7238" w:rsidRDefault="00D73D20" w:rsidP="005A7FF1">
            <w:pPr>
              <w:pStyle w:val="Tabletext"/>
              <w:keepNext/>
              <w:jc w:val="center"/>
            </w:pPr>
            <w:r w:rsidRPr="00AD7238">
              <w:t>-</w:t>
            </w:r>
          </w:p>
        </w:tc>
      </w:tr>
      <w:tr w:rsidR="00D73D20" w:rsidRPr="00AD7238" w14:paraId="4D27925F"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47D91BF7"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Ocular</w:t>
            </w:r>
          </w:p>
        </w:tc>
        <w:tc>
          <w:tcPr>
            <w:tcW w:w="1644" w:type="dxa"/>
            <w:tcBorders>
              <w:top w:val="nil"/>
              <w:left w:val="nil"/>
              <w:bottom w:val="single" w:sz="4" w:space="0" w:color="auto"/>
              <w:right w:val="single" w:sz="4" w:space="0" w:color="auto"/>
            </w:tcBorders>
            <w:shd w:val="clear" w:color="auto" w:fill="auto"/>
            <w:noWrap/>
            <w:hideMark/>
          </w:tcPr>
          <w:p w14:paraId="6F12A6CC" w14:textId="77777777" w:rsidR="00D73D20" w:rsidRPr="00AD7238" w:rsidRDefault="00D73D20" w:rsidP="005A7FF1">
            <w:pPr>
              <w:pStyle w:val="Tabletext"/>
              <w:keepNext/>
              <w:jc w:val="center"/>
            </w:pPr>
            <w:r w:rsidRPr="00AD7238">
              <w:t>6,639</w:t>
            </w:r>
          </w:p>
        </w:tc>
        <w:tc>
          <w:tcPr>
            <w:tcW w:w="1644" w:type="dxa"/>
            <w:tcBorders>
              <w:top w:val="nil"/>
              <w:left w:val="nil"/>
              <w:bottom w:val="single" w:sz="4" w:space="0" w:color="auto"/>
              <w:right w:val="single" w:sz="4" w:space="0" w:color="auto"/>
            </w:tcBorders>
            <w:shd w:val="clear" w:color="auto" w:fill="auto"/>
            <w:noWrap/>
            <w:hideMark/>
          </w:tcPr>
          <w:p w14:paraId="3995D8AB" w14:textId="77777777" w:rsidR="00D73D20" w:rsidRPr="00AD7238" w:rsidRDefault="00D73D20" w:rsidP="005A7FF1">
            <w:pPr>
              <w:pStyle w:val="Tabletext"/>
              <w:keepNext/>
              <w:jc w:val="center"/>
            </w:pPr>
            <w:r w:rsidRPr="00AD7238">
              <w:t>16,431</w:t>
            </w:r>
          </w:p>
        </w:tc>
        <w:tc>
          <w:tcPr>
            <w:tcW w:w="1644" w:type="dxa"/>
            <w:tcBorders>
              <w:top w:val="nil"/>
              <w:left w:val="nil"/>
              <w:bottom w:val="single" w:sz="4" w:space="0" w:color="auto"/>
              <w:right w:val="single" w:sz="4" w:space="0" w:color="auto"/>
            </w:tcBorders>
            <w:shd w:val="clear" w:color="auto" w:fill="auto"/>
            <w:noWrap/>
            <w:hideMark/>
          </w:tcPr>
          <w:p w14:paraId="44A5FC00" w14:textId="77777777" w:rsidR="00D73D20" w:rsidRPr="00AD7238" w:rsidRDefault="00D73D20" w:rsidP="005A7FF1">
            <w:pPr>
              <w:pStyle w:val="Tabletext"/>
              <w:keepNext/>
              <w:jc w:val="center"/>
            </w:pPr>
            <w:r w:rsidRPr="00AD7238">
              <w:t>-9,792</w:t>
            </w:r>
          </w:p>
        </w:tc>
        <w:tc>
          <w:tcPr>
            <w:tcW w:w="1645" w:type="dxa"/>
            <w:tcBorders>
              <w:top w:val="nil"/>
              <w:left w:val="nil"/>
              <w:bottom w:val="single" w:sz="4" w:space="0" w:color="auto"/>
              <w:right w:val="single" w:sz="4" w:space="0" w:color="auto"/>
            </w:tcBorders>
            <w:shd w:val="clear" w:color="auto" w:fill="auto"/>
            <w:noWrap/>
            <w:hideMark/>
          </w:tcPr>
          <w:p w14:paraId="2EC16AB6" w14:textId="77777777" w:rsidR="00D73D20" w:rsidRPr="00AD7238" w:rsidRDefault="00D73D20" w:rsidP="005A7FF1">
            <w:pPr>
              <w:pStyle w:val="Tabletext"/>
              <w:keepNext/>
              <w:jc w:val="center"/>
            </w:pPr>
            <w:r w:rsidRPr="00AD7238">
              <w:t>-</w:t>
            </w:r>
          </w:p>
        </w:tc>
      </w:tr>
      <w:tr w:rsidR="00D73D20" w:rsidRPr="00AD7238" w14:paraId="0626C57B"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02272094"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Neurological</w:t>
            </w:r>
          </w:p>
        </w:tc>
        <w:tc>
          <w:tcPr>
            <w:tcW w:w="1644" w:type="dxa"/>
            <w:tcBorders>
              <w:top w:val="nil"/>
              <w:left w:val="nil"/>
              <w:bottom w:val="single" w:sz="4" w:space="0" w:color="auto"/>
              <w:right w:val="single" w:sz="4" w:space="0" w:color="auto"/>
            </w:tcBorders>
            <w:shd w:val="clear" w:color="auto" w:fill="auto"/>
            <w:noWrap/>
            <w:hideMark/>
          </w:tcPr>
          <w:p w14:paraId="32198DFB" w14:textId="77777777" w:rsidR="00D73D20" w:rsidRPr="00AD7238" w:rsidRDefault="00D73D20" w:rsidP="005A7FF1">
            <w:pPr>
              <w:pStyle w:val="Tabletext"/>
              <w:keepNext/>
              <w:jc w:val="center"/>
            </w:pPr>
            <w:r w:rsidRPr="00AD7238">
              <w:t>5,419</w:t>
            </w:r>
          </w:p>
        </w:tc>
        <w:tc>
          <w:tcPr>
            <w:tcW w:w="1644" w:type="dxa"/>
            <w:tcBorders>
              <w:top w:val="nil"/>
              <w:left w:val="nil"/>
              <w:bottom w:val="single" w:sz="4" w:space="0" w:color="auto"/>
              <w:right w:val="single" w:sz="4" w:space="0" w:color="auto"/>
            </w:tcBorders>
            <w:shd w:val="clear" w:color="auto" w:fill="auto"/>
            <w:noWrap/>
            <w:hideMark/>
          </w:tcPr>
          <w:p w14:paraId="1968A337" w14:textId="77777777" w:rsidR="00D73D20" w:rsidRPr="00AD7238" w:rsidRDefault="00D73D20" w:rsidP="005A7FF1">
            <w:pPr>
              <w:pStyle w:val="Tabletext"/>
              <w:keepNext/>
              <w:jc w:val="center"/>
            </w:pPr>
            <w:r w:rsidRPr="00AD7238">
              <w:t>14,420</w:t>
            </w:r>
          </w:p>
        </w:tc>
        <w:tc>
          <w:tcPr>
            <w:tcW w:w="1644" w:type="dxa"/>
            <w:tcBorders>
              <w:top w:val="nil"/>
              <w:left w:val="nil"/>
              <w:bottom w:val="single" w:sz="4" w:space="0" w:color="auto"/>
              <w:right w:val="single" w:sz="4" w:space="0" w:color="auto"/>
            </w:tcBorders>
            <w:shd w:val="clear" w:color="auto" w:fill="auto"/>
            <w:noWrap/>
            <w:hideMark/>
          </w:tcPr>
          <w:p w14:paraId="5E4A34F8" w14:textId="77777777" w:rsidR="00D73D20" w:rsidRPr="00AD7238" w:rsidRDefault="00D73D20" w:rsidP="005A7FF1">
            <w:pPr>
              <w:pStyle w:val="Tabletext"/>
              <w:keepNext/>
              <w:jc w:val="center"/>
            </w:pPr>
            <w:r w:rsidRPr="00AD7238">
              <w:t>-9,001</w:t>
            </w:r>
          </w:p>
        </w:tc>
        <w:tc>
          <w:tcPr>
            <w:tcW w:w="1645" w:type="dxa"/>
            <w:tcBorders>
              <w:top w:val="nil"/>
              <w:left w:val="nil"/>
              <w:bottom w:val="single" w:sz="4" w:space="0" w:color="auto"/>
              <w:right w:val="single" w:sz="4" w:space="0" w:color="auto"/>
            </w:tcBorders>
            <w:shd w:val="clear" w:color="auto" w:fill="auto"/>
            <w:noWrap/>
            <w:hideMark/>
          </w:tcPr>
          <w:p w14:paraId="5FDEEC94" w14:textId="77777777" w:rsidR="00D73D20" w:rsidRPr="00AD7238" w:rsidRDefault="00D73D20" w:rsidP="005A7FF1">
            <w:pPr>
              <w:pStyle w:val="Tabletext"/>
              <w:keepNext/>
              <w:jc w:val="center"/>
            </w:pPr>
            <w:r w:rsidRPr="00AD7238">
              <w:t>-</w:t>
            </w:r>
          </w:p>
        </w:tc>
      </w:tr>
      <w:tr w:rsidR="00D73D20" w:rsidRPr="00AD7238" w14:paraId="6D17D63E"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1872BFC0"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Cutaneous</w:t>
            </w:r>
          </w:p>
        </w:tc>
        <w:tc>
          <w:tcPr>
            <w:tcW w:w="1644" w:type="dxa"/>
            <w:tcBorders>
              <w:top w:val="nil"/>
              <w:left w:val="nil"/>
              <w:bottom w:val="single" w:sz="4" w:space="0" w:color="auto"/>
              <w:right w:val="single" w:sz="4" w:space="0" w:color="auto"/>
            </w:tcBorders>
            <w:shd w:val="clear" w:color="auto" w:fill="auto"/>
            <w:noWrap/>
            <w:hideMark/>
          </w:tcPr>
          <w:p w14:paraId="0532E7D8" w14:textId="77777777" w:rsidR="00D73D20" w:rsidRPr="00AD7238" w:rsidRDefault="00D73D20" w:rsidP="005A7FF1">
            <w:pPr>
              <w:pStyle w:val="Tabletext"/>
              <w:keepNext/>
              <w:jc w:val="center"/>
            </w:pPr>
            <w:r w:rsidRPr="00AD7238">
              <w:t>2,783</w:t>
            </w:r>
          </w:p>
        </w:tc>
        <w:tc>
          <w:tcPr>
            <w:tcW w:w="1644" w:type="dxa"/>
            <w:tcBorders>
              <w:top w:val="nil"/>
              <w:left w:val="nil"/>
              <w:bottom w:val="single" w:sz="4" w:space="0" w:color="auto"/>
              <w:right w:val="single" w:sz="4" w:space="0" w:color="auto"/>
            </w:tcBorders>
            <w:shd w:val="clear" w:color="auto" w:fill="auto"/>
            <w:noWrap/>
            <w:hideMark/>
          </w:tcPr>
          <w:p w14:paraId="0CF4FAB3" w14:textId="77777777" w:rsidR="00D73D20" w:rsidRPr="00AD7238" w:rsidRDefault="00D73D20" w:rsidP="005A7FF1">
            <w:pPr>
              <w:pStyle w:val="Tabletext"/>
              <w:keepNext/>
              <w:jc w:val="center"/>
            </w:pPr>
            <w:r w:rsidRPr="00AD7238">
              <w:t>6,864</w:t>
            </w:r>
          </w:p>
        </w:tc>
        <w:tc>
          <w:tcPr>
            <w:tcW w:w="1644" w:type="dxa"/>
            <w:tcBorders>
              <w:top w:val="nil"/>
              <w:left w:val="nil"/>
              <w:bottom w:val="single" w:sz="4" w:space="0" w:color="auto"/>
              <w:right w:val="single" w:sz="4" w:space="0" w:color="auto"/>
            </w:tcBorders>
            <w:shd w:val="clear" w:color="auto" w:fill="auto"/>
            <w:noWrap/>
            <w:hideMark/>
          </w:tcPr>
          <w:p w14:paraId="2D426578" w14:textId="77777777" w:rsidR="00D73D20" w:rsidRPr="00AD7238" w:rsidRDefault="00D73D20" w:rsidP="005A7FF1">
            <w:pPr>
              <w:pStyle w:val="Tabletext"/>
              <w:keepNext/>
              <w:jc w:val="center"/>
            </w:pPr>
            <w:r w:rsidRPr="00AD7238">
              <w:t>-4,081</w:t>
            </w:r>
          </w:p>
        </w:tc>
        <w:tc>
          <w:tcPr>
            <w:tcW w:w="1645" w:type="dxa"/>
            <w:tcBorders>
              <w:top w:val="nil"/>
              <w:left w:val="nil"/>
              <w:bottom w:val="single" w:sz="4" w:space="0" w:color="auto"/>
              <w:right w:val="single" w:sz="4" w:space="0" w:color="auto"/>
            </w:tcBorders>
            <w:shd w:val="clear" w:color="auto" w:fill="auto"/>
            <w:noWrap/>
            <w:hideMark/>
          </w:tcPr>
          <w:p w14:paraId="673B6829" w14:textId="77777777" w:rsidR="00D73D20" w:rsidRPr="00AD7238" w:rsidRDefault="00D73D20" w:rsidP="005A7FF1">
            <w:pPr>
              <w:pStyle w:val="Tabletext"/>
              <w:keepNext/>
              <w:jc w:val="center"/>
            </w:pPr>
            <w:r w:rsidRPr="00AD7238">
              <w:t>-</w:t>
            </w:r>
          </w:p>
        </w:tc>
      </w:tr>
      <w:tr w:rsidR="00D73D20" w:rsidRPr="00AD7238" w14:paraId="40B267F2"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4682F133"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Other non-pain</w:t>
            </w:r>
          </w:p>
        </w:tc>
        <w:tc>
          <w:tcPr>
            <w:tcW w:w="1644" w:type="dxa"/>
            <w:tcBorders>
              <w:top w:val="nil"/>
              <w:left w:val="nil"/>
              <w:bottom w:val="single" w:sz="4" w:space="0" w:color="auto"/>
              <w:right w:val="single" w:sz="4" w:space="0" w:color="auto"/>
            </w:tcBorders>
            <w:shd w:val="clear" w:color="auto" w:fill="auto"/>
            <w:noWrap/>
            <w:hideMark/>
          </w:tcPr>
          <w:p w14:paraId="286C01ED" w14:textId="77777777" w:rsidR="00D73D20" w:rsidRPr="00AD7238" w:rsidRDefault="00D73D20" w:rsidP="005A7FF1">
            <w:pPr>
              <w:pStyle w:val="Tabletext"/>
              <w:keepNext/>
              <w:jc w:val="center"/>
            </w:pPr>
            <w:r w:rsidRPr="00AD7238">
              <w:t>2,789</w:t>
            </w:r>
          </w:p>
        </w:tc>
        <w:tc>
          <w:tcPr>
            <w:tcW w:w="1644" w:type="dxa"/>
            <w:tcBorders>
              <w:top w:val="nil"/>
              <w:left w:val="nil"/>
              <w:bottom w:val="single" w:sz="4" w:space="0" w:color="auto"/>
              <w:right w:val="single" w:sz="4" w:space="0" w:color="auto"/>
            </w:tcBorders>
            <w:shd w:val="clear" w:color="auto" w:fill="auto"/>
            <w:noWrap/>
            <w:hideMark/>
          </w:tcPr>
          <w:p w14:paraId="5292B71D" w14:textId="77777777" w:rsidR="00D73D20" w:rsidRPr="00AD7238" w:rsidRDefault="00D73D20" w:rsidP="005A7FF1">
            <w:pPr>
              <w:pStyle w:val="Tabletext"/>
              <w:keepNext/>
              <w:jc w:val="center"/>
            </w:pPr>
            <w:r w:rsidRPr="00AD7238">
              <w:t>6,932</w:t>
            </w:r>
          </w:p>
        </w:tc>
        <w:tc>
          <w:tcPr>
            <w:tcW w:w="1644" w:type="dxa"/>
            <w:tcBorders>
              <w:top w:val="nil"/>
              <w:left w:val="nil"/>
              <w:bottom w:val="single" w:sz="4" w:space="0" w:color="auto"/>
              <w:right w:val="single" w:sz="4" w:space="0" w:color="auto"/>
            </w:tcBorders>
            <w:shd w:val="clear" w:color="auto" w:fill="auto"/>
            <w:noWrap/>
            <w:hideMark/>
          </w:tcPr>
          <w:p w14:paraId="6187C174" w14:textId="77777777" w:rsidR="00D73D20" w:rsidRPr="00AD7238" w:rsidRDefault="00D73D20" w:rsidP="005A7FF1">
            <w:pPr>
              <w:pStyle w:val="Tabletext"/>
              <w:keepNext/>
              <w:jc w:val="center"/>
            </w:pPr>
            <w:r w:rsidRPr="00AD7238">
              <w:t>-4,144</w:t>
            </w:r>
          </w:p>
        </w:tc>
        <w:tc>
          <w:tcPr>
            <w:tcW w:w="1645" w:type="dxa"/>
            <w:tcBorders>
              <w:top w:val="nil"/>
              <w:left w:val="nil"/>
              <w:bottom w:val="single" w:sz="4" w:space="0" w:color="auto"/>
              <w:right w:val="single" w:sz="4" w:space="0" w:color="auto"/>
            </w:tcBorders>
            <w:shd w:val="clear" w:color="auto" w:fill="auto"/>
            <w:noWrap/>
            <w:hideMark/>
          </w:tcPr>
          <w:p w14:paraId="30156AE4" w14:textId="77777777" w:rsidR="00D73D20" w:rsidRPr="00AD7238" w:rsidRDefault="00D73D20" w:rsidP="005A7FF1">
            <w:pPr>
              <w:pStyle w:val="Tabletext"/>
              <w:keepNext/>
              <w:jc w:val="center"/>
            </w:pPr>
            <w:r w:rsidRPr="00AD7238">
              <w:t>-</w:t>
            </w:r>
          </w:p>
        </w:tc>
      </w:tr>
      <w:tr w:rsidR="00D73D20" w:rsidRPr="00AD7238" w14:paraId="26485F9F"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174A94D2"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HZ-related deaths</w:t>
            </w:r>
          </w:p>
        </w:tc>
        <w:tc>
          <w:tcPr>
            <w:tcW w:w="1644" w:type="dxa"/>
            <w:tcBorders>
              <w:top w:val="nil"/>
              <w:left w:val="nil"/>
              <w:bottom w:val="single" w:sz="4" w:space="0" w:color="auto"/>
              <w:right w:val="single" w:sz="4" w:space="0" w:color="auto"/>
            </w:tcBorders>
            <w:shd w:val="clear" w:color="auto" w:fill="auto"/>
            <w:noWrap/>
            <w:hideMark/>
          </w:tcPr>
          <w:p w14:paraId="233BF0F7" w14:textId="77777777" w:rsidR="00D73D20" w:rsidRPr="00AD7238" w:rsidRDefault="00D73D20" w:rsidP="005A7FF1">
            <w:pPr>
              <w:pStyle w:val="Tabletext"/>
              <w:keepNext/>
              <w:jc w:val="center"/>
            </w:pPr>
            <w:r w:rsidRPr="00AD7238">
              <w:t>20</w:t>
            </w:r>
          </w:p>
        </w:tc>
        <w:tc>
          <w:tcPr>
            <w:tcW w:w="1644" w:type="dxa"/>
            <w:tcBorders>
              <w:top w:val="nil"/>
              <w:left w:val="nil"/>
              <w:bottom w:val="single" w:sz="4" w:space="0" w:color="auto"/>
              <w:right w:val="single" w:sz="4" w:space="0" w:color="auto"/>
            </w:tcBorders>
            <w:shd w:val="clear" w:color="auto" w:fill="auto"/>
            <w:noWrap/>
            <w:hideMark/>
          </w:tcPr>
          <w:p w14:paraId="4D9801CE" w14:textId="77777777" w:rsidR="00D73D20" w:rsidRPr="00AD7238" w:rsidRDefault="00D73D20" w:rsidP="005A7FF1">
            <w:pPr>
              <w:pStyle w:val="Tabletext"/>
              <w:keepNext/>
              <w:jc w:val="center"/>
            </w:pPr>
            <w:r w:rsidRPr="00AD7238">
              <w:t>45</w:t>
            </w:r>
          </w:p>
        </w:tc>
        <w:tc>
          <w:tcPr>
            <w:tcW w:w="1644" w:type="dxa"/>
            <w:tcBorders>
              <w:top w:val="nil"/>
              <w:left w:val="nil"/>
              <w:bottom w:val="single" w:sz="4" w:space="0" w:color="auto"/>
              <w:right w:val="single" w:sz="4" w:space="0" w:color="auto"/>
            </w:tcBorders>
            <w:shd w:val="clear" w:color="auto" w:fill="auto"/>
            <w:noWrap/>
            <w:hideMark/>
          </w:tcPr>
          <w:p w14:paraId="5B8A2004" w14:textId="77777777" w:rsidR="00D73D20" w:rsidRPr="00AD7238" w:rsidRDefault="00D73D20" w:rsidP="005A7FF1">
            <w:pPr>
              <w:pStyle w:val="Tabletext"/>
              <w:keepNext/>
              <w:jc w:val="center"/>
            </w:pPr>
            <w:r w:rsidRPr="00AD7238">
              <w:t>-25</w:t>
            </w:r>
          </w:p>
        </w:tc>
        <w:tc>
          <w:tcPr>
            <w:tcW w:w="1645" w:type="dxa"/>
            <w:tcBorders>
              <w:top w:val="nil"/>
              <w:left w:val="nil"/>
              <w:bottom w:val="single" w:sz="4" w:space="0" w:color="auto"/>
              <w:right w:val="single" w:sz="4" w:space="0" w:color="auto"/>
            </w:tcBorders>
            <w:shd w:val="clear" w:color="auto" w:fill="auto"/>
            <w:noWrap/>
            <w:hideMark/>
          </w:tcPr>
          <w:p w14:paraId="5CFB0DAC" w14:textId="77777777" w:rsidR="00D73D20" w:rsidRPr="00AD7238" w:rsidRDefault="00D73D20" w:rsidP="005A7FF1">
            <w:pPr>
              <w:pStyle w:val="Tabletext"/>
              <w:keepNext/>
              <w:jc w:val="center"/>
            </w:pPr>
            <w:r w:rsidRPr="00AD7238">
              <w:t>-</w:t>
            </w:r>
          </w:p>
        </w:tc>
      </w:tr>
      <w:tr w:rsidR="00D73D20" w:rsidRPr="00AD7238" w14:paraId="419CB4DC" w14:textId="77777777" w:rsidTr="005F243E">
        <w:trPr>
          <w:trHeight w:val="255"/>
        </w:trPr>
        <w:tc>
          <w:tcPr>
            <w:tcW w:w="9017"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41890BF6" w14:textId="0E44FD23" w:rsidR="00D73D20" w:rsidRPr="00AD7238" w:rsidRDefault="00D73D20" w:rsidP="005A7FF1">
            <w:pPr>
              <w:keepNext/>
              <w:rPr>
                <w:rFonts w:ascii="Arial Narrow" w:hAnsi="Arial Narrow"/>
                <w:sz w:val="20"/>
                <w:szCs w:val="20"/>
              </w:rPr>
            </w:pPr>
            <w:r w:rsidRPr="00AD7238">
              <w:rPr>
                <w:rFonts w:ascii="Arial Narrow" w:hAnsi="Arial Narrow"/>
                <w:sz w:val="20"/>
                <w:szCs w:val="20"/>
              </w:rPr>
              <w:t>Costs</w:t>
            </w:r>
            <w:r w:rsidR="007A01F0">
              <w:rPr>
                <w:rFonts w:ascii="Arial Narrow" w:hAnsi="Arial Narrow"/>
                <w:sz w:val="20"/>
                <w:szCs w:val="20"/>
              </w:rPr>
              <w:t xml:space="preserve"> (discounted)</w:t>
            </w:r>
          </w:p>
        </w:tc>
      </w:tr>
      <w:tr w:rsidR="00D73D20" w:rsidRPr="00AD7238" w14:paraId="26424084" w14:textId="77777777" w:rsidTr="00BA039D">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33D32341" w14:textId="3B5DE1E0" w:rsidR="00D73D20" w:rsidRPr="00AD7238" w:rsidRDefault="00D73D20" w:rsidP="005A7FF1">
            <w:pPr>
              <w:keepNext/>
              <w:rPr>
                <w:rFonts w:ascii="Arial Narrow" w:hAnsi="Arial Narrow"/>
                <w:sz w:val="20"/>
                <w:szCs w:val="20"/>
              </w:rPr>
            </w:pPr>
            <w:r w:rsidRPr="00AD7238">
              <w:rPr>
                <w:rFonts w:ascii="Arial Narrow" w:hAnsi="Arial Narrow"/>
                <w:sz w:val="20"/>
                <w:szCs w:val="20"/>
              </w:rPr>
              <w:t xml:space="preserve">Total direct costs </w:t>
            </w:r>
          </w:p>
        </w:tc>
        <w:tc>
          <w:tcPr>
            <w:tcW w:w="1644" w:type="dxa"/>
            <w:tcBorders>
              <w:top w:val="nil"/>
              <w:left w:val="nil"/>
              <w:bottom w:val="single" w:sz="4" w:space="0" w:color="auto"/>
              <w:right w:val="single" w:sz="4" w:space="0" w:color="auto"/>
            </w:tcBorders>
            <w:shd w:val="clear" w:color="auto" w:fill="auto"/>
            <w:noWrap/>
            <w:hideMark/>
          </w:tcPr>
          <w:p w14:paraId="45FC4B75" w14:textId="318B43F3"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25"/>
                <w:sz w:val="20"/>
                <w:szCs w:val="20"/>
                <w:shd w:val="solid" w:color="000000" w:fill="000000"/>
                <w:fitText w:val="209" w:id="-1233442558"/>
                <w14:textFill>
                  <w14:solidFill>
                    <w14:srgbClr w14:val="000000">
                      <w14:alpha w14:val="100000"/>
                    </w14:srgbClr>
                  </w14:solidFill>
                </w14:textFill>
              </w:rPr>
              <w:t>|</w:t>
            </w:r>
            <w:r w:rsidR="00BA039D" w:rsidRPr="00BA039D">
              <w:rPr>
                <w:rFonts w:ascii="Arial Narrow" w:hAnsi="Arial Narrow"/>
                <w:color w:val="000000"/>
                <w:sz w:val="20"/>
                <w:szCs w:val="20"/>
                <w:shd w:val="solid" w:color="000000" w:fill="000000"/>
                <w:fitText w:val="209" w:id="-1233442558"/>
                <w14:textFill>
                  <w14:solidFill>
                    <w14:srgbClr w14:val="000000">
                      <w14:alpha w14:val="100000"/>
                    </w14:srgbClr>
                  </w14:solidFill>
                </w14:textFill>
              </w:rPr>
              <w:t>|</w:t>
            </w:r>
          </w:p>
        </w:tc>
        <w:tc>
          <w:tcPr>
            <w:tcW w:w="1644" w:type="dxa"/>
            <w:tcBorders>
              <w:top w:val="nil"/>
              <w:left w:val="nil"/>
              <w:bottom w:val="single" w:sz="4" w:space="0" w:color="auto"/>
              <w:right w:val="single" w:sz="4" w:space="0" w:color="auto"/>
            </w:tcBorders>
            <w:shd w:val="clear" w:color="auto" w:fill="auto"/>
            <w:noWrap/>
            <w:hideMark/>
          </w:tcPr>
          <w:p w14:paraId="7AE78EF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$270,808,281</w:t>
            </w:r>
          </w:p>
        </w:tc>
        <w:tc>
          <w:tcPr>
            <w:tcW w:w="1644" w:type="dxa"/>
            <w:tcBorders>
              <w:top w:val="nil"/>
              <w:left w:val="nil"/>
              <w:bottom w:val="single" w:sz="4" w:space="0" w:color="auto"/>
              <w:right w:val="single" w:sz="4" w:space="0" w:color="auto"/>
            </w:tcBorders>
            <w:shd w:val="clear" w:color="auto" w:fill="auto"/>
            <w:noWrap/>
            <w:hideMark/>
          </w:tcPr>
          <w:p w14:paraId="20653E54" w14:textId="7E081AE4"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25"/>
                <w:sz w:val="20"/>
                <w:szCs w:val="20"/>
                <w:shd w:val="solid" w:color="000000" w:fill="000000"/>
                <w:fitText w:val="208" w:id="-1233442557"/>
                <w14:textFill>
                  <w14:solidFill>
                    <w14:srgbClr w14:val="000000">
                      <w14:alpha w14:val="100000"/>
                    </w14:srgbClr>
                  </w14:solidFill>
                </w14:textFill>
              </w:rPr>
              <w:t>|</w:t>
            </w:r>
            <w:r w:rsidR="00BA039D" w:rsidRPr="00BA039D">
              <w:rPr>
                <w:rFonts w:ascii="Arial Narrow" w:hAnsi="Arial Narrow"/>
                <w:color w:val="000000"/>
                <w:sz w:val="20"/>
                <w:szCs w:val="20"/>
                <w:shd w:val="solid" w:color="000000" w:fill="000000"/>
                <w:fitText w:val="208" w:id="-1233442557"/>
                <w14:textFill>
                  <w14:solidFill>
                    <w14:srgbClr w14:val="000000">
                      <w14:alpha w14:val="100000"/>
                    </w14:srgbClr>
                  </w14:solidFill>
                </w14:textFill>
              </w:rPr>
              <w:t>|</w:t>
            </w:r>
          </w:p>
        </w:tc>
        <w:tc>
          <w:tcPr>
            <w:tcW w:w="1645" w:type="dxa"/>
            <w:tcBorders>
              <w:top w:val="nil"/>
              <w:left w:val="nil"/>
              <w:bottom w:val="single" w:sz="4" w:space="0" w:color="auto"/>
              <w:right w:val="single" w:sz="4" w:space="0" w:color="auto"/>
            </w:tcBorders>
            <w:shd w:val="solid" w:color="000000" w:fill="000000"/>
            <w:noWrap/>
            <w:hideMark/>
          </w:tcPr>
          <w:p w14:paraId="6714DBD4" w14:textId="1C61BBF2"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75"/>
                <w:sz w:val="20"/>
                <w:szCs w:val="20"/>
                <w:fitText w:val="158" w:id="-1233442556"/>
                <w14:textFill>
                  <w14:solidFill>
                    <w14:srgbClr w14:val="000000">
                      <w14:alpha w14:val="100000"/>
                    </w14:srgbClr>
                  </w14:solidFill>
                </w14:textFill>
              </w:rPr>
              <w:t>|</w:t>
            </w:r>
            <w:r w:rsidRPr="00BA039D">
              <w:rPr>
                <w:rFonts w:ascii="Arial Narrow" w:hAnsi="Arial Narrow"/>
                <w:color w:val="000000"/>
                <w:sz w:val="20"/>
                <w:szCs w:val="20"/>
                <w:fitText w:val="158" w:id="-1233442556"/>
                <w14:textFill>
                  <w14:solidFill>
                    <w14:srgbClr w14:val="000000">
                      <w14:alpha w14:val="100000"/>
                    </w14:srgbClr>
                  </w14:solidFill>
                </w14:textFill>
              </w:rPr>
              <w:t>|</w:t>
            </w:r>
          </w:p>
        </w:tc>
      </w:tr>
      <w:tr w:rsidR="00D73D20" w:rsidRPr="00AD7238" w14:paraId="29C7C2FC" w14:textId="77777777" w:rsidTr="00BA039D">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56B1BC07"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 acquisition</w:t>
            </w:r>
          </w:p>
        </w:tc>
        <w:tc>
          <w:tcPr>
            <w:tcW w:w="1644" w:type="dxa"/>
            <w:tcBorders>
              <w:top w:val="nil"/>
              <w:left w:val="nil"/>
              <w:bottom w:val="single" w:sz="4" w:space="0" w:color="auto"/>
              <w:right w:val="single" w:sz="4" w:space="0" w:color="auto"/>
            </w:tcBorders>
            <w:shd w:val="clear" w:color="auto" w:fill="auto"/>
            <w:noWrap/>
            <w:hideMark/>
          </w:tcPr>
          <w:p w14:paraId="7B873B98" w14:textId="0C678A1F"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w:t>
            </w:r>
            <w:r w:rsidR="00BA039D" w:rsidRPr="00BA039D">
              <w:rPr>
                <w:rFonts w:ascii="Arial Narrow" w:hAnsi="Arial Narrow"/>
                <w:color w:val="000000"/>
                <w:spacing w:val="125"/>
                <w:sz w:val="20"/>
                <w:szCs w:val="20"/>
                <w:shd w:val="solid" w:color="000000" w:fill="000000"/>
                <w:fitText w:val="209" w:id="-1233442555"/>
                <w14:textFill>
                  <w14:solidFill>
                    <w14:srgbClr w14:val="000000">
                      <w14:alpha w14:val="100000"/>
                    </w14:srgbClr>
                  </w14:solidFill>
                </w14:textFill>
              </w:rPr>
              <w:t>|</w:t>
            </w:r>
            <w:r w:rsidR="00BA039D" w:rsidRPr="00BA039D">
              <w:rPr>
                <w:rFonts w:ascii="Arial Narrow" w:hAnsi="Arial Narrow"/>
                <w:color w:val="000000"/>
                <w:sz w:val="20"/>
                <w:szCs w:val="20"/>
                <w:shd w:val="solid" w:color="000000" w:fill="000000"/>
                <w:fitText w:val="209" w:id="-1233442555"/>
                <w14:textFill>
                  <w14:solidFill>
                    <w14:srgbClr w14:val="000000">
                      <w14:alpha w14:val="100000"/>
                    </w14:srgbClr>
                  </w14:solidFill>
                </w14:textFill>
              </w:rPr>
              <w:t>|</w:t>
            </w:r>
          </w:p>
        </w:tc>
        <w:tc>
          <w:tcPr>
            <w:tcW w:w="1644" w:type="dxa"/>
            <w:tcBorders>
              <w:top w:val="nil"/>
              <w:left w:val="nil"/>
              <w:bottom w:val="single" w:sz="4" w:space="0" w:color="auto"/>
              <w:right w:val="single" w:sz="4" w:space="0" w:color="auto"/>
            </w:tcBorders>
            <w:shd w:val="clear" w:color="auto" w:fill="auto"/>
            <w:noWrap/>
            <w:hideMark/>
          </w:tcPr>
          <w:p w14:paraId="0E063B5F"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4" w:type="dxa"/>
            <w:tcBorders>
              <w:top w:val="nil"/>
              <w:left w:val="nil"/>
              <w:bottom w:val="single" w:sz="4" w:space="0" w:color="auto"/>
              <w:right w:val="single" w:sz="4" w:space="0" w:color="auto"/>
            </w:tcBorders>
            <w:shd w:val="clear" w:color="auto" w:fill="auto"/>
            <w:noWrap/>
            <w:hideMark/>
          </w:tcPr>
          <w:p w14:paraId="20205673" w14:textId="211B9F40"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25"/>
                <w:sz w:val="20"/>
                <w:szCs w:val="20"/>
                <w:shd w:val="solid" w:color="000000" w:fill="000000"/>
                <w:fitText w:val="208" w:id="-1233442554"/>
                <w14:textFill>
                  <w14:solidFill>
                    <w14:srgbClr w14:val="000000">
                      <w14:alpha w14:val="100000"/>
                    </w14:srgbClr>
                  </w14:solidFill>
                </w14:textFill>
              </w:rPr>
              <w:t>|</w:t>
            </w:r>
            <w:r w:rsidR="00BA039D" w:rsidRPr="00BA039D">
              <w:rPr>
                <w:rFonts w:ascii="Arial Narrow" w:hAnsi="Arial Narrow"/>
                <w:color w:val="000000"/>
                <w:sz w:val="20"/>
                <w:szCs w:val="20"/>
                <w:shd w:val="solid" w:color="000000" w:fill="000000"/>
                <w:fitText w:val="208" w:id="-1233442554"/>
                <w14:textFill>
                  <w14:solidFill>
                    <w14:srgbClr w14:val="000000">
                      <w14:alpha w14:val="100000"/>
                    </w14:srgbClr>
                  </w14:solidFill>
                </w14:textFill>
              </w:rPr>
              <w:t>|</w:t>
            </w:r>
          </w:p>
        </w:tc>
        <w:tc>
          <w:tcPr>
            <w:tcW w:w="1645" w:type="dxa"/>
            <w:tcBorders>
              <w:top w:val="single" w:sz="4" w:space="0" w:color="auto"/>
              <w:left w:val="nil"/>
              <w:bottom w:val="single" w:sz="4" w:space="0" w:color="auto"/>
              <w:right w:val="single" w:sz="4" w:space="0" w:color="auto"/>
            </w:tcBorders>
            <w:shd w:val="solid" w:color="000000" w:fill="000000"/>
            <w:noWrap/>
            <w:hideMark/>
          </w:tcPr>
          <w:p w14:paraId="13A13054" w14:textId="74ECEABB"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75"/>
                <w:sz w:val="20"/>
                <w:szCs w:val="20"/>
                <w:fitText w:val="158" w:id="-1233442553"/>
                <w14:textFill>
                  <w14:solidFill>
                    <w14:srgbClr w14:val="000000">
                      <w14:alpha w14:val="100000"/>
                    </w14:srgbClr>
                  </w14:solidFill>
                </w14:textFill>
              </w:rPr>
              <w:t>|</w:t>
            </w:r>
            <w:r w:rsidRPr="00BA039D">
              <w:rPr>
                <w:rFonts w:ascii="Arial Narrow" w:hAnsi="Arial Narrow"/>
                <w:color w:val="000000"/>
                <w:sz w:val="20"/>
                <w:szCs w:val="20"/>
                <w:fitText w:val="158" w:id="-1233442553"/>
                <w14:textFill>
                  <w14:solidFill>
                    <w14:srgbClr w14:val="000000">
                      <w14:alpha w14:val="100000"/>
                    </w14:srgbClr>
                  </w14:solidFill>
                </w14:textFill>
              </w:rPr>
              <w:t>|</w:t>
            </w:r>
          </w:p>
        </w:tc>
      </w:tr>
      <w:tr w:rsidR="00D73D20" w:rsidRPr="00AD7238" w14:paraId="456EF4CA" w14:textId="77777777" w:rsidTr="00BA039D">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6F90076C"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 administration</w:t>
            </w:r>
          </w:p>
        </w:tc>
        <w:tc>
          <w:tcPr>
            <w:tcW w:w="1644" w:type="dxa"/>
            <w:tcBorders>
              <w:top w:val="nil"/>
              <w:left w:val="nil"/>
              <w:bottom w:val="single" w:sz="4" w:space="0" w:color="auto"/>
              <w:right w:val="single" w:sz="4" w:space="0" w:color="auto"/>
            </w:tcBorders>
            <w:shd w:val="clear" w:color="auto" w:fill="auto"/>
            <w:noWrap/>
            <w:hideMark/>
          </w:tcPr>
          <w:p w14:paraId="0379BE30"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$32,696,240</w:t>
            </w:r>
          </w:p>
        </w:tc>
        <w:tc>
          <w:tcPr>
            <w:tcW w:w="1644" w:type="dxa"/>
            <w:tcBorders>
              <w:top w:val="nil"/>
              <w:left w:val="nil"/>
              <w:bottom w:val="single" w:sz="4" w:space="0" w:color="auto"/>
              <w:right w:val="single" w:sz="4" w:space="0" w:color="auto"/>
            </w:tcBorders>
            <w:shd w:val="clear" w:color="auto" w:fill="auto"/>
            <w:noWrap/>
            <w:hideMark/>
          </w:tcPr>
          <w:p w14:paraId="7081E5F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4" w:type="dxa"/>
            <w:tcBorders>
              <w:top w:val="nil"/>
              <w:left w:val="nil"/>
              <w:bottom w:val="single" w:sz="4" w:space="0" w:color="auto"/>
              <w:right w:val="single" w:sz="4" w:space="0" w:color="auto"/>
            </w:tcBorders>
            <w:shd w:val="clear" w:color="auto" w:fill="auto"/>
            <w:noWrap/>
            <w:hideMark/>
          </w:tcPr>
          <w:p w14:paraId="42602D37"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$32,696,240</w:t>
            </w:r>
          </w:p>
        </w:tc>
        <w:tc>
          <w:tcPr>
            <w:tcW w:w="1645" w:type="dxa"/>
            <w:tcBorders>
              <w:top w:val="single" w:sz="4" w:space="0" w:color="auto"/>
              <w:left w:val="nil"/>
              <w:bottom w:val="single" w:sz="4" w:space="0" w:color="auto"/>
              <w:right w:val="single" w:sz="4" w:space="0" w:color="auto"/>
            </w:tcBorders>
            <w:shd w:val="solid" w:color="000000" w:fill="000000"/>
            <w:noWrap/>
            <w:hideMark/>
          </w:tcPr>
          <w:p w14:paraId="7EB373D0" w14:textId="3E1ABE06"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75"/>
                <w:sz w:val="20"/>
                <w:szCs w:val="20"/>
                <w:fitText w:val="158" w:id="-1233442552"/>
                <w14:textFill>
                  <w14:solidFill>
                    <w14:srgbClr w14:val="000000">
                      <w14:alpha w14:val="100000"/>
                    </w14:srgbClr>
                  </w14:solidFill>
                </w14:textFill>
              </w:rPr>
              <w:t>|</w:t>
            </w:r>
            <w:r w:rsidRPr="00BA039D">
              <w:rPr>
                <w:rFonts w:ascii="Arial Narrow" w:hAnsi="Arial Narrow"/>
                <w:color w:val="000000"/>
                <w:sz w:val="20"/>
                <w:szCs w:val="20"/>
                <w:fitText w:val="158" w:id="-1233442552"/>
                <w14:textFill>
                  <w14:solidFill>
                    <w14:srgbClr w14:val="000000">
                      <w14:alpha w14:val="100000"/>
                    </w14:srgbClr>
                  </w14:solidFill>
                </w14:textFill>
              </w:rPr>
              <w:t>|</w:t>
            </w:r>
          </w:p>
        </w:tc>
      </w:tr>
      <w:tr w:rsidR="00D73D20" w:rsidRPr="00AD7238" w14:paraId="74B8C75E" w14:textId="77777777" w:rsidTr="00BA039D">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4CB1B788"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Vaccine-related AEs</w:t>
            </w:r>
          </w:p>
        </w:tc>
        <w:tc>
          <w:tcPr>
            <w:tcW w:w="1644" w:type="dxa"/>
            <w:tcBorders>
              <w:top w:val="nil"/>
              <w:left w:val="nil"/>
              <w:bottom w:val="single" w:sz="4" w:space="0" w:color="auto"/>
              <w:right w:val="single" w:sz="4" w:space="0" w:color="auto"/>
            </w:tcBorders>
            <w:shd w:val="clear" w:color="auto" w:fill="auto"/>
            <w:noWrap/>
            <w:hideMark/>
          </w:tcPr>
          <w:p w14:paraId="58DAC78D"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$6,218,093</w:t>
            </w:r>
          </w:p>
        </w:tc>
        <w:tc>
          <w:tcPr>
            <w:tcW w:w="1644" w:type="dxa"/>
            <w:tcBorders>
              <w:top w:val="nil"/>
              <w:left w:val="nil"/>
              <w:bottom w:val="single" w:sz="4" w:space="0" w:color="auto"/>
              <w:right w:val="single" w:sz="4" w:space="0" w:color="auto"/>
            </w:tcBorders>
            <w:shd w:val="clear" w:color="auto" w:fill="auto"/>
            <w:noWrap/>
            <w:hideMark/>
          </w:tcPr>
          <w:p w14:paraId="5C2662AF"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4" w:type="dxa"/>
            <w:tcBorders>
              <w:top w:val="nil"/>
              <w:left w:val="nil"/>
              <w:bottom w:val="single" w:sz="4" w:space="0" w:color="auto"/>
              <w:right w:val="single" w:sz="4" w:space="0" w:color="auto"/>
            </w:tcBorders>
            <w:shd w:val="clear" w:color="auto" w:fill="auto"/>
            <w:noWrap/>
            <w:hideMark/>
          </w:tcPr>
          <w:p w14:paraId="47A4B415"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$6,218,093</w:t>
            </w:r>
          </w:p>
        </w:tc>
        <w:tc>
          <w:tcPr>
            <w:tcW w:w="1645" w:type="dxa"/>
            <w:tcBorders>
              <w:top w:val="single" w:sz="4" w:space="0" w:color="auto"/>
              <w:left w:val="nil"/>
              <w:bottom w:val="single" w:sz="4" w:space="0" w:color="auto"/>
              <w:right w:val="single" w:sz="4" w:space="0" w:color="auto"/>
            </w:tcBorders>
            <w:shd w:val="solid" w:color="000000" w:fill="000000"/>
            <w:noWrap/>
            <w:hideMark/>
          </w:tcPr>
          <w:p w14:paraId="149D61AC" w14:textId="38982A73"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72"/>
                <w:sz w:val="20"/>
                <w:szCs w:val="20"/>
                <w:fitText w:val="158" w:id="-1233442551"/>
                <w14:textFill>
                  <w14:solidFill>
                    <w14:srgbClr w14:val="000000">
                      <w14:alpha w14:val="100000"/>
                    </w14:srgbClr>
                  </w14:solidFill>
                </w14:textFill>
              </w:rPr>
              <w:t>|</w:t>
            </w:r>
            <w:r w:rsidRPr="00BA039D">
              <w:rPr>
                <w:rFonts w:ascii="Arial Narrow" w:hAnsi="Arial Narrow"/>
                <w:color w:val="000000"/>
                <w:sz w:val="20"/>
                <w:szCs w:val="20"/>
                <w:fitText w:val="158" w:id="-1233442551"/>
                <w14:textFill>
                  <w14:solidFill>
                    <w14:srgbClr w14:val="000000">
                      <w14:alpha w14:val="100000"/>
                    </w14:srgbClr>
                  </w14:solidFill>
                </w14:textFill>
              </w:rPr>
              <w:t>|</w:t>
            </w:r>
          </w:p>
        </w:tc>
      </w:tr>
      <w:tr w:rsidR="00D73D20" w:rsidRPr="00AD7238" w14:paraId="7F46B98E"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6FC550B7"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HZ cases</w:t>
            </w:r>
          </w:p>
        </w:tc>
        <w:tc>
          <w:tcPr>
            <w:tcW w:w="1644" w:type="dxa"/>
            <w:tcBorders>
              <w:top w:val="nil"/>
              <w:left w:val="nil"/>
              <w:bottom w:val="single" w:sz="4" w:space="0" w:color="auto"/>
              <w:right w:val="single" w:sz="4" w:space="0" w:color="auto"/>
            </w:tcBorders>
            <w:shd w:val="clear" w:color="auto" w:fill="auto"/>
            <w:noWrap/>
            <w:hideMark/>
          </w:tcPr>
          <w:p w14:paraId="7FB66826"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$13,789,427</w:t>
            </w:r>
          </w:p>
        </w:tc>
        <w:tc>
          <w:tcPr>
            <w:tcW w:w="1644" w:type="dxa"/>
            <w:tcBorders>
              <w:top w:val="nil"/>
              <w:left w:val="nil"/>
              <w:bottom w:val="single" w:sz="4" w:space="0" w:color="auto"/>
              <w:right w:val="single" w:sz="4" w:space="0" w:color="auto"/>
            </w:tcBorders>
            <w:shd w:val="clear" w:color="auto" w:fill="auto"/>
            <w:noWrap/>
            <w:hideMark/>
          </w:tcPr>
          <w:p w14:paraId="13C67AC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$42,047,738</w:t>
            </w:r>
          </w:p>
        </w:tc>
        <w:tc>
          <w:tcPr>
            <w:tcW w:w="1644" w:type="dxa"/>
            <w:tcBorders>
              <w:top w:val="nil"/>
              <w:left w:val="nil"/>
              <w:bottom w:val="single" w:sz="4" w:space="0" w:color="auto"/>
              <w:right w:val="single" w:sz="4" w:space="0" w:color="auto"/>
            </w:tcBorders>
            <w:shd w:val="clear" w:color="auto" w:fill="auto"/>
            <w:noWrap/>
            <w:hideMark/>
          </w:tcPr>
          <w:p w14:paraId="40602F2E"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-$28,258,311</w:t>
            </w:r>
          </w:p>
        </w:tc>
        <w:tc>
          <w:tcPr>
            <w:tcW w:w="1645" w:type="dxa"/>
            <w:tcBorders>
              <w:top w:val="nil"/>
              <w:left w:val="nil"/>
              <w:bottom w:val="single" w:sz="4" w:space="0" w:color="auto"/>
              <w:right w:val="single" w:sz="4" w:space="0" w:color="auto"/>
            </w:tcBorders>
            <w:shd w:val="clear" w:color="auto" w:fill="auto"/>
            <w:noWrap/>
            <w:hideMark/>
          </w:tcPr>
          <w:p w14:paraId="44FED539" w14:textId="2F5CF7DE" w:rsidR="00D73D20" w:rsidRPr="00B05127" w:rsidRDefault="00D73D20" w:rsidP="005A7FF1">
            <w:pPr>
              <w:keepNext/>
              <w:jc w:val="center"/>
              <w:rPr>
                <w:rFonts w:ascii="Arial Narrow" w:hAnsi="Arial Narrow"/>
                <w:sz w:val="20"/>
                <w:szCs w:val="20"/>
                <w:highlight w:val="yellow"/>
              </w:rPr>
            </w:pPr>
            <w:r w:rsidRPr="006721AF">
              <w:rPr>
                <w:rFonts w:ascii="Arial Narrow" w:hAnsi="Arial Narrow"/>
                <w:sz w:val="20"/>
                <w:szCs w:val="20"/>
              </w:rPr>
              <w:t>-</w:t>
            </w:r>
            <w:r w:rsidR="00BA039D" w:rsidRPr="00BA039D">
              <w:rPr>
                <w:rFonts w:ascii="Arial Narrow" w:hAnsi="Arial Narrow"/>
                <w:color w:val="000000"/>
                <w:spacing w:val="105"/>
                <w:sz w:val="20"/>
                <w:szCs w:val="20"/>
                <w:shd w:val="solid" w:color="000000" w:fill="000000"/>
                <w:fitText w:val="191" w:id="-1233442550"/>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191" w:id="-1233442550"/>
                <w14:textFill>
                  <w14:solidFill>
                    <w14:srgbClr w14:val="000000">
                      <w14:alpha w14:val="100000"/>
                    </w14:srgbClr>
                  </w14:solidFill>
                </w14:textFill>
              </w:rPr>
              <w:t>|</w:t>
            </w:r>
          </w:p>
        </w:tc>
      </w:tr>
      <w:tr w:rsidR="00D73D20" w:rsidRPr="00AD7238" w14:paraId="6C4688D0"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57497239"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PHN cases</w:t>
            </w:r>
          </w:p>
        </w:tc>
        <w:tc>
          <w:tcPr>
            <w:tcW w:w="1644" w:type="dxa"/>
            <w:tcBorders>
              <w:top w:val="nil"/>
              <w:left w:val="nil"/>
              <w:bottom w:val="single" w:sz="4" w:space="0" w:color="auto"/>
              <w:right w:val="single" w:sz="4" w:space="0" w:color="auto"/>
            </w:tcBorders>
            <w:shd w:val="clear" w:color="auto" w:fill="auto"/>
            <w:noWrap/>
            <w:hideMark/>
          </w:tcPr>
          <w:p w14:paraId="37AFD571"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$37,488,142</w:t>
            </w:r>
          </w:p>
        </w:tc>
        <w:tc>
          <w:tcPr>
            <w:tcW w:w="1644" w:type="dxa"/>
            <w:tcBorders>
              <w:top w:val="nil"/>
              <w:left w:val="nil"/>
              <w:bottom w:val="single" w:sz="4" w:space="0" w:color="auto"/>
              <w:right w:val="single" w:sz="4" w:space="0" w:color="auto"/>
            </w:tcBorders>
            <w:shd w:val="clear" w:color="auto" w:fill="auto"/>
            <w:noWrap/>
            <w:hideMark/>
          </w:tcPr>
          <w:p w14:paraId="6F9C16A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$107,712,207</w:t>
            </w:r>
          </w:p>
        </w:tc>
        <w:tc>
          <w:tcPr>
            <w:tcW w:w="1644" w:type="dxa"/>
            <w:tcBorders>
              <w:top w:val="nil"/>
              <w:left w:val="nil"/>
              <w:bottom w:val="single" w:sz="4" w:space="0" w:color="auto"/>
              <w:right w:val="single" w:sz="4" w:space="0" w:color="auto"/>
            </w:tcBorders>
            <w:shd w:val="clear" w:color="auto" w:fill="auto"/>
            <w:noWrap/>
            <w:hideMark/>
          </w:tcPr>
          <w:p w14:paraId="521D22BC"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-$70,224,065</w:t>
            </w:r>
          </w:p>
        </w:tc>
        <w:tc>
          <w:tcPr>
            <w:tcW w:w="1645" w:type="dxa"/>
            <w:tcBorders>
              <w:top w:val="nil"/>
              <w:left w:val="nil"/>
              <w:bottom w:val="single" w:sz="4" w:space="0" w:color="auto"/>
              <w:right w:val="single" w:sz="4" w:space="0" w:color="auto"/>
            </w:tcBorders>
            <w:shd w:val="clear" w:color="auto" w:fill="auto"/>
            <w:noWrap/>
            <w:hideMark/>
          </w:tcPr>
          <w:p w14:paraId="42CA7710" w14:textId="376A997A" w:rsidR="00D73D20" w:rsidRPr="00B05127" w:rsidRDefault="00D73D20" w:rsidP="005A7FF1">
            <w:pPr>
              <w:keepNext/>
              <w:jc w:val="center"/>
              <w:rPr>
                <w:rFonts w:ascii="Arial Narrow" w:hAnsi="Arial Narrow"/>
                <w:sz w:val="20"/>
                <w:szCs w:val="20"/>
                <w:highlight w:val="yellow"/>
              </w:rPr>
            </w:pPr>
            <w:r w:rsidRPr="006721AF">
              <w:rPr>
                <w:rFonts w:ascii="Arial Narrow" w:hAnsi="Arial Narrow"/>
                <w:sz w:val="20"/>
                <w:szCs w:val="20"/>
              </w:rPr>
              <w:t>-</w:t>
            </w:r>
            <w:r w:rsidR="00BA039D" w:rsidRPr="00BA039D">
              <w:rPr>
                <w:rFonts w:ascii="Arial Narrow" w:hAnsi="Arial Narrow"/>
                <w:color w:val="000000"/>
                <w:spacing w:val="105"/>
                <w:sz w:val="20"/>
                <w:szCs w:val="20"/>
                <w:shd w:val="solid" w:color="000000" w:fill="000000"/>
                <w:fitText w:val="191" w:id="-1233442549"/>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191" w:id="-1233442549"/>
                <w14:textFill>
                  <w14:solidFill>
                    <w14:srgbClr w14:val="000000">
                      <w14:alpha w14:val="100000"/>
                    </w14:srgbClr>
                  </w14:solidFill>
                </w14:textFill>
              </w:rPr>
              <w:t>|</w:t>
            </w:r>
          </w:p>
        </w:tc>
      </w:tr>
      <w:tr w:rsidR="00D73D20" w:rsidRPr="00AD7238" w14:paraId="3412671E" w14:textId="77777777" w:rsidTr="00A92170">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68FB71E5" w14:textId="3445E9F7" w:rsidR="00D73D20" w:rsidRPr="00AD7238" w:rsidRDefault="00D73D20" w:rsidP="005A7FF1">
            <w:pPr>
              <w:keepNext/>
              <w:ind w:firstLineChars="100" w:firstLine="200"/>
              <w:jc w:val="left"/>
              <w:rPr>
                <w:rFonts w:ascii="Arial Narrow" w:hAnsi="Arial Narrow"/>
                <w:sz w:val="20"/>
                <w:szCs w:val="20"/>
              </w:rPr>
            </w:pPr>
            <w:r w:rsidRPr="00AD7238">
              <w:rPr>
                <w:rFonts w:ascii="Arial Narrow" w:hAnsi="Arial Narrow"/>
                <w:sz w:val="20"/>
                <w:szCs w:val="20"/>
              </w:rPr>
              <w:t>Non-PHN complications cases</w:t>
            </w:r>
          </w:p>
        </w:tc>
        <w:tc>
          <w:tcPr>
            <w:tcW w:w="1644" w:type="dxa"/>
            <w:tcBorders>
              <w:top w:val="nil"/>
              <w:left w:val="nil"/>
              <w:bottom w:val="single" w:sz="4" w:space="0" w:color="auto"/>
              <w:right w:val="single" w:sz="4" w:space="0" w:color="auto"/>
            </w:tcBorders>
            <w:shd w:val="clear" w:color="auto" w:fill="auto"/>
            <w:noWrap/>
            <w:hideMark/>
          </w:tcPr>
          <w:p w14:paraId="114D5269"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$42,854,598</w:t>
            </w:r>
          </w:p>
        </w:tc>
        <w:tc>
          <w:tcPr>
            <w:tcW w:w="1644" w:type="dxa"/>
            <w:tcBorders>
              <w:top w:val="nil"/>
              <w:left w:val="nil"/>
              <w:bottom w:val="single" w:sz="4" w:space="0" w:color="auto"/>
              <w:right w:val="single" w:sz="4" w:space="0" w:color="auto"/>
            </w:tcBorders>
            <w:shd w:val="clear" w:color="auto" w:fill="auto"/>
            <w:noWrap/>
            <w:hideMark/>
          </w:tcPr>
          <w:p w14:paraId="5E5F2F0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$121,048,336</w:t>
            </w:r>
          </w:p>
        </w:tc>
        <w:tc>
          <w:tcPr>
            <w:tcW w:w="1644" w:type="dxa"/>
            <w:tcBorders>
              <w:top w:val="nil"/>
              <w:left w:val="nil"/>
              <w:bottom w:val="single" w:sz="4" w:space="0" w:color="auto"/>
              <w:right w:val="single" w:sz="4" w:space="0" w:color="auto"/>
            </w:tcBorders>
            <w:shd w:val="clear" w:color="auto" w:fill="auto"/>
            <w:noWrap/>
            <w:hideMark/>
          </w:tcPr>
          <w:p w14:paraId="049D0CAC" w14:textId="3AF50DAD"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-$78,193,738</w:t>
            </w:r>
          </w:p>
        </w:tc>
        <w:tc>
          <w:tcPr>
            <w:tcW w:w="1645" w:type="dxa"/>
            <w:tcBorders>
              <w:top w:val="nil"/>
              <w:left w:val="nil"/>
              <w:bottom w:val="single" w:sz="4" w:space="0" w:color="auto"/>
              <w:right w:val="single" w:sz="4" w:space="0" w:color="auto"/>
            </w:tcBorders>
            <w:shd w:val="clear" w:color="auto" w:fill="auto"/>
            <w:noWrap/>
            <w:hideMark/>
          </w:tcPr>
          <w:p w14:paraId="17FBDB22" w14:textId="29207B59" w:rsidR="00D73D20" w:rsidRPr="00B05127" w:rsidRDefault="00D73D20" w:rsidP="005A7FF1">
            <w:pPr>
              <w:keepNext/>
              <w:jc w:val="center"/>
              <w:rPr>
                <w:rFonts w:ascii="Arial Narrow" w:hAnsi="Arial Narrow"/>
                <w:sz w:val="20"/>
                <w:szCs w:val="20"/>
                <w:highlight w:val="yellow"/>
              </w:rPr>
            </w:pPr>
            <w:r w:rsidRPr="006721AF">
              <w:rPr>
                <w:rFonts w:ascii="Arial Narrow" w:hAnsi="Arial Narrow"/>
                <w:sz w:val="20"/>
                <w:szCs w:val="20"/>
              </w:rPr>
              <w:t>-</w:t>
            </w:r>
            <w:r w:rsidR="00BA039D" w:rsidRPr="00BA039D">
              <w:rPr>
                <w:rFonts w:ascii="Arial Narrow" w:hAnsi="Arial Narrow"/>
                <w:color w:val="000000"/>
                <w:spacing w:val="105"/>
                <w:sz w:val="20"/>
                <w:szCs w:val="20"/>
                <w:shd w:val="solid" w:color="000000" w:fill="000000"/>
                <w:fitText w:val="191" w:id="-1233442548"/>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191" w:id="-1233442548"/>
                <w14:textFill>
                  <w14:solidFill>
                    <w14:srgbClr w14:val="000000">
                      <w14:alpha w14:val="100000"/>
                    </w14:srgbClr>
                  </w14:solidFill>
                </w14:textFill>
              </w:rPr>
              <w:t>|</w:t>
            </w:r>
          </w:p>
        </w:tc>
      </w:tr>
      <w:tr w:rsidR="00D73D20" w:rsidRPr="00AD7238" w14:paraId="52943765" w14:textId="77777777" w:rsidTr="005F243E">
        <w:trPr>
          <w:trHeight w:val="255"/>
        </w:trPr>
        <w:tc>
          <w:tcPr>
            <w:tcW w:w="9017" w:type="dxa"/>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410AB37A" w14:textId="6A07E7C6" w:rsidR="00D73D20" w:rsidRPr="00AD7238" w:rsidRDefault="00D73D20" w:rsidP="005A7FF1">
            <w:pPr>
              <w:keepNext/>
              <w:rPr>
                <w:rFonts w:ascii="Arial Narrow" w:hAnsi="Arial Narrow"/>
                <w:sz w:val="20"/>
                <w:szCs w:val="20"/>
              </w:rPr>
            </w:pPr>
            <w:r w:rsidRPr="00AD7238">
              <w:rPr>
                <w:rFonts w:ascii="Arial Narrow" w:hAnsi="Arial Narrow"/>
                <w:sz w:val="20"/>
                <w:szCs w:val="20"/>
              </w:rPr>
              <w:t>Outcomes</w:t>
            </w:r>
            <w:r w:rsidR="007A01F0">
              <w:rPr>
                <w:rFonts w:ascii="Arial Narrow" w:hAnsi="Arial Narrow"/>
                <w:sz w:val="20"/>
                <w:szCs w:val="20"/>
              </w:rPr>
              <w:t xml:space="preserve"> </w:t>
            </w:r>
            <w:r w:rsidR="007A01F0" w:rsidRPr="00AD7238">
              <w:rPr>
                <w:rFonts w:ascii="Arial Narrow" w:hAnsi="Arial Narrow"/>
                <w:sz w:val="20"/>
                <w:szCs w:val="20"/>
              </w:rPr>
              <w:t>(discounted)</w:t>
            </w:r>
          </w:p>
        </w:tc>
      </w:tr>
      <w:tr w:rsidR="00D73D20" w:rsidRPr="00AD7238" w14:paraId="0572DA79"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1B1E02FF" w14:textId="1BAF0F91" w:rsidR="00D73D20" w:rsidRPr="00AD7238" w:rsidRDefault="00D73D20" w:rsidP="005A7FF1">
            <w:pPr>
              <w:keepNext/>
              <w:rPr>
                <w:rFonts w:ascii="Arial Narrow" w:hAnsi="Arial Narrow"/>
                <w:sz w:val="20"/>
                <w:szCs w:val="20"/>
              </w:rPr>
            </w:pPr>
            <w:r w:rsidRPr="00AD7238">
              <w:rPr>
                <w:rFonts w:ascii="Arial Narrow" w:hAnsi="Arial Narrow"/>
                <w:sz w:val="20"/>
                <w:szCs w:val="20"/>
              </w:rPr>
              <w:t xml:space="preserve">LYs </w:t>
            </w:r>
          </w:p>
        </w:tc>
        <w:tc>
          <w:tcPr>
            <w:tcW w:w="1644" w:type="dxa"/>
            <w:tcBorders>
              <w:top w:val="nil"/>
              <w:left w:val="nil"/>
              <w:bottom w:val="single" w:sz="4" w:space="0" w:color="auto"/>
              <w:right w:val="single" w:sz="4" w:space="0" w:color="auto"/>
            </w:tcBorders>
            <w:shd w:val="clear" w:color="auto" w:fill="auto"/>
            <w:noWrap/>
            <w:hideMark/>
          </w:tcPr>
          <w:p w14:paraId="6965BA4A"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10,814,931</w:t>
            </w:r>
          </w:p>
        </w:tc>
        <w:tc>
          <w:tcPr>
            <w:tcW w:w="1644" w:type="dxa"/>
            <w:tcBorders>
              <w:top w:val="nil"/>
              <w:left w:val="nil"/>
              <w:bottom w:val="single" w:sz="4" w:space="0" w:color="auto"/>
              <w:right w:val="single" w:sz="4" w:space="0" w:color="auto"/>
            </w:tcBorders>
            <w:shd w:val="clear" w:color="auto" w:fill="auto"/>
            <w:noWrap/>
            <w:hideMark/>
          </w:tcPr>
          <w:p w14:paraId="7EA897EC"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10,814,822</w:t>
            </w:r>
          </w:p>
        </w:tc>
        <w:tc>
          <w:tcPr>
            <w:tcW w:w="1644" w:type="dxa"/>
            <w:tcBorders>
              <w:top w:val="nil"/>
              <w:left w:val="nil"/>
              <w:bottom w:val="single" w:sz="4" w:space="0" w:color="auto"/>
              <w:right w:val="single" w:sz="4" w:space="0" w:color="auto"/>
            </w:tcBorders>
            <w:shd w:val="clear" w:color="auto" w:fill="auto"/>
            <w:noWrap/>
            <w:hideMark/>
          </w:tcPr>
          <w:p w14:paraId="24D94048"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109</w:t>
            </w:r>
          </w:p>
        </w:tc>
        <w:tc>
          <w:tcPr>
            <w:tcW w:w="1645" w:type="dxa"/>
            <w:tcBorders>
              <w:top w:val="nil"/>
              <w:left w:val="nil"/>
              <w:bottom w:val="single" w:sz="4" w:space="0" w:color="auto"/>
              <w:right w:val="single" w:sz="4" w:space="0" w:color="auto"/>
            </w:tcBorders>
            <w:shd w:val="clear" w:color="auto" w:fill="auto"/>
            <w:noWrap/>
            <w:hideMark/>
          </w:tcPr>
          <w:p w14:paraId="3D83D443"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100.0%</w:t>
            </w:r>
          </w:p>
        </w:tc>
      </w:tr>
      <w:tr w:rsidR="00D73D20" w:rsidRPr="00AD7238" w14:paraId="5CC1B88C"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2233F60D" w14:textId="25F4E234" w:rsidR="00D73D20" w:rsidRPr="00AD7238" w:rsidRDefault="00D73D20" w:rsidP="005A7FF1">
            <w:pPr>
              <w:keepNext/>
              <w:rPr>
                <w:rFonts w:ascii="Arial Narrow" w:hAnsi="Arial Narrow"/>
                <w:sz w:val="20"/>
                <w:szCs w:val="20"/>
              </w:rPr>
            </w:pPr>
            <w:r w:rsidRPr="00AD7238">
              <w:rPr>
                <w:rFonts w:ascii="Arial Narrow" w:hAnsi="Arial Narrow"/>
                <w:sz w:val="20"/>
                <w:szCs w:val="20"/>
              </w:rPr>
              <w:t xml:space="preserve">QALYs </w:t>
            </w:r>
          </w:p>
        </w:tc>
        <w:tc>
          <w:tcPr>
            <w:tcW w:w="1644" w:type="dxa"/>
            <w:tcBorders>
              <w:top w:val="nil"/>
              <w:left w:val="nil"/>
              <w:bottom w:val="single" w:sz="4" w:space="0" w:color="auto"/>
              <w:right w:val="single" w:sz="4" w:space="0" w:color="auto"/>
            </w:tcBorders>
            <w:shd w:val="clear" w:color="auto" w:fill="auto"/>
            <w:noWrap/>
            <w:hideMark/>
          </w:tcPr>
          <w:p w14:paraId="3E731D0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9,125,356</w:t>
            </w:r>
          </w:p>
        </w:tc>
        <w:tc>
          <w:tcPr>
            <w:tcW w:w="1644" w:type="dxa"/>
            <w:tcBorders>
              <w:top w:val="nil"/>
              <w:left w:val="nil"/>
              <w:bottom w:val="single" w:sz="4" w:space="0" w:color="auto"/>
              <w:right w:val="single" w:sz="4" w:space="0" w:color="auto"/>
            </w:tcBorders>
            <w:shd w:val="clear" w:color="auto" w:fill="auto"/>
            <w:noWrap/>
            <w:hideMark/>
          </w:tcPr>
          <w:p w14:paraId="612C5F6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9,116,809</w:t>
            </w:r>
          </w:p>
        </w:tc>
        <w:tc>
          <w:tcPr>
            <w:tcW w:w="1644" w:type="dxa"/>
            <w:tcBorders>
              <w:top w:val="nil"/>
              <w:left w:val="nil"/>
              <w:bottom w:val="single" w:sz="4" w:space="0" w:color="auto"/>
              <w:right w:val="single" w:sz="4" w:space="0" w:color="auto"/>
            </w:tcBorders>
            <w:shd w:val="clear" w:color="auto" w:fill="auto"/>
            <w:noWrap/>
            <w:hideMark/>
          </w:tcPr>
          <w:p w14:paraId="7E5469B9"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8,547</w:t>
            </w:r>
          </w:p>
        </w:tc>
        <w:tc>
          <w:tcPr>
            <w:tcW w:w="1645" w:type="dxa"/>
            <w:tcBorders>
              <w:top w:val="nil"/>
              <w:left w:val="nil"/>
              <w:bottom w:val="single" w:sz="4" w:space="0" w:color="auto"/>
              <w:right w:val="single" w:sz="4" w:space="0" w:color="auto"/>
            </w:tcBorders>
            <w:shd w:val="clear" w:color="auto" w:fill="auto"/>
            <w:noWrap/>
            <w:hideMark/>
          </w:tcPr>
          <w:p w14:paraId="0768DBB7"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100.0%</w:t>
            </w:r>
          </w:p>
        </w:tc>
      </w:tr>
      <w:tr w:rsidR="00D73D20" w:rsidRPr="00AD7238" w14:paraId="448D41F1"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0ED1AE20"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Healthy QALYs lived</w:t>
            </w:r>
          </w:p>
        </w:tc>
        <w:tc>
          <w:tcPr>
            <w:tcW w:w="1644" w:type="dxa"/>
            <w:tcBorders>
              <w:top w:val="nil"/>
              <w:left w:val="nil"/>
              <w:bottom w:val="single" w:sz="4" w:space="0" w:color="auto"/>
              <w:right w:val="single" w:sz="4" w:space="0" w:color="auto"/>
            </w:tcBorders>
            <w:shd w:val="clear" w:color="auto" w:fill="auto"/>
            <w:noWrap/>
            <w:hideMark/>
          </w:tcPr>
          <w:p w14:paraId="1D11BE3F"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9,129,507</w:t>
            </w:r>
          </w:p>
        </w:tc>
        <w:tc>
          <w:tcPr>
            <w:tcW w:w="1644" w:type="dxa"/>
            <w:tcBorders>
              <w:top w:val="nil"/>
              <w:left w:val="nil"/>
              <w:bottom w:val="single" w:sz="4" w:space="0" w:color="auto"/>
              <w:right w:val="single" w:sz="4" w:space="0" w:color="auto"/>
            </w:tcBorders>
            <w:shd w:val="clear" w:color="auto" w:fill="auto"/>
            <w:noWrap/>
            <w:hideMark/>
          </w:tcPr>
          <w:p w14:paraId="4CBC285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9,129,417</w:t>
            </w:r>
          </w:p>
        </w:tc>
        <w:tc>
          <w:tcPr>
            <w:tcW w:w="1644" w:type="dxa"/>
            <w:tcBorders>
              <w:top w:val="nil"/>
              <w:left w:val="nil"/>
              <w:bottom w:val="single" w:sz="4" w:space="0" w:color="auto"/>
              <w:right w:val="single" w:sz="4" w:space="0" w:color="auto"/>
            </w:tcBorders>
            <w:shd w:val="clear" w:color="auto" w:fill="auto"/>
            <w:noWrap/>
            <w:hideMark/>
          </w:tcPr>
          <w:p w14:paraId="696466F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91</w:t>
            </w:r>
          </w:p>
        </w:tc>
        <w:tc>
          <w:tcPr>
            <w:tcW w:w="1645" w:type="dxa"/>
            <w:tcBorders>
              <w:top w:val="nil"/>
              <w:left w:val="nil"/>
              <w:bottom w:val="single" w:sz="4" w:space="0" w:color="auto"/>
              <w:right w:val="single" w:sz="4" w:space="0" w:color="auto"/>
            </w:tcBorders>
            <w:shd w:val="clear" w:color="auto" w:fill="auto"/>
            <w:noWrap/>
            <w:hideMark/>
          </w:tcPr>
          <w:p w14:paraId="4BCE4DD8"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1.1%</w:t>
            </w:r>
          </w:p>
        </w:tc>
      </w:tr>
      <w:tr w:rsidR="00D73D20" w:rsidRPr="00AD7238" w14:paraId="6702FB73"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7A2798A8"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Overall QALYs lost</w:t>
            </w:r>
          </w:p>
        </w:tc>
        <w:tc>
          <w:tcPr>
            <w:tcW w:w="1644" w:type="dxa"/>
            <w:tcBorders>
              <w:top w:val="nil"/>
              <w:left w:val="nil"/>
              <w:bottom w:val="single" w:sz="4" w:space="0" w:color="auto"/>
              <w:right w:val="single" w:sz="4" w:space="0" w:color="auto"/>
            </w:tcBorders>
            <w:shd w:val="clear" w:color="auto" w:fill="auto"/>
            <w:noWrap/>
            <w:hideMark/>
          </w:tcPr>
          <w:p w14:paraId="5C186AA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4,152</w:t>
            </w:r>
          </w:p>
        </w:tc>
        <w:tc>
          <w:tcPr>
            <w:tcW w:w="1644" w:type="dxa"/>
            <w:tcBorders>
              <w:top w:val="nil"/>
              <w:left w:val="nil"/>
              <w:bottom w:val="single" w:sz="4" w:space="0" w:color="auto"/>
              <w:right w:val="single" w:sz="4" w:space="0" w:color="auto"/>
            </w:tcBorders>
            <w:shd w:val="clear" w:color="auto" w:fill="auto"/>
            <w:noWrap/>
            <w:hideMark/>
          </w:tcPr>
          <w:p w14:paraId="2FBF773C"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12,608</w:t>
            </w:r>
          </w:p>
        </w:tc>
        <w:tc>
          <w:tcPr>
            <w:tcW w:w="1644" w:type="dxa"/>
            <w:tcBorders>
              <w:top w:val="nil"/>
              <w:left w:val="nil"/>
              <w:bottom w:val="single" w:sz="4" w:space="0" w:color="auto"/>
              <w:right w:val="single" w:sz="4" w:space="0" w:color="auto"/>
            </w:tcBorders>
            <w:shd w:val="clear" w:color="auto" w:fill="auto"/>
            <w:noWrap/>
            <w:hideMark/>
          </w:tcPr>
          <w:p w14:paraId="5F4DFCF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-8,457</w:t>
            </w:r>
          </w:p>
        </w:tc>
        <w:tc>
          <w:tcPr>
            <w:tcW w:w="1645" w:type="dxa"/>
            <w:tcBorders>
              <w:top w:val="nil"/>
              <w:left w:val="nil"/>
              <w:bottom w:val="single" w:sz="4" w:space="0" w:color="auto"/>
              <w:right w:val="single" w:sz="4" w:space="0" w:color="auto"/>
            </w:tcBorders>
            <w:shd w:val="clear" w:color="auto" w:fill="auto"/>
            <w:noWrap/>
            <w:hideMark/>
          </w:tcPr>
          <w:p w14:paraId="4DEF0E43"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-98.9%</w:t>
            </w:r>
          </w:p>
        </w:tc>
      </w:tr>
      <w:tr w:rsidR="00D73D20" w:rsidRPr="00AD7238" w14:paraId="7B4239C4"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7875662E" w14:textId="77777777"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HZ</w:t>
            </w:r>
          </w:p>
        </w:tc>
        <w:tc>
          <w:tcPr>
            <w:tcW w:w="1644" w:type="dxa"/>
            <w:tcBorders>
              <w:top w:val="nil"/>
              <w:left w:val="nil"/>
              <w:bottom w:val="single" w:sz="4" w:space="0" w:color="auto"/>
              <w:right w:val="single" w:sz="4" w:space="0" w:color="auto"/>
            </w:tcBorders>
            <w:shd w:val="clear" w:color="auto" w:fill="auto"/>
            <w:noWrap/>
            <w:hideMark/>
          </w:tcPr>
          <w:p w14:paraId="4ADDF92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1,050</w:t>
            </w:r>
          </w:p>
        </w:tc>
        <w:tc>
          <w:tcPr>
            <w:tcW w:w="1644" w:type="dxa"/>
            <w:tcBorders>
              <w:top w:val="nil"/>
              <w:left w:val="nil"/>
              <w:bottom w:val="single" w:sz="4" w:space="0" w:color="auto"/>
              <w:right w:val="single" w:sz="4" w:space="0" w:color="auto"/>
            </w:tcBorders>
            <w:shd w:val="clear" w:color="auto" w:fill="auto"/>
            <w:noWrap/>
            <w:hideMark/>
          </w:tcPr>
          <w:p w14:paraId="40AB6219"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3,345</w:t>
            </w:r>
          </w:p>
        </w:tc>
        <w:tc>
          <w:tcPr>
            <w:tcW w:w="1644" w:type="dxa"/>
            <w:tcBorders>
              <w:top w:val="nil"/>
              <w:left w:val="nil"/>
              <w:bottom w:val="single" w:sz="4" w:space="0" w:color="auto"/>
              <w:right w:val="single" w:sz="4" w:space="0" w:color="auto"/>
            </w:tcBorders>
            <w:shd w:val="clear" w:color="auto" w:fill="auto"/>
            <w:noWrap/>
            <w:hideMark/>
          </w:tcPr>
          <w:p w14:paraId="09DF1D45"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-2,295</w:t>
            </w:r>
          </w:p>
        </w:tc>
        <w:tc>
          <w:tcPr>
            <w:tcW w:w="1645" w:type="dxa"/>
            <w:tcBorders>
              <w:top w:val="nil"/>
              <w:left w:val="nil"/>
              <w:bottom w:val="single" w:sz="4" w:space="0" w:color="auto"/>
              <w:right w:val="single" w:sz="4" w:space="0" w:color="auto"/>
            </w:tcBorders>
            <w:shd w:val="clear" w:color="auto" w:fill="auto"/>
            <w:noWrap/>
            <w:hideMark/>
          </w:tcPr>
          <w:p w14:paraId="4F729EC8"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-26.9%</w:t>
            </w:r>
          </w:p>
        </w:tc>
      </w:tr>
      <w:tr w:rsidR="00D73D20" w:rsidRPr="00AD7238" w14:paraId="20BB2A93"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36AF0F9C" w14:textId="77777777"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PHN</w:t>
            </w:r>
          </w:p>
        </w:tc>
        <w:tc>
          <w:tcPr>
            <w:tcW w:w="1644" w:type="dxa"/>
            <w:tcBorders>
              <w:top w:val="nil"/>
              <w:left w:val="nil"/>
              <w:bottom w:val="single" w:sz="4" w:space="0" w:color="auto"/>
              <w:right w:val="single" w:sz="4" w:space="0" w:color="auto"/>
            </w:tcBorders>
            <w:shd w:val="clear" w:color="auto" w:fill="auto"/>
            <w:noWrap/>
            <w:hideMark/>
          </w:tcPr>
          <w:p w14:paraId="74F6B3C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3,101</w:t>
            </w:r>
          </w:p>
        </w:tc>
        <w:tc>
          <w:tcPr>
            <w:tcW w:w="1644" w:type="dxa"/>
            <w:tcBorders>
              <w:top w:val="nil"/>
              <w:left w:val="nil"/>
              <w:bottom w:val="single" w:sz="4" w:space="0" w:color="auto"/>
              <w:right w:val="single" w:sz="4" w:space="0" w:color="auto"/>
            </w:tcBorders>
            <w:shd w:val="clear" w:color="auto" w:fill="auto"/>
            <w:noWrap/>
            <w:hideMark/>
          </w:tcPr>
          <w:p w14:paraId="375CC166"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9,263</w:t>
            </w:r>
          </w:p>
        </w:tc>
        <w:tc>
          <w:tcPr>
            <w:tcW w:w="1644" w:type="dxa"/>
            <w:tcBorders>
              <w:top w:val="nil"/>
              <w:left w:val="nil"/>
              <w:bottom w:val="single" w:sz="4" w:space="0" w:color="auto"/>
              <w:right w:val="single" w:sz="4" w:space="0" w:color="auto"/>
            </w:tcBorders>
            <w:shd w:val="clear" w:color="auto" w:fill="auto"/>
            <w:noWrap/>
            <w:hideMark/>
          </w:tcPr>
          <w:p w14:paraId="7C743EB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-6,162</w:t>
            </w:r>
          </w:p>
        </w:tc>
        <w:tc>
          <w:tcPr>
            <w:tcW w:w="1645" w:type="dxa"/>
            <w:tcBorders>
              <w:top w:val="nil"/>
              <w:left w:val="nil"/>
              <w:bottom w:val="single" w:sz="4" w:space="0" w:color="auto"/>
              <w:right w:val="single" w:sz="4" w:space="0" w:color="auto"/>
            </w:tcBorders>
            <w:shd w:val="clear" w:color="auto" w:fill="auto"/>
            <w:noWrap/>
            <w:hideMark/>
          </w:tcPr>
          <w:p w14:paraId="129607F0"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-72.1%</w:t>
            </w:r>
          </w:p>
        </w:tc>
      </w:tr>
      <w:tr w:rsidR="00D73D20" w:rsidRPr="00AD7238" w14:paraId="2B084EFD"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hideMark/>
          </w:tcPr>
          <w:p w14:paraId="475D1F92" w14:textId="5B70C023"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Vaccine-related A</w:t>
            </w:r>
            <w:r w:rsidR="00E946BC" w:rsidRPr="00AD7238">
              <w:rPr>
                <w:rFonts w:ascii="Arial Narrow" w:hAnsi="Arial Narrow"/>
                <w:sz w:val="20"/>
                <w:szCs w:val="20"/>
              </w:rPr>
              <w:t>E</w:t>
            </w:r>
            <w:r w:rsidRPr="00AD7238">
              <w:rPr>
                <w:rFonts w:ascii="Arial Narrow" w:hAnsi="Arial Narrow"/>
                <w:sz w:val="20"/>
                <w:szCs w:val="20"/>
              </w:rPr>
              <w:t>s</w:t>
            </w:r>
            <w:r w:rsidR="00DA054C" w:rsidRPr="00DA054C">
              <w:rPr>
                <w:rFonts w:ascii="Arial Narrow" w:hAnsi="Arial Narrow"/>
                <w:sz w:val="20"/>
                <w:szCs w:val="20"/>
                <w:vertAlign w:val="superscript"/>
              </w:rPr>
              <w:t>a</w:t>
            </w:r>
          </w:p>
        </w:tc>
        <w:tc>
          <w:tcPr>
            <w:tcW w:w="1644" w:type="dxa"/>
            <w:tcBorders>
              <w:top w:val="nil"/>
              <w:left w:val="nil"/>
              <w:bottom w:val="single" w:sz="4" w:space="0" w:color="auto"/>
              <w:right w:val="single" w:sz="4" w:space="0" w:color="auto"/>
            </w:tcBorders>
            <w:shd w:val="clear" w:color="auto" w:fill="auto"/>
            <w:noWrap/>
            <w:hideMark/>
          </w:tcPr>
          <w:p w14:paraId="5A90F988"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4" w:type="dxa"/>
            <w:tcBorders>
              <w:top w:val="nil"/>
              <w:left w:val="nil"/>
              <w:bottom w:val="single" w:sz="4" w:space="0" w:color="auto"/>
              <w:right w:val="single" w:sz="4" w:space="0" w:color="auto"/>
            </w:tcBorders>
            <w:shd w:val="clear" w:color="auto" w:fill="auto"/>
            <w:noWrap/>
            <w:hideMark/>
          </w:tcPr>
          <w:p w14:paraId="06C1B9EA"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4" w:type="dxa"/>
            <w:tcBorders>
              <w:top w:val="nil"/>
              <w:left w:val="nil"/>
              <w:bottom w:val="single" w:sz="4" w:space="0" w:color="auto"/>
              <w:right w:val="single" w:sz="4" w:space="0" w:color="auto"/>
            </w:tcBorders>
            <w:shd w:val="clear" w:color="auto" w:fill="auto"/>
            <w:noWrap/>
            <w:hideMark/>
          </w:tcPr>
          <w:p w14:paraId="510601E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1645" w:type="dxa"/>
            <w:tcBorders>
              <w:top w:val="nil"/>
              <w:left w:val="nil"/>
              <w:bottom w:val="single" w:sz="4" w:space="0" w:color="auto"/>
              <w:right w:val="single" w:sz="4" w:space="0" w:color="auto"/>
            </w:tcBorders>
            <w:shd w:val="clear" w:color="auto" w:fill="auto"/>
            <w:noWrap/>
            <w:hideMark/>
          </w:tcPr>
          <w:p w14:paraId="6E82CD3B" w14:textId="77777777" w:rsidR="00D73D20" w:rsidRPr="005A7FF1" w:rsidRDefault="00D73D20" w:rsidP="005A7FF1">
            <w:pPr>
              <w:keepNext/>
              <w:jc w:val="center"/>
              <w:rPr>
                <w:rFonts w:ascii="Arial Narrow" w:hAnsi="Arial Narrow"/>
                <w:sz w:val="20"/>
                <w:szCs w:val="20"/>
              </w:rPr>
            </w:pPr>
            <w:r w:rsidRPr="005A7FF1">
              <w:rPr>
                <w:rFonts w:ascii="Arial Narrow" w:hAnsi="Arial Narrow"/>
                <w:sz w:val="20"/>
                <w:szCs w:val="20"/>
              </w:rPr>
              <w:t>0.0%</w:t>
            </w:r>
          </w:p>
        </w:tc>
      </w:tr>
      <w:tr w:rsidR="00CA0198" w:rsidRPr="00AD7238" w14:paraId="36B36F43" w14:textId="77777777" w:rsidTr="005F243E">
        <w:trPr>
          <w:trHeight w:val="255"/>
        </w:trPr>
        <w:tc>
          <w:tcPr>
            <w:tcW w:w="2440" w:type="dxa"/>
            <w:tcBorders>
              <w:top w:val="nil"/>
              <w:left w:val="single" w:sz="4" w:space="0" w:color="auto"/>
              <w:bottom w:val="single" w:sz="4" w:space="0" w:color="auto"/>
              <w:right w:val="single" w:sz="4" w:space="0" w:color="auto"/>
            </w:tcBorders>
            <w:shd w:val="clear" w:color="auto" w:fill="auto"/>
            <w:noWrap/>
          </w:tcPr>
          <w:p w14:paraId="5C14A734" w14:textId="6019C788" w:rsidR="00CA0198" w:rsidRPr="00AD7238" w:rsidRDefault="00CA0198" w:rsidP="005A7FF1">
            <w:pPr>
              <w:keepNext/>
              <w:rPr>
                <w:rFonts w:ascii="Arial Narrow" w:hAnsi="Arial Narrow"/>
                <w:sz w:val="20"/>
                <w:szCs w:val="20"/>
              </w:rPr>
            </w:pPr>
            <w:r w:rsidRPr="00AD7238">
              <w:rPr>
                <w:rFonts w:ascii="Arial Narrow" w:hAnsi="Arial Narrow"/>
                <w:b/>
                <w:bCs/>
                <w:sz w:val="20"/>
                <w:szCs w:val="20"/>
              </w:rPr>
              <w:t>Incremental cost per QALY gained</w:t>
            </w:r>
          </w:p>
        </w:tc>
        <w:tc>
          <w:tcPr>
            <w:tcW w:w="1644" w:type="dxa"/>
            <w:tcBorders>
              <w:top w:val="nil"/>
              <w:left w:val="nil"/>
              <w:bottom w:val="single" w:sz="4" w:space="0" w:color="auto"/>
              <w:right w:val="single" w:sz="4" w:space="0" w:color="auto"/>
            </w:tcBorders>
            <w:shd w:val="clear" w:color="auto" w:fill="auto"/>
            <w:noWrap/>
          </w:tcPr>
          <w:p w14:paraId="1F5F5D85" w14:textId="77777777" w:rsidR="00CA0198" w:rsidRPr="00AD7238" w:rsidRDefault="00CA0198" w:rsidP="005A7FF1">
            <w:pPr>
              <w:keepNext/>
              <w:jc w:val="center"/>
              <w:rPr>
                <w:rFonts w:ascii="Arial Narrow" w:hAnsi="Arial Narrow"/>
                <w:sz w:val="20"/>
                <w:szCs w:val="20"/>
              </w:rPr>
            </w:pPr>
          </w:p>
        </w:tc>
        <w:tc>
          <w:tcPr>
            <w:tcW w:w="1644" w:type="dxa"/>
            <w:tcBorders>
              <w:top w:val="nil"/>
              <w:left w:val="nil"/>
              <w:bottom w:val="single" w:sz="4" w:space="0" w:color="auto"/>
              <w:right w:val="single" w:sz="4" w:space="0" w:color="auto"/>
            </w:tcBorders>
            <w:shd w:val="clear" w:color="auto" w:fill="auto"/>
            <w:noWrap/>
          </w:tcPr>
          <w:p w14:paraId="289372D0" w14:textId="77777777" w:rsidR="00CA0198" w:rsidRPr="00AD7238" w:rsidRDefault="00CA0198" w:rsidP="005A7FF1">
            <w:pPr>
              <w:keepNext/>
              <w:jc w:val="center"/>
              <w:rPr>
                <w:rFonts w:ascii="Arial Narrow" w:hAnsi="Arial Narrow"/>
                <w:sz w:val="20"/>
                <w:szCs w:val="20"/>
              </w:rPr>
            </w:pPr>
          </w:p>
        </w:tc>
        <w:tc>
          <w:tcPr>
            <w:tcW w:w="1644" w:type="dxa"/>
            <w:tcBorders>
              <w:top w:val="nil"/>
              <w:left w:val="nil"/>
              <w:bottom w:val="single" w:sz="4" w:space="0" w:color="auto"/>
              <w:right w:val="single" w:sz="4" w:space="0" w:color="auto"/>
            </w:tcBorders>
            <w:shd w:val="clear" w:color="auto" w:fill="auto"/>
            <w:noWrap/>
          </w:tcPr>
          <w:p w14:paraId="3BA85195" w14:textId="5649555D" w:rsidR="00CA0198" w:rsidRPr="005A7FF1" w:rsidRDefault="00CA0198" w:rsidP="005A7FF1">
            <w:pPr>
              <w:keepNext/>
              <w:jc w:val="center"/>
              <w:rPr>
                <w:rFonts w:ascii="Arial Narrow" w:hAnsi="Arial Narrow"/>
                <w:sz w:val="20"/>
                <w:szCs w:val="20"/>
              </w:rPr>
            </w:pPr>
            <w:r w:rsidRPr="00AD7238">
              <w:rPr>
                <w:rFonts w:ascii="Arial Narrow" w:hAnsi="Arial Narrow"/>
                <w:b/>
                <w:bCs/>
                <w:sz w:val="20"/>
                <w:szCs w:val="20"/>
              </w:rPr>
              <w:t>$</w:t>
            </w:r>
            <w:r w:rsidR="00BA039D" w:rsidRPr="00BA039D">
              <w:rPr>
                <w:rFonts w:ascii="Arial Narrow" w:hAnsi="Arial Narrow"/>
                <w:b/>
                <w:bCs/>
                <w:color w:val="000000"/>
                <w:spacing w:val="41"/>
                <w:sz w:val="20"/>
                <w:szCs w:val="20"/>
                <w:shd w:val="solid" w:color="000000" w:fill="000000"/>
                <w:fitText w:val="308" w:id="-1233442547"/>
                <w14:textFill>
                  <w14:solidFill>
                    <w14:srgbClr w14:val="000000">
                      <w14:alpha w14:val="100000"/>
                    </w14:srgbClr>
                  </w14:solidFill>
                </w14:textFill>
              </w:rPr>
              <w:t>|||</w:t>
            </w:r>
            <w:r w:rsidR="00BA039D" w:rsidRPr="00BA039D">
              <w:rPr>
                <w:rFonts w:ascii="Arial Narrow" w:hAnsi="Arial Narrow"/>
                <w:b/>
                <w:bCs/>
                <w:color w:val="000000"/>
                <w:spacing w:val="2"/>
                <w:sz w:val="20"/>
                <w:szCs w:val="20"/>
                <w:shd w:val="solid" w:color="000000" w:fill="000000"/>
                <w:fitText w:val="308" w:id="-1233442547"/>
                <w14:textFill>
                  <w14:solidFill>
                    <w14:srgbClr w14:val="000000">
                      <w14:alpha w14:val="100000"/>
                    </w14:srgbClr>
                  </w14:solidFill>
                </w14:textFill>
              </w:rPr>
              <w:t>|</w:t>
            </w:r>
            <w:r w:rsidR="005A7FF1">
              <w:rPr>
                <w:rFonts w:ascii="Arial Narrow" w:hAnsi="Arial Narrow"/>
                <w:b/>
                <w:bCs/>
                <w:sz w:val="20"/>
                <w:szCs w:val="20"/>
                <w:vertAlign w:val="superscript"/>
              </w:rPr>
              <w:t>1</w:t>
            </w:r>
          </w:p>
        </w:tc>
        <w:tc>
          <w:tcPr>
            <w:tcW w:w="1645" w:type="dxa"/>
            <w:tcBorders>
              <w:top w:val="nil"/>
              <w:left w:val="nil"/>
              <w:bottom w:val="single" w:sz="4" w:space="0" w:color="auto"/>
              <w:right w:val="single" w:sz="4" w:space="0" w:color="auto"/>
            </w:tcBorders>
            <w:shd w:val="clear" w:color="auto" w:fill="auto"/>
            <w:noWrap/>
          </w:tcPr>
          <w:p w14:paraId="434E8790" w14:textId="77777777" w:rsidR="00CA0198" w:rsidRPr="00AD7238" w:rsidRDefault="00CA0198" w:rsidP="005A7FF1">
            <w:pPr>
              <w:keepNext/>
              <w:jc w:val="center"/>
              <w:rPr>
                <w:rFonts w:ascii="Arial Narrow" w:hAnsi="Arial Narrow"/>
                <w:sz w:val="20"/>
                <w:szCs w:val="20"/>
              </w:rPr>
            </w:pPr>
          </w:p>
        </w:tc>
      </w:tr>
    </w:tbl>
    <w:p w14:paraId="721EBA71" w14:textId="3CD0102E" w:rsidR="00D73D20" w:rsidRPr="00AD7238" w:rsidRDefault="00D73D20" w:rsidP="005A7FF1">
      <w:pPr>
        <w:keepNext/>
        <w:rPr>
          <w:rFonts w:ascii="Arial Narrow" w:hAnsi="Arial Narrow"/>
          <w:sz w:val="18"/>
          <w:szCs w:val="18"/>
        </w:rPr>
      </w:pPr>
      <w:r w:rsidRPr="00AD7238">
        <w:rPr>
          <w:rFonts w:ascii="Arial Narrow" w:hAnsi="Arial Narrow"/>
          <w:sz w:val="18"/>
          <w:szCs w:val="18"/>
        </w:rPr>
        <w:t xml:space="preserve">Source: Table 3-51, pp202-203 of the </w:t>
      </w:r>
      <w:r w:rsidR="00815FA2" w:rsidRPr="00AD7238">
        <w:rPr>
          <w:rFonts w:ascii="Arial Narrow" w:hAnsi="Arial Narrow"/>
          <w:sz w:val="18"/>
          <w:szCs w:val="18"/>
        </w:rPr>
        <w:t>re</w:t>
      </w:r>
      <w:r w:rsidRPr="00AD7238">
        <w:rPr>
          <w:rFonts w:ascii="Arial Narrow" w:hAnsi="Arial Narrow"/>
          <w:sz w:val="18"/>
          <w:szCs w:val="18"/>
        </w:rPr>
        <w:t>submission.</w:t>
      </w:r>
    </w:p>
    <w:p w14:paraId="1FE371E5" w14:textId="015C3C70" w:rsidR="00D73D20" w:rsidRPr="00AD7238" w:rsidRDefault="00D73D20" w:rsidP="005A7FF1">
      <w:pPr>
        <w:keepNext/>
        <w:rPr>
          <w:rFonts w:ascii="Arial Narrow" w:hAnsi="Arial Narrow"/>
          <w:sz w:val="18"/>
          <w:szCs w:val="18"/>
        </w:rPr>
      </w:pPr>
      <w:r w:rsidRPr="00AD7238">
        <w:rPr>
          <w:rFonts w:ascii="Arial Narrow" w:hAnsi="Arial Narrow"/>
          <w:sz w:val="18"/>
          <w:szCs w:val="18"/>
        </w:rPr>
        <w:t>AE</w:t>
      </w:r>
      <w:r w:rsidR="009E6AE9" w:rsidRPr="00AD7238">
        <w:rPr>
          <w:rFonts w:ascii="Arial Narrow" w:hAnsi="Arial Narrow"/>
          <w:sz w:val="18"/>
          <w:szCs w:val="18"/>
        </w:rPr>
        <w:t xml:space="preserve"> = </w:t>
      </w:r>
      <w:r w:rsidRPr="00AD7238">
        <w:rPr>
          <w:rFonts w:ascii="Arial Narrow" w:hAnsi="Arial Narrow"/>
          <w:sz w:val="18"/>
          <w:szCs w:val="18"/>
        </w:rPr>
        <w:t>adverse event; HZ</w:t>
      </w:r>
      <w:r w:rsidR="009E6AE9" w:rsidRPr="00AD7238">
        <w:rPr>
          <w:rFonts w:ascii="Arial Narrow" w:hAnsi="Arial Narrow"/>
          <w:sz w:val="18"/>
          <w:szCs w:val="18"/>
        </w:rPr>
        <w:t xml:space="preserve"> = </w:t>
      </w:r>
      <w:r w:rsidRPr="00AD7238">
        <w:rPr>
          <w:rFonts w:ascii="Arial Narrow" w:hAnsi="Arial Narrow"/>
          <w:sz w:val="18"/>
          <w:szCs w:val="18"/>
        </w:rPr>
        <w:t>herpes zoster; ICER</w:t>
      </w:r>
      <w:r w:rsidR="009E6AE9" w:rsidRPr="00AD7238">
        <w:rPr>
          <w:rFonts w:ascii="Arial Narrow" w:hAnsi="Arial Narrow"/>
          <w:sz w:val="18"/>
          <w:szCs w:val="18"/>
        </w:rPr>
        <w:t xml:space="preserve"> = </w:t>
      </w:r>
      <w:r w:rsidRPr="00AD7238">
        <w:rPr>
          <w:rFonts w:ascii="Arial Narrow" w:hAnsi="Arial Narrow"/>
          <w:sz w:val="18"/>
          <w:szCs w:val="18"/>
        </w:rPr>
        <w:t>incremental cost-effectiveness ratio / cost per QALY; LY</w:t>
      </w:r>
      <w:r w:rsidR="009E6AE9" w:rsidRPr="00AD7238">
        <w:rPr>
          <w:rFonts w:ascii="Arial Narrow" w:hAnsi="Arial Narrow"/>
          <w:sz w:val="18"/>
          <w:szCs w:val="18"/>
        </w:rPr>
        <w:t xml:space="preserve"> = </w:t>
      </w:r>
      <w:r w:rsidRPr="00AD7238">
        <w:rPr>
          <w:rFonts w:ascii="Arial Narrow" w:hAnsi="Arial Narrow"/>
          <w:sz w:val="18"/>
          <w:szCs w:val="18"/>
        </w:rPr>
        <w:t>life year; NNV</w:t>
      </w:r>
      <w:r w:rsidR="009E6AE9" w:rsidRPr="00AD7238">
        <w:rPr>
          <w:rFonts w:ascii="Arial Narrow" w:hAnsi="Arial Narrow"/>
          <w:sz w:val="18"/>
          <w:szCs w:val="18"/>
        </w:rPr>
        <w:t xml:space="preserve"> = </w:t>
      </w:r>
      <w:r w:rsidRPr="00AD7238">
        <w:rPr>
          <w:rFonts w:ascii="Arial Narrow" w:hAnsi="Arial Narrow"/>
          <w:sz w:val="18"/>
          <w:szCs w:val="18"/>
        </w:rPr>
        <w:t>number needed to vaccinate; PHN</w:t>
      </w:r>
      <w:r w:rsidR="009E6AE9" w:rsidRPr="00AD7238">
        <w:rPr>
          <w:rFonts w:ascii="Arial Narrow" w:hAnsi="Arial Narrow"/>
          <w:sz w:val="18"/>
          <w:szCs w:val="18"/>
        </w:rPr>
        <w:t xml:space="preserve"> = </w:t>
      </w:r>
      <w:r w:rsidRPr="00AD7238">
        <w:rPr>
          <w:rFonts w:ascii="Arial Narrow" w:hAnsi="Arial Narrow"/>
          <w:sz w:val="18"/>
          <w:szCs w:val="18"/>
        </w:rPr>
        <w:t>post-herpetic neuralgia; QALY</w:t>
      </w:r>
      <w:r w:rsidR="009E6AE9" w:rsidRPr="00AD7238">
        <w:rPr>
          <w:rFonts w:ascii="Arial Narrow" w:hAnsi="Arial Narrow"/>
          <w:sz w:val="18"/>
          <w:szCs w:val="18"/>
        </w:rPr>
        <w:t xml:space="preserve"> = </w:t>
      </w:r>
      <w:r w:rsidRPr="00AD7238">
        <w:rPr>
          <w:rFonts w:ascii="Arial Narrow" w:hAnsi="Arial Narrow"/>
          <w:sz w:val="18"/>
          <w:szCs w:val="18"/>
        </w:rPr>
        <w:t>quality-adjusted life year; RZV</w:t>
      </w:r>
      <w:r w:rsidR="009E6AE9" w:rsidRPr="00AD7238">
        <w:rPr>
          <w:rFonts w:ascii="Arial Narrow" w:hAnsi="Arial Narrow"/>
          <w:sz w:val="18"/>
          <w:szCs w:val="18"/>
        </w:rPr>
        <w:t xml:space="preserve"> = </w:t>
      </w:r>
      <w:r w:rsidRPr="00AD7238">
        <w:rPr>
          <w:rFonts w:ascii="Arial Narrow" w:hAnsi="Arial Narrow"/>
          <w:sz w:val="18"/>
          <w:szCs w:val="18"/>
        </w:rPr>
        <w:t>recombinant zoster vaccine (</w:t>
      </w:r>
      <w:r w:rsidRPr="00615B0D">
        <w:rPr>
          <w:rFonts w:ascii="Arial Narrow" w:hAnsi="Arial Narrow"/>
          <w:iCs/>
          <w:sz w:val="18"/>
          <w:szCs w:val="18"/>
        </w:rPr>
        <w:t>Shingrix</w:t>
      </w:r>
      <w:r w:rsidRPr="00AD7238">
        <w:rPr>
          <w:rFonts w:ascii="Arial Narrow" w:hAnsi="Arial Narrow"/>
          <w:sz w:val="18"/>
          <w:szCs w:val="18"/>
        </w:rPr>
        <w:t>).</w:t>
      </w:r>
    </w:p>
    <w:p w14:paraId="40FF4908" w14:textId="0BBAFE2B" w:rsidR="00D73D20" w:rsidRDefault="00DA054C" w:rsidP="005A7FF1">
      <w:pPr>
        <w:keepNext/>
        <w:rPr>
          <w:rFonts w:ascii="Arial Narrow" w:hAnsi="Arial Narrow"/>
          <w:iCs/>
          <w:sz w:val="18"/>
          <w:szCs w:val="18"/>
        </w:rPr>
      </w:pPr>
      <w:r w:rsidRPr="00DA054C">
        <w:rPr>
          <w:rFonts w:ascii="Arial Narrow" w:hAnsi="Arial Narrow"/>
          <w:i/>
          <w:iCs/>
          <w:sz w:val="18"/>
          <w:szCs w:val="18"/>
          <w:vertAlign w:val="superscript"/>
        </w:rPr>
        <w:t>a</w:t>
      </w:r>
      <w:r w:rsidR="00313FAD" w:rsidRPr="00DA054C">
        <w:rPr>
          <w:rFonts w:ascii="Arial Narrow" w:hAnsi="Arial Narrow"/>
          <w:sz w:val="18"/>
          <w:szCs w:val="18"/>
        </w:rPr>
        <w:t xml:space="preserve"> </w:t>
      </w:r>
      <w:r w:rsidR="00313FAD" w:rsidRPr="00A65E17">
        <w:rPr>
          <w:rFonts w:ascii="Arial Narrow" w:hAnsi="Arial Narrow"/>
          <w:iCs/>
          <w:sz w:val="18"/>
          <w:szCs w:val="18"/>
        </w:rPr>
        <w:t>Disutility applied to vaccine-related AE but overall impact small</w:t>
      </w:r>
    </w:p>
    <w:p w14:paraId="1EB28AE3" w14:textId="77777777" w:rsidR="005A7FF1" w:rsidRPr="009A6D58" w:rsidRDefault="005A7FF1" w:rsidP="005A7FF1">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FB56B06" w14:textId="756B6FF5" w:rsidR="005A7FF1" w:rsidRPr="005A7FF1" w:rsidRDefault="005A7FF1" w:rsidP="005A7FF1">
      <w:pPr>
        <w:keepNext/>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A7FF1">
        <w:rPr>
          <w:rFonts w:ascii="Arial Narrow" w:hAnsi="Arial Narrow"/>
          <w:i/>
          <w:sz w:val="18"/>
          <w:szCs w:val="18"/>
        </w:rPr>
        <w:t>$15,000 to &lt; $25,000</w:t>
      </w:r>
    </w:p>
    <w:p w14:paraId="2D8B11A5" w14:textId="4B30BA1D" w:rsidR="00072E1E" w:rsidRDefault="00072E1E">
      <w:pPr>
        <w:jc w:val="left"/>
        <w:rPr>
          <w:rFonts w:ascii="Arial Narrow" w:hAnsi="Arial Narrow"/>
          <w:b/>
          <w:bCs/>
          <w:sz w:val="20"/>
          <w:szCs w:val="18"/>
        </w:rPr>
      </w:pPr>
      <w:bookmarkStart w:id="54" w:name="_Ref122266173"/>
      <w:r>
        <w:br w:type="page"/>
      </w:r>
    </w:p>
    <w:p w14:paraId="7A676054" w14:textId="4B30BA1D" w:rsidR="00D73D20" w:rsidRPr="00AD7238" w:rsidRDefault="00D73D20" w:rsidP="005A7FF1">
      <w:pPr>
        <w:pStyle w:val="Caption"/>
        <w:rPr>
          <w:rStyle w:val="CommentReference"/>
          <w:b/>
          <w:szCs w:val="18"/>
        </w:rPr>
      </w:pPr>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13</w:t>
      </w:r>
      <w:r w:rsidR="000442ED">
        <w:rPr>
          <w:noProof/>
        </w:rPr>
        <w:fldChar w:fldCharType="end"/>
      </w:r>
      <w:bookmarkEnd w:id="54"/>
      <w:r w:rsidRPr="00AD7238">
        <w:rPr>
          <w:rStyle w:val="CommentReference"/>
          <w:b/>
          <w:szCs w:val="24"/>
        </w:rPr>
        <w:t xml:space="preserve">: Results of the economic evaluation for </w:t>
      </w:r>
      <w:r w:rsidRPr="00AD7238">
        <w:t>RZV vs no vaccine –</w:t>
      </w:r>
      <w:r w:rsidR="0025134D" w:rsidRPr="00AD7238">
        <w:t xml:space="preserve">Aboriginal and Torres Strait Islander </w:t>
      </w:r>
      <w:r w:rsidR="00CA0198" w:rsidRPr="00AD7238">
        <w:t>adults</w:t>
      </w:r>
      <w:r w:rsidR="0025134D" w:rsidRPr="00AD7238">
        <w:t xml:space="preserve"> </w:t>
      </w:r>
      <w:r w:rsidRPr="00AD7238">
        <w:t>≥50 YOA</w:t>
      </w:r>
    </w:p>
    <w:tbl>
      <w:tblPr>
        <w:tblW w:w="5000" w:type="pct"/>
        <w:tblLayout w:type="fixed"/>
        <w:tblLook w:val="04A0" w:firstRow="1" w:lastRow="0" w:firstColumn="1" w:lastColumn="0" w:noHBand="0" w:noVBand="1"/>
      </w:tblPr>
      <w:tblGrid>
        <w:gridCol w:w="2969"/>
        <w:gridCol w:w="1511"/>
        <w:gridCol w:w="1511"/>
        <w:gridCol w:w="1511"/>
        <w:gridCol w:w="1515"/>
      </w:tblGrid>
      <w:tr w:rsidR="00D73D20" w:rsidRPr="00AD7238" w14:paraId="55BD62A7" w14:textId="77777777" w:rsidTr="00CA0198">
        <w:trPr>
          <w:trHeight w:val="510"/>
          <w:tblHeader/>
        </w:trPr>
        <w:tc>
          <w:tcPr>
            <w:tcW w:w="1646" w:type="pct"/>
            <w:tcBorders>
              <w:top w:val="single" w:sz="4" w:space="0" w:color="auto"/>
              <w:left w:val="single" w:sz="4" w:space="0" w:color="auto"/>
              <w:bottom w:val="single" w:sz="4" w:space="0" w:color="auto"/>
              <w:right w:val="single" w:sz="4" w:space="0" w:color="auto"/>
            </w:tcBorders>
            <w:shd w:val="clear" w:color="000000" w:fill="BFBFBF"/>
            <w:noWrap/>
            <w:hideMark/>
          </w:tcPr>
          <w:p w14:paraId="6AE761D0" w14:textId="77777777" w:rsidR="00D73D20" w:rsidRPr="00AD7238" w:rsidRDefault="00D73D20" w:rsidP="005A7FF1">
            <w:pPr>
              <w:pStyle w:val="TableFigureHeading"/>
            </w:pPr>
            <w:r w:rsidRPr="00AD7238">
              <w:t>Result</w:t>
            </w:r>
          </w:p>
        </w:tc>
        <w:tc>
          <w:tcPr>
            <w:tcW w:w="838" w:type="pct"/>
            <w:tcBorders>
              <w:top w:val="single" w:sz="4" w:space="0" w:color="auto"/>
              <w:left w:val="nil"/>
              <w:bottom w:val="single" w:sz="4" w:space="0" w:color="auto"/>
              <w:right w:val="single" w:sz="4" w:space="0" w:color="auto"/>
            </w:tcBorders>
            <w:shd w:val="clear" w:color="000000" w:fill="BFBFBF"/>
            <w:noWrap/>
            <w:hideMark/>
          </w:tcPr>
          <w:p w14:paraId="49A04699" w14:textId="77777777" w:rsidR="00D73D20" w:rsidRPr="00AD7238" w:rsidRDefault="00D73D20" w:rsidP="005A7FF1">
            <w:pPr>
              <w:pStyle w:val="TableFigureHeading"/>
              <w:jc w:val="center"/>
            </w:pPr>
            <w:r w:rsidRPr="00AD7238">
              <w:t>RZV</w:t>
            </w:r>
          </w:p>
        </w:tc>
        <w:tc>
          <w:tcPr>
            <w:tcW w:w="838" w:type="pct"/>
            <w:tcBorders>
              <w:top w:val="single" w:sz="4" w:space="0" w:color="auto"/>
              <w:left w:val="nil"/>
              <w:bottom w:val="single" w:sz="4" w:space="0" w:color="auto"/>
              <w:right w:val="single" w:sz="4" w:space="0" w:color="auto"/>
            </w:tcBorders>
            <w:shd w:val="clear" w:color="000000" w:fill="BFBFBF"/>
            <w:noWrap/>
            <w:hideMark/>
          </w:tcPr>
          <w:p w14:paraId="24C133ED" w14:textId="77777777" w:rsidR="00D73D20" w:rsidRPr="00AD7238" w:rsidRDefault="00D73D20" w:rsidP="005A7FF1">
            <w:pPr>
              <w:pStyle w:val="TableFigureHeading"/>
              <w:jc w:val="center"/>
            </w:pPr>
            <w:r w:rsidRPr="00AD7238">
              <w:t>No vaccine</w:t>
            </w:r>
          </w:p>
        </w:tc>
        <w:tc>
          <w:tcPr>
            <w:tcW w:w="838" w:type="pct"/>
            <w:tcBorders>
              <w:top w:val="single" w:sz="4" w:space="0" w:color="auto"/>
              <w:left w:val="nil"/>
              <w:bottom w:val="single" w:sz="4" w:space="0" w:color="auto"/>
              <w:right w:val="single" w:sz="4" w:space="0" w:color="auto"/>
            </w:tcBorders>
            <w:shd w:val="clear" w:color="000000" w:fill="BFBFBF"/>
            <w:hideMark/>
          </w:tcPr>
          <w:p w14:paraId="22F1C47F" w14:textId="77777777" w:rsidR="00D73D20" w:rsidRPr="00AD7238" w:rsidRDefault="00D73D20" w:rsidP="005A7FF1">
            <w:pPr>
              <w:pStyle w:val="TableFigureHeading"/>
              <w:jc w:val="center"/>
            </w:pPr>
            <w:r w:rsidRPr="00AD7238">
              <w:t>Incremental difference</w:t>
            </w:r>
          </w:p>
        </w:tc>
        <w:tc>
          <w:tcPr>
            <w:tcW w:w="840" w:type="pct"/>
            <w:tcBorders>
              <w:top w:val="single" w:sz="4" w:space="0" w:color="auto"/>
              <w:left w:val="nil"/>
              <w:bottom w:val="single" w:sz="4" w:space="0" w:color="auto"/>
              <w:right w:val="single" w:sz="4" w:space="0" w:color="auto"/>
            </w:tcBorders>
            <w:shd w:val="clear" w:color="000000" w:fill="BFBFBF"/>
            <w:hideMark/>
          </w:tcPr>
          <w:p w14:paraId="300BF4DC" w14:textId="77777777" w:rsidR="00D73D20" w:rsidRPr="00AD7238" w:rsidRDefault="00D73D20" w:rsidP="005A7FF1">
            <w:pPr>
              <w:pStyle w:val="TableFigureHeading"/>
              <w:jc w:val="center"/>
            </w:pPr>
            <w:r w:rsidRPr="00AD7238">
              <w:t>% of total difference</w:t>
            </w:r>
          </w:p>
        </w:tc>
      </w:tr>
      <w:tr w:rsidR="00D73D20" w:rsidRPr="00AD7238" w14:paraId="5AE07FDC" w14:textId="77777777" w:rsidTr="00C04DDF">
        <w:trPr>
          <w:trHeight w:val="255"/>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5D7E8C7D"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Case counts</w:t>
            </w:r>
          </w:p>
        </w:tc>
      </w:tr>
      <w:tr w:rsidR="00D73D20" w:rsidRPr="00AD7238" w14:paraId="7ED075B0"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7195FCB3"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HZ cases</w:t>
            </w:r>
          </w:p>
        </w:tc>
        <w:tc>
          <w:tcPr>
            <w:tcW w:w="838" w:type="pct"/>
            <w:tcBorders>
              <w:top w:val="nil"/>
              <w:left w:val="nil"/>
              <w:bottom w:val="single" w:sz="4" w:space="0" w:color="auto"/>
              <w:right w:val="single" w:sz="4" w:space="0" w:color="auto"/>
            </w:tcBorders>
            <w:shd w:val="clear" w:color="auto" w:fill="auto"/>
            <w:noWrap/>
            <w:hideMark/>
          </w:tcPr>
          <w:p w14:paraId="220C60C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40,407</w:t>
            </w:r>
          </w:p>
        </w:tc>
        <w:tc>
          <w:tcPr>
            <w:tcW w:w="838" w:type="pct"/>
            <w:tcBorders>
              <w:top w:val="nil"/>
              <w:left w:val="nil"/>
              <w:bottom w:val="single" w:sz="4" w:space="0" w:color="auto"/>
              <w:right w:val="single" w:sz="4" w:space="0" w:color="auto"/>
            </w:tcBorders>
            <w:shd w:val="clear" w:color="auto" w:fill="auto"/>
            <w:noWrap/>
            <w:hideMark/>
          </w:tcPr>
          <w:p w14:paraId="4FEA896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169,860</w:t>
            </w:r>
          </w:p>
        </w:tc>
        <w:tc>
          <w:tcPr>
            <w:tcW w:w="838" w:type="pct"/>
            <w:tcBorders>
              <w:top w:val="nil"/>
              <w:left w:val="nil"/>
              <w:bottom w:val="single" w:sz="4" w:space="0" w:color="auto"/>
              <w:right w:val="single" w:sz="4" w:space="0" w:color="auto"/>
            </w:tcBorders>
            <w:shd w:val="clear" w:color="auto" w:fill="auto"/>
            <w:noWrap/>
            <w:hideMark/>
          </w:tcPr>
          <w:p w14:paraId="73A590E6"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-129,453</w:t>
            </w:r>
          </w:p>
        </w:tc>
        <w:tc>
          <w:tcPr>
            <w:tcW w:w="840" w:type="pct"/>
            <w:tcBorders>
              <w:top w:val="nil"/>
              <w:left w:val="nil"/>
              <w:bottom w:val="single" w:sz="4" w:space="0" w:color="auto"/>
              <w:right w:val="single" w:sz="4" w:space="0" w:color="auto"/>
            </w:tcBorders>
            <w:shd w:val="clear" w:color="auto" w:fill="auto"/>
            <w:noWrap/>
            <w:hideMark/>
          </w:tcPr>
          <w:p w14:paraId="31B4C403"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7C6E6851"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1E3FCF89"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PHN cases</w:t>
            </w:r>
          </w:p>
        </w:tc>
        <w:tc>
          <w:tcPr>
            <w:tcW w:w="838" w:type="pct"/>
            <w:tcBorders>
              <w:top w:val="nil"/>
              <w:left w:val="nil"/>
              <w:bottom w:val="single" w:sz="4" w:space="0" w:color="auto"/>
              <w:right w:val="single" w:sz="4" w:space="0" w:color="auto"/>
            </w:tcBorders>
            <w:shd w:val="clear" w:color="auto" w:fill="auto"/>
            <w:noWrap/>
            <w:hideMark/>
          </w:tcPr>
          <w:p w14:paraId="11097225"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6,790</w:t>
            </w:r>
          </w:p>
        </w:tc>
        <w:tc>
          <w:tcPr>
            <w:tcW w:w="838" w:type="pct"/>
            <w:tcBorders>
              <w:top w:val="nil"/>
              <w:left w:val="nil"/>
              <w:bottom w:val="single" w:sz="4" w:space="0" w:color="auto"/>
              <w:right w:val="single" w:sz="4" w:space="0" w:color="auto"/>
            </w:tcBorders>
            <w:shd w:val="clear" w:color="auto" w:fill="auto"/>
            <w:noWrap/>
            <w:hideMark/>
          </w:tcPr>
          <w:p w14:paraId="326CB1D6"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27,601</w:t>
            </w:r>
          </w:p>
        </w:tc>
        <w:tc>
          <w:tcPr>
            <w:tcW w:w="838" w:type="pct"/>
            <w:tcBorders>
              <w:top w:val="nil"/>
              <w:left w:val="nil"/>
              <w:bottom w:val="single" w:sz="4" w:space="0" w:color="auto"/>
              <w:right w:val="single" w:sz="4" w:space="0" w:color="auto"/>
            </w:tcBorders>
            <w:shd w:val="clear" w:color="auto" w:fill="auto"/>
            <w:noWrap/>
            <w:hideMark/>
          </w:tcPr>
          <w:p w14:paraId="0EEF21A8"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-20,811</w:t>
            </w:r>
          </w:p>
        </w:tc>
        <w:tc>
          <w:tcPr>
            <w:tcW w:w="840" w:type="pct"/>
            <w:tcBorders>
              <w:top w:val="nil"/>
              <w:left w:val="nil"/>
              <w:bottom w:val="single" w:sz="4" w:space="0" w:color="auto"/>
              <w:right w:val="single" w:sz="4" w:space="0" w:color="auto"/>
            </w:tcBorders>
            <w:shd w:val="clear" w:color="auto" w:fill="auto"/>
            <w:noWrap/>
            <w:hideMark/>
          </w:tcPr>
          <w:p w14:paraId="06EAE56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2BCBE684"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32A4E077"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Non-PHN complications cases</w:t>
            </w:r>
          </w:p>
        </w:tc>
        <w:tc>
          <w:tcPr>
            <w:tcW w:w="838" w:type="pct"/>
            <w:tcBorders>
              <w:top w:val="nil"/>
              <w:left w:val="nil"/>
              <w:bottom w:val="single" w:sz="4" w:space="0" w:color="auto"/>
              <w:right w:val="single" w:sz="4" w:space="0" w:color="auto"/>
            </w:tcBorders>
            <w:shd w:val="clear" w:color="auto" w:fill="auto"/>
            <w:noWrap/>
            <w:hideMark/>
          </w:tcPr>
          <w:p w14:paraId="7A44049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4,394</w:t>
            </w:r>
          </w:p>
        </w:tc>
        <w:tc>
          <w:tcPr>
            <w:tcW w:w="838" w:type="pct"/>
            <w:tcBorders>
              <w:top w:val="nil"/>
              <w:left w:val="nil"/>
              <w:bottom w:val="single" w:sz="4" w:space="0" w:color="auto"/>
              <w:right w:val="single" w:sz="4" w:space="0" w:color="auto"/>
            </w:tcBorders>
            <w:shd w:val="clear" w:color="auto" w:fill="auto"/>
            <w:noWrap/>
            <w:hideMark/>
          </w:tcPr>
          <w:p w14:paraId="1E70895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17,330</w:t>
            </w:r>
          </w:p>
        </w:tc>
        <w:tc>
          <w:tcPr>
            <w:tcW w:w="838" w:type="pct"/>
            <w:tcBorders>
              <w:top w:val="nil"/>
              <w:left w:val="nil"/>
              <w:bottom w:val="single" w:sz="4" w:space="0" w:color="auto"/>
              <w:right w:val="single" w:sz="4" w:space="0" w:color="auto"/>
            </w:tcBorders>
            <w:shd w:val="clear" w:color="auto" w:fill="auto"/>
            <w:noWrap/>
            <w:hideMark/>
          </w:tcPr>
          <w:p w14:paraId="5E50C376"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-12,937</w:t>
            </w:r>
          </w:p>
        </w:tc>
        <w:tc>
          <w:tcPr>
            <w:tcW w:w="840" w:type="pct"/>
            <w:tcBorders>
              <w:top w:val="nil"/>
              <w:left w:val="nil"/>
              <w:bottom w:val="single" w:sz="4" w:space="0" w:color="auto"/>
              <w:right w:val="single" w:sz="4" w:space="0" w:color="auto"/>
            </w:tcBorders>
            <w:shd w:val="clear" w:color="auto" w:fill="auto"/>
            <w:noWrap/>
            <w:hideMark/>
          </w:tcPr>
          <w:p w14:paraId="5B677A4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2E30ADF5"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48572A2C"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Ocular</w:t>
            </w:r>
          </w:p>
        </w:tc>
        <w:tc>
          <w:tcPr>
            <w:tcW w:w="838" w:type="pct"/>
            <w:tcBorders>
              <w:top w:val="nil"/>
              <w:left w:val="nil"/>
              <w:bottom w:val="single" w:sz="4" w:space="0" w:color="auto"/>
              <w:right w:val="single" w:sz="4" w:space="0" w:color="auto"/>
            </w:tcBorders>
            <w:shd w:val="clear" w:color="auto" w:fill="auto"/>
            <w:noWrap/>
            <w:hideMark/>
          </w:tcPr>
          <w:p w14:paraId="52F9BA1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1,693</w:t>
            </w:r>
          </w:p>
        </w:tc>
        <w:tc>
          <w:tcPr>
            <w:tcW w:w="838" w:type="pct"/>
            <w:tcBorders>
              <w:top w:val="nil"/>
              <w:left w:val="nil"/>
              <w:bottom w:val="single" w:sz="4" w:space="0" w:color="auto"/>
              <w:right w:val="single" w:sz="4" w:space="0" w:color="auto"/>
            </w:tcBorders>
            <w:shd w:val="clear" w:color="auto" w:fill="auto"/>
            <w:noWrap/>
            <w:hideMark/>
          </w:tcPr>
          <w:p w14:paraId="5165EC76"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6,688</w:t>
            </w:r>
          </w:p>
        </w:tc>
        <w:tc>
          <w:tcPr>
            <w:tcW w:w="838" w:type="pct"/>
            <w:tcBorders>
              <w:top w:val="nil"/>
              <w:left w:val="nil"/>
              <w:bottom w:val="single" w:sz="4" w:space="0" w:color="auto"/>
              <w:right w:val="single" w:sz="4" w:space="0" w:color="auto"/>
            </w:tcBorders>
            <w:shd w:val="clear" w:color="auto" w:fill="auto"/>
            <w:noWrap/>
            <w:hideMark/>
          </w:tcPr>
          <w:p w14:paraId="4E2D435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-4,995</w:t>
            </w:r>
          </w:p>
        </w:tc>
        <w:tc>
          <w:tcPr>
            <w:tcW w:w="840" w:type="pct"/>
            <w:tcBorders>
              <w:top w:val="nil"/>
              <w:left w:val="nil"/>
              <w:bottom w:val="single" w:sz="4" w:space="0" w:color="auto"/>
              <w:right w:val="single" w:sz="4" w:space="0" w:color="auto"/>
            </w:tcBorders>
            <w:shd w:val="clear" w:color="auto" w:fill="auto"/>
            <w:noWrap/>
            <w:hideMark/>
          </w:tcPr>
          <w:p w14:paraId="397DE7C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61E089E5"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1C8E577D"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Neurological</w:t>
            </w:r>
          </w:p>
        </w:tc>
        <w:tc>
          <w:tcPr>
            <w:tcW w:w="838" w:type="pct"/>
            <w:tcBorders>
              <w:top w:val="nil"/>
              <w:left w:val="nil"/>
              <w:bottom w:val="single" w:sz="4" w:space="0" w:color="auto"/>
              <w:right w:val="single" w:sz="4" w:space="0" w:color="auto"/>
            </w:tcBorders>
            <w:shd w:val="clear" w:color="auto" w:fill="auto"/>
            <w:noWrap/>
            <w:hideMark/>
          </w:tcPr>
          <w:p w14:paraId="1BBF14D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1,459</w:t>
            </w:r>
          </w:p>
        </w:tc>
        <w:tc>
          <w:tcPr>
            <w:tcW w:w="838" w:type="pct"/>
            <w:tcBorders>
              <w:top w:val="nil"/>
              <w:left w:val="nil"/>
              <w:bottom w:val="single" w:sz="4" w:space="0" w:color="auto"/>
              <w:right w:val="single" w:sz="4" w:space="0" w:color="auto"/>
            </w:tcBorders>
            <w:shd w:val="clear" w:color="auto" w:fill="auto"/>
            <w:noWrap/>
            <w:hideMark/>
          </w:tcPr>
          <w:p w14:paraId="0C8EC84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5,566</w:t>
            </w:r>
          </w:p>
        </w:tc>
        <w:tc>
          <w:tcPr>
            <w:tcW w:w="838" w:type="pct"/>
            <w:tcBorders>
              <w:top w:val="nil"/>
              <w:left w:val="nil"/>
              <w:bottom w:val="single" w:sz="4" w:space="0" w:color="auto"/>
              <w:right w:val="single" w:sz="4" w:space="0" w:color="auto"/>
            </w:tcBorders>
            <w:shd w:val="clear" w:color="auto" w:fill="auto"/>
            <w:noWrap/>
            <w:hideMark/>
          </w:tcPr>
          <w:p w14:paraId="5CA54B2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-4,107</w:t>
            </w:r>
          </w:p>
        </w:tc>
        <w:tc>
          <w:tcPr>
            <w:tcW w:w="840" w:type="pct"/>
            <w:tcBorders>
              <w:top w:val="nil"/>
              <w:left w:val="nil"/>
              <w:bottom w:val="single" w:sz="4" w:space="0" w:color="auto"/>
              <w:right w:val="single" w:sz="4" w:space="0" w:color="auto"/>
            </w:tcBorders>
            <w:shd w:val="clear" w:color="auto" w:fill="auto"/>
            <w:noWrap/>
            <w:hideMark/>
          </w:tcPr>
          <w:p w14:paraId="4C4082A3"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16BDE50B"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7E16F87E"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Cutaneous</w:t>
            </w:r>
          </w:p>
        </w:tc>
        <w:tc>
          <w:tcPr>
            <w:tcW w:w="838" w:type="pct"/>
            <w:tcBorders>
              <w:top w:val="nil"/>
              <w:left w:val="nil"/>
              <w:bottom w:val="single" w:sz="4" w:space="0" w:color="auto"/>
              <w:right w:val="single" w:sz="4" w:space="0" w:color="auto"/>
            </w:tcBorders>
            <w:shd w:val="clear" w:color="auto" w:fill="auto"/>
            <w:noWrap/>
            <w:hideMark/>
          </w:tcPr>
          <w:p w14:paraId="524805F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579</w:t>
            </w:r>
          </w:p>
        </w:tc>
        <w:tc>
          <w:tcPr>
            <w:tcW w:w="838" w:type="pct"/>
            <w:tcBorders>
              <w:top w:val="nil"/>
              <w:left w:val="nil"/>
              <w:bottom w:val="single" w:sz="4" w:space="0" w:color="auto"/>
              <w:right w:val="single" w:sz="4" w:space="0" w:color="auto"/>
            </w:tcBorders>
            <w:shd w:val="clear" w:color="auto" w:fill="auto"/>
            <w:noWrap/>
            <w:hideMark/>
          </w:tcPr>
          <w:p w14:paraId="3019A8E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2,374</w:t>
            </w:r>
          </w:p>
        </w:tc>
        <w:tc>
          <w:tcPr>
            <w:tcW w:w="838" w:type="pct"/>
            <w:tcBorders>
              <w:top w:val="nil"/>
              <w:left w:val="nil"/>
              <w:bottom w:val="single" w:sz="4" w:space="0" w:color="auto"/>
              <w:right w:val="single" w:sz="4" w:space="0" w:color="auto"/>
            </w:tcBorders>
            <w:shd w:val="clear" w:color="auto" w:fill="auto"/>
            <w:noWrap/>
            <w:hideMark/>
          </w:tcPr>
          <w:p w14:paraId="6370728A"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-1,796</w:t>
            </w:r>
          </w:p>
        </w:tc>
        <w:tc>
          <w:tcPr>
            <w:tcW w:w="840" w:type="pct"/>
            <w:tcBorders>
              <w:top w:val="nil"/>
              <w:left w:val="nil"/>
              <w:bottom w:val="single" w:sz="4" w:space="0" w:color="auto"/>
              <w:right w:val="single" w:sz="4" w:space="0" w:color="auto"/>
            </w:tcBorders>
            <w:shd w:val="clear" w:color="auto" w:fill="auto"/>
            <w:noWrap/>
            <w:hideMark/>
          </w:tcPr>
          <w:p w14:paraId="6BE6F7D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231AF7BA"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0E08A1DA"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Other non-pain</w:t>
            </w:r>
          </w:p>
        </w:tc>
        <w:tc>
          <w:tcPr>
            <w:tcW w:w="838" w:type="pct"/>
            <w:tcBorders>
              <w:top w:val="nil"/>
              <w:left w:val="nil"/>
              <w:bottom w:val="single" w:sz="4" w:space="0" w:color="auto"/>
              <w:right w:val="single" w:sz="4" w:space="0" w:color="auto"/>
            </w:tcBorders>
            <w:shd w:val="clear" w:color="auto" w:fill="auto"/>
            <w:noWrap/>
            <w:hideMark/>
          </w:tcPr>
          <w:p w14:paraId="7C35ED4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663</w:t>
            </w:r>
          </w:p>
        </w:tc>
        <w:tc>
          <w:tcPr>
            <w:tcW w:w="838" w:type="pct"/>
            <w:tcBorders>
              <w:top w:val="nil"/>
              <w:left w:val="nil"/>
              <w:bottom w:val="single" w:sz="4" w:space="0" w:color="auto"/>
              <w:right w:val="single" w:sz="4" w:space="0" w:color="auto"/>
            </w:tcBorders>
            <w:shd w:val="clear" w:color="auto" w:fill="auto"/>
            <w:noWrap/>
            <w:hideMark/>
          </w:tcPr>
          <w:p w14:paraId="3BDCA8C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2,702</w:t>
            </w:r>
          </w:p>
        </w:tc>
        <w:tc>
          <w:tcPr>
            <w:tcW w:w="838" w:type="pct"/>
            <w:tcBorders>
              <w:top w:val="nil"/>
              <w:left w:val="nil"/>
              <w:bottom w:val="single" w:sz="4" w:space="0" w:color="auto"/>
              <w:right w:val="single" w:sz="4" w:space="0" w:color="auto"/>
            </w:tcBorders>
            <w:shd w:val="clear" w:color="auto" w:fill="auto"/>
            <w:noWrap/>
            <w:hideMark/>
          </w:tcPr>
          <w:p w14:paraId="1B43374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-2,039</w:t>
            </w:r>
          </w:p>
        </w:tc>
        <w:tc>
          <w:tcPr>
            <w:tcW w:w="840" w:type="pct"/>
            <w:tcBorders>
              <w:top w:val="nil"/>
              <w:left w:val="nil"/>
              <w:bottom w:val="single" w:sz="4" w:space="0" w:color="auto"/>
              <w:right w:val="single" w:sz="4" w:space="0" w:color="auto"/>
            </w:tcBorders>
            <w:shd w:val="clear" w:color="auto" w:fill="auto"/>
            <w:noWrap/>
            <w:hideMark/>
          </w:tcPr>
          <w:p w14:paraId="7CAD657A"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2D448588"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5C9E5E87" w14:textId="77777777" w:rsidR="00D73D20" w:rsidRPr="00AD7238" w:rsidRDefault="00D73D20" w:rsidP="005A7FF1">
            <w:pPr>
              <w:keepNext/>
              <w:rPr>
                <w:rFonts w:ascii="Arial Narrow" w:hAnsi="Arial Narrow"/>
                <w:sz w:val="20"/>
                <w:szCs w:val="20"/>
              </w:rPr>
            </w:pPr>
            <w:r w:rsidRPr="00AD7238">
              <w:rPr>
                <w:rFonts w:ascii="Arial Narrow" w:hAnsi="Arial Narrow"/>
                <w:sz w:val="20"/>
                <w:szCs w:val="20"/>
              </w:rPr>
              <w:t>HZ-related deaths</w:t>
            </w:r>
          </w:p>
        </w:tc>
        <w:tc>
          <w:tcPr>
            <w:tcW w:w="838" w:type="pct"/>
            <w:tcBorders>
              <w:top w:val="nil"/>
              <w:left w:val="nil"/>
              <w:bottom w:val="single" w:sz="4" w:space="0" w:color="auto"/>
              <w:right w:val="single" w:sz="4" w:space="0" w:color="auto"/>
            </w:tcBorders>
            <w:shd w:val="clear" w:color="auto" w:fill="auto"/>
            <w:noWrap/>
            <w:hideMark/>
          </w:tcPr>
          <w:p w14:paraId="429D579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w:t>
            </w:r>
          </w:p>
        </w:tc>
        <w:tc>
          <w:tcPr>
            <w:tcW w:w="838" w:type="pct"/>
            <w:tcBorders>
              <w:top w:val="nil"/>
              <w:left w:val="nil"/>
              <w:bottom w:val="single" w:sz="4" w:space="0" w:color="auto"/>
              <w:right w:val="single" w:sz="4" w:space="0" w:color="auto"/>
            </w:tcBorders>
            <w:shd w:val="clear" w:color="auto" w:fill="auto"/>
            <w:noWrap/>
            <w:hideMark/>
          </w:tcPr>
          <w:p w14:paraId="2935B03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5</w:t>
            </w:r>
          </w:p>
        </w:tc>
        <w:tc>
          <w:tcPr>
            <w:tcW w:w="838" w:type="pct"/>
            <w:tcBorders>
              <w:top w:val="nil"/>
              <w:left w:val="nil"/>
              <w:bottom w:val="single" w:sz="4" w:space="0" w:color="auto"/>
              <w:right w:val="single" w:sz="4" w:space="0" w:color="auto"/>
            </w:tcBorders>
            <w:shd w:val="clear" w:color="auto" w:fill="auto"/>
            <w:noWrap/>
            <w:hideMark/>
          </w:tcPr>
          <w:p w14:paraId="0BB70E7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w:t>
            </w:r>
          </w:p>
        </w:tc>
        <w:tc>
          <w:tcPr>
            <w:tcW w:w="840" w:type="pct"/>
            <w:tcBorders>
              <w:top w:val="nil"/>
              <w:left w:val="nil"/>
              <w:bottom w:val="single" w:sz="4" w:space="0" w:color="auto"/>
              <w:right w:val="single" w:sz="4" w:space="0" w:color="auto"/>
            </w:tcBorders>
            <w:shd w:val="clear" w:color="auto" w:fill="auto"/>
            <w:noWrap/>
            <w:hideMark/>
          </w:tcPr>
          <w:p w14:paraId="08B1EFA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p>
        </w:tc>
      </w:tr>
      <w:tr w:rsidR="00D73D20" w:rsidRPr="00AD7238" w14:paraId="407AE379" w14:textId="77777777" w:rsidTr="00C04DDF">
        <w:trPr>
          <w:trHeight w:val="255"/>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38C38966" w14:textId="781E179A" w:rsidR="00D73D20" w:rsidRPr="00AD7238" w:rsidRDefault="00D73D20" w:rsidP="005A7FF1">
            <w:pPr>
              <w:keepNext/>
              <w:rPr>
                <w:rFonts w:ascii="Arial Narrow" w:hAnsi="Arial Narrow"/>
                <w:sz w:val="20"/>
                <w:szCs w:val="20"/>
              </w:rPr>
            </w:pPr>
            <w:r w:rsidRPr="00AD7238">
              <w:rPr>
                <w:rFonts w:ascii="Arial Narrow" w:hAnsi="Arial Narrow"/>
                <w:sz w:val="20"/>
                <w:szCs w:val="20"/>
              </w:rPr>
              <w:t>Costs</w:t>
            </w:r>
            <w:r w:rsidR="007A01F0">
              <w:rPr>
                <w:rFonts w:ascii="Arial Narrow" w:hAnsi="Arial Narrow"/>
                <w:sz w:val="20"/>
                <w:szCs w:val="20"/>
              </w:rPr>
              <w:t xml:space="preserve"> </w:t>
            </w:r>
            <w:r w:rsidR="007A01F0" w:rsidRPr="00AD7238">
              <w:rPr>
                <w:rFonts w:ascii="Arial Narrow" w:hAnsi="Arial Narrow"/>
                <w:sz w:val="20"/>
                <w:szCs w:val="20"/>
              </w:rPr>
              <w:t>(discounted)</w:t>
            </w:r>
          </w:p>
        </w:tc>
      </w:tr>
      <w:tr w:rsidR="00D73D20" w:rsidRPr="00AD7238" w14:paraId="6C6E747E" w14:textId="77777777" w:rsidTr="00BA039D">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4575757E" w14:textId="7818A2A8" w:rsidR="00D73D20" w:rsidRPr="00AD7238" w:rsidRDefault="00D73D20" w:rsidP="005A7FF1">
            <w:pPr>
              <w:keepNext/>
              <w:rPr>
                <w:rFonts w:ascii="Arial Narrow" w:hAnsi="Arial Narrow"/>
                <w:sz w:val="20"/>
                <w:szCs w:val="20"/>
              </w:rPr>
            </w:pPr>
            <w:r w:rsidRPr="00AD7238">
              <w:rPr>
                <w:rFonts w:ascii="Arial Narrow" w:hAnsi="Arial Narrow"/>
                <w:sz w:val="20"/>
                <w:szCs w:val="20"/>
              </w:rPr>
              <w:t xml:space="preserve">Total direct costs </w:t>
            </w:r>
          </w:p>
        </w:tc>
        <w:tc>
          <w:tcPr>
            <w:tcW w:w="838" w:type="pct"/>
            <w:tcBorders>
              <w:top w:val="nil"/>
              <w:left w:val="nil"/>
              <w:bottom w:val="single" w:sz="4" w:space="0" w:color="auto"/>
              <w:right w:val="single" w:sz="4" w:space="0" w:color="auto"/>
            </w:tcBorders>
            <w:shd w:val="clear" w:color="auto" w:fill="auto"/>
            <w:noWrap/>
            <w:hideMark/>
          </w:tcPr>
          <w:p w14:paraId="46294920" w14:textId="426DD3FF"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88"/>
                <w:sz w:val="20"/>
                <w:szCs w:val="20"/>
                <w:shd w:val="solid" w:color="000000" w:fill="000000"/>
                <w:fitText w:val="274" w:id="-1233442546"/>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74" w:id="-1233442546"/>
                <w14:textFill>
                  <w14:solidFill>
                    <w14:srgbClr w14:val="000000">
                      <w14:alpha w14:val="100000"/>
                    </w14:srgbClr>
                  </w14:solidFill>
                </w14:textFill>
              </w:rPr>
              <w:t>|</w:t>
            </w:r>
          </w:p>
        </w:tc>
        <w:tc>
          <w:tcPr>
            <w:tcW w:w="838" w:type="pct"/>
            <w:tcBorders>
              <w:top w:val="nil"/>
              <w:left w:val="nil"/>
              <w:bottom w:val="single" w:sz="4" w:space="0" w:color="auto"/>
              <w:right w:val="single" w:sz="4" w:space="0" w:color="auto"/>
            </w:tcBorders>
            <w:shd w:val="clear" w:color="auto" w:fill="auto"/>
            <w:noWrap/>
            <w:hideMark/>
          </w:tcPr>
          <w:p w14:paraId="38E72F1C"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$99,069,423</w:t>
            </w:r>
          </w:p>
        </w:tc>
        <w:tc>
          <w:tcPr>
            <w:tcW w:w="838" w:type="pct"/>
            <w:tcBorders>
              <w:top w:val="nil"/>
              <w:left w:val="nil"/>
              <w:bottom w:val="single" w:sz="4" w:space="0" w:color="auto"/>
              <w:right w:val="single" w:sz="4" w:space="0" w:color="auto"/>
            </w:tcBorders>
            <w:shd w:val="clear" w:color="auto" w:fill="auto"/>
            <w:noWrap/>
            <w:hideMark/>
          </w:tcPr>
          <w:p w14:paraId="180720E3" w14:textId="171DD7FC"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89"/>
                <w:sz w:val="20"/>
                <w:szCs w:val="20"/>
                <w:shd w:val="solid" w:color="000000" w:fill="000000"/>
                <w:fitText w:val="275" w:id="-1233442545"/>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75" w:id="-1233442545"/>
                <w14:textFill>
                  <w14:solidFill>
                    <w14:srgbClr w14:val="000000">
                      <w14:alpha w14:val="100000"/>
                    </w14:srgbClr>
                  </w14:solidFill>
                </w14:textFill>
              </w:rPr>
              <w:t>|</w:t>
            </w:r>
          </w:p>
        </w:tc>
        <w:tc>
          <w:tcPr>
            <w:tcW w:w="840" w:type="pct"/>
            <w:tcBorders>
              <w:top w:val="nil"/>
              <w:left w:val="nil"/>
              <w:bottom w:val="single" w:sz="4" w:space="0" w:color="auto"/>
              <w:right w:val="single" w:sz="4" w:space="0" w:color="auto"/>
            </w:tcBorders>
            <w:shd w:val="solid" w:color="000000" w:fill="000000"/>
            <w:noWrap/>
            <w:hideMark/>
          </w:tcPr>
          <w:p w14:paraId="64856487" w14:textId="0C035593"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44"/>
                <w:sz w:val="20"/>
                <w:szCs w:val="20"/>
                <w:fitText w:val="216" w:id="-1233442544"/>
                <w14:textFill>
                  <w14:solidFill>
                    <w14:srgbClr w14:val="000000">
                      <w14:alpha w14:val="100000"/>
                    </w14:srgbClr>
                  </w14:solidFill>
                </w14:textFill>
              </w:rPr>
              <w:t>||</w:t>
            </w:r>
            <w:r w:rsidRPr="00BA039D">
              <w:rPr>
                <w:rFonts w:ascii="Arial Narrow" w:hAnsi="Arial Narrow"/>
                <w:color w:val="000000"/>
                <w:spacing w:val="1"/>
                <w:sz w:val="20"/>
                <w:szCs w:val="20"/>
                <w:fitText w:val="216" w:id="-1233442544"/>
                <w14:textFill>
                  <w14:solidFill>
                    <w14:srgbClr w14:val="000000">
                      <w14:alpha w14:val="100000"/>
                    </w14:srgbClr>
                  </w14:solidFill>
                </w14:textFill>
              </w:rPr>
              <w:t>|</w:t>
            </w:r>
          </w:p>
        </w:tc>
      </w:tr>
      <w:tr w:rsidR="00D73D20" w:rsidRPr="00AD7238" w14:paraId="196E15A1" w14:textId="77777777" w:rsidTr="00BA039D">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647803BA"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 acquisition</w:t>
            </w:r>
          </w:p>
        </w:tc>
        <w:tc>
          <w:tcPr>
            <w:tcW w:w="838" w:type="pct"/>
            <w:tcBorders>
              <w:top w:val="nil"/>
              <w:left w:val="nil"/>
              <w:bottom w:val="single" w:sz="4" w:space="0" w:color="auto"/>
              <w:right w:val="single" w:sz="4" w:space="0" w:color="auto"/>
            </w:tcBorders>
            <w:shd w:val="clear" w:color="auto" w:fill="auto"/>
            <w:noWrap/>
            <w:hideMark/>
          </w:tcPr>
          <w:p w14:paraId="6B33DD72" w14:textId="3EACD88F"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88"/>
                <w:sz w:val="20"/>
                <w:szCs w:val="20"/>
                <w:shd w:val="solid" w:color="000000" w:fill="000000"/>
                <w:fitText w:val="274" w:id="-1233442560"/>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74" w:id="-1233442560"/>
                <w14:textFill>
                  <w14:solidFill>
                    <w14:srgbClr w14:val="000000">
                      <w14:alpha w14:val="100000"/>
                    </w14:srgbClr>
                  </w14:solidFill>
                </w14:textFill>
              </w:rPr>
              <w:t>|</w:t>
            </w:r>
          </w:p>
        </w:tc>
        <w:tc>
          <w:tcPr>
            <w:tcW w:w="838" w:type="pct"/>
            <w:tcBorders>
              <w:top w:val="nil"/>
              <w:left w:val="nil"/>
              <w:bottom w:val="single" w:sz="4" w:space="0" w:color="auto"/>
              <w:right w:val="single" w:sz="4" w:space="0" w:color="auto"/>
            </w:tcBorders>
            <w:shd w:val="clear" w:color="auto" w:fill="auto"/>
            <w:noWrap/>
            <w:hideMark/>
          </w:tcPr>
          <w:p w14:paraId="3FC3475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38" w:type="pct"/>
            <w:tcBorders>
              <w:top w:val="nil"/>
              <w:left w:val="nil"/>
              <w:bottom w:val="single" w:sz="4" w:space="0" w:color="auto"/>
              <w:right w:val="single" w:sz="4" w:space="0" w:color="auto"/>
            </w:tcBorders>
            <w:shd w:val="clear" w:color="auto" w:fill="auto"/>
            <w:noWrap/>
            <w:hideMark/>
          </w:tcPr>
          <w:p w14:paraId="4193AD4A" w14:textId="60F8E9F3"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w:t>
            </w:r>
            <w:r w:rsidR="00BA039D" w:rsidRPr="00BA039D">
              <w:rPr>
                <w:rFonts w:ascii="Arial Narrow" w:hAnsi="Arial Narrow"/>
                <w:color w:val="000000"/>
                <w:spacing w:val="189"/>
                <w:sz w:val="20"/>
                <w:szCs w:val="20"/>
                <w:shd w:val="solid" w:color="000000" w:fill="000000"/>
                <w:fitText w:val="275" w:id="-1233442559"/>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75" w:id="-1233442559"/>
                <w14:textFill>
                  <w14:solidFill>
                    <w14:srgbClr w14:val="000000">
                      <w14:alpha w14:val="100000"/>
                    </w14:srgbClr>
                  </w14:solidFill>
                </w14:textFill>
              </w:rPr>
              <w:t>|</w:t>
            </w:r>
          </w:p>
        </w:tc>
        <w:tc>
          <w:tcPr>
            <w:tcW w:w="840" w:type="pct"/>
            <w:tcBorders>
              <w:top w:val="single" w:sz="4" w:space="0" w:color="auto"/>
              <w:left w:val="nil"/>
              <w:bottom w:val="single" w:sz="4" w:space="0" w:color="auto"/>
              <w:right w:val="single" w:sz="4" w:space="0" w:color="auto"/>
            </w:tcBorders>
            <w:shd w:val="solid" w:color="000000" w:fill="000000"/>
            <w:noWrap/>
            <w:hideMark/>
          </w:tcPr>
          <w:p w14:paraId="596BD8EE" w14:textId="66C05545"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44"/>
                <w:sz w:val="20"/>
                <w:szCs w:val="20"/>
                <w:fitText w:val="216" w:id="-1233442558"/>
                <w14:textFill>
                  <w14:solidFill>
                    <w14:srgbClr w14:val="000000">
                      <w14:alpha w14:val="100000"/>
                    </w14:srgbClr>
                  </w14:solidFill>
                </w14:textFill>
              </w:rPr>
              <w:t>||</w:t>
            </w:r>
            <w:r w:rsidRPr="00BA039D">
              <w:rPr>
                <w:rFonts w:ascii="Arial Narrow" w:hAnsi="Arial Narrow"/>
                <w:color w:val="000000"/>
                <w:spacing w:val="1"/>
                <w:sz w:val="20"/>
                <w:szCs w:val="20"/>
                <w:fitText w:val="216" w:id="-1233442558"/>
                <w14:textFill>
                  <w14:solidFill>
                    <w14:srgbClr w14:val="000000">
                      <w14:alpha w14:val="100000"/>
                    </w14:srgbClr>
                  </w14:solidFill>
                </w14:textFill>
              </w:rPr>
              <w:t>|</w:t>
            </w:r>
          </w:p>
        </w:tc>
      </w:tr>
      <w:tr w:rsidR="00D73D20" w:rsidRPr="00AD7238" w14:paraId="75F5EFF8" w14:textId="77777777" w:rsidTr="00BA039D">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2F407BEF"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 administration</w:t>
            </w:r>
          </w:p>
        </w:tc>
        <w:tc>
          <w:tcPr>
            <w:tcW w:w="838" w:type="pct"/>
            <w:tcBorders>
              <w:top w:val="nil"/>
              <w:left w:val="nil"/>
              <w:bottom w:val="single" w:sz="4" w:space="0" w:color="auto"/>
              <w:right w:val="single" w:sz="4" w:space="0" w:color="auto"/>
            </w:tcBorders>
            <w:shd w:val="clear" w:color="auto" w:fill="auto"/>
            <w:noWrap/>
            <w:hideMark/>
          </w:tcPr>
          <w:p w14:paraId="57DF4D60"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$32,696,240</w:t>
            </w:r>
          </w:p>
        </w:tc>
        <w:tc>
          <w:tcPr>
            <w:tcW w:w="838" w:type="pct"/>
            <w:tcBorders>
              <w:top w:val="nil"/>
              <w:left w:val="nil"/>
              <w:bottom w:val="single" w:sz="4" w:space="0" w:color="auto"/>
              <w:right w:val="single" w:sz="4" w:space="0" w:color="auto"/>
            </w:tcBorders>
            <w:shd w:val="clear" w:color="auto" w:fill="auto"/>
            <w:noWrap/>
            <w:hideMark/>
          </w:tcPr>
          <w:p w14:paraId="2CA835A4"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38" w:type="pct"/>
            <w:tcBorders>
              <w:top w:val="nil"/>
              <w:left w:val="nil"/>
              <w:bottom w:val="single" w:sz="4" w:space="0" w:color="auto"/>
              <w:right w:val="single" w:sz="4" w:space="0" w:color="auto"/>
            </w:tcBorders>
            <w:shd w:val="clear" w:color="auto" w:fill="auto"/>
            <w:noWrap/>
            <w:hideMark/>
          </w:tcPr>
          <w:p w14:paraId="4C1E9F48"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$32,696,240</w:t>
            </w:r>
          </w:p>
        </w:tc>
        <w:tc>
          <w:tcPr>
            <w:tcW w:w="840" w:type="pct"/>
            <w:tcBorders>
              <w:top w:val="single" w:sz="4" w:space="0" w:color="auto"/>
              <w:left w:val="nil"/>
              <w:bottom w:val="single" w:sz="4" w:space="0" w:color="auto"/>
              <w:right w:val="single" w:sz="4" w:space="0" w:color="auto"/>
            </w:tcBorders>
            <w:shd w:val="solid" w:color="000000" w:fill="000000"/>
            <w:noWrap/>
            <w:hideMark/>
          </w:tcPr>
          <w:p w14:paraId="4DD16AAB" w14:textId="25308364"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44"/>
                <w:sz w:val="20"/>
                <w:szCs w:val="20"/>
                <w:fitText w:val="216" w:id="-1233442557"/>
                <w14:textFill>
                  <w14:solidFill>
                    <w14:srgbClr w14:val="000000">
                      <w14:alpha w14:val="100000"/>
                    </w14:srgbClr>
                  </w14:solidFill>
                </w14:textFill>
              </w:rPr>
              <w:t>||</w:t>
            </w:r>
            <w:r w:rsidRPr="00BA039D">
              <w:rPr>
                <w:rFonts w:ascii="Arial Narrow" w:hAnsi="Arial Narrow"/>
                <w:color w:val="000000"/>
                <w:spacing w:val="1"/>
                <w:sz w:val="20"/>
                <w:szCs w:val="20"/>
                <w:fitText w:val="216" w:id="-1233442557"/>
                <w14:textFill>
                  <w14:solidFill>
                    <w14:srgbClr w14:val="000000">
                      <w14:alpha w14:val="100000"/>
                    </w14:srgbClr>
                  </w14:solidFill>
                </w14:textFill>
              </w:rPr>
              <w:t>|</w:t>
            </w:r>
          </w:p>
        </w:tc>
      </w:tr>
      <w:tr w:rsidR="00D73D20" w:rsidRPr="00AD7238" w14:paraId="0E3DB343" w14:textId="77777777" w:rsidTr="00BA039D">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7703F2BA"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Vaccine-related AEs</w:t>
            </w:r>
          </w:p>
        </w:tc>
        <w:tc>
          <w:tcPr>
            <w:tcW w:w="838" w:type="pct"/>
            <w:tcBorders>
              <w:top w:val="nil"/>
              <w:left w:val="nil"/>
              <w:bottom w:val="single" w:sz="4" w:space="0" w:color="auto"/>
              <w:right w:val="single" w:sz="4" w:space="0" w:color="auto"/>
            </w:tcBorders>
            <w:shd w:val="clear" w:color="auto" w:fill="auto"/>
            <w:noWrap/>
            <w:hideMark/>
          </w:tcPr>
          <w:p w14:paraId="6D83D0AA"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$5,224,336</w:t>
            </w:r>
          </w:p>
        </w:tc>
        <w:tc>
          <w:tcPr>
            <w:tcW w:w="838" w:type="pct"/>
            <w:tcBorders>
              <w:top w:val="nil"/>
              <w:left w:val="nil"/>
              <w:bottom w:val="single" w:sz="4" w:space="0" w:color="auto"/>
              <w:right w:val="single" w:sz="4" w:space="0" w:color="auto"/>
            </w:tcBorders>
            <w:shd w:val="clear" w:color="auto" w:fill="auto"/>
            <w:noWrap/>
            <w:hideMark/>
          </w:tcPr>
          <w:p w14:paraId="74E8F6C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38" w:type="pct"/>
            <w:tcBorders>
              <w:top w:val="nil"/>
              <w:left w:val="nil"/>
              <w:bottom w:val="single" w:sz="4" w:space="0" w:color="auto"/>
              <w:right w:val="single" w:sz="4" w:space="0" w:color="auto"/>
            </w:tcBorders>
            <w:shd w:val="clear" w:color="auto" w:fill="auto"/>
            <w:noWrap/>
            <w:hideMark/>
          </w:tcPr>
          <w:p w14:paraId="28501539"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$5,224,336</w:t>
            </w:r>
          </w:p>
        </w:tc>
        <w:tc>
          <w:tcPr>
            <w:tcW w:w="840" w:type="pct"/>
            <w:tcBorders>
              <w:top w:val="single" w:sz="4" w:space="0" w:color="auto"/>
              <w:left w:val="nil"/>
              <w:bottom w:val="single" w:sz="4" w:space="0" w:color="auto"/>
              <w:right w:val="single" w:sz="4" w:space="0" w:color="auto"/>
            </w:tcBorders>
            <w:shd w:val="solid" w:color="000000" w:fill="000000"/>
            <w:noWrap/>
            <w:hideMark/>
          </w:tcPr>
          <w:p w14:paraId="234AF8F6" w14:textId="24251A50" w:rsidR="00D73D20" w:rsidRPr="00BA039D" w:rsidRDefault="00BA039D" w:rsidP="005A7FF1">
            <w:pPr>
              <w:keepNext/>
              <w:jc w:val="center"/>
              <w:rPr>
                <w:rFonts w:ascii="Arial Narrow" w:hAnsi="Arial Narrow"/>
                <w:sz w:val="20"/>
                <w:szCs w:val="20"/>
              </w:rPr>
            </w:pPr>
            <w:r w:rsidRPr="00BA039D">
              <w:rPr>
                <w:rFonts w:ascii="Arial Narrow" w:hAnsi="Arial Narrow"/>
                <w:color w:val="000000"/>
                <w:spacing w:val="44"/>
                <w:sz w:val="20"/>
                <w:szCs w:val="20"/>
                <w:fitText w:val="216" w:id="-1233442556"/>
                <w14:textFill>
                  <w14:solidFill>
                    <w14:srgbClr w14:val="000000">
                      <w14:alpha w14:val="100000"/>
                    </w14:srgbClr>
                  </w14:solidFill>
                </w14:textFill>
              </w:rPr>
              <w:t>||</w:t>
            </w:r>
            <w:r w:rsidRPr="00BA039D">
              <w:rPr>
                <w:rFonts w:ascii="Arial Narrow" w:hAnsi="Arial Narrow"/>
                <w:color w:val="000000"/>
                <w:spacing w:val="1"/>
                <w:sz w:val="20"/>
                <w:szCs w:val="20"/>
                <w:fitText w:val="216" w:id="-1233442556"/>
                <w14:textFill>
                  <w14:solidFill>
                    <w14:srgbClr w14:val="000000">
                      <w14:alpha w14:val="100000"/>
                    </w14:srgbClr>
                  </w14:solidFill>
                </w14:textFill>
              </w:rPr>
              <w:t>|</w:t>
            </w:r>
          </w:p>
        </w:tc>
      </w:tr>
      <w:tr w:rsidR="00D73D20" w:rsidRPr="00AD7238" w14:paraId="55845AE2"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7012C629"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HZ cases</w:t>
            </w:r>
          </w:p>
        </w:tc>
        <w:tc>
          <w:tcPr>
            <w:tcW w:w="838" w:type="pct"/>
            <w:tcBorders>
              <w:top w:val="nil"/>
              <w:left w:val="nil"/>
              <w:bottom w:val="single" w:sz="4" w:space="0" w:color="auto"/>
              <w:right w:val="single" w:sz="4" w:space="0" w:color="auto"/>
            </w:tcBorders>
            <w:shd w:val="clear" w:color="auto" w:fill="auto"/>
            <w:noWrap/>
            <w:hideMark/>
          </w:tcPr>
          <w:p w14:paraId="1B491546"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$4,508,811</w:t>
            </w:r>
          </w:p>
        </w:tc>
        <w:tc>
          <w:tcPr>
            <w:tcW w:w="838" w:type="pct"/>
            <w:tcBorders>
              <w:top w:val="nil"/>
              <w:left w:val="nil"/>
              <w:bottom w:val="single" w:sz="4" w:space="0" w:color="auto"/>
              <w:right w:val="single" w:sz="4" w:space="0" w:color="auto"/>
            </w:tcBorders>
            <w:shd w:val="clear" w:color="auto" w:fill="auto"/>
            <w:noWrap/>
            <w:hideMark/>
          </w:tcPr>
          <w:p w14:paraId="5DC1D40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$21,483,768</w:t>
            </w:r>
          </w:p>
        </w:tc>
        <w:tc>
          <w:tcPr>
            <w:tcW w:w="838" w:type="pct"/>
            <w:tcBorders>
              <w:top w:val="nil"/>
              <w:left w:val="nil"/>
              <w:bottom w:val="single" w:sz="4" w:space="0" w:color="auto"/>
              <w:right w:val="single" w:sz="4" w:space="0" w:color="auto"/>
            </w:tcBorders>
            <w:shd w:val="clear" w:color="auto" w:fill="auto"/>
            <w:noWrap/>
            <w:hideMark/>
          </w:tcPr>
          <w:p w14:paraId="6FEEFF54"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-$16,974,957</w:t>
            </w:r>
          </w:p>
        </w:tc>
        <w:tc>
          <w:tcPr>
            <w:tcW w:w="840" w:type="pct"/>
            <w:tcBorders>
              <w:top w:val="nil"/>
              <w:left w:val="nil"/>
              <w:bottom w:val="single" w:sz="4" w:space="0" w:color="auto"/>
              <w:right w:val="single" w:sz="4" w:space="0" w:color="auto"/>
            </w:tcBorders>
            <w:shd w:val="clear" w:color="auto" w:fill="auto"/>
            <w:noWrap/>
            <w:hideMark/>
          </w:tcPr>
          <w:p w14:paraId="3EC638F8" w14:textId="0304E3BB" w:rsidR="00D73D20" w:rsidRPr="006721AF" w:rsidRDefault="00D73D20" w:rsidP="005A7FF1">
            <w:pPr>
              <w:keepNext/>
              <w:jc w:val="center"/>
              <w:rPr>
                <w:rFonts w:ascii="Arial Narrow" w:hAnsi="Arial Narrow"/>
                <w:sz w:val="20"/>
                <w:szCs w:val="20"/>
              </w:rPr>
            </w:pPr>
            <w:r w:rsidRPr="006721AF">
              <w:rPr>
                <w:rFonts w:ascii="Arial Narrow" w:hAnsi="Arial Narrow"/>
                <w:sz w:val="20"/>
                <w:szCs w:val="20"/>
              </w:rPr>
              <w:t>-</w:t>
            </w:r>
            <w:r w:rsidR="00BA039D" w:rsidRPr="00BA039D">
              <w:rPr>
                <w:rFonts w:ascii="Arial Narrow" w:hAnsi="Arial Narrow"/>
                <w:color w:val="000000"/>
                <w:spacing w:val="172"/>
                <w:sz w:val="20"/>
                <w:szCs w:val="20"/>
                <w:shd w:val="solid" w:color="000000" w:fill="000000"/>
                <w:fitText w:val="258" w:id="-1233442555"/>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58" w:id="-1233442555"/>
                <w14:textFill>
                  <w14:solidFill>
                    <w14:srgbClr w14:val="000000">
                      <w14:alpha w14:val="100000"/>
                    </w14:srgbClr>
                  </w14:solidFill>
                </w14:textFill>
              </w:rPr>
              <w:t>|</w:t>
            </w:r>
          </w:p>
        </w:tc>
      </w:tr>
      <w:tr w:rsidR="00D73D20" w:rsidRPr="00AD7238" w14:paraId="69078434"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519F734E"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PHN cases</w:t>
            </w:r>
          </w:p>
        </w:tc>
        <w:tc>
          <w:tcPr>
            <w:tcW w:w="838" w:type="pct"/>
            <w:tcBorders>
              <w:top w:val="nil"/>
              <w:left w:val="nil"/>
              <w:bottom w:val="single" w:sz="4" w:space="0" w:color="auto"/>
              <w:right w:val="single" w:sz="4" w:space="0" w:color="auto"/>
            </w:tcBorders>
            <w:shd w:val="clear" w:color="auto" w:fill="auto"/>
            <w:noWrap/>
            <w:hideMark/>
          </w:tcPr>
          <w:p w14:paraId="6D17640E"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$8,238,839</w:t>
            </w:r>
          </w:p>
        </w:tc>
        <w:tc>
          <w:tcPr>
            <w:tcW w:w="838" w:type="pct"/>
            <w:tcBorders>
              <w:top w:val="nil"/>
              <w:left w:val="nil"/>
              <w:bottom w:val="single" w:sz="4" w:space="0" w:color="auto"/>
              <w:right w:val="single" w:sz="4" w:space="0" w:color="auto"/>
            </w:tcBorders>
            <w:shd w:val="clear" w:color="auto" w:fill="auto"/>
            <w:noWrap/>
            <w:hideMark/>
          </w:tcPr>
          <w:p w14:paraId="35665C6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$39,022,389</w:t>
            </w:r>
          </w:p>
        </w:tc>
        <w:tc>
          <w:tcPr>
            <w:tcW w:w="838" w:type="pct"/>
            <w:tcBorders>
              <w:top w:val="nil"/>
              <w:left w:val="nil"/>
              <w:bottom w:val="single" w:sz="4" w:space="0" w:color="auto"/>
              <w:right w:val="single" w:sz="4" w:space="0" w:color="auto"/>
            </w:tcBorders>
            <w:shd w:val="clear" w:color="auto" w:fill="auto"/>
            <w:noWrap/>
            <w:hideMark/>
          </w:tcPr>
          <w:p w14:paraId="32F4BECE"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-$30,783,549</w:t>
            </w:r>
          </w:p>
        </w:tc>
        <w:tc>
          <w:tcPr>
            <w:tcW w:w="840" w:type="pct"/>
            <w:tcBorders>
              <w:top w:val="nil"/>
              <w:left w:val="nil"/>
              <w:bottom w:val="single" w:sz="4" w:space="0" w:color="auto"/>
              <w:right w:val="single" w:sz="4" w:space="0" w:color="auto"/>
            </w:tcBorders>
            <w:shd w:val="clear" w:color="auto" w:fill="auto"/>
            <w:noWrap/>
            <w:hideMark/>
          </w:tcPr>
          <w:p w14:paraId="7248AC51" w14:textId="38E9096E" w:rsidR="00D73D20" w:rsidRPr="006721AF" w:rsidRDefault="00D73D20" w:rsidP="005A7FF1">
            <w:pPr>
              <w:keepNext/>
              <w:jc w:val="center"/>
              <w:rPr>
                <w:rFonts w:ascii="Arial Narrow" w:hAnsi="Arial Narrow"/>
                <w:sz w:val="20"/>
                <w:szCs w:val="20"/>
              </w:rPr>
            </w:pPr>
            <w:r w:rsidRPr="006721AF">
              <w:rPr>
                <w:rFonts w:ascii="Arial Narrow" w:hAnsi="Arial Narrow"/>
                <w:sz w:val="20"/>
                <w:szCs w:val="20"/>
              </w:rPr>
              <w:t>-</w:t>
            </w:r>
            <w:r w:rsidR="00BA039D" w:rsidRPr="00BA039D">
              <w:rPr>
                <w:rFonts w:ascii="Arial Narrow" w:hAnsi="Arial Narrow"/>
                <w:color w:val="000000"/>
                <w:spacing w:val="172"/>
                <w:sz w:val="20"/>
                <w:szCs w:val="20"/>
                <w:shd w:val="solid" w:color="000000" w:fill="000000"/>
                <w:fitText w:val="258" w:id="-1233442554"/>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58" w:id="-1233442554"/>
                <w14:textFill>
                  <w14:solidFill>
                    <w14:srgbClr w14:val="000000">
                      <w14:alpha w14:val="100000"/>
                    </w14:srgbClr>
                  </w14:solidFill>
                </w14:textFill>
              </w:rPr>
              <w:t>|</w:t>
            </w:r>
          </w:p>
        </w:tc>
      </w:tr>
      <w:tr w:rsidR="00D73D20" w:rsidRPr="00AD7238" w14:paraId="2E1771A4"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6067A491" w14:textId="55287B15"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 xml:space="preserve">Non-PHN complications cases </w:t>
            </w:r>
          </w:p>
        </w:tc>
        <w:tc>
          <w:tcPr>
            <w:tcW w:w="838" w:type="pct"/>
            <w:tcBorders>
              <w:top w:val="nil"/>
              <w:left w:val="nil"/>
              <w:bottom w:val="single" w:sz="4" w:space="0" w:color="auto"/>
              <w:right w:val="single" w:sz="4" w:space="0" w:color="auto"/>
            </w:tcBorders>
            <w:shd w:val="clear" w:color="auto" w:fill="auto"/>
            <w:noWrap/>
            <w:hideMark/>
          </w:tcPr>
          <w:p w14:paraId="03213B2D"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$8,418,724</w:t>
            </w:r>
          </w:p>
        </w:tc>
        <w:tc>
          <w:tcPr>
            <w:tcW w:w="838" w:type="pct"/>
            <w:tcBorders>
              <w:top w:val="nil"/>
              <w:left w:val="nil"/>
              <w:bottom w:val="single" w:sz="4" w:space="0" w:color="auto"/>
              <w:right w:val="single" w:sz="4" w:space="0" w:color="auto"/>
            </w:tcBorders>
            <w:shd w:val="clear" w:color="auto" w:fill="auto"/>
            <w:noWrap/>
            <w:hideMark/>
          </w:tcPr>
          <w:p w14:paraId="2CE7E16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$38,563,266</w:t>
            </w:r>
          </w:p>
        </w:tc>
        <w:tc>
          <w:tcPr>
            <w:tcW w:w="838" w:type="pct"/>
            <w:tcBorders>
              <w:top w:val="nil"/>
              <w:left w:val="nil"/>
              <w:bottom w:val="single" w:sz="4" w:space="0" w:color="auto"/>
              <w:right w:val="single" w:sz="4" w:space="0" w:color="auto"/>
            </w:tcBorders>
            <w:shd w:val="clear" w:color="auto" w:fill="auto"/>
            <w:noWrap/>
            <w:hideMark/>
          </w:tcPr>
          <w:p w14:paraId="56BFCF4A" w14:textId="77777777" w:rsidR="00D73D20" w:rsidRPr="0083318B" w:rsidRDefault="00D73D20" w:rsidP="005A7FF1">
            <w:pPr>
              <w:keepNext/>
              <w:jc w:val="center"/>
              <w:rPr>
                <w:rFonts w:ascii="Arial Narrow" w:hAnsi="Arial Narrow"/>
                <w:sz w:val="20"/>
                <w:szCs w:val="20"/>
              </w:rPr>
            </w:pPr>
            <w:r w:rsidRPr="0083318B">
              <w:rPr>
                <w:rFonts w:ascii="Arial Narrow" w:hAnsi="Arial Narrow"/>
                <w:sz w:val="20"/>
                <w:szCs w:val="20"/>
              </w:rPr>
              <w:t>-$30,144,542</w:t>
            </w:r>
          </w:p>
        </w:tc>
        <w:tc>
          <w:tcPr>
            <w:tcW w:w="840" w:type="pct"/>
            <w:tcBorders>
              <w:top w:val="nil"/>
              <w:left w:val="nil"/>
              <w:bottom w:val="single" w:sz="4" w:space="0" w:color="auto"/>
              <w:right w:val="single" w:sz="4" w:space="0" w:color="auto"/>
            </w:tcBorders>
            <w:shd w:val="clear" w:color="auto" w:fill="auto"/>
            <w:noWrap/>
            <w:hideMark/>
          </w:tcPr>
          <w:p w14:paraId="17803FAC" w14:textId="6DFEC28C" w:rsidR="00D73D20" w:rsidRPr="006721AF" w:rsidRDefault="00D73D20" w:rsidP="005A7FF1">
            <w:pPr>
              <w:keepNext/>
              <w:jc w:val="center"/>
              <w:rPr>
                <w:rFonts w:ascii="Arial Narrow" w:hAnsi="Arial Narrow"/>
                <w:sz w:val="20"/>
                <w:szCs w:val="20"/>
              </w:rPr>
            </w:pPr>
            <w:r w:rsidRPr="006721AF">
              <w:rPr>
                <w:rFonts w:ascii="Arial Narrow" w:hAnsi="Arial Narrow"/>
                <w:sz w:val="20"/>
                <w:szCs w:val="20"/>
              </w:rPr>
              <w:t>-</w:t>
            </w:r>
            <w:r w:rsidR="00BA039D" w:rsidRPr="00BA039D">
              <w:rPr>
                <w:rFonts w:ascii="Arial Narrow" w:hAnsi="Arial Narrow"/>
                <w:color w:val="000000"/>
                <w:spacing w:val="172"/>
                <w:sz w:val="20"/>
                <w:szCs w:val="20"/>
                <w:shd w:val="solid" w:color="000000" w:fill="000000"/>
                <w:fitText w:val="258" w:id="-1233442553"/>
                <w14:textFill>
                  <w14:solidFill>
                    <w14:srgbClr w14:val="000000">
                      <w14:alpha w14:val="100000"/>
                    </w14:srgbClr>
                  </w14:solidFill>
                </w14:textFill>
              </w:rPr>
              <w:t>|</w:t>
            </w:r>
            <w:r w:rsidR="00BA039D" w:rsidRPr="00BA039D">
              <w:rPr>
                <w:rFonts w:ascii="Arial Narrow" w:hAnsi="Arial Narrow"/>
                <w:color w:val="000000"/>
                <w:spacing w:val="1"/>
                <w:sz w:val="20"/>
                <w:szCs w:val="20"/>
                <w:shd w:val="solid" w:color="000000" w:fill="000000"/>
                <w:fitText w:val="258" w:id="-1233442553"/>
                <w14:textFill>
                  <w14:solidFill>
                    <w14:srgbClr w14:val="000000">
                      <w14:alpha w14:val="100000"/>
                    </w14:srgbClr>
                  </w14:solidFill>
                </w14:textFill>
              </w:rPr>
              <w:t>|</w:t>
            </w:r>
          </w:p>
        </w:tc>
      </w:tr>
      <w:tr w:rsidR="00D73D20" w:rsidRPr="00AD7238" w14:paraId="534251D8" w14:textId="77777777" w:rsidTr="00C04DDF">
        <w:trPr>
          <w:trHeight w:val="255"/>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noWrap/>
            <w:hideMark/>
          </w:tcPr>
          <w:p w14:paraId="546F7758" w14:textId="2F7C67C3" w:rsidR="00D73D20" w:rsidRPr="00AD7238" w:rsidRDefault="00D73D20" w:rsidP="005A7FF1">
            <w:pPr>
              <w:keepNext/>
              <w:rPr>
                <w:rFonts w:ascii="Arial Narrow" w:hAnsi="Arial Narrow"/>
                <w:sz w:val="20"/>
                <w:szCs w:val="20"/>
              </w:rPr>
            </w:pPr>
            <w:r w:rsidRPr="00AD7238">
              <w:rPr>
                <w:rFonts w:ascii="Arial Narrow" w:hAnsi="Arial Narrow"/>
                <w:sz w:val="20"/>
                <w:szCs w:val="20"/>
              </w:rPr>
              <w:t>Outcomes</w:t>
            </w:r>
            <w:r w:rsidR="007A01F0">
              <w:rPr>
                <w:rFonts w:ascii="Arial Narrow" w:hAnsi="Arial Narrow"/>
                <w:sz w:val="20"/>
                <w:szCs w:val="20"/>
              </w:rPr>
              <w:t xml:space="preserve"> </w:t>
            </w:r>
            <w:r w:rsidR="007A01F0" w:rsidRPr="00AD7238">
              <w:rPr>
                <w:rFonts w:ascii="Arial Narrow" w:hAnsi="Arial Narrow"/>
                <w:sz w:val="20"/>
                <w:szCs w:val="20"/>
              </w:rPr>
              <w:t>(discounted)</w:t>
            </w:r>
          </w:p>
        </w:tc>
      </w:tr>
      <w:tr w:rsidR="00D73D20" w:rsidRPr="00AD7238" w14:paraId="5D665F1E"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324AB45F" w14:textId="6425085B" w:rsidR="00D73D20" w:rsidRPr="00AD7238" w:rsidRDefault="00D73D20" w:rsidP="005A7FF1">
            <w:pPr>
              <w:keepNext/>
              <w:rPr>
                <w:rFonts w:ascii="Arial Narrow" w:hAnsi="Arial Narrow"/>
                <w:sz w:val="20"/>
                <w:szCs w:val="20"/>
              </w:rPr>
            </w:pPr>
            <w:r w:rsidRPr="00AD7238">
              <w:rPr>
                <w:rFonts w:ascii="Arial Narrow" w:hAnsi="Arial Narrow"/>
                <w:sz w:val="20"/>
                <w:szCs w:val="20"/>
              </w:rPr>
              <w:t xml:space="preserve">LYs </w:t>
            </w:r>
          </w:p>
        </w:tc>
        <w:tc>
          <w:tcPr>
            <w:tcW w:w="838" w:type="pct"/>
            <w:tcBorders>
              <w:top w:val="nil"/>
              <w:left w:val="nil"/>
              <w:bottom w:val="single" w:sz="4" w:space="0" w:color="auto"/>
              <w:right w:val="single" w:sz="4" w:space="0" w:color="auto"/>
            </w:tcBorders>
            <w:shd w:val="clear" w:color="auto" w:fill="auto"/>
            <w:noWrap/>
            <w:hideMark/>
          </w:tcPr>
          <w:p w14:paraId="76F65F6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7,520,562</w:t>
            </w:r>
          </w:p>
        </w:tc>
        <w:tc>
          <w:tcPr>
            <w:tcW w:w="838" w:type="pct"/>
            <w:tcBorders>
              <w:top w:val="nil"/>
              <w:left w:val="nil"/>
              <w:bottom w:val="single" w:sz="4" w:space="0" w:color="auto"/>
              <w:right w:val="single" w:sz="4" w:space="0" w:color="auto"/>
            </w:tcBorders>
            <w:shd w:val="clear" w:color="auto" w:fill="auto"/>
            <w:noWrap/>
            <w:hideMark/>
          </w:tcPr>
          <w:p w14:paraId="64B5CEEC"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7,520,549</w:t>
            </w:r>
          </w:p>
        </w:tc>
        <w:tc>
          <w:tcPr>
            <w:tcW w:w="838" w:type="pct"/>
            <w:tcBorders>
              <w:top w:val="nil"/>
              <w:left w:val="nil"/>
              <w:bottom w:val="single" w:sz="4" w:space="0" w:color="auto"/>
              <w:right w:val="single" w:sz="4" w:space="0" w:color="auto"/>
            </w:tcBorders>
            <w:shd w:val="clear" w:color="auto" w:fill="auto"/>
            <w:noWrap/>
            <w:hideMark/>
          </w:tcPr>
          <w:p w14:paraId="2DD0270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14</w:t>
            </w:r>
          </w:p>
        </w:tc>
        <w:tc>
          <w:tcPr>
            <w:tcW w:w="840" w:type="pct"/>
            <w:tcBorders>
              <w:top w:val="nil"/>
              <w:left w:val="nil"/>
              <w:bottom w:val="single" w:sz="4" w:space="0" w:color="auto"/>
              <w:right w:val="single" w:sz="4" w:space="0" w:color="auto"/>
            </w:tcBorders>
            <w:shd w:val="clear" w:color="auto" w:fill="auto"/>
            <w:noWrap/>
            <w:hideMark/>
          </w:tcPr>
          <w:p w14:paraId="2576E61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100.0%</w:t>
            </w:r>
          </w:p>
        </w:tc>
      </w:tr>
      <w:tr w:rsidR="00D73D20" w:rsidRPr="00AD7238" w14:paraId="29D38923"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3B5BDC6A" w14:textId="7BBE78AD" w:rsidR="00D73D20" w:rsidRPr="00AD7238" w:rsidRDefault="00D73D20" w:rsidP="005A7FF1">
            <w:pPr>
              <w:keepNext/>
              <w:rPr>
                <w:rFonts w:ascii="Arial Narrow" w:hAnsi="Arial Narrow"/>
                <w:sz w:val="20"/>
                <w:szCs w:val="20"/>
              </w:rPr>
            </w:pPr>
            <w:r w:rsidRPr="00AD7238">
              <w:rPr>
                <w:rFonts w:ascii="Arial Narrow" w:hAnsi="Arial Narrow"/>
                <w:sz w:val="20"/>
                <w:szCs w:val="20"/>
              </w:rPr>
              <w:t>QALYs)</w:t>
            </w:r>
          </w:p>
        </w:tc>
        <w:tc>
          <w:tcPr>
            <w:tcW w:w="838" w:type="pct"/>
            <w:tcBorders>
              <w:top w:val="nil"/>
              <w:left w:val="nil"/>
              <w:bottom w:val="single" w:sz="4" w:space="0" w:color="auto"/>
              <w:right w:val="single" w:sz="4" w:space="0" w:color="auto"/>
            </w:tcBorders>
            <w:shd w:val="clear" w:color="auto" w:fill="auto"/>
            <w:noWrap/>
            <w:hideMark/>
          </w:tcPr>
          <w:p w14:paraId="4E23922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6,617,757</w:t>
            </w:r>
          </w:p>
        </w:tc>
        <w:tc>
          <w:tcPr>
            <w:tcW w:w="838" w:type="pct"/>
            <w:tcBorders>
              <w:top w:val="nil"/>
              <w:left w:val="nil"/>
              <w:bottom w:val="single" w:sz="4" w:space="0" w:color="auto"/>
              <w:right w:val="single" w:sz="4" w:space="0" w:color="auto"/>
            </w:tcBorders>
            <w:shd w:val="clear" w:color="auto" w:fill="auto"/>
            <w:noWrap/>
            <w:hideMark/>
          </w:tcPr>
          <w:p w14:paraId="45AB5649"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6,612,983</w:t>
            </w:r>
          </w:p>
        </w:tc>
        <w:tc>
          <w:tcPr>
            <w:tcW w:w="838" w:type="pct"/>
            <w:tcBorders>
              <w:top w:val="nil"/>
              <w:left w:val="nil"/>
              <w:bottom w:val="single" w:sz="4" w:space="0" w:color="auto"/>
              <w:right w:val="single" w:sz="4" w:space="0" w:color="auto"/>
            </w:tcBorders>
            <w:shd w:val="clear" w:color="auto" w:fill="auto"/>
            <w:noWrap/>
            <w:hideMark/>
          </w:tcPr>
          <w:p w14:paraId="591A001E"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4,774</w:t>
            </w:r>
          </w:p>
        </w:tc>
        <w:tc>
          <w:tcPr>
            <w:tcW w:w="840" w:type="pct"/>
            <w:tcBorders>
              <w:top w:val="nil"/>
              <w:left w:val="nil"/>
              <w:bottom w:val="single" w:sz="4" w:space="0" w:color="auto"/>
              <w:right w:val="single" w:sz="4" w:space="0" w:color="auto"/>
            </w:tcBorders>
            <w:shd w:val="clear" w:color="auto" w:fill="auto"/>
            <w:noWrap/>
            <w:hideMark/>
          </w:tcPr>
          <w:p w14:paraId="55835152"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100.0%</w:t>
            </w:r>
          </w:p>
        </w:tc>
      </w:tr>
      <w:tr w:rsidR="00D73D20" w:rsidRPr="00AD7238" w14:paraId="0288E887"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3340CF18"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Healthy QALYs lived</w:t>
            </w:r>
          </w:p>
        </w:tc>
        <w:tc>
          <w:tcPr>
            <w:tcW w:w="838" w:type="pct"/>
            <w:tcBorders>
              <w:top w:val="nil"/>
              <w:left w:val="nil"/>
              <w:bottom w:val="single" w:sz="4" w:space="0" w:color="auto"/>
              <w:right w:val="single" w:sz="4" w:space="0" w:color="auto"/>
            </w:tcBorders>
            <w:shd w:val="clear" w:color="auto" w:fill="auto"/>
            <w:noWrap/>
            <w:hideMark/>
          </w:tcPr>
          <w:p w14:paraId="58559B3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6,618,962</w:t>
            </w:r>
          </w:p>
        </w:tc>
        <w:tc>
          <w:tcPr>
            <w:tcW w:w="838" w:type="pct"/>
            <w:tcBorders>
              <w:top w:val="nil"/>
              <w:left w:val="nil"/>
              <w:bottom w:val="single" w:sz="4" w:space="0" w:color="auto"/>
              <w:right w:val="single" w:sz="4" w:space="0" w:color="auto"/>
            </w:tcBorders>
            <w:shd w:val="clear" w:color="auto" w:fill="auto"/>
            <w:noWrap/>
            <w:hideMark/>
          </w:tcPr>
          <w:p w14:paraId="6730827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6,618,950</w:t>
            </w:r>
          </w:p>
        </w:tc>
        <w:tc>
          <w:tcPr>
            <w:tcW w:w="838" w:type="pct"/>
            <w:tcBorders>
              <w:top w:val="nil"/>
              <w:left w:val="nil"/>
              <w:bottom w:val="single" w:sz="4" w:space="0" w:color="auto"/>
              <w:right w:val="single" w:sz="4" w:space="0" w:color="auto"/>
            </w:tcBorders>
            <w:shd w:val="clear" w:color="auto" w:fill="auto"/>
            <w:noWrap/>
            <w:hideMark/>
          </w:tcPr>
          <w:p w14:paraId="4B0A083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w:t>
            </w:r>
          </w:p>
        </w:tc>
        <w:tc>
          <w:tcPr>
            <w:tcW w:w="840" w:type="pct"/>
            <w:tcBorders>
              <w:top w:val="nil"/>
              <w:left w:val="nil"/>
              <w:bottom w:val="single" w:sz="4" w:space="0" w:color="auto"/>
              <w:right w:val="single" w:sz="4" w:space="0" w:color="auto"/>
            </w:tcBorders>
            <w:shd w:val="clear" w:color="auto" w:fill="auto"/>
            <w:noWrap/>
            <w:hideMark/>
          </w:tcPr>
          <w:p w14:paraId="5AEAF369"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0.2%</w:t>
            </w:r>
          </w:p>
        </w:tc>
      </w:tr>
      <w:tr w:rsidR="00D73D20" w:rsidRPr="00AD7238" w14:paraId="3E60EF1B"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594D2D4D" w14:textId="77777777" w:rsidR="00D73D20" w:rsidRPr="00AD7238" w:rsidRDefault="00D73D20" w:rsidP="005A7FF1">
            <w:pPr>
              <w:keepNext/>
              <w:ind w:firstLineChars="100" w:firstLine="200"/>
              <w:rPr>
                <w:rFonts w:ascii="Arial Narrow" w:hAnsi="Arial Narrow"/>
                <w:sz w:val="20"/>
                <w:szCs w:val="20"/>
              </w:rPr>
            </w:pPr>
            <w:r w:rsidRPr="00AD7238">
              <w:rPr>
                <w:rFonts w:ascii="Arial Narrow" w:hAnsi="Arial Narrow"/>
                <w:sz w:val="20"/>
                <w:szCs w:val="20"/>
              </w:rPr>
              <w:t>Overall QALYs lost</w:t>
            </w:r>
          </w:p>
        </w:tc>
        <w:tc>
          <w:tcPr>
            <w:tcW w:w="838" w:type="pct"/>
            <w:tcBorders>
              <w:top w:val="nil"/>
              <w:left w:val="nil"/>
              <w:bottom w:val="single" w:sz="4" w:space="0" w:color="auto"/>
              <w:right w:val="single" w:sz="4" w:space="0" w:color="auto"/>
            </w:tcBorders>
            <w:shd w:val="clear" w:color="auto" w:fill="auto"/>
            <w:noWrap/>
            <w:hideMark/>
          </w:tcPr>
          <w:p w14:paraId="00CFCDE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1,205</w:t>
            </w:r>
          </w:p>
        </w:tc>
        <w:tc>
          <w:tcPr>
            <w:tcW w:w="838" w:type="pct"/>
            <w:tcBorders>
              <w:top w:val="nil"/>
              <w:left w:val="nil"/>
              <w:bottom w:val="single" w:sz="4" w:space="0" w:color="auto"/>
              <w:right w:val="single" w:sz="4" w:space="0" w:color="auto"/>
            </w:tcBorders>
            <w:shd w:val="clear" w:color="auto" w:fill="auto"/>
            <w:noWrap/>
            <w:hideMark/>
          </w:tcPr>
          <w:p w14:paraId="3F1AC2C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5,967</w:t>
            </w:r>
          </w:p>
        </w:tc>
        <w:tc>
          <w:tcPr>
            <w:tcW w:w="838" w:type="pct"/>
            <w:tcBorders>
              <w:top w:val="nil"/>
              <w:left w:val="nil"/>
              <w:bottom w:val="single" w:sz="4" w:space="0" w:color="auto"/>
              <w:right w:val="single" w:sz="4" w:space="0" w:color="auto"/>
            </w:tcBorders>
            <w:shd w:val="clear" w:color="auto" w:fill="auto"/>
            <w:noWrap/>
            <w:hideMark/>
          </w:tcPr>
          <w:p w14:paraId="00AE238F"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-4,762</w:t>
            </w:r>
          </w:p>
        </w:tc>
        <w:tc>
          <w:tcPr>
            <w:tcW w:w="840" w:type="pct"/>
            <w:tcBorders>
              <w:top w:val="nil"/>
              <w:left w:val="nil"/>
              <w:bottom w:val="single" w:sz="4" w:space="0" w:color="auto"/>
              <w:right w:val="single" w:sz="4" w:space="0" w:color="auto"/>
            </w:tcBorders>
            <w:shd w:val="clear" w:color="auto" w:fill="auto"/>
            <w:noWrap/>
            <w:hideMark/>
          </w:tcPr>
          <w:p w14:paraId="3396E1CB"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-99.8%</w:t>
            </w:r>
          </w:p>
        </w:tc>
      </w:tr>
      <w:tr w:rsidR="00D73D20" w:rsidRPr="00AD7238" w14:paraId="5A41B330"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27C1B34B" w14:textId="77777777"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HZ</w:t>
            </w:r>
          </w:p>
        </w:tc>
        <w:tc>
          <w:tcPr>
            <w:tcW w:w="838" w:type="pct"/>
            <w:tcBorders>
              <w:top w:val="nil"/>
              <w:left w:val="nil"/>
              <w:bottom w:val="single" w:sz="4" w:space="0" w:color="auto"/>
              <w:right w:val="single" w:sz="4" w:space="0" w:color="auto"/>
            </w:tcBorders>
            <w:shd w:val="clear" w:color="auto" w:fill="auto"/>
            <w:noWrap/>
            <w:hideMark/>
          </w:tcPr>
          <w:p w14:paraId="4D08032F"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455</w:t>
            </w:r>
          </w:p>
        </w:tc>
        <w:tc>
          <w:tcPr>
            <w:tcW w:w="838" w:type="pct"/>
            <w:tcBorders>
              <w:top w:val="nil"/>
              <w:left w:val="nil"/>
              <w:bottom w:val="single" w:sz="4" w:space="0" w:color="auto"/>
              <w:right w:val="single" w:sz="4" w:space="0" w:color="auto"/>
            </w:tcBorders>
            <w:shd w:val="clear" w:color="auto" w:fill="auto"/>
            <w:noWrap/>
            <w:hideMark/>
          </w:tcPr>
          <w:p w14:paraId="476F1218"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2,326</w:t>
            </w:r>
          </w:p>
        </w:tc>
        <w:tc>
          <w:tcPr>
            <w:tcW w:w="838" w:type="pct"/>
            <w:tcBorders>
              <w:top w:val="nil"/>
              <w:left w:val="nil"/>
              <w:bottom w:val="single" w:sz="4" w:space="0" w:color="auto"/>
              <w:right w:val="single" w:sz="4" w:space="0" w:color="auto"/>
            </w:tcBorders>
            <w:shd w:val="clear" w:color="auto" w:fill="auto"/>
            <w:noWrap/>
            <w:hideMark/>
          </w:tcPr>
          <w:p w14:paraId="0B15EB6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-1,870</w:t>
            </w:r>
          </w:p>
        </w:tc>
        <w:tc>
          <w:tcPr>
            <w:tcW w:w="840" w:type="pct"/>
            <w:tcBorders>
              <w:top w:val="nil"/>
              <w:left w:val="nil"/>
              <w:bottom w:val="single" w:sz="4" w:space="0" w:color="auto"/>
              <w:right w:val="single" w:sz="4" w:space="0" w:color="auto"/>
            </w:tcBorders>
            <w:shd w:val="clear" w:color="auto" w:fill="auto"/>
            <w:noWrap/>
            <w:hideMark/>
          </w:tcPr>
          <w:p w14:paraId="62F4893C"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-39.2%</w:t>
            </w:r>
          </w:p>
        </w:tc>
      </w:tr>
      <w:tr w:rsidR="00D73D20" w:rsidRPr="00AD7238" w14:paraId="4794B2A8"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258423F6" w14:textId="77777777"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PHN</w:t>
            </w:r>
          </w:p>
        </w:tc>
        <w:tc>
          <w:tcPr>
            <w:tcW w:w="838" w:type="pct"/>
            <w:tcBorders>
              <w:top w:val="nil"/>
              <w:left w:val="nil"/>
              <w:bottom w:val="single" w:sz="4" w:space="0" w:color="auto"/>
              <w:right w:val="single" w:sz="4" w:space="0" w:color="auto"/>
            </w:tcBorders>
            <w:shd w:val="clear" w:color="auto" w:fill="auto"/>
            <w:noWrap/>
            <w:hideMark/>
          </w:tcPr>
          <w:p w14:paraId="596460F1"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749</w:t>
            </w:r>
          </w:p>
        </w:tc>
        <w:tc>
          <w:tcPr>
            <w:tcW w:w="838" w:type="pct"/>
            <w:tcBorders>
              <w:top w:val="nil"/>
              <w:left w:val="nil"/>
              <w:bottom w:val="single" w:sz="4" w:space="0" w:color="auto"/>
              <w:right w:val="single" w:sz="4" w:space="0" w:color="auto"/>
            </w:tcBorders>
            <w:shd w:val="clear" w:color="auto" w:fill="auto"/>
            <w:noWrap/>
            <w:hideMark/>
          </w:tcPr>
          <w:p w14:paraId="7AE7EFD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3,641</w:t>
            </w:r>
          </w:p>
        </w:tc>
        <w:tc>
          <w:tcPr>
            <w:tcW w:w="838" w:type="pct"/>
            <w:tcBorders>
              <w:top w:val="nil"/>
              <w:left w:val="nil"/>
              <w:bottom w:val="single" w:sz="4" w:space="0" w:color="auto"/>
              <w:right w:val="single" w:sz="4" w:space="0" w:color="auto"/>
            </w:tcBorders>
            <w:shd w:val="clear" w:color="auto" w:fill="auto"/>
            <w:noWrap/>
            <w:hideMark/>
          </w:tcPr>
          <w:p w14:paraId="2EE7FED7"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-2,892</w:t>
            </w:r>
          </w:p>
        </w:tc>
        <w:tc>
          <w:tcPr>
            <w:tcW w:w="840" w:type="pct"/>
            <w:tcBorders>
              <w:top w:val="nil"/>
              <w:left w:val="nil"/>
              <w:bottom w:val="single" w:sz="4" w:space="0" w:color="auto"/>
              <w:right w:val="single" w:sz="4" w:space="0" w:color="auto"/>
            </w:tcBorders>
            <w:shd w:val="clear" w:color="auto" w:fill="auto"/>
            <w:noWrap/>
            <w:hideMark/>
          </w:tcPr>
          <w:p w14:paraId="152856C0"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-60.6%</w:t>
            </w:r>
          </w:p>
        </w:tc>
      </w:tr>
      <w:tr w:rsidR="00D73D20" w:rsidRPr="00AD7238" w14:paraId="1368437E"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hideMark/>
          </w:tcPr>
          <w:p w14:paraId="2E96A5A2" w14:textId="6B8E1A1B" w:rsidR="00D73D20" w:rsidRPr="00AD7238" w:rsidRDefault="00D73D20" w:rsidP="005A7FF1">
            <w:pPr>
              <w:keepNext/>
              <w:ind w:firstLineChars="200" w:firstLine="400"/>
              <w:rPr>
                <w:rFonts w:ascii="Arial Narrow" w:hAnsi="Arial Narrow"/>
                <w:sz w:val="20"/>
                <w:szCs w:val="20"/>
              </w:rPr>
            </w:pPr>
            <w:r w:rsidRPr="00AD7238">
              <w:rPr>
                <w:rFonts w:ascii="Arial Narrow" w:hAnsi="Arial Narrow"/>
                <w:sz w:val="20"/>
                <w:szCs w:val="20"/>
              </w:rPr>
              <w:t>Vaccine-related AEs</w:t>
            </w:r>
            <w:r w:rsidR="00DA054C" w:rsidRPr="00DA054C">
              <w:rPr>
                <w:rFonts w:ascii="Arial Narrow" w:hAnsi="Arial Narrow"/>
                <w:sz w:val="20"/>
                <w:szCs w:val="20"/>
                <w:vertAlign w:val="superscript"/>
              </w:rPr>
              <w:t>a</w:t>
            </w:r>
          </w:p>
        </w:tc>
        <w:tc>
          <w:tcPr>
            <w:tcW w:w="838" w:type="pct"/>
            <w:tcBorders>
              <w:top w:val="nil"/>
              <w:left w:val="nil"/>
              <w:bottom w:val="single" w:sz="4" w:space="0" w:color="auto"/>
              <w:right w:val="single" w:sz="4" w:space="0" w:color="auto"/>
            </w:tcBorders>
            <w:shd w:val="clear" w:color="auto" w:fill="auto"/>
            <w:noWrap/>
            <w:hideMark/>
          </w:tcPr>
          <w:p w14:paraId="645D0015"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38" w:type="pct"/>
            <w:tcBorders>
              <w:top w:val="nil"/>
              <w:left w:val="nil"/>
              <w:bottom w:val="single" w:sz="4" w:space="0" w:color="auto"/>
              <w:right w:val="single" w:sz="4" w:space="0" w:color="auto"/>
            </w:tcBorders>
            <w:shd w:val="clear" w:color="auto" w:fill="auto"/>
            <w:noWrap/>
            <w:hideMark/>
          </w:tcPr>
          <w:p w14:paraId="5ED9035D"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38" w:type="pct"/>
            <w:tcBorders>
              <w:top w:val="nil"/>
              <w:left w:val="nil"/>
              <w:bottom w:val="single" w:sz="4" w:space="0" w:color="auto"/>
              <w:right w:val="single" w:sz="4" w:space="0" w:color="auto"/>
            </w:tcBorders>
            <w:shd w:val="clear" w:color="auto" w:fill="auto"/>
            <w:noWrap/>
            <w:hideMark/>
          </w:tcPr>
          <w:p w14:paraId="4662E98A"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w:t>
            </w:r>
          </w:p>
        </w:tc>
        <w:tc>
          <w:tcPr>
            <w:tcW w:w="840" w:type="pct"/>
            <w:tcBorders>
              <w:top w:val="nil"/>
              <w:left w:val="nil"/>
              <w:bottom w:val="single" w:sz="4" w:space="0" w:color="auto"/>
              <w:right w:val="single" w:sz="4" w:space="0" w:color="auto"/>
            </w:tcBorders>
            <w:shd w:val="clear" w:color="auto" w:fill="auto"/>
            <w:noWrap/>
            <w:hideMark/>
          </w:tcPr>
          <w:p w14:paraId="5BA63C68" w14:textId="77777777" w:rsidR="00D73D20" w:rsidRPr="00AD7238" w:rsidRDefault="00D73D20" w:rsidP="005A7FF1">
            <w:pPr>
              <w:keepNext/>
              <w:jc w:val="center"/>
              <w:rPr>
                <w:rFonts w:ascii="Arial Narrow" w:hAnsi="Arial Narrow"/>
                <w:sz w:val="20"/>
                <w:szCs w:val="20"/>
              </w:rPr>
            </w:pPr>
            <w:r w:rsidRPr="00AD7238">
              <w:rPr>
                <w:rFonts w:ascii="Arial Narrow" w:hAnsi="Arial Narrow"/>
                <w:sz w:val="20"/>
                <w:szCs w:val="20"/>
              </w:rPr>
              <w:t>0.0%</w:t>
            </w:r>
          </w:p>
        </w:tc>
      </w:tr>
      <w:tr w:rsidR="00CA0198" w:rsidRPr="00AD7238" w14:paraId="2C9A8682" w14:textId="77777777" w:rsidTr="00CA0198">
        <w:trPr>
          <w:trHeight w:val="255"/>
        </w:trPr>
        <w:tc>
          <w:tcPr>
            <w:tcW w:w="1646" w:type="pct"/>
            <w:tcBorders>
              <w:top w:val="nil"/>
              <w:left w:val="single" w:sz="4" w:space="0" w:color="auto"/>
              <w:bottom w:val="single" w:sz="4" w:space="0" w:color="auto"/>
              <w:right w:val="single" w:sz="4" w:space="0" w:color="auto"/>
            </w:tcBorders>
            <w:shd w:val="clear" w:color="auto" w:fill="auto"/>
            <w:noWrap/>
          </w:tcPr>
          <w:p w14:paraId="58824EFC" w14:textId="3FF87FDC" w:rsidR="00CA0198" w:rsidRPr="00AD7238" w:rsidRDefault="00CA0198" w:rsidP="005A7FF1">
            <w:pPr>
              <w:keepNext/>
              <w:rPr>
                <w:rFonts w:ascii="Arial Narrow" w:hAnsi="Arial Narrow"/>
                <w:sz w:val="20"/>
                <w:szCs w:val="20"/>
              </w:rPr>
            </w:pPr>
            <w:r w:rsidRPr="00AD7238">
              <w:rPr>
                <w:rFonts w:ascii="Arial Narrow" w:hAnsi="Arial Narrow"/>
                <w:b/>
                <w:bCs/>
                <w:sz w:val="20"/>
                <w:szCs w:val="20"/>
              </w:rPr>
              <w:t xml:space="preserve">Incremental cost per QALY gained </w:t>
            </w:r>
          </w:p>
        </w:tc>
        <w:tc>
          <w:tcPr>
            <w:tcW w:w="838" w:type="pct"/>
            <w:tcBorders>
              <w:top w:val="nil"/>
              <w:left w:val="nil"/>
              <w:bottom w:val="single" w:sz="4" w:space="0" w:color="auto"/>
              <w:right w:val="single" w:sz="4" w:space="0" w:color="auto"/>
            </w:tcBorders>
            <w:shd w:val="clear" w:color="auto" w:fill="auto"/>
            <w:noWrap/>
          </w:tcPr>
          <w:p w14:paraId="1A1CF842" w14:textId="77777777" w:rsidR="00CA0198" w:rsidRPr="00AD7238" w:rsidRDefault="00CA0198" w:rsidP="005A7FF1">
            <w:pPr>
              <w:keepNext/>
              <w:jc w:val="center"/>
              <w:rPr>
                <w:rFonts w:ascii="Arial Narrow" w:hAnsi="Arial Narrow"/>
                <w:sz w:val="20"/>
                <w:szCs w:val="20"/>
              </w:rPr>
            </w:pPr>
          </w:p>
        </w:tc>
        <w:tc>
          <w:tcPr>
            <w:tcW w:w="838" w:type="pct"/>
            <w:tcBorders>
              <w:top w:val="nil"/>
              <w:left w:val="nil"/>
              <w:bottom w:val="single" w:sz="4" w:space="0" w:color="auto"/>
              <w:right w:val="single" w:sz="4" w:space="0" w:color="auto"/>
            </w:tcBorders>
            <w:shd w:val="clear" w:color="auto" w:fill="auto"/>
            <w:noWrap/>
          </w:tcPr>
          <w:p w14:paraId="646CC63B" w14:textId="77777777" w:rsidR="00CA0198" w:rsidRPr="00AD7238" w:rsidRDefault="00CA0198" w:rsidP="005A7FF1">
            <w:pPr>
              <w:keepNext/>
              <w:jc w:val="center"/>
              <w:rPr>
                <w:rFonts w:ascii="Arial Narrow" w:hAnsi="Arial Narrow"/>
                <w:sz w:val="20"/>
                <w:szCs w:val="20"/>
              </w:rPr>
            </w:pPr>
          </w:p>
        </w:tc>
        <w:tc>
          <w:tcPr>
            <w:tcW w:w="838" w:type="pct"/>
            <w:tcBorders>
              <w:top w:val="nil"/>
              <w:left w:val="nil"/>
              <w:bottom w:val="single" w:sz="4" w:space="0" w:color="auto"/>
              <w:right w:val="single" w:sz="4" w:space="0" w:color="auto"/>
            </w:tcBorders>
            <w:shd w:val="clear" w:color="auto" w:fill="auto"/>
            <w:noWrap/>
          </w:tcPr>
          <w:p w14:paraId="3BFD9F7F" w14:textId="378C013C" w:rsidR="00CA0198" w:rsidRPr="005A7FF1" w:rsidRDefault="00CA0198" w:rsidP="005A7FF1">
            <w:pPr>
              <w:keepNext/>
              <w:jc w:val="center"/>
              <w:rPr>
                <w:rFonts w:ascii="Arial Narrow" w:hAnsi="Arial Narrow"/>
                <w:sz w:val="20"/>
                <w:szCs w:val="20"/>
              </w:rPr>
            </w:pPr>
            <w:r w:rsidRPr="00AD7238">
              <w:rPr>
                <w:rFonts w:ascii="Arial Narrow" w:hAnsi="Arial Narrow"/>
                <w:b/>
                <w:bCs/>
                <w:sz w:val="20"/>
                <w:szCs w:val="20"/>
              </w:rPr>
              <w:t>$</w:t>
            </w:r>
            <w:r w:rsidR="00BA039D" w:rsidRPr="00BA039D">
              <w:rPr>
                <w:rFonts w:ascii="Arial Narrow" w:hAnsi="Arial Narrow"/>
                <w:b/>
                <w:bCs/>
                <w:color w:val="000000"/>
                <w:spacing w:val="63"/>
                <w:sz w:val="20"/>
                <w:szCs w:val="20"/>
                <w:shd w:val="solid" w:color="000000" w:fill="000000"/>
                <w:fitText w:val="375" w:id="-1233442552"/>
                <w14:textFill>
                  <w14:solidFill>
                    <w14:srgbClr w14:val="000000">
                      <w14:alpha w14:val="100000"/>
                    </w14:srgbClr>
                  </w14:solidFill>
                </w14:textFill>
              </w:rPr>
              <w:t>|||</w:t>
            </w:r>
            <w:r w:rsidR="00BA039D" w:rsidRPr="00BA039D">
              <w:rPr>
                <w:rFonts w:ascii="Arial Narrow" w:hAnsi="Arial Narrow"/>
                <w:b/>
                <w:bCs/>
                <w:color w:val="000000"/>
                <w:spacing w:val="3"/>
                <w:sz w:val="20"/>
                <w:szCs w:val="20"/>
                <w:shd w:val="solid" w:color="000000" w:fill="000000"/>
                <w:fitText w:val="375" w:id="-1233442552"/>
                <w14:textFill>
                  <w14:solidFill>
                    <w14:srgbClr w14:val="000000">
                      <w14:alpha w14:val="100000"/>
                    </w14:srgbClr>
                  </w14:solidFill>
                </w14:textFill>
              </w:rPr>
              <w:t>|</w:t>
            </w:r>
            <w:r w:rsidR="005A7FF1">
              <w:rPr>
                <w:rFonts w:ascii="Arial Narrow" w:hAnsi="Arial Narrow"/>
                <w:b/>
                <w:bCs/>
                <w:sz w:val="20"/>
                <w:szCs w:val="20"/>
                <w:vertAlign w:val="superscript"/>
              </w:rPr>
              <w:t>1</w:t>
            </w:r>
          </w:p>
        </w:tc>
        <w:tc>
          <w:tcPr>
            <w:tcW w:w="840" w:type="pct"/>
            <w:tcBorders>
              <w:top w:val="nil"/>
              <w:left w:val="nil"/>
              <w:bottom w:val="single" w:sz="4" w:space="0" w:color="auto"/>
              <w:right w:val="single" w:sz="4" w:space="0" w:color="auto"/>
            </w:tcBorders>
            <w:shd w:val="clear" w:color="auto" w:fill="auto"/>
            <w:noWrap/>
          </w:tcPr>
          <w:p w14:paraId="0BDCB1B8" w14:textId="77777777" w:rsidR="00CA0198" w:rsidRPr="00AD7238" w:rsidRDefault="00CA0198" w:rsidP="005A7FF1">
            <w:pPr>
              <w:keepNext/>
              <w:jc w:val="center"/>
              <w:rPr>
                <w:rFonts w:ascii="Arial Narrow" w:hAnsi="Arial Narrow"/>
                <w:sz w:val="20"/>
                <w:szCs w:val="20"/>
              </w:rPr>
            </w:pPr>
          </w:p>
        </w:tc>
      </w:tr>
    </w:tbl>
    <w:p w14:paraId="15DFFF03" w14:textId="280DE729" w:rsidR="00D73D20" w:rsidRPr="00AD7238" w:rsidRDefault="00D73D20" w:rsidP="005A7FF1">
      <w:pPr>
        <w:keepNext/>
        <w:rPr>
          <w:rFonts w:ascii="Arial Narrow" w:hAnsi="Arial Narrow"/>
          <w:sz w:val="18"/>
          <w:szCs w:val="18"/>
        </w:rPr>
      </w:pPr>
      <w:r w:rsidRPr="00AD7238">
        <w:rPr>
          <w:rFonts w:ascii="Arial Narrow" w:hAnsi="Arial Narrow"/>
          <w:sz w:val="18"/>
          <w:szCs w:val="18"/>
        </w:rPr>
        <w:t xml:space="preserve">Source: Table 3-55, p210 of the </w:t>
      </w:r>
      <w:r w:rsidR="00815FA2" w:rsidRPr="00AD7238">
        <w:rPr>
          <w:rFonts w:ascii="Arial Narrow" w:hAnsi="Arial Narrow"/>
          <w:sz w:val="18"/>
          <w:szCs w:val="18"/>
        </w:rPr>
        <w:t>re</w:t>
      </w:r>
      <w:r w:rsidRPr="00AD7238">
        <w:rPr>
          <w:rFonts w:ascii="Arial Narrow" w:hAnsi="Arial Narrow"/>
          <w:sz w:val="18"/>
          <w:szCs w:val="18"/>
        </w:rPr>
        <w:t>submission.</w:t>
      </w:r>
    </w:p>
    <w:p w14:paraId="4D46C0CC" w14:textId="446D0687" w:rsidR="00D73D20" w:rsidRPr="00AD7238" w:rsidRDefault="00D73D20" w:rsidP="005A7FF1">
      <w:pPr>
        <w:keepNext/>
        <w:rPr>
          <w:rFonts w:ascii="Arial Narrow" w:hAnsi="Arial Narrow"/>
          <w:sz w:val="18"/>
          <w:szCs w:val="18"/>
        </w:rPr>
      </w:pPr>
      <w:r w:rsidRPr="00AD7238">
        <w:rPr>
          <w:rFonts w:ascii="Arial Narrow" w:hAnsi="Arial Narrow"/>
          <w:sz w:val="18"/>
          <w:szCs w:val="18"/>
        </w:rPr>
        <w:t>AE</w:t>
      </w:r>
      <w:r w:rsidR="009E6AE9" w:rsidRPr="00AD7238">
        <w:rPr>
          <w:rFonts w:ascii="Arial Narrow" w:hAnsi="Arial Narrow"/>
          <w:sz w:val="18"/>
          <w:szCs w:val="18"/>
        </w:rPr>
        <w:t xml:space="preserve"> = </w:t>
      </w:r>
      <w:r w:rsidRPr="00AD7238">
        <w:rPr>
          <w:rFonts w:ascii="Arial Narrow" w:hAnsi="Arial Narrow"/>
          <w:sz w:val="18"/>
          <w:szCs w:val="18"/>
        </w:rPr>
        <w:t>adverse event; HZ</w:t>
      </w:r>
      <w:r w:rsidR="009E6AE9" w:rsidRPr="00AD7238">
        <w:rPr>
          <w:rFonts w:ascii="Arial Narrow" w:hAnsi="Arial Narrow"/>
          <w:sz w:val="18"/>
          <w:szCs w:val="18"/>
        </w:rPr>
        <w:t xml:space="preserve"> = </w:t>
      </w:r>
      <w:r w:rsidRPr="00AD7238">
        <w:rPr>
          <w:rFonts w:ascii="Arial Narrow" w:hAnsi="Arial Narrow"/>
          <w:sz w:val="18"/>
          <w:szCs w:val="18"/>
        </w:rPr>
        <w:t>herpes zoster; ICER</w:t>
      </w:r>
      <w:r w:rsidR="009E6AE9" w:rsidRPr="00AD7238">
        <w:rPr>
          <w:rFonts w:ascii="Arial Narrow" w:hAnsi="Arial Narrow"/>
          <w:sz w:val="18"/>
          <w:szCs w:val="18"/>
        </w:rPr>
        <w:t xml:space="preserve"> = </w:t>
      </w:r>
      <w:r w:rsidRPr="00AD7238">
        <w:rPr>
          <w:rFonts w:ascii="Arial Narrow" w:hAnsi="Arial Narrow"/>
          <w:sz w:val="18"/>
          <w:szCs w:val="18"/>
        </w:rPr>
        <w:t>incremental cost-effectiveness ratio / cost per QALY; LY</w:t>
      </w:r>
      <w:r w:rsidR="009E6AE9" w:rsidRPr="00AD7238">
        <w:rPr>
          <w:rFonts w:ascii="Arial Narrow" w:hAnsi="Arial Narrow"/>
          <w:sz w:val="18"/>
          <w:szCs w:val="18"/>
        </w:rPr>
        <w:t xml:space="preserve"> = </w:t>
      </w:r>
      <w:r w:rsidRPr="00AD7238">
        <w:rPr>
          <w:rFonts w:ascii="Arial Narrow" w:hAnsi="Arial Narrow"/>
          <w:sz w:val="18"/>
          <w:szCs w:val="18"/>
        </w:rPr>
        <w:t>life year; NNV</w:t>
      </w:r>
      <w:r w:rsidR="009E6AE9" w:rsidRPr="00AD7238">
        <w:rPr>
          <w:rFonts w:ascii="Arial Narrow" w:hAnsi="Arial Narrow"/>
          <w:sz w:val="18"/>
          <w:szCs w:val="18"/>
        </w:rPr>
        <w:t xml:space="preserve"> = </w:t>
      </w:r>
      <w:r w:rsidRPr="00AD7238">
        <w:rPr>
          <w:rFonts w:ascii="Arial Narrow" w:hAnsi="Arial Narrow"/>
          <w:sz w:val="18"/>
          <w:szCs w:val="18"/>
        </w:rPr>
        <w:t>number needed to vaccinate; PHN</w:t>
      </w:r>
      <w:r w:rsidR="009E6AE9" w:rsidRPr="00AD7238">
        <w:rPr>
          <w:rFonts w:ascii="Arial Narrow" w:hAnsi="Arial Narrow"/>
          <w:sz w:val="18"/>
          <w:szCs w:val="18"/>
        </w:rPr>
        <w:t xml:space="preserve"> = </w:t>
      </w:r>
      <w:r w:rsidRPr="00AD7238">
        <w:rPr>
          <w:rFonts w:ascii="Arial Narrow" w:hAnsi="Arial Narrow"/>
          <w:sz w:val="18"/>
          <w:szCs w:val="18"/>
        </w:rPr>
        <w:t>post-herpetic neuralgia; QALY</w:t>
      </w:r>
      <w:r w:rsidR="009E6AE9" w:rsidRPr="00AD7238">
        <w:rPr>
          <w:rFonts w:ascii="Arial Narrow" w:hAnsi="Arial Narrow"/>
          <w:sz w:val="18"/>
          <w:szCs w:val="18"/>
        </w:rPr>
        <w:t xml:space="preserve"> = </w:t>
      </w:r>
      <w:r w:rsidRPr="00AD7238">
        <w:rPr>
          <w:rFonts w:ascii="Arial Narrow" w:hAnsi="Arial Narrow"/>
          <w:sz w:val="18"/>
          <w:szCs w:val="18"/>
        </w:rPr>
        <w:t>quality-adjusted life year; RZV</w:t>
      </w:r>
      <w:r w:rsidR="009E6AE9" w:rsidRPr="00AD7238">
        <w:rPr>
          <w:rFonts w:ascii="Arial Narrow" w:hAnsi="Arial Narrow"/>
          <w:sz w:val="18"/>
          <w:szCs w:val="18"/>
        </w:rPr>
        <w:t xml:space="preserve"> = </w:t>
      </w:r>
      <w:r w:rsidRPr="00AD7238">
        <w:rPr>
          <w:rFonts w:ascii="Arial Narrow" w:hAnsi="Arial Narrow"/>
          <w:sz w:val="18"/>
          <w:szCs w:val="18"/>
        </w:rPr>
        <w:t>recombinant zoster vaccine (</w:t>
      </w:r>
      <w:r w:rsidRPr="00615B0D">
        <w:rPr>
          <w:rFonts w:ascii="Arial Narrow" w:hAnsi="Arial Narrow"/>
          <w:iCs/>
          <w:sz w:val="18"/>
          <w:szCs w:val="18"/>
        </w:rPr>
        <w:t>Shingrix</w:t>
      </w:r>
      <w:r w:rsidRPr="00AD7238">
        <w:rPr>
          <w:rFonts w:ascii="Arial Narrow" w:hAnsi="Arial Narrow"/>
          <w:sz w:val="18"/>
          <w:szCs w:val="18"/>
        </w:rPr>
        <w:t>).</w:t>
      </w:r>
    </w:p>
    <w:p w14:paraId="1EBC7831" w14:textId="07751D5F" w:rsidR="00D73D20" w:rsidRDefault="00D54333" w:rsidP="005A7FF1">
      <w:pPr>
        <w:keepNext/>
        <w:rPr>
          <w:rFonts w:ascii="Arial Narrow" w:hAnsi="Arial Narrow"/>
          <w:iCs/>
          <w:sz w:val="18"/>
          <w:szCs w:val="18"/>
        </w:rPr>
      </w:pPr>
      <w:r w:rsidRPr="00A65E17">
        <w:rPr>
          <w:rFonts w:ascii="Arial Narrow" w:hAnsi="Arial Narrow"/>
          <w:iCs/>
          <w:sz w:val="18"/>
          <w:szCs w:val="18"/>
          <w:vertAlign w:val="superscript"/>
        </w:rPr>
        <w:t>a</w:t>
      </w:r>
      <w:r w:rsidRPr="00A65E17">
        <w:rPr>
          <w:rFonts w:ascii="Arial Narrow" w:hAnsi="Arial Narrow"/>
          <w:iCs/>
          <w:sz w:val="18"/>
          <w:szCs w:val="18"/>
        </w:rPr>
        <w:t xml:space="preserve"> Disutility</w:t>
      </w:r>
      <w:r w:rsidR="00313FAD" w:rsidRPr="00A65E17">
        <w:rPr>
          <w:rFonts w:ascii="Arial Narrow" w:hAnsi="Arial Narrow"/>
          <w:iCs/>
          <w:sz w:val="18"/>
          <w:szCs w:val="18"/>
        </w:rPr>
        <w:t xml:space="preserve"> applied to vaccine-related AE but overall impact small</w:t>
      </w:r>
    </w:p>
    <w:p w14:paraId="682B6F92" w14:textId="77777777" w:rsidR="005A7FF1" w:rsidRPr="009A6D58" w:rsidRDefault="005A7FF1" w:rsidP="005A7FF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2F47B50" w14:textId="3BB13983" w:rsidR="005A7FF1" w:rsidRPr="005A7FF1" w:rsidRDefault="005A7FF1" w:rsidP="005A7FF1">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A7FF1">
        <w:rPr>
          <w:rFonts w:ascii="Arial Narrow" w:hAnsi="Arial Narrow"/>
          <w:i/>
          <w:sz w:val="18"/>
          <w:szCs w:val="18"/>
        </w:rPr>
        <w:t>$55,000 to &lt; $75,000</w:t>
      </w:r>
    </w:p>
    <w:p w14:paraId="444B8097" w14:textId="77777777" w:rsidR="0025134D" w:rsidRPr="00AD7238" w:rsidRDefault="0025134D" w:rsidP="0025134D">
      <w:pPr>
        <w:pStyle w:val="3-BodyText"/>
      </w:pPr>
      <w:r w:rsidRPr="00AD7238">
        <w:t>The results of the economic evaluation are sensitive to the following assumptions:</w:t>
      </w:r>
    </w:p>
    <w:p w14:paraId="1F90F800" w14:textId="4FCCE7DF" w:rsidR="0025134D" w:rsidRPr="006E790F" w:rsidRDefault="0025134D" w:rsidP="00D5557B">
      <w:pPr>
        <w:pStyle w:val="3-BodyText"/>
        <w:numPr>
          <w:ilvl w:val="0"/>
          <w:numId w:val="27"/>
        </w:numPr>
        <w:rPr>
          <w:iCs/>
        </w:rPr>
      </w:pPr>
      <w:r w:rsidRPr="006E790F">
        <w:rPr>
          <w:iCs/>
        </w:rPr>
        <w:t>The use of HZ incidence from MacIntyre (2015) which is likely to be overestimated, thus favouring RZV</w:t>
      </w:r>
      <w:r w:rsidR="00F540EC" w:rsidRPr="006E790F">
        <w:rPr>
          <w:iCs/>
        </w:rPr>
        <w:t>.</w:t>
      </w:r>
    </w:p>
    <w:p w14:paraId="1786D4FF" w14:textId="0D9AE14A" w:rsidR="0025134D" w:rsidRPr="00313FAD" w:rsidRDefault="007A01F0" w:rsidP="00D5557B">
      <w:pPr>
        <w:pStyle w:val="3-BodyText"/>
        <w:numPr>
          <w:ilvl w:val="0"/>
          <w:numId w:val="27"/>
        </w:numPr>
        <w:rPr>
          <w:iCs/>
        </w:rPr>
      </w:pPr>
      <w:r w:rsidRPr="006E790F">
        <w:rPr>
          <w:iCs/>
        </w:rPr>
        <w:t>T</w:t>
      </w:r>
      <w:r w:rsidR="0025134D" w:rsidRPr="006E790F">
        <w:rPr>
          <w:iCs/>
        </w:rPr>
        <w:t xml:space="preserve">he </w:t>
      </w:r>
      <w:r w:rsidR="00313FAD" w:rsidRPr="006E790F">
        <w:rPr>
          <w:iCs/>
        </w:rPr>
        <w:t xml:space="preserve">vaccine efficacy and the </w:t>
      </w:r>
      <w:r w:rsidR="0025134D" w:rsidRPr="006E790F">
        <w:rPr>
          <w:iCs/>
        </w:rPr>
        <w:t>long-term</w:t>
      </w:r>
      <w:r w:rsidR="0025134D" w:rsidRPr="00313FAD">
        <w:rPr>
          <w:iCs/>
        </w:rPr>
        <w:t xml:space="preserve"> waning of</w:t>
      </w:r>
      <w:r w:rsidR="00313FAD">
        <w:rPr>
          <w:iCs/>
        </w:rPr>
        <w:t xml:space="preserve"> efficacy</w:t>
      </w:r>
      <w:r w:rsidR="00005E5F" w:rsidRPr="00313FAD">
        <w:rPr>
          <w:iCs/>
        </w:rPr>
        <w:t>.</w:t>
      </w:r>
      <w:r w:rsidR="0025134D" w:rsidRPr="00313FAD">
        <w:rPr>
          <w:iCs/>
        </w:rPr>
        <w:t xml:space="preserve"> </w:t>
      </w:r>
    </w:p>
    <w:p w14:paraId="1F13804B" w14:textId="1A275B57" w:rsidR="00F540EC" w:rsidRPr="00A65E17" w:rsidRDefault="00313FAD" w:rsidP="00D5557B">
      <w:pPr>
        <w:pStyle w:val="3-BodyText"/>
        <w:numPr>
          <w:ilvl w:val="0"/>
          <w:numId w:val="27"/>
        </w:numPr>
      </w:pPr>
      <w:r w:rsidRPr="00A65E17">
        <w:t>The QALY loss assumed per case of HZ with and without PHN.</w:t>
      </w:r>
    </w:p>
    <w:p w14:paraId="38617238" w14:textId="75762FEB" w:rsidR="00F540EC" w:rsidRPr="00313FAD" w:rsidRDefault="00313FAD" w:rsidP="00D5557B">
      <w:pPr>
        <w:pStyle w:val="3-BodyText"/>
        <w:numPr>
          <w:ilvl w:val="0"/>
          <w:numId w:val="27"/>
        </w:numPr>
        <w:rPr>
          <w:iCs/>
        </w:rPr>
      </w:pPr>
      <w:r w:rsidRPr="00A65E17">
        <w:t>The discount rate.</w:t>
      </w:r>
      <w:r>
        <w:rPr>
          <w:iCs/>
        </w:rPr>
        <w:t xml:space="preserve"> </w:t>
      </w:r>
    </w:p>
    <w:p w14:paraId="73A06ACB" w14:textId="3C40320B" w:rsidR="00592E7A" w:rsidRPr="005A7FF1" w:rsidRDefault="00A521AE" w:rsidP="005A7FF1">
      <w:pPr>
        <w:pStyle w:val="3-BodyText"/>
        <w:rPr>
          <w:b/>
          <w:bCs/>
          <w:iCs/>
        </w:rPr>
      </w:pPr>
      <w:r w:rsidRPr="00A65E17">
        <w:rPr>
          <w:iCs/>
        </w:rPr>
        <w:t xml:space="preserve">The </w:t>
      </w:r>
      <w:r w:rsidR="00982595">
        <w:rPr>
          <w:iCs/>
        </w:rPr>
        <w:t xml:space="preserve">base case </w:t>
      </w:r>
      <w:r w:rsidRPr="00A65E17">
        <w:rPr>
          <w:iCs/>
        </w:rPr>
        <w:t>ICER for the Aboriginal and Torres Strait Islander population (</w:t>
      </w:r>
      <w:r w:rsidR="005A7FF1" w:rsidRPr="005A7FF1">
        <w:rPr>
          <w:iCs/>
        </w:rPr>
        <w:t>$55,000 to &lt; $75,000</w:t>
      </w:r>
      <w:r w:rsidRPr="005A7FF1">
        <w:rPr>
          <w:iCs/>
        </w:rPr>
        <w:t>/QALY) is higher than the ICER in the non-Indigenous population (</w:t>
      </w:r>
      <w:r w:rsidR="005A7FF1" w:rsidRPr="005A7FF1">
        <w:rPr>
          <w:iCs/>
        </w:rPr>
        <w:t>$15,000 to &lt; $25,000</w:t>
      </w:r>
      <w:r w:rsidRPr="005A7FF1">
        <w:rPr>
          <w:iCs/>
        </w:rPr>
        <w:t xml:space="preserve">/QALY). The resubmission stated this may be because of the </w:t>
      </w:r>
      <w:r w:rsidRPr="005A7FF1">
        <w:rPr>
          <w:iCs/>
        </w:rPr>
        <w:lastRenderedPageBreak/>
        <w:t>lower life expectancy for the Aboriginal and Torres Strait Islander p</w:t>
      </w:r>
      <w:r w:rsidR="00982595" w:rsidRPr="005A7FF1">
        <w:rPr>
          <w:iCs/>
        </w:rPr>
        <w:t>opulation</w:t>
      </w:r>
      <w:r w:rsidRPr="005A7FF1">
        <w:rPr>
          <w:iCs/>
        </w:rPr>
        <w:t xml:space="preserve"> compared to the non-Indigenous population, so they </w:t>
      </w:r>
      <w:r w:rsidR="006C48A0" w:rsidRPr="005A7FF1">
        <w:rPr>
          <w:iCs/>
        </w:rPr>
        <w:t xml:space="preserve">currently </w:t>
      </w:r>
      <w:r w:rsidRPr="005A7FF1">
        <w:rPr>
          <w:iCs/>
        </w:rPr>
        <w:t>do not live long enough to accrue the complete benefits of vaccination</w:t>
      </w:r>
      <w:r w:rsidRPr="00A521AE">
        <w:t xml:space="preserve">. </w:t>
      </w:r>
      <w:r w:rsidRPr="005A7FF1">
        <w:rPr>
          <w:iCs/>
        </w:rPr>
        <w:t xml:space="preserve">The ESC noted the ICER in the Aboriginal and Torres Strait Islander population if </w:t>
      </w:r>
      <w:r w:rsidR="00982595" w:rsidRPr="005A7FF1">
        <w:rPr>
          <w:iCs/>
        </w:rPr>
        <w:t xml:space="preserve">different </w:t>
      </w:r>
      <w:r w:rsidRPr="005A7FF1">
        <w:rPr>
          <w:iCs/>
        </w:rPr>
        <w:t xml:space="preserve">mortality rates </w:t>
      </w:r>
      <w:r w:rsidR="006D486C" w:rsidRPr="005A7FF1">
        <w:rPr>
          <w:iCs/>
        </w:rPr>
        <w:t xml:space="preserve">were </w:t>
      </w:r>
      <w:r w:rsidRPr="005A7FF1">
        <w:rPr>
          <w:iCs/>
        </w:rPr>
        <w:t xml:space="preserve">applied </w:t>
      </w:r>
      <w:r w:rsidR="00982595" w:rsidRPr="005A7FF1">
        <w:rPr>
          <w:iCs/>
        </w:rPr>
        <w:t>significantly reduced the ICE</w:t>
      </w:r>
      <w:r w:rsidR="003D60A1" w:rsidRPr="005A7FF1">
        <w:rPr>
          <w:iCs/>
        </w:rPr>
        <w:t>R</w:t>
      </w:r>
      <w:r w:rsidRPr="005A7FF1">
        <w:rPr>
          <w:iCs/>
        </w:rPr>
        <w:t xml:space="preserve"> which supports the</w:t>
      </w:r>
      <w:r w:rsidR="008D3FED" w:rsidRPr="005A7FF1">
        <w:rPr>
          <w:iCs/>
        </w:rPr>
        <w:t xml:space="preserve"> interpretation that</w:t>
      </w:r>
      <w:r w:rsidRPr="005A7FF1">
        <w:rPr>
          <w:iCs/>
        </w:rPr>
        <w:t xml:space="preserve"> different mortality rates </w:t>
      </w:r>
      <w:r w:rsidR="008D3FED" w:rsidRPr="005A7FF1">
        <w:rPr>
          <w:iCs/>
        </w:rPr>
        <w:t xml:space="preserve">are </w:t>
      </w:r>
      <w:r w:rsidRPr="005A7FF1">
        <w:rPr>
          <w:iCs/>
        </w:rPr>
        <w:t>having a significant impact on the cost-effectiveness of RZV.</w:t>
      </w:r>
      <w:r>
        <w:t xml:space="preserve">  </w:t>
      </w:r>
    </w:p>
    <w:p w14:paraId="2CA04527" w14:textId="57D12125" w:rsidR="00C04DDF" w:rsidRPr="00AD7238" w:rsidRDefault="006D486C" w:rsidP="0025134D">
      <w:pPr>
        <w:pStyle w:val="3-BodyText"/>
      </w:pPr>
      <w:r>
        <w:t>T</w:t>
      </w:r>
      <w:r w:rsidR="00C04DDF" w:rsidRPr="00A521AE">
        <w:t xml:space="preserve">he economic </w:t>
      </w:r>
      <w:r w:rsidR="0003459D">
        <w:t>model</w:t>
      </w:r>
      <w:r w:rsidR="0003459D" w:rsidRPr="00A521AE">
        <w:t xml:space="preserve"> </w:t>
      </w:r>
      <w:r w:rsidR="00C04DDF" w:rsidRPr="00A521AE">
        <w:t xml:space="preserve">results </w:t>
      </w:r>
      <w:r w:rsidR="005D1EFA" w:rsidRPr="00A521AE">
        <w:t>by different age cohorts</w:t>
      </w:r>
      <w:r w:rsidR="005D1EFA" w:rsidRPr="00AD7238">
        <w:t xml:space="preserve"> is summarised in </w:t>
      </w:r>
      <w:r w:rsidR="0025134D" w:rsidRPr="00AD7238">
        <w:fldChar w:fldCharType="begin" w:fldLock="1"/>
      </w:r>
      <w:r w:rsidR="0025134D" w:rsidRPr="00AD7238">
        <w:instrText xml:space="preserve"> REF _Ref124766290 \h  \* MERGEFORMAT </w:instrText>
      </w:r>
      <w:r w:rsidR="0025134D" w:rsidRPr="00AD7238">
        <w:fldChar w:fldCharType="separate"/>
      </w:r>
      <w:r w:rsidR="00602E99" w:rsidRPr="00602E99">
        <w:rPr>
          <w:rStyle w:val="CommentReference"/>
          <w:rFonts w:asciiTheme="minorHAnsi" w:hAnsiTheme="minorHAnsi"/>
          <w:b w:val="0"/>
          <w:sz w:val="24"/>
          <w:szCs w:val="24"/>
        </w:rPr>
        <w:t>Table 14</w:t>
      </w:r>
      <w:r w:rsidR="0025134D" w:rsidRPr="00AD7238">
        <w:fldChar w:fldCharType="end"/>
      </w:r>
      <w:r w:rsidR="005D1EFA" w:rsidRPr="00AD7238">
        <w:t xml:space="preserve">. </w:t>
      </w:r>
    </w:p>
    <w:p w14:paraId="4A8B8973" w14:textId="37D715AA" w:rsidR="005D1EFA" w:rsidRPr="00AD7238" w:rsidRDefault="005D1EFA" w:rsidP="0025134D">
      <w:pPr>
        <w:pStyle w:val="Caption"/>
        <w:rPr>
          <w:rStyle w:val="CommentReference"/>
          <w:b/>
          <w:bCs w:val="0"/>
        </w:rPr>
      </w:pPr>
      <w:bookmarkStart w:id="55" w:name="_Ref124766290"/>
      <w:r w:rsidRPr="00AD7238">
        <w:rPr>
          <w:rStyle w:val="CommentReference"/>
          <w:b/>
          <w:bCs w:val="0"/>
        </w:rPr>
        <w:t xml:space="preserve">Table </w:t>
      </w:r>
      <w:r w:rsidR="0025134D" w:rsidRPr="00AD7238">
        <w:rPr>
          <w:rStyle w:val="CommentReference"/>
          <w:b/>
          <w:bCs w:val="0"/>
        </w:rPr>
        <w:fldChar w:fldCharType="begin" w:fldLock="1"/>
      </w:r>
      <w:r w:rsidR="0025134D" w:rsidRPr="00AD7238">
        <w:rPr>
          <w:rStyle w:val="CommentReference"/>
          <w:b/>
          <w:bCs w:val="0"/>
        </w:rPr>
        <w:instrText xml:space="preserve"> SEQ Table \* ARABIC </w:instrText>
      </w:r>
      <w:r w:rsidR="0025134D" w:rsidRPr="00AD7238">
        <w:rPr>
          <w:rStyle w:val="CommentReference"/>
          <w:b/>
          <w:bCs w:val="0"/>
        </w:rPr>
        <w:fldChar w:fldCharType="separate"/>
      </w:r>
      <w:r w:rsidR="00602E99">
        <w:rPr>
          <w:rStyle w:val="CommentReference"/>
          <w:b/>
          <w:bCs w:val="0"/>
          <w:noProof/>
        </w:rPr>
        <w:t>14</w:t>
      </w:r>
      <w:r w:rsidR="0025134D" w:rsidRPr="00AD7238">
        <w:rPr>
          <w:rStyle w:val="CommentReference"/>
          <w:b/>
          <w:bCs w:val="0"/>
        </w:rPr>
        <w:fldChar w:fldCharType="end"/>
      </w:r>
      <w:bookmarkEnd w:id="55"/>
      <w:r w:rsidRPr="00AD7238">
        <w:rPr>
          <w:rStyle w:val="CommentReference"/>
          <w:b/>
          <w:bCs w:val="0"/>
        </w:rPr>
        <w:t>: Results of the economic evaluation for RZV vs no vaccine by age cohorts</w:t>
      </w:r>
      <w:r w:rsidR="003C6D41" w:rsidRPr="00AD7238">
        <w:rPr>
          <w:rStyle w:val="CommentReference"/>
          <w:b/>
          <w:bCs w:val="0"/>
        </w:rPr>
        <w:t xml:space="preserve"> (NIP listing for shaded age groups not requested)</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166"/>
        <w:gridCol w:w="1165"/>
        <w:gridCol w:w="1165"/>
        <w:gridCol w:w="1165"/>
        <w:gridCol w:w="1165"/>
        <w:gridCol w:w="1164"/>
      </w:tblGrid>
      <w:tr w:rsidR="003C6D41" w:rsidRPr="00AD7238" w14:paraId="6B448104" w14:textId="5965AAA1" w:rsidTr="005A7FF1">
        <w:trPr>
          <w:trHeight w:val="805"/>
        </w:trPr>
        <w:tc>
          <w:tcPr>
            <w:tcW w:w="1041" w:type="pct"/>
            <w:shd w:val="clear" w:color="auto" w:fill="auto"/>
            <w:noWrap/>
            <w:hideMark/>
          </w:tcPr>
          <w:p w14:paraId="12DF73B8" w14:textId="77777777" w:rsidR="003C6D41" w:rsidRPr="00AD7238" w:rsidRDefault="003C6D41">
            <w:pPr>
              <w:rPr>
                <w:rFonts w:ascii="Arial Narrow" w:hAnsi="Arial Narrow"/>
                <w:b/>
                <w:bCs/>
                <w:sz w:val="20"/>
                <w:szCs w:val="20"/>
              </w:rPr>
            </w:pPr>
            <w:r w:rsidRPr="00AD7238">
              <w:rPr>
                <w:rFonts w:ascii="Arial Narrow" w:hAnsi="Arial Narrow"/>
                <w:b/>
                <w:bCs/>
                <w:sz w:val="20"/>
                <w:szCs w:val="20"/>
              </w:rPr>
              <w:t>Result</w:t>
            </w:r>
          </w:p>
        </w:tc>
        <w:tc>
          <w:tcPr>
            <w:tcW w:w="660" w:type="pct"/>
            <w:shd w:val="clear" w:color="auto" w:fill="auto"/>
            <w:noWrap/>
          </w:tcPr>
          <w:p w14:paraId="6E349B12" w14:textId="200D4729"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50-59 YOA</w:t>
            </w:r>
          </w:p>
        </w:tc>
        <w:tc>
          <w:tcPr>
            <w:tcW w:w="660" w:type="pct"/>
            <w:shd w:val="clear" w:color="auto" w:fill="auto"/>
          </w:tcPr>
          <w:p w14:paraId="732DE8B6" w14:textId="71714767"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60-64 YOA</w:t>
            </w:r>
          </w:p>
        </w:tc>
        <w:tc>
          <w:tcPr>
            <w:tcW w:w="660" w:type="pct"/>
            <w:shd w:val="clear" w:color="auto" w:fill="auto"/>
          </w:tcPr>
          <w:p w14:paraId="434592F7" w14:textId="1A4FB2B9"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65-69 YOA</w:t>
            </w:r>
          </w:p>
        </w:tc>
        <w:tc>
          <w:tcPr>
            <w:tcW w:w="660" w:type="pct"/>
            <w:shd w:val="clear" w:color="auto" w:fill="auto"/>
          </w:tcPr>
          <w:p w14:paraId="5F23E984" w14:textId="6237D580"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70-79 YOA</w:t>
            </w:r>
          </w:p>
        </w:tc>
        <w:tc>
          <w:tcPr>
            <w:tcW w:w="660" w:type="pct"/>
            <w:shd w:val="clear" w:color="auto" w:fill="auto"/>
          </w:tcPr>
          <w:p w14:paraId="7FC25A58" w14:textId="7B8CB94C"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≥80 YOA</w:t>
            </w:r>
          </w:p>
        </w:tc>
        <w:tc>
          <w:tcPr>
            <w:tcW w:w="659" w:type="pct"/>
            <w:shd w:val="clear" w:color="auto" w:fill="auto"/>
          </w:tcPr>
          <w:p w14:paraId="2C4FB8A8" w14:textId="5F0AD66D" w:rsidR="003C6D41" w:rsidRPr="00AD7238" w:rsidRDefault="003C6D41" w:rsidP="0025134D">
            <w:pPr>
              <w:jc w:val="center"/>
              <w:rPr>
                <w:rFonts w:ascii="Arial Narrow" w:hAnsi="Arial Narrow"/>
                <w:b/>
                <w:bCs/>
                <w:sz w:val="20"/>
                <w:szCs w:val="20"/>
              </w:rPr>
            </w:pPr>
            <w:r w:rsidRPr="00AD7238">
              <w:rPr>
                <w:rFonts w:ascii="Arial Narrow" w:hAnsi="Arial Narrow"/>
                <w:b/>
                <w:bCs/>
                <w:sz w:val="20"/>
                <w:szCs w:val="20"/>
              </w:rPr>
              <w:t>Overall</w:t>
            </w:r>
            <w:r w:rsidRPr="00AD7238">
              <w:rPr>
                <w:b/>
                <w:szCs w:val="20"/>
              </w:rPr>
              <w:t xml:space="preserve"> r</w:t>
            </w:r>
            <w:r w:rsidRPr="00AD7238">
              <w:rPr>
                <w:rFonts w:ascii="Arial Narrow" w:hAnsi="Arial Narrow"/>
                <w:b/>
                <w:bCs/>
                <w:sz w:val="20"/>
                <w:szCs w:val="20"/>
              </w:rPr>
              <w:t>equested NIP population</w:t>
            </w:r>
            <w:r w:rsidRPr="00AD7238">
              <w:rPr>
                <w:b/>
                <w:szCs w:val="20"/>
              </w:rPr>
              <w:t xml:space="preserve"> </w:t>
            </w:r>
            <w:r w:rsidRPr="00AD7238">
              <w:rPr>
                <w:rFonts w:ascii="Arial Narrow" w:hAnsi="Arial Narrow"/>
                <w:b/>
                <w:bCs/>
                <w:sz w:val="20"/>
                <w:szCs w:val="20"/>
              </w:rPr>
              <w:t xml:space="preserve"> </w:t>
            </w:r>
          </w:p>
        </w:tc>
      </w:tr>
      <w:tr w:rsidR="003C6D41" w:rsidRPr="00AD7238" w14:paraId="1C1C731C" w14:textId="067E2F4F" w:rsidTr="003C6D41">
        <w:trPr>
          <w:trHeight w:val="255"/>
        </w:trPr>
        <w:tc>
          <w:tcPr>
            <w:tcW w:w="5000" w:type="pct"/>
            <w:gridSpan w:val="7"/>
            <w:shd w:val="clear" w:color="auto" w:fill="auto"/>
            <w:noWrap/>
          </w:tcPr>
          <w:p w14:paraId="31E9A232" w14:textId="55CF187B" w:rsidR="003C6D41" w:rsidRPr="00AD7238" w:rsidRDefault="003C6D41" w:rsidP="0025134D">
            <w:pPr>
              <w:jc w:val="left"/>
              <w:rPr>
                <w:rFonts w:ascii="Arial Narrow" w:hAnsi="Arial Narrow"/>
                <w:b/>
                <w:bCs/>
                <w:sz w:val="20"/>
                <w:szCs w:val="20"/>
              </w:rPr>
            </w:pPr>
            <w:r w:rsidRPr="00AD7238">
              <w:rPr>
                <w:rFonts w:ascii="Arial Narrow" w:hAnsi="Arial Narrow"/>
                <w:b/>
                <w:bCs/>
                <w:sz w:val="20"/>
                <w:szCs w:val="20"/>
              </w:rPr>
              <w:t xml:space="preserve">Non-Indigenous </w:t>
            </w:r>
            <w:r w:rsidR="001637E5" w:rsidRPr="00AD7238">
              <w:rPr>
                <w:rFonts w:ascii="Arial Narrow" w:hAnsi="Arial Narrow"/>
                <w:b/>
                <w:bCs/>
                <w:sz w:val="20"/>
                <w:szCs w:val="20"/>
              </w:rPr>
              <w:t xml:space="preserve">population </w:t>
            </w:r>
          </w:p>
        </w:tc>
      </w:tr>
      <w:tr w:rsidR="003C6D41" w:rsidRPr="00AD7238" w14:paraId="4E7672C3" w14:textId="6B00305A" w:rsidTr="005A7FF1">
        <w:trPr>
          <w:trHeight w:val="255"/>
        </w:trPr>
        <w:tc>
          <w:tcPr>
            <w:tcW w:w="1041" w:type="pct"/>
            <w:shd w:val="clear" w:color="auto" w:fill="auto"/>
            <w:noWrap/>
          </w:tcPr>
          <w:p w14:paraId="0A78A9BB" w14:textId="77777777" w:rsidR="00DE1FFD" w:rsidRPr="00AD7238" w:rsidRDefault="00DE1FFD">
            <w:pPr>
              <w:rPr>
                <w:rFonts w:ascii="Arial Narrow" w:hAnsi="Arial Narrow"/>
                <w:sz w:val="20"/>
                <w:szCs w:val="20"/>
              </w:rPr>
            </w:pPr>
            <w:r w:rsidRPr="00AD7238">
              <w:rPr>
                <w:rFonts w:ascii="Arial Narrow" w:hAnsi="Arial Narrow"/>
                <w:sz w:val="20"/>
                <w:szCs w:val="20"/>
              </w:rPr>
              <w:t>NNV to avoid one case of HZ</w:t>
            </w:r>
          </w:p>
        </w:tc>
        <w:tc>
          <w:tcPr>
            <w:tcW w:w="660" w:type="pct"/>
            <w:shd w:val="clear" w:color="auto" w:fill="E6E6E6"/>
            <w:noWrap/>
          </w:tcPr>
          <w:p w14:paraId="52141305"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w:t>
            </w:r>
          </w:p>
        </w:tc>
        <w:tc>
          <w:tcPr>
            <w:tcW w:w="660" w:type="pct"/>
            <w:shd w:val="clear" w:color="auto" w:fill="E6E6E6"/>
            <w:noWrap/>
          </w:tcPr>
          <w:p w14:paraId="672A8779"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w:t>
            </w:r>
          </w:p>
        </w:tc>
        <w:tc>
          <w:tcPr>
            <w:tcW w:w="660" w:type="pct"/>
            <w:shd w:val="clear" w:color="auto" w:fill="auto"/>
            <w:noWrap/>
          </w:tcPr>
          <w:p w14:paraId="659C12EF"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w:t>
            </w:r>
          </w:p>
        </w:tc>
        <w:tc>
          <w:tcPr>
            <w:tcW w:w="660" w:type="pct"/>
            <w:shd w:val="clear" w:color="auto" w:fill="auto"/>
            <w:noWrap/>
          </w:tcPr>
          <w:p w14:paraId="2F8F3CD5"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6</w:t>
            </w:r>
          </w:p>
        </w:tc>
        <w:tc>
          <w:tcPr>
            <w:tcW w:w="660" w:type="pct"/>
            <w:shd w:val="clear" w:color="auto" w:fill="auto"/>
            <w:noWrap/>
          </w:tcPr>
          <w:p w14:paraId="251D8156"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8</w:t>
            </w:r>
          </w:p>
        </w:tc>
        <w:tc>
          <w:tcPr>
            <w:tcW w:w="659" w:type="pct"/>
          </w:tcPr>
          <w:p w14:paraId="014BE4E2" w14:textId="6FDF4718" w:rsidR="00DE1FFD" w:rsidRPr="00AD7238" w:rsidRDefault="003F2882" w:rsidP="0025134D">
            <w:pPr>
              <w:jc w:val="center"/>
              <w:rPr>
                <w:rFonts w:ascii="Arial Narrow" w:hAnsi="Arial Narrow"/>
                <w:sz w:val="20"/>
                <w:szCs w:val="20"/>
              </w:rPr>
            </w:pPr>
            <w:r w:rsidRPr="00AD7238">
              <w:rPr>
                <w:rFonts w:ascii="Arial Narrow" w:hAnsi="Arial Narrow"/>
                <w:sz w:val="20"/>
                <w:szCs w:val="20"/>
              </w:rPr>
              <w:t>6</w:t>
            </w:r>
          </w:p>
        </w:tc>
      </w:tr>
      <w:tr w:rsidR="003C6D41" w:rsidRPr="00AD7238" w14:paraId="1EBB25C8" w14:textId="57987310" w:rsidTr="00BA039D">
        <w:trPr>
          <w:trHeight w:val="255"/>
        </w:trPr>
        <w:tc>
          <w:tcPr>
            <w:tcW w:w="1041" w:type="pct"/>
            <w:shd w:val="clear" w:color="auto" w:fill="auto"/>
            <w:noWrap/>
            <w:hideMark/>
          </w:tcPr>
          <w:p w14:paraId="6CBA3905" w14:textId="77777777" w:rsidR="00DE1FFD" w:rsidRPr="00AD7238" w:rsidRDefault="00DE1FFD">
            <w:pPr>
              <w:rPr>
                <w:rFonts w:ascii="Arial Narrow" w:hAnsi="Arial Narrow"/>
                <w:sz w:val="20"/>
                <w:szCs w:val="20"/>
              </w:rPr>
            </w:pPr>
            <w:r w:rsidRPr="00AD7238">
              <w:rPr>
                <w:rFonts w:ascii="Arial Narrow" w:hAnsi="Arial Narrow"/>
                <w:sz w:val="20"/>
                <w:szCs w:val="20"/>
              </w:rPr>
              <w:t>NNV to avoid one case of PHN</w:t>
            </w:r>
          </w:p>
        </w:tc>
        <w:tc>
          <w:tcPr>
            <w:tcW w:w="660" w:type="pct"/>
            <w:tcBorders>
              <w:bottom w:val="single" w:sz="4" w:space="0" w:color="auto"/>
            </w:tcBorders>
            <w:shd w:val="clear" w:color="auto" w:fill="E6E6E6"/>
            <w:noWrap/>
            <w:hideMark/>
          </w:tcPr>
          <w:p w14:paraId="3F2A66C8"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26</w:t>
            </w:r>
          </w:p>
        </w:tc>
        <w:tc>
          <w:tcPr>
            <w:tcW w:w="660" w:type="pct"/>
            <w:tcBorders>
              <w:bottom w:val="single" w:sz="4" w:space="0" w:color="auto"/>
            </w:tcBorders>
            <w:shd w:val="clear" w:color="auto" w:fill="E6E6E6"/>
            <w:noWrap/>
            <w:hideMark/>
          </w:tcPr>
          <w:p w14:paraId="58B5EB22"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22</w:t>
            </w:r>
          </w:p>
        </w:tc>
        <w:tc>
          <w:tcPr>
            <w:tcW w:w="660" w:type="pct"/>
            <w:tcBorders>
              <w:bottom w:val="single" w:sz="4" w:space="0" w:color="auto"/>
            </w:tcBorders>
            <w:shd w:val="clear" w:color="auto" w:fill="auto"/>
            <w:noWrap/>
            <w:hideMark/>
          </w:tcPr>
          <w:p w14:paraId="560A6771"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23</w:t>
            </w:r>
          </w:p>
        </w:tc>
        <w:tc>
          <w:tcPr>
            <w:tcW w:w="660" w:type="pct"/>
            <w:tcBorders>
              <w:bottom w:val="single" w:sz="4" w:space="0" w:color="auto"/>
            </w:tcBorders>
            <w:shd w:val="clear" w:color="auto" w:fill="auto"/>
            <w:noWrap/>
            <w:hideMark/>
          </w:tcPr>
          <w:p w14:paraId="682F5010"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25</w:t>
            </w:r>
          </w:p>
        </w:tc>
        <w:tc>
          <w:tcPr>
            <w:tcW w:w="660" w:type="pct"/>
            <w:tcBorders>
              <w:bottom w:val="single" w:sz="4" w:space="0" w:color="auto"/>
            </w:tcBorders>
            <w:shd w:val="clear" w:color="auto" w:fill="auto"/>
            <w:noWrap/>
            <w:hideMark/>
          </w:tcPr>
          <w:p w14:paraId="7A1F52DF"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30</w:t>
            </w:r>
          </w:p>
        </w:tc>
        <w:tc>
          <w:tcPr>
            <w:tcW w:w="659" w:type="pct"/>
            <w:tcBorders>
              <w:bottom w:val="single" w:sz="4" w:space="0" w:color="auto"/>
            </w:tcBorders>
          </w:tcPr>
          <w:p w14:paraId="0E83192A" w14:textId="0AF4A3C4" w:rsidR="00DE1FFD" w:rsidRPr="00AD7238" w:rsidRDefault="003F2882" w:rsidP="0025134D">
            <w:pPr>
              <w:jc w:val="center"/>
              <w:rPr>
                <w:rFonts w:ascii="Arial Narrow" w:hAnsi="Arial Narrow"/>
                <w:sz w:val="20"/>
                <w:szCs w:val="20"/>
              </w:rPr>
            </w:pPr>
            <w:r w:rsidRPr="00AD7238">
              <w:rPr>
                <w:rFonts w:ascii="Arial Narrow" w:hAnsi="Arial Narrow"/>
                <w:sz w:val="20"/>
                <w:szCs w:val="20"/>
              </w:rPr>
              <w:t>25</w:t>
            </w:r>
          </w:p>
        </w:tc>
      </w:tr>
      <w:tr w:rsidR="003C6D41" w:rsidRPr="00AD7238" w14:paraId="23AF1DEA" w14:textId="566911DC" w:rsidTr="00BA039D">
        <w:trPr>
          <w:trHeight w:val="255"/>
        </w:trPr>
        <w:tc>
          <w:tcPr>
            <w:tcW w:w="1041" w:type="pct"/>
            <w:shd w:val="clear" w:color="auto" w:fill="auto"/>
            <w:noWrap/>
            <w:hideMark/>
          </w:tcPr>
          <w:p w14:paraId="0CA52B5F" w14:textId="3C16E9E9" w:rsidR="00DE1FFD" w:rsidRPr="00AD7238" w:rsidRDefault="00DE1FFD" w:rsidP="005A7FF1">
            <w:pPr>
              <w:rPr>
                <w:rFonts w:ascii="Arial Narrow" w:hAnsi="Arial Narrow"/>
                <w:sz w:val="20"/>
                <w:szCs w:val="20"/>
              </w:rPr>
            </w:pPr>
            <w:r w:rsidRPr="00AD7238">
              <w:rPr>
                <w:rFonts w:ascii="Arial Narrow" w:hAnsi="Arial Narrow"/>
                <w:sz w:val="20"/>
                <w:szCs w:val="20"/>
              </w:rPr>
              <w:t>Incremental costs</w:t>
            </w:r>
            <w:r w:rsidR="005A7FF1">
              <w:rPr>
                <w:rFonts w:ascii="Arial Narrow" w:hAnsi="Arial Narrow"/>
                <w:sz w:val="20"/>
                <w:szCs w:val="20"/>
              </w:rPr>
              <w:t xml:space="preserve"> ($)</w:t>
            </w:r>
          </w:p>
        </w:tc>
        <w:tc>
          <w:tcPr>
            <w:tcW w:w="660" w:type="pct"/>
            <w:shd w:val="solid" w:color="000000" w:fill="000000"/>
            <w:noWrap/>
            <w:hideMark/>
          </w:tcPr>
          <w:p w14:paraId="377D9A74" w14:textId="36337077" w:rsidR="00DE1FFD" w:rsidRPr="00BA039D" w:rsidRDefault="00BA039D" w:rsidP="0025134D">
            <w:pPr>
              <w:jc w:val="center"/>
              <w:rPr>
                <w:rFonts w:ascii="Arial Narrow" w:hAnsi="Arial Narrow"/>
                <w:sz w:val="18"/>
                <w:szCs w:val="18"/>
              </w:rPr>
            </w:pPr>
            <w:r w:rsidRPr="00BA039D">
              <w:rPr>
                <w:rFonts w:ascii="Arial Narrow" w:hAnsi="Arial Narrow"/>
                <w:color w:val="000000"/>
                <w:spacing w:val="54"/>
                <w:sz w:val="18"/>
                <w:szCs w:val="18"/>
                <w:fitText w:val="316" w:id="-1233442551"/>
                <w14:textFill>
                  <w14:solidFill>
                    <w14:srgbClr w14:val="000000">
                      <w14:alpha w14:val="100000"/>
                    </w14:srgbClr>
                  </w14:solidFill>
                </w14:textFill>
              </w:rPr>
              <w:t>|||</w:t>
            </w:r>
            <w:r w:rsidRPr="00BA039D">
              <w:rPr>
                <w:rFonts w:ascii="Arial Narrow" w:hAnsi="Arial Narrow"/>
                <w:color w:val="000000"/>
                <w:spacing w:val="1"/>
                <w:sz w:val="18"/>
                <w:szCs w:val="18"/>
                <w:fitText w:val="316" w:id="-1233442551"/>
                <w14:textFill>
                  <w14:solidFill>
                    <w14:srgbClr w14:val="000000">
                      <w14:alpha w14:val="100000"/>
                    </w14:srgbClr>
                  </w14:solidFill>
                </w14:textFill>
              </w:rPr>
              <w:t>|</w:t>
            </w:r>
          </w:p>
        </w:tc>
        <w:tc>
          <w:tcPr>
            <w:tcW w:w="660" w:type="pct"/>
            <w:shd w:val="solid" w:color="000000" w:fill="000000"/>
            <w:noWrap/>
            <w:hideMark/>
          </w:tcPr>
          <w:p w14:paraId="689B1DCB" w14:textId="2621F3B8"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50"/>
                <w14:textFill>
                  <w14:solidFill>
                    <w14:srgbClr w14:val="000000">
                      <w14:alpha w14:val="100000"/>
                    </w14:srgbClr>
                  </w14:solidFill>
                </w14:textFill>
              </w:rPr>
              <w:t>|||</w:t>
            </w:r>
            <w:r w:rsidRPr="00BA039D">
              <w:rPr>
                <w:rFonts w:ascii="Arial Narrow" w:hAnsi="Arial Narrow"/>
                <w:color w:val="000000"/>
                <w:spacing w:val="2"/>
                <w:sz w:val="18"/>
                <w:szCs w:val="18"/>
                <w:fitText w:val="308" w:id="-1233442550"/>
                <w14:textFill>
                  <w14:solidFill>
                    <w14:srgbClr w14:val="000000">
                      <w14:alpha w14:val="100000"/>
                    </w14:srgbClr>
                  </w14:solidFill>
                </w14:textFill>
              </w:rPr>
              <w:t>|</w:t>
            </w:r>
          </w:p>
        </w:tc>
        <w:tc>
          <w:tcPr>
            <w:tcW w:w="660" w:type="pct"/>
            <w:shd w:val="solid" w:color="000000" w:fill="000000"/>
            <w:noWrap/>
            <w:hideMark/>
          </w:tcPr>
          <w:p w14:paraId="21D2E3CB" w14:textId="1BECC40A"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49"/>
                <w14:textFill>
                  <w14:solidFill>
                    <w14:srgbClr w14:val="000000">
                      <w14:alpha w14:val="100000"/>
                    </w14:srgbClr>
                  </w14:solidFill>
                </w14:textFill>
              </w:rPr>
              <w:t>|||</w:t>
            </w:r>
            <w:r w:rsidRPr="00BA039D">
              <w:rPr>
                <w:rFonts w:ascii="Arial Narrow" w:hAnsi="Arial Narrow"/>
                <w:color w:val="000000"/>
                <w:spacing w:val="2"/>
                <w:sz w:val="18"/>
                <w:szCs w:val="18"/>
                <w:fitText w:val="308" w:id="-1233442549"/>
                <w14:textFill>
                  <w14:solidFill>
                    <w14:srgbClr w14:val="000000">
                      <w14:alpha w14:val="100000"/>
                    </w14:srgbClr>
                  </w14:solidFill>
                </w14:textFill>
              </w:rPr>
              <w:t>|</w:t>
            </w:r>
          </w:p>
        </w:tc>
        <w:tc>
          <w:tcPr>
            <w:tcW w:w="660" w:type="pct"/>
            <w:shd w:val="solid" w:color="000000" w:fill="000000"/>
            <w:noWrap/>
            <w:hideMark/>
          </w:tcPr>
          <w:p w14:paraId="32799D91" w14:textId="4D8A2EC5"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48"/>
                <w14:textFill>
                  <w14:solidFill>
                    <w14:srgbClr w14:val="000000">
                      <w14:alpha w14:val="100000"/>
                    </w14:srgbClr>
                  </w14:solidFill>
                </w14:textFill>
              </w:rPr>
              <w:t>|||</w:t>
            </w:r>
            <w:r w:rsidRPr="00BA039D">
              <w:rPr>
                <w:rFonts w:ascii="Arial Narrow" w:hAnsi="Arial Narrow"/>
                <w:color w:val="000000"/>
                <w:spacing w:val="2"/>
                <w:sz w:val="18"/>
                <w:szCs w:val="18"/>
                <w:fitText w:val="308" w:id="-1233442548"/>
                <w14:textFill>
                  <w14:solidFill>
                    <w14:srgbClr w14:val="000000">
                      <w14:alpha w14:val="100000"/>
                    </w14:srgbClr>
                  </w14:solidFill>
                </w14:textFill>
              </w:rPr>
              <w:t>|</w:t>
            </w:r>
          </w:p>
        </w:tc>
        <w:tc>
          <w:tcPr>
            <w:tcW w:w="660" w:type="pct"/>
            <w:shd w:val="solid" w:color="000000" w:fill="000000"/>
            <w:noWrap/>
            <w:hideMark/>
          </w:tcPr>
          <w:p w14:paraId="7E9E8DB4" w14:textId="5FAAD734"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47"/>
                <w14:textFill>
                  <w14:solidFill>
                    <w14:srgbClr w14:val="000000">
                      <w14:alpha w14:val="100000"/>
                    </w14:srgbClr>
                  </w14:solidFill>
                </w14:textFill>
              </w:rPr>
              <w:t>|||</w:t>
            </w:r>
            <w:r w:rsidRPr="00BA039D">
              <w:rPr>
                <w:rFonts w:ascii="Arial Narrow" w:hAnsi="Arial Narrow"/>
                <w:color w:val="000000"/>
                <w:spacing w:val="2"/>
                <w:sz w:val="18"/>
                <w:szCs w:val="18"/>
                <w:fitText w:val="308" w:id="-1233442547"/>
                <w14:textFill>
                  <w14:solidFill>
                    <w14:srgbClr w14:val="000000">
                      <w14:alpha w14:val="100000"/>
                    </w14:srgbClr>
                  </w14:solidFill>
                </w14:textFill>
              </w:rPr>
              <w:t>|</w:t>
            </w:r>
          </w:p>
        </w:tc>
        <w:tc>
          <w:tcPr>
            <w:tcW w:w="659" w:type="pct"/>
            <w:shd w:val="solid" w:color="000000" w:fill="000000"/>
          </w:tcPr>
          <w:p w14:paraId="17DF0834" w14:textId="2BDCEBC5" w:rsidR="00DE1FFD" w:rsidRPr="00BA039D" w:rsidRDefault="00BA039D" w:rsidP="0025134D">
            <w:pPr>
              <w:jc w:val="center"/>
              <w:rPr>
                <w:rFonts w:ascii="Arial Narrow" w:hAnsi="Arial Narrow"/>
                <w:sz w:val="18"/>
                <w:szCs w:val="18"/>
              </w:rPr>
            </w:pPr>
            <w:r w:rsidRPr="00BA039D">
              <w:rPr>
                <w:rFonts w:ascii="Arial Narrow" w:hAnsi="Arial Narrow"/>
                <w:color w:val="000000"/>
                <w:spacing w:val="54"/>
                <w:sz w:val="18"/>
                <w:szCs w:val="18"/>
                <w:fitText w:val="316" w:id="-1233442546"/>
                <w14:textFill>
                  <w14:solidFill>
                    <w14:srgbClr w14:val="000000">
                      <w14:alpha w14:val="100000"/>
                    </w14:srgbClr>
                  </w14:solidFill>
                </w14:textFill>
              </w:rPr>
              <w:t>|||</w:t>
            </w:r>
            <w:r w:rsidRPr="00BA039D">
              <w:rPr>
                <w:rFonts w:ascii="Arial Narrow" w:hAnsi="Arial Narrow"/>
                <w:color w:val="000000"/>
                <w:spacing w:val="1"/>
                <w:sz w:val="18"/>
                <w:szCs w:val="18"/>
                <w:fitText w:val="316" w:id="-1233442546"/>
                <w14:textFill>
                  <w14:solidFill>
                    <w14:srgbClr w14:val="000000">
                      <w14:alpha w14:val="100000"/>
                    </w14:srgbClr>
                  </w14:solidFill>
                </w14:textFill>
              </w:rPr>
              <w:t>|</w:t>
            </w:r>
          </w:p>
        </w:tc>
      </w:tr>
      <w:tr w:rsidR="003C6D41" w:rsidRPr="00AD7238" w14:paraId="0A1D6D20" w14:textId="624A8037" w:rsidTr="005A7FF1">
        <w:trPr>
          <w:trHeight w:val="255"/>
        </w:trPr>
        <w:tc>
          <w:tcPr>
            <w:tcW w:w="1041" w:type="pct"/>
            <w:shd w:val="clear" w:color="auto" w:fill="auto"/>
            <w:noWrap/>
            <w:hideMark/>
          </w:tcPr>
          <w:p w14:paraId="101B66AA" w14:textId="77777777" w:rsidR="00DE1FFD" w:rsidRPr="00AD7238" w:rsidRDefault="00DE1FFD">
            <w:pPr>
              <w:rPr>
                <w:rFonts w:ascii="Arial Narrow" w:hAnsi="Arial Narrow"/>
                <w:sz w:val="20"/>
                <w:szCs w:val="20"/>
              </w:rPr>
            </w:pPr>
            <w:r w:rsidRPr="00AD7238">
              <w:rPr>
                <w:rFonts w:ascii="Arial Narrow" w:hAnsi="Arial Narrow"/>
                <w:sz w:val="20"/>
                <w:szCs w:val="20"/>
              </w:rPr>
              <w:t>Incremental QALYs</w:t>
            </w:r>
          </w:p>
        </w:tc>
        <w:tc>
          <w:tcPr>
            <w:tcW w:w="660" w:type="pct"/>
            <w:shd w:val="clear" w:color="auto" w:fill="E6E6E6"/>
            <w:noWrap/>
            <w:hideMark/>
          </w:tcPr>
          <w:p w14:paraId="063E3445"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5,631</w:t>
            </w:r>
          </w:p>
        </w:tc>
        <w:tc>
          <w:tcPr>
            <w:tcW w:w="660" w:type="pct"/>
            <w:shd w:val="clear" w:color="auto" w:fill="E6E6E6"/>
            <w:noWrap/>
            <w:hideMark/>
          </w:tcPr>
          <w:p w14:paraId="1B67EA80"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8,163</w:t>
            </w:r>
          </w:p>
        </w:tc>
        <w:tc>
          <w:tcPr>
            <w:tcW w:w="660" w:type="pct"/>
            <w:shd w:val="clear" w:color="auto" w:fill="auto"/>
            <w:noWrap/>
            <w:hideMark/>
          </w:tcPr>
          <w:p w14:paraId="7C9BE326"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8,616</w:t>
            </w:r>
          </w:p>
        </w:tc>
        <w:tc>
          <w:tcPr>
            <w:tcW w:w="660" w:type="pct"/>
            <w:shd w:val="clear" w:color="auto" w:fill="auto"/>
            <w:noWrap/>
            <w:hideMark/>
          </w:tcPr>
          <w:p w14:paraId="036620EB"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8,687</w:t>
            </w:r>
          </w:p>
        </w:tc>
        <w:tc>
          <w:tcPr>
            <w:tcW w:w="660" w:type="pct"/>
            <w:shd w:val="clear" w:color="auto" w:fill="auto"/>
            <w:noWrap/>
            <w:hideMark/>
          </w:tcPr>
          <w:p w14:paraId="00099172"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8,215</w:t>
            </w:r>
          </w:p>
        </w:tc>
        <w:tc>
          <w:tcPr>
            <w:tcW w:w="659" w:type="pct"/>
          </w:tcPr>
          <w:p w14:paraId="5F25A934" w14:textId="2F6913BD" w:rsidR="00DE1FFD" w:rsidRPr="00AD7238" w:rsidRDefault="003C6D41" w:rsidP="0025134D">
            <w:pPr>
              <w:jc w:val="center"/>
              <w:rPr>
                <w:rFonts w:ascii="Arial Narrow" w:hAnsi="Arial Narrow"/>
                <w:sz w:val="20"/>
                <w:szCs w:val="20"/>
              </w:rPr>
            </w:pPr>
            <w:r w:rsidRPr="00AD7238">
              <w:rPr>
                <w:rFonts w:ascii="Arial Narrow" w:hAnsi="Arial Narrow"/>
                <w:sz w:val="20"/>
                <w:szCs w:val="20"/>
              </w:rPr>
              <w:t>8,547</w:t>
            </w:r>
          </w:p>
        </w:tc>
      </w:tr>
      <w:tr w:rsidR="003C6D41" w:rsidRPr="00AD7238" w14:paraId="76B718F6" w14:textId="42D906F5" w:rsidTr="005A7FF1">
        <w:trPr>
          <w:trHeight w:val="255"/>
        </w:trPr>
        <w:tc>
          <w:tcPr>
            <w:tcW w:w="1041" w:type="pct"/>
            <w:shd w:val="clear" w:color="auto" w:fill="auto"/>
            <w:noWrap/>
            <w:hideMark/>
          </w:tcPr>
          <w:p w14:paraId="25F02CA2" w14:textId="30B06897" w:rsidR="00DE1FFD" w:rsidRPr="00AD7238" w:rsidRDefault="00DE1FFD" w:rsidP="005A7FF1">
            <w:pPr>
              <w:rPr>
                <w:rFonts w:ascii="Arial Narrow" w:hAnsi="Arial Narrow"/>
                <w:sz w:val="20"/>
                <w:szCs w:val="20"/>
              </w:rPr>
            </w:pPr>
            <w:r w:rsidRPr="00AD7238">
              <w:rPr>
                <w:rFonts w:ascii="Arial Narrow" w:hAnsi="Arial Narrow"/>
                <w:sz w:val="20"/>
                <w:szCs w:val="20"/>
              </w:rPr>
              <w:t>Incremental cost per QALY gained (ICER)</w:t>
            </w:r>
            <w:r w:rsidR="005A7FF1">
              <w:rPr>
                <w:rFonts w:ascii="Arial Narrow" w:hAnsi="Arial Narrow"/>
                <w:sz w:val="20"/>
                <w:szCs w:val="20"/>
              </w:rPr>
              <w:t xml:space="preserve"> ($)</w:t>
            </w:r>
          </w:p>
        </w:tc>
        <w:tc>
          <w:tcPr>
            <w:tcW w:w="660" w:type="pct"/>
            <w:shd w:val="clear" w:color="auto" w:fill="E6E6E6"/>
            <w:noWrap/>
            <w:hideMark/>
          </w:tcPr>
          <w:p w14:paraId="09ED1957" w14:textId="5E743DEB" w:rsidR="00DE1FFD" w:rsidRPr="005A7FF1" w:rsidRDefault="00BA039D" w:rsidP="0025134D">
            <w:pPr>
              <w:jc w:val="center"/>
              <w:rPr>
                <w:rFonts w:ascii="Arial Narrow" w:hAnsi="Arial Narrow"/>
                <w:sz w:val="20"/>
                <w:szCs w:val="20"/>
                <w:highlight w:val="darkGray"/>
                <w:vertAlign w:val="superscript"/>
              </w:rPr>
            </w:pPr>
            <w:r w:rsidRPr="00BA039D">
              <w:rPr>
                <w:rFonts w:ascii="Arial Narrow" w:hAnsi="Arial Narrow"/>
                <w:color w:val="000000"/>
                <w:spacing w:val="35"/>
                <w:sz w:val="20"/>
                <w:szCs w:val="20"/>
                <w:shd w:val="solid" w:color="000000" w:fill="000000"/>
                <w:fitText w:val="433" w:id="-1233442545"/>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5"/>
                <w14:textFill>
                  <w14:solidFill>
                    <w14:srgbClr w14:val="000000">
                      <w14:alpha w14:val="100000"/>
                    </w14:srgbClr>
                  </w14:solidFill>
                </w14:textFill>
              </w:rPr>
              <w:t>|</w:t>
            </w:r>
            <w:r w:rsidR="005A7FF1" w:rsidRPr="005A7FF1">
              <w:rPr>
                <w:rFonts w:ascii="Arial Narrow" w:hAnsi="Arial Narrow"/>
                <w:sz w:val="20"/>
                <w:szCs w:val="20"/>
                <w:vertAlign w:val="superscript"/>
              </w:rPr>
              <w:t>1</w:t>
            </w:r>
          </w:p>
        </w:tc>
        <w:tc>
          <w:tcPr>
            <w:tcW w:w="660" w:type="pct"/>
            <w:shd w:val="clear" w:color="auto" w:fill="E6E6E6"/>
            <w:noWrap/>
            <w:hideMark/>
          </w:tcPr>
          <w:p w14:paraId="67F1E1BD" w14:textId="77E3F751"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4"/>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4"/>
                <w14:textFill>
                  <w14:solidFill>
                    <w14:srgbClr w14:val="000000">
                      <w14:alpha w14:val="100000"/>
                    </w14:srgbClr>
                  </w14:solidFill>
                </w14:textFill>
              </w:rPr>
              <w:t>|</w:t>
            </w:r>
            <w:r w:rsidR="005A7FF1">
              <w:rPr>
                <w:rFonts w:ascii="Arial Narrow" w:hAnsi="Arial Narrow"/>
                <w:sz w:val="20"/>
                <w:szCs w:val="20"/>
                <w:vertAlign w:val="superscript"/>
              </w:rPr>
              <w:t>3</w:t>
            </w:r>
          </w:p>
        </w:tc>
        <w:tc>
          <w:tcPr>
            <w:tcW w:w="660" w:type="pct"/>
            <w:shd w:val="clear" w:color="auto" w:fill="auto"/>
            <w:noWrap/>
            <w:hideMark/>
          </w:tcPr>
          <w:p w14:paraId="456E0646" w14:textId="26C15C9C"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60"/>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60"/>
                <w14:textFill>
                  <w14:solidFill>
                    <w14:srgbClr w14:val="000000">
                      <w14:alpha w14:val="100000"/>
                    </w14:srgbClr>
                  </w14:solidFill>
                </w14:textFill>
              </w:rPr>
              <w:t>|</w:t>
            </w:r>
            <w:r w:rsidR="005A7FF1">
              <w:rPr>
                <w:rFonts w:ascii="Arial Narrow" w:hAnsi="Arial Narrow"/>
                <w:sz w:val="20"/>
                <w:szCs w:val="20"/>
                <w:vertAlign w:val="superscript"/>
              </w:rPr>
              <w:t>3</w:t>
            </w:r>
          </w:p>
        </w:tc>
        <w:tc>
          <w:tcPr>
            <w:tcW w:w="660" w:type="pct"/>
            <w:shd w:val="clear" w:color="auto" w:fill="auto"/>
            <w:noWrap/>
            <w:hideMark/>
          </w:tcPr>
          <w:p w14:paraId="28F37383" w14:textId="15608AA6"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59"/>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59"/>
                <w14:textFill>
                  <w14:solidFill>
                    <w14:srgbClr w14:val="000000">
                      <w14:alpha w14:val="100000"/>
                    </w14:srgbClr>
                  </w14:solidFill>
                </w14:textFill>
              </w:rPr>
              <w:t>|</w:t>
            </w:r>
            <w:r w:rsidR="005A7FF1">
              <w:rPr>
                <w:rFonts w:ascii="Arial Narrow" w:hAnsi="Arial Narrow"/>
                <w:sz w:val="20"/>
                <w:szCs w:val="20"/>
                <w:vertAlign w:val="superscript"/>
              </w:rPr>
              <w:t>3</w:t>
            </w:r>
          </w:p>
        </w:tc>
        <w:tc>
          <w:tcPr>
            <w:tcW w:w="660" w:type="pct"/>
            <w:shd w:val="clear" w:color="auto" w:fill="auto"/>
            <w:noWrap/>
            <w:hideMark/>
          </w:tcPr>
          <w:p w14:paraId="1EA33864" w14:textId="3E399374"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58"/>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58"/>
                <w14:textFill>
                  <w14:solidFill>
                    <w14:srgbClr w14:val="000000">
                      <w14:alpha w14:val="100000"/>
                    </w14:srgbClr>
                  </w14:solidFill>
                </w14:textFill>
              </w:rPr>
              <w:t>|</w:t>
            </w:r>
            <w:r w:rsidR="005A7FF1">
              <w:rPr>
                <w:rFonts w:ascii="Arial Narrow" w:hAnsi="Arial Narrow"/>
                <w:sz w:val="20"/>
                <w:szCs w:val="20"/>
                <w:vertAlign w:val="superscript"/>
              </w:rPr>
              <w:t>3</w:t>
            </w:r>
          </w:p>
        </w:tc>
        <w:tc>
          <w:tcPr>
            <w:tcW w:w="659" w:type="pct"/>
          </w:tcPr>
          <w:p w14:paraId="1AECC165" w14:textId="487578C9"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57"/>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57"/>
                <w14:textFill>
                  <w14:solidFill>
                    <w14:srgbClr w14:val="000000">
                      <w14:alpha w14:val="100000"/>
                    </w14:srgbClr>
                  </w14:solidFill>
                </w14:textFill>
              </w:rPr>
              <w:t>|</w:t>
            </w:r>
            <w:r w:rsidR="005A7FF1">
              <w:rPr>
                <w:rFonts w:ascii="Arial Narrow" w:hAnsi="Arial Narrow"/>
                <w:sz w:val="20"/>
                <w:szCs w:val="20"/>
                <w:vertAlign w:val="superscript"/>
              </w:rPr>
              <w:t>3</w:t>
            </w:r>
          </w:p>
        </w:tc>
      </w:tr>
      <w:tr w:rsidR="003C6D41" w:rsidRPr="00AD7238" w14:paraId="29FB7CA8" w14:textId="07C3F1BF" w:rsidTr="003C6D41">
        <w:trPr>
          <w:trHeight w:val="255"/>
        </w:trPr>
        <w:tc>
          <w:tcPr>
            <w:tcW w:w="5000" w:type="pct"/>
            <w:gridSpan w:val="7"/>
            <w:shd w:val="clear" w:color="auto" w:fill="auto"/>
            <w:noWrap/>
          </w:tcPr>
          <w:p w14:paraId="031DECC1" w14:textId="5AB11875" w:rsidR="003C6D41" w:rsidRPr="00AD7238" w:rsidRDefault="003C6D41" w:rsidP="0025134D">
            <w:pPr>
              <w:pStyle w:val="Caption"/>
              <w:jc w:val="left"/>
            </w:pPr>
            <w:r w:rsidRPr="00AD7238">
              <w:t xml:space="preserve">Aboriginal and Torres Strait Islander </w:t>
            </w:r>
            <w:r w:rsidR="001637E5" w:rsidRPr="00AD7238">
              <w:t xml:space="preserve">population </w:t>
            </w:r>
          </w:p>
        </w:tc>
      </w:tr>
      <w:tr w:rsidR="003C6D41" w:rsidRPr="00AD7238" w14:paraId="3F270A0E" w14:textId="2E105CB7" w:rsidTr="005A7FF1">
        <w:trPr>
          <w:trHeight w:val="255"/>
        </w:trPr>
        <w:tc>
          <w:tcPr>
            <w:tcW w:w="1041" w:type="pct"/>
            <w:shd w:val="clear" w:color="auto" w:fill="auto"/>
            <w:noWrap/>
          </w:tcPr>
          <w:p w14:paraId="2FE9F0EE" w14:textId="77777777" w:rsidR="00DE1FFD" w:rsidRPr="00AD7238" w:rsidRDefault="00DE1FFD">
            <w:pPr>
              <w:rPr>
                <w:rFonts w:ascii="Arial Narrow" w:hAnsi="Arial Narrow"/>
                <w:sz w:val="20"/>
                <w:szCs w:val="20"/>
              </w:rPr>
            </w:pPr>
            <w:r w:rsidRPr="00AD7238">
              <w:rPr>
                <w:rFonts w:ascii="Arial Narrow" w:hAnsi="Arial Narrow"/>
                <w:sz w:val="20"/>
                <w:szCs w:val="20"/>
              </w:rPr>
              <w:t>NNV to avoid one case of HZ</w:t>
            </w:r>
          </w:p>
        </w:tc>
        <w:tc>
          <w:tcPr>
            <w:tcW w:w="660" w:type="pct"/>
            <w:shd w:val="clear" w:color="auto" w:fill="auto"/>
            <w:noWrap/>
          </w:tcPr>
          <w:p w14:paraId="3CCCA145"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7</w:t>
            </w:r>
          </w:p>
        </w:tc>
        <w:tc>
          <w:tcPr>
            <w:tcW w:w="660" w:type="pct"/>
            <w:shd w:val="clear" w:color="auto" w:fill="auto"/>
            <w:noWrap/>
          </w:tcPr>
          <w:p w14:paraId="1153A07F"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7</w:t>
            </w:r>
          </w:p>
        </w:tc>
        <w:tc>
          <w:tcPr>
            <w:tcW w:w="660" w:type="pct"/>
            <w:shd w:val="clear" w:color="auto" w:fill="auto"/>
            <w:noWrap/>
          </w:tcPr>
          <w:p w14:paraId="5040E61A"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10</w:t>
            </w:r>
          </w:p>
        </w:tc>
        <w:tc>
          <w:tcPr>
            <w:tcW w:w="660" w:type="pct"/>
            <w:shd w:val="clear" w:color="auto" w:fill="auto"/>
            <w:noWrap/>
          </w:tcPr>
          <w:p w14:paraId="64C85599"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22</w:t>
            </w:r>
          </w:p>
        </w:tc>
        <w:tc>
          <w:tcPr>
            <w:tcW w:w="660" w:type="pct"/>
            <w:shd w:val="clear" w:color="auto" w:fill="auto"/>
            <w:noWrap/>
          </w:tcPr>
          <w:p w14:paraId="7488CCD5"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21</w:t>
            </w:r>
          </w:p>
        </w:tc>
        <w:tc>
          <w:tcPr>
            <w:tcW w:w="660" w:type="pct"/>
          </w:tcPr>
          <w:p w14:paraId="44C19F97" w14:textId="7B78E855" w:rsidR="00DE1FFD" w:rsidRPr="00AD7238" w:rsidRDefault="003C6D41" w:rsidP="0025134D">
            <w:pPr>
              <w:jc w:val="center"/>
              <w:rPr>
                <w:rFonts w:ascii="Arial Narrow" w:hAnsi="Arial Narrow"/>
                <w:sz w:val="20"/>
                <w:szCs w:val="20"/>
              </w:rPr>
            </w:pPr>
            <w:r w:rsidRPr="00AD7238">
              <w:rPr>
                <w:rFonts w:ascii="Arial Narrow" w:hAnsi="Arial Narrow"/>
                <w:sz w:val="20"/>
                <w:szCs w:val="20"/>
              </w:rPr>
              <w:t>8</w:t>
            </w:r>
          </w:p>
        </w:tc>
      </w:tr>
      <w:tr w:rsidR="003C6D41" w:rsidRPr="00AD7238" w14:paraId="6802F1F6" w14:textId="53143CCB" w:rsidTr="00BA039D">
        <w:trPr>
          <w:trHeight w:val="255"/>
        </w:trPr>
        <w:tc>
          <w:tcPr>
            <w:tcW w:w="1041" w:type="pct"/>
            <w:shd w:val="clear" w:color="auto" w:fill="auto"/>
            <w:noWrap/>
          </w:tcPr>
          <w:p w14:paraId="57B98C88" w14:textId="77777777" w:rsidR="00DE1FFD" w:rsidRPr="00AD7238" w:rsidRDefault="00DE1FFD">
            <w:pPr>
              <w:rPr>
                <w:rFonts w:ascii="Arial Narrow" w:hAnsi="Arial Narrow"/>
                <w:sz w:val="20"/>
                <w:szCs w:val="20"/>
              </w:rPr>
            </w:pPr>
            <w:r w:rsidRPr="00AD7238">
              <w:rPr>
                <w:rFonts w:ascii="Arial Narrow" w:hAnsi="Arial Narrow"/>
                <w:sz w:val="20"/>
                <w:szCs w:val="20"/>
              </w:rPr>
              <w:t>NNV to avoid one case of PHN</w:t>
            </w:r>
          </w:p>
        </w:tc>
        <w:tc>
          <w:tcPr>
            <w:tcW w:w="660" w:type="pct"/>
            <w:tcBorders>
              <w:bottom w:val="single" w:sz="4" w:space="0" w:color="auto"/>
            </w:tcBorders>
            <w:shd w:val="clear" w:color="auto" w:fill="auto"/>
            <w:noWrap/>
          </w:tcPr>
          <w:p w14:paraId="04512842"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43</w:t>
            </w:r>
          </w:p>
        </w:tc>
        <w:tc>
          <w:tcPr>
            <w:tcW w:w="660" w:type="pct"/>
            <w:tcBorders>
              <w:bottom w:val="single" w:sz="4" w:space="0" w:color="auto"/>
            </w:tcBorders>
            <w:shd w:val="clear" w:color="auto" w:fill="auto"/>
            <w:noWrap/>
          </w:tcPr>
          <w:p w14:paraId="38822034"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44</w:t>
            </w:r>
          </w:p>
        </w:tc>
        <w:tc>
          <w:tcPr>
            <w:tcW w:w="660" w:type="pct"/>
            <w:tcBorders>
              <w:bottom w:val="single" w:sz="4" w:space="0" w:color="auto"/>
            </w:tcBorders>
            <w:shd w:val="clear" w:color="auto" w:fill="auto"/>
            <w:noWrap/>
          </w:tcPr>
          <w:p w14:paraId="731A3584"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58</w:t>
            </w:r>
          </w:p>
        </w:tc>
        <w:tc>
          <w:tcPr>
            <w:tcW w:w="660" w:type="pct"/>
            <w:tcBorders>
              <w:bottom w:val="single" w:sz="4" w:space="0" w:color="auto"/>
            </w:tcBorders>
            <w:shd w:val="clear" w:color="auto" w:fill="auto"/>
            <w:noWrap/>
          </w:tcPr>
          <w:p w14:paraId="4F8405DC"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97</w:t>
            </w:r>
          </w:p>
        </w:tc>
        <w:tc>
          <w:tcPr>
            <w:tcW w:w="660" w:type="pct"/>
            <w:tcBorders>
              <w:bottom w:val="single" w:sz="4" w:space="0" w:color="auto"/>
            </w:tcBorders>
            <w:shd w:val="clear" w:color="auto" w:fill="auto"/>
            <w:noWrap/>
          </w:tcPr>
          <w:p w14:paraId="16E19AF9"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79</w:t>
            </w:r>
          </w:p>
        </w:tc>
        <w:tc>
          <w:tcPr>
            <w:tcW w:w="660" w:type="pct"/>
            <w:tcBorders>
              <w:bottom w:val="single" w:sz="4" w:space="0" w:color="auto"/>
            </w:tcBorders>
          </w:tcPr>
          <w:p w14:paraId="4A6D28E3" w14:textId="121E0ED8" w:rsidR="00DE1FFD" w:rsidRPr="00AD7238" w:rsidRDefault="003C6D41" w:rsidP="0025134D">
            <w:pPr>
              <w:jc w:val="center"/>
              <w:rPr>
                <w:rFonts w:ascii="Arial Narrow" w:hAnsi="Arial Narrow"/>
                <w:sz w:val="20"/>
                <w:szCs w:val="20"/>
              </w:rPr>
            </w:pPr>
            <w:r w:rsidRPr="00AD7238">
              <w:rPr>
                <w:rFonts w:ascii="Arial Narrow" w:hAnsi="Arial Narrow"/>
                <w:sz w:val="20"/>
                <w:szCs w:val="20"/>
              </w:rPr>
              <w:t>49</w:t>
            </w:r>
          </w:p>
        </w:tc>
      </w:tr>
      <w:tr w:rsidR="003C6D41" w:rsidRPr="00AD7238" w14:paraId="00572DF6" w14:textId="58C670F1" w:rsidTr="00BA039D">
        <w:trPr>
          <w:trHeight w:val="255"/>
        </w:trPr>
        <w:tc>
          <w:tcPr>
            <w:tcW w:w="1041" w:type="pct"/>
            <w:shd w:val="clear" w:color="auto" w:fill="auto"/>
            <w:noWrap/>
          </w:tcPr>
          <w:p w14:paraId="54094A59" w14:textId="0060CC66" w:rsidR="00DE1FFD" w:rsidRPr="00AD7238" w:rsidRDefault="00DE1FFD">
            <w:pPr>
              <w:rPr>
                <w:rFonts w:ascii="Arial Narrow" w:hAnsi="Arial Narrow"/>
                <w:sz w:val="20"/>
                <w:szCs w:val="20"/>
              </w:rPr>
            </w:pPr>
            <w:r w:rsidRPr="00AD7238">
              <w:rPr>
                <w:rFonts w:ascii="Arial Narrow" w:hAnsi="Arial Narrow"/>
                <w:sz w:val="20"/>
                <w:szCs w:val="20"/>
              </w:rPr>
              <w:t>Incremental costs</w:t>
            </w:r>
            <w:r w:rsidR="005A7FF1">
              <w:rPr>
                <w:rFonts w:ascii="Arial Narrow" w:hAnsi="Arial Narrow"/>
                <w:sz w:val="20"/>
                <w:szCs w:val="20"/>
              </w:rPr>
              <w:t xml:space="preserve"> ($)</w:t>
            </w:r>
          </w:p>
        </w:tc>
        <w:tc>
          <w:tcPr>
            <w:tcW w:w="660" w:type="pct"/>
            <w:shd w:val="solid" w:color="000000" w:fill="000000"/>
            <w:noWrap/>
          </w:tcPr>
          <w:p w14:paraId="03762C53" w14:textId="13F790A0" w:rsidR="00DE1FFD" w:rsidRPr="00BA039D" w:rsidRDefault="00BA039D" w:rsidP="0025134D">
            <w:pPr>
              <w:jc w:val="center"/>
              <w:rPr>
                <w:rFonts w:ascii="Arial Narrow" w:hAnsi="Arial Narrow"/>
                <w:sz w:val="18"/>
                <w:szCs w:val="18"/>
              </w:rPr>
            </w:pPr>
            <w:r w:rsidRPr="00BA039D">
              <w:rPr>
                <w:rFonts w:ascii="Arial Narrow" w:hAnsi="Arial Narrow"/>
                <w:color w:val="000000"/>
                <w:spacing w:val="54"/>
                <w:sz w:val="18"/>
                <w:szCs w:val="18"/>
                <w:fitText w:val="316" w:id="-1233442556"/>
                <w14:textFill>
                  <w14:solidFill>
                    <w14:srgbClr w14:val="000000">
                      <w14:alpha w14:val="100000"/>
                    </w14:srgbClr>
                  </w14:solidFill>
                </w14:textFill>
              </w:rPr>
              <w:t>|||</w:t>
            </w:r>
            <w:r w:rsidRPr="00BA039D">
              <w:rPr>
                <w:rFonts w:ascii="Arial Narrow" w:hAnsi="Arial Narrow"/>
                <w:color w:val="000000"/>
                <w:spacing w:val="1"/>
                <w:sz w:val="18"/>
                <w:szCs w:val="18"/>
                <w:fitText w:val="316" w:id="-1233442556"/>
                <w14:textFill>
                  <w14:solidFill>
                    <w14:srgbClr w14:val="000000">
                      <w14:alpha w14:val="100000"/>
                    </w14:srgbClr>
                  </w14:solidFill>
                </w14:textFill>
              </w:rPr>
              <w:t>|</w:t>
            </w:r>
          </w:p>
        </w:tc>
        <w:tc>
          <w:tcPr>
            <w:tcW w:w="660" w:type="pct"/>
            <w:shd w:val="solid" w:color="000000" w:fill="000000"/>
            <w:noWrap/>
          </w:tcPr>
          <w:p w14:paraId="678F2685" w14:textId="47AD3F5B"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55"/>
                <w14:textFill>
                  <w14:solidFill>
                    <w14:srgbClr w14:val="000000">
                      <w14:alpha w14:val="100000"/>
                    </w14:srgbClr>
                  </w14:solidFill>
                </w14:textFill>
              </w:rPr>
              <w:t>|||</w:t>
            </w:r>
            <w:r w:rsidRPr="00BA039D">
              <w:rPr>
                <w:rFonts w:ascii="Arial Narrow" w:hAnsi="Arial Narrow"/>
                <w:color w:val="000000"/>
                <w:spacing w:val="2"/>
                <w:sz w:val="18"/>
                <w:szCs w:val="18"/>
                <w:fitText w:val="308" w:id="-1233442555"/>
                <w14:textFill>
                  <w14:solidFill>
                    <w14:srgbClr w14:val="000000">
                      <w14:alpha w14:val="100000"/>
                    </w14:srgbClr>
                  </w14:solidFill>
                </w14:textFill>
              </w:rPr>
              <w:t>|</w:t>
            </w:r>
          </w:p>
        </w:tc>
        <w:tc>
          <w:tcPr>
            <w:tcW w:w="660" w:type="pct"/>
            <w:shd w:val="solid" w:color="000000" w:fill="000000"/>
            <w:noWrap/>
          </w:tcPr>
          <w:p w14:paraId="79C5A942" w14:textId="22BBE85F"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54"/>
                <w14:textFill>
                  <w14:solidFill>
                    <w14:srgbClr w14:val="000000">
                      <w14:alpha w14:val="100000"/>
                    </w14:srgbClr>
                  </w14:solidFill>
                </w14:textFill>
              </w:rPr>
              <w:t>|||</w:t>
            </w:r>
            <w:r w:rsidRPr="00BA039D">
              <w:rPr>
                <w:rFonts w:ascii="Arial Narrow" w:hAnsi="Arial Narrow"/>
                <w:color w:val="000000"/>
                <w:spacing w:val="2"/>
                <w:sz w:val="18"/>
                <w:szCs w:val="18"/>
                <w:fitText w:val="308" w:id="-1233442554"/>
                <w14:textFill>
                  <w14:solidFill>
                    <w14:srgbClr w14:val="000000">
                      <w14:alpha w14:val="100000"/>
                    </w14:srgbClr>
                  </w14:solidFill>
                </w14:textFill>
              </w:rPr>
              <w:t>|</w:t>
            </w:r>
          </w:p>
        </w:tc>
        <w:tc>
          <w:tcPr>
            <w:tcW w:w="660" w:type="pct"/>
            <w:shd w:val="solid" w:color="000000" w:fill="000000"/>
            <w:noWrap/>
          </w:tcPr>
          <w:p w14:paraId="2EFB4D3A" w14:textId="03B4102F"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53"/>
                <w14:textFill>
                  <w14:solidFill>
                    <w14:srgbClr w14:val="000000">
                      <w14:alpha w14:val="100000"/>
                    </w14:srgbClr>
                  </w14:solidFill>
                </w14:textFill>
              </w:rPr>
              <w:t>|||</w:t>
            </w:r>
            <w:r w:rsidRPr="00BA039D">
              <w:rPr>
                <w:rFonts w:ascii="Arial Narrow" w:hAnsi="Arial Narrow"/>
                <w:color w:val="000000"/>
                <w:spacing w:val="2"/>
                <w:sz w:val="18"/>
                <w:szCs w:val="18"/>
                <w:fitText w:val="308" w:id="-1233442553"/>
                <w14:textFill>
                  <w14:solidFill>
                    <w14:srgbClr w14:val="000000">
                      <w14:alpha w14:val="100000"/>
                    </w14:srgbClr>
                  </w14:solidFill>
                </w14:textFill>
              </w:rPr>
              <w:t>|</w:t>
            </w:r>
          </w:p>
        </w:tc>
        <w:tc>
          <w:tcPr>
            <w:tcW w:w="660" w:type="pct"/>
            <w:shd w:val="solid" w:color="000000" w:fill="000000"/>
            <w:noWrap/>
          </w:tcPr>
          <w:p w14:paraId="79CE7479" w14:textId="2749B347" w:rsidR="00DE1FFD" w:rsidRPr="00BA039D" w:rsidRDefault="00BA039D" w:rsidP="0025134D">
            <w:pPr>
              <w:jc w:val="center"/>
              <w:rPr>
                <w:rFonts w:ascii="Arial Narrow" w:hAnsi="Arial Narrow"/>
                <w:sz w:val="18"/>
                <w:szCs w:val="18"/>
              </w:rPr>
            </w:pPr>
            <w:r w:rsidRPr="00BA039D">
              <w:rPr>
                <w:rFonts w:ascii="Arial Narrow" w:hAnsi="Arial Narrow"/>
                <w:color w:val="000000"/>
                <w:spacing w:val="51"/>
                <w:sz w:val="18"/>
                <w:szCs w:val="18"/>
                <w:fitText w:val="308" w:id="-1233442552"/>
                <w14:textFill>
                  <w14:solidFill>
                    <w14:srgbClr w14:val="000000">
                      <w14:alpha w14:val="100000"/>
                    </w14:srgbClr>
                  </w14:solidFill>
                </w14:textFill>
              </w:rPr>
              <w:t>|||</w:t>
            </w:r>
            <w:r w:rsidRPr="00BA039D">
              <w:rPr>
                <w:rFonts w:ascii="Arial Narrow" w:hAnsi="Arial Narrow"/>
                <w:color w:val="000000"/>
                <w:spacing w:val="2"/>
                <w:sz w:val="18"/>
                <w:szCs w:val="18"/>
                <w:fitText w:val="308" w:id="-1233442552"/>
                <w14:textFill>
                  <w14:solidFill>
                    <w14:srgbClr w14:val="000000">
                      <w14:alpha w14:val="100000"/>
                    </w14:srgbClr>
                  </w14:solidFill>
                </w14:textFill>
              </w:rPr>
              <w:t>|</w:t>
            </w:r>
          </w:p>
        </w:tc>
        <w:tc>
          <w:tcPr>
            <w:tcW w:w="660" w:type="pct"/>
            <w:shd w:val="solid" w:color="000000" w:fill="000000"/>
          </w:tcPr>
          <w:p w14:paraId="4FE7BDA5" w14:textId="19EE2E11" w:rsidR="00DE1FFD" w:rsidRPr="00BA039D" w:rsidRDefault="00BA039D" w:rsidP="0025134D">
            <w:pPr>
              <w:jc w:val="center"/>
              <w:rPr>
                <w:rFonts w:ascii="Arial Narrow" w:hAnsi="Arial Narrow"/>
                <w:sz w:val="18"/>
                <w:szCs w:val="18"/>
              </w:rPr>
            </w:pPr>
            <w:r w:rsidRPr="00BA039D">
              <w:rPr>
                <w:rFonts w:ascii="Arial Narrow" w:hAnsi="Arial Narrow"/>
                <w:color w:val="000000"/>
                <w:spacing w:val="54"/>
                <w:sz w:val="18"/>
                <w:szCs w:val="18"/>
                <w:fitText w:val="316" w:id="-1233442551"/>
                <w14:textFill>
                  <w14:solidFill>
                    <w14:srgbClr w14:val="000000">
                      <w14:alpha w14:val="100000"/>
                    </w14:srgbClr>
                  </w14:solidFill>
                </w14:textFill>
              </w:rPr>
              <w:t>|||</w:t>
            </w:r>
            <w:r w:rsidRPr="00BA039D">
              <w:rPr>
                <w:rFonts w:ascii="Arial Narrow" w:hAnsi="Arial Narrow"/>
                <w:color w:val="000000"/>
                <w:spacing w:val="1"/>
                <w:sz w:val="18"/>
                <w:szCs w:val="18"/>
                <w:fitText w:val="316" w:id="-1233442551"/>
                <w14:textFill>
                  <w14:solidFill>
                    <w14:srgbClr w14:val="000000">
                      <w14:alpha w14:val="100000"/>
                    </w14:srgbClr>
                  </w14:solidFill>
                </w14:textFill>
              </w:rPr>
              <w:t>|</w:t>
            </w:r>
          </w:p>
        </w:tc>
      </w:tr>
      <w:tr w:rsidR="003C6D41" w:rsidRPr="00AD7238" w14:paraId="3919EE74" w14:textId="08633298" w:rsidTr="005A7FF1">
        <w:trPr>
          <w:trHeight w:val="255"/>
        </w:trPr>
        <w:tc>
          <w:tcPr>
            <w:tcW w:w="1041" w:type="pct"/>
            <w:shd w:val="clear" w:color="auto" w:fill="auto"/>
            <w:noWrap/>
          </w:tcPr>
          <w:p w14:paraId="2B8AEE57" w14:textId="77777777" w:rsidR="00DE1FFD" w:rsidRPr="00AD7238" w:rsidRDefault="00DE1FFD">
            <w:pPr>
              <w:rPr>
                <w:rFonts w:ascii="Arial Narrow" w:hAnsi="Arial Narrow"/>
                <w:sz w:val="20"/>
                <w:szCs w:val="20"/>
              </w:rPr>
            </w:pPr>
            <w:r w:rsidRPr="00AD7238">
              <w:rPr>
                <w:rFonts w:ascii="Arial Narrow" w:hAnsi="Arial Narrow"/>
                <w:sz w:val="20"/>
                <w:szCs w:val="20"/>
              </w:rPr>
              <w:t>Incremental QALYs</w:t>
            </w:r>
          </w:p>
        </w:tc>
        <w:tc>
          <w:tcPr>
            <w:tcW w:w="660" w:type="pct"/>
            <w:shd w:val="clear" w:color="auto" w:fill="auto"/>
            <w:noWrap/>
          </w:tcPr>
          <w:p w14:paraId="0BE64D63"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4,938</w:t>
            </w:r>
          </w:p>
        </w:tc>
        <w:tc>
          <w:tcPr>
            <w:tcW w:w="660" w:type="pct"/>
            <w:shd w:val="clear" w:color="auto" w:fill="auto"/>
            <w:noWrap/>
          </w:tcPr>
          <w:p w14:paraId="1D337F4C"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5,871</w:t>
            </w:r>
          </w:p>
        </w:tc>
        <w:tc>
          <w:tcPr>
            <w:tcW w:w="660" w:type="pct"/>
            <w:shd w:val="clear" w:color="auto" w:fill="auto"/>
            <w:noWrap/>
          </w:tcPr>
          <w:p w14:paraId="5BA74027"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4,638</w:t>
            </w:r>
          </w:p>
        </w:tc>
        <w:tc>
          <w:tcPr>
            <w:tcW w:w="660" w:type="pct"/>
            <w:shd w:val="clear" w:color="auto" w:fill="auto"/>
            <w:noWrap/>
          </w:tcPr>
          <w:p w14:paraId="3A550530"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2,771</w:t>
            </w:r>
          </w:p>
        </w:tc>
        <w:tc>
          <w:tcPr>
            <w:tcW w:w="660" w:type="pct"/>
            <w:shd w:val="clear" w:color="auto" w:fill="auto"/>
            <w:noWrap/>
          </w:tcPr>
          <w:p w14:paraId="6AB4E74A" w14:textId="77777777" w:rsidR="00DE1FFD" w:rsidRPr="00AD7238" w:rsidRDefault="00DE1FFD" w:rsidP="0025134D">
            <w:pPr>
              <w:jc w:val="center"/>
              <w:rPr>
                <w:rFonts w:ascii="Arial Narrow" w:hAnsi="Arial Narrow"/>
                <w:sz w:val="20"/>
                <w:szCs w:val="20"/>
              </w:rPr>
            </w:pPr>
            <w:r w:rsidRPr="00AD7238">
              <w:rPr>
                <w:rFonts w:ascii="Arial Narrow" w:hAnsi="Arial Narrow"/>
                <w:sz w:val="20"/>
                <w:szCs w:val="20"/>
              </w:rPr>
              <w:t>3,540</w:t>
            </w:r>
          </w:p>
        </w:tc>
        <w:tc>
          <w:tcPr>
            <w:tcW w:w="660" w:type="pct"/>
          </w:tcPr>
          <w:p w14:paraId="6098A7EA" w14:textId="517F883E" w:rsidR="00DE1FFD" w:rsidRPr="00AD7238" w:rsidRDefault="003C6D41" w:rsidP="0025134D">
            <w:pPr>
              <w:jc w:val="center"/>
              <w:rPr>
                <w:rFonts w:ascii="Arial Narrow" w:hAnsi="Arial Narrow"/>
                <w:sz w:val="20"/>
                <w:szCs w:val="20"/>
              </w:rPr>
            </w:pPr>
            <w:r w:rsidRPr="00AD7238">
              <w:rPr>
                <w:rFonts w:ascii="Arial Narrow" w:hAnsi="Arial Narrow"/>
                <w:sz w:val="20"/>
                <w:szCs w:val="20"/>
              </w:rPr>
              <w:t>4,774</w:t>
            </w:r>
          </w:p>
        </w:tc>
      </w:tr>
      <w:tr w:rsidR="003C6D41" w:rsidRPr="00AD7238" w14:paraId="5544C9C3" w14:textId="5B6EACC6" w:rsidTr="005A7FF1">
        <w:trPr>
          <w:trHeight w:val="255"/>
        </w:trPr>
        <w:tc>
          <w:tcPr>
            <w:tcW w:w="1041" w:type="pct"/>
            <w:shd w:val="clear" w:color="auto" w:fill="auto"/>
            <w:noWrap/>
          </w:tcPr>
          <w:p w14:paraId="32DDB98C" w14:textId="470039C7" w:rsidR="00DE1FFD" w:rsidRPr="00AD7238" w:rsidRDefault="00DE1FFD">
            <w:pPr>
              <w:rPr>
                <w:rFonts w:ascii="Arial Narrow" w:hAnsi="Arial Narrow"/>
                <w:sz w:val="20"/>
                <w:szCs w:val="20"/>
              </w:rPr>
            </w:pPr>
            <w:r w:rsidRPr="00AD7238">
              <w:rPr>
                <w:rFonts w:ascii="Arial Narrow" w:hAnsi="Arial Narrow"/>
                <w:sz w:val="20"/>
                <w:szCs w:val="20"/>
              </w:rPr>
              <w:t>Incremental cost per QALY gained (ICER)</w:t>
            </w:r>
            <w:r w:rsidR="005A7FF1">
              <w:rPr>
                <w:rFonts w:ascii="Arial Narrow" w:hAnsi="Arial Narrow"/>
                <w:sz w:val="20"/>
                <w:szCs w:val="20"/>
              </w:rPr>
              <w:t xml:space="preserve"> ($)</w:t>
            </w:r>
          </w:p>
        </w:tc>
        <w:tc>
          <w:tcPr>
            <w:tcW w:w="660" w:type="pct"/>
            <w:shd w:val="clear" w:color="auto" w:fill="auto"/>
            <w:noWrap/>
          </w:tcPr>
          <w:p w14:paraId="7F240ECA" w14:textId="146DF129"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50"/>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50"/>
                <w14:textFill>
                  <w14:solidFill>
                    <w14:srgbClr w14:val="000000">
                      <w14:alpha w14:val="100000"/>
                    </w14:srgbClr>
                  </w14:solidFill>
                </w14:textFill>
              </w:rPr>
              <w:t>|</w:t>
            </w:r>
            <w:r w:rsidR="005A7FF1">
              <w:rPr>
                <w:rFonts w:ascii="Arial Narrow" w:hAnsi="Arial Narrow"/>
                <w:sz w:val="20"/>
                <w:szCs w:val="20"/>
                <w:vertAlign w:val="superscript"/>
              </w:rPr>
              <w:t>2</w:t>
            </w:r>
          </w:p>
        </w:tc>
        <w:tc>
          <w:tcPr>
            <w:tcW w:w="660" w:type="pct"/>
            <w:shd w:val="clear" w:color="auto" w:fill="auto"/>
            <w:noWrap/>
          </w:tcPr>
          <w:p w14:paraId="255860E8" w14:textId="4E77AE1A"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9"/>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9"/>
                <w14:textFill>
                  <w14:solidFill>
                    <w14:srgbClr w14:val="000000">
                      <w14:alpha w14:val="100000"/>
                    </w14:srgbClr>
                  </w14:solidFill>
                </w14:textFill>
              </w:rPr>
              <w:t>|</w:t>
            </w:r>
            <w:r w:rsidR="005A7FF1">
              <w:rPr>
                <w:rFonts w:ascii="Arial Narrow" w:hAnsi="Arial Narrow"/>
                <w:sz w:val="20"/>
                <w:szCs w:val="20"/>
                <w:vertAlign w:val="superscript"/>
              </w:rPr>
              <w:t>4</w:t>
            </w:r>
          </w:p>
        </w:tc>
        <w:tc>
          <w:tcPr>
            <w:tcW w:w="660" w:type="pct"/>
            <w:shd w:val="clear" w:color="auto" w:fill="auto"/>
            <w:noWrap/>
          </w:tcPr>
          <w:p w14:paraId="4A8A7222" w14:textId="2F99887B"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8"/>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8"/>
                <w14:textFill>
                  <w14:solidFill>
                    <w14:srgbClr w14:val="000000">
                      <w14:alpha w14:val="100000"/>
                    </w14:srgbClr>
                  </w14:solidFill>
                </w14:textFill>
              </w:rPr>
              <w:t>|</w:t>
            </w:r>
            <w:r w:rsidR="005A7FF1">
              <w:rPr>
                <w:rFonts w:ascii="Arial Narrow" w:hAnsi="Arial Narrow"/>
                <w:sz w:val="20"/>
                <w:szCs w:val="20"/>
                <w:vertAlign w:val="superscript"/>
              </w:rPr>
              <w:t>2</w:t>
            </w:r>
          </w:p>
        </w:tc>
        <w:tc>
          <w:tcPr>
            <w:tcW w:w="660" w:type="pct"/>
            <w:shd w:val="clear" w:color="auto" w:fill="auto"/>
            <w:noWrap/>
          </w:tcPr>
          <w:p w14:paraId="3C4951A0" w14:textId="7D582ED7"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7"/>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7"/>
                <w14:textFill>
                  <w14:solidFill>
                    <w14:srgbClr w14:val="000000">
                      <w14:alpha w14:val="100000"/>
                    </w14:srgbClr>
                  </w14:solidFill>
                </w14:textFill>
              </w:rPr>
              <w:t>|</w:t>
            </w:r>
            <w:r w:rsidR="005A7FF1">
              <w:rPr>
                <w:rFonts w:ascii="Arial Narrow" w:hAnsi="Arial Narrow"/>
                <w:sz w:val="20"/>
                <w:szCs w:val="20"/>
                <w:vertAlign w:val="superscript"/>
              </w:rPr>
              <w:t>5</w:t>
            </w:r>
          </w:p>
        </w:tc>
        <w:tc>
          <w:tcPr>
            <w:tcW w:w="660" w:type="pct"/>
            <w:shd w:val="clear" w:color="auto" w:fill="auto"/>
            <w:noWrap/>
          </w:tcPr>
          <w:p w14:paraId="63CD47B5" w14:textId="195CF895"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6"/>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6"/>
                <w14:textFill>
                  <w14:solidFill>
                    <w14:srgbClr w14:val="000000">
                      <w14:alpha w14:val="100000"/>
                    </w14:srgbClr>
                  </w14:solidFill>
                </w14:textFill>
              </w:rPr>
              <w:t>|</w:t>
            </w:r>
            <w:r w:rsidR="005A7FF1">
              <w:rPr>
                <w:rFonts w:ascii="Arial Narrow" w:hAnsi="Arial Narrow"/>
                <w:sz w:val="20"/>
                <w:szCs w:val="20"/>
                <w:vertAlign w:val="superscript"/>
              </w:rPr>
              <w:t>2</w:t>
            </w:r>
          </w:p>
        </w:tc>
        <w:tc>
          <w:tcPr>
            <w:tcW w:w="660" w:type="pct"/>
          </w:tcPr>
          <w:p w14:paraId="3FE70FEE" w14:textId="648C1946" w:rsidR="00DE1FFD" w:rsidRPr="005A7FF1" w:rsidRDefault="00BA039D" w:rsidP="0025134D">
            <w:pPr>
              <w:jc w:val="center"/>
              <w:rPr>
                <w:rFonts w:ascii="Arial Narrow" w:hAnsi="Arial Narrow"/>
                <w:sz w:val="20"/>
                <w:szCs w:val="20"/>
                <w:highlight w:val="darkGray"/>
              </w:rPr>
            </w:pPr>
            <w:r w:rsidRPr="00BA039D">
              <w:rPr>
                <w:rFonts w:ascii="Arial Narrow" w:hAnsi="Arial Narrow"/>
                <w:color w:val="000000"/>
                <w:spacing w:val="35"/>
                <w:sz w:val="20"/>
                <w:szCs w:val="20"/>
                <w:shd w:val="solid" w:color="000000" w:fill="000000"/>
                <w:fitText w:val="433" w:id="-1233442545"/>
                <w14:textFill>
                  <w14:solidFill>
                    <w14:srgbClr w14:val="000000">
                      <w14:alpha w14:val="100000"/>
                    </w14:srgbClr>
                  </w14:solidFill>
                </w14:textFill>
              </w:rPr>
              <w:t>|||||</w:t>
            </w:r>
            <w:r w:rsidRPr="00BA039D">
              <w:rPr>
                <w:rFonts w:ascii="Arial Narrow" w:hAnsi="Arial Narrow"/>
                <w:color w:val="000000"/>
                <w:spacing w:val="3"/>
                <w:sz w:val="20"/>
                <w:szCs w:val="20"/>
                <w:shd w:val="solid" w:color="000000" w:fill="000000"/>
                <w:fitText w:val="433" w:id="-1233442545"/>
                <w14:textFill>
                  <w14:solidFill>
                    <w14:srgbClr w14:val="000000">
                      <w14:alpha w14:val="100000"/>
                    </w14:srgbClr>
                  </w14:solidFill>
                </w14:textFill>
              </w:rPr>
              <w:t>|</w:t>
            </w:r>
            <w:r w:rsidR="005A7FF1">
              <w:rPr>
                <w:rFonts w:ascii="Arial Narrow" w:hAnsi="Arial Narrow"/>
                <w:sz w:val="20"/>
                <w:szCs w:val="20"/>
                <w:vertAlign w:val="superscript"/>
              </w:rPr>
              <w:t>2</w:t>
            </w:r>
          </w:p>
        </w:tc>
      </w:tr>
    </w:tbl>
    <w:p w14:paraId="5622B2F2" w14:textId="4D30DCE8" w:rsidR="0025134D" w:rsidRPr="00AD7238" w:rsidRDefault="0025134D" w:rsidP="0025134D">
      <w:pPr>
        <w:rPr>
          <w:rFonts w:ascii="Arial Narrow" w:hAnsi="Arial Narrow"/>
          <w:sz w:val="18"/>
          <w:szCs w:val="18"/>
        </w:rPr>
      </w:pPr>
      <w:r w:rsidRPr="00AD7238">
        <w:rPr>
          <w:rFonts w:ascii="Arial Narrow" w:hAnsi="Arial Narrow"/>
          <w:sz w:val="18"/>
          <w:szCs w:val="18"/>
        </w:rPr>
        <w:t xml:space="preserve">Source: Table 3-56 and 3-57, pp207-208 and pp214-215 of the </w:t>
      </w:r>
      <w:r w:rsidR="00815FA2" w:rsidRPr="00AD7238">
        <w:rPr>
          <w:rFonts w:ascii="Arial Narrow" w:hAnsi="Arial Narrow"/>
          <w:sz w:val="18"/>
          <w:szCs w:val="18"/>
        </w:rPr>
        <w:t>re</w:t>
      </w:r>
      <w:r w:rsidRPr="00AD7238">
        <w:rPr>
          <w:rFonts w:ascii="Arial Narrow" w:hAnsi="Arial Narrow"/>
          <w:sz w:val="18"/>
          <w:szCs w:val="18"/>
        </w:rPr>
        <w:t xml:space="preserve">submission. </w:t>
      </w:r>
    </w:p>
    <w:p w14:paraId="0C37DAA3" w14:textId="450C8DE7" w:rsidR="0025134D" w:rsidRDefault="0025134D" w:rsidP="005A7FF1">
      <w:pPr>
        <w:rPr>
          <w:rFonts w:ascii="Arial Narrow" w:hAnsi="Arial Narrow"/>
          <w:sz w:val="18"/>
          <w:szCs w:val="18"/>
        </w:rPr>
      </w:pPr>
      <w:r w:rsidRPr="00AD7238">
        <w:rPr>
          <w:rFonts w:ascii="Arial Narrow" w:hAnsi="Arial Narrow"/>
          <w:sz w:val="18"/>
          <w:szCs w:val="18"/>
        </w:rPr>
        <w:t>HZ</w:t>
      </w:r>
      <w:r w:rsidR="009E6AE9" w:rsidRPr="00AD7238">
        <w:rPr>
          <w:rFonts w:ascii="Arial Narrow" w:hAnsi="Arial Narrow"/>
          <w:sz w:val="18"/>
          <w:szCs w:val="18"/>
        </w:rPr>
        <w:t xml:space="preserve"> = </w:t>
      </w:r>
      <w:r w:rsidRPr="00AD7238">
        <w:rPr>
          <w:rFonts w:ascii="Arial Narrow" w:hAnsi="Arial Narrow"/>
          <w:sz w:val="18"/>
          <w:szCs w:val="18"/>
        </w:rPr>
        <w:t>herpes zoster; ICER</w:t>
      </w:r>
      <w:r w:rsidR="009E6AE9" w:rsidRPr="00AD7238">
        <w:rPr>
          <w:rFonts w:ascii="Arial Narrow" w:hAnsi="Arial Narrow"/>
          <w:sz w:val="18"/>
          <w:szCs w:val="18"/>
        </w:rPr>
        <w:t xml:space="preserve"> = </w:t>
      </w:r>
      <w:r w:rsidRPr="00AD7238">
        <w:rPr>
          <w:rFonts w:ascii="Arial Narrow" w:hAnsi="Arial Narrow"/>
          <w:sz w:val="18"/>
          <w:szCs w:val="18"/>
        </w:rPr>
        <w:t>incremental cost-effectiveness ratio / cost per QALY; LY</w:t>
      </w:r>
      <w:r w:rsidR="009E6AE9" w:rsidRPr="00AD7238">
        <w:rPr>
          <w:rFonts w:ascii="Arial Narrow" w:hAnsi="Arial Narrow"/>
          <w:sz w:val="18"/>
          <w:szCs w:val="18"/>
        </w:rPr>
        <w:t xml:space="preserve"> = </w:t>
      </w:r>
      <w:r w:rsidRPr="00AD7238">
        <w:rPr>
          <w:rFonts w:ascii="Arial Narrow" w:hAnsi="Arial Narrow"/>
          <w:sz w:val="18"/>
          <w:szCs w:val="18"/>
        </w:rPr>
        <w:t>life year; NNV</w:t>
      </w:r>
      <w:r w:rsidR="009E6AE9" w:rsidRPr="00AD7238">
        <w:rPr>
          <w:rFonts w:ascii="Arial Narrow" w:hAnsi="Arial Narrow"/>
          <w:sz w:val="18"/>
          <w:szCs w:val="18"/>
        </w:rPr>
        <w:t xml:space="preserve"> = </w:t>
      </w:r>
      <w:r w:rsidRPr="00AD7238">
        <w:rPr>
          <w:rFonts w:ascii="Arial Narrow" w:hAnsi="Arial Narrow"/>
          <w:sz w:val="18"/>
          <w:szCs w:val="18"/>
        </w:rPr>
        <w:t>number needed to vaccinate; PHN</w:t>
      </w:r>
      <w:r w:rsidR="009E6AE9" w:rsidRPr="00AD7238">
        <w:rPr>
          <w:rFonts w:ascii="Arial Narrow" w:hAnsi="Arial Narrow"/>
          <w:sz w:val="18"/>
          <w:szCs w:val="18"/>
        </w:rPr>
        <w:t xml:space="preserve"> = </w:t>
      </w:r>
      <w:r w:rsidRPr="00AD7238">
        <w:rPr>
          <w:rFonts w:ascii="Arial Narrow" w:hAnsi="Arial Narrow"/>
          <w:sz w:val="18"/>
          <w:szCs w:val="18"/>
        </w:rPr>
        <w:t>post-herpetic neuralgia; QALY</w:t>
      </w:r>
      <w:r w:rsidR="009E6AE9" w:rsidRPr="00AD7238">
        <w:rPr>
          <w:rFonts w:ascii="Arial Narrow" w:hAnsi="Arial Narrow"/>
          <w:sz w:val="18"/>
          <w:szCs w:val="18"/>
        </w:rPr>
        <w:t xml:space="preserve"> = </w:t>
      </w:r>
      <w:r w:rsidRPr="00AD7238">
        <w:rPr>
          <w:rFonts w:ascii="Arial Narrow" w:hAnsi="Arial Narrow"/>
          <w:sz w:val="18"/>
          <w:szCs w:val="18"/>
        </w:rPr>
        <w:t>quality-adjusted life year; RZV</w:t>
      </w:r>
      <w:r w:rsidR="009E6AE9" w:rsidRPr="00AD7238">
        <w:rPr>
          <w:rFonts w:ascii="Arial Narrow" w:hAnsi="Arial Narrow"/>
          <w:sz w:val="18"/>
          <w:szCs w:val="18"/>
        </w:rPr>
        <w:t xml:space="preserve"> = </w:t>
      </w:r>
      <w:r w:rsidRPr="00AD7238">
        <w:rPr>
          <w:rFonts w:ascii="Arial Narrow" w:hAnsi="Arial Narrow"/>
          <w:sz w:val="18"/>
          <w:szCs w:val="18"/>
        </w:rPr>
        <w:t>recombinant zoster vaccine (</w:t>
      </w:r>
      <w:r w:rsidRPr="00615B0D">
        <w:rPr>
          <w:rFonts w:ascii="Arial Narrow" w:hAnsi="Arial Narrow"/>
          <w:iCs/>
          <w:sz w:val="18"/>
          <w:szCs w:val="18"/>
        </w:rPr>
        <w:t>Shingrix</w:t>
      </w:r>
      <w:r w:rsidRPr="00AD7238">
        <w:rPr>
          <w:rFonts w:ascii="Arial Narrow" w:hAnsi="Arial Narrow"/>
          <w:sz w:val="18"/>
          <w:szCs w:val="18"/>
        </w:rPr>
        <w:t>).</w:t>
      </w:r>
    </w:p>
    <w:p w14:paraId="35B24C64" w14:textId="77777777" w:rsidR="005A7FF1" w:rsidRPr="009A6D58" w:rsidRDefault="005A7FF1" w:rsidP="005A7FF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42960A3" w14:textId="41F23974" w:rsidR="005A7FF1" w:rsidRPr="009A6D58" w:rsidRDefault="005A7FF1" w:rsidP="005A7FF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A7FF1">
        <w:rPr>
          <w:rFonts w:ascii="Arial Narrow" w:hAnsi="Arial Narrow"/>
          <w:i/>
          <w:sz w:val="18"/>
          <w:szCs w:val="18"/>
        </w:rPr>
        <w:t>$45,000 to &lt; $55,000</w:t>
      </w:r>
    </w:p>
    <w:p w14:paraId="126D0B8F" w14:textId="14C94243" w:rsidR="005A7FF1" w:rsidRPr="009A6D58" w:rsidRDefault="005A7FF1" w:rsidP="005A7FF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A7FF1">
        <w:rPr>
          <w:rFonts w:ascii="Arial Narrow" w:hAnsi="Arial Narrow"/>
          <w:i/>
          <w:sz w:val="18"/>
          <w:szCs w:val="18"/>
        </w:rPr>
        <w:t>$55,000 to &lt; $75,000</w:t>
      </w:r>
    </w:p>
    <w:p w14:paraId="7C612538" w14:textId="7EBAD0F2" w:rsidR="005A7FF1" w:rsidRDefault="005A7FF1" w:rsidP="005A7FF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A7FF1">
        <w:rPr>
          <w:rFonts w:ascii="Arial Narrow" w:hAnsi="Arial Narrow"/>
          <w:i/>
          <w:sz w:val="18"/>
          <w:szCs w:val="18"/>
        </w:rPr>
        <w:t>$15,000 to &lt; $25,000</w:t>
      </w:r>
    </w:p>
    <w:p w14:paraId="35DDBEFE" w14:textId="69A63D73" w:rsidR="005A7FF1" w:rsidRDefault="005A7FF1" w:rsidP="005A7FF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A7FF1">
        <w:rPr>
          <w:rFonts w:ascii="Arial Narrow" w:hAnsi="Arial Narrow"/>
          <w:i/>
          <w:sz w:val="18"/>
          <w:szCs w:val="18"/>
        </w:rPr>
        <w:t>$35,000 to &lt; $45,000</w:t>
      </w:r>
    </w:p>
    <w:p w14:paraId="16F4F49C" w14:textId="3B4291ED" w:rsidR="005A7FF1" w:rsidRDefault="005A7FF1" w:rsidP="005A7FF1">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A7FF1">
        <w:rPr>
          <w:rFonts w:ascii="Arial Narrow" w:hAnsi="Arial Narrow"/>
          <w:i/>
          <w:sz w:val="18"/>
          <w:szCs w:val="18"/>
        </w:rPr>
        <w:t>$95,000 to &lt; $115,000</w:t>
      </w:r>
    </w:p>
    <w:p w14:paraId="2AA0EC98" w14:textId="6A4A0299" w:rsidR="00D73D20" w:rsidRPr="00AD7238" w:rsidRDefault="00D73D20" w:rsidP="00D73D20">
      <w:pPr>
        <w:pStyle w:val="3-BodyText"/>
        <w:rPr>
          <w:rStyle w:val="CommentReference"/>
          <w:rFonts w:asciiTheme="minorHAnsi" w:hAnsiTheme="minorHAnsi"/>
          <w:b w:val="0"/>
          <w:sz w:val="24"/>
          <w:szCs w:val="24"/>
        </w:rPr>
      </w:pPr>
      <w:r w:rsidRPr="00AD7238">
        <w:rPr>
          <w:rStyle w:val="CommentReference"/>
          <w:rFonts w:asciiTheme="minorHAnsi" w:hAnsiTheme="minorHAnsi"/>
          <w:b w:val="0"/>
          <w:sz w:val="24"/>
          <w:szCs w:val="24"/>
        </w:rPr>
        <w:t xml:space="preserve">The results of key univariate sensitivity analyses are summarised in </w:t>
      </w:r>
      <w:r w:rsidRPr="00AD7238">
        <w:rPr>
          <w:rStyle w:val="CommentReference"/>
          <w:rFonts w:asciiTheme="minorHAnsi" w:hAnsiTheme="minorHAnsi"/>
          <w:b w:val="0"/>
          <w:sz w:val="24"/>
          <w:szCs w:val="24"/>
        </w:rPr>
        <w:fldChar w:fldCharType="begin" w:fldLock="1"/>
      </w:r>
      <w:r w:rsidRPr="00AD7238">
        <w:rPr>
          <w:rStyle w:val="CommentReference"/>
          <w:rFonts w:asciiTheme="minorHAnsi" w:hAnsiTheme="minorHAnsi"/>
          <w:b w:val="0"/>
          <w:sz w:val="24"/>
          <w:szCs w:val="24"/>
        </w:rPr>
        <w:instrText xml:space="preserve"> REF _Ref122266952 \h </w:instrText>
      </w:r>
      <w:r w:rsidRPr="00AD7238">
        <w:rPr>
          <w:rStyle w:val="CommentReference"/>
          <w:rFonts w:asciiTheme="minorHAnsi" w:hAnsiTheme="minorHAnsi"/>
          <w:b w:val="0"/>
          <w:sz w:val="24"/>
          <w:szCs w:val="24"/>
        </w:rPr>
      </w:r>
      <w:r w:rsidRPr="00AD7238">
        <w:rPr>
          <w:rStyle w:val="CommentReference"/>
          <w:rFonts w:asciiTheme="minorHAnsi" w:hAnsiTheme="minorHAnsi"/>
          <w:b w:val="0"/>
          <w:sz w:val="24"/>
          <w:szCs w:val="24"/>
        </w:rPr>
        <w:fldChar w:fldCharType="separate"/>
      </w:r>
      <w:r w:rsidR="00602E99" w:rsidRPr="00AD7238">
        <w:t xml:space="preserve">Table </w:t>
      </w:r>
      <w:r w:rsidR="00602E99">
        <w:rPr>
          <w:noProof/>
        </w:rPr>
        <w:t>15</w:t>
      </w:r>
      <w:r w:rsidRPr="00AD7238">
        <w:rPr>
          <w:rStyle w:val="CommentReference"/>
          <w:rFonts w:asciiTheme="minorHAnsi" w:hAnsiTheme="minorHAnsi"/>
          <w:b w:val="0"/>
          <w:sz w:val="24"/>
          <w:szCs w:val="24"/>
        </w:rPr>
        <w:fldChar w:fldCharType="end"/>
      </w:r>
      <w:r w:rsidRPr="00AD7238">
        <w:rPr>
          <w:rStyle w:val="CommentReference"/>
          <w:rFonts w:asciiTheme="minorHAnsi" w:hAnsiTheme="minorHAnsi"/>
          <w:b w:val="0"/>
          <w:sz w:val="24"/>
          <w:szCs w:val="24"/>
        </w:rPr>
        <w:t xml:space="preserve"> for non-Indigenous adults </w:t>
      </w:r>
      <w:r w:rsidR="00693FCC" w:rsidRPr="00AD7238">
        <w:rPr>
          <w:rStyle w:val="CommentReference"/>
          <w:rFonts w:asciiTheme="minorHAnsi" w:hAnsiTheme="minorHAnsi" w:cstheme="minorBidi"/>
          <w:b w:val="0"/>
          <w:sz w:val="24"/>
          <w:szCs w:val="24"/>
        </w:rPr>
        <w:t>≥</w:t>
      </w:r>
      <w:r w:rsidRPr="00AD7238">
        <w:rPr>
          <w:rStyle w:val="CommentReference"/>
          <w:rFonts w:asciiTheme="minorHAnsi" w:hAnsiTheme="minorHAnsi"/>
          <w:b w:val="0"/>
          <w:sz w:val="24"/>
          <w:szCs w:val="24"/>
        </w:rPr>
        <w:t xml:space="preserve">65 YOA and </w:t>
      </w:r>
      <w:r w:rsidRPr="00322CDD">
        <w:rPr>
          <w:rStyle w:val="CommentReference"/>
          <w:rFonts w:asciiTheme="minorHAnsi" w:hAnsiTheme="minorHAnsi" w:cstheme="minorHAnsi"/>
          <w:b w:val="0"/>
          <w:sz w:val="24"/>
          <w:szCs w:val="24"/>
        </w:rPr>
        <w:t xml:space="preserve">in </w:t>
      </w:r>
      <w:r w:rsidRPr="00322CDD">
        <w:rPr>
          <w:rStyle w:val="CommentReference"/>
          <w:rFonts w:asciiTheme="minorHAnsi" w:hAnsiTheme="minorHAnsi" w:cstheme="minorHAnsi"/>
          <w:b w:val="0"/>
          <w:sz w:val="24"/>
          <w:szCs w:val="24"/>
        </w:rPr>
        <w:fldChar w:fldCharType="begin" w:fldLock="1"/>
      </w:r>
      <w:r w:rsidRPr="00322CDD">
        <w:rPr>
          <w:rStyle w:val="CommentReference"/>
          <w:rFonts w:asciiTheme="minorHAnsi" w:hAnsiTheme="minorHAnsi" w:cstheme="minorHAnsi"/>
          <w:b w:val="0"/>
          <w:sz w:val="24"/>
          <w:szCs w:val="24"/>
        </w:rPr>
        <w:instrText xml:space="preserve"> REF _Ref122266959 \h </w:instrText>
      </w:r>
      <w:r w:rsidR="00322CDD" w:rsidRPr="00322CDD">
        <w:rPr>
          <w:rStyle w:val="CommentReference"/>
          <w:rFonts w:asciiTheme="minorHAnsi" w:hAnsiTheme="minorHAnsi" w:cstheme="minorHAnsi"/>
          <w:b w:val="0"/>
          <w:sz w:val="24"/>
          <w:szCs w:val="24"/>
        </w:rPr>
        <w:instrText xml:space="preserve"> \* MERGEFORMAT </w:instrText>
      </w:r>
      <w:r w:rsidRPr="00322CDD">
        <w:rPr>
          <w:rStyle w:val="CommentReference"/>
          <w:rFonts w:asciiTheme="minorHAnsi" w:hAnsiTheme="minorHAnsi" w:cstheme="minorHAnsi"/>
          <w:b w:val="0"/>
          <w:sz w:val="24"/>
          <w:szCs w:val="24"/>
        </w:rPr>
      </w:r>
      <w:r w:rsidRPr="00322CDD">
        <w:rPr>
          <w:rStyle w:val="CommentReference"/>
          <w:rFonts w:asciiTheme="minorHAnsi" w:hAnsiTheme="minorHAnsi" w:cstheme="minorHAnsi"/>
          <w:b w:val="0"/>
          <w:sz w:val="24"/>
          <w:szCs w:val="24"/>
        </w:rPr>
        <w:fldChar w:fldCharType="separate"/>
      </w:r>
      <w:r w:rsidR="00602E99" w:rsidRPr="00602E99">
        <w:rPr>
          <w:rStyle w:val="CommentReference"/>
          <w:rFonts w:asciiTheme="minorHAnsi" w:hAnsiTheme="minorHAnsi" w:cstheme="minorHAnsi"/>
          <w:b w:val="0"/>
          <w:sz w:val="24"/>
          <w:szCs w:val="24"/>
        </w:rPr>
        <w:t xml:space="preserve">Table </w:t>
      </w:r>
      <w:r w:rsidR="00602E99" w:rsidRPr="00602E99">
        <w:rPr>
          <w:rStyle w:val="CommentReference"/>
          <w:rFonts w:asciiTheme="minorHAnsi" w:hAnsiTheme="minorHAnsi" w:cstheme="minorHAnsi"/>
          <w:b w:val="0"/>
          <w:noProof/>
          <w:sz w:val="24"/>
          <w:szCs w:val="24"/>
        </w:rPr>
        <w:t>16</w:t>
      </w:r>
      <w:r w:rsidRPr="00322CDD">
        <w:rPr>
          <w:rStyle w:val="CommentReference"/>
          <w:rFonts w:asciiTheme="minorHAnsi" w:hAnsiTheme="minorHAnsi" w:cstheme="minorHAnsi"/>
          <w:b w:val="0"/>
          <w:sz w:val="24"/>
          <w:szCs w:val="24"/>
        </w:rPr>
        <w:fldChar w:fldCharType="end"/>
      </w:r>
      <w:r w:rsidRPr="00322CDD">
        <w:rPr>
          <w:rStyle w:val="CommentReference"/>
          <w:rFonts w:asciiTheme="minorHAnsi" w:hAnsiTheme="minorHAnsi" w:cstheme="minorHAnsi"/>
          <w:b w:val="0"/>
          <w:sz w:val="24"/>
          <w:szCs w:val="24"/>
        </w:rPr>
        <w:t xml:space="preserve"> for</w:t>
      </w:r>
      <w:r w:rsidRPr="00AD7238">
        <w:rPr>
          <w:rStyle w:val="CommentReference"/>
          <w:rFonts w:asciiTheme="minorHAnsi" w:hAnsiTheme="minorHAnsi"/>
          <w:b w:val="0"/>
          <w:sz w:val="24"/>
          <w:szCs w:val="24"/>
        </w:rPr>
        <w:t xml:space="preserve"> </w:t>
      </w:r>
      <w:r w:rsidR="00A731F6" w:rsidRPr="00AD7238">
        <w:rPr>
          <w:rStyle w:val="CommentReference"/>
          <w:rFonts w:asciiTheme="minorHAnsi" w:hAnsiTheme="minorHAnsi"/>
          <w:b w:val="0"/>
          <w:sz w:val="24"/>
          <w:szCs w:val="24"/>
        </w:rPr>
        <w:t xml:space="preserve">Aboriginal and Torres Strait Islander </w:t>
      </w:r>
      <w:r w:rsidR="00DE1FFD" w:rsidRPr="00AD7238">
        <w:rPr>
          <w:rStyle w:val="CommentReference"/>
          <w:rFonts w:asciiTheme="minorHAnsi" w:hAnsiTheme="minorHAnsi"/>
          <w:b w:val="0"/>
          <w:sz w:val="24"/>
          <w:szCs w:val="24"/>
        </w:rPr>
        <w:t>adults</w:t>
      </w:r>
      <w:r w:rsidR="00A731F6" w:rsidRPr="00AD7238">
        <w:rPr>
          <w:rStyle w:val="CommentReference"/>
          <w:rFonts w:asciiTheme="minorHAnsi" w:hAnsiTheme="minorHAnsi"/>
          <w:b w:val="0"/>
          <w:sz w:val="24"/>
          <w:szCs w:val="24"/>
        </w:rPr>
        <w:t xml:space="preserve"> </w:t>
      </w:r>
      <w:r w:rsidR="00693FCC" w:rsidRPr="00AD7238">
        <w:rPr>
          <w:rStyle w:val="CommentReference"/>
          <w:rFonts w:asciiTheme="minorHAnsi" w:hAnsiTheme="minorHAnsi" w:cstheme="minorBidi"/>
          <w:b w:val="0"/>
          <w:sz w:val="24"/>
          <w:szCs w:val="24"/>
        </w:rPr>
        <w:t>≥</w:t>
      </w:r>
      <w:r w:rsidRPr="00AD7238">
        <w:rPr>
          <w:rStyle w:val="CommentReference"/>
          <w:rFonts w:asciiTheme="minorHAnsi" w:hAnsiTheme="minorHAnsi"/>
          <w:b w:val="0"/>
          <w:sz w:val="24"/>
          <w:szCs w:val="24"/>
        </w:rPr>
        <w:t>50 YOA.</w:t>
      </w:r>
    </w:p>
    <w:p w14:paraId="7AA13E2F" w14:textId="68280710" w:rsidR="00D73D20" w:rsidRPr="00AD7238" w:rsidRDefault="00D73D20" w:rsidP="00D73D20">
      <w:pPr>
        <w:pStyle w:val="Caption"/>
        <w:rPr>
          <w:rStyle w:val="CommentReference"/>
          <w:b/>
        </w:rPr>
      </w:pPr>
      <w:bookmarkStart w:id="56" w:name="_Ref122266952"/>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15</w:t>
      </w:r>
      <w:r w:rsidR="000442ED">
        <w:rPr>
          <w:noProof/>
        </w:rPr>
        <w:fldChar w:fldCharType="end"/>
      </w:r>
      <w:bookmarkEnd w:id="56"/>
      <w:r w:rsidRPr="00AD7238">
        <w:rPr>
          <w:rStyle w:val="CommentReference"/>
          <w:b/>
        </w:rPr>
        <w:t xml:space="preserve">: Results of sensitivity analyses for RZV vs no vaccine, </w:t>
      </w:r>
      <w:r w:rsidR="7AE11D4C" w:rsidRPr="00AD7238">
        <w:rPr>
          <w:rStyle w:val="CommentReference"/>
          <w:b/>
        </w:rPr>
        <w:t>non-</w:t>
      </w:r>
      <w:r w:rsidRPr="00AD7238">
        <w:rPr>
          <w:rStyle w:val="CommentReference"/>
          <w:b/>
        </w:rPr>
        <w:t xml:space="preserve">Indigenous adults </w:t>
      </w:r>
      <w:r w:rsidRPr="00AD7238">
        <w:rPr>
          <w:rStyle w:val="CommentReference"/>
          <w:b/>
          <w:u w:val="single"/>
        </w:rPr>
        <w:t>&gt;</w:t>
      </w:r>
      <w:r w:rsidRPr="00AD7238">
        <w:rPr>
          <w:rStyle w:val="CommentReference"/>
          <w:b/>
        </w:rPr>
        <w:t xml:space="preserve"> 65 YOA</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279"/>
        <w:gridCol w:w="1273"/>
        <w:gridCol w:w="1121"/>
        <w:gridCol w:w="839"/>
      </w:tblGrid>
      <w:tr w:rsidR="00271927" w:rsidRPr="00615B0D" w14:paraId="24BE31C4" w14:textId="77777777" w:rsidTr="00BA039D">
        <w:trPr>
          <w:tblHeader/>
        </w:trPr>
        <w:tc>
          <w:tcPr>
            <w:tcW w:w="4531" w:type="dxa"/>
            <w:tcBorders>
              <w:top w:val="single" w:sz="4" w:space="0" w:color="auto"/>
              <w:left w:val="single" w:sz="4" w:space="0" w:color="auto"/>
              <w:bottom w:val="single" w:sz="4" w:space="0" w:color="auto"/>
              <w:right w:val="single" w:sz="4" w:space="0" w:color="auto"/>
            </w:tcBorders>
          </w:tcPr>
          <w:p w14:paraId="76033052" w14:textId="77777777" w:rsidR="00271927" w:rsidRPr="00615B0D" w:rsidRDefault="00271927">
            <w:pPr>
              <w:widowControl w:val="0"/>
              <w:rPr>
                <w:rFonts w:ascii="Arial Narrow" w:eastAsia="MS Gothic" w:hAnsi="Arial Narrow" w:cs="Times New Roman"/>
                <w:b/>
                <w:bCs/>
                <w:sz w:val="20"/>
              </w:rPr>
            </w:pPr>
            <w:r w:rsidRPr="00615B0D">
              <w:rPr>
                <w:rFonts w:ascii="Arial Narrow" w:eastAsia="MS Gothic" w:hAnsi="Arial Narrow" w:cs="Times New Roman"/>
                <w:b/>
                <w:bCs/>
                <w:sz w:val="20"/>
              </w:rPr>
              <w:t>Analyses</w:t>
            </w:r>
          </w:p>
        </w:tc>
        <w:tc>
          <w:tcPr>
            <w:tcW w:w="1279" w:type="dxa"/>
            <w:tcBorders>
              <w:top w:val="single" w:sz="4" w:space="0" w:color="auto"/>
              <w:left w:val="single" w:sz="4" w:space="0" w:color="auto"/>
              <w:bottom w:val="single" w:sz="4" w:space="0" w:color="auto"/>
              <w:right w:val="single" w:sz="4" w:space="0" w:color="auto"/>
            </w:tcBorders>
          </w:tcPr>
          <w:p w14:paraId="7361AA07" w14:textId="1B8112A9" w:rsidR="00271927" w:rsidRPr="00615B0D" w:rsidRDefault="00271927">
            <w:pPr>
              <w:widowControl w:val="0"/>
              <w:jc w:val="center"/>
              <w:rPr>
                <w:rFonts w:ascii="Arial Narrow" w:eastAsia="MS Gothic" w:hAnsi="Arial Narrow" w:cs="Times New Roman"/>
                <w:b/>
                <w:bCs/>
                <w:sz w:val="20"/>
              </w:rPr>
            </w:pPr>
            <w:r w:rsidRPr="00615B0D">
              <w:rPr>
                <w:rFonts w:ascii="Arial Narrow" w:eastAsia="MS Gothic" w:hAnsi="Arial Narrow" w:cs="Times New Roman"/>
                <w:b/>
                <w:bCs/>
                <w:sz w:val="20"/>
              </w:rPr>
              <w:t>Incremental cost (discounted)</w:t>
            </w:r>
            <w:r w:rsidR="005A7FF1">
              <w:rPr>
                <w:rFonts w:ascii="Arial Narrow" w:eastAsia="MS Gothic" w:hAnsi="Arial Narrow" w:cs="Times New Roman"/>
                <w:b/>
                <w:bCs/>
                <w:sz w:val="20"/>
              </w:rPr>
              <w:t xml:space="preserve"> ($)</w:t>
            </w:r>
          </w:p>
        </w:tc>
        <w:tc>
          <w:tcPr>
            <w:tcW w:w="1273" w:type="dxa"/>
            <w:tcBorders>
              <w:top w:val="single" w:sz="4" w:space="0" w:color="auto"/>
              <w:left w:val="single" w:sz="4" w:space="0" w:color="auto"/>
              <w:bottom w:val="single" w:sz="4" w:space="0" w:color="auto"/>
              <w:right w:val="single" w:sz="4" w:space="0" w:color="auto"/>
            </w:tcBorders>
          </w:tcPr>
          <w:p w14:paraId="04C4D2A5" w14:textId="77777777" w:rsidR="00271927" w:rsidRPr="00615B0D" w:rsidRDefault="00271927">
            <w:pPr>
              <w:widowControl w:val="0"/>
              <w:jc w:val="center"/>
              <w:rPr>
                <w:rFonts w:ascii="Arial Narrow" w:eastAsia="MS Gothic" w:hAnsi="Arial Narrow" w:cs="Times New Roman"/>
                <w:b/>
                <w:bCs/>
                <w:sz w:val="20"/>
              </w:rPr>
            </w:pPr>
            <w:r w:rsidRPr="00615B0D">
              <w:rPr>
                <w:rFonts w:ascii="Arial Narrow" w:eastAsia="MS Gothic" w:hAnsi="Arial Narrow" w:cs="Times New Roman"/>
                <w:b/>
                <w:bCs/>
                <w:sz w:val="20"/>
              </w:rPr>
              <w:t>Incremental QALY (discounted)</w:t>
            </w:r>
          </w:p>
        </w:tc>
        <w:tc>
          <w:tcPr>
            <w:tcW w:w="1121" w:type="dxa"/>
            <w:tcBorders>
              <w:top w:val="single" w:sz="4" w:space="0" w:color="auto"/>
              <w:left w:val="single" w:sz="4" w:space="0" w:color="auto"/>
              <w:bottom w:val="single" w:sz="4" w:space="0" w:color="auto"/>
              <w:right w:val="single" w:sz="4" w:space="0" w:color="auto"/>
            </w:tcBorders>
          </w:tcPr>
          <w:p w14:paraId="0DD1C069" w14:textId="77777777" w:rsidR="00271927" w:rsidRPr="00615B0D" w:rsidRDefault="00271927">
            <w:pPr>
              <w:widowControl w:val="0"/>
              <w:jc w:val="center"/>
              <w:rPr>
                <w:rFonts w:ascii="Arial Narrow" w:eastAsia="MS Gothic" w:hAnsi="Arial Narrow" w:cs="Times New Roman"/>
                <w:b/>
                <w:bCs/>
                <w:sz w:val="20"/>
              </w:rPr>
            </w:pPr>
            <w:r w:rsidRPr="00615B0D">
              <w:rPr>
                <w:rFonts w:ascii="Arial Narrow" w:eastAsia="MS Gothic" w:hAnsi="Arial Narrow" w:cs="Times New Roman"/>
                <w:b/>
                <w:bCs/>
                <w:sz w:val="20"/>
              </w:rPr>
              <w:t>ICER</w:t>
            </w:r>
          </w:p>
        </w:tc>
        <w:tc>
          <w:tcPr>
            <w:tcW w:w="839" w:type="dxa"/>
            <w:tcBorders>
              <w:top w:val="single" w:sz="4" w:space="0" w:color="auto"/>
              <w:left w:val="single" w:sz="4" w:space="0" w:color="auto"/>
              <w:bottom w:val="single" w:sz="4" w:space="0" w:color="auto"/>
              <w:right w:val="single" w:sz="4" w:space="0" w:color="auto"/>
            </w:tcBorders>
          </w:tcPr>
          <w:p w14:paraId="42CF4606" w14:textId="77777777" w:rsidR="00271927" w:rsidRPr="00615B0D" w:rsidRDefault="00271927">
            <w:pPr>
              <w:widowControl w:val="0"/>
              <w:jc w:val="center"/>
              <w:rPr>
                <w:rFonts w:ascii="Arial Narrow" w:eastAsia="MS Gothic" w:hAnsi="Arial Narrow" w:cs="Times New Roman"/>
                <w:b/>
                <w:bCs/>
                <w:iCs/>
                <w:sz w:val="20"/>
              </w:rPr>
            </w:pPr>
            <w:r w:rsidRPr="00615B0D">
              <w:rPr>
                <w:rFonts w:ascii="Arial Narrow" w:eastAsia="MS Gothic" w:hAnsi="Arial Narrow" w:cs="Times New Roman"/>
                <w:b/>
                <w:bCs/>
                <w:iCs/>
                <w:sz w:val="20"/>
              </w:rPr>
              <w:t>% change to ICER</w:t>
            </w:r>
          </w:p>
        </w:tc>
      </w:tr>
      <w:tr w:rsidR="00271927" w:rsidRPr="00615B0D" w14:paraId="3672FE54" w14:textId="77777777" w:rsidTr="00BA039D">
        <w:trPr>
          <w:tblHeader/>
        </w:trPr>
        <w:tc>
          <w:tcPr>
            <w:tcW w:w="4531" w:type="dxa"/>
            <w:tcBorders>
              <w:top w:val="single" w:sz="4" w:space="0" w:color="auto"/>
              <w:left w:val="single" w:sz="4" w:space="0" w:color="auto"/>
              <w:bottom w:val="single" w:sz="4" w:space="0" w:color="auto"/>
              <w:right w:val="single" w:sz="4" w:space="0" w:color="auto"/>
            </w:tcBorders>
          </w:tcPr>
          <w:p w14:paraId="2F880106" w14:textId="77777777" w:rsidR="00271927" w:rsidRPr="00615B0D" w:rsidRDefault="00271927">
            <w:pPr>
              <w:widowControl w:val="0"/>
              <w:spacing w:after="120"/>
              <w:contextualSpacing/>
              <w:rPr>
                <w:rFonts w:ascii="Arial Narrow" w:hAnsi="Arial Narrow"/>
                <w:b/>
                <w:bCs/>
                <w:snapToGrid w:val="0"/>
                <w:sz w:val="20"/>
                <w:szCs w:val="20"/>
              </w:rPr>
            </w:pPr>
            <w:r w:rsidRPr="00615B0D">
              <w:rPr>
                <w:rFonts w:ascii="Arial Narrow" w:hAnsi="Arial Narrow"/>
                <w:b/>
                <w:bCs/>
                <w:snapToGrid w:val="0"/>
                <w:sz w:val="20"/>
                <w:szCs w:val="20"/>
              </w:rPr>
              <w:t>Base case</w:t>
            </w:r>
          </w:p>
        </w:tc>
        <w:tc>
          <w:tcPr>
            <w:tcW w:w="1279" w:type="dxa"/>
            <w:tcBorders>
              <w:top w:val="single" w:sz="4" w:space="0" w:color="auto"/>
              <w:left w:val="single" w:sz="4" w:space="0" w:color="auto"/>
              <w:bottom w:val="single" w:sz="4" w:space="0" w:color="auto"/>
              <w:right w:val="single" w:sz="4" w:space="0" w:color="auto"/>
            </w:tcBorders>
            <w:shd w:val="solid" w:color="000000" w:fill="000000"/>
          </w:tcPr>
          <w:p w14:paraId="0F9C0E56" w14:textId="4EFEB5A8" w:rsidR="00271927" w:rsidRPr="00BA039D" w:rsidRDefault="00BA039D">
            <w:pPr>
              <w:widowControl w:val="0"/>
              <w:spacing w:after="120"/>
              <w:contextualSpacing/>
              <w:jc w:val="center"/>
              <w:rPr>
                <w:rFonts w:ascii="Arial Narrow" w:hAnsi="Arial Narrow"/>
                <w:b/>
                <w:bCs/>
                <w:snapToGrid w:val="0"/>
                <w:sz w:val="20"/>
                <w:szCs w:val="20"/>
              </w:rPr>
            </w:pPr>
            <w:r w:rsidRPr="00BA039D">
              <w:rPr>
                <w:rFonts w:ascii="Arial Narrow" w:hAnsi="Arial Narrow"/>
                <w:b/>
                <w:bCs/>
                <w:snapToGrid w:val="0"/>
                <w:color w:val="000000"/>
                <w:spacing w:val="29"/>
                <w:sz w:val="20"/>
                <w:szCs w:val="20"/>
                <w:fitText w:val="424" w:id="-1233442544"/>
                <w14:textFill>
                  <w14:solidFill>
                    <w14:srgbClr w14:val="000000">
                      <w14:alpha w14:val="100000"/>
                    </w14:srgbClr>
                  </w14:solidFill>
                </w14:textFill>
              </w:rPr>
              <w:t>|||||</w:t>
            </w:r>
            <w:r w:rsidRPr="00BA039D">
              <w:rPr>
                <w:rFonts w:ascii="Arial Narrow" w:hAnsi="Arial Narrow"/>
                <w:b/>
                <w:bCs/>
                <w:snapToGrid w:val="0"/>
                <w:color w:val="000000"/>
                <w:spacing w:val="4"/>
                <w:sz w:val="20"/>
                <w:szCs w:val="20"/>
                <w:fitText w:val="424" w:id="-1233442544"/>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70DEB3D5" w14:textId="77777777" w:rsidR="00271927" w:rsidRPr="00615B0D" w:rsidRDefault="00271927">
            <w:pPr>
              <w:widowControl w:val="0"/>
              <w:spacing w:after="120"/>
              <w:contextualSpacing/>
              <w:jc w:val="center"/>
              <w:rPr>
                <w:rFonts w:ascii="Arial Narrow" w:hAnsi="Arial Narrow"/>
                <w:b/>
                <w:bCs/>
                <w:snapToGrid w:val="0"/>
                <w:sz w:val="20"/>
                <w:szCs w:val="20"/>
              </w:rPr>
            </w:pPr>
            <w:r w:rsidRPr="00615B0D">
              <w:rPr>
                <w:rFonts w:ascii="Arial Narrow" w:hAnsi="Arial Narrow"/>
                <w:b/>
                <w:bCs/>
                <w:snapToGrid w:val="0"/>
                <w:sz w:val="20"/>
                <w:szCs w:val="20"/>
              </w:rPr>
              <w:t>8,547</w:t>
            </w:r>
          </w:p>
        </w:tc>
        <w:tc>
          <w:tcPr>
            <w:tcW w:w="1121" w:type="dxa"/>
            <w:tcBorders>
              <w:top w:val="single" w:sz="4" w:space="0" w:color="auto"/>
              <w:left w:val="single" w:sz="4" w:space="0" w:color="auto"/>
              <w:bottom w:val="single" w:sz="4" w:space="0" w:color="auto"/>
              <w:right w:val="single" w:sz="4" w:space="0" w:color="auto"/>
            </w:tcBorders>
          </w:tcPr>
          <w:p w14:paraId="2AA5F43B" w14:textId="04229CBB" w:rsidR="00271927" w:rsidRPr="005A7FF1" w:rsidRDefault="00BA039D">
            <w:pPr>
              <w:widowControl w:val="0"/>
              <w:spacing w:after="120"/>
              <w:contextualSpacing/>
              <w:jc w:val="center"/>
              <w:rPr>
                <w:rFonts w:ascii="Arial Narrow" w:hAnsi="Arial Narrow"/>
                <w:b/>
                <w:bCs/>
                <w:snapToGrid w:val="0"/>
                <w:sz w:val="20"/>
                <w:szCs w:val="20"/>
                <w:highlight w:val="darkGray"/>
              </w:rPr>
            </w:pPr>
            <w:r w:rsidRPr="00BA039D">
              <w:rPr>
                <w:rFonts w:ascii="Arial Narrow" w:hAnsi="Arial Narrow"/>
                <w:b/>
                <w:bCs/>
                <w:snapToGrid w:val="0"/>
                <w:color w:val="000000"/>
                <w:spacing w:val="49"/>
                <w:sz w:val="20"/>
                <w:szCs w:val="20"/>
                <w:shd w:val="solid" w:color="000000" w:fill="000000"/>
                <w:fitText w:val="525" w:id="-1233442560"/>
                <w14:textFill>
                  <w14:solidFill>
                    <w14:srgbClr w14:val="000000">
                      <w14:alpha w14:val="100000"/>
                    </w14:srgbClr>
                  </w14:solidFill>
                </w14:textFill>
              </w:rPr>
              <w:t>|||||</w:t>
            </w:r>
            <w:r w:rsidRPr="00BA039D">
              <w:rPr>
                <w:rFonts w:ascii="Arial Narrow" w:hAnsi="Arial Narrow"/>
                <w:b/>
                <w:bCs/>
                <w:snapToGrid w:val="0"/>
                <w:color w:val="000000"/>
                <w:spacing w:val="5"/>
                <w:sz w:val="20"/>
                <w:szCs w:val="20"/>
                <w:shd w:val="solid" w:color="000000" w:fill="000000"/>
                <w:fitText w:val="525" w:id="-1233442560"/>
                <w14:textFill>
                  <w14:solidFill>
                    <w14:srgbClr w14:val="000000">
                      <w14:alpha w14:val="100000"/>
                    </w14:srgbClr>
                  </w14:solidFill>
                </w14:textFill>
              </w:rPr>
              <w:t>|</w:t>
            </w:r>
            <w:r w:rsidR="005A7FF1" w:rsidRPr="005A7FF1">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3B974D08" w14:textId="77777777" w:rsidR="00271927" w:rsidRPr="00615B0D" w:rsidRDefault="00271927">
            <w:pPr>
              <w:widowControl w:val="0"/>
              <w:spacing w:after="120"/>
              <w:contextualSpacing/>
              <w:jc w:val="center"/>
              <w:rPr>
                <w:rFonts w:ascii="Arial Narrow" w:hAnsi="Arial Narrow"/>
                <w:b/>
                <w:bCs/>
                <w:iCs/>
                <w:snapToGrid w:val="0"/>
                <w:sz w:val="20"/>
                <w:szCs w:val="20"/>
              </w:rPr>
            </w:pPr>
          </w:p>
        </w:tc>
      </w:tr>
      <w:tr w:rsidR="00271927" w:rsidRPr="00AD7238" w14:paraId="3E52D4B9"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7493AEDC" w14:textId="77777777" w:rsidR="00271927" w:rsidRPr="00AD7238" w:rsidRDefault="00271927">
            <w:pPr>
              <w:widowControl w:val="0"/>
              <w:rPr>
                <w:rFonts w:ascii="Arial Narrow" w:eastAsia="MS Gothic" w:hAnsi="Arial Narrow" w:cs="Times New Roman"/>
                <w:bCs/>
                <w:sz w:val="20"/>
                <w:szCs w:val="20"/>
              </w:rPr>
            </w:pPr>
            <w:r w:rsidRPr="00AD7238">
              <w:rPr>
                <w:rFonts w:ascii="Arial Narrow" w:eastAsia="MS Gothic" w:hAnsi="Arial Narrow" w:cs="Times New Roman"/>
                <w:bCs/>
                <w:sz w:val="20"/>
                <w:szCs w:val="20"/>
              </w:rPr>
              <w:t>Discount rate (base case 5% costs and outcomes)</w:t>
            </w:r>
          </w:p>
          <w:p w14:paraId="60A81FA9" w14:textId="77777777" w:rsidR="00271927" w:rsidRPr="00AD7238" w:rsidRDefault="00271927" w:rsidP="00D5557B">
            <w:pPr>
              <w:widowControl w:val="0"/>
              <w:numPr>
                <w:ilvl w:val="0"/>
                <w:numId w:val="19"/>
              </w:numPr>
              <w:ind w:left="449"/>
              <w:rPr>
                <w:rFonts w:ascii="Arial Narrow" w:eastAsia="MS Gothic" w:hAnsi="Arial Narrow" w:cs="Times New Roman"/>
                <w:bCs/>
                <w:sz w:val="20"/>
                <w:szCs w:val="20"/>
              </w:rPr>
            </w:pPr>
            <w:r w:rsidRPr="00AD7238">
              <w:rPr>
                <w:rFonts w:ascii="Arial Narrow" w:eastAsia="MS Gothic" w:hAnsi="Arial Narrow" w:cs="Times New Roman"/>
                <w:bCs/>
                <w:sz w:val="20"/>
                <w:szCs w:val="20"/>
              </w:rPr>
              <w:t>0% costs and outcomes</w:t>
            </w:r>
          </w:p>
          <w:p w14:paraId="2CD38C68" w14:textId="77777777" w:rsidR="00271927" w:rsidRPr="00AD7238" w:rsidRDefault="00271927" w:rsidP="00D5557B">
            <w:pPr>
              <w:widowControl w:val="0"/>
              <w:numPr>
                <w:ilvl w:val="0"/>
                <w:numId w:val="19"/>
              </w:numPr>
              <w:ind w:left="449"/>
              <w:rPr>
                <w:rFonts w:ascii="Arial Narrow" w:eastAsia="MS Gothic" w:hAnsi="Arial Narrow" w:cs="Times New Roman"/>
                <w:bCs/>
                <w:sz w:val="20"/>
                <w:szCs w:val="20"/>
              </w:rPr>
            </w:pPr>
            <w:r w:rsidRPr="00AD7238">
              <w:rPr>
                <w:rFonts w:ascii="Arial Narrow" w:eastAsia="MS Gothic" w:hAnsi="Arial Narrow" w:cs="Times New Roman"/>
                <w:bCs/>
                <w:sz w:val="20"/>
                <w:szCs w:val="20"/>
              </w:rPr>
              <w:t>1.5% costs and outcomes</w:t>
            </w:r>
          </w:p>
          <w:p w14:paraId="4ABE4ED8" w14:textId="77777777" w:rsidR="00271927" w:rsidRPr="00AD7238" w:rsidRDefault="00271927" w:rsidP="00D5557B">
            <w:pPr>
              <w:widowControl w:val="0"/>
              <w:numPr>
                <w:ilvl w:val="0"/>
                <w:numId w:val="11"/>
              </w:numPr>
              <w:ind w:left="449"/>
              <w:rPr>
                <w:rFonts w:ascii="Arial Narrow" w:hAnsi="Arial Narrow"/>
                <w:snapToGrid w:val="0"/>
                <w:sz w:val="20"/>
                <w:szCs w:val="20"/>
              </w:rPr>
            </w:pPr>
            <w:r w:rsidRPr="00AD7238">
              <w:rPr>
                <w:rFonts w:ascii="Arial Narrow" w:eastAsia="MS Gothic" w:hAnsi="Arial Narrow" w:cs="Times New Roman"/>
                <w:bCs/>
                <w:sz w:val="20"/>
                <w:szCs w:val="20"/>
              </w:rPr>
              <w:t>3.5% costs and outcomes</w:t>
            </w:r>
          </w:p>
        </w:tc>
        <w:tc>
          <w:tcPr>
            <w:tcW w:w="1279" w:type="dxa"/>
            <w:tcBorders>
              <w:top w:val="single" w:sz="4" w:space="0" w:color="auto"/>
              <w:left w:val="single" w:sz="4" w:space="0" w:color="auto"/>
              <w:bottom w:val="single" w:sz="4" w:space="0" w:color="auto"/>
              <w:right w:val="single" w:sz="4" w:space="0" w:color="auto"/>
            </w:tcBorders>
          </w:tcPr>
          <w:p w14:paraId="54ACE54B"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7F96CC63" w14:textId="63CC5558" w:rsidR="00271927"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59"/>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9"/>
                <w14:textFill>
                  <w14:solidFill>
                    <w14:srgbClr w14:val="000000">
                      <w14:alpha w14:val="100000"/>
                    </w14:srgbClr>
                  </w14:solidFill>
                </w14:textFill>
              </w:rPr>
              <w:t>|</w:t>
            </w:r>
          </w:p>
          <w:p w14:paraId="4A7793C4" w14:textId="09FE4341" w:rsidR="00213554"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58"/>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8"/>
                <w14:textFill>
                  <w14:solidFill>
                    <w14:srgbClr w14:val="000000">
                      <w14:alpha w14:val="100000"/>
                    </w14:srgbClr>
                  </w14:solidFill>
                </w14:textFill>
              </w:rPr>
              <w:t>|</w:t>
            </w:r>
          </w:p>
          <w:p w14:paraId="7E81485F" w14:textId="57D523D3" w:rsidR="00213554" w:rsidRPr="00BA039D" w:rsidRDefault="00BA039D">
            <w:pPr>
              <w:widowControl w:val="0"/>
              <w:spacing w:after="120"/>
              <w:contextualSpacing/>
              <w:jc w:val="center"/>
              <w:rPr>
                <w:rFonts w:ascii="Arial Narrow" w:hAnsi="Arial Narrow"/>
                <w:snapToGrid w:val="0"/>
                <w:sz w:val="20"/>
                <w:szCs w:val="20"/>
              </w:rPr>
            </w:pPr>
            <w:r w:rsidRPr="00BA039D">
              <w:rPr>
                <w:rFonts w:ascii="Arial Narrow" w:eastAsia="MS Gothic" w:hAnsi="Arial Narrow" w:cs="Times New Roman"/>
                <w:bCs/>
                <w:color w:val="000000"/>
                <w:spacing w:val="56"/>
                <w:sz w:val="20"/>
                <w:szCs w:val="20"/>
                <w:shd w:val="solid" w:color="000000" w:fill="000000"/>
                <w:fitText w:val="341" w:id="-1233442557"/>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7"/>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40C2707A" w14:textId="77777777" w:rsidR="00271927" w:rsidRPr="00AD7238" w:rsidRDefault="00271927">
            <w:pPr>
              <w:widowControl w:val="0"/>
              <w:jc w:val="center"/>
              <w:rPr>
                <w:rFonts w:ascii="Arial Narrow" w:eastAsia="MS Gothic" w:hAnsi="Arial Narrow" w:cs="Times New Roman"/>
                <w:bCs/>
                <w:sz w:val="20"/>
                <w:szCs w:val="20"/>
              </w:rPr>
            </w:pPr>
          </w:p>
          <w:p w14:paraId="7E61DDD8" w14:textId="77777777" w:rsidR="00271927" w:rsidRPr="00AD7238" w:rsidRDefault="00271927">
            <w:pPr>
              <w:widowControl w:val="0"/>
              <w:jc w:val="center"/>
              <w:rPr>
                <w:rFonts w:ascii="Arial Narrow" w:eastAsia="MS Gothic" w:hAnsi="Arial Narrow" w:cs="Times New Roman"/>
                <w:bCs/>
                <w:sz w:val="20"/>
                <w:szCs w:val="20"/>
              </w:rPr>
            </w:pPr>
            <w:r w:rsidRPr="00AD7238">
              <w:rPr>
                <w:rFonts w:ascii="Arial Narrow" w:eastAsia="MS Gothic" w:hAnsi="Arial Narrow" w:cs="Times New Roman"/>
                <w:bCs/>
                <w:sz w:val="20"/>
                <w:szCs w:val="20"/>
              </w:rPr>
              <w:t>12,442</w:t>
            </w:r>
          </w:p>
          <w:p w14:paraId="0B88AC65" w14:textId="77777777" w:rsidR="00271927" w:rsidRPr="00AD7238" w:rsidRDefault="00271927">
            <w:pPr>
              <w:widowControl w:val="0"/>
              <w:jc w:val="center"/>
              <w:rPr>
                <w:rFonts w:ascii="Arial Narrow" w:eastAsia="MS Gothic" w:hAnsi="Arial Narrow" w:cs="Times New Roman"/>
                <w:bCs/>
                <w:sz w:val="20"/>
                <w:szCs w:val="20"/>
              </w:rPr>
            </w:pPr>
            <w:r w:rsidRPr="00AD7238">
              <w:rPr>
                <w:rFonts w:ascii="Arial Narrow" w:eastAsia="MS Gothic" w:hAnsi="Arial Narrow" w:cs="Times New Roman"/>
                <w:bCs/>
                <w:sz w:val="20"/>
                <w:szCs w:val="20"/>
              </w:rPr>
              <w:t>10,983</w:t>
            </w:r>
          </w:p>
          <w:p w14:paraId="154A5B29" w14:textId="77777777" w:rsidR="00271927" w:rsidRPr="00AD7238" w:rsidRDefault="00271927">
            <w:pPr>
              <w:widowControl w:val="0"/>
              <w:spacing w:after="120"/>
              <w:contextualSpacing/>
              <w:jc w:val="center"/>
              <w:rPr>
                <w:rFonts w:ascii="Arial Narrow" w:hAnsi="Arial Narrow"/>
                <w:snapToGrid w:val="0"/>
                <w:sz w:val="20"/>
                <w:szCs w:val="20"/>
              </w:rPr>
            </w:pPr>
            <w:r w:rsidRPr="00AD7238">
              <w:rPr>
                <w:rFonts w:ascii="Arial Narrow" w:hAnsi="Arial Narrow"/>
                <w:snapToGrid w:val="0"/>
                <w:sz w:val="20"/>
                <w:szCs w:val="20"/>
              </w:rPr>
              <w:t>9,457</w:t>
            </w:r>
          </w:p>
        </w:tc>
        <w:tc>
          <w:tcPr>
            <w:tcW w:w="1121" w:type="dxa"/>
            <w:tcBorders>
              <w:top w:val="single" w:sz="4" w:space="0" w:color="auto"/>
              <w:left w:val="single" w:sz="4" w:space="0" w:color="auto"/>
              <w:bottom w:val="single" w:sz="4" w:space="0" w:color="auto"/>
              <w:right w:val="single" w:sz="4" w:space="0" w:color="auto"/>
            </w:tcBorders>
          </w:tcPr>
          <w:p w14:paraId="09A29246" w14:textId="330CACE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7742360C" w14:textId="09860AA9" w:rsidR="00213554" w:rsidRDefault="00BA039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6"/>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6"/>
                <w14:textFill>
                  <w14:solidFill>
                    <w14:srgbClr w14:val="000000">
                      <w14:alpha w14:val="100000"/>
                    </w14:srgbClr>
                  </w14:solidFill>
                </w14:textFill>
              </w:rPr>
              <w:t>|</w:t>
            </w:r>
            <w:r w:rsidR="002D73B8">
              <w:rPr>
                <w:rFonts w:ascii="Arial Narrow" w:hAnsi="Arial Narrow"/>
                <w:snapToGrid w:val="0"/>
                <w:sz w:val="20"/>
                <w:szCs w:val="20"/>
                <w:vertAlign w:val="superscript"/>
              </w:rPr>
              <w:t>2</w:t>
            </w:r>
          </w:p>
          <w:p w14:paraId="6DB989AE" w14:textId="640E42C6" w:rsidR="00213554" w:rsidRDefault="00BA039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5"/>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5"/>
                <w14:textFill>
                  <w14:solidFill>
                    <w14:srgbClr w14:val="000000">
                      <w14:alpha w14:val="100000"/>
                    </w14:srgbClr>
                  </w14:solidFill>
                </w14:textFill>
              </w:rPr>
              <w:t>|</w:t>
            </w:r>
            <w:r w:rsidR="002D73B8">
              <w:rPr>
                <w:rFonts w:ascii="Arial Narrow" w:hAnsi="Arial Narrow"/>
                <w:snapToGrid w:val="0"/>
                <w:sz w:val="20"/>
                <w:szCs w:val="20"/>
                <w:vertAlign w:val="superscript"/>
              </w:rPr>
              <w:t>2</w:t>
            </w:r>
          </w:p>
          <w:p w14:paraId="6755A515" w14:textId="45746A44" w:rsidR="00271927" w:rsidRPr="005A7FF1" w:rsidRDefault="00BA039D">
            <w:pPr>
              <w:widowControl w:val="0"/>
              <w:spacing w:after="120"/>
              <w:contextualSpacing/>
              <w:jc w:val="center"/>
              <w:rPr>
                <w:rFonts w:ascii="Arial Narrow" w:hAnsi="Arial Narrow"/>
                <w:snapToGrid w:val="0"/>
                <w:sz w:val="20"/>
                <w:szCs w:val="20"/>
                <w:highlight w:val="darkGray"/>
              </w:rPr>
            </w:pPr>
            <w:r w:rsidRPr="00BA039D">
              <w:rPr>
                <w:rFonts w:ascii="Arial Narrow" w:eastAsia="MS Gothic" w:hAnsi="Arial Narrow" w:cs="Times New Roman"/>
                <w:bCs/>
                <w:iCs/>
                <w:color w:val="000000"/>
                <w:spacing w:val="38"/>
                <w:sz w:val="20"/>
                <w:szCs w:val="20"/>
                <w:shd w:val="solid" w:color="000000" w:fill="000000"/>
                <w:fitText w:val="450" w:id="-1233442554"/>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4"/>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5BAAF796" w14:textId="77777777" w:rsidR="00271927" w:rsidRPr="00615B0D" w:rsidRDefault="00271927">
            <w:pPr>
              <w:widowControl w:val="0"/>
              <w:jc w:val="center"/>
              <w:rPr>
                <w:rFonts w:ascii="Arial Narrow" w:eastAsia="MS Gothic" w:hAnsi="Arial Narrow" w:cs="Times New Roman"/>
                <w:bCs/>
                <w:iCs/>
                <w:sz w:val="20"/>
                <w:szCs w:val="20"/>
              </w:rPr>
            </w:pPr>
          </w:p>
          <w:p w14:paraId="48E910FB" w14:textId="77777777" w:rsidR="00271927" w:rsidRPr="00615B0D" w:rsidRDefault="00271927">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-64%</w:t>
            </w:r>
          </w:p>
          <w:p w14:paraId="303D3EB5" w14:textId="77777777" w:rsidR="00271927" w:rsidRPr="00615B0D" w:rsidRDefault="00271927">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-45%</w:t>
            </w:r>
          </w:p>
          <w:p w14:paraId="389B7135" w14:textId="77777777" w:rsidR="00271927" w:rsidRPr="00AD7238" w:rsidRDefault="00271927">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-20%</w:t>
            </w:r>
          </w:p>
        </w:tc>
      </w:tr>
      <w:tr w:rsidR="00271927" w:rsidRPr="00AD7238" w14:paraId="3311DF92"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0AB78837" w14:textId="77777777" w:rsidR="00271927" w:rsidRPr="00AD7238" w:rsidRDefault="00271927">
            <w:pPr>
              <w:widowControl w:val="0"/>
              <w:rPr>
                <w:rFonts w:ascii="Arial Narrow" w:eastAsia="MS Gothic" w:hAnsi="Arial Narrow" w:cs="Times New Roman"/>
                <w:bCs/>
                <w:sz w:val="20"/>
                <w:szCs w:val="20"/>
              </w:rPr>
            </w:pPr>
            <w:r w:rsidRPr="00AD7238">
              <w:rPr>
                <w:rFonts w:ascii="Arial Narrow" w:eastAsia="MS Gothic" w:hAnsi="Arial Narrow" w:cs="Times New Roman"/>
                <w:bCs/>
                <w:sz w:val="20"/>
                <w:szCs w:val="20"/>
              </w:rPr>
              <w:t>HZ Incidence (base case MacIntyre (2015))</w:t>
            </w:r>
          </w:p>
          <w:p w14:paraId="3DF152A3" w14:textId="77777777" w:rsidR="00271927" w:rsidRPr="00AD7238" w:rsidRDefault="00271927" w:rsidP="00D5557B">
            <w:pPr>
              <w:widowControl w:val="0"/>
              <w:numPr>
                <w:ilvl w:val="0"/>
                <w:numId w:val="20"/>
              </w:numPr>
              <w:ind w:left="449"/>
              <w:rPr>
                <w:rFonts w:ascii="Arial Narrow" w:eastAsia="MS Gothic" w:hAnsi="Arial Narrow" w:cs="Times New Roman"/>
                <w:bCs/>
                <w:sz w:val="20"/>
                <w:szCs w:val="20"/>
              </w:rPr>
            </w:pPr>
            <w:r w:rsidRPr="00AD7238">
              <w:rPr>
                <w:rFonts w:ascii="Arial Narrow" w:eastAsia="MS Gothic" w:hAnsi="Arial Narrow" w:cs="Times New Roman"/>
                <w:bCs/>
                <w:sz w:val="20"/>
                <w:szCs w:val="20"/>
              </w:rPr>
              <w:t>MacIntyre (2015) + Qian (2021)</w:t>
            </w:r>
          </w:p>
          <w:p w14:paraId="7BA286AF" w14:textId="66BC4092" w:rsidR="00271927" w:rsidRPr="00EC51F8" w:rsidRDefault="00271927" w:rsidP="00EC51F8">
            <w:pPr>
              <w:widowControl w:val="0"/>
              <w:numPr>
                <w:ilvl w:val="0"/>
                <w:numId w:val="20"/>
              </w:numPr>
              <w:ind w:left="449"/>
              <w:rPr>
                <w:rFonts w:ascii="Arial Narrow" w:hAnsi="Arial Narrow"/>
                <w:snapToGrid w:val="0"/>
                <w:sz w:val="20"/>
                <w:szCs w:val="20"/>
              </w:rPr>
            </w:pPr>
            <w:r w:rsidRPr="00EC51F8">
              <w:rPr>
                <w:rFonts w:ascii="Arial Narrow" w:eastAsia="MS Gothic" w:hAnsi="Arial Narrow" w:cs="Times New Roman"/>
                <w:bCs/>
                <w:sz w:val="20"/>
                <w:szCs w:val="20"/>
              </w:rPr>
              <w:t>Qian (2021)</w:t>
            </w:r>
          </w:p>
        </w:tc>
        <w:tc>
          <w:tcPr>
            <w:tcW w:w="1279" w:type="dxa"/>
            <w:tcBorders>
              <w:top w:val="single" w:sz="4" w:space="0" w:color="auto"/>
              <w:left w:val="single" w:sz="4" w:space="0" w:color="auto"/>
              <w:bottom w:val="single" w:sz="4" w:space="0" w:color="auto"/>
              <w:right w:val="single" w:sz="4" w:space="0" w:color="auto"/>
            </w:tcBorders>
          </w:tcPr>
          <w:p w14:paraId="49325FF8" w14:textId="77777777" w:rsidR="00213554" w:rsidRDefault="00213554" w:rsidP="00213554">
            <w:pPr>
              <w:widowControl w:val="0"/>
              <w:jc w:val="center"/>
              <w:rPr>
                <w:rFonts w:ascii="Arial Narrow" w:eastAsia="MS Gothic" w:hAnsi="Arial Narrow" w:cs="Times New Roman"/>
                <w:bCs/>
                <w:sz w:val="20"/>
                <w:szCs w:val="20"/>
                <w:highlight w:val="darkGray"/>
              </w:rPr>
            </w:pPr>
          </w:p>
          <w:p w14:paraId="27C903D2" w14:textId="4595FDAC" w:rsidR="00271927" w:rsidRPr="00BA039D" w:rsidRDefault="00BA039D" w:rsidP="00213554">
            <w:pPr>
              <w:widowControl w:val="0"/>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53"/>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3"/>
                <w14:textFill>
                  <w14:solidFill>
                    <w14:srgbClr w14:val="000000">
                      <w14:alpha w14:val="100000"/>
                    </w14:srgbClr>
                  </w14:solidFill>
                </w14:textFill>
              </w:rPr>
              <w:t>|</w:t>
            </w:r>
          </w:p>
          <w:p w14:paraId="3B5B90EA" w14:textId="108E0A0C" w:rsidR="00213554" w:rsidRPr="00BA039D" w:rsidRDefault="00BA039D" w:rsidP="00213554">
            <w:pPr>
              <w:widowControl w:val="0"/>
              <w:jc w:val="center"/>
              <w:rPr>
                <w:rFonts w:ascii="Arial Narrow" w:hAnsi="Arial Narrow"/>
                <w:snapToGrid w:val="0"/>
                <w:sz w:val="20"/>
                <w:szCs w:val="20"/>
              </w:rPr>
            </w:pPr>
            <w:r w:rsidRPr="00BA039D">
              <w:rPr>
                <w:rFonts w:ascii="Arial Narrow" w:eastAsia="MS Gothic" w:hAnsi="Arial Narrow" w:cs="Times New Roman"/>
                <w:bCs/>
                <w:color w:val="000000"/>
                <w:spacing w:val="56"/>
                <w:sz w:val="20"/>
                <w:szCs w:val="20"/>
                <w:shd w:val="solid" w:color="000000" w:fill="000000"/>
                <w:fitText w:val="341" w:id="-1233442552"/>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2"/>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42D325F1" w14:textId="77777777" w:rsidR="00271927" w:rsidRPr="00AD7238" w:rsidRDefault="00271927">
            <w:pPr>
              <w:widowControl w:val="0"/>
              <w:jc w:val="center"/>
              <w:rPr>
                <w:rFonts w:ascii="Arial Narrow" w:eastAsia="MS Gothic" w:hAnsi="Arial Narrow" w:cs="Times New Roman"/>
                <w:bCs/>
                <w:sz w:val="20"/>
                <w:szCs w:val="20"/>
              </w:rPr>
            </w:pPr>
          </w:p>
          <w:p w14:paraId="39636C96" w14:textId="77777777" w:rsidR="00271927" w:rsidRPr="00AD7238" w:rsidRDefault="00271927">
            <w:pPr>
              <w:widowControl w:val="0"/>
              <w:jc w:val="center"/>
              <w:rPr>
                <w:rFonts w:ascii="Arial Narrow" w:eastAsia="MS Gothic" w:hAnsi="Arial Narrow" w:cs="Times New Roman"/>
                <w:bCs/>
                <w:sz w:val="20"/>
                <w:szCs w:val="20"/>
              </w:rPr>
            </w:pPr>
            <w:r w:rsidRPr="00AD7238">
              <w:rPr>
                <w:rFonts w:ascii="Arial Narrow" w:eastAsia="MS Gothic" w:hAnsi="Arial Narrow" w:cs="Times New Roman"/>
                <w:bCs/>
                <w:sz w:val="20"/>
                <w:szCs w:val="20"/>
              </w:rPr>
              <w:t>7,492</w:t>
            </w:r>
          </w:p>
          <w:p w14:paraId="3EF68144" w14:textId="1C481D27" w:rsidR="00271927" w:rsidRPr="00AD7238" w:rsidRDefault="00271927" w:rsidP="00EC51F8">
            <w:pPr>
              <w:widowControl w:val="0"/>
              <w:jc w:val="center"/>
              <w:rPr>
                <w:rFonts w:ascii="Arial Narrow" w:hAnsi="Arial Narrow"/>
                <w:snapToGrid w:val="0"/>
                <w:sz w:val="20"/>
                <w:szCs w:val="20"/>
              </w:rPr>
            </w:pPr>
            <w:r w:rsidRPr="00AD7238">
              <w:rPr>
                <w:rFonts w:ascii="Arial Narrow" w:eastAsia="MS Gothic" w:hAnsi="Arial Narrow" w:cs="Times New Roman"/>
                <w:bCs/>
                <w:sz w:val="20"/>
                <w:szCs w:val="20"/>
              </w:rPr>
              <w:t>6,430</w:t>
            </w:r>
          </w:p>
        </w:tc>
        <w:tc>
          <w:tcPr>
            <w:tcW w:w="1121" w:type="dxa"/>
            <w:tcBorders>
              <w:top w:val="single" w:sz="4" w:space="0" w:color="auto"/>
              <w:left w:val="single" w:sz="4" w:space="0" w:color="auto"/>
              <w:bottom w:val="single" w:sz="4" w:space="0" w:color="auto"/>
              <w:right w:val="single" w:sz="4" w:space="0" w:color="auto"/>
            </w:tcBorders>
          </w:tcPr>
          <w:p w14:paraId="3064439A" w14:textId="77777777" w:rsidR="00213554" w:rsidRDefault="00213554" w:rsidP="00EC51F8">
            <w:pPr>
              <w:widowControl w:val="0"/>
              <w:jc w:val="center"/>
              <w:rPr>
                <w:rFonts w:ascii="Arial Narrow" w:eastAsia="MS Gothic" w:hAnsi="Arial Narrow" w:cs="Times New Roman"/>
                <w:bCs/>
                <w:sz w:val="20"/>
                <w:szCs w:val="20"/>
                <w:highlight w:val="darkGray"/>
              </w:rPr>
            </w:pPr>
          </w:p>
          <w:p w14:paraId="3FDEDC63" w14:textId="2744596E" w:rsidR="00213554" w:rsidRDefault="00BA039D" w:rsidP="00EC51F8">
            <w:pPr>
              <w:widowControl w:val="0"/>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1"/>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1"/>
                <w14:textFill>
                  <w14:solidFill>
                    <w14:srgbClr w14:val="000000">
                      <w14:alpha w14:val="100000"/>
                    </w14:srgbClr>
                  </w14:solidFill>
                </w14:textFill>
              </w:rPr>
              <w:t>|</w:t>
            </w:r>
            <w:r w:rsidR="002D73B8">
              <w:rPr>
                <w:rFonts w:ascii="Arial Narrow" w:hAnsi="Arial Narrow"/>
                <w:snapToGrid w:val="0"/>
                <w:sz w:val="20"/>
                <w:szCs w:val="20"/>
                <w:vertAlign w:val="superscript"/>
              </w:rPr>
              <w:t>3</w:t>
            </w:r>
          </w:p>
          <w:p w14:paraId="63D782A9" w14:textId="28643CFD" w:rsidR="00271927" w:rsidRPr="005A7FF1" w:rsidRDefault="00BA039D" w:rsidP="00EC51F8">
            <w:pPr>
              <w:widowControl w:val="0"/>
              <w:jc w:val="center"/>
              <w:rPr>
                <w:rFonts w:ascii="Arial Narrow" w:hAnsi="Arial Narrow"/>
                <w:snapToGrid w:val="0"/>
                <w:sz w:val="20"/>
                <w:szCs w:val="20"/>
                <w:highlight w:val="darkGray"/>
              </w:rPr>
            </w:pPr>
            <w:r w:rsidRPr="00BA039D">
              <w:rPr>
                <w:rFonts w:ascii="Arial Narrow" w:eastAsia="MS Gothic" w:hAnsi="Arial Narrow" w:cs="Times New Roman"/>
                <w:bCs/>
                <w:color w:val="000000"/>
                <w:spacing w:val="38"/>
                <w:sz w:val="20"/>
                <w:szCs w:val="20"/>
                <w:shd w:val="solid" w:color="000000" w:fill="000000"/>
                <w:fitText w:val="450" w:id="-1233442550"/>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0"/>
                <w14:textFill>
                  <w14:solidFill>
                    <w14:srgbClr w14:val="000000">
                      <w14:alpha w14:val="100000"/>
                    </w14:srgbClr>
                  </w14:solidFill>
                </w14:textFill>
              </w:rPr>
              <w:t>|</w:t>
            </w:r>
            <w:r w:rsidR="002D73B8">
              <w:rPr>
                <w:rFonts w:ascii="Arial Narrow" w:hAnsi="Arial Narrow"/>
                <w:snapToGrid w:val="0"/>
                <w:sz w:val="20"/>
                <w:szCs w:val="20"/>
                <w:vertAlign w:val="superscript"/>
              </w:rPr>
              <w:t>3</w:t>
            </w:r>
          </w:p>
        </w:tc>
        <w:tc>
          <w:tcPr>
            <w:tcW w:w="839" w:type="dxa"/>
            <w:tcBorders>
              <w:top w:val="single" w:sz="4" w:space="0" w:color="auto"/>
              <w:left w:val="single" w:sz="4" w:space="0" w:color="auto"/>
              <w:bottom w:val="single" w:sz="4" w:space="0" w:color="auto"/>
              <w:right w:val="single" w:sz="4" w:space="0" w:color="auto"/>
            </w:tcBorders>
          </w:tcPr>
          <w:p w14:paraId="5DBC6D4D" w14:textId="77777777" w:rsidR="00271927" w:rsidRPr="00615B0D" w:rsidRDefault="00271927">
            <w:pPr>
              <w:widowControl w:val="0"/>
              <w:jc w:val="center"/>
              <w:rPr>
                <w:rFonts w:ascii="Arial Narrow" w:eastAsia="MS Gothic" w:hAnsi="Arial Narrow" w:cs="Times New Roman"/>
                <w:bCs/>
                <w:iCs/>
                <w:sz w:val="20"/>
                <w:szCs w:val="20"/>
              </w:rPr>
            </w:pPr>
          </w:p>
          <w:p w14:paraId="20BA0FFF" w14:textId="77777777" w:rsidR="00271927" w:rsidRPr="00615B0D" w:rsidRDefault="00271927">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+29%</w:t>
            </w:r>
          </w:p>
          <w:p w14:paraId="4D1B8032" w14:textId="49FB680A" w:rsidR="00271927" w:rsidRPr="00AD7238" w:rsidRDefault="00271927" w:rsidP="00EC51F8">
            <w:pPr>
              <w:widowControl w:val="0"/>
              <w:jc w:val="center"/>
              <w:rPr>
                <w:rFonts w:ascii="Arial Narrow" w:hAnsi="Arial Narrow"/>
                <w:i/>
                <w:iCs/>
                <w:snapToGrid w:val="0"/>
                <w:sz w:val="20"/>
                <w:szCs w:val="20"/>
              </w:rPr>
            </w:pPr>
            <w:r w:rsidRPr="00615B0D">
              <w:rPr>
                <w:rFonts w:ascii="Arial Narrow" w:eastAsia="MS Gothic" w:hAnsi="Arial Narrow" w:cs="Times New Roman"/>
                <w:bCs/>
                <w:iCs/>
                <w:sz w:val="20"/>
                <w:szCs w:val="20"/>
              </w:rPr>
              <w:t>+68%</w:t>
            </w:r>
          </w:p>
        </w:tc>
      </w:tr>
      <w:tr w:rsidR="00271927" w:rsidRPr="00AD7238" w14:paraId="50B64369"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4FBAC2F9" w14:textId="77777777" w:rsidR="00271927" w:rsidRPr="00615B0D" w:rsidRDefault="00271927">
            <w:pPr>
              <w:widowControl w:val="0"/>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Vaccine efficacy (base case ZOE-50 and ZOE-70)</w:t>
            </w:r>
          </w:p>
          <w:p w14:paraId="4AD6A99E" w14:textId="77777777" w:rsidR="00271927" w:rsidRPr="00AD7238" w:rsidRDefault="00271927" w:rsidP="00D5557B">
            <w:pPr>
              <w:widowControl w:val="0"/>
              <w:numPr>
                <w:ilvl w:val="0"/>
                <w:numId w:val="16"/>
              </w:numPr>
              <w:ind w:left="449" w:hanging="425"/>
              <w:rPr>
                <w:rFonts w:ascii="Arial Narrow" w:hAnsi="Arial Narrow"/>
                <w:snapToGrid w:val="0"/>
                <w:sz w:val="20"/>
                <w:szCs w:val="20"/>
              </w:rPr>
            </w:pPr>
            <w:r w:rsidRPr="00615B0D">
              <w:rPr>
                <w:rFonts w:ascii="Arial Narrow" w:eastAsia="MS Gothic" w:hAnsi="Arial Narrow" w:cs="Times New Roman"/>
                <w:bCs/>
                <w:iCs/>
                <w:sz w:val="20"/>
                <w:szCs w:val="20"/>
              </w:rPr>
              <w:t>Izureita (2021)</w:t>
            </w:r>
          </w:p>
        </w:tc>
        <w:tc>
          <w:tcPr>
            <w:tcW w:w="1279" w:type="dxa"/>
            <w:tcBorders>
              <w:top w:val="single" w:sz="4" w:space="0" w:color="auto"/>
              <w:left w:val="single" w:sz="4" w:space="0" w:color="auto"/>
              <w:bottom w:val="single" w:sz="4" w:space="0" w:color="auto"/>
              <w:right w:val="single" w:sz="4" w:space="0" w:color="auto"/>
            </w:tcBorders>
          </w:tcPr>
          <w:p w14:paraId="4C31403B" w14:textId="77777777" w:rsidR="00213554" w:rsidRDefault="00213554">
            <w:pPr>
              <w:widowControl w:val="0"/>
              <w:spacing w:after="120"/>
              <w:contextualSpacing/>
              <w:jc w:val="center"/>
              <w:rPr>
                <w:rFonts w:ascii="Arial Narrow" w:eastAsia="MS Gothic" w:hAnsi="Arial Narrow" w:cs="Times New Roman"/>
                <w:bCs/>
                <w:iCs/>
                <w:sz w:val="20"/>
                <w:szCs w:val="20"/>
                <w:highlight w:val="darkGray"/>
              </w:rPr>
            </w:pPr>
          </w:p>
          <w:p w14:paraId="35E306C9" w14:textId="0E44CA58" w:rsidR="00271927" w:rsidRPr="00BA039D" w:rsidRDefault="00BA039D">
            <w:pPr>
              <w:widowControl w:val="0"/>
              <w:spacing w:after="120"/>
              <w:contextualSpacing/>
              <w:jc w:val="center"/>
              <w:rPr>
                <w:rFonts w:ascii="Arial Narrow" w:hAnsi="Arial Narrow"/>
                <w:snapToGrid w:val="0"/>
                <w:sz w:val="20"/>
                <w:szCs w:val="20"/>
              </w:rPr>
            </w:pPr>
            <w:r w:rsidRPr="00BA039D">
              <w:rPr>
                <w:rFonts w:ascii="Arial Narrow" w:eastAsia="MS Gothic" w:hAnsi="Arial Narrow" w:cs="Times New Roman"/>
                <w:bCs/>
                <w:iCs/>
                <w:color w:val="000000"/>
                <w:spacing w:val="56"/>
                <w:sz w:val="20"/>
                <w:szCs w:val="20"/>
                <w:shd w:val="solid" w:color="000000" w:fill="000000"/>
                <w:fitText w:val="341" w:id="-1233442549"/>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zCs w:val="20"/>
                <w:shd w:val="solid" w:color="000000" w:fill="000000"/>
                <w:fitText w:val="341" w:id="-1233442549"/>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61880F7B" w14:textId="77777777" w:rsidR="00271927" w:rsidRPr="00615B0D" w:rsidRDefault="00271927">
            <w:pPr>
              <w:widowControl w:val="0"/>
              <w:jc w:val="center"/>
              <w:rPr>
                <w:rFonts w:ascii="Arial Narrow" w:eastAsia="MS Gothic" w:hAnsi="Arial Narrow" w:cs="Times New Roman"/>
                <w:bCs/>
                <w:iCs/>
                <w:sz w:val="20"/>
                <w:szCs w:val="20"/>
              </w:rPr>
            </w:pPr>
          </w:p>
          <w:p w14:paraId="3BC6BFF2" w14:textId="77777777" w:rsidR="00271927" w:rsidRPr="00AD7238" w:rsidRDefault="00271927">
            <w:pPr>
              <w:widowControl w:val="0"/>
              <w:spacing w:after="120"/>
              <w:contextualSpacing/>
              <w:jc w:val="center"/>
              <w:rPr>
                <w:rFonts w:ascii="Arial Narrow" w:hAnsi="Arial Narrow"/>
                <w:snapToGrid w:val="0"/>
                <w:sz w:val="20"/>
                <w:szCs w:val="20"/>
              </w:rPr>
            </w:pPr>
            <w:r w:rsidRPr="00615B0D">
              <w:rPr>
                <w:rFonts w:ascii="Arial Narrow" w:hAnsi="Arial Narrow"/>
                <w:iCs/>
                <w:snapToGrid w:val="0"/>
                <w:sz w:val="20"/>
                <w:szCs w:val="20"/>
              </w:rPr>
              <w:t>5,474</w:t>
            </w:r>
          </w:p>
        </w:tc>
        <w:tc>
          <w:tcPr>
            <w:tcW w:w="1121" w:type="dxa"/>
            <w:tcBorders>
              <w:top w:val="single" w:sz="4" w:space="0" w:color="auto"/>
              <w:left w:val="single" w:sz="4" w:space="0" w:color="auto"/>
              <w:bottom w:val="single" w:sz="4" w:space="0" w:color="auto"/>
              <w:right w:val="single" w:sz="4" w:space="0" w:color="auto"/>
            </w:tcBorders>
          </w:tcPr>
          <w:p w14:paraId="176240A4" w14:textId="77777777" w:rsidR="00213554" w:rsidRDefault="00213554">
            <w:pPr>
              <w:widowControl w:val="0"/>
              <w:spacing w:after="120"/>
              <w:contextualSpacing/>
              <w:jc w:val="center"/>
              <w:rPr>
                <w:rFonts w:ascii="Arial Narrow" w:eastAsia="MS Gothic" w:hAnsi="Arial Narrow" w:cs="Times New Roman"/>
                <w:bCs/>
                <w:iCs/>
                <w:sz w:val="20"/>
                <w:szCs w:val="20"/>
                <w:highlight w:val="darkGray"/>
              </w:rPr>
            </w:pPr>
          </w:p>
          <w:p w14:paraId="6E841EA2" w14:textId="44A29483" w:rsidR="00271927" w:rsidRPr="005A7FF1" w:rsidRDefault="00BA039D">
            <w:pPr>
              <w:widowControl w:val="0"/>
              <w:spacing w:after="120"/>
              <w:contextualSpacing/>
              <w:jc w:val="center"/>
              <w:rPr>
                <w:rFonts w:ascii="Arial Narrow" w:hAnsi="Arial Narrow"/>
                <w:snapToGrid w:val="0"/>
                <w:sz w:val="20"/>
                <w:szCs w:val="20"/>
                <w:highlight w:val="darkGray"/>
              </w:rPr>
            </w:pPr>
            <w:r w:rsidRPr="00BA039D">
              <w:rPr>
                <w:rFonts w:ascii="Arial Narrow" w:eastAsia="MS Gothic" w:hAnsi="Arial Narrow" w:cs="Times New Roman"/>
                <w:bCs/>
                <w:iCs/>
                <w:color w:val="000000"/>
                <w:spacing w:val="38"/>
                <w:sz w:val="20"/>
                <w:szCs w:val="20"/>
                <w:shd w:val="solid" w:color="000000" w:fill="000000"/>
                <w:fitText w:val="450" w:id="-1233442548"/>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48"/>
                <w14:textFill>
                  <w14:solidFill>
                    <w14:srgbClr w14:val="000000">
                      <w14:alpha w14:val="100000"/>
                    </w14:srgbClr>
                  </w14:solidFill>
                </w14:textFill>
              </w:rPr>
              <w:t>|</w:t>
            </w:r>
            <w:r w:rsidR="002D73B8">
              <w:rPr>
                <w:rFonts w:ascii="Arial Narrow" w:hAnsi="Arial Narrow"/>
                <w:snapToGrid w:val="0"/>
                <w:sz w:val="20"/>
                <w:szCs w:val="20"/>
                <w:vertAlign w:val="superscript"/>
              </w:rPr>
              <w:t>4</w:t>
            </w:r>
          </w:p>
        </w:tc>
        <w:tc>
          <w:tcPr>
            <w:tcW w:w="839" w:type="dxa"/>
            <w:tcBorders>
              <w:top w:val="single" w:sz="4" w:space="0" w:color="auto"/>
              <w:left w:val="single" w:sz="4" w:space="0" w:color="auto"/>
              <w:bottom w:val="single" w:sz="4" w:space="0" w:color="auto"/>
              <w:right w:val="single" w:sz="4" w:space="0" w:color="auto"/>
            </w:tcBorders>
          </w:tcPr>
          <w:p w14:paraId="5D98112E" w14:textId="77777777" w:rsidR="00271927" w:rsidRPr="00615B0D" w:rsidRDefault="00271927">
            <w:pPr>
              <w:widowControl w:val="0"/>
              <w:jc w:val="center"/>
              <w:rPr>
                <w:rFonts w:ascii="Arial Narrow" w:eastAsia="MS Gothic" w:hAnsi="Arial Narrow" w:cs="Times New Roman"/>
                <w:bCs/>
                <w:iCs/>
                <w:sz w:val="20"/>
                <w:szCs w:val="20"/>
              </w:rPr>
            </w:pPr>
          </w:p>
          <w:p w14:paraId="2DD7F3F2" w14:textId="77777777" w:rsidR="00271927" w:rsidRPr="00AD7238" w:rsidRDefault="00271927">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+113%</w:t>
            </w:r>
          </w:p>
        </w:tc>
      </w:tr>
      <w:tr w:rsidR="00271927" w:rsidRPr="00AD7238" w14:paraId="0B01A4CC"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7B44EB55" w14:textId="77777777" w:rsidR="00271927" w:rsidRPr="00AD7238" w:rsidRDefault="00271927">
            <w:pPr>
              <w:widowControl w:val="0"/>
              <w:rPr>
                <w:rFonts w:ascii="Arial Narrow" w:eastAsia="MS Gothic" w:hAnsi="Arial Narrow" w:cs="Times New Roman"/>
                <w:bCs/>
                <w:sz w:val="20"/>
                <w:szCs w:val="20"/>
              </w:rPr>
            </w:pPr>
            <w:r w:rsidRPr="00AD7238">
              <w:rPr>
                <w:rFonts w:ascii="Arial Narrow" w:eastAsia="MS Gothic" w:hAnsi="Arial Narrow" w:cs="Times New Roman"/>
                <w:bCs/>
                <w:sz w:val="20"/>
                <w:szCs w:val="20"/>
              </w:rPr>
              <w:t>RZV waning (base case ZOE-50, ZOE-70, ZOSTER-49)</w:t>
            </w:r>
          </w:p>
          <w:p w14:paraId="1E051411" w14:textId="77777777" w:rsidR="00271927" w:rsidRPr="00AD7238" w:rsidRDefault="00271927" w:rsidP="00D5557B">
            <w:pPr>
              <w:widowControl w:val="0"/>
              <w:numPr>
                <w:ilvl w:val="0"/>
                <w:numId w:val="12"/>
              </w:numPr>
              <w:ind w:left="449"/>
              <w:rPr>
                <w:rFonts w:ascii="Arial Narrow" w:hAnsi="Arial Narrow" w:cs="Times New Roman"/>
                <w:snapToGrid w:val="0"/>
                <w:sz w:val="20"/>
              </w:rPr>
            </w:pPr>
            <w:r w:rsidRPr="00AD7238">
              <w:rPr>
                <w:rFonts w:ascii="Arial Narrow" w:hAnsi="Arial Narrow" w:cs="Times New Roman"/>
                <w:snapToGrid w:val="0"/>
                <w:sz w:val="20"/>
              </w:rPr>
              <w:t>Piecewise linear waning (UCI after 20 years)</w:t>
            </w:r>
          </w:p>
          <w:p w14:paraId="72CFD80F" w14:textId="5ED2DB2C" w:rsidR="00271927" w:rsidRPr="00615B0D" w:rsidRDefault="00271927" w:rsidP="00D5557B">
            <w:pPr>
              <w:widowControl w:val="0"/>
              <w:numPr>
                <w:ilvl w:val="0"/>
                <w:numId w:val="12"/>
              </w:numPr>
              <w:ind w:left="449"/>
              <w:rPr>
                <w:rFonts w:ascii="Arial Narrow" w:hAnsi="Arial Narrow" w:cs="Times New Roman"/>
                <w:iCs/>
                <w:snapToGrid w:val="0"/>
                <w:sz w:val="20"/>
              </w:rPr>
            </w:pPr>
            <w:r w:rsidRPr="00615B0D">
              <w:rPr>
                <w:rFonts w:ascii="Arial Narrow" w:hAnsi="Arial Narrow" w:cs="Times New Roman"/>
                <w:iCs/>
                <w:snapToGrid w:val="0"/>
                <w:sz w:val="20"/>
              </w:rPr>
              <w:t>Alternate waning rate of 5.4% beginning at 10 years</w:t>
            </w:r>
          </w:p>
          <w:p w14:paraId="2AA0AA51" w14:textId="5A2F0D09" w:rsidR="00271927" w:rsidRPr="00615B0D" w:rsidRDefault="00271927" w:rsidP="00D5557B">
            <w:pPr>
              <w:widowControl w:val="0"/>
              <w:numPr>
                <w:ilvl w:val="0"/>
                <w:numId w:val="12"/>
              </w:numPr>
              <w:ind w:left="449"/>
              <w:rPr>
                <w:rFonts w:ascii="Arial Narrow" w:hAnsi="Arial Narrow" w:cs="Times New Roman"/>
                <w:iCs/>
                <w:snapToGrid w:val="0"/>
                <w:sz w:val="20"/>
              </w:rPr>
            </w:pPr>
            <w:r w:rsidRPr="00615B0D">
              <w:rPr>
                <w:rFonts w:ascii="Arial Narrow" w:hAnsi="Arial Narrow" w:cs="Times New Roman"/>
                <w:iCs/>
                <w:snapToGrid w:val="0"/>
                <w:sz w:val="20"/>
              </w:rPr>
              <w:t>Alternate waning rate of 5.4% beginning at 15 years</w:t>
            </w:r>
          </w:p>
          <w:p w14:paraId="70B2AA6F" w14:textId="77777777" w:rsidR="00271927" w:rsidRPr="00615B0D" w:rsidRDefault="00271927" w:rsidP="00D5557B">
            <w:pPr>
              <w:widowControl w:val="0"/>
              <w:numPr>
                <w:ilvl w:val="0"/>
                <w:numId w:val="12"/>
              </w:numPr>
              <w:ind w:left="449"/>
              <w:rPr>
                <w:rFonts w:ascii="Arial Narrow" w:hAnsi="Arial Narrow" w:cs="Times New Roman"/>
                <w:iCs/>
                <w:snapToGrid w:val="0"/>
                <w:sz w:val="20"/>
              </w:rPr>
            </w:pPr>
            <w:r w:rsidRPr="00615B0D">
              <w:rPr>
                <w:rFonts w:ascii="Arial Narrow" w:hAnsi="Arial Narrow" w:cs="Times New Roman"/>
                <w:iCs/>
                <w:snapToGrid w:val="0"/>
                <w:sz w:val="20"/>
              </w:rPr>
              <w:t>Upper limit from linear waning rate CI</w:t>
            </w:r>
          </w:p>
          <w:p w14:paraId="11414955" w14:textId="77777777" w:rsidR="00271927" w:rsidRPr="00AD7238" w:rsidDel="008F5794" w:rsidRDefault="00271927" w:rsidP="00D5557B">
            <w:pPr>
              <w:widowControl w:val="0"/>
              <w:numPr>
                <w:ilvl w:val="0"/>
                <w:numId w:val="12"/>
              </w:numPr>
              <w:ind w:left="449"/>
              <w:rPr>
                <w:rFonts w:ascii="Arial Narrow" w:hAnsi="Arial Narrow"/>
                <w:bCs/>
                <w:snapToGrid w:val="0"/>
                <w:sz w:val="20"/>
                <w:szCs w:val="20"/>
              </w:rPr>
            </w:pPr>
            <w:r w:rsidRPr="00615B0D">
              <w:rPr>
                <w:rFonts w:ascii="Arial Narrow" w:hAnsi="Arial Narrow" w:cs="Times New Roman"/>
                <w:iCs/>
                <w:snapToGrid w:val="0"/>
                <w:sz w:val="20"/>
              </w:rPr>
              <w:t>Lower limit from linear waning rate CI</w:t>
            </w:r>
          </w:p>
        </w:tc>
        <w:tc>
          <w:tcPr>
            <w:tcW w:w="1279" w:type="dxa"/>
            <w:tcBorders>
              <w:top w:val="single" w:sz="4" w:space="0" w:color="auto"/>
              <w:left w:val="single" w:sz="4" w:space="0" w:color="auto"/>
              <w:bottom w:val="single" w:sz="4" w:space="0" w:color="auto"/>
              <w:right w:val="single" w:sz="4" w:space="0" w:color="auto"/>
            </w:tcBorders>
          </w:tcPr>
          <w:p w14:paraId="26232EC7"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5ABB61E9" w14:textId="0F49709D" w:rsidR="00271927"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47"/>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47"/>
                <w14:textFill>
                  <w14:solidFill>
                    <w14:srgbClr w14:val="000000">
                      <w14:alpha w14:val="100000"/>
                    </w14:srgbClr>
                  </w14:solidFill>
                </w14:textFill>
              </w:rPr>
              <w:t>|</w:t>
            </w:r>
          </w:p>
          <w:p w14:paraId="7EDFFD4F" w14:textId="406243D1" w:rsidR="00213554"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46"/>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46"/>
                <w14:textFill>
                  <w14:solidFill>
                    <w14:srgbClr w14:val="000000">
                      <w14:alpha w14:val="100000"/>
                    </w14:srgbClr>
                  </w14:solidFill>
                </w14:textFill>
              </w:rPr>
              <w:t>|</w:t>
            </w:r>
          </w:p>
          <w:p w14:paraId="6D0A2994" w14:textId="3AE7AEF0" w:rsidR="00213554"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45"/>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45"/>
                <w14:textFill>
                  <w14:solidFill>
                    <w14:srgbClr w14:val="000000">
                      <w14:alpha w14:val="100000"/>
                    </w14:srgbClr>
                  </w14:solidFill>
                </w14:textFill>
              </w:rPr>
              <w:t>|</w:t>
            </w:r>
          </w:p>
          <w:p w14:paraId="1DCB6671" w14:textId="568431E3" w:rsidR="00213554"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44"/>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44"/>
                <w14:textFill>
                  <w14:solidFill>
                    <w14:srgbClr w14:val="000000">
                      <w14:alpha w14:val="100000"/>
                    </w14:srgbClr>
                  </w14:solidFill>
                </w14:textFill>
              </w:rPr>
              <w:t>|</w:t>
            </w:r>
          </w:p>
          <w:p w14:paraId="0EDC8E9F" w14:textId="09C8EBB4" w:rsidR="00213554" w:rsidRPr="00BA039D" w:rsidRDefault="00BA039D">
            <w:pPr>
              <w:widowControl w:val="0"/>
              <w:spacing w:after="120"/>
              <w:contextualSpacing/>
              <w:jc w:val="center"/>
              <w:rPr>
                <w:rFonts w:ascii="Arial Narrow" w:hAnsi="Arial Narrow"/>
                <w:snapToGrid w:val="0"/>
                <w:sz w:val="20"/>
                <w:szCs w:val="20"/>
              </w:rPr>
            </w:pPr>
            <w:r w:rsidRPr="00BA039D">
              <w:rPr>
                <w:rFonts w:ascii="Arial Narrow" w:eastAsia="MS Gothic" w:hAnsi="Arial Narrow" w:cs="Times New Roman"/>
                <w:bCs/>
                <w:color w:val="000000"/>
                <w:spacing w:val="56"/>
                <w:sz w:val="20"/>
                <w:szCs w:val="20"/>
                <w:shd w:val="solid" w:color="000000" w:fill="000000"/>
                <w:fitText w:val="341" w:id="-1233442560"/>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60"/>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2C3318B7" w14:textId="77777777" w:rsidR="00DE1FFD" w:rsidRPr="00AD7238" w:rsidRDefault="00DE1FFD" w:rsidP="00DE1FFD">
            <w:pPr>
              <w:widowControl w:val="0"/>
              <w:jc w:val="center"/>
              <w:rPr>
                <w:rFonts w:ascii="Arial Narrow" w:eastAsia="MS Gothic" w:hAnsi="Arial Narrow" w:cs="Times New Roman"/>
                <w:bCs/>
                <w:sz w:val="20"/>
                <w:szCs w:val="20"/>
              </w:rPr>
            </w:pPr>
          </w:p>
          <w:p w14:paraId="2BD812F4" w14:textId="43DE3696" w:rsidR="00271927" w:rsidRPr="00AD7238" w:rsidRDefault="00271927" w:rsidP="00DF2D71">
            <w:pPr>
              <w:widowControl w:val="0"/>
              <w:jc w:val="center"/>
              <w:rPr>
                <w:rFonts w:ascii="Arial Narrow" w:eastAsia="MS Gothic" w:hAnsi="Arial Narrow" w:cs="Times New Roman"/>
                <w:bCs/>
                <w:sz w:val="20"/>
                <w:szCs w:val="20"/>
              </w:rPr>
            </w:pPr>
            <w:r w:rsidRPr="00AD7238">
              <w:rPr>
                <w:rFonts w:ascii="Arial Narrow" w:eastAsia="MS Gothic" w:hAnsi="Arial Narrow" w:cs="Times New Roman"/>
                <w:bCs/>
                <w:sz w:val="20"/>
                <w:szCs w:val="20"/>
              </w:rPr>
              <w:t>8,268</w:t>
            </w:r>
          </w:p>
          <w:p w14:paraId="70D4F17C" w14:textId="57449279" w:rsidR="00271927" w:rsidRPr="00615B0D" w:rsidRDefault="00271927" w:rsidP="00DF2D71">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7,718</w:t>
            </w:r>
          </w:p>
          <w:p w14:paraId="34410EC5" w14:textId="77777777" w:rsidR="00271927" w:rsidRPr="00615B0D" w:rsidDel="00D51764" w:rsidRDefault="00271927" w:rsidP="00DE1FFD">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8,208</w:t>
            </w:r>
          </w:p>
          <w:p w14:paraId="3EE0649F" w14:textId="77777777" w:rsidR="00271927" w:rsidRPr="00615B0D" w:rsidRDefault="00271927" w:rsidP="00DE1FFD">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6,777</w:t>
            </w:r>
          </w:p>
          <w:p w14:paraId="4181056C" w14:textId="77777777" w:rsidR="00271927" w:rsidRPr="00AD7238" w:rsidDel="00D51764" w:rsidRDefault="00271927" w:rsidP="00DE1FFD">
            <w:pPr>
              <w:widowControl w:val="0"/>
              <w:spacing w:after="120"/>
              <w:contextualSpacing/>
              <w:jc w:val="center"/>
              <w:rPr>
                <w:rFonts w:ascii="Arial Narrow" w:hAnsi="Arial Narrow"/>
                <w:snapToGrid w:val="0"/>
                <w:sz w:val="20"/>
                <w:szCs w:val="20"/>
              </w:rPr>
            </w:pPr>
            <w:r w:rsidRPr="00615B0D">
              <w:rPr>
                <w:rFonts w:ascii="Arial Narrow" w:hAnsi="Arial Narrow"/>
                <w:iCs/>
                <w:snapToGrid w:val="0"/>
                <w:sz w:val="20"/>
                <w:szCs w:val="20"/>
              </w:rPr>
              <w:t>10,362</w:t>
            </w:r>
          </w:p>
        </w:tc>
        <w:tc>
          <w:tcPr>
            <w:tcW w:w="1121" w:type="dxa"/>
            <w:tcBorders>
              <w:top w:val="single" w:sz="4" w:space="0" w:color="auto"/>
              <w:left w:val="single" w:sz="4" w:space="0" w:color="auto"/>
              <w:bottom w:val="single" w:sz="4" w:space="0" w:color="auto"/>
              <w:right w:val="single" w:sz="4" w:space="0" w:color="auto"/>
            </w:tcBorders>
          </w:tcPr>
          <w:p w14:paraId="68D8566A" w14:textId="77777777" w:rsidR="00213554" w:rsidRDefault="00213554" w:rsidP="00DE1FFD">
            <w:pPr>
              <w:widowControl w:val="0"/>
              <w:spacing w:after="120"/>
              <w:contextualSpacing/>
              <w:jc w:val="center"/>
              <w:rPr>
                <w:rFonts w:ascii="Arial Narrow" w:eastAsia="MS Gothic" w:hAnsi="Arial Narrow" w:cs="Times New Roman"/>
                <w:bCs/>
                <w:sz w:val="20"/>
                <w:szCs w:val="20"/>
                <w:highlight w:val="darkGray"/>
              </w:rPr>
            </w:pPr>
          </w:p>
          <w:p w14:paraId="712CDC0E" w14:textId="7436163D" w:rsidR="00213554" w:rsidRDefault="00BA039D" w:rsidP="00DE1FF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9"/>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9"/>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p w14:paraId="493FB877" w14:textId="3F8696DC" w:rsidR="00213554" w:rsidRDefault="00BA039D" w:rsidP="00DE1FF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8"/>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8"/>
                <w14:textFill>
                  <w14:solidFill>
                    <w14:srgbClr w14:val="000000">
                      <w14:alpha w14:val="100000"/>
                    </w14:srgbClr>
                  </w14:solidFill>
                </w14:textFill>
              </w:rPr>
              <w:t>|</w:t>
            </w:r>
            <w:r w:rsidR="002D73B8">
              <w:rPr>
                <w:rFonts w:ascii="Arial Narrow" w:hAnsi="Arial Narrow"/>
                <w:snapToGrid w:val="0"/>
                <w:sz w:val="20"/>
                <w:szCs w:val="20"/>
                <w:vertAlign w:val="superscript"/>
              </w:rPr>
              <w:t>3</w:t>
            </w:r>
          </w:p>
          <w:p w14:paraId="571D4595" w14:textId="165EF6A2" w:rsidR="00213554" w:rsidRDefault="00BA039D" w:rsidP="00DE1FF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iCs/>
                <w:color w:val="000000"/>
                <w:spacing w:val="38"/>
                <w:sz w:val="20"/>
                <w:szCs w:val="20"/>
                <w:shd w:val="solid" w:color="000000" w:fill="000000"/>
                <w:fitText w:val="450" w:id="-1233442557"/>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7"/>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p w14:paraId="2FDDBBE0" w14:textId="60E3ECCD" w:rsidR="00213554" w:rsidRDefault="00BA039D" w:rsidP="00DE1FF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iCs/>
                <w:color w:val="000000"/>
                <w:spacing w:val="38"/>
                <w:sz w:val="20"/>
                <w:szCs w:val="20"/>
                <w:shd w:val="solid" w:color="000000" w:fill="000000"/>
                <w:fitText w:val="450" w:id="-1233442556"/>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6"/>
                <w14:textFill>
                  <w14:solidFill>
                    <w14:srgbClr w14:val="000000">
                      <w14:alpha w14:val="100000"/>
                    </w14:srgbClr>
                  </w14:solidFill>
                </w14:textFill>
              </w:rPr>
              <w:t>|</w:t>
            </w:r>
            <w:r w:rsidR="002D73B8">
              <w:rPr>
                <w:rFonts w:ascii="Arial Narrow" w:hAnsi="Arial Narrow"/>
                <w:snapToGrid w:val="0"/>
                <w:sz w:val="20"/>
                <w:szCs w:val="20"/>
                <w:vertAlign w:val="superscript"/>
              </w:rPr>
              <w:t>3</w:t>
            </w:r>
          </w:p>
          <w:p w14:paraId="64EF8A08" w14:textId="5C597431" w:rsidR="00271927" w:rsidRPr="005A7FF1" w:rsidRDefault="00BA039D" w:rsidP="00DE1FFD">
            <w:pPr>
              <w:widowControl w:val="0"/>
              <w:spacing w:after="120"/>
              <w:contextualSpacing/>
              <w:jc w:val="center"/>
              <w:rPr>
                <w:rFonts w:ascii="Arial Narrow" w:hAnsi="Arial Narrow"/>
                <w:snapToGrid w:val="0"/>
                <w:sz w:val="20"/>
                <w:szCs w:val="20"/>
                <w:highlight w:val="darkGray"/>
              </w:rPr>
            </w:pPr>
            <w:r w:rsidRPr="00BA039D">
              <w:rPr>
                <w:rFonts w:ascii="Arial Narrow" w:eastAsia="MS Gothic" w:hAnsi="Arial Narrow" w:cs="Times New Roman"/>
                <w:bCs/>
                <w:iCs/>
                <w:color w:val="000000"/>
                <w:spacing w:val="38"/>
                <w:sz w:val="20"/>
                <w:szCs w:val="20"/>
                <w:shd w:val="solid" w:color="000000" w:fill="000000"/>
                <w:fitText w:val="450" w:id="-1233442555"/>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5"/>
                <w14:textFill>
                  <w14:solidFill>
                    <w14:srgbClr w14:val="000000">
                      <w14:alpha w14:val="100000"/>
                    </w14:srgbClr>
                  </w14:solidFill>
                </w14:textFill>
              </w:rPr>
              <w:t>|</w:t>
            </w:r>
            <w:r w:rsidR="002D73B8">
              <w:rPr>
                <w:rFonts w:ascii="Arial Narrow" w:hAnsi="Arial Narrow"/>
                <w:snapToGrid w:val="0"/>
                <w:sz w:val="20"/>
                <w:szCs w:val="20"/>
                <w:vertAlign w:val="superscript"/>
              </w:rPr>
              <w:t>2</w:t>
            </w:r>
          </w:p>
        </w:tc>
        <w:tc>
          <w:tcPr>
            <w:tcW w:w="839" w:type="dxa"/>
            <w:tcBorders>
              <w:top w:val="single" w:sz="4" w:space="0" w:color="auto"/>
              <w:left w:val="single" w:sz="4" w:space="0" w:color="auto"/>
              <w:bottom w:val="single" w:sz="4" w:space="0" w:color="auto"/>
              <w:right w:val="single" w:sz="4" w:space="0" w:color="auto"/>
            </w:tcBorders>
          </w:tcPr>
          <w:p w14:paraId="70D15759" w14:textId="77777777" w:rsidR="00DE1FFD" w:rsidRPr="00615B0D" w:rsidRDefault="00DE1FFD" w:rsidP="00DE1FFD">
            <w:pPr>
              <w:widowControl w:val="0"/>
              <w:jc w:val="center"/>
              <w:rPr>
                <w:rFonts w:ascii="Arial Narrow" w:eastAsia="MS Gothic" w:hAnsi="Arial Narrow" w:cs="Times New Roman"/>
                <w:bCs/>
                <w:iCs/>
                <w:sz w:val="20"/>
                <w:szCs w:val="20"/>
              </w:rPr>
            </w:pPr>
          </w:p>
          <w:p w14:paraId="649D7DC5" w14:textId="5B21E22B" w:rsidR="00271927" w:rsidRPr="00615B0D" w:rsidRDefault="00271927" w:rsidP="00DF2D71">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+7%</w:t>
            </w:r>
          </w:p>
          <w:p w14:paraId="596807C5" w14:textId="7FD958F7" w:rsidR="00271927" w:rsidRPr="00615B0D" w:rsidRDefault="00271927" w:rsidP="00DF2D71">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+23%</w:t>
            </w:r>
          </w:p>
          <w:p w14:paraId="06FEF234" w14:textId="77777777" w:rsidR="00271927" w:rsidRPr="00615B0D" w:rsidRDefault="00271927" w:rsidP="00DE1FFD">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+9%</w:t>
            </w:r>
          </w:p>
          <w:p w14:paraId="7D9E5C00" w14:textId="77777777" w:rsidR="00271927" w:rsidRPr="00615B0D" w:rsidRDefault="00271927" w:rsidP="00DE1FFD">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+55%</w:t>
            </w:r>
          </w:p>
          <w:p w14:paraId="3F3C6529" w14:textId="77777777" w:rsidR="00271927" w:rsidRPr="00AD7238" w:rsidRDefault="00271927" w:rsidP="00DE1FFD">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-37%</w:t>
            </w:r>
          </w:p>
        </w:tc>
      </w:tr>
      <w:tr w:rsidR="00271927" w:rsidRPr="00AD7238" w14:paraId="0196DB01"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591BE3D9" w14:textId="77777777" w:rsidR="00271927" w:rsidRPr="00AD7238" w:rsidRDefault="00271927">
            <w:pPr>
              <w:widowControl w:val="0"/>
              <w:rPr>
                <w:rFonts w:ascii="Arial Narrow" w:eastAsia="MS Gothic" w:hAnsi="Arial Narrow" w:cs="Times New Roman"/>
                <w:bCs/>
                <w:sz w:val="20"/>
                <w:szCs w:val="20"/>
              </w:rPr>
            </w:pPr>
            <w:r w:rsidRPr="00AD7238">
              <w:rPr>
                <w:rFonts w:ascii="Arial Narrow" w:eastAsia="MS Gothic" w:hAnsi="Arial Narrow" w:cs="Times New Roman"/>
                <w:bCs/>
                <w:sz w:val="20"/>
                <w:szCs w:val="20"/>
              </w:rPr>
              <w:t>Healthcare resource utilisation (base case Karki, 2016 and Yawn, 2009)</w:t>
            </w:r>
          </w:p>
          <w:p w14:paraId="1E00EF73" w14:textId="77777777" w:rsidR="00271927" w:rsidRPr="00AD7238" w:rsidRDefault="00271927" w:rsidP="00D5557B">
            <w:pPr>
              <w:widowControl w:val="0"/>
              <w:numPr>
                <w:ilvl w:val="0"/>
                <w:numId w:val="21"/>
              </w:numPr>
              <w:ind w:left="449"/>
              <w:rPr>
                <w:rFonts w:ascii="Arial Narrow" w:eastAsia="MS Gothic" w:hAnsi="Arial Narrow" w:cs="Times New Roman"/>
                <w:bCs/>
                <w:sz w:val="20"/>
                <w:szCs w:val="20"/>
              </w:rPr>
            </w:pPr>
            <w:r w:rsidRPr="00AD7238">
              <w:rPr>
                <w:rFonts w:ascii="Arial Narrow" w:eastAsia="MS Gothic" w:hAnsi="Arial Narrow" w:cs="Times New Roman"/>
                <w:bCs/>
                <w:sz w:val="20"/>
                <w:szCs w:val="20"/>
              </w:rPr>
              <w:t>Yawn (2009) by age</w:t>
            </w:r>
          </w:p>
          <w:p w14:paraId="24EECCAC" w14:textId="77777777" w:rsidR="00271927" w:rsidRPr="00AD7238" w:rsidRDefault="00271927" w:rsidP="00D5557B">
            <w:pPr>
              <w:widowControl w:val="0"/>
              <w:numPr>
                <w:ilvl w:val="0"/>
                <w:numId w:val="14"/>
              </w:numPr>
              <w:ind w:left="449"/>
              <w:rPr>
                <w:rFonts w:ascii="Arial Narrow" w:hAnsi="Arial Narrow"/>
                <w:snapToGrid w:val="0"/>
                <w:sz w:val="20"/>
                <w:szCs w:val="20"/>
              </w:rPr>
            </w:pPr>
            <w:r w:rsidRPr="00AD7238">
              <w:rPr>
                <w:rFonts w:ascii="Arial Narrow" w:eastAsia="MS Gothic" w:hAnsi="Arial Narrow" w:cs="Times New Roman"/>
                <w:bCs/>
                <w:sz w:val="20"/>
                <w:szCs w:val="20"/>
              </w:rPr>
              <w:t>Yawn (2009) overall</w:t>
            </w:r>
          </w:p>
        </w:tc>
        <w:tc>
          <w:tcPr>
            <w:tcW w:w="1279" w:type="dxa"/>
            <w:tcBorders>
              <w:top w:val="single" w:sz="4" w:space="0" w:color="auto"/>
              <w:left w:val="single" w:sz="4" w:space="0" w:color="auto"/>
              <w:bottom w:val="single" w:sz="4" w:space="0" w:color="auto"/>
              <w:right w:val="single" w:sz="4" w:space="0" w:color="auto"/>
            </w:tcBorders>
          </w:tcPr>
          <w:p w14:paraId="292F01DB"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0935F430"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03533AF1" w14:textId="1F470805" w:rsidR="00271927"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54"/>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4"/>
                <w14:textFill>
                  <w14:solidFill>
                    <w14:srgbClr w14:val="000000">
                      <w14:alpha w14:val="100000"/>
                    </w14:srgbClr>
                  </w14:solidFill>
                </w14:textFill>
              </w:rPr>
              <w:t>|</w:t>
            </w:r>
          </w:p>
          <w:p w14:paraId="715DFD0D" w14:textId="729DFDA9" w:rsidR="00213554" w:rsidRPr="00BA039D" w:rsidRDefault="00BA039D">
            <w:pPr>
              <w:widowControl w:val="0"/>
              <w:spacing w:after="120"/>
              <w:contextualSpacing/>
              <w:jc w:val="center"/>
              <w:rPr>
                <w:rFonts w:ascii="Arial Narrow" w:hAnsi="Arial Narrow"/>
                <w:snapToGrid w:val="0"/>
                <w:sz w:val="20"/>
                <w:szCs w:val="20"/>
              </w:rPr>
            </w:pPr>
            <w:r w:rsidRPr="00BA039D">
              <w:rPr>
                <w:rFonts w:ascii="Arial Narrow" w:eastAsia="MS Gothic" w:hAnsi="Arial Narrow" w:cs="Times New Roman"/>
                <w:bCs/>
                <w:color w:val="000000"/>
                <w:spacing w:val="56"/>
                <w:sz w:val="20"/>
                <w:szCs w:val="20"/>
                <w:shd w:val="solid" w:color="000000" w:fill="000000"/>
                <w:fitText w:val="341" w:id="-1233442553"/>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3"/>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3DC1DB2D" w14:textId="77777777" w:rsidR="00271927" w:rsidRPr="00AD7238" w:rsidRDefault="00271927">
            <w:pPr>
              <w:widowControl w:val="0"/>
              <w:jc w:val="center"/>
              <w:rPr>
                <w:rFonts w:ascii="Arial Narrow" w:eastAsia="MS Gothic" w:hAnsi="Arial Narrow" w:cs="Times New Roman"/>
                <w:bCs/>
                <w:sz w:val="20"/>
                <w:szCs w:val="20"/>
              </w:rPr>
            </w:pPr>
          </w:p>
          <w:p w14:paraId="51022623" w14:textId="77777777" w:rsidR="00271927" w:rsidRPr="00AD7238" w:rsidRDefault="00271927">
            <w:pPr>
              <w:widowControl w:val="0"/>
              <w:jc w:val="center"/>
              <w:rPr>
                <w:rFonts w:ascii="Arial Narrow" w:eastAsia="MS Gothic" w:hAnsi="Arial Narrow" w:cs="Times New Roman"/>
                <w:bCs/>
                <w:sz w:val="20"/>
                <w:szCs w:val="20"/>
              </w:rPr>
            </w:pPr>
          </w:p>
          <w:p w14:paraId="5A7DEFEB" w14:textId="77777777" w:rsidR="00271927" w:rsidRPr="00AD7238" w:rsidRDefault="00271927">
            <w:pPr>
              <w:widowControl w:val="0"/>
              <w:jc w:val="center"/>
              <w:rPr>
                <w:rFonts w:ascii="Arial Narrow" w:eastAsia="MS Gothic" w:hAnsi="Arial Narrow" w:cs="Times New Roman"/>
                <w:bCs/>
                <w:sz w:val="20"/>
                <w:szCs w:val="20"/>
              </w:rPr>
            </w:pPr>
            <w:r w:rsidRPr="00AD7238">
              <w:rPr>
                <w:rFonts w:ascii="Arial Narrow" w:eastAsia="MS Gothic" w:hAnsi="Arial Narrow" w:cs="Times New Roman"/>
                <w:bCs/>
                <w:sz w:val="20"/>
                <w:szCs w:val="20"/>
              </w:rPr>
              <w:t>8,547</w:t>
            </w:r>
          </w:p>
          <w:p w14:paraId="2C69F718" w14:textId="77777777" w:rsidR="00271927" w:rsidRPr="00AD7238" w:rsidRDefault="00271927">
            <w:pPr>
              <w:widowControl w:val="0"/>
              <w:spacing w:after="120"/>
              <w:contextualSpacing/>
              <w:jc w:val="center"/>
              <w:rPr>
                <w:rFonts w:ascii="Arial Narrow" w:hAnsi="Arial Narrow"/>
                <w:snapToGrid w:val="0"/>
                <w:sz w:val="20"/>
                <w:szCs w:val="20"/>
              </w:rPr>
            </w:pPr>
            <w:r w:rsidRPr="00AD7238">
              <w:rPr>
                <w:rFonts w:ascii="Arial Narrow" w:hAnsi="Arial Narrow"/>
                <w:snapToGrid w:val="0"/>
                <w:sz w:val="20"/>
                <w:szCs w:val="20"/>
              </w:rPr>
              <w:t>8,547</w:t>
            </w:r>
          </w:p>
        </w:tc>
        <w:tc>
          <w:tcPr>
            <w:tcW w:w="1121" w:type="dxa"/>
            <w:tcBorders>
              <w:top w:val="single" w:sz="4" w:space="0" w:color="auto"/>
              <w:left w:val="single" w:sz="4" w:space="0" w:color="auto"/>
              <w:bottom w:val="single" w:sz="4" w:space="0" w:color="auto"/>
              <w:right w:val="single" w:sz="4" w:space="0" w:color="auto"/>
            </w:tcBorders>
          </w:tcPr>
          <w:p w14:paraId="7C06DC3C"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4AE05B82"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128C6B54" w14:textId="00B116A8" w:rsidR="00213554" w:rsidRDefault="00BA039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52"/>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2"/>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p w14:paraId="35B039A4" w14:textId="38095B8B" w:rsidR="00271927" w:rsidRPr="005A7FF1" w:rsidRDefault="00BA039D">
            <w:pPr>
              <w:widowControl w:val="0"/>
              <w:spacing w:after="120"/>
              <w:contextualSpacing/>
              <w:jc w:val="center"/>
              <w:rPr>
                <w:rFonts w:ascii="Arial Narrow" w:hAnsi="Arial Narrow"/>
                <w:snapToGrid w:val="0"/>
                <w:sz w:val="20"/>
                <w:szCs w:val="20"/>
                <w:highlight w:val="darkGray"/>
              </w:rPr>
            </w:pPr>
            <w:r w:rsidRPr="00BA039D">
              <w:rPr>
                <w:rFonts w:ascii="Arial Narrow" w:eastAsia="MS Gothic" w:hAnsi="Arial Narrow" w:cs="Times New Roman"/>
                <w:bCs/>
                <w:color w:val="000000"/>
                <w:spacing w:val="38"/>
                <w:sz w:val="20"/>
                <w:szCs w:val="20"/>
                <w:shd w:val="solid" w:color="000000" w:fill="000000"/>
                <w:fitText w:val="450" w:id="-1233442551"/>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51"/>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44A02950" w14:textId="77777777" w:rsidR="00271927" w:rsidRPr="00615B0D" w:rsidRDefault="00271927">
            <w:pPr>
              <w:widowControl w:val="0"/>
              <w:jc w:val="center"/>
              <w:rPr>
                <w:rFonts w:ascii="Arial Narrow" w:eastAsia="MS Gothic" w:hAnsi="Arial Narrow" w:cs="Times New Roman"/>
                <w:bCs/>
                <w:iCs/>
                <w:sz w:val="20"/>
                <w:szCs w:val="20"/>
              </w:rPr>
            </w:pPr>
          </w:p>
          <w:p w14:paraId="4F5DA8A5" w14:textId="77777777" w:rsidR="00271927" w:rsidRPr="00615B0D" w:rsidRDefault="00271927">
            <w:pPr>
              <w:widowControl w:val="0"/>
              <w:jc w:val="center"/>
              <w:rPr>
                <w:rFonts w:ascii="Arial Narrow" w:eastAsia="MS Gothic" w:hAnsi="Arial Narrow" w:cs="Times New Roman"/>
                <w:bCs/>
                <w:iCs/>
                <w:sz w:val="20"/>
                <w:szCs w:val="20"/>
              </w:rPr>
            </w:pPr>
          </w:p>
          <w:p w14:paraId="571B9FD3" w14:textId="77777777" w:rsidR="00271927" w:rsidRPr="00615B0D" w:rsidRDefault="00271927">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-26%</w:t>
            </w:r>
          </w:p>
          <w:p w14:paraId="59CF5258" w14:textId="77777777" w:rsidR="00271927" w:rsidRPr="00AD7238" w:rsidRDefault="00271927">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+9%</w:t>
            </w:r>
          </w:p>
        </w:tc>
      </w:tr>
      <w:tr w:rsidR="00271927" w:rsidRPr="00AD7238" w14:paraId="146DBD9E"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135C7175" w14:textId="77777777" w:rsidR="00271927" w:rsidRPr="00AD7238" w:rsidRDefault="00271927">
            <w:pPr>
              <w:widowControl w:val="0"/>
              <w:rPr>
                <w:rFonts w:ascii="Arial Narrow" w:eastAsia="MS Gothic" w:hAnsi="Arial Narrow" w:cs="Times New Roman"/>
                <w:bCs/>
                <w:sz w:val="20"/>
                <w:szCs w:val="20"/>
              </w:rPr>
            </w:pPr>
            <w:r w:rsidRPr="00AD7238">
              <w:rPr>
                <w:rFonts w:ascii="Arial Narrow" w:eastAsia="MS Gothic" w:hAnsi="Arial Narrow" w:cs="Times New Roman"/>
                <w:bCs/>
                <w:sz w:val="20"/>
                <w:szCs w:val="20"/>
              </w:rPr>
              <w:t>Costs for hospitalisations (base case Brassel 2022)</w:t>
            </w:r>
          </w:p>
          <w:p w14:paraId="5C7962E8" w14:textId="77777777" w:rsidR="00271927" w:rsidRPr="00AD7238" w:rsidRDefault="00271927" w:rsidP="00D5557B">
            <w:pPr>
              <w:widowControl w:val="0"/>
              <w:numPr>
                <w:ilvl w:val="0"/>
                <w:numId w:val="15"/>
              </w:numPr>
              <w:ind w:left="449"/>
              <w:rPr>
                <w:rFonts w:ascii="Arial Narrow" w:hAnsi="Arial Narrow"/>
                <w:bCs/>
                <w:snapToGrid w:val="0"/>
                <w:sz w:val="20"/>
              </w:rPr>
            </w:pPr>
            <w:r w:rsidRPr="00AD7238">
              <w:rPr>
                <w:rFonts w:ascii="Arial Narrow" w:eastAsia="MS Gothic" w:hAnsi="Arial Narrow" w:cs="Times New Roman"/>
                <w:bCs/>
                <w:sz w:val="20"/>
              </w:rPr>
              <w:t>2 x multiplier to cost of hospitalisation</w:t>
            </w:r>
          </w:p>
          <w:p w14:paraId="37D4359C" w14:textId="77777777" w:rsidR="00271927" w:rsidRPr="00AD7238" w:rsidRDefault="00271927" w:rsidP="00D5557B">
            <w:pPr>
              <w:widowControl w:val="0"/>
              <w:numPr>
                <w:ilvl w:val="0"/>
                <w:numId w:val="15"/>
              </w:numPr>
              <w:ind w:left="449"/>
              <w:rPr>
                <w:rFonts w:ascii="Arial Narrow" w:hAnsi="Arial Narrow"/>
                <w:bCs/>
                <w:i/>
                <w:snapToGrid w:val="0"/>
                <w:sz w:val="20"/>
              </w:rPr>
            </w:pPr>
            <w:r w:rsidRPr="00615B0D">
              <w:rPr>
                <w:rFonts w:ascii="Arial Narrow" w:hAnsi="Arial Narrow"/>
                <w:bCs/>
                <w:iCs/>
                <w:sz w:val="20"/>
              </w:rPr>
              <w:t>0.5 x multiplier to cost of hospitalisation</w:t>
            </w:r>
          </w:p>
        </w:tc>
        <w:tc>
          <w:tcPr>
            <w:tcW w:w="1279" w:type="dxa"/>
            <w:tcBorders>
              <w:top w:val="single" w:sz="4" w:space="0" w:color="auto"/>
              <w:left w:val="single" w:sz="4" w:space="0" w:color="auto"/>
              <w:bottom w:val="single" w:sz="4" w:space="0" w:color="auto"/>
              <w:right w:val="single" w:sz="4" w:space="0" w:color="auto"/>
            </w:tcBorders>
          </w:tcPr>
          <w:p w14:paraId="4554BFFD"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7E72BF79" w14:textId="65DF659F" w:rsidR="00213554" w:rsidRPr="00BA039D" w:rsidRDefault="00BA039D">
            <w:pPr>
              <w:widowControl w:val="0"/>
              <w:spacing w:after="120"/>
              <w:contextualSpacing/>
              <w:jc w:val="center"/>
              <w:rPr>
                <w:rFonts w:ascii="Arial Narrow" w:eastAsia="MS Gothic" w:hAnsi="Arial Narrow" w:cs="Times New Roman"/>
                <w:bCs/>
                <w:sz w:val="20"/>
                <w:szCs w:val="20"/>
              </w:rPr>
            </w:pPr>
            <w:r w:rsidRPr="00BA039D">
              <w:rPr>
                <w:rFonts w:ascii="Arial Narrow" w:eastAsia="MS Gothic" w:hAnsi="Arial Narrow" w:cs="Times New Roman"/>
                <w:bCs/>
                <w:color w:val="000000"/>
                <w:spacing w:val="56"/>
                <w:sz w:val="20"/>
                <w:szCs w:val="20"/>
                <w:shd w:val="solid" w:color="000000" w:fill="000000"/>
                <w:fitText w:val="341" w:id="-1233442550"/>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50"/>
                <w14:textFill>
                  <w14:solidFill>
                    <w14:srgbClr w14:val="000000">
                      <w14:alpha w14:val="100000"/>
                    </w14:srgbClr>
                  </w14:solidFill>
                </w14:textFill>
              </w:rPr>
              <w:t>|</w:t>
            </w:r>
          </w:p>
          <w:p w14:paraId="0917D879" w14:textId="1AB3B899" w:rsidR="00271927" w:rsidRPr="00BA039D" w:rsidRDefault="00BA039D">
            <w:pPr>
              <w:widowControl w:val="0"/>
              <w:spacing w:after="120"/>
              <w:contextualSpacing/>
              <w:jc w:val="center"/>
              <w:rPr>
                <w:rFonts w:ascii="Arial Narrow" w:hAnsi="Arial Narrow"/>
                <w:i/>
                <w:snapToGrid w:val="0"/>
                <w:sz w:val="20"/>
                <w:szCs w:val="20"/>
              </w:rPr>
            </w:pPr>
            <w:r w:rsidRPr="00BA039D">
              <w:rPr>
                <w:rFonts w:ascii="Arial Narrow" w:eastAsia="MS Gothic" w:hAnsi="Arial Narrow" w:cs="Times New Roman"/>
                <w:bCs/>
                <w:color w:val="000000"/>
                <w:spacing w:val="56"/>
                <w:sz w:val="20"/>
                <w:szCs w:val="20"/>
                <w:shd w:val="solid" w:color="000000" w:fill="000000"/>
                <w:fitText w:val="341" w:id="-1233442549"/>
                <w14:textFill>
                  <w14:solidFill>
                    <w14:srgbClr w14:val="000000">
                      <w14:alpha w14:val="100000"/>
                    </w14:srgbClr>
                  </w14:solidFill>
                </w14:textFill>
              </w:rPr>
              <w:t>|||</w:t>
            </w:r>
            <w:r w:rsidRPr="00BA039D">
              <w:rPr>
                <w:rFonts w:ascii="Arial Narrow" w:eastAsia="MS Gothic" w:hAnsi="Arial Narrow" w:cs="Times New Roman"/>
                <w:bCs/>
                <w:color w:val="000000"/>
                <w:spacing w:val="3"/>
                <w:sz w:val="20"/>
                <w:szCs w:val="20"/>
                <w:shd w:val="solid" w:color="000000" w:fill="000000"/>
                <w:fitText w:val="341" w:id="-1233442549"/>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72D8420A" w14:textId="77777777" w:rsidR="00271927" w:rsidRPr="00AD7238" w:rsidRDefault="00271927">
            <w:pPr>
              <w:widowControl w:val="0"/>
              <w:jc w:val="center"/>
              <w:rPr>
                <w:rFonts w:ascii="Arial Narrow" w:eastAsia="MS Gothic" w:hAnsi="Arial Narrow" w:cs="Times New Roman"/>
                <w:bCs/>
                <w:sz w:val="20"/>
                <w:szCs w:val="20"/>
              </w:rPr>
            </w:pPr>
          </w:p>
          <w:p w14:paraId="6D6A80A7" w14:textId="77777777" w:rsidR="00271927" w:rsidRPr="00AD7238" w:rsidRDefault="00271927">
            <w:pPr>
              <w:widowControl w:val="0"/>
              <w:spacing w:after="120"/>
              <w:contextualSpacing/>
              <w:jc w:val="center"/>
              <w:rPr>
                <w:rFonts w:ascii="Arial Narrow" w:hAnsi="Arial Narrow"/>
                <w:snapToGrid w:val="0"/>
                <w:sz w:val="20"/>
                <w:szCs w:val="20"/>
              </w:rPr>
            </w:pPr>
            <w:r w:rsidRPr="00AD7238">
              <w:rPr>
                <w:rFonts w:ascii="Arial Narrow" w:hAnsi="Arial Narrow"/>
                <w:snapToGrid w:val="0"/>
                <w:sz w:val="20"/>
                <w:szCs w:val="20"/>
              </w:rPr>
              <w:t>8,547</w:t>
            </w:r>
          </w:p>
          <w:p w14:paraId="29D66CCC" w14:textId="77777777" w:rsidR="00271927" w:rsidRPr="00AD7238" w:rsidRDefault="00271927">
            <w:pPr>
              <w:widowControl w:val="0"/>
              <w:spacing w:after="120"/>
              <w:contextualSpacing/>
              <w:jc w:val="center"/>
              <w:rPr>
                <w:rFonts w:ascii="Arial Narrow" w:hAnsi="Arial Narrow"/>
                <w:i/>
                <w:snapToGrid w:val="0"/>
                <w:sz w:val="20"/>
                <w:szCs w:val="20"/>
              </w:rPr>
            </w:pPr>
            <w:r w:rsidRPr="00615B0D">
              <w:rPr>
                <w:rFonts w:ascii="Arial Narrow" w:hAnsi="Arial Narrow"/>
                <w:snapToGrid w:val="0"/>
                <w:sz w:val="20"/>
                <w:szCs w:val="20"/>
              </w:rPr>
              <w:t>8,547</w:t>
            </w:r>
          </w:p>
        </w:tc>
        <w:tc>
          <w:tcPr>
            <w:tcW w:w="1121" w:type="dxa"/>
            <w:tcBorders>
              <w:top w:val="single" w:sz="4" w:space="0" w:color="auto"/>
              <w:left w:val="single" w:sz="4" w:space="0" w:color="auto"/>
              <w:bottom w:val="single" w:sz="4" w:space="0" w:color="auto"/>
              <w:right w:val="single" w:sz="4" w:space="0" w:color="auto"/>
            </w:tcBorders>
          </w:tcPr>
          <w:p w14:paraId="16273505" w14:textId="77777777" w:rsidR="00213554" w:rsidRDefault="00213554">
            <w:pPr>
              <w:widowControl w:val="0"/>
              <w:spacing w:after="120"/>
              <w:contextualSpacing/>
              <w:jc w:val="center"/>
              <w:rPr>
                <w:rFonts w:ascii="Arial Narrow" w:eastAsia="MS Gothic" w:hAnsi="Arial Narrow" w:cs="Times New Roman"/>
                <w:bCs/>
                <w:sz w:val="20"/>
                <w:szCs w:val="20"/>
                <w:highlight w:val="darkGray"/>
              </w:rPr>
            </w:pPr>
          </w:p>
          <w:p w14:paraId="53FE647D" w14:textId="14EBB21B" w:rsidR="00213554" w:rsidRDefault="00BA039D">
            <w:pPr>
              <w:widowControl w:val="0"/>
              <w:spacing w:after="120"/>
              <w:contextualSpacing/>
              <w:jc w:val="center"/>
              <w:rPr>
                <w:rFonts w:ascii="Arial Narrow" w:hAnsi="Arial Narrow"/>
                <w:snapToGrid w:val="0"/>
                <w:sz w:val="20"/>
                <w:szCs w:val="20"/>
                <w:vertAlign w:val="superscript"/>
              </w:rPr>
            </w:pPr>
            <w:r w:rsidRPr="00BA039D">
              <w:rPr>
                <w:rFonts w:ascii="Arial Narrow" w:eastAsia="MS Gothic" w:hAnsi="Arial Narrow" w:cs="Times New Roman"/>
                <w:bCs/>
                <w:color w:val="000000"/>
                <w:spacing w:val="38"/>
                <w:sz w:val="20"/>
                <w:szCs w:val="20"/>
                <w:shd w:val="solid" w:color="000000" w:fill="000000"/>
                <w:fitText w:val="450" w:id="-1233442548"/>
                <w14:textFill>
                  <w14:solidFill>
                    <w14:srgbClr w14:val="000000">
                      <w14:alpha w14:val="100000"/>
                    </w14:srgbClr>
                  </w14:solidFill>
                </w14:textFill>
              </w:rPr>
              <w:t>|||||</w:t>
            </w:r>
            <w:r w:rsidRPr="00BA039D">
              <w:rPr>
                <w:rFonts w:ascii="Arial Narrow" w:eastAsia="MS Gothic" w:hAnsi="Arial Narrow" w:cs="Times New Roman"/>
                <w:bCs/>
                <w:color w:val="000000"/>
                <w:spacing w:val="5"/>
                <w:sz w:val="20"/>
                <w:szCs w:val="20"/>
                <w:shd w:val="solid" w:color="000000" w:fill="000000"/>
                <w:fitText w:val="450" w:id="-1233442548"/>
                <w14:textFill>
                  <w14:solidFill>
                    <w14:srgbClr w14:val="000000">
                      <w14:alpha w14:val="100000"/>
                    </w14:srgbClr>
                  </w14:solidFill>
                </w14:textFill>
              </w:rPr>
              <w:t>|</w:t>
            </w:r>
            <w:r w:rsidR="002D73B8">
              <w:rPr>
                <w:rFonts w:ascii="Arial Narrow" w:hAnsi="Arial Narrow"/>
                <w:snapToGrid w:val="0"/>
                <w:sz w:val="20"/>
                <w:szCs w:val="20"/>
                <w:vertAlign w:val="superscript"/>
              </w:rPr>
              <w:t>2</w:t>
            </w:r>
          </w:p>
          <w:p w14:paraId="51127948" w14:textId="6240BE09" w:rsidR="00271927" w:rsidRPr="005A7FF1" w:rsidRDefault="00BA039D">
            <w:pPr>
              <w:widowControl w:val="0"/>
              <w:spacing w:after="120"/>
              <w:contextualSpacing/>
              <w:jc w:val="center"/>
              <w:rPr>
                <w:rFonts w:ascii="Arial Narrow" w:hAnsi="Arial Narrow"/>
                <w:i/>
                <w:snapToGrid w:val="0"/>
                <w:sz w:val="20"/>
                <w:szCs w:val="20"/>
                <w:highlight w:val="darkGray"/>
              </w:rPr>
            </w:pPr>
            <w:r w:rsidRPr="00BA039D">
              <w:rPr>
                <w:rFonts w:ascii="Arial Narrow" w:hAnsi="Arial Narrow"/>
                <w:snapToGrid w:val="0"/>
                <w:color w:val="000000"/>
                <w:spacing w:val="38"/>
                <w:sz w:val="20"/>
                <w:szCs w:val="20"/>
                <w:shd w:val="solid" w:color="000000" w:fill="000000"/>
                <w:fitText w:val="450" w:id="-1233442547"/>
                <w14:textFill>
                  <w14:solidFill>
                    <w14:srgbClr w14:val="000000">
                      <w14:alpha w14:val="100000"/>
                    </w14:srgbClr>
                  </w14:solidFill>
                </w14:textFill>
              </w:rPr>
              <w:t>|||||</w:t>
            </w:r>
            <w:r w:rsidRPr="00BA039D">
              <w:rPr>
                <w:rFonts w:ascii="Arial Narrow" w:hAnsi="Arial Narrow"/>
                <w:snapToGrid w:val="0"/>
                <w:color w:val="000000"/>
                <w:spacing w:val="5"/>
                <w:sz w:val="20"/>
                <w:szCs w:val="20"/>
                <w:shd w:val="solid" w:color="000000" w:fill="000000"/>
                <w:fitText w:val="450" w:id="-1233442547"/>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4CC3AF8C" w14:textId="77777777" w:rsidR="00271927" w:rsidRPr="00615B0D" w:rsidRDefault="00271927">
            <w:pPr>
              <w:widowControl w:val="0"/>
              <w:jc w:val="center"/>
              <w:rPr>
                <w:rFonts w:ascii="Arial Narrow" w:eastAsia="MS Gothic" w:hAnsi="Arial Narrow" w:cs="Times New Roman"/>
                <w:bCs/>
                <w:iCs/>
                <w:sz w:val="20"/>
                <w:szCs w:val="20"/>
              </w:rPr>
            </w:pPr>
          </w:p>
          <w:p w14:paraId="0A327963" w14:textId="77777777" w:rsidR="00271927" w:rsidRPr="00615B0D" w:rsidRDefault="00271927">
            <w:pPr>
              <w:widowControl w:val="0"/>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-73%</w:t>
            </w:r>
          </w:p>
          <w:p w14:paraId="4D67712E" w14:textId="77777777" w:rsidR="00271927" w:rsidRPr="00AD7238" w:rsidRDefault="00271927">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+18%</w:t>
            </w:r>
          </w:p>
        </w:tc>
      </w:tr>
      <w:tr w:rsidR="00271927" w:rsidRPr="00AD7238" w14:paraId="1B8C69A9" w14:textId="77777777" w:rsidTr="00DF2D71">
        <w:trPr>
          <w:tblHeader/>
        </w:trPr>
        <w:tc>
          <w:tcPr>
            <w:tcW w:w="4531" w:type="dxa"/>
            <w:tcBorders>
              <w:top w:val="single" w:sz="4" w:space="0" w:color="auto"/>
              <w:left w:val="single" w:sz="4" w:space="0" w:color="auto"/>
              <w:bottom w:val="single" w:sz="4" w:space="0" w:color="auto"/>
              <w:right w:val="single" w:sz="4" w:space="0" w:color="auto"/>
            </w:tcBorders>
          </w:tcPr>
          <w:p w14:paraId="511009F3" w14:textId="6F08BFDC" w:rsidR="00271927" w:rsidRPr="00615B0D" w:rsidRDefault="00271927">
            <w:pPr>
              <w:widowControl w:val="0"/>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Vaccination starting age (base case &gt;65 YOA)</w:t>
            </w:r>
          </w:p>
          <w:p w14:paraId="6F5A87EA" w14:textId="3DB53F7A" w:rsidR="00271927" w:rsidRPr="00AD7238" w:rsidRDefault="00271927" w:rsidP="00D5557B">
            <w:pPr>
              <w:widowControl w:val="0"/>
              <w:numPr>
                <w:ilvl w:val="0"/>
                <w:numId w:val="17"/>
              </w:numPr>
              <w:ind w:left="449"/>
              <w:rPr>
                <w:rFonts w:ascii="Arial Narrow" w:hAnsi="Arial Narrow"/>
                <w:snapToGrid w:val="0"/>
                <w:sz w:val="20"/>
                <w:szCs w:val="20"/>
              </w:rPr>
            </w:pPr>
            <w:r w:rsidRPr="00615B0D">
              <w:rPr>
                <w:rFonts w:ascii="Arial Narrow" w:eastAsia="MS Gothic" w:hAnsi="Arial Narrow" w:cs="Times New Roman"/>
                <w:bCs/>
                <w:iCs/>
                <w:sz w:val="20"/>
                <w:szCs w:val="20"/>
              </w:rPr>
              <w:t>&gt;50 YOA</w:t>
            </w:r>
          </w:p>
        </w:tc>
        <w:tc>
          <w:tcPr>
            <w:tcW w:w="1279" w:type="dxa"/>
            <w:tcBorders>
              <w:top w:val="single" w:sz="4" w:space="0" w:color="auto"/>
              <w:left w:val="single" w:sz="4" w:space="0" w:color="auto"/>
              <w:bottom w:val="single" w:sz="4" w:space="0" w:color="auto"/>
              <w:right w:val="single" w:sz="4" w:space="0" w:color="auto"/>
            </w:tcBorders>
          </w:tcPr>
          <w:p w14:paraId="06B0B1BC" w14:textId="77777777" w:rsidR="00213554" w:rsidRDefault="00213554">
            <w:pPr>
              <w:widowControl w:val="0"/>
              <w:spacing w:after="120"/>
              <w:contextualSpacing/>
              <w:jc w:val="center"/>
              <w:rPr>
                <w:rFonts w:ascii="Arial Narrow" w:eastAsia="MS Gothic" w:hAnsi="Arial Narrow" w:cs="Times New Roman"/>
                <w:bCs/>
                <w:iCs/>
                <w:sz w:val="20"/>
                <w:szCs w:val="20"/>
                <w:highlight w:val="darkGray"/>
              </w:rPr>
            </w:pPr>
          </w:p>
          <w:p w14:paraId="1A20BD55" w14:textId="21889821" w:rsidR="00271927" w:rsidRPr="00BA039D" w:rsidRDefault="00BA039D">
            <w:pPr>
              <w:widowControl w:val="0"/>
              <w:spacing w:after="120"/>
              <w:contextualSpacing/>
              <w:jc w:val="center"/>
              <w:rPr>
                <w:rFonts w:ascii="Arial Narrow" w:hAnsi="Arial Narrow"/>
                <w:snapToGrid w:val="0"/>
                <w:sz w:val="20"/>
                <w:szCs w:val="20"/>
              </w:rPr>
            </w:pPr>
            <w:r w:rsidRPr="00BA039D">
              <w:rPr>
                <w:rFonts w:ascii="Arial Narrow" w:eastAsia="MS Gothic" w:hAnsi="Arial Narrow" w:cs="Times New Roman"/>
                <w:bCs/>
                <w:iCs/>
                <w:color w:val="000000"/>
                <w:spacing w:val="56"/>
                <w:sz w:val="20"/>
                <w:szCs w:val="20"/>
                <w:shd w:val="solid" w:color="000000" w:fill="000000"/>
                <w:fitText w:val="341" w:id="-1233442546"/>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zCs w:val="20"/>
                <w:shd w:val="solid" w:color="000000" w:fill="000000"/>
                <w:fitText w:val="341" w:id="-1233442546"/>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750C15C1" w14:textId="1425444C" w:rsidR="00271927" w:rsidRPr="00615B0D" w:rsidRDefault="00271927">
            <w:pPr>
              <w:widowControl w:val="0"/>
              <w:jc w:val="center"/>
              <w:rPr>
                <w:rFonts w:ascii="Arial Narrow" w:eastAsia="MS Gothic" w:hAnsi="Arial Narrow" w:cs="Times New Roman"/>
                <w:bCs/>
                <w:iCs/>
                <w:sz w:val="20"/>
                <w:szCs w:val="20"/>
              </w:rPr>
            </w:pPr>
          </w:p>
          <w:p w14:paraId="6BAB8FF0" w14:textId="74B9D875" w:rsidR="00271927" w:rsidRPr="00AD7238" w:rsidRDefault="00271927">
            <w:pPr>
              <w:widowControl w:val="0"/>
              <w:spacing w:after="120"/>
              <w:contextualSpacing/>
              <w:jc w:val="center"/>
              <w:rPr>
                <w:rFonts w:ascii="Arial Narrow" w:hAnsi="Arial Narrow"/>
                <w:snapToGrid w:val="0"/>
                <w:sz w:val="20"/>
                <w:szCs w:val="20"/>
              </w:rPr>
            </w:pPr>
            <w:r w:rsidRPr="00615B0D">
              <w:rPr>
                <w:rFonts w:ascii="Arial Narrow" w:hAnsi="Arial Narrow"/>
                <w:iCs/>
                <w:snapToGrid w:val="0"/>
                <w:sz w:val="20"/>
                <w:szCs w:val="20"/>
              </w:rPr>
              <w:t>7,478</w:t>
            </w:r>
          </w:p>
        </w:tc>
        <w:tc>
          <w:tcPr>
            <w:tcW w:w="1121" w:type="dxa"/>
            <w:tcBorders>
              <w:top w:val="single" w:sz="4" w:space="0" w:color="auto"/>
              <w:left w:val="single" w:sz="4" w:space="0" w:color="auto"/>
              <w:bottom w:val="single" w:sz="4" w:space="0" w:color="auto"/>
              <w:right w:val="single" w:sz="4" w:space="0" w:color="auto"/>
            </w:tcBorders>
          </w:tcPr>
          <w:p w14:paraId="4A0D160E" w14:textId="77777777" w:rsidR="00213554" w:rsidRDefault="00213554">
            <w:pPr>
              <w:widowControl w:val="0"/>
              <w:spacing w:after="120"/>
              <w:contextualSpacing/>
              <w:jc w:val="center"/>
              <w:rPr>
                <w:rFonts w:ascii="Arial Narrow" w:eastAsia="MS Gothic" w:hAnsi="Arial Narrow" w:cs="Times New Roman"/>
                <w:bCs/>
                <w:iCs/>
                <w:sz w:val="20"/>
                <w:szCs w:val="20"/>
                <w:highlight w:val="darkGray"/>
              </w:rPr>
            </w:pPr>
          </w:p>
          <w:p w14:paraId="1EF08877" w14:textId="55129A11" w:rsidR="00271927" w:rsidRPr="005A7FF1" w:rsidRDefault="00BA039D">
            <w:pPr>
              <w:widowControl w:val="0"/>
              <w:spacing w:after="120"/>
              <w:contextualSpacing/>
              <w:jc w:val="center"/>
              <w:rPr>
                <w:rFonts w:ascii="Arial Narrow" w:hAnsi="Arial Narrow"/>
                <w:snapToGrid w:val="0"/>
                <w:sz w:val="20"/>
                <w:szCs w:val="20"/>
                <w:highlight w:val="darkGray"/>
              </w:rPr>
            </w:pPr>
            <w:r w:rsidRPr="00BA039D">
              <w:rPr>
                <w:rFonts w:ascii="Arial Narrow" w:eastAsia="MS Gothic" w:hAnsi="Arial Narrow" w:cs="Times New Roman"/>
                <w:bCs/>
                <w:iCs/>
                <w:color w:val="000000"/>
                <w:spacing w:val="38"/>
                <w:sz w:val="20"/>
                <w:szCs w:val="20"/>
                <w:shd w:val="solid" w:color="000000" w:fill="000000"/>
                <w:fitText w:val="450" w:id="-1233442545"/>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45"/>
                <w14:textFill>
                  <w14:solidFill>
                    <w14:srgbClr w14:val="000000">
                      <w14:alpha w14:val="100000"/>
                    </w14:srgbClr>
                  </w14:solidFill>
                </w14:textFill>
              </w:rPr>
              <w:t>|</w:t>
            </w:r>
            <w:r w:rsidR="002D73B8">
              <w:rPr>
                <w:rFonts w:ascii="Arial Narrow" w:hAnsi="Arial Narrow"/>
                <w:snapToGrid w:val="0"/>
                <w:sz w:val="20"/>
                <w:szCs w:val="20"/>
                <w:vertAlign w:val="superscript"/>
              </w:rPr>
              <w:t>3</w:t>
            </w:r>
          </w:p>
        </w:tc>
        <w:tc>
          <w:tcPr>
            <w:tcW w:w="839" w:type="dxa"/>
            <w:tcBorders>
              <w:top w:val="single" w:sz="4" w:space="0" w:color="auto"/>
              <w:left w:val="single" w:sz="4" w:space="0" w:color="auto"/>
              <w:bottom w:val="single" w:sz="4" w:space="0" w:color="auto"/>
              <w:right w:val="single" w:sz="4" w:space="0" w:color="auto"/>
            </w:tcBorders>
          </w:tcPr>
          <w:p w14:paraId="0CAFF0EF" w14:textId="4FAB7D3C" w:rsidR="00271927" w:rsidRPr="00615B0D" w:rsidRDefault="00271927">
            <w:pPr>
              <w:widowControl w:val="0"/>
              <w:jc w:val="center"/>
              <w:rPr>
                <w:rFonts w:ascii="Arial Narrow" w:eastAsia="MS Gothic" w:hAnsi="Arial Narrow" w:cs="Times New Roman"/>
                <w:bCs/>
                <w:iCs/>
                <w:sz w:val="20"/>
                <w:szCs w:val="20"/>
              </w:rPr>
            </w:pPr>
          </w:p>
          <w:p w14:paraId="54BAC109" w14:textId="00F03B78" w:rsidR="00271927" w:rsidRPr="00AD7238" w:rsidRDefault="00271927">
            <w:pPr>
              <w:widowControl w:val="0"/>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+35%</w:t>
            </w:r>
          </w:p>
        </w:tc>
      </w:tr>
      <w:tr w:rsidR="001637E5" w:rsidRPr="00AD7238" w14:paraId="37C95089" w14:textId="77777777" w:rsidTr="00DF2D71">
        <w:trPr>
          <w:trHeight w:val="300"/>
          <w:tblHeader/>
        </w:trPr>
        <w:tc>
          <w:tcPr>
            <w:tcW w:w="4531" w:type="dxa"/>
            <w:tcBorders>
              <w:top w:val="single" w:sz="4" w:space="0" w:color="auto"/>
              <w:left w:val="single" w:sz="4" w:space="0" w:color="auto"/>
              <w:bottom w:val="single" w:sz="4" w:space="0" w:color="auto"/>
              <w:right w:val="single" w:sz="4" w:space="0" w:color="auto"/>
            </w:tcBorders>
          </w:tcPr>
          <w:p w14:paraId="1AB77E77" w14:textId="5F04C95F" w:rsidR="001637E5" w:rsidRPr="00615B0D" w:rsidRDefault="001637E5" w:rsidP="001637E5">
            <w:pPr>
              <w:widowControl w:val="0"/>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2nd dose adherence (base case 80.3%)</w:t>
            </w:r>
          </w:p>
          <w:p w14:paraId="0C7B4951" w14:textId="152808AE" w:rsidR="001637E5" w:rsidRPr="00615B0D" w:rsidRDefault="001637E5" w:rsidP="00D5557B">
            <w:pPr>
              <w:widowControl w:val="0"/>
              <w:numPr>
                <w:ilvl w:val="0"/>
                <w:numId w:val="22"/>
              </w:numP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78%</w:t>
            </w:r>
          </w:p>
          <w:p w14:paraId="044A5E3C" w14:textId="3BE1A70B" w:rsidR="001637E5" w:rsidRPr="00AD7238" w:rsidRDefault="001637E5" w:rsidP="00D5557B">
            <w:pPr>
              <w:pStyle w:val="ListParagraph"/>
              <w:numPr>
                <w:ilvl w:val="0"/>
                <w:numId w:val="22"/>
              </w:numPr>
              <w:spacing w:after="0"/>
              <w:rPr>
                <w:rFonts w:ascii="Arial Narrow" w:eastAsia="MS Gothic" w:hAnsi="Arial Narrow" w:cs="Times New Roman"/>
                <w:sz w:val="20"/>
                <w:szCs w:val="22"/>
              </w:rPr>
            </w:pPr>
            <w:r w:rsidRPr="00615B0D">
              <w:rPr>
                <w:rFonts w:ascii="Arial Narrow" w:eastAsia="MS Gothic" w:hAnsi="Arial Narrow" w:cs="Times New Roman"/>
                <w:bCs/>
                <w:iCs/>
                <w:sz w:val="20"/>
                <w:szCs w:val="20"/>
              </w:rPr>
              <w:t>65%</w:t>
            </w:r>
          </w:p>
        </w:tc>
        <w:tc>
          <w:tcPr>
            <w:tcW w:w="1279" w:type="dxa"/>
            <w:tcBorders>
              <w:top w:val="single" w:sz="4" w:space="0" w:color="auto"/>
              <w:left w:val="single" w:sz="4" w:space="0" w:color="auto"/>
              <w:bottom w:val="single" w:sz="4" w:space="0" w:color="auto"/>
              <w:right w:val="single" w:sz="4" w:space="0" w:color="auto"/>
            </w:tcBorders>
          </w:tcPr>
          <w:p w14:paraId="5CE0DEDB" w14:textId="77777777" w:rsidR="00213554" w:rsidRDefault="00213554" w:rsidP="001637E5">
            <w:pPr>
              <w:keepNext/>
              <w:rPr>
                <w:rFonts w:ascii="Arial Narrow" w:eastAsia="MS Gothic" w:hAnsi="Arial Narrow" w:cs="Times New Roman"/>
                <w:bCs/>
                <w:iCs/>
                <w:sz w:val="20"/>
                <w:szCs w:val="20"/>
                <w:highlight w:val="darkGray"/>
              </w:rPr>
            </w:pPr>
          </w:p>
          <w:p w14:paraId="1C575891" w14:textId="2FAA88D1" w:rsidR="001637E5" w:rsidRPr="00BA039D" w:rsidRDefault="00BA039D" w:rsidP="00213554">
            <w:pPr>
              <w:keepNext/>
              <w:jc w:val="center"/>
              <w:rPr>
                <w:rFonts w:ascii="Arial Narrow" w:eastAsia="MS Gothic" w:hAnsi="Arial Narrow" w:cs="Times New Roman"/>
                <w:bCs/>
                <w:iCs/>
                <w:sz w:val="20"/>
                <w:szCs w:val="20"/>
              </w:rPr>
            </w:pPr>
            <w:r w:rsidRPr="00BA039D">
              <w:rPr>
                <w:rFonts w:ascii="Arial Narrow" w:eastAsia="MS Gothic" w:hAnsi="Arial Narrow" w:cs="Times New Roman"/>
                <w:bCs/>
                <w:iCs/>
                <w:color w:val="000000"/>
                <w:spacing w:val="56"/>
                <w:sz w:val="20"/>
                <w:szCs w:val="20"/>
                <w:shd w:val="solid" w:color="000000" w:fill="000000"/>
                <w:fitText w:val="341" w:id="-1233442544"/>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zCs w:val="20"/>
                <w:shd w:val="solid" w:color="000000" w:fill="000000"/>
                <w:fitText w:val="341" w:id="-1233442544"/>
                <w14:textFill>
                  <w14:solidFill>
                    <w14:srgbClr w14:val="000000">
                      <w14:alpha w14:val="100000"/>
                    </w14:srgbClr>
                  </w14:solidFill>
                </w14:textFill>
              </w:rPr>
              <w:t>|</w:t>
            </w:r>
          </w:p>
          <w:p w14:paraId="340DCA03" w14:textId="46DF6C2B" w:rsidR="00213554" w:rsidRPr="00BA039D" w:rsidRDefault="00BA039D" w:rsidP="00213554">
            <w:pPr>
              <w:keepNext/>
              <w:jc w:val="center"/>
              <w:rPr>
                <w:rFonts w:ascii="Arial Narrow" w:eastAsia="MS Gothic" w:hAnsi="Arial Narrow" w:cs="Times New Roman"/>
                <w:bCs/>
                <w:i/>
                <w:iCs/>
                <w:sz w:val="20"/>
              </w:rPr>
            </w:pPr>
            <w:r w:rsidRPr="00BA039D">
              <w:rPr>
                <w:rFonts w:ascii="Arial Narrow" w:eastAsia="MS Gothic" w:hAnsi="Arial Narrow" w:cs="Times New Roman"/>
                <w:bCs/>
                <w:iCs/>
                <w:color w:val="000000"/>
                <w:spacing w:val="56"/>
                <w:sz w:val="20"/>
                <w:szCs w:val="20"/>
                <w:shd w:val="solid" w:color="000000" w:fill="000000"/>
                <w:fitText w:val="341" w:id="-1233442560"/>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zCs w:val="20"/>
                <w:shd w:val="solid" w:color="000000" w:fill="000000"/>
                <w:fitText w:val="341" w:id="-1233442560"/>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7EDA5732" w14:textId="065D2E50" w:rsidR="001637E5" w:rsidRPr="00615B0D" w:rsidRDefault="001637E5" w:rsidP="001637E5">
            <w:pPr>
              <w:widowControl w:val="0"/>
              <w:jc w:val="center"/>
              <w:rPr>
                <w:rFonts w:ascii="Arial Narrow" w:eastAsia="MS Gothic" w:hAnsi="Arial Narrow" w:cs="Times New Roman"/>
                <w:bCs/>
                <w:iCs/>
                <w:sz w:val="20"/>
                <w:szCs w:val="20"/>
              </w:rPr>
            </w:pPr>
          </w:p>
          <w:p w14:paraId="19500D02" w14:textId="39BA4969" w:rsidR="001637E5" w:rsidRPr="00615B0D" w:rsidRDefault="001637E5" w:rsidP="001637E5">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8,422</w:t>
            </w:r>
          </w:p>
          <w:p w14:paraId="100BA0FF" w14:textId="3A9F0182" w:rsidR="001637E5" w:rsidRPr="00AD7238" w:rsidRDefault="001637E5" w:rsidP="001637E5">
            <w:pPr>
              <w:keepNext/>
              <w:jc w:val="center"/>
              <w:rPr>
                <w:rFonts w:ascii="Arial Narrow" w:eastAsia="MS Gothic" w:hAnsi="Arial Narrow" w:cs="Times New Roman"/>
                <w:bCs/>
                <w:i/>
                <w:iCs/>
                <w:sz w:val="20"/>
              </w:rPr>
            </w:pPr>
            <w:r w:rsidRPr="00615B0D">
              <w:rPr>
                <w:rFonts w:ascii="Arial Narrow" w:hAnsi="Arial Narrow"/>
                <w:iCs/>
                <w:snapToGrid w:val="0"/>
                <w:sz w:val="20"/>
                <w:szCs w:val="20"/>
              </w:rPr>
              <w:t>7,718</w:t>
            </w:r>
          </w:p>
        </w:tc>
        <w:tc>
          <w:tcPr>
            <w:tcW w:w="1121" w:type="dxa"/>
            <w:tcBorders>
              <w:top w:val="single" w:sz="4" w:space="0" w:color="auto"/>
              <w:left w:val="single" w:sz="4" w:space="0" w:color="auto"/>
              <w:bottom w:val="single" w:sz="4" w:space="0" w:color="auto"/>
              <w:right w:val="single" w:sz="4" w:space="0" w:color="auto"/>
            </w:tcBorders>
          </w:tcPr>
          <w:p w14:paraId="1FDC1CB3" w14:textId="77777777" w:rsidR="00213554" w:rsidRDefault="00213554" w:rsidP="001637E5">
            <w:pPr>
              <w:keepNext/>
              <w:jc w:val="center"/>
              <w:rPr>
                <w:rFonts w:ascii="Arial Narrow" w:eastAsia="MS Gothic" w:hAnsi="Arial Narrow" w:cs="Times New Roman"/>
                <w:bCs/>
                <w:iCs/>
                <w:sz w:val="20"/>
                <w:szCs w:val="20"/>
                <w:highlight w:val="darkGray"/>
              </w:rPr>
            </w:pPr>
          </w:p>
          <w:p w14:paraId="40537FB9" w14:textId="6DFAC2CC" w:rsidR="00213554" w:rsidRDefault="00BA039D" w:rsidP="001637E5">
            <w:pPr>
              <w:keepNext/>
              <w:jc w:val="center"/>
              <w:rPr>
                <w:rFonts w:ascii="Arial Narrow" w:hAnsi="Arial Narrow"/>
                <w:snapToGrid w:val="0"/>
                <w:sz w:val="20"/>
                <w:szCs w:val="20"/>
                <w:vertAlign w:val="superscript"/>
              </w:rPr>
            </w:pPr>
            <w:r w:rsidRPr="00BA039D">
              <w:rPr>
                <w:rFonts w:ascii="Arial Narrow" w:eastAsia="MS Gothic" w:hAnsi="Arial Narrow" w:cs="Times New Roman"/>
                <w:bCs/>
                <w:iCs/>
                <w:color w:val="000000"/>
                <w:spacing w:val="38"/>
                <w:sz w:val="20"/>
                <w:szCs w:val="20"/>
                <w:shd w:val="solid" w:color="000000" w:fill="000000"/>
                <w:fitText w:val="450" w:id="-1233442559"/>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9"/>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p w14:paraId="292C0A30" w14:textId="6729D006" w:rsidR="001637E5" w:rsidRPr="005A7FF1" w:rsidRDefault="00BA039D" w:rsidP="001637E5">
            <w:pPr>
              <w:keepNext/>
              <w:jc w:val="center"/>
              <w:rPr>
                <w:rFonts w:ascii="Arial Narrow" w:eastAsia="MS Gothic" w:hAnsi="Arial Narrow" w:cs="Times New Roman"/>
                <w:bCs/>
                <w:i/>
                <w:iCs/>
                <w:sz w:val="20"/>
                <w:highlight w:val="darkGray"/>
              </w:rPr>
            </w:pPr>
            <w:r w:rsidRPr="00BA039D">
              <w:rPr>
                <w:rFonts w:ascii="Arial Narrow" w:eastAsia="MS Gothic" w:hAnsi="Arial Narrow" w:cs="Times New Roman"/>
                <w:bCs/>
                <w:iCs/>
                <w:color w:val="000000"/>
                <w:spacing w:val="38"/>
                <w:sz w:val="20"/>
                <w:szCs w:val="20"/>
                <w:shd w:val="solid" w:color="000000" w:fill="000000"/>
                <w:fitText w:val="450" w:id="-1233442558"/>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zCs w:val="20"/>
                <w:shd w:val="solid" w:color="000000" w:fill="000000"/>
                <w:fitText w:val="450" w:id="-1233442558"/>
                <w14:textFill>
                  <w14:solidFill>
                    <w14:srgbClr w14:val="000000">
                      <w14:alpha w14:val="100000"/>
                    </w14:srgbClr>
                  </w14:solidFill>
                </w14:textFill>
              </w:rPr>
              <w:t>|</w:t>
            </w:r>
            <w:r w:rsidR="002D73B8" w:rsidRPr="005A7FF1">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1E610835" w14:textId="3FF19EC4" w:rsidR="001637E5" w:rsidRPr="00615B0D" w:rsidRDefault="001637E5" w:rsidP="001637E5">
            <w:pPr>
              <w:widowControl w:val="0"/>
              <w:jc w:val="center"/>
              <w:rPr>
                <w:rFonts w:ascii="Arial Narrow" w:eastAsia="MS Gothic" w:hAnsi="Arial Narrow" w:cs="Times New Roman"/>
                <w:bCs/>
                <w:iCs/>
                <w:sz w:val="20"/>
                <w:szCs w:val="20"/>
              </w:rPr>
            </w:pPr>
          </w:p>
          <w:p w14:paraId="0B848ED5" w14:textId="3680F74E" w:rsidR="001637E5" w:rsidRPr="00615B0D" w:rsidRDefault="001637E5" w:rsidP="001637E5">
            <w:pPr>
              <w:widowControl w:val="0"/>
              <w:jc w:val="center"/>
              <w:rPr>
                <w:rFonts w:ascii="Arial Narrow" w:eastAsia="MS Gothic" w:hAnsi="Arial Narrow" w:cs="Times New Roman"/>
                <w:bCs/>
                <w:iCs/>
                <w:sz w:val="20"/>
                <w:szCs w:val="20"/>
              </w:rPr>
            </w:pPr>
            <w:r w:rsidRPr="00615B0D">
              <w:rPr>
                <w:rFonts w:ascii="Arial Narrow" w:eastAsia="MS Gothic" w:hAnsi="Arial Narrow" w:cs="Times New Roman"/>
                <w:bCs/>
                <w:iCs/>
                <w:sz w:val="20"/>
                <w:szCs w:val="20"/>
              </w:rPr>
              <w:t>0%</w:t>
            </w:r>
          </w:p>
          <w:p w14:paraId="198FAC15" w14:textId="0C9C4CAC" w:rsidR="001637E5" w:rsidRPr="00AD7238" w:rsidRDefault="001637E5" w:rsidP="001637E5">
            <w:pPr>
              <w:keepNext/>
              <w:jc w:val="center"/>
              <w:rPr>
                <w:rFonts w:ascii="Arial Narrow" w:eastAsia="MS Gothic" w:hAnsi="Arial Narrow" w:cs="Times New Roman"/>
                <w:bCs/>
                <w:i/>
                <w:iCs/>
                <w:sz w:val="20"/>
              </w:rPr>
            </w:pPr>
            <w:r w:rsidRPr="00615B0D">
              <w:rPr>
                <w:rFonts w:ascii="Arial Narrow" w:hAnsi="Arial Narrow"/>
                <w:iCs/>
                <w:snapToGrid w:val="0"/>
                <w:sz w:val="20"/>
                <w:szCs w:val="20"/>
              </w:rPr>
              <w:t>+3%</w:t>
            </w:r>
          </w:p>
        </w:tc>
      </w:tr>
      <w:tr w:rsidR="001637E5" w:rsidRPr="00AD7238" w14:paraId="7F4EB2C7" w14:textId="77777777" w:rsidTr="00DF2D71">
        <w:trPr>
          <w:trHeight w:val="300"/>
          <w:tblHeader/>
        </w:trPr>
        <w:tc>
          <w:tcPr>
            <w:tcW w:w="4531" w:type="dxa"/>
            <w:tcBorders>
              <w:top w:val="single" w:sz="4" w:space="0" w:color="auto"/>
              <w:left w:val="single" w:sz="4" w:space="0" w:color="auto"/>
              <w:bottom w:val="single" w:sz="4" w:space="0" w:color="auto"/>
              <w:right w:val="single" w:sz="4" w:space="0" w:color="auto"/>
            </w:tcBorders>
          </w:tcPr>
          <w:p w14:paraId="74BE47BE" w14:textId="77777777" w:rsidR="001637E5" w:rsidRPr="00AD7238" w:rsidRDefault="001637E5" w:rsidP="001637E5">
            <w:pPr>
              <w:ind w:left="170" w:hanging="170"/>
              <w:rPr>
                <w:rFonts w:ascii="Arial Narrow" w:eastAsia="MS Gothic" w:hAnsi="Arial Narrow" w:cs="Times New Roman"/>
                <w:sz w:val="20"/>
                <w:szCs w:val="22"/>
              </w:rPr>
            </w:pPr>
            <w:r w:rsidRPr="00AD7238">
              <w:rPr>
                <w:rFonts w:ascii="Arial Narrow" w:eastAsia="MS Gothic" w:hAnsi="Arial Narrow" w:cs="Times New Roman"/>
                <w:sz w:val="20"/>
                <w:szCs w:val="22"/>
              </w:rPr>
              <w:t>QALY loss (for HZ &amp; HZ with PHN) (base case Gater 2014, Serpell 2014, Curran 2017)</w:t>
            </w:r>
          </w:p>
          <w:p w14:paraId="42D32B93" w14:textId="77777777" w:rsidR="001637E5" w:rsidRPr="00AD7238" w:rsidRDefault="001637E5" w:rsidP="00D929CC">
            <w:pPr>
              <w:numPr>
                <w:ilvl w:val="0"/>
                <w:numId w:val="30"/>
              </w:numPr>
              <w:ind w:left="449"/>
              <w:rPr>
                <w:rFonts w:ascii="Arial Narrow" w:eastAsia="MS Gothic" w:hAnsi="Arial Narrow" w:cs="Times New Roman"/>
                <w:sz w:val="20"/>
                <w:szCs w:val="22"/>
              </w:rPr>
            </w:pPr>
            <w:r w:rsidRPr="00AD7238">
              <w:rPr>
                <w:rFonts w:ascii="Arial Narrow" w:eastAsia="MS Gothic" w:hAnsi="Arial Narrow" w:cs="Times New Roman"/>
                <w:sz w:val="20"/>
                <w:szCs w:val="22"/>
              </w:rPr>
              <w:t>Upper 95% confidence interval</w:t>
            </w:r>
          </w:p>
          <w:p w14:paraId="3A3B8171" w14:textId="77777777" w:rsidR="001637E5" w:rsidRPr="00AD7238" w:rsidRDefault="001637E5" w:rsidP="00D929CC">
            <w:pPr>
              <w:numPr>
                <w:ilvl w:val="0"/>
                <w:numId w:val="30"/>
              </w:numPr>
              <w:ind w:left="449"/>
              <w:rPr>
                <w:rFonts w:ascii="Arial Narrow" w:eastAsia="MS Gothic" w:hAnsi="Arial Narrow" w:cs="Times New Roman"/>
                <w:bCs/>
                <w:i/>
                <w:iCs/>
                <w:sz w:val="20"/>
              </w:rPr>
            </w:pPr>
            <w:r w:rsidRPr="00AD7238">
              <w:rPr>
                <w:rFonts w:ascii="Arial Narrow" w:eastAsia="MS Gothic" w:hAnsi="Arial Narrow" w:cs="Times New Roman"/>
                <w:sz w:val="20"/>
                <w:szCs w:val="22"/>
              </w:rPr>
              <w:t>Lower 95% confidence interval</w:t>
            </w:r>
          </w:p>
        </w:tc>
        <w:tc>
          <w:tcPr>
            <w:tcW w:w="1279" w:type="dxa"/>
            <w:tcBorders>
              <w:top w:val="single" w:sz="4" w:space="0" w:color="auto"/>
              <w:left w:val="single" w:sz="4" w:space="0" w:color="auto"/>
              <w:bottom w:val="single" w:sz="4" w:space="0" w:color="auto"/>
              <w:right w:val="single" w:sz="4" w:space="0" w:color="auto"/>
            </w:tcBorders>
          </w:tcPr>
          <w:p w14:paraId="66123A7A" w14:textId="77777777" w:rsidR="00213554" w:rsidRDefault="00213554" w:rsidP="001637E5">
            <w:pPr>
              <w:keepNext/>
              <w:jc w:val="center"/>
              <w:rPr>
                <w:rFonts w:ascii="Arial Narrow" w:eastAsia="MS Gothic" w:hAnsi="Arial Narrow" w:cs="Times New Roman"/>
                <w:bCs/>
                <w:iCs/>
                <w:sz w:val="20"/>
                <w:highlight w:val="darkGray"/>
              </w:rPr>
            </w:pPr>
          </w:p>
          <w:p w14:paraId="7794EC44" w14:textId="77777777" w:rsidR="00213554" w:rsidRDefault="00213554" w:rsidP="001637E5">
            <w:pPr>
              <w:keepNext/>
              <w:jc w:val="center"/>
              <w:rPr>
                <w:rFonts w:ascii="Arial Narrow" w:eastAsia="MS Gothic" w:hAnsi="Arial Narrow" w:cs="Times New Roman"/>
                <w:bCs/>
                <w:iCs/>
                <w:sz w:val="20"/>
                <w:highlight w:val="darkGray"/>
              </w:rPr>
            </w:pPr>
          </w:p>
          <w:p w14:paraId="1A58C8BE" w14:textId="7E0E2C45" w:rsidR="00213554" w:rsidRPr="00BA039D" w:rsidRDefault="00BA039D" w:rsidP="001637E5">
            <w:pPr>
              <w:keepNext/>
              <w:jc w:val="center"/>
              <w:rPr>
                <w:rFonts w:ascii="Arial Narrow" w:eastAsia="MS Gothic" w:hAnsi="Arial Narrow" w:cs="Times New Roman"/>
                <w:bCs/>
                <w:iCs/>
                <w:sz w:val="20"/>
              </w:rPr>
            </w:pPr>
            <w:r w:rsidRPr="00BA039D">
              <w:rPr>
                <w:rFonts w:ascii="Arial Narrow" w:eastAsia="MS Gothic" w:hAnsi="Arial Narrow" w:cs="Times New Roman"/>
                <w:bCs/>
                <w:iCs/>
                <w:color w:val="000000"/>
                <w:spacing w:val="56"/>
                <w:sz w:val="20"/>
                <w:shd w:val="solid" w:color="000000" w:fill="000000"/>
                <w:fitText w:val="341" w:id="-1233442557"/>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hd w:val="solid" w:color="000000" w:fill="000000"/>
                <w:fitText w:val="341" w:id="-1233442557"/>
                <w14:textFill>
                  <w14:solidFill>
                    <w14:srgbClr w14:val="000000">
                      <w14:alpha w14:val="100000"/>
                    </w14:srgbClr>
                  </w14:solidFill>
                </w14:textFill>
              </w:rPr>
              <w:t>|</w:t>
            </w:r>
          </w:p>
          <w:p w14:paraId="7C4E6937" w14:textId="011C9AE2" w:rsidR="001637E5" w:rsidRPr="00BA039D" w:rsidRDefault="00BA039D" w:rsidP="00213554">
            <w:pPr>
              <w:keepNext/>
              <w:jc w:val="center"/>
              <w:rPr>
                <w:rFonts w:ascii="Arial Narrow" w:eastAsia="MS Gothic" w:hAnsi="Arial Narrow" w:cs="Times New Roman"/>
                <w:bCs/>
                <w:i/>
                <w:iCs/>
                <w:sz w:val="20"/>
              </w:rPr>
            </w:pPr>
            <w:r w:rsidRPr="00BA039D">
              <w:rPr>
                <w:rFonts w:ascii="Arial Narrow" w:eastAsia="MS Gothic" w:hAnsi="Arial Narrow" w:cs="Times New Roman"/>
                <w:bCs/>
                <w:iCs/>
                <w:color w:val="000000"/>
                <w:spacing w:val="56"/>
                <w:sz w:val="20"/>
                <w:shd w:val="solid" w:color="000000" w:fill="000000"/>
                <w:fitText w:val="341" w:id="-1233442556"/>
                <w14:textFill>
                  <w14:solidFill>
                    <w14:srgbClr w14:val="000000">
                      <w14:alpha w14:val="100000"/>
                    </w14:srgbClr>
                  </w14:solidFill>
                </w14:textFill>
              </w:rPr>
              <w:t>|||</w:t>
            </w:r>
            <w:r w:rsidRPr="00BA039D">
              <w:rPr>
                <w:rFonts w:ascii="Arial Narrow" w:eastAsia="MS Gothic" w:hAnsi="Arial Narrow" w:cs="Times New Roman"/>
                <w:bCs/>
                <w:iCs/>
                <w:color w:val="000000"/>
                <w:spacing w:val="3"/>
                <w:sz w:val="20"/>
                <w:shd w:val="solid" w:color="000000" w:fill="000000"/>
                <w:fitText w:val="341" w:id="-1233442556"/>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672764E7" w14:textId="77777777" w:rsidR="001637E5" w:rsidRPr="00615B0D" w:rsidRDefault="001637E5" w:rsidP="001637E5">
            <w:pPr>
              <w:keepNext/>
              <w:jc w:val="center"/>
              <w:rPr>
                <w:rFonts w:ascii="Arial Narrow" w:eastAsia="MS Gothic" w:hAnsi="Arial Narrow" w:cs="Times New Roman"/>
                <w:bCs/>
                <w:iCs/>
                <w:sz w:val="20"/>
              </w:rPr>
            </w:pPr>
          </w:p>
          <w:p w14:paraId="6D56F0EB" w14:textId="77777777" w:rsidR="001637E5" w:rsidRPr="00615B0D" w:rsidRDefault="001637E5" w:rsidP="001637E5">
            <w:pPr>
              <w:keepNext/>
              <w:jc w:val="center"/>
              <w:rPr>
                <w:rFonts w:ascii="Arial Narrow" w:eastAsia="MS Gothic" w:hAnsi="Arial Narrow" w:cs="Times New Roman"/>
                <w:bCs/>
                <w:iCs/>
                <w:sz w:val="20"/>
              </w:rPr>
            </w:pPr>
          </w:p>
          <w:p w14:paraId="3B656301" w14:textId="77777777" w:rsidR="001637E5" w:rsidRPr="00615B0D" w:rsidRDefault="001637E5" w:rsidP="001637E5">
            <w:pPr>
              <w:keepNext/>
              <w:jc w:val="center"/>
              <w:rPr>
                <w:rFonts w:ascii="Arial Narrow" w:eastAsia="MS Gothic" w:hAnsi="Arial Narrow" w:cs="Times New Roman"/>
                <w:bCs/>
                <w:iCs/>
                <w:sz w:val="20"/>
              </w:rPr>
            </w:pPr>
            <w:r w:rsidRPr="00615B0D">
              <w:rPr>
                <w:rFonts w:ascii="Arial Narrow" w:eastAsia="MS Gothic" w:hAnsi="Arial Narrow" w:cs="Times New Roman"/>
                <w:bCs/>
                <w:iCs/>
                <w:sz w:val="20"/>
              </w:rPr>
              <w:t>15,548</w:t>
            </w:r>
          </w:p>
          <w:p w14:paraId="3B93EC1D" w14:textId="77777777" w:rsidR="001637E5" w:rsidRPr="00AD7238" w:rsidRDefault="001637E5" w:rsidP="001637E5">
            <w:pPr>
              <w:keepNext/>
              <w:jc w:val="center"/>
              <w:rPr>
                <w:rFonts w:ascii="Arial Narrow" w:eastAsia="MS Gothic" w:hAnsi="Arial Narrow" w:cs="Times New Roman"/>
                <w:bCs/>
                <w:i/>
                <w:iCs/>
                <w:sz w:val="20"/>
              </w:rPr>
            </w:pPr>
            <w:r w:rsidRPr="00615B0D">
              <w:rPr>
                <w:rFonts w:ascii="Arial Narrow" w:eastAsia="MS Gothic" w:hAnsi="Arial Narrow" w:cs="Times New Roman"/>
                <w:bCs/>
                <w:iCs/>
                <w:sz w:val="20"/>
              </w:rPr>
              <w:t>5,389</w:t>
            </w:r>
          </w:p>
        </w:tc>
        <w:tc>
          <w:tcPr>
            <w:tcW w:w="1121" w:type="dxa"/>
            <w:tcBorders>
              <w:top w:val="single" w:sz="4" w:space="0" w:color="auto"/>
              <w:left w:val="single" w:sz="4" w:space="0" w:color="auto"/>
              <w:bottom w:val="single" w:sz="4" w:space="0" w:color="auto"/>
              <w:right w:val="single" w:sz="4" w:space="0" w:color="auto"/>
            </w:tcBorders>
          </w:tcPr>
          <w:p w14:paraId="1FD8F5A9" w14:textId="77777777" w:rsidR="00213554" w:rsidRDefault="00213554" w:rsidP="001637E5">
            <w:pPr>
              <w:keepNext/>
              <w:jc w:val="center"/>
              <w:rPr>
                <w:rFonts w:ascii="Arial Narrow" w:eastAsia="MS Gothic" w:hAnsi="Arial Narrow" w:cs="Times New Roman"/>
                <w:bCs/>
                <w:iCs/>
                <w:sz w:val="20"/>
                <w:highlight w:val="darkGray"/>
              </w:rPr>
            </w:pPr>
          </w:p>
          <w:p w14:paraId="1646E5BF" w14:textId="77777777" w:rsidR="00213554" w:rsidRDefault="00213554" w:rsidP="001637E5">
            <w:pPr>
              <w:keepNext/>
              <w:jc w:val="center"/>
              <w:rPr>
                <w:rFonts w:ascii="Arial Narrow" w:eastAsia="MS Gothic" w:hAnsi="Arial Narrow" w:cs="Times New Roman"/>
                <w:bCs/>
                <w:iCs/>
                <w:sz w:val="20"/>
                <w:highlight w:val="darkGray"/>
              </w:rPr>
            </w:pPr>
          </w:p>
          <w:p w14:paraId="4D424DFF" w14:textId="29C532ED" w:rsidR="00213554" w:rsidRDefault="00BA039D" w:rsidP="001637E5">
            <w:pPr>
              <w:keepNext/>
              <w:jc w:val="center"/>
              <w:rPr>
                <w:rFonts w:ascii="Arial Narrow" w:hAnsi="Arial Narrow"/>
                <w:snapToGrid w:val="0"/>
                <w:sz w:val="20"/>
                <w:szCs w:val="20"/>
                <w:vertAlign w:val="superscript"/>
              </w:rPr>
            </w:pPr>
            <w:r w:rsidRPr="00BA039D">
              <w:rPr>
                <w:rFonts w:ascii="Arial Narrow" w:eastAsia="MS Gothic" w:hAnsi="Arial Narrow" w:cs="Times New Roman"/>
                <w:bCs/>
                <w:iCs/>
                <w:color w:val="000000"/>
                <w:spacing w:val="38"/>
                <w:sz w:val="20"/>
                <w:shd w:val="solid" w:color="000000" w:fill="000000"/>
                <w:fitText w:val="450" w:id="-1233442555"/>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hd w:val="solid" w:color="000000" w:fill="000000"/>
                <w:fitText w:val="450" w:id="-1233442555"/>
                <w14:textFill>
                  <w14:solidFill>
                    <w14:srgbClr w14:val="000000">
                      <w14:alpha w14:val="100000"/>
                    </w14:srgbClr>
                  </w14:solidFill>
                </w14:textFill>
              </w:rPr>
              <w:t>|</w:t>
            </w:r>
            <w:r w:rsidR="002D73B8">
              <w:rPr>
                <w:rFonts w:ascii="Arial Narrow" w:hAnsi="Arial Narrow"/>
                <w:snapToGrid w:val="0"/>
                <w:sz w:val="20"/>
                <w:szCs w:val="20"/>
                <w:vertAlign w:val="superscript"/>
              </w:rPr>
              <w:t>2</w:t>
            </w:r>
          </w:p>
          <w:p w14:paraId="581A898A" w14:textId="1158B130" w:rsidR="001637E5" w:rsidRPr="005A7FF1" w:rsidRDefault="00BA039D" w:rsidP="001637E5">
            <w:pPr>
              <w:keepNext/>
              <w:jc w:val="center"/>
              <w:rPr>
                <w:rFonts w:ascii="Arial Narrow" w:eastAsia="MS Gothic" w:hAnsi="Arial Narrow" w:cs="Times New Roman"/>
                <w:bCs/>
                <w:i/>
                <w:iCs/>
                <w:sz w:val="20"/>
                <w:highlight w:val="darkGray"/>
              </w:rPr>
            </w:pPr>
            <w:r w:rsidRPr="00BA039D">
              <w:rPr>
                <w:rFonts w:ascii="Arial Narrow" w:eastAsia="MS Gothic" w:hAnsi="Arial Narrow" w:cs="Times New Roman"/>
                <w:bCs/>
                <w:iCs/>
                <w:color w:val="000000"/>
                <w:spacing w:val="38"/>
                <w:sz w:val="20"/>
                <w:shd w:val="solid" w:color="000000" w:fill="000000"/>
                <w:fitText w:val="450" w:id="-1233442554"/>
                <w14:textFill>
                  <w14:solidFill>
                    <w14:srgbClr w14:val="000000">
                      <w14:alpha w14:val="100000"/>
                    </w14:srgbClr>
                  </w14:solidFill>
                </w14:textFill>
              </w:rPr>
              <w:t>|||||</w:t>
            </w:r>
            <w:r w:rsidRPr="00BA039D">
              <w:rPr>
                <w:rFonts w:ascii="Arial Narrow" w:eastAsia="MS Gothic" w:hAnsi="Arial Narrow" w:cs="Times New Roman"/>
                <w:bCs/>
                <w:iCs/>
                <w:color w:val="000000"/>
                <w:spacing w:val="5"/>
                <w:sz w:val="20"/>
                <w:shd w:val="solid" w:color="000000" w:fill="000000"/>
                <w:fitText w:val="450" w:id="-1233442554"/>
                <w14:textFill>
                  <w14:solidFill>
                    <w14:srgbClr w14:val="000000">
                      <w14:alpha w14:val="100000"/>
                    </w14:srgbClr>
                  </w14:solidFill>
                </w14:textFill>
              </w:rPr>
              <w:t>|</w:t>
            </w:r>
            <w:r w:rsidR="002D73B8">
              <w:rPr>
                <w:rFonts w:ascii="Arial Narrow" w:hAnsi="Arial Narrow"/>
                <w:snapToGrid w:val="0"/>
                <w:sz w:val="20"/>
                <w:szCs w:val="20"/>
                <w:vertAlign w:val="superscript"/>
              </w:rPr>
              <w:t>3</w:t>
            </w:r>
          </w:p>
        </w:tc>
        <w:tc>
          <w:tcPr>
            <w:tcW w:w="839" w:type="dxa"/>
            <w:tcBorders>
              <w:top w:val="single" w:sz="4" w:space="0" w:color="auto"/>
              <w:left w:val="single" w:sz="4" w:space="0" w:color="auto"/>
              <w:bottom w:val="single" w:sz="4" w:space="0" w:color="auto"/>
              <w:right w:val="single" w:sz="4" w:space="0" w:color="auto"/>
            </w:tcBorders>
          </w:tcPr>
          <w:p w14:paraId="0D1B51FF" w14:textId="77777777" w:rsidR="001637E5" w:rsidRPr="00615B0D" w:rsidRDefault="001637E5" w:rsidP="001637E5">
            <w:pPr>
              <w:keepNext/>
              <w:jc w:val="center"/>
              <w:rPr>
                <w:rFonts w:ascii="Arial Narrow" w:eastAsia="MS Gothic" w:hAnsi="Arial Narrow" w:cs="Times New Roman"/>
                <w:bCs/>
                <w:iCs/>
                <w:sz w:val="20"/>
              </w:rPr>
            </w:pPr>
          </w:p>
          <w:p w14:paraId="6C255576" w14:textId="77777777" w:rsidR="001637E5" w:rsidRPr="00615B0D" w:rsidRDefault="001637E5" w:rsidP="001637E5">
            <w:pPr>
              <w:keepNext/>
              <w:jc w:val="center"/>
              <w:rPr>
                <w:rFonts w:ascii="Arial Narrow" w:eastAsia="MS Gothic" w:hAnsi="Arial Narrow" w:cs="Times New Roman"/>
                <w:bCs/>
                <w:iCs/>
                <w:sz w:val="20"/>
              </w:rPr>
            </w:pPr>
          </w:p>
          <w:p w14:paraId="6F4C880D" w14:textId="77777777" w:rsidR="001637E5" w:rsidRPr="00615B0D" w:rsidRDefault="001637E5" w:rsidP="001637E5">
            <w:pPr>
              <w:keepNext/>
              <w:jc w:val="center"/>
              <w:rPr>
                <w:rFonts w:ascii="Arial Narrow" w:eastAsia="MS Gothic" w:hAnsi="Arial Narrow" w:cs="Times New Roman"/>
                <w:bCs/>
                <w:iCs/>
                <w:sz w:val="20"/>
              </w:rPr>
            </w:pPr>
            <w:r w:rsidRPr="00615B0D">
              <w:rPr>
                <w:rFonts w:ascii="Arial Narrow" w:eastAsia="MS Gothic" w:hAnsi="Arial Narrow" w:cs="Times New Roman"/>
                <w:bCs/>
                <w:iCs/>
                <w:sz w:val="20"/>
              </w:rPr>
              <w:t>-45%</w:t>
            </w:r>
          </w:p>
          <w:p w14:paraId="660C420C" w14:textId="77777777" w:rsidR="001637E5" w:rsidRPr="00AD7238" w:rsidRDefault="001637E5" w:rsidP="001637E5">
            <w:pPr>
              <w:keepNext/>
              <w:jc w:val="center"/>
              <w:rPr>
                <w:rFonts w:ascii="Arial Narrow" w:eastAsia="MS Gothic" w:hAnsi="Arial Narrow" w:cs="Times New Roman"/>
                <w:bCs/>
                <w:i/>
                <w:iCs/>
                <w:sz w:val="20"/>
              </w:rPr>
            </w:pPr>
            <w:r w:rsidRPr="00615B0D">
              <w:rPr>
                <w:rFonts w:ascii="Arial Narrow" w:eastAsia="MS Gothic" w:hAnsi="Arial Narrow" w:cs="Times New Roman"/>
                <w:bCs/>
                <w:iCs/>
                <w:sz w:val="20"/>
              </w:rPr>
              <w:t>+59%</w:t>
            </w:r>
          </w:p>
        </w:tc>
      </w:tr>
    </w:tbl>
    <w:p w14:paraId="092D7621" w14:textId="76D8AC2F" w:rsidR="00271927" w:rsidRPr="00AD7238" w:rsidRDefault="00271927" w:rsidP="00271927">
      <w:pPr>
        <w:pStyle w:val="FooterTableFigure"/>
        <w:widowControl w:val="0"/>
      </w:pPr>
      <w:r w:rsidRPr="00AD7238">
        <w:t xml:space="preserve">Source: Table 3-63, p236 of the </w:t>
      </w:r>
      <w:r w:rsidR="009E6AE9" w:rsidRPr="00AD7238">
        <w:t>re</w:t>
      </w:r>
      <w:r w:rsidRPr="00AD7238">
        <w:t xml:space="preserve">submission </w:t>
      </w:r>
      <w:r w:rsidRPr="00615B0D">
        <w:rPr>
          <w:iCs/>
        </w:rPr>
        <w:t>and compiled during the evaluation</w:t>
      </w:r>
    </w:p>
    <w:p w14:paraId="708BEB44" w14:textId="2414897A" w:rsidR="00DA054C" w:rsidRDefault="00DA054C" w:rsidP="005A7FF1">
      <w:pPr>
        <w:pStyle w:val="FooterTableFigure"/>
        <w:widowControl w:val="0"/>
        <w:spacing w:after="0"/>
      </w:pPr>
      <w:r w:rsidRPr="00AD7238">
        <w:t>HZ = herpes zoster; ICER = incremental cost-effectiveness ratio; PHN = post herpetic neuralgia; QALY = quality-adjusted life years; UCI = upper confidence interval</w:t>
      </w:r>
    </w:p>
    <w:p w14:paraId="4748B1DC" w14:textId="77777777" w:rsidR="005A7FF1" w:rsidRPr="009A6D58" w:rsidRDefault="005A7FF1" w:rsidP="005A7FF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ADC32D7" w14:textId="78A8F498" w:rsidR="005A7FF1" w:rsidRPr="009A6D58" w:rsidRDefault="005A7FF1" w:rsidP="005A7FF1">
      <w:pPr>
        <w:rPr>
          <w:rFonts w:ascii="Arial Narrow" w:hAnsi="Arial Narrow"/>
          <w:i/>
          <w:sz w:val="18"/>
          <w:szCs w:val="18"/>
        </w:rPr>
      </w:pPr>
      <w:r w:rsidRPr="009A6D58">
        <w:rPr>
          <w:rFonts w:ascii="Arial Narrow" w:hAnsi="Arial Narrow"/>
          <w:i/>
          <w:sz w:val="18"/>
          <w:szCs w:val="18"/>
          <w:vertAlign w:val="superscript"/>
        </w:rPr>
        <w:t>1</w:t>
      </w:r>
      <w:r w:rsidR="002D73B8" w:rsidRPr="005A7FF1">
        <w:rPr>
          <w:rFonts w:ascii="Arial Narrow" w:hAnsi="Arial Narrow"/>
          <w:i/>
          <w:sz w:val="18"/>
          <w:szCs w:val="18"/>
        </w:rPr>
        <w:t>$15,000 to &lt; $25,000</w:t>
      </w:r>
      <w:r>
        <w:rPr>
          <w:rFonts w:ascii="Arial Narrow" w:hAnsi="Arial Narrow"/>
          <w:i/>
          <w:sz w:val="18"/>
          <w:szCs w:val="18"/>
        </w:rPr>
        <w:t xml:space="preserve"> </w:t>
      </w:r>
    </w:p>
    <w:p w14:paraId="5BFFD8E3" w14:textId="77777777" w:rsidR="002D73B8" w:rsidRDefault="005A7FF1" w:rsidP="005A7FF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D73B8" w:rsidRPr="002D73B8">
        <w:rPr>
          <w:rFonts w:ascii="Arial Narrow" w:hAnsi="Arial Narrow"/>
          <w:i/>
          <w:sz w:val="18"/>
          <w:szCs w:val="18"/>
        </w:rPr>
        <w:t xml:space="preserve">$5,000 to &lt; $15,000 </w:t>
      </w:r>
    </w:p>
    <w:p w14:paraId="48864352" w14:textId="77777777" w:rsidR="00072E1E" w:rsidRDefault="005A7FF1" w:rsidP="00072E1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D73B8" w:rsidRPr="002D73B8">
        <w:rPr>
          <w:rFonts w:ascii="Arial Narrow" w:hAnsi="Arial Narrow"/>
          <w:i/>
          <w:sz w:val="18"/>
          <w:szCs w:val="18"/>
        </w:rPr>
        <w:t>$25,000 to &lt; $35,000</w:t>
      </w:r>
    </w:p>
    <w:p w14:paraId="4B3A9E4D" w14:textId="46912005" w:rsidR="000442ED" w:rsidRPr="00072E1E" w:rsidRDefault="005A7FF1" w:rsidP="00072E1E">
      <w:pPr>
        <w:rPr>
          <w:rFonts w:ascii="Arial Narrow" w:hAnsi="Arial Narrow"/>
          <w:i/>
          <w:sz w:val="18"/>
          <w:szCs w:val="18"/>
        </w:rPr>
      </w:pPr>
      <w:r w:rsidRPr="00072E1E">
        <w:rPr>
          <w:rFonts w:ascii="Arial Narrow" w:hAnsi="Arial Narrow"/>
          <w:i/>
          <w:sz w:val="18"/>
          <w:szCs w:val="18"/>
          <w:vertAlign w:val="superscript"/>
        </w:rPr>
        <w:t>4</w:t>
      </w:r>
      <w:r w:rsidRPr="00072E1E">
        <w:rPr>
          <w:rFonts w:ascii="Arial Narrow" w:hAnsi="Arial Narrow"/>
          <w:i/>
          <w:sz w:val="18"/>
          <w:szCs w:val="18"/>
        </w:rPr>
        <w:t xml:space="preserve"> $35,000 to &lt; $45,000</w:t>
      </w:r>
      <w:bookmarkStart w:id="57" w:name="_Ref122266959"/>
    </w:p>
    <w:p w14:paraId="04062312" w14:textId="3A362BC9" w:rsidR="00D73D20" w:rsidRPr="00AD78D6" w:rsidRDefault="00D73D20" w:rsidP="00D73D20">
      <w:pPr>
        <w:pStyle w:val="Caption"/>
        <w:rPr>
          <w:rStyle w:val="CommentReference"/>
        </w:rPr>
      </w:pPr>
      <w:r w:rsidRPr="00AD78D6">
        <w:rPr>
          <w:rStyle w:val="CommentReference"/>
          <w:b/>
        </w:rPr>
        <w:lastRenderedPageBreak/>
        <w:t xml:space="preserve">Table </w:t>
      </w:r>
      <w:r w:rsidR="00AD78D6" w:rsidRPr="00AD78D6">
        <w:rPr>
          <w:rStyle w:val="CommentReference"/>
          <w:b/>
        </w:rPr>
        <w:fldChar w:fldCharType="begin" w:fldLock="1"/>
      </w:r>
      <w:r w:rsidR="00AD78D6" w:rsidRPr="00AD78D6">
        <w:rPr>
          <w:rStyle w:val="CommentReference"/>
          <w:b/>
        </w:rPr>
        <w:instrText xml:space="preserve"> SEQ Table \* ARABIC </w:instrText>
      </w:r>
      <w:r w:rsidR="00AD78D6" w:rsidRPr="00AD78D6">
        <w:rPr>
          <w:rStyle w:val="CommentReference"/>
          <w:b/>
        </w:rPr>
        <w:fldChar w:fldCharType="separate"/>
      </w:r>
      <w:r w:rsidR="00602E99">
        <w:rPr>
          <w:rStyle w:val="CommentReference"/>
          <w:b/>
          <w:noProof/>
        </w:rPr>
        <w:t>16</w:t>
      </w:r>
      <w:r w:rsidR="00AD78D6" w:rsidRPr="00AD78D6">
        <w:rPr>
          <w:rStyle w:val="CommentReference"/>
          <w:b/>
        </w:rPr>
        <w:fldChar w:fldCharType="end"/>
      </w:r>
      <w:bookmarkEnd w:id="57"/>
      <w:r w:rsidRPr="00AD7238">
        <w:rPr>
          <w:rStyle w:val="CommentReference"/>
          <w:b/>
        </w:rPr>
        <w:t xml:space="preserve">: Results of sensitivity analyses for RZV vs no vaccine, </w:t>
      </w:r>
      <w:r w:rsidR="00DC7B0E" w:rsidRPr="00AD7238">
        <w:rPr>
          <w:rStyle w:val="CommentReference"/>
          <w:b/>
        </w:rPr>
        <w:t xml:space="preserve">Aboriginal and Torres Strait Islander </w:t>
      </w:r>
      <w:r w:rsidR="00DE1FFD" w:rsidRPr="00AD7238">
        <w:rPr>
          <w:rStyle w:val="CommentReference"/>
          <w:b/>
        </w:rPr>
        <w:t xml:space="preserve">adults </w:t>
      </w:r>
      <w:r w:rsidRPr="00AD78D6">
        <w:rPr>
          <w:rStyle w:val="CommentReference"/>
          <w:b/>
        </w:rPr>
        <w:t>&gt;</w:t>
      </w:r>
      <w:r w:rsidRPr="00AD7238">
        <w:rPr>
          <w:rStyle w:val="CommentReference"/>
          <w:b/>
        </w:rPr>
        <w:t xml:space="preserve">50 </w:t>
      </w:r>
      <w:r w:rsidR="00AD78D6">
        <w:rPr>
          <w:rStyle w:val="CommentReference"/>
          <w:b/>
        </w:rPr>
        <w:t>YOA</w:t>
      </w:r>
      <w:r w:rsidR="00AD78D6" w:rsidRPr="00AD78D6">
        <w:rPr>
          <w:rStyle w:val="CommentReference"/>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9"/>
        <w:gridCol w:w="1273"/>
        <w:gridCol w:w="992"/>
        <w:gridCol w:w="839"/>
      </w:tblGrid>
      <w:tr w:rsidR="00A731F6" w:rsidRPr="00615B0D" w14:paraId="6FD2EC61" w14:textId="77777777" w:rsidTr="00BA039D">
        <w:trPr>
          <w:tblHeader/>
        </w:trPr>
        <w:tc>
          <w:tcPr>
            <w:tcW w:w="4673" w:type="dxa"/>
            <w:tcBorders>
              <w:top w:val="single" w:sz="4" w:space="0" w:color="auto"/>
              <w:left w:val="single" w:sz="4" w:space="0" w:color="auto"/>
              <w:bottom w:val="single" w:sz="4" w:space="0" w:color="auto"/>
              <w:right w:val="single" w:sz="4" w:space="0" w:color="auto"/>
            </w:tcBorders>
          </w:tcPr>
          <w:p w14:paraId="6B77FEC7" w14:textId="77777777" w:rsidR="00A731F6" w:rsidRPr="00615B0D" w:rsidRDefault="00A731F6">
            <w:pPr>
              <w:keepNext/>
              <w:rPr>
                <w:rFonts w:ascii="Arial Narrow" w:eastAsia="MS Gothic" w:hAnsi="Arial Narrow" w:cs="Times New Roman"/>
                <w:b/>
                <w:bCs/>
                <w:sz w:val="20"/>
              </w:rPr>
            </w:pPr>
            <w:r w:rsidRPr="00615B0D">
              <w:rPr>
                <w:rFonts w:ascii="Arial Narrow" w:eastAsia="MS Gothic" w:hAnsi="Arial Narrow" w:cs="Times New Roman"/>
                <w:b/>
                <w:bCs/>
                <w:sz w:val="20"/>
              </w:rPr>
              <w:t>Analyses</w:t>
            </w:r>
          </w:p>
        </w:tc>
        <w:tc>
          <w:tcPr>
            <w:tcW w:w="1279" w:type="dxa"/>
            <w:tcBorders>
              <w:top w:val="single" w:sz="4" w:space="0" w:color="auto"/>
              <w:left w:val="single" w:sz="4" w:space="0" w:color="auto"/>
              <w:bottom w:val="single" w:sz="4" w:space="0" w:color="auto"/>
              <w:right w:val="single" w:sz="4" w:space="0" w:color="auto"/>
            </w:tcBorders>
          </w:tcPr>
          <w:p w14:paraId="75761366" w14:textId="2B5A4E86" w:rsidR="00A731F6" w:rsidRPr="00615B0D" w:rsidRDefault="00A731F6">
            <w:pPr>
              <w:keepNext/>
              <w:jc w:val="center"/>
              <w:rPr>
                <w:rFonts w:ascii="Arial Narrow" w:eastAsia="MS Gothic" w:hAnsi="Arial Narrow" w:cs="Times New Roman"/>
                <w:b/>
                <w:bCs/>
                <w:sz w:val="20"/>
              </w:rPr>
            </w:pPr>
            <w:r w:rsidRPr="00615B0D">
              <w:rPr>
                <w:rFonts w:ascii="Arial Narrow" w:eastAsia="MS Gothic" w:hAnsi="Arial Narrow" w:cs="Times New Roman"/>
                <w:b/>
                <w:bCs/>
                <w:sz w:val="20"/>
              </w:rPr>
              <w:t>Incremental cost (discounted)</w:t>
            </w:r>
            <w:r w:rsidR="002D73B8">
              <w:rPr>
                <w:rFonts w:ascii="Arial Narrow" w:eastAsia="MS Gothic" w:hAnsi="Arial Narrow" w:cs="Times New Roman"/>
                <w:b/>
                <w:bCs/>
                <w:sz w:val="20"/>
              </w:rPr>
              <w:t xml:space="preserve"> ($)</w:t>
            </w:r>
          </w:p>
        </w:tc>
        <w:tc>
          <w:tcPr>
            <w:tcW w:w="1273" w:type="dxa"/>
            <w:tcBorders>
              <w:top w:val="single" w:sz="4" w:space="0" w:color="auto"/>
              <w:left w:val="single" w:sz="4" w:space="0" w:color="auto"/>
              <w:bottom w:val="single" w:sz="4" w:space="0" w:color="auto"/>
              <w:right w:val="single" w:sz="4" w:space="0" w:color="auto"/>
            </w:tcBorders>
          </w:tcPr>
          <w:p w14:paraId="4DD31AAD" w14:textId="77777777" w:rsidR="00A731F6" w:rsidRPr="00615B0D" w:rsidRDefault="00A731F6">
            <w:pPr>
              <w:keepNext/>
              <w:jc w:val="center"/>
              <w:rPr>
                <w:rFonts w:ascii="Arial Narrow" w:eastAsia="MS Gothic" w:hAnsi="Arial Narrow" w:cs="Times New Roman"/>
                <w:b/>
                <w:bCs/>
                <w:sz w:val="20"/>
              </w:rPr>
            </w:pPr>
            <w:r w:rsidRPr="00615B0D">
              <w:rPr>
                <w:rFonts w:ascii="Arial Narrow" w:eastAsia="MS Gothic" w:hAnsi="Arial Narrow" w:cs="Times New Roman"/>
                <w:b/>
                <w:bCs/>
                <w:sz w:val="20"/>
              </w:rPr>
              <w:t>Incremental QALY (discounted)</w:t>
            </w:r>
          </w:p>
        </w:tc>
        <w:tc>
          <w:tcPr>
            <w:tcW w:w="992" w:type="dxa"/>
            <w:tcBorders>
              <w:top w:val="single" w:sz="4" w:space="0" w:color="auto"/>
              <w:left w:val="single" w:sz="4" w:space="0" w:color="auto"/>
              <w:bottom w:val="single" w:sz="4" w:space="0" w:color="auto"/>
              <w:right w:val="single" w:sz="4" w:space="0" w:color="auto"/>
            </w:tcBorders>
          </w:tcPr>
          <w:p w14:paraId="36B34AF8" w14:textId="77777777" w:rsidR="00A731F6" w:rsidRPr="00615B0D" w:rsidRDefault="00A731F6">
            <w:pPr>
              <w:keepNext/>
              <w:jc w:val="center"/>
              <w:rPr>
                <w:rFonts w:ascii="Arial Narrow" w:eastAsia="MS Gothic" w:hAnsi="Arial Narrow" w:cs="Times New Roman"/>
                <w:b/>
                <w:bCs/>
                <w:sz w:val="20"/>
              </w:rPr>
            </w:pPr>
            <w:r w:rsidRPr="00615B0D">
              <w:rPr>
                <w:rFonts w:ascii="Arial Narrow" w:eastAsia="MS Gothic" w:hAnsi="Arial Narrow" w:cs="Times New Roman"/>
                <w:b/>
                <w:bCs/>
                <w:sz w:val="20"/>
              </w:rPr>
              <w:t>ICER</w:t>
            </w:r>
          </w:p>
        </w:tc>
        <w:tc>
          <w:tcPr>
            <w:tcW w:w="839" w:type="dxa"/>
            <w:tcBorders>
              <w:top w:val="single" w:sz="4" w:space="0" w:color="auto"/>
              <w:left w:val="single" w:sz="4" w:space="0" w:color="auto"/>
              <w:bottom w:val="single" w:sz="4" w:space="0" w:color="auto"/>
              <w:right w:val="single" w:sz="4" w:space="0" w:color="auto"/>
            </w:tcBorders>
          </w:tcPr>
          <w:p w14:paraId="174FEA0E" w14:textId="77777777" w:rsidR="00A731F6" w:rsidRPr="00615B0D" w:rsidRDefault="00A731F6">
            <w:pPr>
              <w:keepNext/>
              <w:jc w:val="center"/>
              <w:rPr>
                <w:rFonts w:ascii="Arial Narrow" w:eastAsia="MS Gothic" w:hAnsi="Arial Narrow" w:cs="Times New Roman"/>
                <w:b/>
                <w:bCs/>
                <w:iCs/>
                <w:sz w:val="20"/>
              </w:rPr>
            </w:pPr>
            <w:r w:rsidRPr="00615B0D">
              <w:rPr>
                <w:rFonts w:ascii="Arial Narrow" w:eastAsia="MS Gothic" w:hAnsi="Arial Narrow" w:cs="Times New Roman"/>
                <w:b/>
                <w:bCs/>
                <w:iCs/>
                <w:sz w:val="20"/>
              </w:rPr>
              <w:t>% change to ICER</w:t>
            </w:r>
          </w:p>
        </w:tc>
      </w:tr>
      <w:tr w:rsidR="00A731F6" w:rsidRPr="00615B0D" w14:paraId="4A50F1C8" w14:textId="77777777" w:rsidTr="00BA039D">
        <w:trPr>
          <w:tblHeader/>
        </w:trPr>
        <w:tc>
          <w:tcPr>
            <w:tcW w:w="4673" w:type="dxa"/>
            <w:tcBorders>
              <w:top w:val="single" w:sz="4" w:space="0" w:color="auto"/>
              <w:left w:val="single" w:sz="4" w:space="0" w:color="auto"/>
              <w:bottom w:val="single" w:sz="4" w:space="0" w:color="auto"/>
              <w:right w:val="single" w:sz="4" w:space="0" w:color="auto"/>
            </w:tcBorders>
          </w:tcPr>
          <w:p w14:paraId="09C34884" w14:textId="77777777" w:rsidR="00A731F6" w:rsidRPr="00615B0D" w:rsidRDefault="00A731F6">
            <w:pPr>
              <w:spacing w:after="120"/>
              <w:contextualSpacing/>
              <w:rPr>
                <w:rFonts w:ascii="Arial Narrow" w:hAnsi="Arial Narrow"/>
                <w:b/>
                <w:bCs/>
                <w:snapToGrid w:val="0"/>
                <w:sz w:val="20"/>
                <w:szCs w:val="20"/>
              </w:rPr>
            </w:pPr>
            <w:r w:rsidRPr="00615B0D">
              <w:rPr>
                <w:rFonts w:ascii="Arial Narrow" w:hAnsi="Arial Narrow"/>
                <w:b/>
                <w:bCs/>
                <w:snapToGrid w:val="0"/>
                <w:sz w:val="20"/>
                <w:szCs w:val="20"/>
              </w:rPr>
              <w:t>Base case</w:t>
            </w:r>
          </w:p>
        </w:tc>
        <w:tc>
          <w:tcPr>
            <w:tcW w:w="1279" w:type="dxa"/>
            <w:tcBorders>
              <w:top w:val="single" w:sz="4" w:space="0" w:color="auto"/>
              <w:left w:val="single" w:sz="4" w:space="0" w:color="auto"/>
              <w:bottom w:val="single" w:sz="4" w:space="0" w:color="auto"/>
              <w:right w:val="single" w:sz="4" w:space="0" w:color="auto"/>
            </w:tcBorders>
            <w:shd w:val="solid" w:color="000000" w:fill="000000"/>
          </w:tcPr>
          <w:p w14:paraId="23C1AC6C" w14:textId="316F1EE3" w:rsidR="00A731F6" w:rsidRPr="00BA039D" w:rsidRDefault="00BA039D">
            <w:pPr>
              <w:spacing w:after="120"/>
              <w:contextualSpacing/>
              <w:jc w:val="center"/>
              <w:rPr>
                <w:rFonts w:ascii="Arial Narrow" w:hAnsi="Arial Narrow"/>
                <w:b/>
                <w:bCs/>
                <w:snapToGrid w:val="0"/>
                <w:sz w:val="20"/>
                <w:szCs w:val="20"/>
              </w:rPr>
            </w:pPr>
            <w:r w:rsidRPr="00BA039D">
              <w:rPr>
                <w:rFonts w:ascii="Arial Narrow" w:hAnsi="Arial Narrow"/>
                <w:b/>
                <w:bCs/>
                <w:snapToGrid w:val="0"/>
                <w:color w:val="000000"/>
                <w:spacing w:val="29"/>
                <w:sz w:val="20"/>
                <w:szCs w:val="20"/>
                <w:fitText w:val="425" w:id="-1233442553"/>
                <w14:textFill>
                  <w14:solidFill>
                    <w14:srgbClr w14:val="000000">
                      <w14:alpha w14:val="100000"/>
                    </w14:srgbClr>
                  </w14:solidFill>
                </w14:textFill>
              </w:rPr>
              <w:t>|||||</w:t>
            </w:r>
            <w:r w:rsidRPr="00BA039D">
              <w:rPr>
                <w:rFonts w:ascii="Arial Narrow" w:hAnsi="Arial Narrow"/>
                <w:b/>
                <w:bCs/>
                <w:snapToGrid w:val="0"/>
                <w:color w:val="000000"/>
                <w:spacing w:val="5"/>
                <w:sz w:val="20"/>
                <w:szCs w:val="20"/>
                <w:fitText w:val="425" w:id="-1233442553"/>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5800751D" w14:textId="77777777" w:rsidR="00A731F6" w:rsidRPr="00615B0D" w:rsidRDefault="00A731F6">
            <w:pPr>
              <w:spacing w:after="120"/>
              <w:contextualSpacing/>
              <w:jc w:val="center"/>
              <w:rPr>
                <w:rFonts w:ascii="Arial Narrow" w:hAnsi="Arial Narrow"/>
                <w:b/>
                <w:bCs/>
                <w:snapToGrid w:val="0"/>
                <w:sz w:val="20"/>
                <w:szCs w:val="20"/>
              </w:rPr>
            </w:pPr>
            <w:r w:rsidRPr="00615B0D">
              <w:rPr>
                <w:rFonts w:ascii="Arial Narrow" w:hAnsi="Arial Narrow"/>
                <w:b/>
                <w:bCs/>
                <w:snapToGrid w:val="0"/>
                <w:sz w:val="20"/>
                <w:szCs w:val="20"/>
              </w:rPr>
              <w:t>4,774</w:t>
            </w:r>
          </w:p>
        </w:tc>
        <w:tc>
          <w:tcPr>
            <w:tcW w:w="992" w:type="dxa"/>
            <w:tcBorders>
              <w:top w:val="single" w:sz="4" w:space="0" w:color="auto"/>
              <w:left w:val="single" w:sz="4" w:space="0" w:color="auto"/>
              <w:bottom w:val="single" w:sz="4" w:space="0" w:color="auto"/>
              <w:right w:val="single" w:sz="4" w:space="0" w:color="auto"/>
            </w:tcBorders>
          </w:tcPr>
          <w:p w14:paraId="2499B71F" w14:textId="31204B10" w:rsidR="00A731F6" w:rsidRPr="002D73B8" w:rsidRDefault="00BA039D">
            <w:pPr>
              <w:spacing w:after="120"/>
              <w:contextualSpacing/>
              <w:jc w:val="center"/>
              <w:rPr>
                <w:rFonts w:ascii="Arial Narrow" w:hAnsi="Arial Narrow"/>
                <w:b/>
                <w:bCs/>
                <w:snapToGrid w:val="0"/>
                <w:sz w:val="20"/>
                <w:szCs w:val="20"/>
                <w:highlight w:val="darkGray"/>
              </w:rPr>
            </w:pPr>
            <w:r w:rsidRPr="00BA039D">
              <w:rPr>
                <w:rFonts w:ascii="Arial Narrow" w:hAnsi="Arial Narrow"/>
                <w:b/>
                <w:bCs/>
                <w:snapToGrid w:val="0"/>
                <w:color w:val="000000"/>
                <w:spacing w:val="30"/>
                <w:sz w:val="20"/>
                <w:szCs w:val="20"/>
                <w:shd w:val="solid" w:color="000000" w:fill="000000"/>
                <w:fitText w:val="583" w:id="-1233442552"/>
                <w14:textFill>
                  <w14:solidFill>
                    <w14:srgbClr w14:val="000000">
                      <w14:alpha w14:val="100000"/>
                    </w14:srgbClr>
                  </w14:solidFill>
                </w14:textFill>
              </w:rPr>
              <w:t>|||||||</w:t>
            </w:r>
            <w:r w:rsidRPr="00BA039D">
              <w:rPr>
                <w:rFonts w:ascii="Arial Narrow" w:hAnsi="Arial Narrow"/>
                <w:b/>
                <w:bCs/>
                <w:snapToGrid w:val="0"/>
                <w:color w:val="000000"/>
                <w:spacing w:val="6"/>
                <w:sz w:val="20"/>
                <w:szCs w:val="20"/>
                <w:shd w:val="solid" w:color="000000" w:fill="000000"/>
                <w:fitText w:val="583" w:id="-1233442552"/>
                <w14:textFill>
                  <w14:solidFill>
                    <w14:srgbClr w14:val="000000">
                      <w14:alpha w14:val="100000"/>
                    </w14:srgbClr>
                  </w14:solidFill>
                </w14:textFill>
              </w:rPr>
              <w:t>|</w:t>
            </w:r>
            <w:r w:rsidR="002D73B8" w:rsidRPr="002D73B8">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3812F515" w14:textId="77777777" w:rsidR="00A731F6" w:rsidRPr="00615B0D" w:rsidRDefault="00A731F6">
            <w:pPr>
              <w:spacing w:after="120"/>
              <w:contextualSpacing/>
              <w:jc w:val="center"/>
              <w:rPr>
                <w:rFonts w:ascii="Arial Narrow" w:hAnsi="Arial Narrow"/>
                <w:iCs/>
                <w:snapToGrid w:val="0"/>
                <w:sz w:val="20"/>
                <w:szCs w:val="20"/>
              </w:rPr>
            </w:pPr>
          </w:p>
        </w:tc>
      </w:tr>
      <w:tr w:rsidR="00A731F6" w:rsidRPr="00AD7238" w14:paraId="4230E317"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1E58669E" w14:textId="77777777" w:rsidR="00A731F6" w:rsidRPr="00AD7238" w:rsidRDefault="00A731F6">
            <w:pPr>
              <w:spacing w:after="120"/>
              <w:contextualSpacing/>
              <w:rPr>
                <w:rFonts w:ascii="Arial Narrow" w:hAnsi="Arial Narrow"/>
                <w:snapToGrid w:val="0"/>
                <w:sz w:val="20"/>
                <w:szCs w:val="20"/>
              </w:rPr>
            </w:pPr>
            <w:r w:rsidRPr="00AD7238">
              <w:rPr>
                <w:rFonts w:ascii="Arial Narrow" w:hAnsi="Arial Narrow"/>
                <w:snapToGrid w:val="0"/>
                <w:sz w:val="20"/>
                <w:szCs w:val="20"/>
              </w:rPr>
              <w:t>Discount rate (base case 5% costs and outcomes)</w:t>
            </w:r>
          </w:p>
          <w:p w14:paraId="40657086" w14:textId="77777777" w:rsidR="00A731F6" w:rsidRPr="00AD7238" w:rsidRDefault="00A731F6" w:rsidP="00D5557B">
            <w:pPr>
              <w:keepNext/>
              <w:numPr>
                <w:ilvl w:val="0"/>
                <w:numId w:val="11"/>
              </w:numPr>
              <w:rPr>
                <w:rFonts w:ascii="Arial Narrow" w:hAnsi="Arial Narrow"/>
                <w:snapToGrid w:val="0"/>
                <w:sz w:val="20"/>
                <w:szCs w:val="20"/>
              </w:rPr>
            </w:pPr>
            <w:r w:rsidRPr="00AD7238">
              <w:rPr>
                <w:rFonts w:ascii="Arial Narrow" w:hAnsi="Arial Narrow"/>
                <w:snapToGrid w:val="0"/>
                <w:sz w:val="20"/>
                <w:szCs w:val="20"/>
              </w:rPr>
              <w:t>0% costs and outcomes</w:t>
            </w:r>
          </w:p>
          <w:p w14:paraId="0E9A9634" w14:textId="77777777" w:rsidR="00A731F6" w:rsidRPr="00AD7238" w:rsidRDefault="00A731F6" w:rsidP="00D5557B">
            <w:pPr>
              <w:keepNext/>
              <w:numPr>
                <w:ilvl w:val="0"/>
                <w:numId w:val="11"/>
              </w:numPr>
              <w:rPr>
                <w:rFonts w:ascii="Arial Narrow" w:hAnsi="Arial Narrow"/>
                <w:snapToGrid w:val="0"/>
                <w:sz w:val="20"/>
                <w:szCs w:val="20"/>
              </w:rPr>
            </w:pPr>
            <w:r w:rsidRPr="00AD7238">
              <w:rPr>
                <w:rFonts w:ascii="Arial Narrow" w:hAnsi="Arial Narrow"/>
                <w:snapToGrid w:val="0"/>
                <w:sz w:val="20"/>
                <w:szCs w:val="20"/>
              </w:rPr>
              <w:t>1.5% costs and outcomes</w:t>
            </w:r>
          </w:p>
          <w:p w14:paraId="5B811458" w14:textId="77777777" w:rsidR="00A731F6" w:rsidRPr="00AD7238" w:rsidRDefault="00A731F6" w:rsidP="00D5557B">
            <w:pPr>
              <w:keepNext/>
              <w:numPr>
                <w:ilvl w:val="0"/>
                <w:numId w:val="11"/>
              </w:numPr>
              <w:rPr>
                <w:rFonts w:ascii="Arial Narrow" w:hAnsi="Arial Narrow"/>
                <w:snapToGrid w:val="0"/>
                <w:sz w:val="20"/>
                <w:szCs w:val="20"/>
              </w:rPr>
            </w:pPr>
            <w:r w:rsidRPr="00AD7238">
              <w:rPr>
                <w:rFonts w:ascii="Arial Narrow" w:hAnsi="Arial Narrow"/>
                <w:snapToGrid w:val="0"/>
                <w:sz w:val="20"/>
                <w:szCs w:val="20"/>
              </w:rPr>
              <w:t>3.5% costs and outcomes</w:t>
            </w:r>
          </w:p>
        </w:tc>
        <w:tc>
          <w:tcPr>
            <w:tcW w:w="1279" w:type="dxa"/>
            <w:tcBorders>
              <w:top w:val="single" w:sz="4" w:space="0" w:color="auto"/>
              <w:left w:val="single" w:sz="4" w:space="0" w:color="auto"/>
              <w:bottom w:val="single" w:sz="4" w:space="0" w:color="auto"/>
              <w:right w:val="single" w:sz="4" w:space="0" w:color="auto"/>
            </w:tcBorders>
          </w:tcPr>
          <w:p w14:paraId="216BEE0D" w14:textId="77777777" w:rsidR="00213554" w:rsidRDefault="00213554">
            <w:pPr>
              <w:spacing w:after="120"/>
              <w:contextualSpacing/>
              <w:jc w:val="center"/>
              <w:rPr>
                <w:rFonts w:ascii="Arial Narrow" w:hAnsi="Arial Narrow"/>
                <w:snapToGrid w:val="0"/>
                <w:sz w:val="20"/>
                <w:szCs w:val="20"/>
                <w:highlight w:val="darkGray"/>
              </w:rPr>
            </w:pPr>
          </w:p>
          <w:p w14:paraId="30058FB2" w14:textId="0F0819AC" w:rsidR="00A731F6"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551"/>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551"/>
                <w14:textFill>
                  <w14:solidFill>
                    <w14:srgbClr w14:val="000000">
                      <w14:alpha w14:val="100000"/>
                    </w14:srgbClr>
                  </w14:solidFill>
                </w14:textFill>
              </w:rPr>
              <w:t>|</w:t>
            </w:r>
          </w:p>
          <w:p w14:paraId="3D1A41AB" w14:textId="7C389981" w:rsidR="00213554"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550"/>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550"/>
                <w14:textFill>
                  <w14:solidFill>
                    <w14:srgbClr w14:val="000000">
                      <w14:alpha w14:val="100000"/>
                    </w14:srgbClr>
                  </w14:solidFill>
                </w14:textFill>
              </w:rPr>
              <w:t>|</w:t>
            </w:r>
          </w:p>
          <w:p w14:paraId="0DF97686" w14:textId="1C04DFEA" w:rsidR="00213554"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549"/>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549"/>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3644BA89" w14:textId="77777777" w:rsidR="00A731F6" w:rsidRPr="00AD7238" w:rsidRDefault="00A731F6">
            <w:pPr>
              <w:spacing w:after="120"/>
              <w:contextualSpacing/>
              <w:jc w:val="center"/>
              <w:rPr>
                <w:rFonts w:ascii="Arial Narrow" w:hAnsi="Arial Narrow"/>
                <w:snapToGrid w:val="0"/>
                <w:sz w:val="20"/>
                <w:szCs w:val="20"/>
              </w:rPr>
            </w:pPr>
          </w:p>
          <w:p w14:paraId="05B4FB08"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6,489</w:t>
            </w:r>
          </w:p>
          <w:p w14:paraId="0B0F0C8B"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5,859</w:t>
            </w:r>
          </w:p>
          <w:p w14:paraId="5B60F188"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5,184</w:t>
            </w:r>
          </w:p>
        </w:tc>
        <w:tc>
          <w:tcPr>
            <w:tcW w:w="992" w:type="dxa"/>
            <w:tcBorders>
              <w:top w:val="single" w:sz="4" w:space="0" w:color="auto"/>
              <w:left w:val="single" w:sz="4" w:space="0" w:color="auto"/>
              <w:bottom w:val="single" w:sz="4" w:space="0" w:color="auto"/>
              <w:right w:val="single" w:sz="4" w:space="0" w:color="auto"/>
            </w:tcBorders>
          </w:tcPr>
          <w:p w14:paraId="6640FC8B" w14:textId="77777777" w:rsidR="00213554" w:rsidRDefault="00213554">
            <w:pPr>
              <w:spacing w:after="120"/>
              <w:contextualSpacing/>
              <w:jc w:val="center"/>
              <w:rPr>
                <w:rFonts w:ascii="Arial Narrow" w:hAnsi="Arial Narrow"/>
                <w:snapToGrid w:val="0"/>
                <w:sz w:val="20"/>
                <w:szCs w:val="20"/>
                <w:highlight w:val="darkGray"/>
              </w:rPr>
            </w:pPr>
          </w:p>
          <w:p w14:paraId="5A157507"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snapToGrid w:val="0"/>
                <w:color w:val="000000"/>
                <w:spacing w:val="50"/>
                <w:sz w:val="20"/>
                <w:szCs w:val="20"/>
                <w:shd w:val="solid" w:color="000000" w:fill="000000"/>
                <w:fitText w:val="508" w:id="-1233442548"/>
                <w14:textFill>
                  <w14:solidFill>
                    <w14:srgbClr w14:val="000000">
                      <w14:alpha w14:val="100000"/>
                    </w14:srgbClr>
                  </w14:solidFill>
                </w14:textFill>
              </w:rPr>
              <w:t>|||||</w:t>
            </w:r>
            <w:r w:rsidRPr="00BA039D">
              <w:rPr>
                <w:rFonts w:ascii="Arial Narrow" w:hAnsi="Arial Narrow"/>
                <w:snapToGrid w:val="0"/>
                <w:color w:val="000000"/>
                <w:spacing w:val="3"/>
                <w:sz w:val="20"/>
                <w:szCs w:val="20"/>
                <w:shd w:val="solid" w:color="000000" w:fill="000000"/>
                <w:fitText w:val="508" w:id="-1233442548"/>
                <w14:textFill>
                  <w14:solidFill>
                    <w14:srgbClr w14:val="000000">
                      <w14:alpha w14:val="100000"/>
                    </w14:srgbClr>
                  </w14:solidFill>
                </w14:textFill>
              </w:rPr>
              <w:t>|</w:t>
            </w:r>
            <w:r w:rsidR="00957EFC">
              <w:rPr>
                <w:rFonts w:ascii="Arial Narrow" w:hAnsi="Arial Narrow"/>
                <w:snapToGrid w:val="0"/>
                <w:sz w:val="20"/>
                <w:szCs w:val="20"/>
                <w:vertAlign w:val="superscript"/>
              </w:rPr>
              <w:t>2</w:t>
            </w:r>
            <w:r w:rsidRPr="006C5EC6">
              <w:rPr>
                <w:rFonts w:ascii="Arial Narrow" w:hAnsi="Arial Narrow"/>
                <w:snapToGrid w:val="0"/>
                <w:color w:val="000000"/>
                <w:spacing w:val="154"/>
                <w:sz w:val="20"/>
                <w:szCs w:val="20"/>
                <w:shd w:val="solid" w:color="000000" w:fill="000000"/>
                <w:fitText w:val="240" w:id="-1233442544"/>
                <w14:textFill>
                  <w14:solidFill>
                    <w14:srgbClr w14:val="000000">
                      <w14:alpha w14:val="100000"/>
                    </w14:srgbClr>
                  </w14:solidFill>
                </w14:textFill>
              </w:rPr>
              <w:t>|</w:t>
            </w:r>
            <w:r w:rsidRPr="006C5EC6">
              <w:rPr>
                <w:rFonts w:ascii="Arial Narrow" w:hAnsi="Arial Narrow"/>
                <w:snapToGrid w:val="0"/>
                <w:color w:val="000000"/>
                <w:sz w:val="20"/>
                <w:szCs w:val="20"/>
                <w:shd w:val="solid" w:color="000000" w:fill="000000"/>
                <w:fitText w:val="240" w:id="-1233442544"/>
                <w14:textFill>
                  <w14:solidFill>
                    <w14:srgbClr w14:val="000000">
                      <w14:alpha w14:val="100000"/>
                    </w14:srgbClr>
                  </w14:solidFill>
                </w14:textFill>
              </w:rPr>
              <w:t>|</w:t>
            </w:r>
            <w:r w:rsidR="00957EFC">
              <w:rPr>
                <w:rFonts w:ascii="Arial Narrow" w:hAnsi="Arial Narrow"/>
                <w:snapToGrid w:val="0"/>
                <w:sz w:val="20"/>
                <w:szCs w:val="20"/>
                <w:vertAlign w:val="superscript"/>
              </w:rPr>
              <w:t>2</w:t>
            </w:r>
          </w:p>
          <w:p w14:paraId="397FE1C6" w14:textId="5ABB2F61" w:rsidR="00A731F6" w:rsidRPr="002D73B8" w:rsidRDefault="00BA039D">
            <w:pPr>
              <w:spacing w:after="120"/>
              <w:contextualSpacing/>
              <w:jc w:val="center"/>
              <w:rPr>
                <w:rFonts w:ascii="Arial Narrow" w:hAnsi="Arial Narrow"/>
                <w:snapToGrid w:val="0"/>
                <w:sz w:val="20"/>
                <w:szCs w:val="20"/>
                <w:highlight w:val="darkGray"/>
              </w:rPr>
            </w:pPr>
            <w:r w:rsidRPr="00BA039D">
              <w:rPr>
                <w:rFonts w:ascii="Arial Narrow" w:hAnsi="Arial Narrow" w:hint="eastAsia"/>
                <w:snapToGrid w:val="0"/>
                <w:color w:val="000000"/>
                <w:spacing w:val="60"/>
                <w:w w:val="25"/>
                <w:sz w:val="20"/>
                <w:szCs w:val="20"/>
                <w:shd w:val="solid" w:color="000000" w:fill="000000"/>
                <w:fitText w:val="91" w:id="-1233442560"/>
                <w:vertAlign w:val="superscript"/>
                <w14:textFill>
                  <w14:solidFill>
                    <w14:srgbClr w14:val="000000">
                      <w14:alpha w14:val="100000"/>
                    </w14:srgbClr>
                  </w14:solidFill>
                </w14:textFill>
              </w:rPr>
              <w:t xml:space="preserve">　</w:t>
            </w:r>
            <w:r w:rsidRPr="006C5EC6">
              <w:rPr>
                <w:rFonts w:ascii="Arial Narrow" w:hAnsi="Arial Narrow" w:hint="eastAsia"/>
                <w:snapToGrid w:val="0"/>
                <w:color w:val="000000"/>
                <w:w w:val="15"/>
                <w:sz w:val="20"/>
                <w:szCs w:val="20"/>
                <w:shd w:val="solid" w:color="000000" w:fill="000000"/>
                <w:fitText w:val="42" w:id="-1233442558"/>
                <w14:textFill>
                  <w14:solidFill>
                    <w14:srgbClr w14:val="000000">
                      <w14:alpha w14:val="100000"/>
                    </w14:srgbClr>
                  </w14:solidFill>
                </w14:textFill>
              </w:rPr>
              <w:t xml:space="preserve">　</w:t>
            </w:r>
            <w:r w:rsidRPr="006C5EC6">
              <w:rPr>
                <w:rFonts w:ascii="Arial Narrow" w:hAnsi="Arial Narrow"/>
                <w:snapToGrid w:val="0"/>
                <w:color w:val="000000"/>
                <w:w w:val="15"/>
                <w:sz w:val="20"/>
                <w:szCs w:val="20"/>
                <w:shd w:val="solid" w:color="000000" w:fill="000000"/>
                <w:fitText w:val="42" w:id="-1233442558"/>
                <w14:textFill>
                  <w14:solidFill>
                    <w14:srgbClr w14:val="000000">
                      <w14:alpha w14:val="100000"/>
                    </w14:srgbClr>
                  </w14:solidFill>
                </w14:textFill>
              </w:rPr>
              <w:t>|</w:t>
            </w:r>
            <w:r w:rsidRPr="006C5EC6">
              <w:rPr>
                <w:rFonts w:ascii="Arial Narrow" w:hAnsi="Arial Narrow" w:hint="eastAsia"/>
                <w:snapToGrid w:val="0"/>
                <w:color w:val="000000"/>
                <w:spacing w:val="-23"/>
                <w:w w:val="15"/>
                <w:sz w:val="20"/>
                <w:szCs w:val="20"/>
                <w:shd w:val="solid" w:color="000000" w:fill="000000"/>
                <w:fitText w:val="42" w:id="-1233442558"/>
                <w14:textFill>
                  <w14:solidFill>
                    <w14:srgbClr w14:val="000000">
                      <w14:alpha w14:val="100000"/>
                    </w14:srgbClr>
                  </w14:solidFill>
                </w14:textFill>
              </w:rPr>
              <w:t xml:space="preserve">　</w:t>
            </w:r>
            <w:r w:rsidR="00957EFC">
              <w:rPr>
                <w:rFonts w:ascii="Arial Narrow" w:hAnsi="Arial Narrow"/>
                <w:snapToGrid w:val="0"/>
                <w:sz w:val="20"/>
                <w:szCs w:val="20"/>
                <w:vertAlign w:val="superscript"/>
              </w:rPr>
              <w:t>3</w:t>
            </w:r>
          </w:p>
        </w:tc>
        <w:tc>
          <w:tcPr>
            <w:tcW w:w="839" w:type="dxa"/>
            <w:tcBorders>
              <w:top w:val="single" w:sz="4" w:space="0" w:color="auto"/>
              <w:left w:val="single" w:sz="4" w:space="0" w:color="auto"/>
              <w:bottom w:val="single" w:sz="4" w:space="0" w:color="auto"/>
              <w:right w:val="single" w:sz="4" w:space="0" w:color="auto"/>
            </w:tcBorders>
          </w:tcPr>
          <w:p w14:paraId="7A052C96" w14:textId="77777777" w:rsidR="00A731F6" w:rsidRPr="00615B0D" w:rsidRDefault="00A731F6">
            <w:pPr>
              <w:spacing w:after="120"/>
              <w:contextualSpacing/>
              <w:jc w:val="center"/>
              <w:rPr>
                <w:rFonts w:ascii="Arial Narrow" w:hAnsi="Arial Narrow"/>
                <w:iCs/>
                <w:snapToGrid w:val="0"/>
                <w:sz w:val="20"/>
                <w:szCs w:val="20"/>
              </w:rPr>
            </w:pPr>
          </w:p>
          <w:p w14:paraId="338C7785"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-34%</w:t>
            </w:r>
          </w:p>
          <w:p w14:paraId="2ED1FB11"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-24%</w:t>
            </w:r>
          </w:p>
          <w:p w14:paraId="4899752C"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-10%</w:t>
            </w:r>
          </w:p>
        </w:tc>
      </w:tr>
      <w:tr w:rsidR="00A731F6" w:rsidRPr="00AD7238" w14:paraId="73E2491A"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6884B57B" w14:textId="77777777" w:rsidR="00A731F6" w:rsidRPr="00AD7238" w:rsidRDefault="00A731F6">
            <w:pPr>
              <w:spacing w:after="120"/>
              <w:contextualSpacing/>
              <w:rPr>
                <w:rFonts w:ascii="Arial Narrow" w:hAnsi="Arial Narrow"/>
                <w:snapToGrid w:val="0"/>
                <w:sz w:val="20"/>
                <w:szCs w:val="20"/>
              </w:rPr>
            </w:pPr>
            <w:r w:rsidRPr="00AD7238">
              <w:rPr>
                <w:rFonts w:ascii="Arial Narrow" w:hAnsi="Arial Narrow"/>
                <w:snapToGrid w:val="0"/>
                <w:sz w:val="20"/>
                <w:szCs w:val="20"/>
              </w:rPr>
              <w:t>HZ Incidence (base case BEACH (2006-2013))</w:t>
            </w:r>
          </w:p>
          <w:p w14:paraId="46331E81" w14:textId="77777777" w:rsidR="00A731F6" w:rsidRPr="00AD7238" w:rsidRDefault="00A731F6" w:rsidP="00D5557B">
            <w:pPr>
              <w:widowControl w:val="0"/>
              <w:numPr>
                <w:ilvl w:val="0"/>
                <w:numId w:val="12"/>
              </w:numPr>
              <w:rPr>
                <w:rFonts w:ascii="Arial Narrow" w:eastAsia="MS Gothic" w:hAnsi="Arial Narrow" w:cs="Times New Roman"/>
                <w:bCs/>
                <w:sz w:val="20"/>
                <w:szCs w:val="20"/>
              </w:rPr>
            </w:pPr>
            <w:r w:rsidRPr="00AD7238">
              <w:rPr>
                <w:rFonts w:ascii="Arial Narrow" w:eastAsia="MS Gothic" w:hAnsi="Arial Narrow" w:cs="Times New Roman"/>
                <w:bCs/>
                <w:sz w:val="20"/>
                <w:szCs w:val="20"/>
              </w:rPr>
              <w:t>MacIntyre (2015) + Qian (2021)</w:t>
            </w:r>
          </w:p>
          <w:p w14:paraId="77ECC678" w14:textId="785674AA" w:rsidR="00A731F6" w:rsidRPr="00C262E9" w:rsidRDefault="00A731F6" w:rsidP="00C262E9">
            <w:pPr>
              <w:keepNext/>
              <w:numPr>
                <w:ilvl w:val="0"/>
                <w:numId w:val="12"/>
              </w:numPr>
              <w:rPr>
                <w:rFonts w:ascii="Arial Narrow" w:hAnsi="Arial Narrow"/>
                <w:i/>
                <w:iCs/>
                <w:snapToGrid w:val="0"/>
                <w:sz w:val="20"/>
                <w:szCs w:val="20"/>
              </w:rPr>
            </w:pPr>
            <w:r w:rsidRPr="00AD7238">
              <w:rPr>
                <w:rFonts w:ascii="Arial Narrow" w:hAnsi="Arial Narrow"/>
                <w:snapToGrid w:val="0"/>
                <w:sz w:val="20"/>
                <w:szCs w:val="20"/>
              </w:rPr>
              <w:t>Qian (2021)</w:t>
            </w:r>
          </w:p>
        </w:tc>
        <w:tc>
          <w:tcPr>
            <w:tcW w:w="1279" w:type="dxa"/>
            <w:tcBorders>
              <w:top w:val="single" w:sz="4" w:space="0" w:color="auto"/>
              <w:left w:val="single" w:sz="4" w:space="0" w:color="auto"/>
              <w:bottom w:val="single" w:sz="4" w:space="0" w:color="auto"/>
              <w:right w:val="single" w:sz="4" w:space="0" w:color="auto"/>
            </w:tcBorders>
          </w:tcPr>
          <w:p w14:paraId="412CB985" w14:textId="77777777" w:rsidR="00213554" w:rsidRDefault="00213554" w:rsidP="00C262E9">
            <w:pPr>
              <w:spacing w:after="120"/>
              <w:contextualSpacing/>
              <w:jc w:val="center"/>
              <w:rPr>
                <w:rFonts w:ascii="Arial Narrow" w:hAnsi="Arial Narrow"/>
                <w:snapToGrid w:val="0"/>
                <w:sz w:val="20"/>
                <w:szCs w:val="20"/>
                <w:highlight w:val="darkGray"/>
              </w:rPr>
            </w:pPr>
          </w:p>
          <w:p w14:paraId="0556BAA8" w14:textId="601569E6" w:rsidR="00A731F6" w:rsidRPr="00BA039D" w:rsidRDefault="00BA039D" w:rsidP="00C262E9">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557"/>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557"/>
                <w14:textFill>
                  <w14:solidFill>
                    <w14:srgbClr w14:val="000000">
                      <w14:alpha w14:val="100000"/>
                    </w14:srgbClr>
                  </w14:solidFill>
                </w14:textFill>
              </w:rPr>
              <w:t>|</w:t>
            </w:r>
          </w:p>
          <w:p w14:paraId="2E3571DE" w14:textId="29D2100A" w:rsidR="00213554" w:rsidRPr="00BA039D" w:rsidRDefault="00BA039D" w:rsidP="00C262E9">
            <w:pPr>
              <w:spacing w:after="120"/>
              <w:contextualSpacing/>
              <w:jc w:val="center"/>
              <w:rPr>
                <w:rFonts w:ascii="Arial Narrow" w:hAnsi="Arial Narrow"/>
                <w:i/>
                <w:iCs/>
                <w:snapToGrid w:val="0"/>
                <w:sz w:val="20"/>
                <w:szCs w:val="20"/>
              </w:rPr>
            </w:pPr>
            <w:r w:rsidRPr="00BA039D">
              <w:rPr>
                <w:rFonts w:ascii="Arial Narrow" w:hAnsi="Arial Narrow"/>
                <w:snapToGrid w:val="0"/>
                <w:color w:val="000000"/>
                <w:spacing w:val="57"/>
                <w:sz w:val="20"/>
                <w:szCs w:val="20"/>
                <w:shd w:val="solid" w:color="000000" w:fill="000000"/>
                <w:fitText w:val="342" w:id="-1233442556"/>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556"/>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5E5B3038" w14:textId="77777777" w:rsidR="00A731F6" w:rsidRPr="00AD7238" w:rsidRDefault="00A731F6" w:rsidP="00615B0D">
            <w:pPr>
              <w:spacing w:after="120"/>
              <w:contextualSpacing/>
              <w:rPr>
                <w:rFonts w:ascii="Arial Narrow" w:hAnsi="Arial Narrow"/>
                <w:snapToGrid w:val="0"/>
                <w:sz w:val="20"/>
                <w:szCs w:val="20"/>
              </w:rPr>
            </w:pPr>
          </w:p>
          <w:p w14:paraId="6B55BE84"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4,562</w:t>
            </w:r>
          </w:p>
          <w:p w14:paraId="25BA2EF1" w14:textId="0ABAABB4" w:rsidR="00A731F6" w:rsidRPr="00AD7238" w:rsidRDefault="00A731F6" w:rsidP="00C262E9">
            <w:pPr>
              <w:spacing w:after="120"/>
              <w:contextualSpacing/>
              <w:jc w:val="center"/>
              <w:rPr>
                <w:rFonts w:ascii="Arial Narrow" w:hAnsi="Arial Narrow"/>
                <w:i/>
                <w:iCs/>
                <w:snapToGrid w:val="0"/>
                <w:sz w:val="20"/>
                <w:szCs w:val="20"/>
              </w:rPr>
            </w:pPr>
            <w:r w:rsidRPr="00AD7238">
              <w:rPr>
                <w:rFonts w:ascii="Arial Narrow" w:hAnsi="Arial Narrow"/>
                <w:snapToGrid w:val="0"/>
                <w:sz w:val="20"/>
                <w:szCs w:val="20"/>
              </w:rPr>
              <w:t>4,349</w:t>
            </w:r>
          </w:p>
        </w:tc>
        <w:tc>
          <w:tcPr>
            <w:tcW w:w="992" w:type="dxa"/>
            <w:tcBorders>
              <w:top w:val="single" w:sz="4" w:space="0" w:color="auto"/>
              <w:left w:val="single" w:sz="4" w:space="0" w:color="auto"/>
              <w:bottom w:val="single" w:sz="4" w:space="0" w:color="auto"/>
              <w:right w:val="single" w:sz="4" w:space="0" w:color="auto"/>
            </w:tcBorders>
          </w:tcPr>
          <w:p w14:paraId="3492EEEB" w14:textId="77777777" w:rsidR="00213554" w:rsidRDefault="00213554" w:rsidP="00C262E9">
            <w:pPr>
              <w:spacing w:after="120"/>
              <w:contextualSpacing/>
              <w:jc w:val="center"/>
              <w:rPr>
                <w:rFonts w:ascii="Arial Narrow" w:hAnsi="Arial Narrow"/>
                <w:snapToGrid w:val="0"/>
                <w:sz w:val="20"/>
                <w:szCs w:val="20"/>
                <w:highlight w:val="darkGray"/>
              </w:rPr>
            </w:pPr>
          </w:p>
          <w:p w14:paraId="10D7A364" w14:textId="77E43F05" w:rsidR="00A731F6" w:rsidRPr="002D73B8" w:rsidRDefault="00BA039D" w:rsidP="00C262E9">
            <w:pPr>
              <w:spacing w:after="120"/>
              <w:contextualSpacing/>
              <w:jc w:val="center"/>
              <w:rPr>
                <w:rFonts w:ascii="Arial Narrow" w:hAnsi="Arial Narrow"/>
                <w:i/>
                <w:iCs/>
                <w:snapToGrid w:val="0"/>
                <w:sz w:val="20"/>
                <w:szCs w:val="20"/>
                <w:highlight w:val="darkGray"/>
              </w:rPr>
            </w:pPr>
            <w:r w:rsidRPr="00BA039D">
              <w:rPr>
                <w:rFonts w:ascii="Arial Narrow" w:hAnsi="Arial Narrow"/>
                <w:snapToGrid w:val="0"/>
                <w:color w:val="000000"/>
                <w:spacing w:val="50"/>
                <w:sz w:val="20"/>
                <w:szCs w:val="20"/>
                <w:shd w:val="solid" w:color="000000" w:fill="000000"/>
                <w:fitText w:val="508" w:id="-1233442555"/>
                <w14:textFill>
                  <w14:solidFill>
                    <w14:srgbClr w14:val="000000">
                      <w14:alpha w14:val="100000"/>
                    </w14:srgbClr>
                  </w14:solidFill>
                </w14:textFill>
              </w:rPr>
              <w:t>|||||</w:t>
            </w:r>
            <w:r w:rsidRPr="00BA039D">
              <w:rPr>
                <w:rFonts w:ascii="Arial Narrow" w:hAnsi="Arial Narrow"/>
                <w:snapToGrid w:val="0"/>
                <w:color w:val="000000"/>
                <w:spacing w:val="3"/>
                <w:sz w:val="20"/>
                <w:szCs w:val="20"/>
                <w:shd w:val="solid" w:color="000000" w:fill="000000"/>
                <w:fitText w:val="508" w:id="-1233442555"/>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r w:rsidRPr="006C5EC6">
              <w:rPr>
                <w:rFonts w:ascii="Arial Narrow" w:hAnsi="Arial Narrow"/>
                <w:snapToGrid w:val="0"/>
                <w:color w:val="000000"/>
                <w:spacing w:val="154"/>
                <w:sz w:val="20"/>
                <w:szCs w:val="20"/>
                <w:shd w:val="solid" w:color="000000" w:fill="000000"/>
                <w:fitText w:val="240" w:id="-1233442551"/>
                <w14:textFill>
                  <w14:solidFill>
                    <w14:srgbClr w14:val="000000">
                      <w14:alpha w14:val="100000"/>
                    </w14:srgbClr>
                  </w14:solidFill>
                </w14:textFill>
              </w:rPr>
              <w:t>|</w:t>
            </w:r>
            <w:r w:rsidRPr="006C5EC6">
              <w:rPr>
                <w:rFonts w:ascii="Arial Narrow" w:hAnsi="Arial Narrow"/>
                <w:snapToGrid w:val="0"/>
                <w:color w:val="000000"/>
                <w:sz w:val="20"/>
                <w:szCs w:val="20"/>
                <w:shd w:val="solid" w:color="000000" w:fill="000000"/>
                <w:fitText w:val="240" w:id="-1233442551"/>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1C7240A3" w14:textId="77777777" w:rsidR="00A731F6" w:rsidRPr="00615B0D" w:rsidRDefault="00A731F6" w:rsidP="00615B0D">
            <w:pPr>
              <w:spacing w:after="120"/>
              <w:contextualSpacing/>
              <w:rPr>
                <w:rFonts w:ascii="Arial Narrow" w:hAnsi="Arial Narrow"/>
                <w:iCs/>
                <w:snapToGrid w:val="0"/>
                <w:sz w:val="20"/>
                <w:szCs w:val="20"/>
              </w:rPr>
            </w:pPr>
          </w:p>
          <w:p w14:paraId="6626675B"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+6%</w:t>
            </w:r>
          </w:p>
          <w:p w14:paraId="4EE2F51D" w14:textId="2D1CFEC3" w:rsidR="00A731F6" w:rsidRPr="00AD7238" w:rsidRDefault="00A731F6" w:rsidP="00C262E9">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+14%</w:t>
            </w:r>
          </w:p>
        </w:tc>
      </w:tr>
      <w:tr w:rsidR="00A731F6" w:rsidRPr="00AD7238" w14:paraId="27A45815"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4B1B560B" w14:textId="77777777" w:rsidR="00A731F6" w:rsidRPr="00615B0D" w:rsidRDefault="00A731F6">
            <w:pPr>
              <w:spacing w:after="120"/>
              <w:contextualSpacing/>
              <w:rPr>
                <w:rFonts w:ascii="Arial Narrow" w:hAnsi="Arial Narrow"/>
                <w:iCs/>
                <w:snapToGrid w:val="0"/>
                <w:sz w:val="20"/>
                <w:szCs w:val="20"/>
              </w:rPr>
            </w:pPr>
            <w:r w:rsidRPr="00615B0D">
              <w:rPr>
                <w:rFonts w:ascii="Arial Narrow" w:hAnsi="Arial Narrow"/>
                <w:iCs/>
                <w:snapToGrid w:val="0"/>
                <w:sz w:val="20"/>
                <w:szCs w:val="20"/>
              </w:rPr>
              <w:t>Vaccine Efficacy (base case ZOE-50, ZOE-70)</w:t>
            </w:r>
          </w:p>
          <w:p w14:paraId="72C0B78A" w14:textId="77777777" w:rsidR="00A731F6" w:rsidRPr="00AD7238" w:rsidRDefault="00A731F6" w:rsidP="00D5557B">
            <w:pPr>
              <w:keepNext/>
              <w:numPr>
                <w:ilvl w:val="0"/>
                <w:numId w:val="16"/>
              </w:numPr>
              <w:ind w:left="737" w:hanging="425"/>
              <w:rPr>
                <w:rFonts w:ascii="Arial Narrow" w:hAnsi="Arial Narrow"/>
                <w:i/>
                <w:iCs/>
                <w:snapToGrid w:val="0"/>
                <w:sz w:val="20"/>
                <w:szCs w:val="20"/>
              </w:rPr>
            </w:pPr>
            <w:r w:rsidRPr="00615B0D">
              <w:rPr>
                <w:rFonts w:ascii="Arial Narrow" w:hAnsi="Arial Narrow"/>
                <w:iCs/>
                <w:snapToGrid w:val="0"/>
                <w:sz w:val="20"/>
                <w:szCs w:val="20"/>
              </w:rPr>
              <w:t>Izureita (2021)</w:t>
            </w:r>
          </w:p>
        </w:tc>
        <w:tc>
          <w:tcPr>
            <w:tcW w:w="1279" w:type="dxa"/>
            <w:tcBorders>
              <w:top w:val="single" w:sz="4" w:space="0" w:color="auto"/>
              <w:left w:val="single" w:sz="4" w:space="0" w:color="auto"/>
              <w:bottom w:val="single" w:sz="4" w:space="0" w:color="auto"/>
              <w:right w:val="single" w:sz="4" w:space="0" w:color="auto"/>
            </w:tcBorders>
          </w:tcPr>
          <w:p w14:paraId="6A1BE594" w14:textId="77777777" w:rsidR="00CB22C2" w:rsidRDefault="00CB22C2">
            <w:pPr>
              <w:spacing w:after="120"/>
              <w:contextualSpacing/>
              <w:jc w:val="center"/>
              <w:rPr>
                <w:rFonts w:ascii="Arial Narrow" w:hAnsi="Arial Narrow"/>
                <w:iCs/>
                <w:snapToGrid w:val="0"/>
                <w:sz w:val="20"/>
                <w:szCs w:val="20"/>
                <w:highlight w:val="darkGray"/>
              </w:rPr>
            </w:pPr>
          </w:p>
          <w:p w14:paraId="5CDFD93B" w14:textId="4AFA39FA" w:rsidR="00A731F6" w:rsidRPr="00BA039D" w:rsidRDefault="00BA039D">
            <w:pPr>
              <w:spacing w:after="120"/>
              <w:contextualSpacing/>
              <w:jc w:val="center"/>
              <w:rPr>
                <w:rFonts w:ascii="Arial Narrow" w:hAnsi="Arial Narrow"/>
                <w:i/>
                <w:iCs/>
                <w:snapToGrid w:val="0"/>
                <w:sz w:val="20"/>
                <w:szCs w:val="20"/>
              </w:rPr>
            </w:pPr>
            <w:r w:rsidRPr="00BA039D">
              <w:rPr>
                <w:rFonts w:ascii="Arial Narrow" w:hAnsi="Arial Narrow"/>
                <w:iCs/>
                <w:snapToGrid w:val="0"/>
                <w:color w:val="000000"/>
                <w:spacing w:val="57"/>
                <w:sz w:val="20"/>
                <w:szCs w:val="20"/>
                <w:shd w:val="solid" w:color="000000" w:fill="000000"/>
                <w:fitText w:val="342" w:id="-1233442550"/>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342" w:id="-1233442550"/>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129D8F7E" w14:textId="77777777" w:rsidR="00A731F6" w:rsidRPr="00615B0D" w:rsidRDefault="00A731F6">
            <w:pPr>
              <w:spacing w:after="120"/>
              <w:contextualSpacing/>
              <w:jc w:val="center"/>
              <w:rPr>
                <w:rFonts w:ascii="Arial Narrow" w:hAnsi="Arial Narrow"/>
                <w:iCs/>
                <w:snapToGrid w:val="0"/>
                <w:sz w:val="20"/>
                <w:szCs w:val="20"/>
              </w:rPr>
            </w:pPr>
          </w:p>
          <w:p w14:paraId="41968D32"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3,040</w:t>
            </w:r>
          </w:p>
        </w:tc>
        <w:tc>
          <w:tcPr>
            <w:tcW w:w="992" w:type="dxa"/>
            <w:tcBorders>
              <w:top w:val="single" w:sz="4" w:space="0" w:color="auto"/>
              <w:left w:val="single" w:sz="4" w:space="0" w:color="auto"/>
              <w:bottom w:val="single" w:sz="4" w:space="0" w:color="auto"/>
              <w:right w:val="single" w:sz="4" w:space="0" w:color="auto"/>
            </w:tcBorders>
          </w:tcPr>
          <w:p w14:paraId="70C08755" w14:textId="77777777" w:rsidR="00CB22C2" w:rsidRDefault="00CB22C2">
            <w:pPr>
              <w:spacing w:after="120"/>
              <w:contextualSpacing/>
              <w:jc w:val="center"/>
              <w:rPr>
                <w:rFonts w:ascii="Arial Narrow" w:hAnsi="Arial Narrow"/>
                <w:iCs/>
                <w:snapToGrid w:val="0"/>
                <w:sz w:val="20"/>
                <w:szCs w:val="20"/>
                <w:highlight w:val="darkGray"/>
              </w:rPr>
            </w:pPr>
          </w:p>
          <w:p w14:paraId="4D8413E8" w14:textId="5E6E065A" w:rsidR="00A731F6" w:rsidRPr="002D73B8" w:rsidRDefault="00BA039D">
            <w:pPr>
              <w:spacing w:after="120"/>
              <w:contextualSpacing/>
              <w:jc w:val="center"/>
              <w:rPr>
                <w:rFonts w:ascii="Arial Narrow" w:hAnsi="Arial Narrow"/>
                <w:i/>
                <w:iCs/>
                <w:snapToGrid w:val="0"/>
                <w:sz w:val="20"/>
                <w:szCs w:val="20"/>
                <w:highlight w:val="darkGray"/>
              </w:rPr>
            </w:pPr>
            <w:r w:rsidRPr="00BA039D">
              <w:rPr>
                <w:rFonts w:ascii="Arial Narrow" w:hAnsi="Arial Narrow"/>
                <w:iCs/>
                <w:snapToGrid w:val="0"/>
                <w:color w:val="000000"/>
                <w:spacing w:val="50"/>
                <w:sz w:val="20"/>
                <w:szCs w:val="20"/>
                <w:shd w:val="solid" w:color="000000" w:fill="000000"/>
                <w:fitText w:val="508" w:id="-1233442549"/>
                <w14:textFill>
                  <w14:solidFill>
                    <w14:srgbClr w14:val="000000">
                      <w14:alpha w14:val="100000"/>
                    </w14:srgbClr>
                  </w14:solidFill>
                </w14:textFill>
              </w:rPr>
              <w:t>|||||</w:t>
            </w:r>
            <w:r w:rsidRPr="00BA039D">
              <w:rPr>
                <w:rFonts w:ascii="Arial Narrow" w:hAnsi="Arial Narrow"/>
                <w:iCs/>
                <w:snapToGrid w:val="0"/>
                <w:color w:val="000000"/>
                <w:spacing w:val="3"/>
                <w:sz w:val="20"/>
                <w:szCs w:val="20"/>
                <w:shd w:val="solid" w:color="000000" w:fill="000000"/>
                <w:fitText w:val="508" w:id="-1233442549"/>
                <w14:textFill>
                  <w14:solidFill>
                    <w14:srgbClr w14:val="000000">
                      <w14:alpha w14:val="100000"/>
                    </w14:srgbClr>
                  </w14:solidFill>
                </w14:textFill>
              </w:rPr>
              <w:t>|</w:t>
            </w:r>
            <w:r w:rsidR="00957EFC">
              <w:rPr>
                <w:rFonts w:ascii="Arial Narrow" w:hAnsi="Arial Narrow"/>
                <w:snapToGrid w:val="0"/>
                <w:sz w:val="20"/>
                <w:szCs w:val="20"/>
                <w:vertAlign w:val="superscript"/>
              </w:rPr>
              <w:t>4</w:t>
            </w:r>
          </w:p>
        </w:tc>
        <w:tc>
          <w:tcPr>
            <w:tcW w:w="839" w:type="dxa"/>
            <w:tcBorders>
              <w:top w:val="single" w:sz="4" w:space="0" w:color="auto"/>
              <w:left w:val="single" w:sz="4" w:space="0" w:color="auto"/>
              <w:bottom w:val="single" w:sz="4" w:space="0" w:color="auto"/>
              <w:right w:val="single" w:sz="4" w:space="0" w:color="auto"/>
            </w:tcBorders>
          </w:tcPr>
          <w:p w14:paraId="5EFC923B" w14:textId="77777777" w:rsidR="00A731F6" w:rsidRPr="00615B0D" w:rsidRDefault="00A731F6">
            <w:pPr>
              <w:spacing w:after="120"/>
              <w:contextualSpacing/>
              <w:jc w:val="center"/>
              <w:rPr>
                <w:rFonts w:ascii="Arial Narrow" w:hAnsi="Arial Narrow"/>
                <w:iCs/>
                <w:snapToGrid w:val="0"/>
                <w:sz w:val="20"/>
                <w:szCs w:val="20"/>
              </w:rPr>
            </w:pPr>
          </w:p>
          <w:p w14:paraId="1A82D14E"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+73%</w:t>
            </w:r>
          </w:p>
        </w:tc>
      </w:tr>
      <w:tr w:rsidR="00A731F6" w:rsidRPr="00AD7238" w14:paraId="2C48605C"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66D3E0B0" w14:textId="77777777" w:rsidR="00A731F6" w:rsidRPr="00AD7238" w:rsidRDefault="00A731F6">
            <w:pPr>
              <w:spacing w:after="120"/>
              <w:contextualSpacing/>
              <w:rPr>
                <w:rFonts w:ascii="Arial Narrow" w:hAnsi="Arial Narrow"/>
                <w:snapToGrid w:val="0"/>
                <w:sz w:val="20"/>
                <w:szCs w:val="20"/>
              </w:rPr>
            </w:pPr>
            <w:r w:rsidRPr="00AD7238">
              <w:rPr>
                <w:rFonts w:ascii="Arial Narrow" w:hAnsi="Arial Narrow"/>
                <w:snapToGrid w:val="0"/>
                <w:sz w:val="20"/>
                <w:szCs w:val="20"/>
              </w:rPr>
              <w:t>RZV waning (base case ZOE-50, ZOE-70, ZOSTER-49)</w:t>
            </w:r>
          </w:p>
          <w:p w14:paraId="695FAF94" w14:textId="77777777" w:rsidR="00A731F6" w:rsidRPr="00AD7238" w:rsidDel="008F5794" w:rsidRDefault="00A731F6" w:rsidP="00D5557B">
            <w:pPr>
              <w:keepNext/>
              <w:numPr>
                <w:ilvl w:val="0"/>
                <w:numId w:val="14"/>
              </w:numPr>
              <w:rPr>
                <w:rFonts w:ascii="Arial Narrow" w:hAnsi="Arial Narrow"/>
                <w:snapToGrid w:val="0"/>
                <w:sz w:val="20"/>
                <w:szCs w:val="20"/>
              </w:rPr>
            </w:pPr>
            <w:r w:rsidRPr="00AD7238">
              <w:rPr>
                <w:rFonts w:ascii="Arial Narrow" w:hAnsi="Arial Narrow"/>
                <w:snapToGrid w:val="0"/>
                <w:sz w:val="20"/>
                <w:szCs w:val="20"/>
              </w:rPr>
              <w:t>Piecewise linear waning (UCI after 20 years)</w:t>
            </w:r>
          </w:p>
          <w:p w14:paraId="1EEF934E" w14:textId="77777777" w:rsidR="00A731F6" w:rsidRPr="00615B0D" w:rsidRDefault="00A731F6" w:rsidP="00D5557B">
            <w:pPr>
              <w:keepNext/>
              <w:numPr>
                <w:ilvl w:val="0"/>
                <w:numId w:val="14"/>
              </w:numPr>
              <w:rPr>
                <w:rFonts w:ascii="Arial Narrow" w:hAnsi="Arial Narrow"/>
                <w:iCs/>
                <w:snapToGrid w:val="0"/>
                <w:sz w:val="20"/>
                <w:szCs w:val="20"/>
              </w:rPr>
            </w:pPr>
            <w:r w:rsidRPr="00615B0D">
              <w:rPr>
                <w:rFonts w:ascii="Arial Narrow" w:hAnsi="Arial Narrow"/>
                <w:iCs/>
                <w:snapToGrid w:val="0"/>
                <w:sz w:val="20"/>
                <w:szCs w:val="20"/>
              </w:rPr>
              <w:t>Alternate waning rate of 5.4% beginning at 10 years</w:t>
            </w:r>
          </w:p>
          <w:p w14:paraId="67F2DF7D" w14:textId="77777777" w:rsidR="00A731F6" w:rsidRPr="00615B0D" w:rsidRDefault="00A731F6" w:rsidP="00D5557B">
            <w:pPr>
              <w:keepNext/>
              <w:numPr>
                <w:ilvl w:val="0"/>
                <w:numId w:val="14"/>
              </w:numPr>
              <w:rPr>
                <w:rFonts w:ascii="Arial Narrow" w:hAnsi="Arial Narrow"/>
                <w:iCs/>
                <w:snapToGrid w:val="0"/>
                <w:sz w:val="20"/>
                <w:szCs w:val="20"/>
              </w:rPr>
            </w:pPr>
            <w:r w:rsidRPr="00615B0D">
              <w:rPr>
                <w:rFonts w:ascii="Arial Narrow" w:hAnsi="Arial Narrow"/>
                <w:iCs/>
                <w:snapToGrid w:val="0"/>
                <w:sz w:val="20"/>
                <w:szCs w:val="20"/>
              </w:rPr>
              <w:t>Alternate waning rate of 5.4% beginning at 15 years</w:t>
            </w:r>
          </w:p>
          <w:p w14:paraId="6B74BB8A" w14:textId="77777777" w:rsidR="00A731F6" w:rsidRPr="00615B0D" w:rsidRDefault="00A731F6" w:rsidP="00D5557B">
            <w:pPr>
              <w:keepNext/>
              <w:numPr>
                <w:ilvl w:val="0"/>
                <w:numId w:val="14"/>
              </w:numPr>
              <w:rPr>
                <w:rFonts w:ascii="Arial Narrow" w:hAnsi="Arial Narrow"/>
                <w:iCs/>
                <w:snapToGrid w:val="0"/>
                <w:sz w:val="20"/>
                <w:szCs w:val="20"/>
              </w:rPr>
            </w:pPr>
            <w:r w:rsidRPr="00615B0D">
              <w:rPr>
                <w:rFonts w:ascii="Arial Narrow" w:hAnsi="Arial Narrow"/>
                <w:iCs/>
                <w:snapToGrid w:val="0"/>
                <w:sz w:val="20"/>
                <w:szCs w:val="20"/>
              </w:rPr>
              <w:t>Upper limit of linear waning rate CI</w:t>
            </w:r>
          </w:p>
          <w:p w14:paraId="784B8402" w14:textId="77777777" w:rsidR="00A731F6" w:rsidRPr="00AD7238" w:rsidDel="008F5794" w:rsidRDefault="00A731F6" w:rsidP="00D5557B">
            <w:pPr>
              <w:keepNext/>
              <w:numPr>
                <w:ilvl w:val="0"/>
                <w:numId w:val="14"/>
              </w:numPr>
              <w:rPr>
                <w:rFonts w:ascii="Arial Narrow" w:hAnsi="Arial Narrow"/>
                <w:snapToGrid w:val="0"/>
                <w:sz w:val="20"/>
                <w:szCs w:val="20"/>
              </w:rPr>
            </w:pPr>
            <w:r w:rsidRPr="00615B0D">
              <w:rPr>
                <w:rFonts w:ascii="Arial Narrow" w:hAnsi="Arial Narrow"/>
                <w:iCs/>
                <w:snapToGrid w:val="0"/>
                <w:sz w:val="20"/>
                <w:szCs w:val="20"/>
              </w:rPr>
              <w:t>Lower limit of linear waning rate CI</w:t>
            </w:r>
          </w:p>
        </w:tc>
        <w:tc>
          <w:tcPr>
            <w:tcW w:w="1279" w:type="dxa"/>
            <w:tcBorders>
              <w:top w:val="single" w:sz="4" w:space="0" w:color="auto"/>
              <w:left w:val="single" w:sz="4" w:space="0" w:color="auto"/>
              <w:bottom w:val="single" w:sz="4" w:space="0" w:color="auto"/>
              <w:right w:val="single" w:sz="4" w:space="0" w:color="auto"/>
            </w:tcBorders>
          </w:tcPr>
          <w:p w14:paraId="2918E1B5" w14:textId="77777777" w:rsidR="00CB22C2" w:rsidRDefault="00CB22C2">
            <w:pPr>
              <w:spacing w:after="120"/>
              <w:contextualSpacing/>
              <w:jc w:val="center"/>
              <w:rPr>
                <w:rFonts w:ascii="Arial Narrow" w:hAnsi="Arial Narrow"/>
                <w:snapToGrid w:val="0"/>
                <w:sz w:val="20"/>
                <w:szCs w:val="20"/>
                <w:highlight w:val="darkGray"/>
              </w:rPr>
            </w:pPr>
          </w:p>
          <w:p w14:paraId="373EBF80" w14:textId="3533CF59" w:rsidR="00A731F6"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4"/>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4"/>
                <w14:textFill>
                  <w14:solidFill>
                    <w14:srgbClr w14:val="000000">
                      <w14:alpha w14:val="100000"/>
                    </w14:srgbClr>
                  </w14:solidFill>
                </w14:textFill>
              </w:rPr>
              <w:t>|</w:t>
            </w:r>
          </w:p>
          <w:p w14:paraId="77C2D644" w14:textId="7E76D560" w:rsidR="00CB22C2"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3"/>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3"/>
                <w14:textFill>
                  <w14:solidFill>
                    <w14:srgbClr w14:val="000000">
                      <w14:alpha w14:val="100000"/>
                    </w14:srgbClr>
                  </w14:solidFill>
                </w14:textFill>
              </w:rPr>
              <w:t>|</w:t>
            </w:r>
          </w:p>
          <w:p w14:paraId="395F2EA0" w14:textId="1C05D8F4" w:rsidR="00CB22C2"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2"/>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2"/>
                <w14:textFill>
                  <w14:solidFill>
                    <w14:srgbClr w14:val="000000">
                      <w14:alpha w14:val="100000"/>
                    </w14:srgbClr>
                  </w14:solidFill>
                </w14:textFill>
              </w:rPr>
              <w:t>|</w:t>
            </w:r>
          </w:p>
          <w:p w14:paraId="35381EDF" w14:textId="3D78AF28" w:rsidR="00CB22C2"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1"/>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1"/>
                <w14:textFill>
                  <w14:solidFill>
                    <w14:srgbClr w14:val="000000">
                      <w14:alpha w14:val="100000"/>
                    </w14:srgbClr>
                  </w14:solidFill>
                </w14:textFill>
              </w:rPr>
              <w:t>|</w:t>
            </w:r>
          </w:p>
          <w:p w14:paraId="277F0299" w14:textId="0DEC4626" w:rsidR="00CB22C2"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0"/>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0"/>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0AD6298D" w14:textId="77777777" w:rsidR="00A731F6" w:rsidRPr="00AD7238" w:rsidRDefault="00A731F6" w:rsidP="00615B0D">
            <w:pPr>
              <w:spacing w:after="120"/>
              <w:contextualSpacing/>
              <w:rPr>
                <w:rFonts w:ascii="Arial Narrow" w:hAnsi="Arial Narrow"/>
                <w:snapToGrid w:val="0"/>
                <w:sz w:val="20"/>
                <w:szCs w:val="20"/>
              </w:rPr>
            </w:pPr>
          </w:p>
          <w:p w14:paraId="5504AC83"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4,639</w:t>
            </w:r>
          </w:p>
          <w:p w14:paraId="3932DDE4" w14:textId="63040F8C" w:rsidR="00A731F6" w:rsidRPr="00615B0D" w:rsidRDefault="00A731F6" w:rsidP="00615B0D">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4,451</w:t>
            </w:r>
          </w:p>
          <w:p w14:paraId="4FE57F8A" w14:textId="2DD549B9" w:rsidR="00A731F6" w:rsidRPr="00615B0D" w:rsidRDefault="00A731F6" w:rsidP="00615B0D">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4,667</w:t>
            </w:r>
          </w:p>
          <w:p w14:paraId="325AC3B3"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4,138</w:t>
            </w:r>
          </w:p>
          <w:p w14:paraId="5F127973" w14:textId="77777777" w:rsidR="00A731F6" w:rsidRPr="00AD7238" w:rsidDel="00D51764" w:rsidRDefault="00A731F6">
            <w:pPr>
              <w:spacing w:after="120"/>
              <w:contextualSpacing/>
              <w:jc w:val="center"/>
              <w:rPr>
                <w:rFonts w:ascii="Arial Narrow" w:hAnsi="Arial Narrow"/>
                <w:snapToGrid w:val="0"/>
                <w:sz w:val="20"/>
                <w:szCs w:val="20"/>
              </w:rPr>
            </w:pPr>
            <w:r w:rsidRPr="00615B0D">
              <w:rPr>
                <w:rFonts w:ascii="Arial Narrow" w:hAnsi="Arial Narrow"/>
                <w:iCs/>
                <w:snapToGrid w:val="0"/>
                <w:sz w:val="20"/>
                <w:szCs w:val="20"/>
              </w:rPr>
              <w:t>5,316</w:t>
            </w:r>
          </w:p>
        </w:tc>
        <w:tc>
          <w:tcPr>
            <w:tcW w:w="992" w:type="dxa"/>
            <w:tcBorders>
              <w:top w:val="single" w:sz="4" w:space="0" w:color="auto"/>
              <w:left w:val="single" w:sz="4" w:space="0" w:color="auto"/>
              <w:bottom w:val="single" w:sz="4" w:space="0" w:color="auto"/>
              <w:right w:val="single" w:sz="4" w:space="0" w:color="auto"/>
            </w:tcBorders>
          </w:tcPr>
          <w:p w14:paraId="570C7B4E" w14:textId="77777777" w:rsidR="00CB22C2" w:rsidRDefault="00CB22C2">
            <w:pPr>
              <w:spacing w:after="120"/>
              <w:contextualSpacing/>
              <w:jc w:val="center"/>
              <w:rPr>
                <w:rFonts w:ascii="Arial Narrow" w:hAnsi="Arial Narrow"/>
                <w:snapToGrid w:val="0"/>
                <w:sz w:val="20"/>
                <w:szCs w:val="20"/>
                <w:highlight w:val="darkGray"/>
              </w:rPr>
            </w:pPr>
          </w:p>
          <w:p w14:paraId="1E75D1E1"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snapToGrid w:val="0"/>
                <w:color w:val="000000"/>
                <w:spacing w:val="50"/>
                <w:sz w:val="20"/>
                <w:szCs w:val="20"/>
                <w:shd w:val="solid" w:color="000000" w:fill="000000"/>
                <w:fitText w:val="508" w:id="-1233442299"/>
                <w14:textFill>
                  <w14:solidFill>
                    <w14:srgbClr w14:val="000000">
                      <w14:alpha w14:val="100000"/>
                    </w14:srgbClr>
                  </w14:solidFill>
                </w14:textFill>
              </w:rPr>
              <w:t>|||||</w:t>
            </w:r>
            <w:r w:rsidRPr="00BA039D">
              <w:rPr>
                <w:rFonts w:ascii="Arial Narrow" w:hAnsi="Arial Narrow"/>
                <w:snapToGrid w:val="0"/>
                <w:color w:val="000000"/>
                <w:spacing w:val="3"/>
                <w:sz w:val="20"/>
                <w:szCs w:val="20"/>
                <w:shd w:val="solid" w:color="000000" w:fill="000000"/>
                <w:fitText w:val="508" w:id="-1233442299"/>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p w14:paraId="33152DFE"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hint="eastAsia"/>
                <w:snapToGrid w:val="0"/>
                <w:color w:val="000000"/>
                <w:spacing w:val="41"/>
                <w:w w:val="16"/>
                <w:sz w:val="20"/>
                <w:szCs w:val="20"/>
                <w:shd w:val="solid" w:color="000000" w:fill="000000"/>
                <w:fitText w:val="60" w:id="-1233442298"/>
                <w:vertAlign w:val="superscript"/>
                <w14:textFill>
                  <w14:solidFill>
                    <w14:srgbClr w14:val="000000">
                      <w14:alpha w14:val="100000"/>
                    </w14:srgbClr>
                  </w14:solidFill>
                </w14:textFill>
              </w:rPr>
              <w:t xml:space="preserve">　</w:t>
            </w:r>
            <w:r w:rsidRPr="006C5EC6">
              <w:rPr>
                <w:rFonts w:ascii="Arial Narrow" w:hAnsi="Arial Narrow" w:hint="eastAsia"/>
                <w:snapToGrid w:val="0"/>
                <w:color w:val="000000"/>
                <w:w w:val="15"/>
                <w:sz w:val="20"/>
                <w:szCs w:val="20"/>
                <w:shd w:val="solid" w:color="000000" w:fill="000000"/>
                <w:fitText w:val="34" w:id="-1233442297"/>
                <w14:textFill>
                  <w14:solidFill>
                    <w14:srgbClr w14:val="000000">
                      <w14:alpha w14:val="100000"/>
                    </w14:srgbClr>
                  </w14:solidFill>
                </w14:textFill>
              </w:rPr>
              <w:t xml:space="preserve">　</w:t>
            </w:r>
            <w:r w:rsidRPr="00BA039D">
              <w:rPr>
                <w:rFonts w:ascii="Arial Narrow" w:hAnsi="Arial Narrow" w:hint="eastAsia"/>
                <w:snapToGrid w:val="0"/>
                <w:color w:val="000000"/>
                <w:spacing w:val="66"/>
                <w:w w:val="27"/>
                <w:sz w:val="20"/>
                <w:szCs w:val="20"/>
                <w:shd w:val="solid" w:color="000000" w:fill="000000"/>
                <w:fitText w:val="120" w:id="-1233442296"/>
                <w14:textFill>
                  <w14:solidFill>
                    <w14:srgbClr w14:val="000000">
                      <w14:alpha w14:val="100000"/>
                    </w14:srgbClr>
                  </w14:solidFill>
                </w14:textFill>
              </w:rPr>
              <w:t xml:space="preserve">　</w:t>
            </w:r>
            <w:r w:rsidRPr="00BA039D">
              <w:rPr>
                <w:rFonts w:ascii="Arial Narrow" w:hAnsi="Arial Narrow"/>
                <w:snapToGrid w:val="0"/>
                <w:color w:val="000000"/>
                <w:spacing w:val="154"/>
                <w:sz w:val="20"/>
                <w:szCs w:val="20"/>
                <w:shd w:val="solid" w:color="000000" w:fill="000000"/>
                <w:fitText w:val="240" w:id="-1233442295"/>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240" w:id="-1233442295"/>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p w14:paraId="57D892BD"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hint="eastAsia"/>
                <w:snapToGrid w:val="0"/>
                <w:color w:val="000000"/>
                <w:spacing w:val="60"/>
                <w:w w:val="25"/>
                <w:sz w:val="20"/>
                <w:szCs w:val="20"/>
                <w:shd w:val="solid" w:color="000000" w:fill="000000"/>
                <w:fitText w:val="91" w:id="-1233442294"/>
                <w:vertAlign w:val="superscript"/>
                <w14:textFill>
                  <w14:solidFill>
                    <w14:srgbClr w14:val="000000">
                      <w14:alpha w14:val="100000"/>
                    </w14:srgbClr>
                  </w14:solidFill>
                </w14:textFill>
              </w:rPr>
              <w:t xml:space="preserve">　</w:t>
            </w:r>
            <w:r w:rsidRPr="00BA039D">
              <w:rPr>
                <w:rFonts w:ascii="Arial Narrow" w:hAnsi="Arial Narrow" w:hint="eastAsia"/>
                <w:iCs/>
                <w:snapToGrid w:val="0"/>
                <w:color w:val="000000"/>
                <w:w w:val="15"/>
                <w:sz w:val="20"/>
                <w:szCs w:val="20"/>
                <w:shd w:val="solid" w:color="000000" w:fill="000000"/>
                <w:fitText w:val="42" w:id="-1233442292"/>
                <w14:textFill>
                  <w14:solidFill>
                    <w14:srgbClr w14:val="000000">
                      <w14:alpha w14:val="100000"/>
                    </w14:srgbClr>
                  </w14:solidFill>
                </w14:textFill>
              </w:rPr>
              <w:t xml:space="preserve">　</w:t>
            </w:r>
            <w:r w:rsidRPr="00BA039D">
              <w:rPr>
                <w:rFonts w:ascii="Arial Narrow" w:hAnsi="Arial Narrow"/>
                <w:iCs/>
                <w:snapToGrid w:val="0"/>
                <w:color w:val="000000"/>
                <w:w w:val="15"/>
                <w:sz w:val="20"/>
                <w:szCs w:val="20"/>
                <w:shd w:val="solid" w:color="000000" w:fill="000000"/>
                <w:fitText w:val="42" w:id="-1233442292"/>
                <w14:textFill>
                  <w14:solidFill>
                    <w14:srgbClr w14:val="000000">
                      <w14:alpha w14:val="100000"/>
                    </w14:srgbClr>
                  </w14:solidFill>
                </w14:textFill>
              </w:rPr>
              <w:t>|</w:t>
            </w:r>
            <w:r w:rsidRPr="00BA039D">
              <w:rPr>
                <w:rFonts w:ascii="Arial Narrow" w:hAnsi="Arial Narrow" w:hint="eastAsia"/>
                <w:iCs/>
                <w:snapToGrid w:val="0"/>
                <w:color w:val="000000"/>
                <w:spacing w:val="-23"/>
                <w:w w:val="15"/>
                <w:sz w:val="20"/>
                <w:szCs w:val="20"/>
                <w:shd w:val="solid" w:color="000000" w:fill="000000"/>
                <w:fitText w:val="42" w:id="-1233442292"/>
                <w14:textFill>
                  <w14:solidFill>
                    <w14:srgbClr w14:val="000000">
                      <w14:alpha w14:val="100000"/>
                    </w14:srgbClr>
                  </w14:solidFill>
                </w14:textFill>
              </w:rPr>
              <w:t xml:space="preserve">　</w:t>
            </w:r>
            <w:r w:rsidR="00957EFC" w:rsidRPr="002D73B8">
              <w:rPr>
                <w:rFonts w:ascii="Arial Narrow" w:hAnsi="Arial Narrow"/>
                <w:snapToGrid w:val="0"/>
                <w:sz w:val="20"/>
                <w:szCs w:val="20"/>
                <w:vertAlign w:val="superscript"/>
              </w:rPr>
              <w:t>1</w:t>
            </w:r>
          </w:p>
          <w:p w14:paraId="61323581"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hint="eastAsia"/>
                <w:snapToGrid w:val="0"/>
                <w:color w:val="000000"/>
                <w:spacing w:val="41"/>
                <w:w w:val="16"/>
                <w:sz w:val="20"/>
                <w:szCs w:val="20"/>
                <w:shd w:val="solid" w:color="000000" w:fill="000000"/>
                <w:fitText w:val="60" w:id="-1233442291"/>
                <w:vertAlign w:val="superscript"/>
                <w14:textFill>
                  <w14:solidFill>
                    <w14:srgbClr w14:val="000000">
                      <w14:alpha w14:val="100000"/>
                    </w14:srgbClr>
                  </w14:solidFill>
                </w14:textFill>
              </w:rPr>
              <w:t xml:space="preserve">　</w:t>
            </w:r>
            <w:r w:rsidRPr="00BA039D">
              <w:rPr>
                <w:rFonts w:ascii="Arial Narrow" w:hAnsi="Arial Narrow"/>
                <w:iCs/>
                <w:snapToGrid w:val="0"/>
                <w:color w:val="000000"/>
                <w:spacing w:val="45"/>
                <w:sz w:val="20"/>
                <w:szCs w:val="20"/>
                <w:shd w:val="solid" w:color="000000" w:fill="000000"/>
                <w:fitText w:val="482" w:id="-1233442289"/>
                <w14:textFill>
                  <w14:solidFill>
                    <w14:srgbClr w14:val="000000">
                      <w14:alpha w14:val="100000"/>
                    </w14:srgbClr>
                  </w14:solidFill>
                </w14:textFill>
              </w:rPr>
              <w:t>|||||</w:t>
            </w:r>
            <w:r w:rsidRPr="00BA039D">
              <w:rPr>
                <w:rFonts w:ascii="Arial Narrow" w:hAnsi="Arial Narrow"/>
                <w:iCs/>
                <w:snapToGrid w:val="0"/>
                <w:color w:val="000000"/>
                <w:spacing w:val="2"/>
                <w:sz w:val="20"/>
                <w:szCs w:val="20"/>
                <w:shd w:val="solid" w:color="000000" w:fill="000000"/>
                <w:fitText w:val="482" w:id="-1233442289"/>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p w14:paraId="72E60269" w14:textId="2A823B85" w:rsidR="00A731F6" w:rsidRPr="002D73B8" w:rsidRDefault="00BA039D">
            <w:pPr>
              <w:spacing w:after="120"/>
              <w:contextualSpacing/>
              <w:jc w:val="center"/>
              <w:rPr>
                <w:rFonts w:ascii="Arial Narrow" w:hAnsi="Arial Narrow"/>
                <w:snapToGrid w:val="0"/>
                <w:sz w:val="20"/>
                <w:szCs w:val="20"/>
                <w:highlight w:val="darkGray"/>
              </w:rPr>
            </w:pPr>
            <w:r w:rsidRPr="00BA039D">
              <w:rPr>
                <w:rFonts w:ascii="Arial Narrow" w:hAnsi="Arial Narrow" w:hint="eastAsia"/>
                <w:snapToGrid w:val="0"/>
                <w:color w:val="000000"/>
                <w:spacing w:val="80"/>
                <w:w w:val="33"/>
                <w:sz w:val="20"/>
                <w:szCs w:val="20"/>
                <w:shd w:val="solid" w:color="000000" w:fill="000000"/>
                <w:fitText w:val="120" w:id="-1233442288"/>
                <w:vertAlign w:val="superscript"/>
                <w14:textFill>
                  <w14:solidFill>
                    <w14:srgbClr w14:val="000000">
                      <w14:alpha w14:val="100000"/>
                    </w14:srgbClr>
                  </w14:solidFill>
                </w14:textFill>
              </w:rPr>
              <w:t xml:space="preserve">　</w:t>
            </w:r>
            <w:r w:rsidRPr="00BA039D">
              <w:rPr>
                <w:rFonts w:ascii="Arial Narrow" w:hAnsi="Arial Narrow" w:hint="eastAsia"/>
                <w:iCs/>
                <w:snapToGrid w:val="0"/>
                <w:color w:val="000000"/>
                <w:spacing w:val="37"/>
                <w:w w:val="15"/>
                <w:sz w:val="20"/>
                <w:szCs w:val="20"/>
                <w:shd w:val="solid" w:color="000000" w:fill="000000"/>
                <w:fitText w:val="67" w:id="-1233442304"/>
                <w14:textFill>
                  <w14:solidFill>
                    <w14:srgbClr w14:val="000000">
                      <w14:alpha w14:val="100000"/>
                    </w14:srgbClr>
                  </w14:solidFill>
                </w14:textFill>
              </w:rPr>
              <w:t xml:space="preserve">　</w:t>
            </w:r>
            <w:r w:rsidRPr="00BA039D">
              <w:rPr>
                <w:rFonts w:ascii="Arial Narrow" w:hAnsi="Arial Narrow"/>
                <w:iCs/>
                <w:snapToGrid w:val="0"/>
                <w:color w:val="000000"/>
                <w:spacing w:val="172"/>
                <w:sz w:val="20"/>
                <w:szCs w:val="20"/>
                <w:shd w:val="solid" w:color="000000" w:fill="000000"/>
                <w:fitText w:val="258" w:id="-1233442302"/>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258" w:id="-1233442302"/>
                <w14:textFill>
                  <w14:solidFill>
                    <w14:srgbClr w14:val="000000">
                      <w14:alpha w14:val="100000"/>
                    </w14:srgbClr>
                  </w14:solidFill>
                </w14:textFill>
              </w:rPr>
              <w:t>|</w:t>
            </w:r>
            <w:r w:rsidR="00957EFC">
              <w:rPr>
                <w:rFonts w:ascii="Arial Narrow" w:hAnsi="Arial Narrow"/>
                <w:snapToGrid w:val="0"/>
                <w:sz w:val="20"/>
                <w:szCs w:val="20"/>
                <w:vertAlign w:val="superscript"/>
              </w:rPr>
              <w:t>3</w:t>
            </w:r>
          </w:p>
        </w:tc>
        <w:tc>
          <w:tcPr>
            <w:tcW w:w="839" w:type="dxa"/>
            <w:tcBorders>
              <w:top w:val="single" w:sz="4" w:space="0" w:color="auto"/>
              <w:left w:val="single" w:sz="4" w:space="0" w:color="auto"/>
              <w:bottom w:val="single" w:sz="4" w:space="0" w:color="auto"/>
              <w:right w:val="single" w:sz="4" w:space="0" w:color="auto"/>
            </w:tcBorders>
          </w:tcPr>
          <w:p w14:paraId="3C3C2963" w14:textId="77777777" w:rsidR="00A731F6" w:rsidRPr="00615B0D" w:rsidRDefault="00A731F6" w:rsidP="00615B0D">
            <w:pPr>
              <w:spacing w:after="120"/>
              <w:contextualSpacing/>
              <w:rPr>
                <w:rFonts w:ascii="Arial Narrow" w:hAnsi="Arial Narrow"/>
                <w:iCs/>
                <w:snapToGrid w:val="0"/>
                <w:sz w:val="20"/>
                <w:szCs w:val="20"/>
              </w:rPr>
            </w:pPr>
          </w:p>
          <w:p w14:paraId="6B0C964D"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+4%</w:t>
            </w:r>
          </w:p>
          <w:p w14:paraId="4756540A" w14:textId="3DE9D832" w:rsidR="00A731F6" w:rsidRPr="00615B0D" w:rsidRDefault="00A731F6" w:rsidP="00615B0D">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+10%</w:t>
            </w:r>
          </w:p>
          <w:p w14:paraId="7ADBA230" w14:textId="4F17BCE5" w:rsidR="00A731F6" w:rsidRPr="00615B0D" w:rsidRDefault="00A731F6" w:rsidP="00615B0D">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+3%</w:t>
            </w:r>
          </w:p>
          <w:p w14:paraId="56E9FC94"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+20%</w:t>
            </w:r>
          </w:p>
          <w:p w14:paraId="698B9E64"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-13%</w:t>
            </w:r>
          </w:p>
        </w:tc>
      </w:tr>
      <w:tr w:rsidR="00A731F6" w:rsidRPr="00AD7238" w14:paraId="0FF2C396"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6FA570D3" w14:textId="77777777" w:rsidR="00A731F6" w:rsidRPr="00AD7238" w:rsidRDefault="00A731F6">
            <w:pPr>
              <w:spacing w:after="120"/>
              <w:contextualSpacing/>
              <w:rPr>
                <w:rFonts w:ascii="Arial Narrow" w:hAnsi="Arial Narrow"/>
                <w:snapToGrid w:val="0"/>
                <w:sz w:val="20"/>
                <w:szCs w:val="20"/>
              </w:rPr>
            </w:pPr>
            <w:r w:rsidRPr="00AD7238">
              <w:rPr>
                <w:rFonts w:ascii="Arial Narrow" w:hAnsi="Arial Narrow"/>
                <w:snapToGrid w:val="0"/>
                <w:sz w:val="20"/>
                <w:szCs w:val="20"/>
              </w:rPr>
              <w:t>Costs for hospitalisations (base case Brassel (2022))</w:t>
            </w:r>
          </w:p>
          <w:p w14:paraId="38E652D4" w14:textId="77777777" w:rsidR="00A731F6" w:rsidRPr="00AD7238" w:rsidRDefault="00A731F6" w:rsidP="00D929CC">
            <w:pPr>
              <w:numPr>
                <w:ilvl w:val="0"/>
                <w:numId w:val="29"/>
              </w:numPr>
              <w:spacing w:after="120"/>
              <w:contextualSpacing/>
              <w:rPr>
                <w:rFonts w:ascii="Arial Narrow" w:hAnsi="Arial Narrow"/>
                <w:snapToGrid w:val="0"/>
                <w:sz w:val="20"/>
                <w:szCs w:val="20"/>
              </w:rPr>
            </w:pPr>
            <w:r w:rsidRPr="00AD7238">
              <w:rPr>
                <w:rFonts w:ascii="Arial Narrow" w:hAnsi="Arial Narrow"/>
                <w:snapToGrid w:val="0"/>
                <w:sz w:val="20"/>
                <w:szCs w:val="20"/>
              </w:rPr>
              <w:t>2 x</w:t>
            </w:r>
            <w:r w:rsidRPr="00AD7238">
              <w:rPr>
                <w:rFonts w:ascii="Arial Narrow" w:hAnsi="Arial Narrow"/>
                <w:bCs/>
                <w:snapToGrid w:val="0"/>
                <w:sz w:val="20"/>
                <w:szCs w:val="20"/>
              </w:rPr>
              <w:t xml:space="preserve"> multiplier to </w:t>
            </w:r>
            <w:r w:rsidRPr="00AD7238">
              <w:rPr>
                <w:rFonts w:ascii="Arial Narrow" w:hAnsi="Arial Narrow"/>
                <w:snapToGrid w:val="0"/>
                <w:sz w:val="20"/>
                <w:szCs w:val="20"/>
              </w:rPr>
              <w:t xml:space="preserve">cost of </w:t>
            </w:r>
            <w:r w:rsidRPr="00AD7238">
              <w:rPr>
                <w:rFonts w:ascii="Arial Narrow" w:hAnsi="Arial Narrow"/>
                <w:bCs/>
                <w:snapToGrid w:val="0"/>
                <w:sz w:val="20"/>
                <w:szCs w:val="20"/>
              </w:rPr>
              <w:t>hospitalisation</w:t>
            </w:r>
          </w:p>
          <w:p w14:paraId="77045260" w14:textId="77777777" w:rsidR="00A731F6" w:rsidRPr="00AD7238" w:rsidRDefault="00A731F6" w:rsidP="00D929CC">
            <w:pPr>
              <w:numPr>
                <w:ilvl w:val="0"/>
                <w:numId w:val="29"/>
              </w:numPr>
              <w:spacing w:after="120"/>
              <w:contextualSpacing/>
              <w:rPr>
                <w:rFonts w:ascii="Arial Narrow" w:hAnsi="Arial Narrow"/>
                <w:bCs/>
                <w:i/>
                <w:iCs/>
                <w:snapToGrid w:val="0"/>
                <w:sz w:val="20"/>
                <w:szCs w:val="20"/>
              </w:rPr>
            </w:pPr>
            <w:r w:rsidRPr="00615B0D">
              <w:rPr>
                <w:rFonts w:ascii="Arial Narrow" w:hAnsi="Arial Narrow"/>
                <w:iCs/>
                <w:snapToGrid w:val="0"/>
                <w:sz w:val="20"/>
                <w:szCs w:val="20"/>
              </w:rPr>
              <w:t>0.5 x multiplier to cost of hospitalisation</w:t>
            </w:r>
          </w:p>
        </w:tc>
        <w:tc>
          <w:tcPr>
            <w:tcW w:w="1279" w:type="dxa"/>
            <w:tcBorders>
              <w:top w:val="single" w:sz="4" w:space="0" w:color="auto"/>
              <w:left w:val="single" w:sz="4" w:space="0" w:color="auto"/>
              <w:bottom w:val="single" w:sz="4" w:space="0" w:color="auto"/>
              <w:right w:val="single" w:sz="4" w:space="0" w:color="auto"/>
            </w:tcBorders>
          </w:tcPr>
          <w:p w14:paraId="6BC4C8A3" w14:textId="77777777" w:rsidR="00CB22C2" w:rsidRDefault="00CB22C2">
            <w:pPr>
              <w:spacing w:after="120"/>
              <w:contextualSpacing/>
              <w:jc w:val="center"/>
              <w:rPr>
                <w:rFonts w:ascii="Arial Narrow" w:hAnsi="Arial Narrow"/>
                <w:snapToGrid w:val="0"/>
                <w:sz w:val="20"/>
                <w:szCs w:val="20"/>
                <w:highlight w:val="darkGray"/>
              </w:rPr>
            </w:pPr>
          </w:p>
          <w:p w14:paraId="2306BBE1" w14:textId="2CAC34E6" w:rsidR="00A731F6" w:rsidRPr="00BA039D" w:rsidRDefault="00BA039D">
            <w:pPr>
              <w:spacing w:after="120"/>
              <w:contextualSpacing/>
              <w:jc w:val="center"/>
              <w:rPr>
                <w:rFonts w:ascii="Arial Narrow" w:hAnsi="Arial Narrow"/>
                <w:snapToGrid w:val="0"/>
                <w:sz w:val="20"/>
                <w:szCs w:val="20"/>
              </w:rPr>
            </w:pPr>
            <w:r w:rsidRPr="00BA039D">
              <w:rPr>
                <w:rFonts w:ascii="Arial Narrow" w:hAnsi="Arial Narrow"/>
                <w:snapToGrid w:val="0"/>
                <w:color w:val="000000"/>
                <w:spacing w:val="57"/>
                <w:sz w:val="20"/>
                <w:szCs w:val="20"/>
                <w:shd w:val="solid" w:color="000000" w:fill="000000"/>
                <w:fitText w:val="342" w:id="-1233442301"/>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1"/>
                <w14:textFill>
                  <w14:solidFill>
                    <w14:srgbClr w14:val="000000">
                      <w14:alpha w14:val="100000"/>
                    </w14:srgbClr>
                  </w14:solidFill>
                </w14:textFill>
              </w:rPr>
              <w:t>|</w:t>
            </w:r>
          </w:p>
          <w:p w14:paraId="6E4722DD" w14:textId="17AFF38F" w:rsidR="00CB22C2" w:rsidRPr="00BA039D" w:rsidRDefault="00BA039D">
            <w:pPr>
              <w:spacing w:after="120"/>
              <w:contextualSpacing/>
              <w:jc w:val="center"/>
              <w:rPr>
                <w:rFonts w:ascii="Arial Narrow" w:hAnsi="Arial Narrow"/>
                <w:i/>
                <w:iCs/>
                <w:snapToGrid w:val="0"/>
                <w:sz w:val="20"/>
                <w:szCs w:val="20"/>
              </w:rPr>
            </w:pPr>
            <w:r w:rsidRPr="00BA039D">
              <w:rPr>
                <w:rFonts w:ascii="Arial Narrow" w:hAnsi="Arial Narrow"/>
                <w:snapToGrid w:val="0"/>
                <w:color w:val="000000"/>
                <w:spacing w:val="57"/>
                <w:sz w:val="20"/>
                <w:szCs w:val="20"/>
                <w:shd w:val="solid" w:color="000000" w:fill="000000"/>
                <w:fitText w:val="342" w:id="-1233442300"/>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0"/>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3A115772" w14:textId="77777777" w:rsidR="00A731F6" w:rsidRPr="00AD7238" w:rsidRDefault="00A731F6">
            <w:pPr>
              <w:spacing w:after="120"/>
              <w:contextualSpacing/>
              <w:jc w:val="center"/>
              <w:rPr>
                <w:rFonts w:ascii="Arial Narrow" w:hAnsi="Arial Narrow"/>
                <w:snapToGrid w:val="0"/>
                <w:sz w:val="20"/>
                <w:szCs w:val="20"/>
              </w:rPr>
            </w:pPr>
          </w:p>
          <w:p w14:paraId="46547E44" w14:textId="77777777" w:rsidR="00A731F6" w:rsidRPr="00AD7238" w:rsidRDefault="00A731F6">
            <w:pPr>
              <w:spacing w:after="120"/>
              <w:contextualSpacing/>
              <w:jc w:val="center"/>
              <w:rPr>
                <w:rFonts w:ascii="Arial Narrow" w:hAnsi="Arial Narrow"/>
                <w:snapToGrid w:val="0"/>
                <w:sz w:val="20"/>
                <w:szCs w:val="20"/>
              </w:rPr>
            </w:pPr>
            <w:r w:rsidRPr="00AD7238">
              <w:rPr>
                <w:rFonts w:ascii="Arial Narrow" w:hAnsi="Arial Narrow"/>
                <w:snapToGrid w:val="0"/>
                <w:sz w:val="20"/>
                <w:szCs w:val="20"/>
              </w:rPr>
              <w:t>4,774</w:t>
            </w:r>
          </w:p>
          <w:p w14:paraId="327CC5FA"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4,774</w:t>
            </w:r>
          </w:p>
        </w:tc>
        <w:tc>
          <w:tcPr>
            <w:tcW w:w="992" w:type="dxa"/>
            <w:tcBorders>
              <w:top w:val="single" w:sz="4" w:space="0" w:color="auto"/>
              <w:left w:val="single" w:sz="4" w:space="0" w:color="auto"/>
              <w:bottom w:val="single" w:sz="4" w:space="0" w:color="auto"/>
              <w:right w:val="single" w:sz="4" w:space="0" w:color="auto"/>
            </w:tcBorders>
          </w:tcPr>
          <w:p w14:paraId="6026E368" w14:textId="77777777" w:rsidR="00CB22C2" w:rsidRDefault="00CB22C2">
            <w:pPr>
              <w:spacing w:after="120"/>
              <w:contextualSpacing/>
              <w:jc w:val="center"/>
              <w:rPr>
                <w:rFonts w:ascii="Arial Narrow" w:hAnsi="Arial Narrow"/>
                <w:snapToGrid w:val="0"/>
                <w:sz w:val="20"/>
                <w:szCs w:val="20"/>
                <w:highlight w:val="darkGray"/>
              </w:rPr>
            </w:pPr>
          </w:p>
          <w:p w14:paraId="2DC549B0" w14:textId="77777777" w:rsidR="006C5EC6" w:rsidRDefault="00BA039D">
            <w:pPr>
              <w:spacing w:after="120"/>
              <w:contextualSpacing/>
              <w:jc w:val="center"/>
              <w:rPr>
                <w:rFonts w:ascii="Arial Narrow" w:hAnsi="Arial Narrow"/>
                <w:snapToGrid w:val="0"/>
                <w:sz w:val="20"/>
                <w:szCs w:val="20"/>
                <w:vertAlign w:val="superscript"/>
              </w:rPr>
            </w:pPr>
            <w:r w:rsidRPr="00BA039D">
              <w:rPr>
                <w:rFonts w:ascii="Arial Narrow" w:hAnsi="Arial Narrow"/>
                <w:snapToGrid w:val="0"/>
                <w:color w:val="000000"/>
                <w:spacing w:val="50"/>
                <w:sz w:val="20"/>
                <w:szCs w:val="20"/>
                <w:shd w:val="solid" w:color="000000" w:fill="000000"/>
                <w:fitText w:val="508" w:id="-1233442299"/>
                <w14:textFill>
                  <w14:solidFill>
                    <w14:srgbClr w14:val="000000">
                      <w14:alpha w14:val="100000"/>
                    </w14:srgbClr>
                  </w14:solidFill>
                </w14:textFill>
              </w:rPr>
              <w:t>|||||</w:t>
            </w:r>
            <w:r w:rsidRPr="00BA039D">
              <w:rPr>
                <w:rFonts w:ascii="Arial Narrow" w:hAnsi="Arial Narrow"/>
                <w:snapToGrid w:val="0"/>
                <w:color w:val="000000"/>
                <w:spacing w:val="3"/>
                <w:sz w:val="20"/>
                <w:szCs w:val="20"/>
                <w:shd w:val="solid" w:color="000000" w:fill="000000"/>
                <w:fitText w:val="508" w:id="-1233442299"/>
                <w14:textFill>
                  <w14:solidFill>
                    <w14:srgbClr w14:val="000000">
                      <w14:alpha w14:val="100000"/>
                    </w14:srgbClr>
                  </w14:solidFill>
                </w14:textFill>
              </w:rPr>
              <w:t>|</w:t>
            </w:r>
            <w:r w:rsidR="00957EFC">
              <w:rPr>
                <w:rFonts w:ascii="Arial Narrow" w:hAnsi="Arial Narrow"/>
                <w:snapToGrid w:val="0"/>
                <w:sz w:val="20"/>
                <w:szCs w:val="20"/>
                <w:vertAlign w:val="superscript"/>
              </w:rPr>
              <w:t>3</w:t>
            </w:r>
          </w:p>
          <w:p w14:paraId="6B12B9B9" w14:textId="5E3B8E0C" w:rsidR="00A731F6" w:rsidRPr="002D73B8" w:rsidRDefault="00BA039D">
            <w:pPr>
              <w:spacing w:after="120"/>
              <w:contextualSpacing/>
              <w:jc w:val="center"/>
              <w:rPr>
                <w:rFonts w:ascii="Arial Narrow" w:hAnsi="Arial Narrow"/>
                <w:i/>
                <w:iCs/>
                <w:snapToGrid w:val="0"/>
                <w:sz w:val="20"/>
                <w:szCs w:val="20"/>
                <w:highlight w:val="darkGray"/>
              </w:rPr>
            </w:pPr>
            <w:r w:rsidRPr="00BA039D">
              <w:rPr>
                <w:rFonts w:ascii="Arial Narrow" w:hAnsi="Arial Narrow" w:hint="eastAsia"/>
                <w:snapToGrid w:val="0"/>
                <w:color w:val="000000"/>
                <w:spacing w:val="41"/>
                <w:w w:val="16"/>
                <w:sz w:val="20"/>
                <w:szCs w:val="20"/>
                <w:shd w:val="solid" w:color="000000" w:fill="000000"/>
                <w:fitText w:val="60" w:id="-1233442298"/>
                <w:vertAlign w:val="superscript"/>
                <w14:textFill>
                  <w14:solidFill>
                    <w14:srgbClr w14:val="000000">
                      <w14:alpha w14:val="100000"/>
                    </w14:srgbClr>
                  </w14:solidFill>
                </w14:textFill>
              </w:rPr>
              <w:t xml:space="preserve">　</w:t>
            </w:r>
            <w:r w:rsidRPr="00BA039D">
              <w:rPr>
                <w:rFonts w:ascii="Arial Narrow" w:hAnsi="Arial Narrow" w:hint="eastAsia"/>
                <w:snapToGrid w:val="0"/>
                <w:color w:val="000000"/>
                <w:w w:val="15"/>
                <w:sz w:val="20"/>
                <w:szCs w:val="20"/>
                <w:shd w:val="solid" w:color="000000" w:fill="000000"/>
                <w:fitText w:val="34" w:id="-1233442297"/>
                <w14:textFill>
                  <w14:solidFill>
                    <w14:srgbClr w14:val="000000">
                      <w14:alpha w14:val="100000"/>
                    </w14:srgbClr>
                  </w14:solidFill>
                </w14:textFill>
              </w:rPr>
              <w:t xml:space="preserve">　</w:t>
            </w:r>
            <w:r w:rsidRPr="00BA039D">
              <w:rPr>
                <w:rFonts w:ascii="Arial Narrow" w:hAnsi="Arial Narrow" w:hint="eastAsia"/>
                <w:snapToGrid w:val="0"/>
                <w:color w:val="000000"/>
                <w:spacing w:val="66"/>
                <w:w w:val="27"/>
                <w:sz w:val="20"/>
                <w:szCs w:val="20"/>
                <w:shd w:val="solid" w:color="000000" w:fill="000000"/>
                <w:fitText w:val="120" w:id="-1233442296"/>
                <w14:textFill>
                  <w14:solidFill>
                    <w14:srgbClr w14:val="000000">
                      <w14:alpha w14:val="100000"/>
                    </w14:srgbClr>
                  </w14:solidFill>
                </w14:textFill>
              </w:rPr>
              <w:t xml:space="preserve">　</w:t>
            </w:r>
            <w:r w:rsidRPr="00BA039D">
              <w:rPr>
                <w:rFonts w:ascii="Arial Narrow" w:hAnsi="Arial Narrow"/>
                <w:snapToGrid w:val="0"/>
                <w:color w:val="000000"/>
                <w:spacing w:val="154"/>
                <w:sz w:val="20"/>
                <w:szCs w:val="20"/>
                <w:shd w:val="solid" w:color="000000" w:fill="000000"/>
                <w:fitText w:val="240" w:id="-1233442295"/>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240" w:id="-1233442295"/>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486BDE26" w14:textId="77777777" w:rsidR="00A731F6" w:rsidRPr="00615B0D" w:rsidRDefault="00A731F6">
            <w:pPr>
              <w:spacing w:after="120"/>
              <w:contextualSpacing/>
              <w:jc w:val="center"/>
              <w:rPr>
                <w:rFonts w:ascii="Arial Narrow" w:hAnsi="Arial Narrow"/>
                <w:iCs/>
                <w:snapToGrid w:val="0"/>
                <w:sz w:val="20"/>
                <w:szCs w:val="20"/>
              </w:rPr>
            </w:pPr>
          </w:p>
          <w:p w14:paraId="6D364007" w14:textId="77777777" w:rsidR="00A731F6" w:rsidRPr="00615B0D" w:rsidRDefault="00A731F6">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-17%</w:t>
            </w:r>
          </w:p>
          <w:p w14:paraId="55433FC8" w14:textId="77777777" w:rsidR="00A731F6" w:rsidRPr="00AD7238" w:rsidRDefault="00A731F6">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+5%</w:t>
            </w:r>
          </w:p>
        </w:tc>
      </w:tr>
      <w:tr w:rsidR="001637E5" w:rsidRPr="00AD7238" w14:paraId="530BAE92"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50AAD915" w14:textId="77777777" w:rsidR="001637E5" w:rsidRPr="00615B0D" w:rsidRDefault="001637E5" w:rsidP="001637E5">
            <w:pPr>
              <w:spacing w:after="120"/>
              <w:contextualSpacing/>
              <w:rPr>
                <w:rFonts w:ascii="Arial Narrow" w:hAnsi="Arial Narrow"/>
                <w:iCs/>
                <w:snapToGrid w:val="0"/>
                <w:sz w:val="20"/>
                <w:szCs w:val="20"/>
              </w:rPr>
            </w:pPr>
            <w:r w:rsidRPr="00615B0D">
              <w:rPr>
                <w:rFonts w:ascii="Arial Narrow" w:hAnsi="Arial Narrow"/>
                <w:iCs/>
                <w:snapToGrid w:val="0"/>
                <w:sz w:val="20"/>
                <w:szCs w:val="20"/>
              </w:rPr>
              <w:t>2nd dose adherence (base case 80.3%)</w:t>
            </w:r>
          </w:p>
          <w:p w14:paraId="4556E986" w14:textId="77777777" w:rsidR="001637E5" w:rsidRPr="00615B0D" w:rsidRDefault="001637E5" w:rsidP="00D5557B">
            <w:pPr>
              <w:keepNext/>
              <w:numPr>
                <w:ilvl w:val="0"/>
                <w:numId w:val="17"/>
              </w:numPr>
              <w:rPr>
                <w:rFonts w:ascii="Arial Narrow" w:hAnsi="Arial Narrow"/>
                <w:iCs/>
                <w:snapToGrid w:val="0"/>
                <w:sz w:val="20"/>
                <w:szCs w:val="20"/>
              </w:rPr>
            </w:pPr>
            <w:r w:rsidRPr="00615B0D">
              <w:rPr>
                <w:rFonts w:ascii="Arial Narrow" w:hAnsi="Arial Narrow"/>
                <w:iCs/>
                <w:snapToGrid w:val="0"/>
                <w:sz w:val="20"/>
                <w:szCs w:val="20"/>
              </w:rPr>
              <w:t>78%</w:t>
            </w:r>
          </w:p>
          <w:p w14:paraId="7F8BD1BA" w14:textId="32498CED" w:rsidR="001637E5" w:rsidRPr="00AD7238" w:rsidRDefault="001637E5" w:rsidP="00C262E9">
            <w:pPr>
              <w:pStyle w:val="ListParagraph"/>
              <w:numPr>
                <w:ilvl w:val="0"/>
                <w:numId w:val="17"/>
              </w:numPr>
              <w:spacing w:after="0"/>
              <w:contextualSpacing/>
              <w:rPr>
                <w:rFonts w:ascii="Arial Narrow" w:hAnsi="Arial Narrow"/>
                <w:i/>
                <w:iCs/>
                <w:sz w:val="20"/>
                <w:szCs w:val="20"/>
              </w:rPr>
            </w:pPr>
            <w:r w:rsidRPr="00615B0D">
              <w:rPr>
                <w:rFonts w:ascii="Arial Narrow" w:hAnsi="Arial Narrow"/>
                <w:iCs/>
                <w:sz w:val="20"/>
                <w:szCs w:val="20"/>
              </w:rPr>
              <w:t>65%</w:t>
            </w:r>
          </w:p>
        </w:tc>
        <w:tc>
          <w:tcPr>
            <w:tcW w:w="1279" w:type="dxa"/>
            <w:tcBorders>
              <w:top w:val="single" w:sz="4" w:space="0" w:color="auto"/>
              <w:left w:val="single" w:sz="4" w:space="0" w:color="auto"/>
              <w:bottom w:val="single" w:sz="4" w:space="0" w:color="auto"/>
              <w:right w:val="single" w:sz="4" w:space="0" w:color="auto"/>
            </w:tcBorders>
          </w:tcPr>
          <w:p w14:paraId="41B2A9A9" w14:textId="77777777" w:rsidR="00CB22C2" w:rsidRDefault="00CB22C2" w:rsidP="001637E5">
            <w:pPr>
              <w:spacing w:after="120"/>
              <w:contextualSpacing/>
              <w:jc w:val="center"/>
              <w:rPr>
                <w:rFonts w:ascii="Arial Narrow" w:hAnsi="Arial Narrow"/>
                <w:iCs/>
                <w:snapToGrid w:val="0"/>
                <w:sz w:val="20"/>
                <w:szCs w:val="20"/>
                <w:highlight w:val="darkGray"/>
              </w:rPr>
            </w:pPr>
          </w:p>
          <w:p w14:paraId="375A2633" w14:textId="3B924637" w:rsidR="001637E5" w:rsidRPr="00BA039D" w:rsidRDefault="00BA039D" w:rsidP="001637E5">
            <w:pPr>
              <w:spacing w:after="120"/>
              <w:contextualSpacing/>
              <w:jc w:val="center"/>
              <w:rPr>
                <w:rFonts w:ascii="Arial Narrow" w:hAnsi="Arial Narrow"/>
                <w:iCs/>
                <w:snapToGrid w:val="0"/>
                <w:sz w:val="20"/>
                <w:szCs w:val="20"/>
              </w:rPr>
            </w:pPr>
            <w:r w:rsidRPr="00BA039D">
              <w:rPr>
                <w:rFonts w:ascii="Arial Narrow" w:hAnsi="Arial Narrow"/>
                <w:iCs/>
                <w:snapToGrid w:val="0"/>
                <w:color w:val="000000"/>
                <w:spacing w:val="57"/>
                <w:sz w:val="20"/>
                <w:szCs w:val="20"/>
                <w:shd w:val="solid" w:color="000000" w:fill="000000"/>
                <w:fitText w:val="342" w:id="-1233442294"/>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342" w:id="-1233442294"/>
                <w14:textFill>
                  <w14:solidFill>
                    <w14:srgbClr w14:val="000000">
                      <w14:alpha w14:val="100000"/>
                    </w14:srgbClr>
                  </w14:solidFill>
                </w14:textFill>
              </w:rPr>
              <w:t>|</w:t>
            </w:r>
          </w:p>
          <w:p w14:paraId="31F9D098" w14:textId="10DCEF53" w:rsidR="00CB22C2" w:rsidRPr="00BA039D" w:rsidRDefault="00BA039D" w:rsidP="001637E5">
            <w:pPr>
              <w:spacing w:after="120"/>
              <w:contextualSpacing/>
              <w:jc w:val="center"/>
              <w:rPr>
                <w:rFonts w:ascii="Arial Narrow" w:hAnsi="Arial Narrow"/>
                <w:i/>
                <w:iCs/>
                <w:snapToGrid w:val="0"/>
                <w:sz w:val="20"/>
                <w:szCs w:val="20"/>
              </w:rPr>
            </w:pPr>
            <w:r w:rsidRPr="00BA039D">
              <w:rPr>
                <w:rFonts w:ascii="Arial Narrow" w:hAnsi="Arial Narrow"/>
                <w:snapToGrid w:val="0"/>
                <w:color w:val="000000"/>
                <w:spacing w:val="57"/>
                <w:sz w:val="20"/>
                <w:szCs w:val="20"/>
                <w:shd w:val="solid" w:color="000000" w:fill="000000"/>
                <w:fitText w:val="342" w:id="-1233442293"/>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293"/>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2C9638CF" w14:textId="77777777" w:rsidR="001637E5" w:rsidRPr="00615B0D" w:rsidRDefault="001637E5" w:rsidP="001637E5">
            <w:pPr>
              <w:spacing w:after="120"/>
              <w:contextualSpacing/>
              <w:jc w:val="center"/>
              <w:rPr>
                <w:rFonts w:ascii="Arial Narrow" w:hAnsi="Arial Narrow"/>
                <w:iCs/>
                <w:snapToGrid w:val="0"/>
                <w:sz w:val="20"/>
                <w:szCs w:val="20"/>
              </w:rPr>
            </w:pPr>
          </w:p>
          <w:p w14:paraId="1A0E3372" w14:textId="77777777" w:rsidR="001637E5" w:rsidRPr="00615B0D" w:rsidRDefault="001637E5" w:rsidP="001637E5">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4,726</w:t>
            </w:r>
          </w:p>
          <w:p w14:paraId="57C43328" w14:textId="2DD85284" w:rsidR="001637E5" w:rsidRPr="00AD7238" w:rsidRDefault="001637E5" w:rsidP="001637E5">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4,457</w:t>
            </w:r>
          </w:p>
        </w:tc>
        <w:tc>
          <w:tcPr>
            <w:tcW w:w="992" w:type="dxa"/>
            <w:tcBorders>
              <w:top w:val="single" w:sz="4" w:space="0" w:color="auto"/>
              <w:left w:val="single" w:sz="4" w:space="0" w:color="auto"/>
              <w:bottom w:val="single" w:sz="4" w:space="0" w:color="auto"/>
              <w:right w:val="single" w:sz="4" w:space="0" w:color="auto"/>
            </w:tcBorders>
          </w:tcPr>
          <w:p w14:paraId="3A98998E" w14:textId="77777777" w:rsidR="00CB22C2" w:rsidRDefault="00CB22C2" w:rsidP="001637E5">
            <w:pPr>
              <w:spacing w:after="120"/>
              <w:contextualSpacing/>
              <w:jc w:val="center"/>
              <w:rPr>
                <w:rFonts w:ascii="Arial Narrow" w:hAnsi="Arial Narrow"/>
                <w:iCs/>
                <w:snapToGrid w:val="0"/>
                <w:sz w:val="20"/>
                <w:szCs w:val="20"/>
                <w:highlight w:val="darkGray"/>
              </w:rPr>
            </w:pPr>
          </w:p>
          <w:p w14:paraId="55B1EC3C" w14:textId="77777777" w:rsidR="006C5EC6" w:rsidRDefault="00BA039D" w:rsidP="001637E5">
            <w:pPr>
              <w:spacing w:after="120"/>
              <w:contextualSpacing/>
              <w:jc w:val="center"/>
              <w:rPr>
                <w:rFonts w:ascii="Arial Narrow" w:hAnsi="Arial Narrow"/>
                <w:snapToGrid w:val="0"/>
                <w:sz w:val="20"/>
                <w:szCs w:val="20"/>
                <w:vertAlign w:val="superscript"/>
              </w:rPr>
            </w:pPr>
            <w:r w:rsidRPr="00BA039D">
              <w:rPr>
                <w:rFonts w:ascii="Arial Narrow" w:hAnsi="Arial Narrow"/>
                <w:iCs/>
                <w:snapToGrid w:val="0"/>
                <w:color w:val="000000"/>
                <w:spacing w:val="50"/>
                <w:sz w:val="20"/>
                <w:szCs w:val="20"/>
                <w:shd w:val="solid" w:color="000000" w:fill="000000"/>
                <w:fitText w:val="508" w:id="-1233442292"/>
                <w14:textFill>
                  <w14:solidFill>
                    <w14:srgbClr w14:val="000000">
                      <w14:alpha w14:val="100000"/>
                    </w14:srgbClr>
                  </w14:solidFill>
                </w14:textFill>
              </w:rPr>
              <w:t>|||||</w:t>
            </w:r>
            <w:r w:rsidRPr="00BA039D">
              <w:rPr>
                <w:rFonts w:ascii="Arial Narrow" w:hAnsi="Arial Narrow"/>
                <w:iCs/>
                <w:snapToGrid w:val="0"/>
                <w:color w:val="000000"/>
                <w:spacing w:val="3"/>
                <w:sz w:val="20"/>
                <w:szCs w:val="20"/>
                <w:shd w:val="solid" w:color="000000" w:fill="000000"/>
                <w:fitText w:val="508" w:id="-1233442292"/>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p w14:paraId="1CEB5A81" w14:textId="04A8AAED" w:rsidR="001637E5" w:rsidRPr="002D73B8" w:rsidRDefault="00BA039D" w:rsidP="001637E5">
            <w:pPr>
              <w:spacing w:after="120"/>
              <w:contextualSpacing/>
              <w:jc w:val="center"/>
              <w:rPr>
                <w:rFonts w:ascii="Arial Narrow" w:hAnsi="Arial Narrow"/>
                <w:i/>
                <w:iCs/>
                <w:snapToGrid w:val="0"/>
                <w:sz w:val="20"/>
                <w:szCs w:val="20"/>
                <w:highlight w:val="darkGray"/>
              </w:rPr>
            </w:pPr>
            <w:r w:rsidRPr="00BA039D">
              <w:rPr>
                <w:rFonts w:ascii="Arial Narrow" w:hAnsi="Arial Narrow" w:hint="eastAsia"/>
                <w:snapToGrid w:val="0"/>
                <w:color w:val="000000"/>
                <w:spacing w:val="41"/>
                <w:w w:val="16"/>
                <w:sz w:val="20"/>
                <w:szCs w:val="20"/>
                <w:shd w:val="solid" w:color="000000" w:fill="000000"/>
                <w:fitText w:val="60" w:id="-1233442291"/>
                <w:vertAlign w:val="superscript"/>
                <w14:textFill>
                  <w14:solidFill>
                    <w14:srgbClr w14:val="000000">
                      <w14:alpha w14:val="100000"/>
                    </w14:srgbClr>
                  </w14:solidFill>
                </w14:textFill>
              </w:rPr>
              <w:t xml:space="preserve">　</w:t>
            </w:r>
            <w:r w:rsidRPr="00BA039D">
              <w:rPr>
                <w:rFonts w:ascii="Arial Narrow" w:hAnsi="Arial Narrow" w:hint="eastAsia"/>
                <w:iCs/>
                <w:snapToGrid w:val="0"/>
                <w:color w:val="000000"/>
                <w:w w:val="15"/>
                <w:sz w:val="20"/>
                <w:szCs w:val="20"/>
                <w:shd w:val="solid" w:color="000000" w:fill="000000"/>
                <w:fitText w:val="34" w:id="-1233442290"/>
                <w14:textFill>
                  <w14:solidFill>
                    <w14:srgbClr w14:val="000000">
                      <w14:alpha w14:val="100000"/>
                    </w14:srgbClr>
                  </w14:solidFill>
                </w14:textFill>
              </w:rPr>
              <w:t xml:space="preserve">　</w:t>
            </w:r>
            <w:r w:rsidRPr="00BA039D">
              <w:rPr>
                <w:rFonts w:ascii="Arial Narrow" w:hAnsi="Arial Narrow" w:hint="eastAsia"/>
                <w:iCs/>
                <w:snapToGrid w:val="0"/>
                <w:color w:val="000000"/>
                <w:spacing w:val="66"/>
                <w:w w:val="27"/>
                <w:sz w:val="20"/>
                <w:szCs w:val="20"/>
                <w:shd w:val="solid" w:color="000000" w:fill="000000"/>
                <w:fitText w:val="120" w:id="-1233442289"/>
                <w14:textFill>
                  <w14:solidFill>
                    <w14:srgbClr w14:val="000000">
                      <w14:alpha w14:val="100000"/>
                    </w14:srgbClr>
                  </w14:solidFill>
                </w14:textFill>
              </w:rPr>
              <w:t xml:space="preserve">　</w:t>
            </w:r>
            <w:r w:rsidRPr="00BA039D">
              <w:rPr>
                <w:rFonts w:ascii="Arial Narrow" w:hAnsi="Arial Narrow"/>
                <w:iCs/>
                <w:snapToGrid w:val="0"/>
                <w:color w:val="000000"/>
                <w:spacing w:val="154"/>
                <w:sz w:val="20"/>
                <w:szCs w:val="20"/>
                <w:shd w:val="solid" w:color="000000" w:fill="000000"/>
                <w:fitText w:val="240" w:id="-1233442288"/>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240" w:id="-1233442288"/>
                <w14:textFill>
                  <w14:solidFill>
                    <w14:srgbClr w14:val="000000">
                      <w14:alpha w14:val="100000"/>
                    </w14:srgbClr>
                  </w14:solidFill>
                </w14:textFill>
              </w:rPr>
              <w:t>|</w:t>
            </w:r>
            <w:r w:rsidR="00957EFC" w:rsidRPr="002D73B8">
              <w:rPr>
                <w:rFonts w:ascii="Arial Narrow" w:hAnsi="Arial Narrow"/>
                <w:snapToGrid w:val="0"/>
                <w:sz w:val="20"/>
                <w:szCs w:val="20"/>
                <w:vertAlign w:val="superscript"/>
              </w:rPr>
              <w:t>1</w:t>
            </w:r>
          </w:p>
        </w:tc>
        <w:tc>
          <w:tcPr>
            <w:tcW w:w="839" w:type="dxa"/>
            <w:tcBorders>
              <w:top w:val="single" w:sz="4" w:space="0" w:color="auto"/>
              <w:left w:val="single" w:sz="4" w:space="0" w:color="auto"/>
              <w:bottom w:val="single" w:sz="4" w:space="0" w:color="auto"/>
              <w:right w:val="single" w:sz="4" w:space="0" w:color="auto"/>
            </w:tcBorders>
          </w:tcPr>
          <w:p w14:paraId="4C8FB5C1" w14:textId="77777777" w:rsidR="001637E5" w:rsidRPr="00615B0D" w:rsidRDefault="001637E5" w:rsidP="001637E5">
            <w:pPr>
              <w:spacing w:after="120"/>
              <w:contextualSpacing/>
              <w:jc w:val="center"/>
              <w:rPr>
                <w:rFonts w:ascii="Arial Narrow" w:hAnsi="Arial Narrow"/>
                <w:iCs/>
                <w:snapToGrid w:val="0"/>
                <w:sz w:val="20"/>
                <w:szCs w:val="20"/>
              </w:rPr>
            </w:pPr>
          </w:p>
          <w:p w14:paraId="403C80CF" w14:textId="77777777" w:rsidR="001637E5" w:rsidRPr="00615B0D" w:rsidRDefault="001637E5" w:rsidP="001637E5">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0%</w:t>
            </w:r>
          </w:p>
          <w:p w14:paraId="0BFBB998" w14:textId="6C265AEA" w:rsidR="001637E5" w:rsidRPr="00AD7238" w:rsidRDefault="001637E5" w:rsidP="001637E5">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-2%</w:t>
            </w:r>
          </w:p>
        </w:tc>
      </w:tr>
      <w:tr w:rsidR="001637E5" w:rsidRPr="00AD7238" w14:paraId="53BFA814" w14:textId="77777777" w:rsidTr="00615B0D">
        <w:trPr>
          <w:tblHeader/>
        </w:trPr>
        <w:tc>
          <w:tcPr>
            <w:tcW w:w="4673" w:type="dxa"/>
            <w:tcBorders>
              <w:top w:val="single" w:sz="4" w:space="0" w:color="auto"/>
              <w:left w:val="single" w:sz="4" w:space="0" w:color="auto"/>
              <w:bottom w:val="single" w:sz="4" w:space="0" w:color="auto"/>
              <w:right w:val="single" w:sz="4" w:space="0" w:color="auto"/>
            </w:tcBorders>
          </w:tcPr>
          <w:p w14:paraId="6F46027E" w14:textId="77777777" w:rsidR="001637E5" w:rsidRPr="00615B0D" w:rsidRDefault="001637E5" w:rsidP="001637E5">
            <w:pPr>
              <w:spacing w:after="120"/>
              <w:contextualSpacing/>
              <w:rPr>
                <w:rFonts w:ascii="Arial Narrow" w:hAnsi="Arial Narrow"/>
                <w:iCs/>
                <w:snapToGrid w:val="0"/>
                <w:sz w:val="20"/>
                <w:szCs w:val="20"/>
              </w:rPr>
            </w:pPr>
            <w:r w:rsidRPr="00615B0D">
              <w:rPr>
                <w:rFonts w:ascii="Arial Narrow" w:hAnsi="Arial Narrow"/>
                <w:iCs/>
                <w:snapToGrid w:val="0"/>
                <w:sz w:val="20"/>
                <w:szCs w:val="20"/>
              </w:rPr>
              <w:t>QALY loss (for HZ &amp; HZ with PHN) (base case Gater 2014, Serpell 2014, Curran 2017)</w:t>
            </w:r>
          </w:p>
          <w:p w14:paraId="6BDA9408" w14:textId="77777777" w:rsidR="001637E5" w:rsidRPr="00615B0D" w:rsidRDefault="001637E5" w:rsidP="00D5557B">
            <w:pPr>
              <w:keepNext/>
              <w:numPr>
                <w:ilvl w:val="0"/>
                <w:numId w:val="18"/>
              </w:numPr>
              <w:rPr>
                <w:rFonts w:ascii="Arial Narrow" w:hAnsi="Arial Narrow"/>
                <w:iCs/>
                <w:snapToGrid w:val="0"/>
                <w:sz w:val="20"/>
                <w:szCs w:val="20"/>
              </w:rPr>
            </w:pPr>
            <w:r w:rsidRPr="00615B0D">
              <w:rPr>
                <w:rFonts w:ascii="Arial Narrow" w:hAnsi="Arial Narrow"/>
                <w:bCs/>
                <w:iCs/>
                <w:snapToGrid w:val="0"/>
                <w:sz w:val="20"/>
              </w:rPr>
              <w:t>Upper 95% confidence interval</w:t>
            </w:r>
          </w:p>
          <w:p w14:paraId="3B6DE547" w14:textId="77777777" w:rsidR="001637E5" w:rsidRPr="00AD7238" w:rsidRDefault="001637E5" w:rsidP="00D5557B">
            <w:pPr>
              <w:keepNext/>
              <w:numPr>
                <w:ilvl w:val="0"/>
                <w:numId w:val="18"/>
              </w:numPr>
              <w:rPr>
                <w:rFonts w:ascii="Arial Narrow" w:hAnsi="Arial Narrow"/>
                <w:i/>
                <w:iCs/>
                <w:snapToGrid w:val="0"/>
                <w:sz w:val="20"/>
                <w:szCs w:val="20"/>
              </w:rPr>
            </w:pPr>
            <w:r w:rsidRPr="00615B0D">
              <w:rPr>
                <w:rFonts w:ascii="Arial Narrow" w:hAnsi="Arial Narrow"/>
                <w:bCs/>
                <w:iCs/>
                <w:snapToGrid w:val="0"/>
                <w:sz w:val="20"/>
              </w:rPr>
              <w:t>Lower 95% confidence interval</w:t>
            </w:r>
          </w:p>
        </w:tc>
        <w:tc>
          <w:tcPr>
            <w:tcW w:w="1279" w:type="dxa"/>
            <w:tcBorders>
              <w:top w:val="single" w:sz="4" w:space="0" w:color="auto"/>
              <w:left w:val="single" w:sz="4" w:space="0" w:color="auto"/>
              <w:bottom w:val="single" w:sz="4" w:space="0" w:color="auto"/>
              <w:right w:val="single" w:sz="4" w:space="0" w:color="auto"/>
            </w:tcBorders>
          </w:tcPr>
          <w:p w14:paraId="56FDBE7D" w14:textId="77777777" w:rsidR="00CB22C2" w:rsidRDefault="00CB22C2" w:rsidP="001637E5">
            <w:pPr>
              <w:spacing w:after="120"/>
              <w:contextualSpacing/>
              <w:jc w:val="center"/>
              <w:rPr>
                <w:rFonts w:ascii="Arial Narrow" w:hAnsi="Arial Narrow"/>
                <w:iCs/>
                <w:snapToGrid w:val="0"/>
                <w:sz w:val="20"/>
                <w:szCs w:val="20"/>
                <w:highlight w:val="darkGray"/>
              </w:rPr>
            </w:pPr>
          </w:p>
          <w:p w14:paraId="09CEDC31" w14:textId="77777777" w:rsidR="00CB22C2" w:rsidRDefault="00CB22C2" w:rsidP="001637E5">
            <w:pPr>
              <w:spacing w:after="120"/>
              <w:contextualSpacing/>
              <w:jc w:val="center"/>
              <w:rPr>
                <w:rFonts w:ascii="Arial Narrow" w:hAnsi="Arial Narrow"/>
                <w:iCs/>
                <w:snapToGrid w:val="0"/>
                <w:sz w:val="20"/>
                <w:szCs w:val="20"/>
                <w:highlight w:val="darkGray"/>
              </w:rPr>
            </w:pPr>
          </w:p>
          <w:p w14:paraId="7DE8ED28" w14:textId="1650C59B" w:rsidR="001637E5" w:rsidRPr="00BA039D" w:rsidRDefault="00BA039D" w:rsidP="001637E5">
            <w:pPr>
              <w:spacing w:after="120"/>
              <w:contextualSpacing/>
              <w:jc w:val="center"/>
              <w:rPr>
                <w:rFonts w:ascii="Arial Narrow" w:hAnsi="Arial Narrow"/>
                <w:iCs/>
                <w:snapToGrid w:val="0"/>
                <w:sz w:val="20"/>
                <w:szCs w:val="20"/>
              </w:rPr>
            </w:pPr>
            <w:r w:rsidRPr="00BA039D">
              <w:rPr>
                <w:rFonts w:ascii="Arial Narrow" w:hAnsi="Arial Narrow"/>
                <w:iCs/>
                <w:snapToGrid w:val="0"/>
                <w:color w:val="000000"/>
                <w:spacing w:val="57"/>
                <w:sz w:val="20"/>
                <w:szCs w:val="20"/>
                <w:shd w:val="solid" w:color="000000" w:fill="000000"/>
                <w:fitText w:val="342" w:id="-1233442304"/>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342" w:id="-1233442304"/>
                <w14:textFill>
                  <w14:solidFill>
                    <w14:srgbClr w14:val="000000">
                      <w14:alpha w14:val="100000"/>
                    </w14:srgbClr>
                  </w14:solidFill>
                </w14:textFill>
              </w:rPr>
              <w:t>|</w:t>
            </w:r>
          </w:p>
          <w:p w14:paraId="4ECB7DF1" w14:textId="039F1574" w:rsidR="00CB22C2" w:rsidRPr="00BA039D" w:rsidRDefault="00BA039D" w:rsidP="001637E5">
            <w:pPr>
              <w:spacing w:after="120"/>
              <w:contextualSpacing/>
              <w:jc w:val="center"/>
              <w:rPr>
                <w:rFonts w:ascii="Arial Narrow" w:hAnsi="Arial Narrow"/>
                <w:i/>
                <w:iCs/>
                <w:snapToGrid w:val="0"/>
                <w:sz w:val="20"/>
                <w:szCs w:val="20"/>
              </w:rPr>
            </w:pPr>
            <w:r w:rsidRPr="00BA039D">
              <w:rPr>
                <w:rFonts w:ascii="Arial Narrow" w:hAnsi="Arial Narrow"/>
                <w:snapToGrid w:val="0"/>
                <w:color w:val="000000"/>
                <w:spacing w:val="57"/>
                <w:sz w:val="20"/>
                <w:szCs w:val="20"/>
                <w:shd w:val="solid" w:color="000000" w:fill="000000"/>
                <w:fitText w:val="342" w:id="-1233442303"/>
                <w14:textFill>
                  <w14:solidFill>
                    <w14:srgbClr w14:val="000000">
                      <w14:alpha w14:val="100000"/>
                    </w14:srgbClr>
                  </w14:solidFill>
                </w14:textFill>
              </w:rPr>
              <w:t>|||</w:t>
            </w:r>
            <w:r w:rsidRPr="00BA039D">
              <w:rPr>
                <w:rFonts w:ascii="Arial Narrow" w:hAnsi="Arial Narrow"/>
                <w:snapToGrid w:val="0"/>
                <w:color w:val="000000"/>
                <w:spacing w:val="1"/>
                <w:sz w:val="20"/>
                <w:szCs w:val="20"/>
                <w:shd w:val="solid" w:color="000000" w:fill="000000"/>
                <w:fitText w:val="342" w:id="-1233442303"/>
                <w14:textFill>
                  <w14:solidFill>
                    <w14:srgbClr w14:val="000000">
                      <w14:alpha w14:val="100000"/>
                    </w14:srgbClr>
                  </w14:solidFill>
                </w14:textFill>
              </w:rPr>
              <w:t>|</w:t>
            </w:r>
          </w:p>
        </w:tc>
        <w:tc>
          <w:tcPr>
            <w:tcW w:w="1273" w:type="dxa"/>
            <w:tcBorders>
              <w:top w:val="single" w:sz="4" w:space="0" w:color="auto"/>
              <w:left w:val="single" w:sz="4" w:space="0" w:color="auto"/>
              <w:bottom w:val="single" w:sz="4" w:space="0" w:color="auto"/>
              <w:right w:val="single" w:sz="4" w:space="0" w:color="auto"/>
            </w:tcBorders>
          </w:tcPr>
          <w:p w14:paraId="6FAB65DB" w14:textId="77777777" w:rsidR="001637E5" w:rsidRPr="00615B0D" w:rsidRDefault="001637E5" w:rsidP="001637E5">
            <w:pPr>
              <w:spacing w:after="120"/>
              <w:contextualSpacing/>
              <w:jc w:val="center"/>
              <w:rPr>
                <w:rFonts w:ascii="Arial Narrow" w:hAnsi="Arial Narrow"/>
                <w:iCs/>
                <w:snapToGrid w:val="0"/>
                <w:sz w:val="20"/>
                <w:szCs w:val="20"/>
              </w:rPr>
            </w:pPr>
          </w:p>
          <w:p w14:paraId="1D6F8490" w14:textId="77777777" w:rsidR="001637E5" w:rsidRPr="00615B0D" w:rsidRDefault="001637E5" w:rsidP="001637E5">
            <w:pPr>
              <w:spacing w:after="120"/>
              <w:contextualSpacing/>
              <w:jc w:val="center"/>
              <w:rPr>
                <w:rFonts w:ascii="Arial Narrow" w:hAnsi="Arial Narrow"/>
                <w:iCs/>
                <w:snapToGrid w:val="0"/>
                <w:sz w:val="20"/>
                <w:szCs w:val="20"/>
              </w:rPr>
            </w:pPr>
          </w:p>
          <w:p w14:paraId="5A3D417B" w14:textId="77777777" w:rsidR="001637E5" w:rsidRPr="00615B0D" w:rsidRDefault="001637E5" w:rsidP="001637E5">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10,575</w:t>
            </w:r>
          </w:p>
          <w:p w14:paraId="7B05FC39" w14:textId="77777777" w:rsidR="001637E5" w:rsidRPr="00AD7238" w:rsidRDefault="001637E5" w:rsidP="001637E5">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2,581</w:t>
            </w:r>
          </w:p>
        </w:tc>
        <w:tc>
          <w:tcPr>
            <w:tcW w:w="992" w:type="dxa"/>
            <w:tcBorders>
              <w:top w:val="single" w:sz="4" w:space="0" w:color="auto"/>
              <w:left w:val="single" w:sz="4" w:space="0" w:color="auto"/>
              <w:bottom w:val="single" w:sz="4" w:space="0" w:color="auto"/>
              <w:right w:val="single" w:sz="4" w:space="0" w:color="auto"/>
            </w:tcBorders>
          </w:tcPr>
          <w:p w14:paraId="18382C38" w14:textId="77777777" w:rsidR="00CB22C2" w:rsidRDefault="00CB22C2" w:rsidP="001637E5">
            <w:pPr>
              <w:spacing w:after="120"/>
              <w:contextualSpacing/>
              <w:jc w:val="center"/>
              <w:rPr>
                <w:rFonts w:ascii="Arial Narrow" w:hAnsi="Arial Narrow"/>
                <w:iCs/>
                <w:snapToGrid w:val="0"/>
                <w:sz w:val="20"/>
                <w:szCs w:val="20"/>
                <w:highlight w:val="darkGray"/>
              </w:rPr>
            </w:pPr>
          </w:p>
          <w:p w14:paraId="63B0D2A4" w14:textId="77777777" w:rsidR="00CB22C2" w:rsidRDefault="00CB22C2" w:rsidP="001637E5">
            <w:pPr>
              <w:spacing w:after="120"/>
              <w:contextualSpacing/>
              <w:jc w:val="center"/>
              <w:rPr>
                <w:rFonts w:ascii="Arial Narrow" w:hAnsi="Arial Narrow"/>
                <w:iCs/>
                <w:snapToGrid w:val="0"/>
                <w:sz w:val="20"/>
                <w:szCs w:val="20"/>
                <w:highlight w:val="darkGray"/>
              </w:rPr>
            </w:pPr>
          </w:p>
          <w:p w14:paraId="6A8A67C0" w14:textId="77777777" w:rsidR="006C5EC6" w:rsidRDefault="00BA039D" w:rsidP="001637E5">
            <w:pPr>
              <w:spacing w:after="120"/>
              <w:contextualSpacing/>
              <w:jc w:val="center"/>
              <w:rPr>
                <w:rFonts w:ascii="Arial Narrow" w:hAnsi="Arial Narrow"/>
                <w:snapToGrid w:val="0"/>
                <w:sz w:val="20"/>
                <w:szCs w:val="20"/>
                <w:vertAlign w:val="superscript"/>
              </w:rPr>
            </w:pPr>
            <w:r w:rsidRPr="006C5EC6">
              <w:rPr>
                <w:rFonts w:ascii="Arial Narrow" w:hAnsi="Arial Narrow"/>
                <w:iCs/>
                <w:snapToGrid w:val="0"/>
                <w:color w:val="000000"/>
                <w:spacing w:val="50"/>
                <w:sz w:val="20"/>
                <w:szCs w:val="20"/>
                <w:shd w:val="solid" w:color="000000" w:fill="000000"/>
                <w:fitText w:val="508" w:id="-1233442302"/>
                <w14:textFill>
                  <w14:solidFill>
                    <w14:srgbClr w14:val="000000">
                      <w14:alpha w14:val="100000"/>
                    </w14:srgbClr>
                  </w14:solidFill>
                </w14:textFill>
              </w:rPr>
              <w:t>|||||</w:t>
            </w:r>
            <w:r w:rsidRPr="006C5EC6">
              <w:rPr>
                <w:rFonts w:ascii="Arial Narrow" w:hAnsi="Arial Narrow"/>
                <w:iCs/>
                <w:snapToGrid w:val="0"/>
                <w:color w:val="000000"/>
                <w:spacing w:val="3"/>
                <w:sz w:val="20"/>
                <w:szCs w:val="20"/>
                <w:shd w:val="solid" w:color="000000" w:fill="000000"/>
                <w:fitText w:val="508" w:id="-1233442302"/>
                <w14:textFill>
                  <w14:solidFill>
                    <w14:srgbClr w14:val="000000">
                      <w14:alpha w14:val="100000"/>
                    </w14:srgbClr>
                  </w14:solidFill>
                </w14:textFill>
              </w:rPr>
              <w:t>|</w:t>
            </w:r>
            <w:r w:rsidR="00957EFC">
              <w:rPr>
                <w:rFonts w:ascii="Arial Narrow" w:hAnsi="Arial Narrow"/>
                <w:snapToGrid w:val="0"/>
                <w:sz w:val="20"/>
                <w:szCs w:val="20"/>
                <w:vertAlign w:val="superscript"/>
              </w:rPr>
              <w:t>5</w:t>
            </w:r>
          </w:p>
          <w:p w14:paraId="39E2EDCB" w14:textId="25C0A519" w:rsidR="001637E5" w:rsidRPr="002D73B8" w:rsidRDefault="00BA039D" w:rsidP="001637E5">
            <w:pPr>
              <w:spacing w:after="120"/>
              <w:contextualSpacing/>
              <w:jc w:val="center"/>
              <w:rPr>
                <w:rFonts w:ascii="Arial Narrow" w:hAnsi="Arial Narrow"/>
                <w:i/>
                <w:iCs/>
                <w:snapToGrid w:val="0"/>
                <w:sz w:val="20"/>
                <w:szCs w:val="20"/>
                <w:highlight w:val="darkGray"/>
              </w:rPr>
            </w:pPr>
            <w:r w:rsidRPr="00BA039D">
              <w:rPr>
                <w:rFonts w:ascii="Arial Narrow" w:hAnsi="Arial Narrow" w:hint="eastAsia"/>
                <w:snapToGrid w:val="0"/>
                <w:color w:val="000000"/>
                <w:spacing w:val="41"/>
                <w:w w:val="16"/>
                <w:sz w:val="20"/>
                <w:szCs w:val="20"/>
                <w:shd w:val="solid" w:color="000000" w:fill="000000"/>
                <w:fitText w:val="60" w:id="-1233442301"/>
                <w:vertAlign w:val="superscript"/>
                <w14:textFill>
                  <w14:solidFill>
                    <w14:srgbClr w14:val="000000">
                      <w14:alpha w14:val="100000"/>
                    </w14:srgbClr>
                  </w14:solidFill>
                </w14:textFill>
              </w:rPr>
              <w:t xml:space="preserve">　</w:t>
            </w:r>
            <w:r w:rsidRPr="00BA039D">
              <w:rPr>
                <w:rFonts w:ascii="Arial Narrow" w:hAnsi="Arial Narrow" w:hint="eastAsia"/>
                <w:iCs/>
                <w:snapToGrid w:val="0"/>
                <w:color w:val="000000"/>
                <w:w w:val="15"/>
                <w:sz w:val="20"/>
                <w:szCs w:val="20"/>
                <w:shd w:val="solid" w:color="000000" w:fill="000000"/>
                <w:fitText w:val="34" w:id="-1233442300"/>
                <w14:textFill>
                  <w14:solidFill>
                    <w14:srgbClr w14:val="000000">
                      <w14:alpha w14:val="100000"/>
                    </w14:srgbClr>
                  </w14:solidFill>
                </w14:textFill>
              </w:rPr>
              <w:t xml:space="preserve">　</w:t>
            </w:r>
            <w:r w:rsidRPr="00BA039D">
              <w:rPr>
                <w:rFonts w:ascii="Arial Narrow" w:hAnsi="Arial Narrow" w:hint="eastAsia"/>
                <w:iCs/>
                <w:snapToGrid w:val="0"/>
                <w:color w:val="000000"/>
                <w:spacing w:val="66"/>
                <w:w w:val="27"/>
                <w:sz w:val="20"/>
                <w:szCs w:val="20"/>
                <w:shd w:val="solid" w:color="000000" w:fill="000000"/>
                <w:fitText w:val="120" w:id="-1233442299"/>
                <w14:textFill>
                  <w14:solidFill>
                    <w14:srgbClr w14:val="000000">
                      <w14:alpha w14:val="100000"/>
                    </w14:srgbClr>
                  </w14:solidFill>
                </w14:textFill>
              </w:rPr>
              <w:t xml:space="preserve">　</w:t>
            </w:r>
            <w:r w:rsidRPr="00BA039D">
              <w:rPr>
                <w:rFonts w:ascii="Arial Narrow" w:hAnsi="Arial Narrow"/>
                <w:iCs/>
                <w:snapToGrid w:val="0"/>
                <w:color w:val="000000"/>
                <w:spacing w:val="154"/>
                <w:sz w:val="20"/>
                <w:szCs w:val="20"/>
                <w:shd w:val="solid" w:color="000000" w:fill="000000"/>
                <w:fitText w:val="240" w:id="-1233442298"/>
                <w14:textFill>
                  <w14:solidFill>
                    <w14:srgbClr w14:val="000000">
                      <w14:alpha w14:val="100000"/>
                    </w14:srgbClr>
                  </w14:solidFill>
                </w14:textFill>
              </w:rPr>
              <w:t>|</w:t>
            </w:r>
            <w:r w:rsidRPr="00BA039D">
              <w:rPr>
                <w:rFonts w:ascii="Arial Narrow" w:hAnsi="Arial Narrow"/>
                <w:iCs/>
                <w:snapToGrid w:val="0"/>
                <w:color w:val="000000"/>
                <w:spacing w:val="1"/>
                <w:sz w:val="20"/>
                <w:szCs w:val="20"/>
                <w:shd w:val="solid" w:color="000000" w:fill="000000"/>
                <w:fitText w:val="240" w:id="-1233442298"/>
                <w14:textFill>
                  <w14:solidFill>
                    <w14:srgbClr w14:val="000000">
                      <w14:alpha w14:val="100000"/>
                    </w14:srgbClr>
                  </w14:solidFill>
                </w14:textFill>
              </w:rPr>
              <w:t>|</w:t>
            </w:r>
            <w:r w:rsidR="00957EFC">
              <w:rPr>
                <w:rFonts w:ascii="Arial Narrow" w:hAnsi="Arial Narrow"/>
                <w:snapToGrid w:val="0"/>
                <w:sz w:val="20"/>
                <w:szCs w:val="20"/>
                <w:vertAlign w:val="superscript"/>
              </w:rPr>
              <w:t>4</w:t>
            </w:r>
          </w:p>
        </w:tc>
        <w:tc>
          <w:tcPr>
            <w:tcW w:w="839" w:type="dxa"/>
            <w:tcBorders>
              <w:top w:val="single" w:sz="4" w:space="0" w:color="auto"/>
              <w:left w:val="single" w:sz="4" w:space="0" w:color="auto"/>
              <w:bottom w:val="single" w:sz="4" w:space="0" w:color="auto"/>
              <w:right w:val="single" w:sz="4" w:space="0" w:color="auto"/>
            </w:tcBorders>
          </w:tcPr>
          <w:p w14:paraId="51C95AEA" w14:textId="77777777" w:rsidR="001637E5" w:rsidRPr="00F345DE" w:rsidRDefault="001637E5" w:rsidP="001637E5">
            <w:pPr>
              <w:spacing w:after="120"/>
              <w:contextualSpacing/>
              <w:jc w:val="center"/>
              <w:rPr>
                <w:rFonts w:ascii="Arial Narrow" w:hAnsi="Arial Narrow"/>
                <w:iCs/>
                <w:snapToGrid w:val="0"/>
                <w:sz w:val="20"/>
                <w:szCs w:val="20"/>
              </w:rPr>
            </w:pPr>
          </w:p>
          <w:p w14:paraId="34B19881" w14:textId="77777777" w:rsidR="001637E5" w:rsidRPr="00F345DE" w:rsidRDefault="001637E5" w:rsidP="001637E5">
            <w:pPr>
              <w:spacing w:after="120"/>
              <w:contextualSpacing/>
              <w:jc w:val="center"/>
              <w:rPr>
                <w:rFonts w:ascii="Arial Narrow" w:hAnsi="Arial Narrow"/>
                <w:iCs/>
                <w:snapToGrid w:val="0"/>
                <w:sz w:val="20"/>
                <w:szCs w:val="20"/>
              </w:rPr>
            </w:pPr>
          </w:p>
          <w:p w14:paraId="1C344A02" w14:textId="77777777" w:rsidR="001637E5" w:rsidRPr="00615B0D" w:rsidRDefault="001637E5" w:rsidP="001637E5">
            <w:pPr>
              <w:spacing w:after="120"/>
              <w:contextualSpacing/>
              <w:jc w:val="center"/>
              <w:rPr>
                <w:rFonts w:ascii="Arial Narrow" w:hAnsi="Arial Narrow"/>
                <w:iCs/>
                <w:snapToGrid w:val="0"/>
                <w:sz w:val="20"/>
                <w:szCs w:val="20"/>
              </w:rPr>
            </w:pPr>
            <w:r w:rsidRPr="00615B0D">
              <w:rPr>
                <w:rFonts w:ascii="Arial Narrow" w:hAnsi="Arial Narrow"/>
                <w:iCs/>
                <w:snapToGrid w:val="0"/>
                <w:sz w:val="20"/>
                <w:szCs w:val="20"/>
              </w:rPr>
              <w:t>-55%</w:t>
            </w:r>
          </w:p>
          <w:p w14:paraId="1D07EA99" w14:textId="77777777" w:rsidR="001637E5" w:rsidRPr="00AD7238" w:rsidRDefault="001637E5" w:rsidP="001637E5">
            <w:pPr>
              <w:spacing w:after="120"/>
              <w:contextualSpacing/>
              <w:jc w:val="center"/>
              <w:rPr>
                <w:rFonts w:ascii="Arial Narrow" w:hAnsi="Arial Narrow"/>
                <w:i/>
                <w:iCs/>
                <w:snapToGrid w:val="0"/>
                <w:sz w:val="20"/>
                <w:szCs w:val="20"/>
              </w:rPr>
            </w:pPr>
            <w:r w:rsidRPr="00615B0D">
              <w:rPr>
                <w:rFonts w:ascii="Arial Narrow" w:hAnsi="Arial Narrow"/>
                <w:iCs/>
                <w:snapToGrid w:val="0"/>
                <w:sz w:val="20"/>
                <w:szCs w:val="20"/>
              </w:rPr>
              <w:t>+85%</w:t>
            </w:r>
          </w:p>
        </w:tc>
      </w:tr>
    </w:tbl>
    <w:p w14:paraId="7A9FDF74" w14:textId="079ACF45" w:rsidR="00A731F6" w:rsidRPr="00AD7238" w:rsidRDefault="00A731F6" w:rsidP="00A731F6">
      <w:pPr>
        <w:spacing w:after="120"/>
        <w:contextualSpacing/>
        <w:rPr>
          <w:rFonts w:ascii="Arial Narrow" w:hAnsi="Arial Narrow"/>
          <w:snapToGrid w:val="0"/>
          <w:sz w:val="20"/>
          <w:szCs w:val="20"/>
        </w:rPr>
      </w:pPr>
      <w:r w:rsidRPr="00AD7238">
        <w:rPr>
          <w:rFonts w:ascii="Arial Narrow" w:hAnsi="Arial Narrow"/>
          <w:snapToGrid w:val="0"/>
          <w:sz w:val="18"/>
          <w:szCs w:val="22"/>
        </w:rPr>
        <w:t xml:space="preserve">Source: Table 3-64, p236 of the </w:t>
      </w:r>
      <w:r w:rsidR="009E6AE9" w:rsidRPr="00AD7238">
        <w:rPr>
          <w:rFonts w:ascii="Arial Narrow" w:hAnsi="Arial Narrow"/>
          <w:snapToGrid w:val="0"/>
          <w:sz w:val="18"/>
          <w:szCs w:val="22"/>
        </w:rPr>
        <w:t>re</w:t>
      </w:r>
      <w:r w:rsidRPr="00AD7238">
        <w:rPr>
          <w:rFonts w:ascii="Arial Narrow" w:hAnsi="Arial Narrow"/>
          <w:snapToGrid w:val="0"/>
          <w:sz w:val="18"/>
          <w:szCs w:val="22"/>
        </w:rPr>
        <w:t>submission.</w:t>
      </w:r>
    </w:p>
    <w:p w14:paraId="624C5D53" w14:textId="7B7A7BD9" w:rsidR="00A731F6" w:rsidRPr="00AD7238" w:rsidRDefault="00DA054C" w:rsidP="00A731F6">
      <w:pPr>
        <w:spacing w:after="120"/>
        <w:contextualSpacing/>
        <w:rPr>
          <w:rFonts w:ascii="Arial Narrow" w:hAnsi="Arial Narrow"/>
          <w:snapToGrid w:val="0"/>
          <w:sz w:val="18"/>
          <w:szCs w:val="22"/>
        </w:rPr>
      </w:pPr>
      <w:r>
        <w:rPr>
          <w:rFonts w:ascii="Arial Narrow" w:hAnsi="Arial Narrow"/>
          <w:snapToGrid w:val="0"/>
          <w:sz w:val="18"/>
          <w:szCs w:val="22"/>
        </w:rPr>
        <w:t xml:space="preserve">Note: </w:t>
      </w:r>
      <w:r w:rsidR="00A731F6" w:rsidRPr="00AD7238">
        <w:rPr>
          <w:rFonts w:ascii="Arial Narrow" w:hAnsi="Arial Narrow"/>
          <w:snapToGrid w:val="0"/>
          <w:sz w:val="18"/>
          <w:szCs w:val="22"/>
        </w:rPr>
        <w:t>Lin data were only available for adults ≥ 60 YOA, the DSA low value is less favourable to the intervention than Lin data.</w:t>
      </w:r>
    </w:p>
    <w:p w14:paraId="26A5207B" w14:textId="711044DF" w:rsidR="00A731F6" w:rsidRDefault="00A731F6" w:rsidP="00A731F6">
      <w:pPr>
        <w:spacing w:after="120"/>
        <w:contextualSpacing/>
        <w:rPr>
          <w:rFonts w:ascii="Arial Narrow" w:hAnsi="Arial Narrow"/>
          <w:snapToGrid w:val="0"/>
          <w:sz w:val="18"/>
          <w:szCs w:val="22"/>
        </w:rPr>
      </w:pPr>
      <w:r w:rsidRPr="00AD7238">
        <w:rPr>
          <w:rFonts w:ascii="Arial Narrow" w:hAnsi="Arial Narrow"/>
          <w:snapToGrid w:val="0"/>
          <w:sz w:val="18"/>
          <w:szCs w:val="22"/>
        </w:rPr>
        <w:t>HZ</w:t>
      </w:r>
      <w:r w:rsidR="009E6AE9" w:rsidRPr="00AD7238">
        <w:rPr>
          <w:rFonts w:ascii="Arial Narrow" w:hAnsi="Arial Narrow"/>
          <w:snapToGrid w:val="0"/>
          <w:sz w:val="18"/>
          <w:szCs w:val="22"/>
        </w:rPr>
        <w:t xml:space="preserve"> = </w:t>
      </w:r>
      <w:r w:rsidRPr="00AD7238">
        <w:rPr>
          <w:rFonts w:ascii="Arial Narrow" w:hAnsi="Arial Narrow"/>
          <w:snapToGrid w:val="0"/>
          <w:sz w:val="18"/>
          <w:szCs w:val="22"/>
        </w:rPr>
        <w:t>herpes zoster; ICER</w:t>
      </w:r>
      <w:r w:rsidR="009E6AE9" w:rsidRPr="00AD7238">
        <w:rPr>
          <w:rFonts w:ascii="Arial Narrow" w:hAnsi="Arial Narrow"/>
          <w:snapToGrid w:val="0"/>
          <w:sz w:val="18"/>
          <w:szCs w:val="22"/>
        </w:rPr>
        <w:t xml:space="preserve"> = </w:t>
      </w:r>
      <w:r w:rsidRPr="00AD7238">
        <w:rPr>
          <w:rFonts w:ascii="Arial Narrow" w:hAnsi="Arial Narrow"/>
          <w:snapToGrid w:val="0"/>
          <w:sz w:val="18"/>
          <w:szCs w:val="22"/>
        </w:rPr>
        <w:t>incremental cost-effectiveness ratio; PHN</w:t>
      </w:r>
      <w:r w:rsidR="009E6AE9" w:rsidRPr="00AD7238">
        <w:rPr>
          <w:rFonts w:ascii="Arial Narrow" w:hAnsi="Arial Narrow"/>
          <w:snapToGrid w:val="0"/>
          <w:sz w:val="18"/>
          <w:szCs w:val="22"/>
        </w:rPr>
        <w:t xml:space="preserve"> = </w:t>
      </w:r>
      <w:r w:rsidRPr="00AD7238">
        <w:rPr>
          <w:rFonts w:ascii="Arial Narrow" w:hAnsi="Arial Narrow"/>
          <w:snapToGrid w:val="0"/>
          <w:sz w:val="18"/>
          <w:szCs w:val="22"/>
        </w:rPr>
        <w:t>post herpetic neuralgia; QALY</w:t>
      </w:r>
      <w:r w:rsidR="009E6AE9" w:rsidRPr="00AD7238">
        <w:rPr>
          <w:rFonts w:ascii="Arial Narrow" w:hAnsi="Arial Narrow"/>
          <w:snapToGrid w:val="0"/>
          <w:sz w:val="18"/>
          <w:szCs w:val="22"/>
        </w:rPr>
        <w:t xml:space="preserve"> = </w:t>
      </w:r>
      <w:r w:rsidRPr="00AD7238">
        <w:rPr>
          <w:rFonts w:ascii="Arial Narrow" w:hAnsi="Arial Narrow"/>
          <w:snapToGrid w:val="0"/>
          <w:sz w:val="18"/>
          <w:szCs w:val="22"/>
        </w:rPr>
        <w:t>quality-adjusted life years; UCI</w:t>
      </w:r>
      <w:r w:rsidR="009E6AE9" w:rsidRPr="00AD7238">
        <w:rPr>
          <w:rFonts w:ascii="Arial Narrow" w:hAnsi="Arial Narrow"/>
          <w:snapToGrid w:val="0"/>
          <w:sz w:val="18"/>
          <w:szCs w:val="22"/>
        </w:rPr>
        <w:t xml:space="preserve"> = </w:t>
      </w:r>
      <w:r w:rsidRPr="00AD7238">
        <w:rPr>
          <w:rFonts w:ascii="Arial Narrow" w:hAnsi="Arial Narrow"/>
          <w:snapToGrid w:val="0"/>
          <w:sz w:val="18"/>
          <w:szCs w:val="22"/>
        </w:rPr>
        <w:t>upper confidence interval</w:t>
      </w:r>
    </w:p>
    <w:p w14:paraId="61A53FF9" w14:textId="77777777" w:rsidR="002D73B8" w:rsidRPr="009A6D58" w:rsidRDefault="002D73B8" w:rsidP="002D73B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B940F52" w14:textId="01F8CF47" w:rsidR="002D73B8" w:rsidRPr="009A6D58" w:rsidRDefault="002D73B8" w:rsidP="002D73B8">
      <w:pPr>
        <w:rPr>
          <w:rFonts w:ascii="Arial Narrow" w:hAnsi="Arial Narrow"/>
          <w:i/>
          <w:sz w:val="18"/>
          <w:szCs w:val="18"/>
        </w:rPr>
      </w:pPr>
      <w:r w:rsidRPr="009A6D58">
        <w:rPr>
          <w:rFonts w:ascii="Arial Narrow" w:hAnsi="Arial Narrow"/>
          <w:i/>
          <w:sz w:val="18"/>
          <w:szCs w:val="18"/>
          <w:vertAlign w:val="superscript"/>
        </w:rPr>
        <w:t>1</w:t>
      </w:r>
      <w:r w:rsidR="00957EFC" w:rsidRPr="00957EFC">
        <w:rPr>
          <w:rFonts w:ascii="Arial Narrow" w:hAnsi="Arial Narrow"/>
          <w:i/>
          <w:sz w:val="18"/>
          <w:szCs w:val="18"/>
        </w:rPr>
        <w:t>$55,000 to &lt; $75,000</w:t>
      </w:r>
    </w:p>
    <w:p w14:paraId="1A1C8ACB" w14:textId="68E508F5" w:rsidR="002D73B8" w:rsidRDefault="002D73B8" w:rsidP="002D73B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957EFC" w:rsidRPr="005A7FF1">
        <w:rPr>
          <w:rFonts w:ascii="Arial Narrow" w:hAnsi="Arial Narrow"/>
          <w:i/>
          <w:sz w:val="18"/>
          <w:szCs w:val="18"/>
        </w:rPr>
        <w:t>$35,000 to &lt; $45,000</w:t>
      </w:r>
      <w:r w:rsidRPr="002D73B8">
        <w:rPr>
          <w:rFonts w:ascii="Arial Narrow" w:hAnsi="Arial Narrow"/>
          <w:i/>
          <w:sz w:val="18"/>
          <w:szCs w:val="18"/>
        </w:rPr>
        <w:t xml:space="preserve"> </w:t>
      </w:r>
    </w:p>
    <w:p w14:paraId="54054498" w14:textId="5280BE72" w:rsidR="002D73B8" w:rsidRDefault="002D73B8" w:rsidP="002D73B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57EFC" w:rsidRPr="00957EFC">
        <w:rPr>
          <w:rFonts w:ascii="Arial Narrow" w:hAnsi="Arial Narrow"/>
          <w:i/>
          <w:sz w:val="18"/>
          <w:szCs w:val="18"/>
        </w:rPr>
        <w:t>$45,000 to &lt; $55,000</w:t>
      </w:r>
    </w:p>
    <w:p w14:paraId="182F1780" w14:textId="16301FDC" w:rsidR="002D73B8" w:rsidRDefault="002D73B8" w:rsidP="00957EF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957EFC" w:rsidRPr="00957EFC">
        <w:rPr>
          <w:rFonts w:ascii="Arial Narrow" w:hAnsi="Arial Narrow"/>
          <w:i/>
          <w:sz w:val="18"/>
          <w:szCs w:val="18"/>
        </w:rPr>
        <w:t>$95,000 to &lt; $115,000</w:t>
      </w:r>
    </w:p>
    <w:p w14:paraId="7ECF5E2E" w14:textId="2143D5EA" w:rsidR="00957EFC" w:rsidRDefault="00957EFC" w:rsidP="00957EFC">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57EFC">
        <w:rPr>
          <w:rFonts w:ascii="Arial Narrow" w:hAnsi="Arial Narrow"/>
          <w:i/>
          <w:sz w:val="18"/>
          <w:szCs w:val="18"/>
        </w:rPr>
        <w:t>$25,000 to &lt; $35,000</w:t>
      </w:r>
    </w:p>
    <w:p w14:paraId="136B0834" w14:textId="24EB4036" w:rsidR="00EA644F" w:rsidRPr="003C590D" w:rsidRDefault="00EA644F" w:rsidP="003C590D">
      <w:pPr>
        <w:pStyle w:val="3-BodyText"/>
        <w:numPr>
          <w:ilvl w:val="0"/>
          <w:numId w:val="0"/>
        </w:numPr>
        <w:ind w:left="720" w:hanging="720"/>
        <w:outlineLvl w:val="2"/>
        <w:rPr>
          <w:b/>
          <w:bCs/>
          <w:u w:val="single"/>
        </w:rPr>
      </w:pPr>
      <w:bookmarkStart w:id="58" w:name="_Ref124925805"/>
      <w:r w:rsidRPr="003C590D">
        <w:rPr>
          <w:b/>
          <w:bCs/>
          <w:u w:val="single"/>
        </w:rPr>
        <w:t>Supplementary analyses - RZV in people who have previously received ZVL</w:t>
      </w:r>
    </w:p>
    <w:p w14:paraId="0C2666BF" w14:textId="1B74716D" w:rsidR="00EA644F" w:rsidRPr="00C42A2C" w:rsidRDefault="00EA644F" w:rsidP="00C42A2C">
      <w:pPr>
        <w:pStyle w:val="3-BodyText"/>
        <w:rPr>
          <w:rStyle w:val="CommentReference"/>
          <w:rFonts w:asciiTheme="minorHAnsi" w:hAnsiTheme="minorHAnsi"/>
          <w:bCs/>
          <w:iCs/>
          <w:sz w:val="24"/>
          <w:szCs w:val="24"/>
        </w:rPr>
      </w:pPr>
      <w:bookmarkStart w:id="59" w:name="_Ref129850630"/>
      <w:r w:rsidRPr="00A65E17">
        <w:rPr>
          <w:rStyle w:val="CommentReference"/>
          <w:rFonts w:asciiTheme="minorHAnsi" w:hAnsiTheme="minorHAnsi"/>
          <w:b w:val="0"/>
          <w:iCs/>
          <w:sz w:val="24"/>
          <w:szCs w:val="24"/>
        </w:rPr>
        <w:t xml:space="preserve">The resubmission presented results of an economic evaluation for RZV vaccination compared to no vaccine in adults who have previously received ZVL. At the ATAGI recommended interval of 5 years, the cost per QALY gained for RZV versus no vaccine was </w:t>
      </w:r>
      <w:r w:rsidR="00C42A2C" w:rsidRPr="00C42A2C">
        <w:rPr>
          <w:iCs/>
        </w:rPr>
        <w:t>$35,000 to &lt; $45,000</w:t>
      </w:r>
      <w:r w:rsidR="00C42A2C">
        <w:rPr>
          <w:b/>
          <w:bCs/>
          <w:iCs/>
        </w:rPr>
        <w:t xml:space="preserve"> </w:t>
      </w:r>
      <w:r w:rsidRPr="00C42A2C">
        <w:rPr>
          <w:rStyle w:val="CommentReference"/>
          <w:rFonts w:asciiTheme="minorHAnsi" w:hAnsiTheme="minorHAnsi"/>
          <w:b w:val="0"/>
          <w:iCs/>
          <w:sz w:val="24"/>
          <w:szCs w:val="24"/>
        </w:rPr>
        <w:t xml:space="preserve">and </w:t>
      </w:r>
      <w:r w:rsidR="00C42A2C" w:rsidRPr="00C42A2C">
        <w:rPr>
          <w:iCs/>
        </w:rPr>
        <w:t>$35,000 to &lt; $45,000</w:t>
      </w:r>
      <w:r w:rsidR="00C42A2C">
        <w:rPr>
          <w:b/>
          <w:bCs/>
          <w:iCs/>
        </w:rPr>
        <w:t xml:space="preserve"> </w:t>
      </w:r>
      <w:r w:rsidRPr="00C42A2C">
        <w:rPr>
          <w:rStyle w:val="CommentReference"/>
          <w:rFonts w:asciiTheme="minorHAnsi" w:hAnsiTheme="minorHAnsi"/>
          <w:b w:val="0"/>
          <w:iCs/>
          <w:sz w:val="24"/>
          <w:szCs w:val="24"/>
        </w:rPr>
        <w:t>for non-Indigenous adults 70-79 and ≥80 YOA</w:t>
      </w:r>
      <w:r w:rsidR="00942695" w:rsidRPr="00C42A2C">
        <w:rPr>
          <w:rStyle w:val="CommentReference"/>
          <w:rFonts w:asciiTheme="minorHAnsi" w:hAnsiTheme="minorHAnsi"/>
          <w:b w:val="0"/>
          <w:iCs/>
          <w:sz w:val="24"/>
          <w:szCs w:val="24"/>
        </w:rPr>
        <w:t xml:space="preserve"> (the population that would have received ZVL on the NIP)</w:t>
      </w:r>
      <w:r w:rsidRPr="00C42A2C">
        <w:rPr>
          <w:rStyle w:val="CommentReference"/>
          <w:rFonts w:asciiTheme="minorHAnsi" w:hAnsiTheme="minorHAnsi"/>
          <w:b w:val="0"/>
          <w:iCs/>
          <w:sz w:val="24"/>
          <w:szCs w:val="24"/>
        </w:rPr>
        <w:t xml:space="preserve">, respectively. At the ATAGI recommended interval of 5 years, the cost per QALY gained for RZV versus no vaccine was </w:t>
      </w:r>
      <w:r w:rsidR="00C42A2C" w:rsidRPr="00C42A2C">
        <w:rPr>
          <w:iCs/>
        </w:rPr>
        <w:t>$155,000 to &lt; $255,000</w:t>
      </w:r>
      <w:r w:rsidR="00C42A2C">
        <w:rPr>
          <w:b/>
          <w:bCs/>
          <w:iCs/>
        </w:rPr>
        <w:t xml:space="preserve"> </w:t>
      </w:r>
      <w:r w:rsidRPr="00C42A2C">
        <w:rPr>
          <w:rStyle w:val="CommentReference"/>
          <w:rFonts w:asciiTheme="minorHAnsi" w:hAnsiTheme="minorHAnsi"/>
          <w:b w:val="0"/>
          <w:iCs/>
          <w:sz w:val="24"/>
          <w:szCs w:val="24"/>
        </w:rPr>
        <w:t xml:space="preserve">and </w:t>
      </w:r>
      <w:r w:rsidR="00C42A2C" w:rsidRPr="00C42A2C">
        <w:rPr>
          <w:iCs/>
        </w:rPr>
        <w:t>$115,000 to &lt; $135,000</w:t>
      </w:r>
      <w:r w:rsidR="00C42A2C">
        <w:rPr>
          <w:b/>
          <w:bCs/>
          <w:iCs/>
        </w:rPr>
        <w:t xml:space="preserve"> </w:t>
      </w:r>
      <w:r w:rsidRPr="00C42A2C">
        <w:rPr>
          <w:rStyle w:val="CommentReference"/>
          <w:rFonts w:asciiTheme="minorHAnsi" w:hAnsiTheme="minorHAnsi"/>
          <w:b w:val="0"/>
          <w:iCs/>
          <w:sz w:val="24"/>
          <w:szCs w:val="24"/>
        </w:rPr>
        <w:t xml:space="preserve">for Aboriginal and Torres Strait Islander adults 70-79 and ≥80 YOA, respectively. </w:t>
      </w:r>
      <w:r w:rsidR="004114AC" w:rsidRPr="00C42A2C">
        <w:rPr>
          <w:rStyle w:val="CommentReference"/>
          <w:rFonts w:asciiTheme="minorHAnsi" w:hAnsiTheme="minorHAnsi"/>
          <w:b w:val="0"/>
          <w:iCs/>
          <w:sz w:val="24"/>
          <w:szCs w:val="24"/>
        </w:rPr>
        <w:t xml:space="preserve">The ESC </w:t>
      </w:r>
      <w:r w:rsidR="004114AC" w:rsidRPr="00C42A2C">
        <w:rPr>
          <w:rStyle w:val="CommentReference"/>
          <w:rFonts w:asciiTheme="minorHAnsi" w:hAnsiTheme="minorHAnsi"/>
          <w:b w:val="0"/>
          <w:iCs/>
          <w:sz w:val="24"/>
          <w:szCs w:val="24"/>
        </w:rPr>
        <w:lastRenderedPageBreak/>
        <w:t>noted the relationship between time since ZVL vaccination and cost effectiveness of RZV (</w:t>
      </w:r>
      <w:r w:rsidR="00707995" w:rsidRPr="00C42A2C">
        <w:rPr>
          <w:rStyle w:val="CommentReference"/>
          <w:rFonts w:asciiTheme="minorHAnsi" w:hAnsiTheme="minorHAnsi"/>
          <w:b w:val="0"/>
          <w:i/>
          <w:iCs/>
          <w:sz w:val="24"/>
          <w:szCs w:val="24"/>
        </w:rPr>
        <w:fldChar w:fldCharType="begin" w:fldLock="1"/>
      </w:r>
      <w:r w:rsidR="00707995" w:rsidRPr="00C42A2C">
        <w:rPr>
          <w:rStyle w:val="CommentReference"/>
          <w:rFonts w:asciiTheme="minorHAnsi" w:hAnsiTheme="minorHAnsi"/>
          <w:b w:val="0"/>
          <w:i/>
          <w:iCs/>
          <w:sz w:val="24"/>
          <w:szCs w:val="24"/>
        </w:rPr>
        <w:instrText xml:space="preserve"> REF _Ref127217294 \h </w:instrText>
      </w:r>
      <w:r w:rsidR="009E5786" w:rsidRPr="00C42A2C">
        <w:rPr>
          <w:rStyle w:val="CommentReference"/>
          <w:rFonts w:asciiTheme="minorHAnsi" w:hAnsiTheme="minorHAnsi"/>
          <w:b w:val="0"/>
          <w:i/>
          <w:iCs/>
          <w:sz w:val="24"/>
          <w:szCs w:val="24"/>
        </w:rPr>
        <w:instrText xml:space="preserve"> \* MERGEFORMAT </w:instrText>
      </w:r>
      <w:r w:rsidR="00707995" w:rsidRPr="00C42A2C">
        <w:rPr>
          <w:rStyle w:val="CommentReference"/>
          <w:rFonts w:asciiTheme="minorHAnsi" w:hAnsiTheme="minorHAnsi"/>
          <w:b w:val="0"/>
          <w:i/>
          <w:iCs/>
          <w:sz w:val="24"/>
          <w:szCs w:val="24"/>
        </w:rPr>
      </w:r>
      <w:r w:rsidR="00707995" w:rsidRPr="00C42A2C">
        <w:rPr>
          <w:rStyle w:val="CommentReference"/>
          <w:rFonts w:asciiTheme="minorHAnsi" w:hAnsiTheme="minorHAnsi"/>
          <w:b w:val="0"/>
          <w:i/>
          <w:iCs/>
          <w:sz w:val="24"/>
          <w:szCs w:val="24"/>
        </w:rPr>
        <w:fldChar w:fldCharType="separate"/>
      </w:r>
      <w:r w:rsidR="00602E99" w:rsidRPr="00C42A2C">
        <w:rPr>
          <w:rStyle w:val="CommentReference"/>
          <w:rFonts w:asciiTheme="minorHAnsi" w:hAnsiTheme="minorHAnsi"/>
          <w:b w:val="0"/>
          <w:sz w:val="24"/>
          <w:szCs w:val="24"/>
        </w:rPr>
        <w:t>Figure 3</w:t>
      </w:r>
      <w:r w:rsidR="00707995" w:rsidRPr="00C42A2C">
        <w:rPr>
          <w:rStyle w:val="CommentReference"/>
          <w:rFonts w:asciiTheme="minorHAnsi" w:hAnsiTheme="minorHAnsi"/>
          <w:b w:val="0"/>
          <w:i/>
          <w:iCs/>
          <w:sz w:val="24"/>
          <w:szCs w:val="24"/>
        </w:rPr>
        <w:fldChar w:fldCharType="end"/>
      </w:r>
      <w:r w:rsidR="00707995" w:rsidRPr="00C42A2C">
        <w:rPr>
          <w:rStyle w:val="CommentReference"/>
          <w:rFonts w:asciiTheme="minorHAnsi" w:hAnsiTheme="minorHAnsi"/>
          <w:b w:val="0"/>
          <w:iCs/>
          <w:sz w:val="24"/>
          <w:szCs w:val="24"/>
        </w:rPr>
        <w:t>).</w:t>
      </w:r>
      <w:bookmarkEnd w:id="59"/>
      <w:r w:rsidR="00707995" w:rsidRPr="00C42A2C">
        <w:rPr>
          <w:rStyle w:val="CommentReference"/>
          <w:rFonts w:asciiTheme="minorHAnsi" w:hAnsiTheme="minorHAnsi"/>
          <w:b w:val="0"/>
          <w:iCs/>
          <w:sz w:val="24"/>
          <w:szCs w:val="24"/>
        </w:rPr>
        <w:t xml:space="preserve"> </w:t>
      </w:r>
    </w:p>
    <w:p w14:paraId="289C6C24" w14:textId="5D3034F1" w:rsidR="004114AC" w:rsidRDefault="004114AC" w:rsidP="004114AC">
      <w:pPr>
        <w:jc w:val="left"/>
        <w:rPr>
          <w:rStyle w:val="TableFigureHeadingChar"/>
          <w:sz w:val="20"/>
          <w:szCs w:val="20"/>
        </w:rPr>
      </w:pPr>
      <w:bookmarkStart w:id="60" w:name="_Ref127217294"/>
      <w:r w:rsidRPr="00322CDD">
        <w:rPr>
          <w:rStyle w:val="TableFigureHeadingChar"/>
          <w:sz w:val="20"/>
          <w:szCs w:val="20"/>
        </w:rPr>
        <w:t xml:space="preserve">Figure </w:t>
      </w:r>
      <w:r w:rsidRPr="00322CDD">
        <w:rPr>
          <w:rStyle w:val="TableFigureHeadingChar"/>
          <w:sz w:val="20"/>
          <w:szCs w:val="20"/>
        </w:rPr>
        <w:fldChar w:fldCharType="begin" w:fldLock="1"/>
      </w:r>
      <w:r w:rsidRPr="00322CDD">
        <w:rPr>
          <w:rStyle w:val="TableFigureHeadingChar"/>
          <w:sz w:val="20"/>
          <w:szCs w:val="20"/>
        </w:rPr>
        <w:instrText xml:space="preserve"> SEQ Figure \* ARABIC </w:instrText>
      </w:r>
      <w:r w:rsidRPr="00322CDD">
        <w:rPr>
          <w:rStyle w:val="TableFigureHeadingChar"/>
          <w:sz w:val="20"/>
          <w:szCs w:val="20"/>
        </w:rPr>
        <w:fldChar w:fldCharType="separate"/>
      </w:r>
      <w:r w:rsidR="00602E99">
        <w:rPr>
          <w:rStyle w:val="TableFigureHeadingChar"/>
          <w:noProof/>
          <w:sz w:val="20"/>
          <w:szCs w:val="20"/>
        </w:rPr>
        <w:t>3</w:t>
      </w:r>
      <w:r w:rsidRPr="00322CDD">
        <w:rPr>
          <w:rStyle w:val="TableFigureHeadingChar"/>
          <w:sz w:val="20"/>
          <w:szCs w:val="20"/>
        </w:rPr>
        <w:fldChar w:fldCharType="end"/>
      </w:r>
      <w:bookmarkEnd w:id="60"/>
      <w:r w:rsidRPr="00322CDD">
        <w:rPr>
          <w:rStyle w:val="TableFigureHeadingChar"/>
          <w:sz w:val="20"/>
          <w:szCs w:val="20"/>
        </w:rPr>
        <w:t>: Cost per QALY gained by years since prior ZVL receipt</w:t>
      </w:r>
    </w:p>
    <w:p w14:paraId="40C2E146" w14:textId="00A5B815" w:rsidR="003D6E4B" w:rsidRPr="00A65E17" w:rsidRDefault="00007E9B" w:rsidP="004114AC">
      <w:pPr>
        <w:jc w:val="left"/>
        <w:rPr>
          <w:iCs/>
        </w:rPr>
      </w:pPr>
      <w:r>
        <w:rPr>
          <w:noProof/>
        </w:rPr>
        <w:drawing>
          <wp:inline distT="0" distB="0" distL="0" distR="0" wp14:anchorId="7093B885" wp14:editId="5EBF8C04">
            <wp:extent cx="4797634" cy="3409950"/>
            <wp:effectExtent l="0" t="0" r="3175" b="0"/>
            <wp:docPr id="2" name="Picture 2" descr="Figure 3: Cost per QALY gained by years since prior ZVL receip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Cost per QALY gained by years since prior ZVL receipt&#10;"/>
                    <pic:cNvPicPr/>
                  </pic:nvPicPr>
                  <pic:blipFill>
                    <a:blip r:embed="rId11"/>
                    <a:stretch>
                      <a:fillRect/>
                    </a:stretch>
                  </pic:blipFill>
                  <pic:spPr>
                    <a:xfrm>
                      <a:off x="0" y="0"/>
                      <a:ext cx="4800280" cy="3411831"/>
                    </a:xfrm>
                    <a:prstGeom prst="rect">
                      <a:avLst/>
                    </a:prstGeom>
                  </pic:spPr>
                </pic:pic>
              </a:graphicData>
            </a:graphic>
          </wp:inline>
        </w:drawing>
      </w:r>
    </w:p>
    <w:p w14:paraId="022924B4" w14:textId="2CD081B4" w:rsidR="004114AC" w:rsidRPr="00441995" w:rsidRDefault="004114AC" w:rsidP="004114AC">
      <w:pPr>
        <w:pStyle w:val="3-BodyText"/>
        <w:numPr>
          <w:ilvl w:val="0"/>
          <w:numId w:val="0"/>
        </w:numPr>
        <w:rPr>
          <w:rStyle w:val="CommentReference"/>
          <w:b w:val="0"/>
          <w:iCs/>
          <w:sz w:val="18"/>
          <w:szCs w:val="18"/>
        </w:rPr>
      </w:pPr>
      <w:r w:rsidRPr="00441995">
        <w:rPr>
          <w:rStyle w:val="CommentReference"/>
          <w:b w:val="0"/>
          <w:iCs/>
          <w:sz w:val="18"/>
          <w:szCs w:val="18"/>
        </w:rPr>
        <w:t>Source: Figure 3-26, page 217 of resubmission</w:t>
      </w:r>
    </w:p>
    <w:p w14:paraId="0085218A" w14:textId="7BE480B6" w:rsidR="00EA644F" w:rsidRPr="003C590D" w:rsidRDefault="00EA644F" w:rsidP="003C590D">
      <w:pPr>
        <w:pStyle w:val="3-BodyText"/>
        <w:numPr>
          <w:ilvl w:val="0"/>
          <w:numId w:val="0"/>
        </w:numPr>
        <w:ind w:left="720" w:hanging="720"/>
        <w:outlineLvl w:val="2"/>
        <w:rPr>
          <w:b/>
          <w:bCs/>
          <w:u w:val="single"/>
        </w:rPr>
      </w:pPr>
      <w:r w:rsidRPr="003C590D">
        <w:rPr>
          <w:b/>
          <w:bCs/>
          <w:u w:val="single"/>
        </w:rPr>
        <w:t>Supplementary analyses – ZVL versus no vaccine in adults 70 – 79 YOA</w:t>
      </w:r>
    </w:p>
    <w:p w14:paraId="37E43D55" w14:textId="02E20933" w:rsidR="004016A0" w:rsidRPr="00C42A2C" w:rsidRDefault="00850614" w:rsidP="00C42A2C">
      <w:pPr>
        <w:pStyle w:val="3-BodyText"/>
        <w:rPr>
          <w:b/>
          <w:bCs/>
        </w:rPr>
      </w:pPr>
      <w:r w:rsidRPr="00AD7238">
        <w:t>The resubmission presented a</w:t>
      </w:r>
      <w:r w:rsidR="00B147FF" w:rsidRPr="00AD7238">
        <w:t xml:space="preserve"> secondary economic comparison of ZVL vs no vaccine in adults 70-79 YOA, to provide a benchmark for acceptable cost-effectiveness of HZ vaccines in the Australian setting. A price of $</w:t>
      </w:r>
      <w:r w:rsidR="00BA039D" w:rsidRPr="00BA039D">
        <w:rPr>
          <w:color w:val="000000"/>
          <w:w w:val="21"/>
          <w:shd w:val="solid" w:color="000000" w:fill="000000"/>
          <w:fitText w:val="71" w:id="-1233442297"/>
          <w14:textFill>
            <w14:solidFill>
              <w14:srgbClr w14:val="000000">
                <w14:alpha w14:val="100000"/>
              </w14:srgbClr>
            </w14:solidFill>
          </w14:textFill>
        </w:rPr>
        <w:t xml:space="preserve">|  </w:t>
      </w:r>
      <w:r w:rsidR="00BA039D" w:rsidRPr="00BA039D">
        <w:rPr>
          <w:color w:val="000000"/>
          <w:spacing w:val="1"/>
          <w:w w:val="21"/>
          <w:shd w:val="solid" w:color="000000" w:fill="000000"/>
          <w:fitText w:val="71" w:id="-1233442297"/>
          <w14:textFill>
            <w14:solidFill>
              <w14:srgbClr w14:val="000000">
                <w14:alpha w14:val="100000"/>
              </w14:srgbClr>
            </w14:solidFill>
          </w14:textFill>
        </w:rPr>
        <w:t>|</w:t>
      </w:r>
      <w:r w:rsidR="00B147FF" w:rsidRPr="00AD7238">
        <w:t xml:space="preserve"> was assumed in the base-case which resulted in </w:t>
      </w:r>
      <w:r w:rsidRPr="00AD7238">
        <w:t xml:space="preserve">an </w:t>
      </w:r>
      <w:r w:rsidR="00B147FF" w:rsidRPr="00AD7238">
        <w:t xml:space="preserve">ICER </w:t>
      </w:r>
      <w:r w:rsidRPr="00AD7238">
        <w:t>of</w:t>
      </w:r>
      <w:r w:rsidR="00007E9B">
        <w:t xml:space="preserve"> </w:t>
      </w:r>
      <w:r w:rsidR="00C42A2C" w:rsidRPr="00C42A2C">
        <w:t>$15,000 to &lt; $25,000</w:t>
      </w:r>
      <w:r w:rsidR="00B147FF" w:rsidRPr="00AD7238">
        <w:t xml:space="preserve">/QALY. </w:t>
      </w:r>
      <w:r w:rsidR="002F192C" w:rsidRPr="00AD7238">
        <w:t xml:space="preserve">The resubmission stated this was the same as the ICER generated for RZV versus no vaccine in non-Indigenous adults </w:t>
      </w:r>
      <w:r w:rsidR="002F192C" w:rsidRPr="00C42A2C">
        <w:rPr>
          <w:rFonts w:cstheme="minorHAnsi"/>
        </w:rPr>
        <w:t>≥</w:t>
      </w:r>
      <w:r w:rsidR="002F192C" w:rsidRPr="00AD7238">
        <w:t xml:space="preserve"> 65 YOA. </w:t>
      </w:r>
      <w:r w:rsidR="00B56FE9" w:rsidRPr="00AD7238">
        <w:t>The resubmission stated t</w:t>
      </w:r>
      <w:r w:rsidR="002F192C" w:rsidRPr="00AD7238">
        <w:t xml:space="preserve">he Department can input the true price of ZVL to generate more representative estimates of ZVL cost-effectiveness versus no vaccine. </w:t>
      </w:r>
      <w:r w:rsidR="00C57BA1" w:rsidRPr="00C42A2C">
        <w:rPr>
          <w:iCs/>
        </w:rPr>
        <w:t xml:space="preserve">The secondary economic comparison using the </w:t>
      </w:r>
      <w:r w:rsidR="001653EF" w:rsidRPr="00C42A2C">
        <w:rPr>
          <w:iCs/>
        </w:rPr>
        <w:t xml:space="preserve">confidential price of </w:t>
      </w:r>
      <w:r w:rsidR="00C57BA1" w:rsidRPr="00C42A2C">
        <w:rPr>
          <w:iCs/>
        </w:rPr>
        <w:t>ZVL</w:t>
      </w:r>
      <w:r w:rsidR="00C02E1C" w:rsidRPr="00C42A2C">
        <w:rPr>
          <w:iCs/>
        </w:rPr>
        <w:t xml:space="preserve"> </w:t>
      </w:r>
      <w:r w:rsidR="00C57BA1" w:rsidRPr="00C42A2C">
        <w:rPr>
          <w:iCs/>
        </w:rPr>
        <w:t>is presented in the CIC section</w:t>
      </w:r>
      <w:r w:rsidR="00A77A67" w:rsidRPr="00C42A2C">
        <w:rPr>
          <w:iCs/>
        </w:rPr>
        <w:t xml:space="preserve"> in Section </w:t>
      </w:r>
      <w:r w:rsidR="00C262E9" w:rsidRPr="00C42A2C">
        <w:rPr>
          <w:iCs/>
        </w:rPr>
        <w:t>7</w:t>
      </w:r>
      <w:r w:rsidR="00C57BA1" w:rsidRPr="00C42A2C">
        <w:rPr>
          <w:iCs/>
        </w:rPr>
        <w:t xml:space="preserve">. </w:t>
      </w:r>
      <w:bookmarkEnd w:id="58"/>
    </w:p>
    <w:p w14:paraId="02EDB300" w14:textId="0B963D04" w:rsidR="00D4348E" w:rsidRPr="00561625" w:rsidRDefault="00D4348E">
      <w:pPr>
        <w:pStyle w:val="3-BodyText"/>
        <w:rPr>
          <w:iCs/>
        </w:rPr>
      </w:pPr>
      <w:bookmarkStart w:id="61" w:name="_Ref124926510"/>
      <w:r w:rsidRPr="00F345DE">
        <w:rPr>
          <w:iCs/>
        </w:rPr>
        <w:t>When recommending ZVL, the PBAC considered</w:t>
      </w:r>
      <w:r w:rsidRPr="00F345DE">
        <w:rPr>
          <w:iCs/>
          <w:szCs w:val="22"/>
        </w:rPr>
        <w:t xml:space="preserve"> that a price reduction in the order of </w:t>
      </w:r>
      <w:r w:rsidR="00BA039D" w:rsidRPr="00BA039D">
        <w:rPr>
          <w:iCs/>
          <w:color w:val="000000"/>
          <w:w w:val="24"/>
          <w:szCs w:val="22"/>
          <w:shd w:val="solid" w:color="000000" w:fill="000000"/>
          <w:fitText w:val="80" w:id="-1233442296"/>
          <w14:textFill>
            <w14:solidFill>
              <w14:srgbClr w14:val="000000">
                <w14:alpha w14:val="100000"/>
              </w14:srgbClr>
            </w14:solidFill>
          </w14:textFill>
        </w:rPr>
        <w:t xml:space="preserve">|  </w:t>
      </w:r>
      <w:r w:rsidR="00BA039D" w:rsidRPr="00BA039D">
        <w:rPr>
          <w:iCs/>
          <w:color w:val="000000"/>
          <w:spacing w:val="1"/>
          <w:w w:val="24"/>
          <w:szCs w:val="22"/>
          <w:shd w:val="solid" w:color="000000" w:fill="000000"/>
          <w:fitText w:val="80" w:id="-1233442296"/>
          <w14:textFill>
            <w14:solidFill>
              <w14:srgbClr w14:val="000000">
                <w14:alpha w14:val="100000"/>
              </w14:srgbClr>
            </w14:solidFill>
          </w14:textFill>
        </w:rPr>
        <w:t>|</w:t>
      </w:r>
      <w:r w:rsidRPr="00F345DE">
        <w:rPr>
          <w:iCs/>
          <w:szCs w:val="22"/>
        </w:rPr>
        <w:t xml:space="preserve">% would be required to give an ICER in a range of $15,000/QALY - $45,000/QALY in the respecified base case (paragraph 6.27, </w:t>
      </w:r>
      <w:r w:rsidR="00915A5A">
        <w:rPr>
          <w:iCs/>
          <w:szCs w:val="22"/>
        </w:rPr>
        <w:t>Zostavax</w:t>
      </w:r>
      <w:r w:rsidR="00C57BA1" w:rsidRPr="00F345DE">
        <w:rPr>
          <w:iCs/>
          <w:szCs w:val="22"/>
        </w:rPr>
        <w:t xml:space="preserve"> PSD, November 2014 PBAC meeting)</w:t>
      </w:r>
      <w:r w:rsidRPr="00F345DE">
        <w:rPr>
          <w:iCs/>
          <w:szCs w:val="22"/>
        </w:rPr>
        <w:t xml:space="preserve">. </w:t>
      </w:r>
      <w:bookmarkEnd w:id="61"/>
    </w:p>
    <w:p w14:paraId="2B41DDA0" w14:textId="5AE2433F" w:rsidR="00D73D20" w:rsidRPr="00AD7238" w:rsidRDefault="00D73D20" w:rsidP="00D73D20">
      <w:pPr>
        <w:pStyle w:val="4-SubsectionHeading"/>
      </w:pPr>
      <w:bookmarkStart w:id="62" w:name="_Toc124949418"/>
      <w:r w:rsidRPr="00AD7238">
        <w:t>Vaccine cost/</w:t>
      </w:r>
      <w:r w:rsidR="002409AE">
        <w:t>person</w:t>
      </w:r>
      <w:r w:rsidRPr="00AD7238">
        <w:t>/</w:t>
      </w:r>
      <w:bookmarkStart w:id="63" w:name="_Toc22897646"/>
      <w:r w:rsidRPr="00AD7238">
        <w:t>course</w:t>
      </w:r>
      <w:bookmarkEnd w:id="62"/>
      <w:bookmarkEnd w:id="63"/>
    </w:p>
    <w:p w14:paraId="18DFFCAC" w14:textId="4365684A" w:rsidR="00D73D20" w:rsidRPr="00A65E17" w:rsidRDefault="0013256D" w:rsidP="00D73D20">
      <w:pPr>
        <w:pStyle w:val="3-BodyText"/>
      </w:pPr>
      <w:bookmarkStart w:id="64" w:name="_Ref104805102"/>
      <w:r w:rsidRPr="00AD7238">
        <w:t>T</w:t>
      </w:r>
      <w:r w:rsidR="00D73D20" w:rsidRPr="00AD7238">
        <w:t xml:space="preserve">he cost of a course of RZV vaccination (2 doses) </w:t>
      </w:r>
      <w:r w:rsidRPr="00AD7238">
        <w:t xml:space="preserve">is </w:t>
      </w:r>
      <w:r w:rsidR="00D73D20" w:rsidRPr="00AD7238">
        <w:t>$</w:t>
      </w:r>
      <w:r w:rsidR="00BA039D" w:rsidRPr="00BA039D">
        <w:rPr>
          <w:color w:val="000000"/>
          <w:w w:val="55"/>
          <w:shd w:val="solid" w:color="000000" w:fill="000000"/>
          <w:fitText w:val="795" w:id="-1233442295"/>
          <w14:textFill>
            <w14:solidFill>
              <w14:srgbClr w14:val="000000">
                <w14:alpha w14:val="100000"/>
              </w14:srgbClr>
            </w14:solidFill>
          </w14:textFill>
        </w:rPr>
        <w:t>||||||  |||||</w:t>
      </w:r>
      <w:r w:rsidR="00BA039D" w:rsidRPr="00BA039D">
        <w:rPr>
          <w:color w:val="000000"/>
          <w:spacing w:val="7"/>
          <w:w w:val="55"/>
          <w:shd w:val="solid" w:color="000000" w:fill="000000"/>
          <w:fitText w:val="795" w:id="-1233442295"/>
          <w14:textFill>
            <w14:solidFill>
              <w14:srgbClr w14:val="000000">
                <w14:alpha w14:val="100000"/>
              </w14:srgbClr>
            </w14:solidFill>
          </w14:textFill>
        </w:rPr>
        <w:t>|</w:t>
      </w:r>
      <w:r w:rsidR="00D73D20" w:rsidRPr="00AD7238">
        <w:t xml:space="preserve"> per individual. </w:t>
      </w:r>
      <w:r w:rsidR="00D73D20" w:rsidRPr="00F345DE">
        <w:rPr>
          <w:iCs/>
        </w:rPr>
        <w:t>This is lower than the cost of $</w:t>
      </w:r>
      <w:r w:rsidR="00BA039D" w:rsidRPr="00BA039D">
        <w:rPr>
          <w:iCs/>
          <w:color w:val="000000"/>
          <w:w w:val="24"/>
          <w:shd w:val="solid" w:color="000000" w:fill="000000"/>
          <w:fitText w:val="80" w:id="-1233442294"/>
          <w14:textFill>
            <w14:solidFill>
              <w14:srgbClr w14:val="000000">
                <w14:alpha w14:val="100000"/>
              </w14:srgbClr>
            </w14:solidFill>
          </w14:textFill>
        </w:rPr>
        <w:t xml:space="preserve">|  </w:t>
      </w:r>
      <w:r w:rsidR="00BA039D" w:rsidRPr="00BA039D">
        <w:rPr>
          <w:iCs/>
          <w:color w:val="000000"/>
          <w:spacing w:val="1"/>
          <w:w w:val="24"/>
          <w:shd w:val="solid" w:color="000000" w:fill="000000"/>
          <w:fitText w:val="80" w:id="-1233442294"/>
          <w14:textFill>
            <w14:solidFill>
              <w14:srgbClr w14:val="000000">
                <w14:alpha w14:val="100000"/>
              </w14:srgbClr>
            </w14:solidFill>
          </w14:textFill>
        </w:rPr>
        <w:t>|</w:t>
      </w:r>
      <w:r w:rsidR="00D73D20" w:rsidRPr="00F345DE">
        <w:rPr>
          <w:iCs/>
        </w:rPr>
        <w:t xml:space="preserve"> </w:t>
      </w:r>
      <w:r w:rsidR="00E62D5F" w:rsidRPr="00F345DE">
        <w:rPr>
          <w:iCs/>
        </w:rPr>
        <w:t xml:space="preserve">proposed </w:t>
      </w:r>
      <w:r w:rsidR="00D73D20" w:rsidRPr="00F345DE">
        <w:rPr>
          <w:iCs/>
        </w:rPr>
        <w:t xml:space="preserve">in the 2018 submission. </w:t>
      </w:r>
    </w:p>
    <w:p w14:paraId="63ED1924" w14:textId="77777777" w:rsidR="00D73D20" w:rsidRPr="00AD7238" w:rsidRDefault="00D73D20" w:rsidP="00D73D20">
      <w:pPr>
        <w:pStyle w:val="4-SubsectionHeading"/>
      </w:pPr>
      <w:bookmarkStart w:id="65" w:name="_Toc22897647"/>
      <w:bookmarkStart w:id="66" w:name="_Toc124949419"/>
      <w:bookmarkEnd w:id="64"/>
      <w:r w:rsidRPr="00AD7238">
        <w:lastRenderedPageBreak/>
        <w:t>Estimated PBS usage &amp; financial implications</w:t>
      </w:r>
      <w:bookmarkEnd w:id="65"/>
      <w:bookmarkEnd w:id="66"/>
    </w:p>
    <w:p w14:paraId="19EA5EEF" w14:textId="72A0106B" w:rsidR="00D73D20" w:rsidRPr="00AD7238" w:rsidRDefault="00D73D20" w:rsidP="00D73D20">
      <w:pPr>
        <w:pStyle w:val="3-BodyText"/>
        <w:rPr>
          <w:color w:val="0066FF"/>
        </w:rPr>
      </w:pPr>
      <w:r w:rsidRPr="00AD7238">
        <w:t xml:space="preserve">This </w:t>
      </w:r>
      <w:r w:rsidR="00F40635" w:rsidRPr="00AD7238">
        <w:t>re</w:t>
      </w:r>
      <w:r w:rsidRPr="00AD7238">
        <w:t xml:space="preserve">submission </w:t>
      </w:r>
      <w:r w:rsidR="00013165">
        <w:t>was</w:t>
      </w:r>
      <w:r w:rsidRPr="00AD7238">
        <w:t xml:space="preserve"> not considered by DUSC</w:t>
      </w:r>
      <w:r w:rsidRPr="00AD7238">
        <w:rPr>
          <w:color w:val="0070C0"/>
        </w:rPr>
        <w:t xml:space="preserve">. </w:t>
      </w:r>
    </w:p>
    <w:p w14:paraId="4F48BD08" w14:textId="58C7DBEB" w:rsidR="00D73D20" w:rsidRPr="00AD7238" w:rsidRDefault="00D73D20" w:rsidP="00D73D20">
      <w:pPr>
        <w:pStyle w:val="3-BodyText"/>
      </w:pPr>
      <w:r w:rsidRPr="00AD7238">
        <w:t xml:space="preserve">The </w:t>
      </w:r>
      <w:r w:rsidR="001637E5" w:rsidRPr="00AD7238">
        <w:t>re</w:t>
      </w:r>
      <w:r w:rsidRPr="00AD7238">
        <w:t xml:space="preserve">submission used an epidemiological approach to estimate the utilisation and financial estimates of the proposed NIP listing of 2-dose RZV for non-Indigenous adults </w:t>
      </w:r>
      <w:r w:rsidRPr="00AD7238">
        <w:rPr>
          <w:rFonts w:cstheme="minorBidi"/>
        </w:rPr>
        <w:t>≥</w:t>
      </w:r>
      <w:r w:rsidRPr="00AD7238">
        <w:t xml:space="preserve">65 YOA and </w:t>
      </w:r>
      <w:r w:rsidR="00413234" w:rsidRPr="00AD7238">
        <w:t>Aboriginal and Torres Strait Islander adults</w:t>
      </w:r>
      <w:r w:rsidR="00DE1FFD" w:rsidRPr="00AD7238">
        <w:t xml:space="preserve"> </w:t>
      </w:r>
      <w:r w:rsidRPr="00AD7238">
        <w:rPr>
          <w:rFonts w:cstheme="minorBidi"/>
        </w:rPr>
        <w:t>≥</w:t>
      </w:r>
      <w:r w:rsidRPr="00AD7238">
        <w:t xml:space="preserve">50 YOA. The proposed NIP listing also includes perpetual catch-up programs for </w:t>
      </w:r>
      <w:r w:rsidR="000B581C" w:rsidRPr="00AD7238">
        <w:t>both populations</w:t>
      </w:r>
      <w:r w:rsidRPr="00AD7238">
        <w:t xml:space="preserve"> </w:t>
      </w:r>
      <w:r w:rsidR="003554ED" w:rsidRPr="00A65E17">
        <w:rPr>
          <w:iCs/>
        </w:rPr>
        <w:t>(as supported by ATAGI)</w:t>
      </w:r>
      <w:r w:rsidR="003554ED">
        <w:t xml:space="preserve"> </w:t>
      </w:r>
      <w:r w:rsidRPr="00AD7238">
        <w:t>and the financial estimates of these populations are included.</w:t>
      </w:r>
      <w:r w:rsidR="00F14685" w:rsidRPr="00AD7238">
        <w:t xml:space="preserve"> The change in use and financial impact of ZVL were not included in the financial estimates as the </w:t>
      </w:r>
      <w:r w:rsidR="00815FA2" w:rsidRPr="00AD7238">
        <w:t>re</w:t>
      </w:r>
      <w:r w:rsidR="00F14685" w:rsidRPr="00AD7238">
        <w:t>submission assumed that ZVL will be discontinued in Australian in</w:t>
      </w:r>
      <w:r w:rsidR="008F591D">
        <w:t xml:space="preserve"> late</w:t>
      </w:r>
      <w:r w:rsidR="00F14685" w:rsidRPr="00AD7238">
        <w:t xml:space="preserve"> </w:t>
      </w:r>
      <w:r w:rsidR="00F14685" w:rsidRPr="006E790F">
        <w:t>2023</w:t>
      </w:r>
      <w:r w:rsidR="00F14685" w:rsidRPr="00AD7238">
        <w:t>.</w:t>
      </w:r>
    </w:p>
    <w:p w14:paraId="3488BD50" w14:textId="63A7107E" w:rsidR="00D73D20" w:rsidRPr="00AD7238" w:rsidRDefault="00D73D20" w:rsidP="00D73D20">
      <w:pPr>
        <w:pStyle w:val="3-BodyText"/>
      </w:pPr>
      <w:r w:rsidRPr="00AD7238">
        <w:t xml:space="preserve">The key inputs and sources for the financial estimates are presented in </w:t>
      </w:r>
      <w:r w:rsidRPr="00AD7238">
        <w:fldChar w:fldCharType="begin" w:fldLock="1"/>
      </w:r>
      <w:r w:rsidRPr="00AD7238">
        <w:instrText xml:space="preserve"> REF _Ref122266983 \h </w:instrText>
      </w:r>
      <w:r w:rsidRPr="00AD7238">
        <w:fldChar w:fldCharType="separate"/>
      </w:r>
      <w:r w:rsidR="00602E99" w:rsidRPr="00AD7238">
        <w:t xml:space="preserve">Table </w:t>
      </w:r>
      <w:r w:rsidR="00602E99">
        <w:rPr>
          <w:noProof/>
        </w:rPr>
        <w:t>17</w:t>
      </w:r>
      <w:r w:rsidRPr="00AD7238">
        <w:fldChar w:fldCharType="end"/>
      </w:r>
      <w:r w:rsidRPr="00AD7238">
        <w:t xml:space="preserve">. </w:t>
      </w:r>
    </w:p>
    <w:p w14:paraId="7CD384FE" w14:textId="123BAF1A" w:rsidR="00D73D20" w:rsidRPr="00AD7238" w:rsidRDefault="00D73D20" w:rsidP="00D73D20">
      <w:pPr>
        <w:pStyle w:val="Caption"/>
        <w:rPr>
          <w:rStyle w:val="CommentReference"/>
          <w:b/>
          <w:szCs w:val="24"/>
        </w:rPr>
      </w:pPr>
      <w:bookmarkStart w:id="67" w:name="_Ref104805262"/>
      <w:bookmarkStart w:id="68" w:name="_Ref122266983"/>
      <w:r w:rsidRPr="00AD7238">
        <w:lastRenderedPageBreak/>
        <w:t xml:space="preserve">Table </w:t>
      </w:r>
      <w:bookmarkEnd w:id="67"/>
      <w:r w:rsidRPr="00AD7238">
        <w:fldChar w:fldCharType="begin" w:fldLock="1"/>
      </w:r>
      <w:r w:rsidRPr="00AD7238">
        <w:instrText xml:space="preserve"> SEQ Table \* ARABIC </w:instrText>
      </w:r>
      <w:r w:rsidRPr="00AD7238">
        <w:fldChar w:fldCharType="separate"/>
      </w:r>
      <w:r w:rsidR="00602E99">
        <w:rPr>
          <w:noProof/>
        </w:rPr>
        <w:t>17</w:t>
      </w:r>
      <w:r w:rsidRPr="00AD7238">
        <w:fldChar w:fldCharType="end"/>
      </w:r>
      <w:bookmarkEnd w:id="68"/>
      <w:r w:rsidRPr="00AD7238">
        <w:t>:</w:t>
      </w:r>
      <w:r w:rsidRPr="00AD7238">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5"/>
        <w:gridCol w:w="3479"/>
        <w:gridCol w:w="4343"/>
      </w:tblGrid>
      <w:tr w:rsidR="00D73D20" w:rsidRPr="00AD7238" w14:paraId="591BB429" w14:textId="77777777" w:rsidTr="00674C86">
        <w:trPr>
          <w:tblHeader/>
        </w:trPr>
        <w:tc>
          <w:tcPr>
            <w:tcW w:w="663" w:type="pct"/>
            <w:shd w:val="clear" w:color="auto" w:fill="auto"/>
            <w:vAlign w:val="center"/>
          </w:tcPr>
          <w:p w14:paraId="59A209CB" w14:textId="77777777" w:rsidR="00D73D20" w:rsidRPr="00AD7238" w:rsidRDefault="00D73D20">
            <w:pPr>
              <w:pStyle w:val="In-tableHeading"/>
              <w:rPr>
                <w:lang w:val="en-AU"/>
              </w:rPr>
            </w:pPr>
            <w:r w:rsidRPr="00AD7238">
              <w:rPr>
                <w:lang w:val="en-AU"/>
              </w:rPr>
              <w:t>Parameter</w:t>
            </w:r>
          </w:p>
        </w:tc>
        <w:tc>
          <w:tcPr>
            <w:tcW w:w="1929" w:type="pct"/>
            <w:shd w:val="clear" w:color="auto" w:fill="auto"/>
            <w:vAlign w:val="center"/>
          </w:tcPr>
          <w:p w14:paraId="385EA4F6" w14:textId="77777777" w:rsidR="00D73D20" w:rsidRPr="00AD7238" w:rsidRDefault="00D73D20">
            <w:pPr>
              <w:pStyle w:val="In-tableHeading"/>
              <w:rPr>
                <w:lang w:val="en-AU"/>
              </w:rPr>
            </w:pPr>
            <w:r w:rsidRPr="00AD7238">
              <w:rPr>
                <w:lang w:val="en-AU"/>
              </w:rPr>
              <w:t>Value applied and source</w:t>
            </w:r>
          </w:p>
        </w:tc>
        <w:tc>
          <w:tcPr>
            <w:tcW w:w="2409" w:type="pct"/>
            <w:shd w:val="clear" w:color="auto" w:fill="auto"/>
            <w:vAlign w:val="center"/>
          </w:tcPr>
          <w:p w14:paraId="21EB40A5" w14:textId="77777777" w:rsidR="00D73D20" w:rsidRPr="00AD7238" w:rsidRDefault="00D73D20">
            <w:pPr>
              <w:pStyle w:val="In-tableHeading"/>
              <w:rPr>
                <w:lang w:val="en-AU"/>
              </w:rPr>
            </w:pPr>
            <w:r w:rsidRPr="00AD7238">
              <w:rPr>
                <w:lang w:val="en-AU"/>
              </w:rPr>
              <w:t>Comment</w:t>
            </w:r>
          </w:p>
        </w:tc>
      </w:tr>
      <w:tr w:rsidR="00D73D20" w:rsidRPr="00AD7238" w14:paraId="5ADD4960" w14:textId="77777777" w:rsidTr="00674C86">
        <w:tc>
          <w:tcPr>
            <w:tcW w:w="663" w:type="pct"/>
            <w:shd w:val="clear" w:color="auto" w:fill="auto"/>
            <w:vAlign w:val="center"/>
          </w:tcPr>
          <w:p w14:paraId="16DB67E8" w14:textId="0973563D" w:rsidR="00D73D20" w:rsidRPr="00AD7238" w:rsidRDefault="00C00DF8">
            <w:pPr>
              <w:pStyle w:val="TableText0"/>
            </w:pPr>
            <w:r w:rsidRPr="00AD7238">
              <w:t xml:space="preserve">Eligible </w:t>
            </w:r>
            <w:r w:rsidR="00D73D20" w:rsidRPr="00AD7238">
              <w:t>population</w:t>
            </w:r>
          </w:p>
        </w:tc>
        <w:tc>
          <w:tcPr>
            <w:tcW w:w="1929" w:type="pct"/>
            <w:shd w:val="clear" w:color="auto" w:fill="auto"/>
            <w:vAlign w:val="center"/>
          </w:tcPr>
          <w:p w14:paraId="7A2DEF0B" w14:textId="29AA6863" w:rsidR="00D73D20" w:rsidRPr="00AD7238" w:rsidRDefault="00C00DF8">
            <w:pPr>
              <w:pStyle w:val="TableText0"/>
            </w:pPr>
            <w:r w:rsidRPr="00AD7238">
              <w:t>Eligible</w:t>
            </w:r>
            <w:r w:rsidR="00D73D20" w:rsidRPr="00AD7238">
              <w:t xml:space="preserve"> population based on ABS data sources for all population groups. </w:t>
            </w:r>
          </w:p>
          <w:p w14:paraId="4F3868F0" w14:textId="24BE874F" w:rsidR="00D73D20" w:rsidRPr="00AD7238" w:rsidRDefault="008A7F66">
            <w:pPr>
              <w:pStyle w:val="TableText0"/>
            </w:pPr>
            <w:r w:rsidRPr="00AD7238">
              <w:t xml:space="preserve">Aboriginal and Torres Strait Islander </w:t>
            </w:r>
            <w:r w:rsidR="008831C7" w:rsidRPr="00AD7238">
              <w:t xml:space="preserve">population </w:t>
            </w:r>
            <w:r w:rsidR="00D73D20" w:rsidRPr="00AD7238">
              <w:t xml:space="preserve">projections based on “Estimates and Projections, Aboriginal and Torres Strait Islander Australians, 2006 to 2031 (Series 3238.0)”. </w:t>
            </w:r>
          </w:p>
          <w:p w14:paraId="421EA76A" w14:textId="77777777" w:rsidR="00D73D20" w:rsidRPr="00AD7238" w:rsidRDefault="00D73D20">
            <w:pPr>
              <w:pStyle w:val="TableText0"/>
            </w:pPr>
            <w:r w:rsidRPr="00AD7238">
              <w:t>Non-Indigenous projections based on “ABS Population Projections, Australia, 2017 (base), (Series 3222.0)”</w:t>
            </w:r>
          </w:p>
        </w:tc>
        <w:tc>
          <w:tcPr>
            <w:tcW w:w="2409" w:type="pct"/>
            <w:shd w:val="clear" w:color="auto" w:fill="auto"/>
            <w:vAlign w:val="center"/>
          </w:tcPr>
          <w:p w14:paraId="2D095A63" w14:textId="77777777" w:rsidR="00D73D20" w:rsidRPr="00AD7238" w:rsidRDefault="00D73D20">
            <w:pPr>
              <w:pStyle w:val="TableText0"/>
            </w:pPr>
            <w:r w:rsidRPr="00F345DE">
              <w:t>These data sources are appropriate, and the approach used is reasonable.</w:t>
            </w:r>
          </w:p>
        </w:tc>
      </w:tr>
      <w:tr w:rsidR="001811BC" w:rsidRPr="00F345DE" w14:paraId="615BA774" w14:textId="77777777" w:rsidTr="00674C86">
        <w:trPr>
          <w:trHeight w:val="901"/>
        </w:trPr>
        <w:tc>
          <w:tcPr>
            <w:tcW w:w="663" w:type="pct"/>
            <w:vMerge w:val="restart"/>
            <w:shd w:val="clear" w:color="auto" w:fill="auto"/>
            <w:vAlign w:val="center"/>
          </w:tcPr>
          <w:p w14:paraId="7654D7AA" w14:textId="77777777" w:rsidR="001811BC" w:rsidRPr="00F345DE" w:rsidRDefault="001811BC">
            <w:pPr>
              <w:pStyle w:val="TableText0"/>
            </w:pPr>
            <w:r w:rsidRPr="00F345DE">
              <w:t>Uptake rate: 1</w:t>
            </w:r>
            <w:r w:rsidRPr="00F345DE">
              <w:rPr>
                <w:vertAlign w:val="superscript"/>
              </w:rPr>
              <w:t>st</w:t>
            </w:r>
            <w:r w:rsidRPr="00F345DE">
              <w:t xml:space="preserve"> dose</w:t>
            </w:r>
          </w:p>
        </w:tc>
        <w:tc>
          <w:tcPr>
            <w:tcW w:w="1929" w:type="pct"/>
            <w:shd w:val="clear" w:color="auto" w:fill="auto"/>
            <w:vAlign w:val="center"/>
          </w:tcPr>
          <w:p w14:paraId="2E9319B5" w14:textId="77777777" w:rsidR="001811BC" w:rsidRDefault="001811BC" w:rsidP="00A55613">
            <w:pPr>
              <w:pStyle w:val="TableText0"/>
            </w:pPr>
            <w:r>
              <w:t>Primary program:</w:t>
            </w:r>
          </w:p>
          <w:p w14:paraId="2FE29543" w14:textId="1C3F1037" w:rsidR="001811BC" w:rsidRPr="00F345DE" w:rsidRDefault="001811BC" w:rsidP="00A55613">
            <w:pPr>
              <w:pStyle w:val="TableText0"/>
            </w:pPr>
            <w:r w:rsidRPr="00F345DE">
              <w:t>1</w:t>
            </w:r>
            <w:r w:rsidRPr="00F345DE">
              <w:rPr>
                <w:vertAlign w:val="superscript"/>
              </w:rPr>
              <w:t>st</w:t>
            </w:r>
            <w:r w:rsidRPr="00F345DE">
              <w:t xml:space="preserve"> dose uptake rate of RZV ranged between 47% to 60% for non-Indigenous 65 YOA and 28% to 41% for Aboriginal and Torres Strait Islander adults 5O YOA. </w:t>
            </w:r>
            <w:r w:rsidRPr="00A65E17">
              <w:rPr>
                <w:iCs/>
              </w:rPr>
              <w:t>Cumulative coverage in the non-Indigenous primary program of people 65 YOA reache</w:t>
            </w:r>
            <w:r>
              <w:rPr>
                <w:iCs/>
              </w:rPr>
              <w:t>d</w:t>
            </w:r>
            <w:r w:rsidRPr="00A65E17">
              <w:rPr>
                <w:iCs/>
              </w:rPr>
              <w:t xml:space="preserve"> 75%</w:t>
            </w:r>
            <w:r>
              <w:rPr>
                <w:iCs/>
              </w:rPr>
              <w:t xml:space="preserve"> and in the Aboriginal and Torres Strait Islander primary program of people 50 YOA reached 71%</w:t>
            </w:r>
            <w:r w:rsidRPr="00A65E17">
              <w:rPr>
                <w:iCs/>
              </w:rPr>
              <w:t>.</w:t>
            </w:r>
          </w:p>
        </w:tc>
        <w:tc>
          <w:tcPr>
            <w:tcW w:w="2409" w:type="pct"/>
            <w:vMerge w:val="restart"/>
            <w:shd w:val="clear" w:color="auto" w:fill="auto"/>
            <w:vAlign w:val="center"/>
          </w:tcPr>
          <w:p w14:paraId="35404EEC" w14:textId="22E8ABEC" w:rsidR="001811BC" w:rsidRPr="00F345DE" w:rsidRDefault="001811BC">
            <w:pPr>
              <w:pStyle w:val="TableText0"/>
            </w:pPr>
          </w:p>
          <w:p w14:paraId="2284F299" w14:textId="4C57F041" w:rsidR="001811BC" w:rsidRPr="00F345DE" w:rsidRDefault="001811BC" w:rsidP="00942695">
            <w:pPr>
              <w:pStyle w:val="TableText0"/>
            </w:pPr>
            <w:r w:rsidRPr="00942695">
              <w:t>Cumulative uptake rates were above the ATAGI recommended range of 50-65%. (ATAGI pre-submission advice to PBAC, November 2022).</w:t>
            </w:r>
            <w:r>
              <w:t xml:space="preserve"> </w:t>
            </w:r>
          </w:p>
        </w:tc>
      </w:tr>
      <w:tr w:rsidR="001811BC" w:rsidRPr="00F345DE" w14:paraId="1282B7CC" w14:textId="77777777" w:rsidTr="00674C86">
        <w:trPr>
          <w:trHeight w:val="901"/>
        </w:trPr>
        <w:tc>
          <w:tcPr>
            <w:tcW w:w="663" w:type="pct"/>
            <w:vMerge/>
            <w:vAlign w:val="center"/>
          </w:tcPr>
          <w:p w14:paraId="1433FF1C" w14:textId="77777777" w:rsidR="001811BC" w:rsidRPr="00F345DE" w:rsidRDefault="001811BC">
            <w:pPr>
              <w:pStyle w:val="TableText0"/>
            </w:pPr>
          </w:p>
        </w:tc>
        <w:tc>
          <w:tcPr>
            <w:tcW w:w="1929" w:type="pct"/>
            <w:shd w:val="clear" w:color="auto" w:fill="auto"/>
            <w:vAlign w:val="center"/>
          </w:tcPr>
          <w:p w14:paraId="6D8CE219" w14:textId="3C84E411" w:rsidR="001811BC" w:rsidRDefault="001811BC" w:rsidP="00942695">
            <w:pPr>
              <w:pStyle w:val="TableText0"/>
            </w:pPr>
            <w:r>
              <w:t>Catch up program:</w:t>
            </w:r>
          </w:p>
          <w:p w14:paraId="29CE9337" w14:textId="3A5DCA39" w:rsidR="001811BC" w:rsidRPr="00942695" w:rsidRDefault="001811BC" w:rsidP="00942695">
            <w:pPr>
              <w:pStyle w:val="TableText0"/>
            </w:pPr>
            <w:r w:rsidRPr="00942695">
              <w:t xml:space="preserve">1st dose uptake rate was assumed to cumulatively reach 65% by the sixth year of NIP listing. </w:t>
            </w:r>
          </w:p>
        </w:tc>
        <w:tc>
          <w:tcPr>
            <w:tcW w:w="2409" w:type="pct"/>
            <w:vMerge/>
            <w:shd w:val="clear" w:color="auto" w:fill="auto"/>
            <w:vAlign w:val="center"/>
          </w:tcPr>
          <w:p w14:paraId="74F267BD" w14:textId="5EBA89AB" w:rsidR="001811BC" w:rsidRPr="00942695" w:rsidRDefault="001811BC" w:rsidP="00942695">
            <w:pPr>
              <w:pStyle w:val="TableText0"/>
            </w:pPr>
          </w:p>
        </w:tc>
      </w:tr>
      <w:tr w:rsidR="00D73D20" w:rsidRPr="00F345DE" w14:paraId="2749B6B8" w14:textId="77777777" w:rsidTr="00674C86">
        <w:trPr>
          <w:trHeight w:val="451"/>
        </w:trPr>
        <w:tc>
          <w:tcPr>
            <w:tcW w:w="663" w:type="pct"/>
            <w:vMerge w:val="restart"/>
            <w:shd w:val="clear" w:color="auto" w:fill="auto"/>
            <w:vAlign w:val="center"/>
          </w:tcPr>
          <w:p w14:paraId="3BD1C395" w14:textId="77777777" w:rsidR="00D73D20" w:rsidRPr="00F345DE" w:rsidRDefault="00D73D20">
            <w:pPr>
              <w:pStyle w:val="TableText0"/>
            </w:pPr>
            <w:r w:rsidRPr="00F345DE">
              <w:t>Uptake rate: 2</w:t>
            </w:r>
            <w:r w:rsidRPr="00F345DE">
              <w:rPr>
                <w:vertAlign w:val="superscript"/>
              </w:rPr>
              <w:t>nd</w:t>
            </w:r>
            <w:r w:rsidRPr="00F345DE">
              <w:t xml:space="preserve"> dose</w:t>
            </w:r>
          </w:p>
        </w:tc>
        <w:tc>
          <w:tcPr>
            <w:tcW w:w="1929" w:type="pct"/>
            <w:shd w:val="clear" w:color="auto" w:fill="auto"/>
            <w:vAlign w:val="center"/>
          </w:tcPr>
          <w:p w14:paraId="794906FD" w14:textId="77777777" w:rsidR="00D73D20" w:rsidRPr="00F345DE" w:rsidRDefault="00D73D20">
            <w:pPr>
              <w:pStyle w:val="TableText0"/>
            </w:pPr>
            <w:r w:rsidRPr="00F345DE">
              <w:t>75% for 50-59 YOA</w:t>
            </w:r>
          </w:p>
        </w:tc>
        <w:tc>
          <w:tcPr>
            <w:tcW w:w="2409" w:type="pct"/>
            <w:shd w:val="clear" w:color="auto" w:fill="auto"/>
            <w:vAlign w:val="center"/>
          </w:tcPr>
          <w:p w14:paraId="019E0C47" w14:textId="64322A39" w:rsidR="00D73D20" w:rsidRPr="00F345DE" w:rsidRDefault="009E5786">
            <w:pPr>
              <w:pStyle w:val="TableText0"/>
            </w:pPr>
            <w:r w:rsidRPr="00942695">
              <w:t xml:space="preserve">This aligns with ATAGI advice. </w:t>
            </w:r>
            <w:r>
              <w:t xml:space="preserve"> </w:t>
            </w:r>
          </w:p>
        </w:tc>
      </w:tr>
      <w:tr w:rsidR="00D73D20" w:rsidRPr="00F345DE" w14:paraId="2DE10E29" w14:textId="77777777" w:rsidTr="00674C86">
        <w:trPr>
          <w:trHeight w:val="450"/>
        </w:trPr>
        <w:tc>
          <w:tcPr>
            <w:tcW w:w="663" w:type="pct"/>
            <w:vMerge/>
            <w:vAlign w:val="center"/>
          </w:tcPr>
          <w:p w14:paraId="51F369CA" w14:textId="77777777" w:rsidR="00D73D20" w:rsidRPr="00F345DE" w:rsidDel="00F35ECD" w:rsidRDefault="00D73D20">
            <w:pPr>
              <w:pStyle w:val="TableText0"/>
            </w:pPr>
          </w:p>
        </w:tc>
        <w:tc>
          <w:tcPr>
            <w:tcW w:w="1929" w:type="pct"/>
            <w:shd w:val="clear" w:color="auto" w:fill="auto"/>
            <w:vAlign w:val="center"/>
          </w:tcPr>
          <w:p w14:paraId="022E5187" w14:textId="77777777" w:rsidR="00D73D20" w:rsidRPr="00F345DE" w:rsidDel="00F35ECD" w:rsidRDefault="00D73D20">
            <w:pPr>
              <w:pStyle w:val="TableText0"/>
            </w:pPr>
            <w:r w:rsidRPr="00F345DE">
              <w:t>80% for ≥60 YOA</w:t>
            </w:r>
          </w:p>
        </w:tc>
        <w:tc>
          <w:tcPr>
            <w:tcW w:w="2409" w:type="pct"/>
            <w:shd w:val="clear" w:color="auto" w:fill="auto"/>
            <w:vAlign w:val="center"/>
          </w:tcPr>
          <w:p w14:paraId="45FA4976" w14:textId="4C9B01FD" w:rsidR="00D73D20" w:rsidRPr="00F345DE" w:rsidDel="00F35ECD" w:rsidRDefault="00D73D20">
            <w:pPr>
              <w:pStyle w:val="TableText0"/>
            </w:pPr>
            <w:r w:rsidRPr="00F345DE">
              <w:t>This assumption does not align with ATAGI advice and is likely an overestimate. ATAGI advice recommended using a 65</w:t>
            </w:r>
            <w:r w:rsidRPr="00F345DE">
              <w:rPr>
                <w:iCs/>
              </w:rPr>
              <w:t>%</w:t>
            </w:r>
            <w:r w:rsidRPr="00F345DE">
              <w:t xml:space="preserve"> to 78% </w:t>
            </w:r>
            <w:r w:rsidR="00FC7F8D" w:rsidRPr="00F345DE">
              <w:t>for</w:t>
            </w:r>
            <w:r w:rsidRPr="00F345DE">
              <w:t xml:space="preserve"> adherence with the recommended dosing schedule (ATAGI pre-submission advice to PBAC, November 2022).</w:t>
            </w:r>
            <w:r w:rsidR="002925F5">
              <w:t xml:space="preserve"> </w:t>
            </w:r>
            <w:r w:rsidR="002925F5" w:rsidRPr="00A65E17">
              <w:rPr>
                <w:iCs/>
              </w:rPr>
              <w:t>The PSCR stated the second dose uptake was based on post-marketing data for the 12 month 2 dose completion rates from the US and Canada. The PSCR noted the ATAGI advice was based on 2 to 6 month completion rates. The PSCR stated the 12 month completion was appropriate as vaccine effectiveness is not altered by receipt of the vaccine in this time frame.</w:t>
            </w:r>
            <w:r w:rsidR="002925F5">
              <w:t xml:space="preserve"> </w:t>
            </w:r>
          </w:p>
        </w:tc>
      </w:tr>
      <w:tr w:rsidR="00D73D20" w:rsidRPr="00F345DE" w14:paraId="46FD8CEE" w14:textId="77777777" w:rsidTr="00674C86">
        <w:tc>
          <w:tcPr>
            <w:tcW w:w="663" w:type="pct"/>
            <w:shd w:val="clear" w:color="auto" w:fill="auto"/>
            <w:vAlign w:val="center"/>
          </w:tcPr>
          <w:p w14:paraId="2DE900A7" w14:textId="77777777" w:rsidR="00D73D20" w:rsidRPr="00F345DE" w:rsidRDefault="00D73D20">
            <w:pPr>
              <w:pStyle w:val="TableText0"/>
            </w:pPr>
            <w:r w:rsidRPr="00F345DE">
              <w:t>HZ, PHN and non-PHN cases avoided</w:t>
            </w:r>
          </w:p>
        </w:tc>
        <w:tc>
          <w:tcPr>
            <w:tcW w:w="1929" w:type="pct"/>
            <w:shd w:val="clear" w:color="auto" w:fill="auto"/>
            <w:vAlign w:val="center"/>
          </w:tcPr>
          <w:p w14:paraId="5ECAE4A0" w14:textId="7E70D1A5" w:rsidR="00D73D20" w:rsidRPr="00F345DE" w:rsidRDefault="00446413">
            <w:pPr>
              <w:pStyle w:val="TableText0"/>
            </w:pPr>
            <w:r w:rsidRPr="00F345DE">
              <w:t xml:space="preserve">Results from the </w:t>
            </w:r>
            <w:r w:rsidR="00D73D20" w:rsidRPr="00F345DE">
              <w:t>economic model</w:t>
            </w:r>
            <w:r w:rsidR="0022358F" w:rsidRPr="00F345DE">
              <w:t xml:space="preserve"> </w:t>
            </w:r>
            <w:r w:rsidRPr="00F345DE">
              <w:t xml:space="preserve">used to </w:t>
            </w:r>
            <w:r w:rsidR="0022358F" w:rsidRPr="00F345DE">
              <w:t xml:space="preserve">determine </w:t>
            </w:r>
            <w:r w:rsidR="00124887" w:rsidRPr="00F345DE">
              <w:t>cost</w:t>
            </w:r>
            <w:r w:rsidR="0087657C" w:rsidRPr="00F345DE">
              <w:t xml:space="preserve"> saving </w:t>
            </w:r>
            <w:r w:rsidR="007E66D4" w:rsidRPr="00F345DE">
              <w:t xml:space="preserve">to </w:t>
            </w:r>
            <w:r w:rsidR="007E409C" w:rsidRPr="00F345DE">
              <w:t>PBS</w:t>
            </w:r>
            <w:r w:rsidR="00AB799C" w:rsidRPr="00F345DE">
              <w:t xml:space="preserve"> </w:t>
            </w:r>
            <w:r w:rsidR="00F06DA4" w:rsidRPr="00F345DE">
              <w:t>(</w:t>
            </w:r>
            <w:r w:rsidRPr="00F345DE">
              <w:t xml:space="preserve">reduction in </w:t>
            </w:r>
            <w:r w:rsidR="00F06DA4" w:rsidRPr="00F345DE">
              <w:t>HZ</w:t>
            </w:r>
            <w:r w:rsidR="00621630" w:rsidRPr="00F345DE">
              <w:t xml:space="preserve"> rel</w:t>
            </w:r>
            <w:r w:rsidR="0051569C" w:rsidRPr="00F345DE">
              <w:t xml:space="preserve">ated antivirals and PHN medications) and </w:t>
            </w:r>
            <w:r w:rsidR="00D03D40" w:rsidRPr="00F345DE">
              <w:t>MBS (</w:t>
            </w:r>
            <w:r w:rsidRPr="00F345DE">
              <w:t xml:space="preserve">reduction in </w:t>
            </w:r>
            <w:r w:rsidR="00171CC9" w:rsidRPr="00F345DE">
              <w:t>GP visits)</w:t>
            </w:r>
          </w:p>
        </w:tc>
        <w:tc>
          <w:tcPr>
            <w:tcW w:w="2409" w:type="pct"/>
            <w:shd w:val="clear" w:color="auto" w:fill="auto"/>
            <w:vAlign w:val="center"/>
          </w:tcPr>
          <w:p w14:paraId="28B1C5CA" w14:textId="7F1F5677" w:rsidR="00D73D20" w:rsidRPr="00F345DE" w:rsidRDefault="00D73D20">
            <w:pPr>
              <w:pStyle w:val="TableText0"/>
              <w:keepNext w:val="0"/>
              <w:widowControl w:val="0"/>
            </w:pPr>
            <w:r w:rsidRPr="00F345DE">
              <w:rPr>
                <w:iCs/>
              </w:rPr>
              <w:t xml:space="preserve">These estimates were reliant on several key assumptions made in the economic model. These include uncertainties in the use of incidence estimates, assumptions on extrapolation of </w:t>
            </w:r>
            <w:r w:rsidR="004776AC" w:rsidRPr="00F345DE">
              <w:rPr>
                <w:iCs/>
              </w:rPr>
              <w:t>vaccine efficacy</w:t>
            </w:r>
            <w:r w:rsidRPr="00F345DE">
              <w:rPr>
                <w:iCs/>
              </w:rPr>
              <w:t xml:space="preserve"> (waning rates), and two-dose compliance. </w:t>
            </w:r>
          </w:p>
        </w:tc>
      </w:tr>
      <w:tr w:rsidR="00D73D20" w:rsidRPr="00F345DE" w14:paraId="710BDD6F" w14:textId="77777777" w:rsidTr="00674C86">
        <w:tc>
          <w:tcPr>
            <w:tcW w:w="663" w:type="pct"/>
            <w:shd w:val="clear" w:color="auto" w:fill="auto"/>
            <w:vAlign w:val="center"/>
          </w:tcPr>
          <w:p w14:paraId="0814694C" w14:textId="77777777" w:rsidR="00D73D20" w:rsidRPr="00F345DE" w:rsidRDefault="00D73D20">
            <w:pPr>
              <w:pStyle w:val="TableText0"/>
            </w:pPr>
            <w:r w:rsidRPr="00F345DE">
              <w:t>Prior ZVL vaccination</w:t>
            </w:r>
          </w:p>
        </w:tc>
        <w:tc>
          <w:tcPr>
            <w:tcW w:w="1929" w:type="pct"/>
            <w:shd w:val="clear" w:color="auto" w:fill="auto"/>
            <w:vAlign w:val="center"/>
          </w:tcPr>
          <w:p w14:paraId="12182C21" w14:textId="77777777" w:rsidR="00D73D20" w:rsidRPr="00F345DE" w:rsidRDefault="00D73D20">
            <w:pPr>
              <w:pStyle w:val="TableText0"/>
            </w:pPr>
            <w:r w:rsidRPr="00F345DE">
              <w:t>Assumed that 30% of 70-79 YOA population had a prior ZVL vaccination. This estimate was based on NCIRS 2021.</w:t>
            </w:r>
          </w:p>
        </w:tc>
        <w:tc>
          <w:tcPr>
            <w:tcW w:w="2409" w:type="pct"/>
            <w:shd w:val="clear" w:color="auto" w:fill="auto"/>
            <w:vAlign w:val="center"/>
          </w:tcPr>
          <w:p w14:paraId="4461A536" w14:textId="2DE68CF0" w:rsidR="00D73D20" w:rsidRPr="00F345DE" w:rsidRDefault="00250F5A">
            <w:pPr>
              <w:pStyle w:val="TableText0"/>
            </w:pPr>
            <w:r>
              <w:rPr>
                <w:iCs/>
              </w:rPr>
              <w:t xml:space="preserve">The ATAGI </w:t>
            </w:r>
            <w:r w:rsidR="00417F64">
              <w:rPr>
                <w:iCs/>
              </w:rPr>
              <w:t xml:space="preserve">post-submission </w:t>
            </w:r>
            <w:r>
              <w:rPr>
                <w:iCs/>
              </w:rPr>
              <w:t xml:space="preserve">advice provided data that supported a ZVL coverage of 43% in 70 to 74 YOA, 51% in 75 to 79 YOA and 28% in ≥ 80 YOA.  </w:t>
            </w:r>
          </w:p>
        </w:tc>
      </w:tr>
      <w:tr w:rsidR="00D73D20" w:rsidRPr="00F345DE" w14:paraId="66762F41" w14:textId="77777777" w:rsidTr="00674C86">
        <w:tc>
          <w:tcPr>
            <w:tcW w:w="663" w:type="pct"/>
            <w:shd w:val="clear" w:color="auto" w:fill="auto"/>
            <w:vAlign w:val="center"/>
          </w:tcPr>
          <w:p w14:paraId="6F3ADCD7" w14:textId="77777777" w:rsidR="00D73D20" w:rsidRPr="00F345DE" w:rsidRDefault="00D73D20">
            <w:pPr>
              <w:pStyle w:val="TableText0"/>
            </w:pPr>
            <w:r w:rsidRPr="00F345DE">
              <w:t>Prior HZ infection</w:t>
            </w:r>
          </w:p>
        </w:tc>
        <w:tc>
          <w:tcPr>
            <w:tcW w:w="1929" w:type="pct"/>
            <w:shd w:val="clear" w:color="auto" w:fill="auto"/>
            <w:vAlign w:val="center"/>
          </w:tcPr>
          <w:p w14:paraId="40370523" w14:textId="77777777" w:rsidR="00D73D20" w:rsidRPr="00F345DE" w:rsidRDefault="00D73D20">
            <w:pPr>
              <w:pStyle w:val="TableText0"/>
            </w:pPr>
            <w:r w:rsidRPr="00F345DE">
              <w:t>Assumed that 30% of 70-79 YOA population had a prior HZ infection. Based on Maclntyre (2015)</w:t>
            </w:r>
          </w:p>
        </w:tc>
        <w:tc>
          <w:tcPr>
            <w:tcW w:w="2409" w:type="pct"/>
            <w:shd w:val="clear" w:color="auto" w:fill="auto"/>
            <w:vAlign w:val="center"/>
          </w:tcPr>
          <w:p w14:paraId="19CCF240" w14:textId="44F1FDF8" w:rsidR="00D73D20" w:rsidRPr="00F345DE" w:rsidRDefault="00AC436D">
            <w:pPr>
              <w:pStyle w:val="TableText0"/>
            </w:pPr>
            <w:r w:rsidRPr="00A65E17">
              <w:rPr>
                <w:iCs/>
              </w:rPr>
              <w:t>Uncertain</w:t>
            </w:r>
          </w:p>
        </w:tc>
      </w:tr>
      <w:tr w:rsidR="00D73D20" w:rsidRPr="00F345DE" w14:paraId="566EC69D" w14:textId="77777777" w:rsidTr="00674C86">
        <w:tc>
          <w:tcPr>
            <w:tcW w:w="663" w:type="pct"/>
            <w:shd w:val="clear" w:color="auto" w:fill="auto"/>
            <w:vAlign w:val="center"/>
          </w:tcPr>
          <w:p w14:paraId="5EFFBEAE" w14:textId="473640CD" w:rsidR="00D73D20" w:rsidRPr="006E790F" w:rsidRDefault="00007E9B">
            <w:pPr>
              <w:pStyle w:val="TableText0"/>
            </w:pPr>
            <w:r>
              <w:t>Cost of vaccine administration</w:t>
            </w:r>
          </w:p>
        </w:tc>
        <w:tc>
          <w:tcPr>
            <w:tcW w:w="1929" w:type="pct"/>
            <w:shd w:val="clear" w:color="auto" w:fill="auto"/>
            <w:vAlign w:val="center"/>
          </w:tcPr>
          <w:p w14:paraId="144312E6" w14:textId="38787A77" w:rsidR="00D73D20" w:rsidRPr="006E790F" w:rsidRDefault="00D73D20">
            <w:pPr>
              <w:pStyle w:val="TableText0"/>
            </w:pPr>
            <w:r w:rsidRPr="006E790F">
              <w:t>Level A consultation MBS item 3 = $18.20</w:t>
            </w:r>
          </w:p>
        </w:tc>
        <w:tc>
          <w:tcPr>
            <w:tcW w:w="2409" w:type="pct"/>
            <w:shd w:val="clear" w:color="auto" w:fill="auto"/>
            <w:vAlign w:val="center"/>
          </w:tcPr>
          <w:p w14:paraId="6C38B46E" w14:textId="0311A6DA" w:rsidR="00D73D20" w:rsidRPr="006E790F" w:rsidRDefault="00D73D20">
            <w:pPr>
              <w:pStyle w:val="TableText0"/>
            </w:pPr>
          </w:p>
        </w:tc>
      </w:tr>
    </w:tbl>
    <w:p w14:paraId="72C6492D" w14:textId="2E83EBFC" w:rsidR="00D73D20" w:rsidRPr="00AD7238" w:rsidRDefault="00D73D20" w:rsidP="00D73D20">
      <w:pPr>
        <w:pStyle w:val="FooterTableFigure"/>
      </w:pPr>
      <w:r w:rsidRPr="00AD7238">
        <w:t xml:space="preserve">Source: Table 4.2, pp239-241 of the </w:t>
      </w:r>
      <w:r w:rsidR="00815FA2" w:rsidRPr="00AD7238">
        <w:t>re</w:t>
      </w:r>
      <w:r w:rsidRPr="00AD7238">
        <w:t xml:space="preserve">submission, Table 4.3, p242 of the </w:t>
      </w:r>
      <w:r w:rsidR="00815FA2" w:rsidRPr="00AD7238">
        <w:t>re</w:t>
      </w:r>
      <w:r w:rsidRPr="00AD7238">
        <w:t>submission, Table 4.4,</w:t>
      </w:r>
      <w:r w:rsidRPr="00AD7238">
        <w:rPr>
          <w:rFonts w:ascii="Calibri" w:hAnsi="Calibri"/>
          <w:snapToGrid/>
          <w:sz w:val="24"/>
          <w:szCs w:val="24"/>
        </w:rPr>
        <w:t xml:space="preserve"> </w:t>
      </w:r>
      <w:r w:rsidRPr="00AD7238">
        <w:t xml:space="preserve">p242 of the </w:t>
      </w:r>
      <w:r w:rsidR="00815FA2" w:rsidRPr="00AD7238">
        <w:t>re</w:t>
      </w:r>
      <w:r w:rsidRPr="00AD7238">
        <w:t xml:space="preserve">submission, Table 4.5, p244 of the </w:t>
      </w:r>
      <w:r w:rsidR="00815FA2" w:rsidRPr="00AD7238">
        <w:t>re</w:t>
      </w:r>
      <w:r w:rsidRPr="00AD7238">
        <w:t>submission, Table 4.6, p244 of the</w:t>
      </w:r>
      <w:r w:rsidR="00815FA2" w:rsidRPr="00AD7238">
        <w:t>re</w:t>
      </w:r>
      <w:r w:rsidRPr="00AD7238">
        <w:t xml:space="preserve"> submission, Table 4.7, pp244-245 of the </w:t>
      </w:r>
      <w:r w:rsidR="00815FA2" w:rsidRPr="00AD7238">
        <w:t>re</w:t>
      </w:r>
      <w:r w:rsidRPr="00AD7238">
        <w:t xml:space="preserve">submission, Table 4.8, p245 of the </w:t>
      </w:r>
      <w:r w:rsidR="00815FA2" w:rsidRPr="00AD7238">
        <w:t>re</w:t>
      </w:r>
      <w:r w:rsidRPr="00AD7238">
        <w:t xml:space="preserve">submission, Table 4.9, p245 of the </w:t>
      </w:r>
      <w:r w:rsidR="00815FA2" w:rsidRPr="00AD7238">
        <w:t>re</w:t>
      </w:r>
      <w:r w:rsidRPr="00AD7238">
        <w:t xml:space="preserve">submission, Table 4.10, pp245-246 of the </w:t>
      </w:r>
      <w:r w:rsidR="00815FA2" w:rsidRPr="00AD7238">
        <w:t>re</w:t>
      </w:r>
      <w:r w:rsidRPr="00AD7238">
        <w:t xml:space="preserve">submission and Table 4.11, p246 of the </w:t>
      </w:r>
      <w:r w:rsidR="00815FA2" w:rsidRPr="00AD7238">
        <w:t>re</w:t>
      </w:r>
      <w:r w:rsidRPr="00AD7238">
        <w:t>submission.</w:t>
      </w:r>
    </w:p>
    <w:p w14:paraId="3BF242E0" w14:textId="30CA0593" w:rsidR="00D73D20" w:rsidRPr="00AD7238" w:rsidRDefault="00D73D20" w:rsidP="00D73D20">
      <w:pPr>
        <w:pStyle w:val="FooterTableFigure"/>
      </w:pPr>
      <w:r w:rsidRPr="00AD7238">
        <w:lastRenderedPageBreak/>
        <w:t xml:space="preserve">ABS = Australian Bureau of Statistics, HZ = herpes zoster, MBS = Medicare Benefits Schedule, NCIRS = National Centre for Immunisation Research &amp; Surveillance, PHN = post-herpetic neuralgia, </w:t>
      </w:r>
      <w:r w:rsidR="00915A5A">
        <w:t xml:space="preserve">PSCR = pre-sub-committee response, </w:t>
      </w:r>
      <w:r w:rsidRPr="00AD7238">
        <w:t>RZV = recombinant zoster vaccine (</w:t>
      </w:r>
      <w:r w:rsidRPr="00F345DE">
        <w:rPr>
          <w:iCs/>
        </w:rPr>
        <w:t>Shingrix</w:t>
      </w:r>
      <w:r w:rsidRPr="00AD7238">
        <w:t>), YOA = years of age, ZVL = zoster vaccine live (</w:t>
      </w:r>
      <w:r w:rsidRPr="00F345DE">
        <w:rPr>
          <w:iCs/>
        </w:rPr>
        <w:t>Zostavax</w:t>
      </w:r>
      <w:r w:rsidRPr="00AD7238">
        <w:t>).</w:t>
      </w:r>
    </w:p>
    <w:p w14:paraId="57FC6B35" w14:textId="32AA9DB7" w:rsidR="00D73D20" w:rsidRPr="00AD7238" w:rsidRDefault="00D73D20" w:rsidP="00D73D20">
      <w:pPr>
        <w:pStyle w:val="3-BodyText"/>
      </w:pPr>
      <w:r w:rsidRPr="00AD7238">
        <w:fldChar w:fldCharType="begin" w:fldLock="1"/>
      </w:r>
      <w:r w:rsidRPr="00AD7238">
        <w:instrText xml:space="preserve"> REF _Ref122267000 \h </w:instrText>
      </w:r>
      <w:r w:rsidRPr="00AD7238">
        <w:fldChar w:fldCharType="separate"/>
      </w:r>
      <w:r w:rsidR="00602E99" w:rsidRPr="00AD7238">
        <w:t xml:space="preserve">Table </w:t>
      </w:r>
      <w:r w:rsidR="00602E99">
        <w:rPr>
          <w:noProof/>
        </w:rPr>
        <w:t>18</w:t>
      </w:r>
      <w:r w:rsidRPr="00AD7238">
        <w:fldChar w:fldCharType="end"/>
      </w:r>
      <w:r w:rsidR="52FA6B7B" w:rsidRPr="00AD7238">
        <w:t xml:space="preserve"> </w:t>
      </w:r>
      <w:r w:rsidR="00446413" w:rsidRPr="00AD7238">
        <w:t xml:space="preserve">summarises </w:t>
      </w:r>
      <w:r w:rsidR="52FA6B7B" w:rsidRPr="00AD7238">
        <w:t xml:space="preserve">the overall </w:t>
      </w:r>
      <w:r w:rsidR="7E9A2C76" w:rsidRPr="00AD7238">
        <w:t>estimated use and financial implications</w:t>
      </w:r>
      <w:r w:rsidR="52FA6B7B" w:rsidRPr="00AD7238">
        <w:t xml:space="preserve"> for the primary </w:t>
      </w:r>
      <w:r w:rsidR="5D2284CB" w:rsidRPr="00AD7238">
        <w:t>program</w:t>
      </w:r>
      <w:r w:rsidR="0005624B" w:rsidRPr="00AD7238">
        <w:t xml:space="preserve"> for each of the proposed NIP populations. </w:t>
      </w:r>
      <w:r w:rsidR="52FA6B7B" w:rsidRPr="00AD7238">
        <w:t xml:space="preserve"> </w:t>
      </w:r>
    </w:p>
    <w:p w14:paraId="09A9B64F" w14:textId="6AA2DF23" w:rsidR="00D73D20" w:rsidRPr="00AD7238" w:rsidRDefault="00D73D20" w:rsidP="00441995">
      <w:pPr>
        <w:pStyle w:val="TableHeading"/>
        <w:spacing w:after="0"/>
      </w:pPr>
      <w:bookmarkStart w:id="69" w:name="_Ref122267000"/>
      <w:r w:rsidRPr="00AD7238">
        <w:t xml:space="preserve">Table </w:t>
      </w:r>
      <w:r w:rsidR="000442ED">
        <w:fldChar w:fldCharType="begin" w:fldLock="1"/>
      </w:r>
      <w:r w:rsidR="000442ED">
        <w:instrText xml:space="preserve"> SEQ Table \* ARABIC </w:instrText>
      </w:r>
      <w:r w:rsidR="000442ED">
        <w:fldChar w:fldCharType="separate"/>
      </w:r>
      <w:r w:rsidR="00602E99">
        <w:rPr>
          <w:noProof/>
        </w:rPr>
        <w:t>18</w:t>
      </w:r>
      <w:r w:rsidR="000442ED">
        <w:rPr>
          <w:noProof/>
        </w:rPr>
        <w:fldChar w:fldCharType="end"/>
      </w:r>
      <w:bookmarkEnd w:id="69"/>
      <w:r w:rsidRPr="00AD7238">
        <w:t>:</w:t>
      </w:r>
      <w:r w:rsidRPr="00AD7238">
        <w:rPr>
          <w:rStyle w:val="CommentReference"/>
          <w:b/>
          <w:szCs w:val="24"/>
        </w:rPr>
        <w:t xml:space="preserve"> Estimated use and financial implications</w:t>
      </w:r>
      <w:r w:rsidR="00302DB8" w:rsidRPr="00AD7238">
        <w:rPr>
          <w:rStyle w:val="CommentReference"/>
          <w:b/>
          <w:szCs w:val="24"/>
        </w:rPr>
        <w:t xml:space="preserve"> for the primary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69"/>
        <w:gridCol w:w="1107"/>
        <w:gridCol w:w="1107"/>
        <w:gridCol w:w="1107"/>
        <w:gridCol w:w="1107"/>
        <w:gridCol w:w="1107"/>
        <w:gridCol w:w="1113"/>
      </w:tblGrid>
      <w:tr w:rsidR="00D73D20" w:rsidRPr="00AD7238" w14:paraId="3D59EEF8" w14:textId="77777777" w:rsidTr="008927AB">
        <w:trPr>
          <w:tblHeader/>
        </w:trPr>
        <w:tc>
          <w:tcPr>
            <w:tcW w:w="1313" w:type="pct"/>
            <w:shd w:val="clear" w:color="auto" w:fill="auto"/>
            <w:vAlign w:val="center"/>
          </w:tcPr>
          <w:p w14:paraId="4EC3B74F" w14:textId="77777777" w:rsidR="00D73D20" w:rsidRPr="00AD7238" w:rsidRDefault="00D73D20" w:rsidP="00B47BB8">
            <w:pPr>
              <w:pStyle w:val="TableText0"/>
            </w:pPr>
          </w:p>
        </w:tc>
        <w:tc>
          <w:tcPr>
            <w:tcW w:w="614" w:type="pct"/>
            <w:shd w:val="clear" w:color="auto" w:fill="auto"/>
            <w:vAlign w:val="center"/>
          </w:tcPr>
          <w:p w14:paraId="455C3DE5" w14:textId="77777777" w:rsidR="00D73D20" w:rsidRPr="00AD7238" w:rsidRDefault="00D73D20" w:rsidP="008927AB">
            <w:pPr>
              <w:pStyle w:val="In-tableHeading"/>
              <w:jc w:val="center"/>
              <w:rPr>
                <w:lang w:val="en-AU"/>
              </w:rPr>
            </w:pPr>
            <w:r w:rsidRPr="00AD7238">
              <w:rPr>
                <w:lang w:val="en-AU"/>
              </w:rPr>
              <w:t>Year 1</w:t>
            </w:r>
          </w:p>
        </w:tc>
        <w:tc>
          <w:tcPr>
            <w:tcW w:w="614" w:type="pct"/>
            <w:shd w:val="clear" w:color="auto" w:fill="auto"/>
            <w:vAlign w:val="center"/>
          </w:tcPr>
          <w:p w14:paraId="7EBF5F1E" w14:textId="77777777" w:rsidR="00D73D20" w:rsidRPr="00AD7238" w:rsidRDefault="00D73D20" w:rsidP="008927AB">
            <w:pPr>
              <w:pStyle w:val="In-tableHeading"/>
              <w:jc w:val="center"/>
              <w:rPr>
                <w:lang w:val="en-AU"/>
              </w:rPr>
            </w:pPr>
            <w:r w:rsidRPr="00AD7238">
              <w:rPr>
                <w:lang w:val="en-AU"/>
              </w:rPr>
              <w:t>Year 2</w:t>
            </w:r>
          </w:p>
        </w:tc>
        <w:tc>
          <w:tcPr>
            <w:tcW w:w="614" w:type="pct"/>
            <w:shd w:val="clear" w:color="auto" w:fill="auto"/>
            <w:vAlign w:val="center"/>
          </w:tcPr>
          <w:p w14:paraId="0EB0F571" w14:textId="77777777" w:rsidR="00D73D20" w:rsidRPr="00AD7238" w:rsidRDefault="00D73D20" w:rsidP="008927AB">
            <w:pPr>
              <w:pStyle w:val="In-tableHeading"/>
              <w:jc w:val="center"/>
              <w:rPr>
                <w:lang w:val="en-AU"/>
              </w:rPr>
            </w:pPr>
            <w:r w:rsidRPr="00AD7238">
              <w:rPr>
                <w:lang w:val="en-AU"/>
              </w:rPr>
              <w:t>Year 3</w:t>
            </w:r>
          </w:p>
        </w:tc>
        <w:tc>
          <w:tcPr>
            <w:tcW w:w="614" w:type="pct"/>
            <w:shd w:val="clear" w:color="auto" w:fill="auto"/>
            <w:vAlign w:val="center"/>
          </w:tcPr>
          <w:p w14:paraId="35C4A720" w14:textId="77777777" w:rsidR="00D73D20" w:rsidRPr="00AD7238" w:rsidRDefault="00D73D20" w:rsidP="008927AB">
            <w:pPr>
              <w:pStyle w:val="In-tableHeading"/>
              <w:jc w:val="center"/>
              <w:rPr>
                <w:lang w:val="en-AU"/>
              </w:rPr>
            </w:pPr>
            <w:r w:rsidRPr="00AD7238">
              <w:rPr>
                <w:lang w:val="en-AU"/>
              </w:rPr>
              <w:t>Year 4</w:t>
            </w:r>
          </w:p>
        </w:tc>
        <w:tc>
          <w:tcPr>
            <w:tcW w:w="614" w:type="pct"/>
            <w:shd w:val="clear" w:color="auto" w:fill="auto"/>
            <w:vAlign w:val="center"/>
          </w:tcPr>
          <w:p w14:paraId="544C3D82" w14:textId="77777777" w:rsidR="00D73D20" w:rsidRPr="00AD7238" w:rsidRDefault="00D73D20" w:rsidP="008927AB">
            <w:pPr>
              <w:pStyle w:val="In-tableHeading"/>
              <w:jc w:val="center"/>
              <w:rPr>
                <w:lang w:val="en-AU"/>
              </w:rPr>
            </w:pPr>
            <w:r w:rsidRPr="00AD7238">
              <w:rPr>
                <w:lang w:val="en-AU"/>
              </w:rPr>
              <w:t>Year 5</w:t>
            </w:r>
          </w:p>
        </w:tc>
        <w:tc>
          <w:tcPr>
            <w:tcW w:w="615" w:type="pct"/>
          </w:tcPr>
          <w:p w14:paraId="0BE077A0" w14:textId="77777777" w:rsidR="00D73D20" w:rsidRPr="00AD7238" w:rsidRDefault="00D73D20" w:rsidP="008927AB">
            <w:pPr>
              <w:pStyle w:val="In-tableHeading"/>
              <w:jc w:val="center"/>
              <w:rPr>
                <w:lang w:val="en-AU"/>
              </w:rPr>
            </w:pPr>
            <w:r w:rsidRPr="00AD7238">
              <w:rPr>
                <w:lang w:val="en-AU"/>
              </w:rPr>
              <w:t>Year 6</w:t>
            </w:r>
          </w:p>
        </w:tc>
      </w:tr>
      <w:tr w:rsidR="00D73D20" w:rsidRPr="00AD7238" w14:paraId="66F8ACC9" w14:textId="77777777">
        <w:tc>
          <w:tcPr>
            <w:tcW w:w="5000" w:type="pct"/>
            <w:gridSpan w:val="7"/>
            <w:shd w:val="clear" w:color="auto" w:fill="auto"/>
            <w:vAlign w:val="center"/>
          </w:tcPr>
          <w:p w14:paraId="4DEBB7D8" w14:textId="77777777" w:rsidR="00D73D20" w:rsidRPr="00AD7238" w:rsidRDefault="00D73D20" w:rsidP="008927AB">
            <w:pPr>
              <w:pStyle w:val="In-tableHeading"/>
              <w:rPr>
                <w:lang w:val="en-AU"/>
              </w:rPr>
            </w:pPr>
            <w:r w:rsidRPr="00AD7238">
              <w:rPr>
                <w:lang w:val="en-AU"/>
              </w:rPr>
              <w:t>Estimated extent of use</w:t>
            </w:r>
          </w:p>
        </w:tc>
      </w:tr>
      <w:tr w:rsidR="00D73D20" w:rsidRPr="00AD7238" w14:paraId="247DAC6A" w14:textId="77777777">
        <w:tc>
          <w:tcPr>
            <w:tcW w:w="5000" w:type="pct"/>
            <w:gridSpan w:val="7"/>
            <w:shd w:val="clear" w:color="auto" w:fill="auto"/>
            <w:vAlign w:val="center"/>
          </w:tcPr>
          <w:p w14:paraId="6D099A9F" w14:textId="627FA05A" w:rsidR="00D73D20" w:rsidRPr="00AD7238" w:rsidRDefault="00D73D20" w:rsidP="008927AB">
            <w:pPr>
              <w:pStyle w:val="In-tableHeading"/>
              <w:rPr>
                <w:lang w:val="en-AU"/>
              </w:rPr>
            </w:pPr>
            <w:r w:rsidRPr="00AD7238">
              <w:rPr>
                <w:lang w:val="en-AU"/>
              </w:rPr>
              <w:t xml:space="preserve">Number of </w:t>
            </w:r>
            <w:r w:rsidR="00867938">
              <w:rPr>
                <w:lang w:val="en-AU"/>
              </w:rPr>
              <w:t>individuals</w:t>
            </w:r>
            <w:r w:rsidR="00867938" w:rsidRPr="00AD7238">
              <w:rPr>
                <w:lang w:val="en-AU"/>
              </w:rPr>
              <w:t xml:space="preserve"> </w:t>
            </w:r>
            <w:r w:rsidR="00FC7F8D" w:rsidRPr="00AD7238">
              <w:rPr>
                <w:lang w:val="en-AU"/>
              </w:rPr>
              <w:t>vaccinated</w:t>
            </w:r>
          </w:p>
        </w:tc>
      </w:tr>
      <w:tr w:rsidR="00D73D20" w:rsidRPr="00AD7238" w14:paraId="650DC4EB" w14:textId="77777777" w:rsidTr="008927AB">
        <w:tc>
          <w:tcPr>
            <w:tcW w:w="1313" w:type="pct"/>
            <w:shd w:val="clear" w:color="auto" w:fill="auto"/>
            <w:vAlign w:val="center"/>
          </w:tcPr>
          <w:p w14:paraId="044C32A8" w14:textId="21F32CAF" w:rsidR="00D73D20" w:rsidRPr="00AD7238" w:rsidRDefault="00241461">
            <w:pPr>
              <w:pStyle w:val="TableText0"/>
            </w:pPr>
            <w:r w:rsidRPr="00AD7238">
              <w:t>Aboriginal and Torres Strait Islander</w:t>
            </w:r>
            <w:r w:rsidR="00D73D20" w:rsidRPr="00AD7238">
              <w:t xml:space="preserve"> 50 YOA</w:t>
            </w:r>
          </w:p>
        </w:tc>
        <w:tc>
          <w:tcPr>
            <w:tcW w:w="614" w:type="pct"/>
          </w:tcPr>
          <w:p w14:paraId="7A4009D4" w14:textId="19F6E64C" w:rsidR="00D73D20" w:rsidRPr="00C42A2C" w:rsidRDefault="00BA039D" w:rsidP="008927AB">
            <w:pPr>
              <w:pStyle w:val="TableText0"/>
              <w:jc w:val="center"/>
              <w:rPr>
                <w:highlight w:val="darkGray"/>
                <w:vertAlign w:val="superscript"/>
              </w:rPr>
            </w:pPr>
            <w:r w:rsidRPr="00BA039D">
              <w:rPr>
                <w:color w:val="000000"/>
                <w:spacing w:val="70"/>
                <w:shd w:val="solid" w:color="000000" w:fill="000000"/>
                <w:fitText w:val="383" w:id="-1233442293"/>
                <w14:textFill>
                  <w14:solidFill>
                    <w14:srgbClr w14:val="000000">
                      <w14:alpha w14:val="100000"/>
                    </w14:srgbClr>
                  </w14:solidFill>
                </w14:textFill>
              </w:rPr>
              <w:t>|||</w:t>
            </w:r>
            <w:r w:rsidRPr="00BA039D">
              <w:rPr>
                <w:color w:val="000000"/>
                <w:spacing w:val="3"/>
                <w:shd w:val="solid" w:color="000000" w:fill="000000"/>
                <w:fitText w:val="383" w:id="-1233442293"/>
                <w14:textFill>
                  <w14:solidFill>
                    <w14:srgbClr w14:val="000000">
                      <w14:alpha w14:val="100000"/>
                    </w14:srgbClr>
                  </w14:solidFill>
                </w14:textFill>
              </w:rPr>
              <w:t>|</w:t>
            </w:r>
            <w:r w:rsidR="00C42A2C" w:rsidRPr="00C42A2C">
              <w:rPr>
                <w:vertAlign w:val="superscript"/>
              </w:rPr>
              <w:t>1</w:t>
            </w:r>
          </w:p>
        </w:tc>
        <w:tc>
          <w:tcPr>
            <w:tcW w:w="614" w:type="pct"/>
          </w:tcPr>
          <w:p w14:paraId="05C61011" w14:textId="62C03731"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2"/>
                <w14:textFill>
                  <w14:solidFill>
                    <w14:srgbClr w14:val="000000">
                      <w14:alpha w14:val="100000"/>
                    </w14:srgbClr>
                  </w14:solidFill>
                </w14:textFill>
              </w:rPr>
              <w:t>|||</w:t>
            </w:r>
            <w:r w:rsidRPr="00BA039D">
              <w:rPr>
                <w:color w:val="000000"/>
                <w:spacing w:val="3"/>
                <w:shd w:val="solid" w:color="000000" w:fill="000000"/>
                <w:fitText w:val="383" w:id="-1233442292"/>
                <w14:textFill>
                  <w14:solidFill>
                    <w14:srgbClr w14:val="000000">
                      <w14:alpha w14:val="100000"/>
                    </w14:srgbClr>
                  </w14:solidFill>
                </w14:textFill>
              </w:rPr>
              <w:t>|</w:t>
            </w:r>
            <w:r w:rsidR="00C42A2C" w:rsidRPr="00C42A2C">
              <w:rPr>
                <w:vertAlign w:val="superscript"/>
              </w:rPr>
              <w:t>1</w:t>
            </w:r>
          </w:p>
        </w:tc>
        <w:tc>
          <w:tcPr>
            <w:tcW w:w="614" w:type="pct"/>
          </w:tcPr>
          <w:p w14:paraId="1A630E01" w14:textId="66F03D20"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1"/>
                <w14:textFill>
                  <w14:solidFill>
                    <w14:srgbClr w14:val="000000">
                      <w14:alpha w14:val="100000"/>
                    </w14:srgbClr>
                  </w14:solidFill>
                </w14:textFill>
              </w:rPr>
              <w:t>|||</w:t>
            </w:r>
            <w:r w:rsidRPr="00BA039D">
              <w:rPr>
                <w:color w:val="000000"/>
                <w:spacing w:val="3"/>
                <w:shd w:val="solid" w:color="000000" w:fill="000000"/>
                <w:fitText w:val="383" w:id="-1233442291"/>
                <w14:textFill>
                  <w14:solidFill>
                    <w14:srgbClr w14:val="000000">
                      <w14:alpha w14:val="100000"/>
                    </w14:srgbClr>
                  </w14:solidFill>
                </w14:textFill>
              </w:rPr>
              <w:t>|</w:t>
            </w:r>
            <w:r w:rsidR="00C42A2C" w:rsidRPr="00C42A2C">
              <w:rPr>
                <w:vertAlign w:val="superscript"/>
              </w:rPr>
              <w:t>1</w:t>
            </w:r>
          </w:p>
        </w:tc>
        <w:tc>
          <w:tcPr>
            <w:tcW w:w="614" w:type="pct"/>
          </w:tcPr>
          <w:p w14:paraId="651D0E2F" w14:textId="64BC421C"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0"/>
                <w14:textFill>
                  <w14:solidFill>
                    <w14:srgbClr w14:val="000000">
                      <w14:alpha w14:val="100000"/>
                    </w14:srgbClr>
                  </w14:solidFill>
                </w14:textFill>
              </w:rPr>
              <w:t>|||</w:t>
            </w:r>
            <w:r w:rsidRPr="00BA039D">
              <w:rPr>
                <w:color w:val="000000"/>
                <w:spacing w:val="3"/>
                <w:shd w:val="solid" w:color="000000" w:fill="000000"/>
                <w:fitText w:val="383" w:id="-1233442290"/>
                <w14:textFill>
                  <w14:solidFill>
                    <w14:srgbClr w14:val="000000">
                      <w14:alpha w14:val="100000"/>
                    </w14:srgbClr>
                  </w14:solidFill>
                </w14:textFill>
              </w:rPr>
              <w:t>|</w:t>
            </w:r>
            <w:r w:rsidR="00C42A2C" w:rsidRPr="00C42A2C">
              <w:rPr>
                <w:vertAlign w:val="superscript"/>
              </w:rPr>
              <w:t>1</w:t>
            </w:r>
          </w:p>
        </w:tc>
        <w:tc>
          <w:tcPr>
            <w:tcW w:w="614" w:type="pct"/>
          </w:tcPr>
          <w:p w14:paraId="26B60867" w14:textId="14B384E3" w:rsidR="00D73D20" w:rsidRPr="00C42A2C" w:rsidRDefault="00BA039D" w:rsidP="008927AB">
            <w:pPr>
              <w:pStyle w:val="TableText0"/>
              <w:jc w:val="center"/>
              <w:rPr>
                <w:highlight w:val="darkGray"/>
              </w:rPr>
            </w:pPr>
            <w:r w:rsidRPr="00BA039D">
              <w:rPr>
                <w:color w:val="000000"/>
                <w:spacing w:val="70"/>
                <w:shd w:val="solid" w:color="000000" w:fill="000000"/>
                <w:fitText w:val="383" w:id="-1233442289"/>
                <w14:textFill>
                  <w14:solidFill>
                    <w14:srgbClr w14:val="000000">
                      <w14:alpha w14:val="100000"/>
                    </w14:srgbClr>
                  </w14:solidFill>
                </w14:textFill>
              </w:rPr>
              <w:t>|||</w:t>
            </w:r>
            <w:r w:rsidRPr="00BA039D">
              <w:rPr>
                <w:color w:val="000000"/>
                <w:spacing w:val="3"/>
                <w:shd w:val="solid" w:color="000000" w:fill="000000"/>
                <w:fitText w:val="383" w:id="-1233442289"/>
                <w14:textFill>
                  <w14:solidFill>
                    <w14:srgbClr w14:val="000000">
                      <w14:alpha w14:val="100000"/>
                    </w14:srgbClr>
                  </w14:solidFill>
                </w14:textFill>
              </w:rPr>
              <w:t>|</w:t>
            </w:r>
            <w:r w:rsidR="00C42A2C" w:rsidRPr="00C42A2C">
              <w:rPr>
                <w:vertAlign w:val="superscript"/>
              </w:rPr>
              <w:t>1</w:t>
            </w:r>
          </w:p>
        </w:tc>
        <w:tc>
          <w:tcPr>
            <w:tcW w:w="615" w:type="pct"/>
          </w:tcPr>
          <w:p w14:paraId="306D1D67" w14:textId="4BDD64DF" w:rsidR="00D73D20" w:rsidRPr="00C42A2C" w:rsidRDefault="00BA039D" w:rsidP="008927AB">
            <w:pPr>
              <w:pStyle w:val="TableText0"/>
              <w:jc w:val="center"/>
              <w:rPr>
                <w:highlight w:val="darkGray"/>
              </w:rPr>
            </w:pPr>
            <w:r w:rsidRPr="00BA039D">
              <w:rPr>
                <w:color w:val="000000"/>
                <w:spacing w:val="65"/>
                <w:shd w:val="solid" w:color="000000" w:fill="000000"/>
                <w:fitText w:val="366" w:id="-1233442288"/>
                <w14:textFill>
                  <w14:solidFill>
                    <w14:srgbClr w14:val="000000">
                      <w14:alpha w14:val="100000"/>
                    </w14:srgbClr>
                  </w14:solidFill>
                </w14:textFill>
              </w:rPr>
              <w:t>|||</w:t>
            </w:r>
            <w:r w:rsidRPr="00BA039D">
              <w:rPr>
                <w:color w:val="000000"/>
                <w:spacing w:val="1"/>
                <w:shd w:val="solid" w:color="000000" w:fill="000000"/>
                <w:fitText w:val="366" w:id="-1233442288"/>
                <w14:textFill>
                  <w14:solidFill>
                    <w14:srgbClr w14:val="000000">
                      <w14:alpha w14:val="100000"/>
                    </w14:srgbClr>
                  </w14:solidFill>
                </w14:textFill>
              </w:rPr>
              <w:t>|</w:t>
            </w:r>
            <w:r w:rsidR="00C42A2C" w:rsidRPr="00C42A2C">
              <w:rPr>
                <w:vertAlign w:val="superscript"/>
              </w:rPr>
              <w:t>1</w:t>
            </w:r>
          </w:p>
        </w:tc>
      </w:tr>
      <w:tr w:rsidR="00D73D20" w:rsidRPr="00AD7238" w14:paraId="4B7DE7EB" w14:textId="77777777" w:rsidTr="008927AB">
        <w:tc>
          <w:tcPr>
            <w:tcW w:w="1313" w:type="pct"/>
            <w:shd w:val="clear" w:color="auto" w:fill="auto"/>
            <w:vAlign w:val="center"/>
          </w:tcPr>
          <w:p w14:paraId="5C4856AB" w14:textId="662E6ECB" w:rsidR="00D73D20" w:rsidRPr="00AD7238" w:rsidRDefault="00D73D20">
            <w:pPr>
              <w:pStyle w:val="TableText0"/>
            </w:pPr>
            <w:r w:rsidRPr="00AD7238">
              <w:t>Non-Indigenous 65 YOA</w:t>
            </w:r>
          </w:p>
        </w:tc>
        <w:tc>
          <w:tcPr>
            <w:tcW w:w="614" w:type="pct"/>
          </w:tcPr>
          <w:p w14:paraId="5E31BC28" w14:textId="2DEF39DD"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4"/>
                <w14:textFill>
                  <w14:solidFill>
                    <w14:srgbClr w14:val="000000">
                      <w14:alpha w14:val="100000"/>
                    </w14:srgbClr>
                  </w14:solidFill>
                </w14:textFill>
              </w:rPr>
              <w:t>|||</w:t>
            </w:r>
            <w:r w:rsidRPr="00BA039D">
              <w:rPr>
                <w:color w:val="000000"/>
                <w:spacing w:val="3"/>
                <w:shd w:val="solid" w:color="000000" w:fill="000000"/>
                <w:fitText w:val="383" w:id="-1233442304"/>
                <w14:textFill>
                  <w14:solidFill>
                    <w14:srgbClr w14:val="000000">
                      <w14:alpha w14:val="100000"/>
                    </w14:srgbClr>
                  </w14:solidFill>
                </w14:textFill>
              </w:rPr>
              <w:t>|</w:t>
            </w:r>
            <w:r w:rsidR="00C42A2C">
              <w:rPr>
                <w:vertAlign w:val="superscript"/>
              </w:rPr>
              <w:t>2</w:t>
            </w:r>
          </w:p>
        </w:tc>
        <w:tc>
          <w:tcPr>
            <w:tcW w:w="614" w:type="pct"/>
          </w:tcPr>
          <w:p w14:paraId="350C22CC" w14:textId="26EE24DE"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3"/>
                <w14:textFill>
                  <w14:solidFill>
                    <w14:srgbClr w14:val="000000">
                      <w14:alpha w14:val="100000"/>
                    </w14:srgbClr>
                  </w14:solidFill>
                </w14:textFill>
              </w:rPr>
              <w:t>|||</w:t>
            </w:r>
            <w:r w:rsidRPr="00BA039D">
              <w:rPr>
                <w:color w:val="000000"/>
                <w:spacing w:val="3"/>
                <w:shd w:val="solid" w:color="000000" w:fill="000000"/>
                <w:fitText w:val="383" w:id="-1233442303"/>
                <w14:textFill>
                  <w14:solidFill>
                    <w14:srgbClr w14:val="000000">
                      <w14:alpha w14:val="100000"/>
                    </w14:srgbClr>
                  </w14:solidFill>
                </w14:textFill>
              </w:rPr>
              <w:t>|</w:t>
            </w:r>
            <w:r w:rsidR="00C42A2C">
              <w:rPr>
                <w:vertAlign w:val="superscript"/>
              </w:rPr>
              <w:t>2</w:t>
            </w:r>
          </w:p>
        </w:tc>
        <w:tc>
          <w:tcPr>
            <w:tcW w:w="614" w:type="pct"/>
          </w:tcPr>
          <w:p w14:paraId="2D9FC4E7" w14:textId="10F3B72D"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2"/>
                <w14:textFill>
                  <w14:solidFill>
                    <w14:srgbClr w14:val="000000">
                      <w14:alpha w14:val="100000"/>
                    </w14:srgbClr>
                  </w14:solidFill>
                </w14:textFill>
              </w:rPr>
              <w:t>|||</w:t>
            </w:r>
            <w:r w:rsidRPr="00BA039D">
              <w:rPr>
                <w:color w:val="000000"/>
                <w:spacing w:val="3"/>
                <w:shd w:val="solid" w:color="000000" w:fill="000000"/>
                <w:fitText w:val="383" w:id="-1233442302"/>
                <w14:textFill>
                  <w14:solidFill>
                    <w14:srgbClr w14:val="000000">
                      <w14:alpha w14:val="100000"/>
                    </w14:srgbClr>
                  </w14:solidFill>
                </w14:textFill>
              </w:rPr>
              <w:t>|</w:t>
            </w:r>
            <w:r w:rsidR="00C42A2C">
              <w:rPr>
                <w:vertAlign w:val="superscript"/>
              </w:rPr>
              <w:t>2</w:t>
            </w:r>
          </w:p>
        </w:tc>
        <w:tc>
          <w:tcPr>
            <w:tcW w:w="614" w:type="pct"/>
          </w:tcPr>
          <w:p w14:paraId="65518EC2" w14:textId="72326F11"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1"/>
                <w14:textFill>
                  <w14:solidFill>
                    <w14:srgbClr w14:val="000000">
                      <w14:alpha w14:val="100000"/>
                    </w14:srgbClr>
                  </w14:solidFill>
                </w14:textFill>
              </w:rPr>
              <w:t>|||</w:t>
            </w:r>
            <w:r w:rsidRPr="00BA039D">
              <w:rPr>
                <w:color w:val="000000"/>
                <w:spacing w:val="3"/>
                <w:shd w:val="solid" w:color="000000" w:fill="000000"/>
                <w:fitText w:val="383" w:id="-1233442301"/>
                <w14:textFill>
                  <w14:solidFill>
                    <w14:srgbClr w14:val="000000">
                      <w14:alpha w14:val="100000"/>
                    </w14:srgbClr>
                  </w14:solidFill>
                </w14:textFill>
              </w:rPr>
              <w:t>|</w:t>
            </w:r>
            <w:r w:rsidR="00C42A2C">
              <w:rPr>
                <w:vertAlign w:val="superscript"/>
              </w:rPr>
              <w:t>2</w:t>
            </w:r>
          </w:p>
        </w:tc>
        <w:tc>
          <w:tcPr>
            <w:tcW w:w="614" w:type="pct"/>
          </w:tcPr>
          <w:p w14:paraId="04DE9534" w14:textId="3126AF6D"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0"/>
                <w14:textFill>
                  <w14:solidFill>
                    <w14:srgbClr w14:val="000000">
                      <w14:alpha w14:val="100000"/>
                    </w14:srgbClr>
                  </w14:solidFill>
                </w14:textFill>
              </w:rPr>
              <w:t>|||</w:t>
            </w:r>
            <w:r w:rsidRPr="00BA039D">
              <w:rPr>
                <w:color w:val="000000"/>
                <w:spacing w:val="3"/>
                <w:shd w:val="solid" w:color="000000" w:fill="000000"/>
                <w:fitText w:val="383" w:id="-1233442300"/>
                <w14:textFill>
                  <w14:solidFill>
                    <w14:srgbClr w14:val="000000">
                      <w14:alpha w14:val="100000"/>
                    </w14:srgbClr>
                  </w14:solidFill>
                </w14:textFill>
              </w:rPr>
              <w:t>|</w:t>
            </w:r>
            <w:r w:rsidR="00C42A2C">
              <w:rPr>
                <w:vertAlign w:val="superscript"/>
              </w:rPr>
              <w:t>2</w:t>
            </w:r>
          </w:p>
        </w:tc>
        <w:tc>
          <w:tcPr>
            <w:tcW w:w="615" w:type="pct"/>
          </w:tcPr>
          <w:p w14:paraId="6A0E8E81" w14:textId="26D9E8DD" w:rsidR="00D73D20" w:rsidRPr="00C42A2C" w:rsidRDefault="00BA039D" w:rsidP="008927AB">
            <w:pPr>
              <w:pStyle w:val="TableText0"/>
              <w:jc w:val="center"/>
              <w:rPr>
                <w:highlight w:val="darkGray"/>
              </w:rPr>
            </w:pPr>
            <w:r w:rsidRPr="00BA039D">
              <w:rPr>
                <w:color w:val="000000"/>
                <w:spacing w:val="65"/>
                <w:shd w:val="solid" w:color="000000" w:fill="000000"/>
                <w:fitText w:val="366" w:id="-1233442299"/>
                <w14:textFill>
                  <w14:solidFill>
                    <w14:srgbClr w14:val="000000">
                      <w14:alpha w14:val="100000"/>
                    </w14:srgbClr>
                  </w14:solidFill>
                </w14:textFill>
              </w:rPr>
              <w:t>|||</w:t>
            </w:r>
            <w:r w:rsidRPr="00BA039D">
              <w:rPr>
                <w:color w:val="000000"/>
                <w:spacing w:val="1"/>
                <w:shd w:val="solid" w:color="000000" w:fill="000000"/>
                <w:fitText w:val="366" w:id="-1233442299"/>
                <w14:textFill>
                  <w14:solidFill>
                    <w14:srgbClr w14:val="000000">
                      <w14:alpha w14:val="100000"/>
                    </w14:srgbClr>
                  </w14:solidFill>
                </w14:textFill>
              </w:rPr>
              <w:t>|</w:t>
            </w:r>
            <w:r w:rsidR="00C42A2C">
              <w:rPr>
                <w:vertAlign w:val="superscript"/>
              </w:rPr>
              <w:t>2</w:t>
            </w:r>
          </w:p>
        </w:tc>
      </w:tr>
      <w:tr w:rsidR="00D73D20" w:rsidRPr="00AD7238" w14:paraId="315F4AD1" w14:textId="77777777">
        <w:tc>
          <w:tcPr>
            <w:tcW w:w="5000" w:type="pct"/>
            <w:gridSpan w:val="7"/>
            <w:shd w:val="clear" w:color="auto" w:fill="FFFFFF" w:themeFill="background1"/>
            <w:vAlign w:val="center"/>
          </w:tcPr>
          <w:p w14:paraId="38370248" w14:textId="5FFEB30F" w:rsidR="00D73D20" w:rsidRPr="00AD7238" w:rsidRDefault="00D73D20" w:rsidP="008927AB">
            <w:pPr>
              <w:pStyle w:val="In-tableHeading"/>
              <w:rPr>
                <w:color w:val="000000"/>
                <w:lang w:val="en-AU"/>
              </w:rPr>
            </w:pPr>
            <w:r w:rsidRPr="00AD7238">
              <w:rPr>
                <w:lang w:val="en-AU"/>
              </w:rPr>
              <w:t xml:space="preserve">Number of </w:t>
            </w:r>
            <w:r w:rsidR="001129EF" w:rsidRPr="00AD7238">
              <w:rPr>
                <w:lang w:val="en-AU"/>
              </w:rPr>
              <w:t xml:space="preserve">doses </w:t>
            </w:r>
            <w:r w:rsidRPr="00AD7238">
              <w:rPr>
                <w:lang w:val="en-AU"/>
              </w:rPr>
              <w:t>dispensed</w:t>
            </w:r>
          </w:p>
        </w:tc>
      </w:tr>
      <w:tr w:rsidR="00D73D20" w:rsidRPr="00AD7238" w14:paraId="27618DD5" w14:textId="77777777" w:rsidTr="008927AB">
        <w:tc>
          <w:tcPr>
            <w:tcW w:w="1313" w:type="pct"/>
            <w:shd w:val="clear" w:color="auto" w:fill="auto"/>
            <w:vAlign w:val="center"/>
          </w:tcPr>
          <w:p w14:paraId="2FC5F26B" w14:textId="4BFF2CA0" w:rsidR="00D73D20" w:rsidRPr="00AD7238" w:rsidRDefault="00241461">
            <w:pPr>
              <w:pStyle w:val="TableText0"/>
            </w:pPr>
            <w:r w:rsidRPr="00AD7238">
              <w:t>Aboriginal and Torres Strait Islander</w:t>
            </w:r>
            <w:r w:rsidR="00D73D20" w:rsidRPr="00AD7238">
              <w:t xml:space="preserve"> 50 YOA</w:t>
            </w:r>
          </w:p>
        </w:tc>
        <w:tc>
          <w:tcPr>
            <w:tcW w:w="614" w:type="pct"/>
          </w:tcPr>
          <w:p w14:paraId="57F1B914" w14:textId="34208B32"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8"/>
                <w14:textFill>
                  <w14:solidFill>
                    <w14:srgbClr w14:val="000000">
                      <w14:alpha w14:val="100000"/>
                    </w14:srgbClr>
                  </w14:solidFill>
                </w14:textFill>
              </w:rPr>
              <w:t>|||</w:t>
            </w:r>
            <w:r w:rsidRPr="00BA039D">
              <w:rPr>
                <w:color w:val="000000"/>
                <w:spacing w:val="3"/>
                <w:shd w:val="solid" w:color="000000" w:fill="000000"/>
                <w:fitText w:val="383" w:id="-1233442298"/>
                <w14:textFill>
                  <w14:solidFill>
                    <w14:srgbClr w14:val="000000">
                      <w14:alpha w14:val="100000"/>
                    </w14:srgbClr>
                  </w14:solidFill>
                </w14:textFill>
              </w:rPr>
              <w:t>|</w:t>
            </w:r>
            <w:r w:rsidR="00C42A2C" w:rsidRPr="00C42A2C">
              <w:rPr>
                <w:vertAlign w:val="superscript"/>
              </w:rPr>
              <w:t>1</w:t>
            </w:r>
          </w:p>
        </w:tc>
        <w:tc>
          <w:tcPr>
            <w:tcW w:w="614" w:type="pct"/>
          </w:tcPr>
          <w:p w14:paraId="6F5615AB" w14:textId="372E4973"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7"/>
                <w14:textFill>
                  <w14:solidFill>
                    <w14:srgbClr w14:val="000000">
                      <w14:alpha w14:val="100000"/>
                    </w14:srgbClr>
                  </w14:solidFill>
                </w14:textFill>
              </w:rPr>
              <w:t>|||</w:t>
            </w:r>
            <w:r w:rsidRPr="00BA039D">
              <w:rPr>
                <w:color w:val="000000"/>
                <w:spacing w:val="3"/>
                <w:shd w:val="solid" w:color="000000" w:fill="000000"/>
                <w:fitText w:val="383" w:id="-1233442297"/>
                <w14:textFill>
                  <w14:solidFill>
                    <w14:srgbClr w14:val="000000">
                      <w14:alpha w14:val="100000"/>
                    </w14:srgbClr>
                  </w14:solidFill>
                </w14:textFill>
              </w:rPr>
              <w:t>|</w:t>
            </w:r>
            <w:r w:rsidR="00C42A2C">
              <w:rPr>
                <w:vertAlign w:val="superscript"/>
              </w:rPr>
              <w:t>7</w:t>
            </w:r>
          </w:p>
        </w:tc>
        <w:tc>
          <w:tcPr>
            <w:tcW w:w="614" w:type="pct"/>
          </w:tcPr>
          <w:p w14:paraId="548A466B" w14:textId="0173F913"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6"/>
                <w14:textFill>
                  <w14:solidFill>
                    <w14:srgbClr w14:val="000000">
                      <w14:alpha w14:val="100000"/>
                    </w14:srgbClr>
                  </w14:solidFill>
                </w14:textFill>
              </w:rPr>
              <w:t>|||</w:t>
            </w:r>
            <w:r w:rsidRPr="00BA039D">
              <w:rPr>
                <w:color w:val="000000"/>
                <w:spacing w:val="3"/>
                <w:shd w:val="solid" w:color="000000" w:fill="000000"/>
                <w:fitText w:val="383" w:id="-1233442296"/>
                <w14:textFill>
                  <w14:solidFill>
                    <w14:srgbClr w14:val="000000">
                      <w14:alpha w14:val="100000"/>
                    </w14:srgbClr>
                  </w14:solidFill>
                </w14:textFill>
              </w:rPr>
              <w:t>|</w:t>
            </w:r>
            <w:r w:rsidR="00C42A2C">
              <w:rPr>
                <w:vertAlign w:val="superscript"/>
              </w:rPr>
              <w:t>7</w:t>
            </w:r>
          </w:p>
        </w:tc>
        <w:tc>
          <w:tcPr>
            <w:tcW w:w="614" w:type="pct"/>
          </w:tcPr>
          <w:p w14:paraId="57BC561B" w14:textId="7C308F8C"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5"/>
                <w14:textFill>
                  <w14:solidFill>
                    <w14:srgbClr w14:val="000000">
                      <w14:alpha w14:val="100000"/>
                    </w14:srgbClr>
                  </w14:solidFill>
                </w14:textFill>
              </w:rPr>
              <w:t>|||</w:t>
            </w:r>
            <w:r w:rsidRPr="00BA039D">
              <w:rPr>
                <w:color w:val="000000"/>
                <w:spacing w:val="3"/>
                <w:shd w:val="solid" w:color="000000" w:fill="000000"/>
                <w:fitText w:val="383" w:id="-1233442295"/>
                <w14:textFill>
                  <w14:solidFill>
                    <w14:srgbClr w14:val="000000">
                      <w14:alpha w14:val="100000"/>
                    </w14:srgbClr>
                  </w14:solidFill>
                </w14:textFill>
              </w:rPr>
              <w:t>|</w:t>
            </w:r>
            <w:r w:rsidR="00C42A2C">
              <w:rPr>
                <w:vertAlign w:val="superscript"/>
              </w:rPr>
              <w:t>7</w:t>
            </w:r>
          </w:p>
        </w:tc>
        <w:tc>
          <w:tcPr>
            <w:tcW w:w="614" w:type="pct"/>
          </w:tcPr>
          <w:p w14:paraId="6F401E7A" w14:textId="33A1354C"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4"/>
                <w14:textFill>
                  <w14:solidFill>
                    <w14:srgbClr w14:val="000000">
                      <w14:alpha w14:val="100000"/>
                    </w14:srgbClr>
                  </w14:solidFill>
                </w14:textFill>
              </w:rPr>
              <w:t>|||</w:t>
            </w:r>
            <w:r w:rsidRPr="00BA039D">
              <w:rPr>
                <w:color w:val="000000"/>
                <w:spacing w:val="3"/>
                <w:shd w:val="solid" w:color="000000" w:fill="000000"/>
                <w:fitText w:val="383" w:id="-1233442294"/>
                <w14:textFill>
                  <w14:solidFill>
                    <w14:srgbClr w14:val="000000">
                      <w14:alpha w14:val="100000"/>
                    </w14:srgbClr>
                  </w14:solidFill>
                </w14:textFill>
              </w:rPr>
              <w:t>|</w:t>
            </w:r>
            <w:r w:rsidR="00C42A2C">
              <w:rPr>
                <w:vertAlign w:val="superscript"/>
              </w:rPr>
              <w:t>7</w:t>
            </w:r>
          </w:p>
        </w:tc>
        <w:tc>
          <w:tcPr>
            <w:tcW w:w="615" w:type="pct"/>
          </w:tcPr>
          <w:p w14:paraId="09DE11E7" w14:textId="7C4F33B6" w:rsidR="00D73D20" w:rsidRPr="00C42A2C" w:rsidRDefault="00BA039D" w:rsidP="008927AB">
            <w:pPr>
              <w:pStyle w:val="TableText0"/>
              <w:jc w:val="center"/>
              <w:rPr>
                <w:color w:val="000000"/>
                <w:highlight w:val="darkGray"/>
              </w:rPr>
            </w:pPr>
            <w:r w:rsidRPr="00BA039D">
              <w:rPr>
                <w:color w:val="000000"/>
                <w:spacing w:val="65"/>
                <w:shd w:val="solid" w:color="000000" w:fill="000000"/>
                <w:fitText w:val="366" w:id="-1233442293"/>
                <w14:textFill>
                  <w14:solidFill>
                    <w14:srgbClr w14:val="000000">
                      <w14:alpha w14:val="100000"/>
                    </w14:srgbClr>
                  </w14:solidFill>
                </w14:textFill>
              </w:rPr>
              <w:t>|||</w:t>
            </w:r>
            <w:r w:rsidRPr="00BA039D">
              <w:rPr>
                <w:color w:val="000000"/>
                <w:spacing w:val="1"/>
                <w:shd w:val="solid" w:color="000000" w:fill="000000"/>
                <w:fitText w:val="366" w:id="-1233442293"/>
                <w14:textFill>
                  <w14:solidFill>
                    <w14:srgbClr w14:val="000000">
                      <w14:alpha w14:val="100000"/>
                    </w14:srgbClr>
                  </w14:solidFill>
                </w14:textFill>
              </w:rPr>
              <w:t>|</w:t>
            </w:r>
            <w:r w:rsidR="00C42A2C">
              <w:rPr>
                <w:vertAlign w:val="superscript"/>
              </w:rPr>
              <w:t>7</w:t>
            </w:r>
          </w:p>
        </w:tc>
      </w:tr>
      <w:tr w:rsidR="00D73D20" w:rsidRPr="00AD7238" w14:paraId="3BDE6472" w14:textId="77777777" w:rsidTr="008927AB">
        <w:tc>
          <w:tcPr>
            <w:tcW w:w="1313" w:type="pct"/>
            <w:shd w:val="clear" w:color="auto" w:fill="auto"/>
            <w:vAlign w:val="center"/>
          </w:tcPr>
          <w:p w14:paraId="648ADFB8" w14:textId="1E5D5FEE" w:rsidR="00D73D20" w:rsidRPr="00AD7238" w:rsidRDefault="00D73D20">
            <w:pPr>
              <w:pStyle w:val="TableText0"/>
            </w:pPr>
            <w:r w:rsidRPr="00AD7238">
              <w:t>Non-Indigenous 65 YOA</w:t>
            </w:r>
          </w:p>
        </w:tc>
        <w:tc>
          <w:tcPr>
            <w:tcW w:w="614" w:type="pct"/>
          </w:tcPr>
          <w:p w14:paraId="3EB590A7" w14:textId="6837AAB9"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2"/>
                <w14:textFill>
                  <w14:solidFill>
                    <w14:srgbClr w14:val="000000">
                      <w14:alpha w14:val="100000"/>
                    </w14:srgbClr>
                  </w14:solidFill>
                </w14:textFill>
              </w:rPr>
              <w:t>|||</w:t>
            </w:r>
            <w:r w:rsidRPr="00BA039D">
              <w:rPr>
                <w:color w:val="000000"/>
                <w:spacing w:val="3"/>
                <w:shd w:val="solid" w:color="000000" w:fill="000000"/>
                <w:fitText w:val="383" w:id="-1233442292"/>
                <w14:textFill>
                  <w14:solidFill>
                    <w14:srgbClr w14:val="000000">
                      <w14:alpha w14:val="100000"/>
                    </w14:srgbClr>
                  </w14:solidFill>
                </w14:textFill>
              </w:rPr>
              <w:t>|</w:t>
            </w:r>
            <w:r w:rsidR="00C42A2C">
              <w:rPr>
                <w:vertAlign w:val="superscript"/>
              </w:rPr>
              <w:t>3</w:t>
            </w:r>
          </w:p>
        </w:tc>
        <w:tc>
          <w:tcPr>
            <w:tcW w:w="614" w:type="pct"/>
          </w:tcPr>
          <w:p w14:paraId="567B2557" w14:textId="0DC4371E"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1"/>
                <w14:textFill>
                  <w14:solidFill>
                    <w14:srgbClr w14:val="000000">
                      <w14:alpha w14:val="100000"/>
                    </w14:srgbClr>
                  </w14:solidFill>
                </w14:textFill>
              </w:rPr>
              <w:t>|||</w:t>
            </w:r>
            <w:r w:rsidRPr="00BA039D">
              <w:rPr>
                <w:color w:val="000000"/>
                <w:spacing w:val="3"/>
                <w:shd w:val="solid" w:color="000000" w:fill="000000"/>
                <w:fitText w:val="383" w:id="-1233442291"/>
                <w14:textFill>
                  <w14:solidFill>
                    <w14:srgbClr w14:val="000000">
                      <w14:alpha w14:val="100000"/>
                    </w14:srgbClr>
                  </w14:solidFill>
                </w14:textFill>
              </w:rPr>
              <w:t>|</w:t>
            </w:r>
            <w:r w:rsidR="00C42A2C">
              <w:rPr>
                <w:vertAlign w:val="superscript"/>
              </w:rPr>
              <w:t>3</w:t>
            </w:r>
          </w:p>
        </w:tc>
        <w:tc>
          <w:tcPr>
            <w:tcW w:w="614" w:type="pct"/>
          </w:tcPr>
          <w:p w14:paraId="4D54702B" w14:textId="36DD4BB1"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90"/>
                <w14:textFill>
                  <w14:solidFill>
                    <w14:srgbClr w14:val="000000">
                      <w14:alpha w14:val="100000"/>
                    </w14:srgbClr>
                  </w14:solidFill>
                </w14:textFill>
              </w:rPr>
              <w:t>|||</w:t>
            </w:r>
            <w:r w:rsidRPr="00BA039D">
              <w:rPr>
                <w:color w:val="000000"/>
                <w:spacing w:val="3"/>
                <w:shd w:val="solid" w:color="000000" w:fill="000000"/>
                <w:fitText w:val="383" w:id="-1233442290"/>
                <w14:textFill>
                  <w14:solidFill>
                    <w14:srgbClr w14:val="000000">
                      <w14:alpha w14:val="100000"/>
                    </w14:srgbClr>
                  </w14:solidFill>
                </w14:textFill>
              </w:rPr>
              <w:t>|</w:t>
            </w:r>
            <w:r w:rsidR="00C42A2C">
              <w:rPr>
                <w:vertAlign w:val="superscript"/>
              </w:rPr>
              <w:t>9</w:t>
            </w:r>
          </w:p>
        </w:tc>
        <w:tc>
          <w:tcPr>
            <w:tcW w:w="614" w:type="pct"/>
          </w:tcPr>
          <w:p w14:paraId="3B5FFB3C" w14:textId="69D9D683"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89"/>
                <w14:textFill>
                  <w14:solidFill>
                    <w14:srgbClr w14:val="000000">
                      <w14:alpha w14:val="100000"/>
                    </w14:srgbClr>
                  </w14:solidFill>
                </w14:textFill>
              </w:rPr>
              <w:t>|||</w:t>
            </w:r>
            <w:r w:rsidRPr="00BA039D">
              <w:rPr>
                <w:color w:val="000000"/>
                <w:spacing w:val="3"/>
                <w:shd w:val="solid" w:color="000000" w:fill="000000"/>
                <w:fitText w:val="383" w:id="-1233442289"/>
                <w14:textFill>
                  <w14:solidFill>
                    <w14:srgbClr w14:val="000000">
                      <w14:alpha w14:val="100000"/>
                    </w14:srgbClr>
                  </w14:solidFill>
                </w14:textFill>
              </w:rPr>
              <w:t>|</w:t>
            </w:r>
            <w:r w:rsidR="00C42A2C">
              <w:rPr>
                <w:vertAlign w:val="superscript"/>
              </w:rPr>
              <w:t>9</w:t>
            </w:r>
          </w:p>
        </w:tc>
        <w:tc>
          <w:tcPr>
            <w:tcW w:w="614" w:type="pct"/>
          </w:tcPr>
          <w:p w14:paraId="6C360FED" w14:textId="6DAC799D" w:rsidR="00D73D20" w:rsidRPr="00C42A2C" w:rsidRDefault="00BA039D" w:rsidP="008927AB">
            <w:pPr>
              <w:pStyle w:val="TableText0"/>
              <w:jc w:val="center"/>
              <w:rPr>
                <w:color w:val="000000"/>
                <w:highlight w:val="darkGray"/>
              </w:rPr>
            </w:pPr>
            <w:r w:rsidRPr="00BA039D">
              <w:rPr>
                <w:color w:val="000000"/>
                <w:spacing w:val="70"/>
                <w:shd w:val="solid" w:color="000000" w:fill="000000"/>
                <w:fitText w:val="383" w:id="-1233442288"/>
                <w14:textFill>
                  <w14:solidFill>
                    <w14:srgbClr w14:val="000000">
                      <w14:alpha w14:val="100000"/>
                    </w14:srgbClr>
                  </w14:solidFill>
                </w14:textFill>
              </w:rPr>
              <w:t>|||</w:t>
            </w:r>
            <w:r w:rsidRPr="00BA039D">
              <w:rPr>
                <w:color w:val="000000"/>
                <w:spacing w:val="3"/>
                <w:shd w:val="solid" w:color="000000" w:fill="000000"/>
                <w:fitText w:val="383" w:id="-1233442288"/>
                <w14:textFill>
                  <w14:solidFill>
                    <w14:srgbClr w14:val="000000">
                      <w14:alpha w14:val="100000"/>
                    </w14:srgbClr>
                  </w14:solidFill>
                </w14:textFill>
              </w:rPr>
              <w:t>|</w:t>
            </w:r>
            <w:r w:rsidR="00C42A2C">
              <w:rPr>
                <w:vertAlign w:val="superscript"/>
              </w:rPr>
              <w:t>9</w:t>
            </w:r>
          </w:p>
        </w:tc>
        <w:tc>
          <w:tcPr>
            <w:tcW w:w="615" w:type="pct"/>
          </w:tcPr>
          <w:p w14:paraId="710DDCD9" w14:textId="16C623D4" w:rsidR="00D73D20" w:rsidRPr="00C42A2C" w:rsidRDefault="00BA039D" w:rsidP="008927AB">
            <w:pPr>
              <w:pStyle w:val="TableText0"/>
              <w:jc w:val="center"/>
              <w:rPr>
                <w:color w:val="000000"/>
                <w:highlight w:val="darkGray"/>
              </w:rPr>
            </w:pPr>
            <w:r w:rsidRPr="00BA039D">
              <w:rPr>
                <w:color w:val="000000"/>
                <w:spacing w:val="65"/>
                <w:shd w:val="solid" w:color="000000" w:fill="000000"/>
                <w:fitText w:val="366" w:id="-1233442304"/>
                <w14:textFill>
                  <w14:solidFill>
                    <w14:srgbClr w14:val="000000">
                      <w14:alpha w14:val="100000"/>
                    </w14:srgbClr>
                  </w14:solidFill>
                </w14:textFill>
              </w:rPr>
              <w:t>|||</w:t>
            </w:r>
            <w:r w:rsidRPr="00BA039D">
              <w:rPr>
                <w:color w:val="000000"/>
                <w:spacing w:val="1"/>
                <w:shd w:val="solid" w:color="000000" w:fill="000000"/>
                <w:fitText w:val="366" w:id="-1233442304"/>
                <w14:textFill>
                  <w14:solidFill>
                    <w14:srgbClr w14:val="000000">
                      <w14:alpha w14:val="100000"/>
                    </w14:srgbClr>
                  </w14:solidFill>
                </w14:textFill>
              </w:rPr>
              <w:t>|</w:t>
            </w:r>
            <w:r w:rsidR="00C42A2C">
              <w:rPr>
                <w:vertAlign w:val="superscript"/>
              </w:rPr>
              <w:t>9</w:t>
            </w:r>
          </w:p>
        </w:tc>
      </w:tr>
      <w:tr w:rsidR="00D73D20" w:rsidRPr="00AD7238" w14:paraId="3573542E" w14:textId="77777777">
        <w:tc>
          <w:tcPr>
            <w:tcW w:w="5000" w:type="pct"/>
            <w:gridSpan w:val="7"/>
            <w:shd w:val="clear" w:color="auto" w:fill="auto"/>
            <w:vAlign w:val="center"/>
          </w:tcPr>
          <w:p w14:paraId="5DC04DBE" w14:textId="77777777" w:rsidR="00D73D20" w:rsidRPr="00AD7238" w:rsidRDefault="00D73D20" w:rsidP="008927AB">
            <w:pPr>
              <w:pStyle w:val="In-tableHeading"/>
              <w:rPr>
                <w:lang w:val="en-AU"/>
              </w:rPr>
            </w:pPr>
            <w:r w:rsidRPr="00AD7238">
              <w:rPr>
                <w:lang w:val="en-AU"/>
              </w:rPr>
              <w:t>Estimated financial implications of RZV</w:t>
            </w:r>
          </w:p>
        </w:tc>
      </w:tr>
      <w:tr w:rsidR="00D73D20" w:rsidRPr="00AD7238" w14:paraId="06AC960D" w14:textId="77777777" w:rsidTr="008927AB">
        <w:tc>
          <w:tcPr>
            <w:tcW w:w="1313" w:type="pct"/>
            <w:shd w:val="clear" w:color="auto" w:fill="auto"/>
            <w:vAlign w:val="center"/>
          </w:tcPr>
          <w:p w14:paraId="2471409B" w14:textId="17805687" w:rsidR="00D73D20" w:rsidRPr="00AD7238" w:rsidRDefault="00241461">
            <w:pPr>
              <w:pStyle w:val="TableText0"/>
            </w:pPr>
            <w:r w:rsidRPr="00AD7238">
              <w:t>Aboriginal and Torres Strait Islander</w:t>
            </w:r>
            <w:r w:rsidR="00D73D20" w:rsidRPr="00AD7238">
              <w:t xml:space="preserve"> 50 YOA</w:t>
            </w:r>
            <w:r w:rsidR="00C42A2C">
              <w:t xml:space="preserve"> ($)</w:t>
            </w:r>
          </w:p>
        </w:tc>
        <w:tc>
          <w:tcPr>
            <w:tcW w:w="614" w:type="pct"/>
          </w:tcPr>
          <w:p w14:paraId="27C83042" w14:textId="13923736"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3"/>
                <w14:textFill>
                  <w14:solidFill>
                    <w14:srgbClr w14:val="000000">
                      <w14:alpha w14:val="100000"/>
                    </w14:srgbClr>
                  </w14:solidFill>
                </w14:textFill>
              </w:rPr>
              <w:t>|||</w:t>
            </w:r>
            <w:r w:rsidRPr="00BA039D">
              <w:rPr>
                <w:color w:val="000000"/>
                <w:spacing w:val="3"/>
                <w:shd w:val="solid" w:color="000000" w:fill="000000"/>
                <w:fitText w:val="383" w:id="-1233442303"/>
                <w14:textFill>
                  <w14:solidFill>
                    <w14:srgbClr w14:val="000000">
                      <w14:alpha w14:val="100000"/>
                    </w14:srgbClr>
                  </w14:solidFill>
                </w14:textFill>
              </w:rPr>
              <w:t>|</w:t>
            </w:r>
            <w:r w:rsidR="00C42A2C">
              <w:rPr>
                <w:vertAlign w:val="superscript"/>
              </w:rPr>
              <w:t>4</w:t>
            </w:r>
          </w:p>
        </w:tc>
        <w:tc>
          <w:tcPr>
            <w:tcW w:w="614" w:type="pct"/>
          </w:tcPr>
          <w:p w14:paraId="45F0256C" w14:textId="45F1F9F6"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2"/>
                <w14:textFill>
                  <w14:solidFill>
                    <w14:srgbClr w14:val="000000">
                      <w14:alpha w14:val="100000"/>
                    </w14:srgbClr>
                  </w14:solidFill>
                </w14:textFill>
              </w:rPr>
              <w:t>|||</w:t>
            </w:r>
            <w:r w:rsidRPr="00BA039D">
              <w:rPr>
                <w:color w:val="000000"/>
                <w:spacing w:val="3"/>
                <w:shd w:val="solid" w:color="000000" w:fill="000000"/>
                <w:fitText w:val="383" w:id="-1233442302"/>
                <w14:textFill>
                  <w14:solidFill>
                    <w14:srgbClr w14:val="000000">
                      <w14:alpha w14:val="100000"/>
                    </w14:srgbClr>
                  </w14:solidFill>
                </w14:textFill>
              </w:rPr>
              <w:t>|</w:t>
            </w:r>
            <w:r w:rsidR="00C42A2C">
              <w:rPr>
                <w:vertAlign w:val="superscript"/>
              </w:rPr>
              <w:t>4</w:t>
            </w:r>
          </w:p>
        </w:tc>
        <w:tc>
          <w:tcPr>
            <w:tcW w:w="614" w:type="pct"/>
          </w:tcPr>
          <w:p w14:paraId="28D88B15" w14:textId="6B159962"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1"/>
                <w14:textFill>
                  <w14:solidFill>
                    <w14:srgbClr w14:val="000000">
                      <w14:alpha w14:val="100000"/>
                    </w14:srgbClr>
                  </w14:solidFill>
                </w14:textFill>
              </w:rPr>
              <w:t>|||</w:t>
            </w:r>
            <w:r w:rsidRPr="00BA039D">
              <w:rPr>
                <w:color w:val="000000"/>
                <w:spacing w:val="3"/>
                <w:shd w:val="solid" w:color="000000" w:fill="000000"/>
                <w:fitText w:val="383" w:id="-1233442301"/>
                <w14:textFill>
                  <w14:solidFill>
                    <w14:srgbClr w14:val="000000">
                      <w14:alpha w14:val="100000"/>
                    </w14:srgbClr>
                  </w14:solidFill>
                </w14:textFill>
              </w:rPr>
              <w:t>|</w:t>
            </w:r>
            <w:r w:rsidR="00C42A2C">
              <w:rPr>
                <w:vertAlign w:val="superscript"/>
              </w:rPr>
              <w:t>4</w:t>
            </w:r>
          </w:p>
        </w:tc>
        <w:tc>
          <w:tcPr>
            <w:tcW w:w="614" w:type="pct"/>
          </w:tcPr>
          <w:p w14:paraId="165C7F38" w14:textId="6046FEBB"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0"/>
                <w14:textFill>
                  <w14:solidFill>
                    <w14:srgbClr w14:val="000000">
                      <w14:alpha w14:val="100000"/>
                    </w14:srgbClr>
                  </w14:solidFill>
                </w14:textFill>
              </w:rPr>
              <w:t>|||</w:t>
            </w:r>
            <w:r w:rsidRPr="00BA039D">
              <w:rPr>
                <w:color w:val="000000"/>
                <w:spacing w:val="3"/>
                <w:shd w:val="solid" w:color="000000" w:fill="000000"/>
                <w:fitText w:val="383" w:id="-1233442300"/>
                <w14:textFill>
                  <w14:solidFill>
                    <w14:srgbClr w14:val="000000">
                      <w14:alpha w14:val="100000"/>
                    </w14:srgbClr>
                  </w14:solidFill>
                </w14:textFill>
              </w:rPr>
              <w:t>|</w:t>
            </w:r>
            <w:r w:rsidR="00C42A2C">
              <w:rPr>
                <w:vertAlign w:val="superscript"/>
              </w:rPr>
              <w:t>4</w:t>
            </w:r>
          </w:p>
        </w:tc>
        <w:tc>
          <w:tcPr>
            <w:tcW w:w="614" w:type="pct"/>
          </w:tcPr>
          <w:p w14:paraId="758951F8" w14:textId="55F25AC5"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9"/>
                <w14:textFill>
                  <w14:solidFill>
                    <w14:srgbClr w14:val="000000">
                      <w14:alpha w14:val="100000"/>
                    </w14:srgbClr>
                  </w14:solidFill>
                </w14:textFill>
              </w:rPr>
              <w:t>|||</w:t>
            </w:r>
            <w:r w:rsidRPr="00BA039D">
              <w:rPr>
                <w:color w:val="000000"/>
                <w:spacing w:val="3"/>
                <w:shd w:val="solid" w:color="000000" w:fill="000000"/>
                <w:fitText w:val="383" w:id="-1233442299"/>
                <w14:textFill>
                  <w14:solidFill>
                    <w14:srgbClr w14:val="000000">
                      <w14:alpha w14:val="100000"/>
                    </w14:srgbClr>
                  </w14:solidFill>
                </w14:textFill>
              </w:rPr>
              <w:t>|</w:t>
            </w:r>
            <w:r w:rsidR="00C42A2C">
              <w:rPr>
                <w:vertAlign w:val="superscript"/>
              </w:rPr>
              <w:t>4</w:t>
            </w:r>
          </w:p>
        </w:tc>
        <w:tc>
          <w:tcPr>
            <w:tcW w:w="615" w:type="pct"/>
          </w:tcPr>
          <w:p w14:paraId="301A9400" w14:textId="26BAAB7C" w:rsidR="00D73D20" w:rsidRPr="00C42A2C" w:rsidRDefault="00BA039D" w:rsidP="008927AB">
            <w:pPr>
              <w:pStyle w:val="TableText0"/>
              <w:jc w:val="center"/>
              <w:rPr>
                <w:highlight w:val="darkGray"/>
              </w:rPr>
            </w:pPr>
            <w:r w:rsidRPr="00BA039D">
              <w:rPr>
                <w:color w:val="000000"/>
                <w:spacing w:val="65"/>
                <w:shd w:val="solid" w:color="000000" w:fill="000000"/>
                <w:fitText w:val="366" w:id="-1233442298"/>
                <w14:textFill>
                  <w14:solidFill>
                    <w14:srgbClr w14:val="000000">
                      <w14:alpha w14:val="100000"/>
                    </w14:srgbClr>
                  </w14:solidFill>
                </w14:textFill>
              </w:rPr>
              <w:t>|||</w:t>
            </w:r>
            <w:r w:rsidRPr="00BA039D">
              <w:rPr>
                <w:color w:val="000000"/>
                <w:spacing w:val="1"/>
                <w:shd w:val="solid" w:color="000000" w:fill="000000"/>
                <w:fitText w:val="366" w:id="-1233442298"/>
                <w14:textFill>
                  <w14:solidFill>
                    <w14:srgbClr w14:val="000000">
                      <w14:alpha w14:val="100000"/>
                    </w14:srgbClr>
                  </w14:solidFill>
                </w14:textFill>
              </w:rPr>
              <w:t>|</w:t>
            </w:r>
            <w:r w:rsidR="00C42A2C">
              <w:rPr>
                <w:vertAlign w:val="superscript"/>
              </w:rPr>
              <w:t>4</w:t>
            </w:r>
          </w:p>
        </w:tc>
      </w:tr>
      <w:tr w:rsidR="00D73D20" w:rsidRPr="00AD7238" w14:paraId="48C915AA" w14:textId="77777777" w:rsidTr="008927AB">
        <w:tc>
          <w:tcPr>
            <w:tcW w:w="1313" w:type="pct"/>
            <w:shd w:val="clear" w:color="auto" w:fill="auto"/>
            <w:vAlign w:val="center"/>
          </w:tcPr>
          <w:p w14:paraId="2605203B" w14:textId="359A1DBD" w:rsidR="00D73D20" w:rsidRPr="00AD7238" w:rsidRDefault="00D73D20">
            <w:pPr>
              <w:pStyle w:val="TableText0"/>
            </w:pPr>
            <w:r w:rsidRPr="00AD7238">
              <w:t>Non-Indigenous 65 YOA</w:t>
            </w:r>
            <w:r w:rsidR="00C42A2C">
              <w:t xml:space="preserve"> ($)</w:t>
            </w:r>
          </w:p>
        </w:tc>
        <w:tc>
          <w:tcPr>
            <w:tcW w:w="614" w:type="pct"/>
          </w:tcPr>
          <w:p w14:paraId="2DB2310E" w14:textId="64EDB967"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7"/>
                <w14:textFill>
                  <w14:solidFill>
                    <w14:srgbClr w14:val="000000">
                      <w14:alpha w14:val="100000"/>
                    </w14:srgbClr>
                  </w14:solidFill>
                </w14:textFill>
              </w:rPr>
              <w:t>|||</w:t>
            </w:r>
            <w:r w:rsidRPr="00BA039D">
              <w:rPr>
                <w:color w:val="000000"/>
                <w:spacing w:val="3"/>
                <w:shd w:val="solid" w:color="000000" w:fill="000000"/>
                <w:fitText w:val="383" w:id="-1233442297"/>
                <w14:textFill>
                  <w14:solidFill>
                    <w14:srgbClr w14:val="000000">
                      <w14:alpha w14:val="100000"/>
                    </w14:srgbClr>
                  </w14:solidFill>
                </w14:textFill>
              </w:rPr>
              <w:t>|</w:t>
            </w:r>
            <w:r w:rsidR="00C42A2C">
              <w:rPr>
                <w:vertAlign w:val="superscript"/>
              </w:rPr>
              <w:t>5</w:t>
            </w:r>
          </w:p>
        </w:tc>
        <w:tc>
          <w:tcPr>
            <w:tcW w:w="614" w:type="pct"/>
          </w:tcPr>
          <w:p w14:paraId="2810B3B7" w14:textId="08F6D016"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6"/>
                <w14:textFill>
                  <w14:solidFill>
                    <w14:srgbClr w14:val="000000">
                      <w14:alpha w14:val="100000"/>
                    </w14:srgbClr>
                  </w14:solidFill>
                </w14:textFill>
              </w:rPr>
              <w:t>|||</w:t>
            </w:r>
            <w:r w:rsidRPr="00BA039D">
              <w:rPr>
                <w:color w:val="000000"/>
                <w:spacing w:val="3"/>
                <w:shd w:val="solid" w:color="000000" w:fill="000000"/>
                <w:fitText w:val="383" w:id="-1233442296"/>
                <w14:textFill>
                  <w14:solidFill>
                    <w14:srgbClr w14:val="000000">
                      <w14:alpha w14:val="100000"/>
                    </w14:srgbClr>
                  </w14:solidFill>
                </w14:textFill>
              </w:rPr>
              <w:t>|</w:t>
            </w:r>
            <w:r w:rsidR="00C42A2C">
              <w:rPr>
                <w:vertAlign w:val="superscript"/>
              </w:rPr>
              <w:t>5</w:t>
            </w:r>
          </w:p>
        </w:tc>
        <w:tc>
          <w:tcPr>
            <w:tcW w:w="614" w:type="pct"/>
          </w:tcPr>
          <w:p w14:paraId="23CB2DDA" w14:textId="746BF022"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5"/>
                <w14:textFill>
                  <w14:solidFill>
                    <w14:srgbClr w14:val="000000">
                      <w14:alpha w14:val="100000"/>
                    </w14:srgbClr>
                  </w14:solidFill>
                </w14:textFill>
              </w:rPr>
              <w:t>|||</w:t>
            </w:r>
            <w:r w:rsidRPr="00BA039D">
              <w:rPr>
                <w:color w:val="000000"/>
                <w:spacing w:val="3"/>
                <w:shd w:val="solid" w:color="000000" w:fill="000000"/>
                <w:fitText w:val="383" w:id="-1233442295"/>
                <w14:textFill>
                  <w14:solidFill>
                    <w14:srgbClr w14:val="000000">
                      <w14:alpha w14:val="100000"/>
                    </w14:srgbClr>
                  </w14:solidFill>
                </w14:textFill>
              </w:rPr>
              <w:t>|</w:t>
            </w:r>
            <w:r w:rsidR="00C42A2C">
              <w:rPr>
                <w:vertAlign w:val="superscript"/>
              </w:rPr>
              <w:t>8</w:t>
            </w:r>
          </w:p>
        </w:tc>
        <w:tc>
          <w:tcPr>
            <w:tcW w:w="614" w:type="pct"/>
          </w:tcPr>
          <w:p w14:paraId="44AACAC7" w14:textId="2F9827A4"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4"/>
                <w14:textFill>
                  <w14:solidFill>
                    <w14:srgbClr w14:val="000000">
                      <w14:alpha w14:val="100000"/>
                    </w14:srgbClr>
                  </w14:solidFill>
                </w14:textFill>
              </w:rPr>
              <w:t>|||</w:t>
            </w:r>
            <w:r w:rsidRPr="00BA039D">
              <w:rPr>
                <w:color w:val="000000"/>
                <w:spacing w:val="3"/>
                <w:shd w:val="solid" w:color="000000" w:fill="000000"/>
                <w:fitText w:val="383" w:id="-1233442294"/>
                <w14:textFill>
                  <w14:solidFill>
                    <w14:srgbClr w14:val="000000">
                      <w14:alpha w14:val="100000"/>
                    </w14:srgbClr>
                  </w14:solidFill>
                </w14:textFill>
              </w:rPr>
              <w:t>|</w:t>
            </w:r>
            <w:r w:rsidR="00C42A2C">
              <w:rPr>
                <w:vertAlign w:val="superscript"/>
              </w:rPr>
              <w:t>8</w:t>
            </w:r>
          </w:p>
        </w:tc>
        <w:tc>
          <w:tcPr>
            <w:tcW w:w="614" w:type="pct"/>
          </w:tcPr>
          <w:p w14:paraId="6732122D" w14:textId="2DF85C7F"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3"/>
                <w14:textFill>
                  <w14:solidFill>
                    <w14:srgbClr w14:val="000000">
                      <w14:alpha w14:val="100000"/>
                    </w14:srgbClr>
                  </w14:solidFill>
                </w14:textFill>
              </w:rPr>
              <w:t>|||</w:t>
            </w:r>
            <w:r w:rsidRPr="00BA039D">
              <w:rPr>
                <w:color w:val="000000"/>
                <w:spacing w:val="3"/>
                <w:shd w:val="solid" w:color="000000" w:fill="000000"/>
                <w:fitText w:val="383" w:id="-1233442293"/>
                <w14:textFill>
                  <w14:solidFill>
                    <w14:srgbClr w14:val="000000">
                      <w14:alpha w14:val="100000"/>
                    </w14:srgbClr>
                  </w14:solidFill>
                </w14:textFill>
              </w:rPr>
              <w:t>|</w:t>
            </w:r>
            <w:r w:rsidR="00C42A2C">
              <w:rPr>
                <w:vertAlign w:val="superscript"/>
              </w:rPr>
              <w:t>8</w:t>
            </w:r>
          </w:p>
        </w:tc>
        <w:tc>
          <w:tcPr>
            <w:tcW w:w="615" w:type="pct"/>
          </w:tcPr>
          <w:p w14:paraId="06F0390B" w14:textId="70A423B3" w:rsidR="00D73D20" w:rsidRPr="00C42A2C" w:rsidRDefault="00BA039D" w:rsidP="008927AB">
            <w:pPr>
              <w:pStyle w:val="TableText0"/>
              <w:jc w:val="center"/>
              <w:rPr>
                <w:highlight w:val="darkGray"/>
              </w:rPr>
            </w:pPr>
            <w:r w:rsidRPr="00BA039D">
              <w:rPr>
                <w:color w:val="000000"/>
                <w:spacing w:val="65"/>
                <w:shd w:val="solid" w:color="000000" w:fill="000000"/>
                <w:fitText w:val="366" w:id="-1233442292"/>
                <w14:textFill>
                  <w14:solidFill>
                    <w14:srgbClr w14:val="000000">
                      <w14:alpha w14:val="100000"/>
                    </w14:srgbClr>
                  </w14:solidFill>
                </w14:textFill>
              </w:rPr>
              <w:t>|||</w:t>
            </w:r>
            <w:r w:rsidRPr="00BA039D">
              <w:rPr>
                <w:color w:val="000000"/>
                <w:spacing w:val="1"/>
                <w:shd w:val="solid" w:color="000000" w:fill="000000"/>
                <w:fitText w:val="366" w:id="-1233442292"/>
                <w14:textFill>
                  <w14:solidFill>
                    <w14:srgbClr w14:val="000000">
                      <w14:alpha w14:val="100000"/>
                    </w14:srgbClr>
                  </w14:solidFill>
                </w14:textFill>
              </w:rPr>
              <w:t>|</w:t>
            </w:r>
            <w:r w:rsidR="00C42A2C">
              <w:rPr>
                <w:vertAlign w:val="superscript"/>
              </w:rPr>
              <w:t>8</w:t>
            </w:r>
          </w:p>
        </w:tc>
      </w:tr>
      <w:tr w:rsidR="00D73D20" w:rsidRPr="00AD7238" w14:paraId="6F0EF461" w14:textId="77777777">
        <w:tc>
          <w:tcPr>
            <w:tcW w:w="5000" w:type="pct"/>
            <w:gridSpan w:val="7"/>
            <w:shd w:val="clear" w:color="auto" w:fill="auto"/>
            <w:vAlign w:val="center"/>
          </w:tcPr>
          <w:p w14:paraId="6550FD36" w14:textId="1C3DA8F3" w:rsidR="00D73D20" w:rsidRPr="00AD7238" w:rsidRDefault="00D73D20" w:rsidP="008927AB">
            <w:pPr>
              <w:pStyle w:val="In-tableHeading"/>
              <w:rPr>
                <w:lang w:val="en-AU"/>
              </w:rPr>
            </w:pPr>
            <w:r w:rsidRPr="00AD7238">
              <w:rPr>
                <w:lang w:val="en-AU"/>
              </w:rPr>
              <w:t xml:space="preserve">Estimated financial implications </w:t>
            </w:r>
            <w:r w:rsidR="00AD7238" w:rsidRPr="00AD7238">
              <w:rPr>
                <w:lang w:val="en-AU"/>
              </w:rPr>
              <w:t>for</w:t>
            </w:r>
            <w:r w:rsidRPr="00AD7238">
              <w:rPr>
                <w:lang w:val="en-AU"/>
              </w:rPr>
              <w:t xml:space="preserve"> </w:t>
            </w:r>
            <w:r w:rsidR="00974A9A" w:rsidRPr="00AD7238">
              <w:rPr>
                <w:lang w:val="en-AU"/>
              </w:rPr>
              <w:t xml:space="preserve">PBS listed medicines </w:t>
            </w:r>
          </w:p>
        </w:tc>
      </w:tr>
      <w:tr w:rsidR="00D73D20" w:rsidRPr="00AD7238" w14:paraId="59F0760E" w14:textId="77777777" w:rsidTr="008927AB">
        <w:tc>
          <w:tcPr>
            <w:tcW w:w="1313" w:type="pct"/>
            <w:shd w:val="clear" w:color="auto" w:fill="auto"/>
            <w:vAlign w:val="center"/>
          </w:tcPr>
          <w:p w14:paraId="2BC21F6E" w14:textId="4FAC0302" w:rsidR="00D73D20" w:rsidRPr="00AD7238" w:rsidRDefault="00241461">
            <w:pPr>
              <w:pStyle w:val="TableText0"/>
            </w:pPr>
            <w:r w:rsidRPr="00AD7238">
              <w:t>Aboriginal and Torres Strait Islander</w:t>
            </w:r>
            <w:r w:rsidR="00D73D20" w:rsidRPr="00AD7238">
              <w:t xml:space="preserve"> 50 YOA</w:t>
            </w:r>
            <w:r w:rsidR="00C42A2C">
              <w:t xml:space="preserve"> ($)</w:t>
            </w:r>
          </w:p>
        </w:tc>
        <w:tc>
          <w:tcPr>
            <w:tcW w:w="614" w:type="pct"/>
          </w:tcPr>
          <w:p w14:paraId="513C91E8" w14:textId="1F972E82"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1"/>
                <w14:textFill>
                  <w14:solidFill>
                    <w14:srgbClr w14:val="000000">
                      <w14:alpha w14:val="100000"/>
                    </w14:srgbClr>
                  </w14:solidFill>
                </w14:textFill>
              </w:rPr>
              <w:t>|||</w:t>
            </w:r>
            <w:r w:rsidRPr="00BA039D">
              <w:rPr>
                <w:color w:val="000000"/>
                <w:spacing w:val="3"/>
                <w:shd w:val="solid" w:color="000000" w:fill="000000"/>
                <w:fitText w:val="383" w:id="-1233442291"/>
                <w14:textFill>
                  <w14:solidFill>
                    <w14:srgbClr w14:val="000000">
                      <w14:alpha w14:val="100000"/>
                    </w14:srgbClr>
                  </w14:solidFill>
                </w14:textFill>
              </w:rPr>
              <w:t>|</w:t>
            </w:r>
            <w:r w:rsidR="00C42A2C">
              <w:rPr>
                <w:vertAlign w:val="superscript"/>
              </w:rPr>
              <w:t>6</w:t>
            </w:r>
          </w:p>
        </w:tc>
        <w:tc>
          <w:tcPr>
            <w:tcW w:w="614" w:type="pct"/>
          </w:tcPr>
          <w:p w14:paraId="1BB64E0C" w14:textId="4C21D5EF"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0"/>
                <w14:textFill>
                  <w14:solidFill>
                    <w14:srgbClr w14:val="000000">
                      <w14:alpha w14:val="100000"/>
                    </w14:srgbClr>
                  </w14:solidFill>
                </w14:textFill>
              </w:rPr>
              <w:t>|||</w:t>
            </w:r>
            <w:r w:rsidRPr="00BA039D">
              <w:rPr>
                <w:color w:val="000000"/>
                <w:spacing w:val="3"/>
                <w:shd w:val="solid" w:color="000000" w:fill="000000"/>
                <w:fitText w:val="383" w:id="-1233442290"/>
                <w14:textFill>
                  <w14:solidFill>
                    <w14:srgbClr w14:val="000000">
                      <w14:alpha w14:val="100000"/>
                    </w14:srgbClr>
                  </w14:solidFill>
                </w14:textFill>
              </w:rPr>
              <w:t>|</w:t>
            </w:r>
            <w:r w:rsidR="00C42A2C">
              <w:rPr>
                <w:vertAlign w:val="superscript"/>
              </w:rPr>
              <w:t>6</w:t>
            </w:r>
          </w:p>
        </w:tc>
        <w:tc>
          <w:tcPr>
            <w:tcW w:w="614" w:type="pct"/>
          </w:tcPr>
          <w:p w14:paraId="3BDCD0E4" w14:textId="132CD8FB" w:rsidR="00D73D20" w:rsidRPr="00C42A2C" w:rsidRDefault="00BA039D" w:rsidP="008927AB">
            <w:pPr>
              <w:pStyle w:val="TableText0"/>
              <w:jc w:val="center"/>
              <w:rPr>
                <w:highlight w:val="darkGray"/>
              </w:rPr>
            </w:pPr>
            <w:r w:rsidRPr="00BA039D">
              <w:rPr>
                <w:color w:val="000000"/>
                <w:spacing w:val="70"/>
                <w:shd w:val="solid" w:color="000000" w:fill="000000"/>
                <w:fitText w:val="383" w:id="-1233442289"/>
                <w14:textFill>
                  <w14:solidFill>
                    <w14:srgbClr w14:val="000000">
                      <w14:alpha w14:val="100000"/>
                    </w14:srgbClr>
                  </w14:solidFill>
                </w14:textFill>
              </w:rPr>
              <w:t>|||</w:t>
            </w:r>
            <w:r w:rsidRPr="00BA039D">
              <w:rPr>
                <w:color w:val="000000"/>
                <w:spacing w:val="3"/>
                <w:shd w:val="solid" w:color="000000" w:fill="000000"/>
                <w:fitText w:val="383" w:id="-1233442289"/>
                <w14:textFill>
                  <w14:solidFill>
                    <w14:srgbClr w14:val="000000">
                      <w14:alpha w14:val="100000"/>
                    </w14:srgbClr>
                  </w14:solidFill>
                </w14:textFill>
              </w:rPr>
              <w:t>|</w:t>
            </w:r>
            <w:r w:rsidR="00C42A2C">
              <w:rPr>
                <w:vertAlign w:val="superscript"/>
              </w:rPr>
              <w:t>6</w:t>
            </w:r>
          </w:p>
        </w:tc>
        <w:tc>
          <w:tcPr>
            <w:tcW w:w="614" w:type="pct"/>
          </w:tcPr>
          <w:p w14:paraId="21468CF4" w14:textId="10B9EBC9" w:rsidR="00D73D20" w:rsidRPr="00C42A2C" w:rsidRDefault="00BA039D" w:rsidP="008927AB">
            <w:pPr>
              <w:pStyle w:val="TableText0"/>
              <w:jc w:val="center"/>
              <w:rPr>
                <w:highlight w:val="darkGray"/>
              </w:rPr>
            </w:pPr>
            <w:r w:rsidRPr="00BA039D">
              <w:rPr>
                <w:color w:val="000000"/>
                <w:spacing w:val="70"/>
                <w:shd w:val="solid" w:color="000000" w:fill="000000"/>
                <w:fitText w:val="383" w:id="-1233442288"/>
                <w14:textFill>
                  <w14:solidFill>
                    <w14:srgbClr w14:val="000000">
                      <w14:alpha w14:val="100000"/>
                    </w14:srgbClr>
                  </w14:solidFill>
                </w14:textFill>
              </w:rPr>
              <w:t>|||</w:t>
            </w:r>
            <w:r w:rsidRPr="00BA039D">
              <w:rPr>
                <w:color w:val="000000"/>
                <w:spacing w:val="3"/>
                <w:shd w:val="solid" w:color="000000" w:fill="000000"/>
                <w:fitText w:val="383" w:id="-1233442288"/>
                <w14:textFill>
                  <w14:solidFill>
                    <w14:srgbClr w14:val="000000">
                      <w14:alpha w14:val="100000"/>
                    </w14:srgbClr>
                  </w14:solidFill>
                </w14:textFill>
              </w:rPr>
              <w:t>|</w:t>
            </w:r>
            <w:r w:rsidR="00C42A2C">
              <w:rPr>
                <w:vertAlign w:val="superscript"/>
              </w:rPr>
              <w:t>6</w:t>
            </w:r>
          </w:p>
        </w:tc>
        <w:tc>
          <w:tcPr>
            <w:tcW w:w="614" w:type="pct"/>
          </w:tcPr>
          <w:p w14:paraId="2A9A231D" w14:textId="0F4428FF"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4"/>
                <w14:textFill>
                  <w14:solidFill>
                    <w14:srgbClr w14:val="000000">
                      <w14:alpha w14:val="100000"/>
                    </w14:srgbClr>
                  </w14:solidFill>
                </w14:textFill>
              </w:rPr>
              <w:t>|||</w:t>
            </w:r>
            <w:r w:rsidRPr="00BA039D">
              <w:rPr>
                <w:color w:val="000000"/>
                <w:spacing w:val="3"/>
                <w:shd w:val="solid" w:color="000000" w:fill="000000"/>
                <w:fitText w:val="383" w:id="-1233442304"/>
                <w14:textFill>
                  <w14:solidFill>
                    <w14:srgbClr w14:val="000000">
                      <w14:alpha w14:val="100000"/>
                    </w14:srgbClr>
                  </w14:solidFill>
                </w14:textFill>
              </w:rPr>
              <w:t>|</w:t>
            </w:r>
            <w:r w:rsidR="00C42A2C">
              <w:rPr>
                <w:vertAlign w:val="superscript"/>
              </w:rPr>
              <w:t>6</w:t>
            </w:r>
          </w:p>
        </w:tc>
        <w:tc>
          <w:tcPr>
            <w:tcW w:w="615" w:type="pct"/>
          </w:tcPr>
          <w:p w14:paraId="7641EB65" w14:textId="60A036FF" w:rsidR="00D73D20" w:rsidRPr="00C42A2C" w:rsidRDefault="00BA039D" w:rsidP="008927AB">
            <w:pPr>
              <w:pStyle w:val="TableText0"/>
              <w:jc w:val="center"/>
              <w:rPr>
                <w:highlight w:val="darkGray"/>
              </w:rPr>
            </w:pPr>
            <w:r w:rsidRPr="00BA039D">
              <w:rPr>
                <w:color w:val="000000"/>
                <w:spacing w:val="65"/>
                <w:shd w:val="solid" w:color="000000" w:fill="000000"/>
                <w:fitText w:val="366" w:id="-1233442303"/>
                <w14:textFill>
                  <w14:solidFill>
                    <w14:srgbClr w14:val="000000">
                      <w14:alpha w14:val="100000"/>
                    </w14:srgbClr>
                  </w14:solidFill>
                </w14:textFill>
              </w:rPr>
              <w:t>|||</w:t>
            </w:r>
            <w:r w:rsidRPr="00BA039D">
              <w:rPr>
                <w:color w:val="000000"/>
                <w:spacing w:val="1"/>
                <w:shd w:val="solid" w:color="000000" w:fill="000000"/>
                <w:fitText w:val="366" w:id="-1233442303"/>
                <w14:textFill>
                  <w14:solidFill>
                    <w14:srgbClr w14:val="000000">
                      <w14:alpha w14:val="100000"/>
                    </w14:srgbClr>
                  </w14:solidFill>
                </w14:textFill>
              </w:rPr>
              <w:t>|</w:t>
            </w:r>
            <w:r w:rsidR="00C42A2C">
              <w:rPr>
                <w:vertAlign w:val="superscript"/>
              </w:rPr>
              <w:t>6</w:t>
            </w:r>
          </w:p>
        </w:tc>
      </w:tr>
      <w:tr w:rsidR="00D73D20" w:rsidRPr="00AD7238" w14:paraId="113C8650" w14:textId="77777777" w:rsidTr="008927AB">
        <w:tc>
          <w:tcPr>
            <w:tcW w:w="1313" w:type="pct"/>
            <w:shd w:val="clear" w:color="auto" w:fill="auto"/>
            <w:vAlign w:val="center"/>
          </w:tcPr>
          <w:p w14:paraId="78EDD45E" w14:textId="3222F500" w:rsidR="00D73D20" w:rsidRPr="00AD7238" w:rsidRDefault="00D73D20">
            <w:pPr>
              <w:pStyle w:val="TableText0"/>
            </w:pPr>
            <w:r w:rsidRPr="00AD7238">
              <w:t>Non-Indigenous 65 YOA</w:t>
            </w:r>
            <w:r w:rsidR="00C42A2C">
              <w:t xml:space="preserve"> ($)</w:t>
            </w:r>
          </w:p>
        </w:tc>
        <w:tc>
          <w:tcPr>
            <w:tcW w:w="614" w:type="pct"/>
          </w:tcPr>
          <w:p w14:paraId="56F91FD2" w14:textId="1F8A8159"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2"/>
                <w14:textFill>
                  <w14:solidFill>
                    <w14:srgbClr w14:val="000000">
                      <w14:alpha w14:val="100000"/>
                    </w14:srgbClr>
                  </w14:solidFill>
                </w14:textFill>
              </w:rPr>
              <w:t>|||</w:t>
            </w:r>
            <w:r w:rsidRPr="00BA039D">
              <w:rPr>
                <w:color w:val="000000"/>
                <w:spacing w:val="3"/>
                <w:shd w:val="solid" w:color="000000" w:fill="000000"/>
                <w:fitText w:val="383" w:id="-1233442302"/>
                <w14:textFill>
                  <w14:solidFill>
                    <w14:srgbClr w14:val="000000">
                      <w14:alpha w14:val="100000"/>
                    </w14:srgbClr>
                  </w14:solidFill>
                </w14:textFill>
              </w:rPr>
              <w:t>|</w:t>
            </w:r>
            <w:r w:rsidR="00C42A2C">
              <w:rPr>
                <w:vertAlign w:val="superscript"/>
              </w:rPr>
              <w:t>6</w:t>
            </w:r>
          </w:p>
        </w:tc>
        <w:tc>
          <w:tcPr>
            <w:tcW w:w="614" w:type="pct"/>
          </w:tcPr>
          <w:p w14:paraId="2E4696EE" w14:textId="3C65D4AE"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1"/>
                <w14:textFill>
                  <w14:solidFill>
                    <w14:srgbClr w14:val="000000">
                      <w14:alpha w14:val="100000"/>
                    </w14:srgbClr>
                  </w14:solidFill>
                </w14:textFill>
              </w:rPr>
              <w:t>|||</w:t>
            </w:r>
            <w:r w:rsidRPr="00BA039D">
              <w:rPr>
                <w:color w:val="000000"/>
                <w:spacing w:val="3"/>
                <w:shd w:val="solid" w:color="000000" w:fill="000000"/>
                <w:fitText w:val="383" w:id="-1233442301"/>
                <w14:textFill>
                  <w14:solidFill>
                    <w14:srgbClr w14:val="000000">
                      <w14:alpha w14:val="100000"/>
                    </w14:srgbClr>
                  </w14:solidFill>
                </w14:textFill>
              </w:rPr>
              <w:t>|</w:t>
            </w:r>
            <w:r w:rsidR="00C42A2C">
              <w:rPr>
                <w:vertAlign w:val="superscript"/>
              </w:rPr>
              <w:t>6</w:t>
            </w:r>
          </w:p>
        </w:tc>
        <w:tc>
          <w:tcPr>
            <w:tcW w:w="614" w:type="pct"/>
          </w:tcPr>
          <w:p w14:paraId="6518E18E" w14:textId="61AE117B" w:rsidR="00D73D20" w:rsidRPr="00C42A2C" w:rsidRDefault="00BA039D" w:rsidP="008927AB">
            <w:pPr>
              <w:pStyle w:val="TableText0"/>
              <w:jc w:val="center"/>
              <w:rPr>
                <w:highlight w:val="darkGray"/>
              </w:rPr>
            </w:pPr>
            <w:r w:rsidRPr="00BA039D">
              <w:rPr>
                <w:color w:val="000000"/>
                <w:spacing w:val="70"/>
                <w:shd w:val="solid" w:color="000000" w:fill="000000"/>
                <w:fitText w:val="383" w:id="-1233442300"/>
                <w14:textFill>
                  <w14:solidFill>
                    <w14:srgbClr w14:val="000000">
                      <w14:alpha w14:val="100000"/>
                    </w14:srgbClr>
                  </w14:solidFill>
                </w14:textFill>
              </w:rPr>
              <w:t>|||</w:t>
            </w:r>
            <w:r w:rsidRPr="00BA039D">
              <w:rPr>
                <w:color w:val="000000"/>
                <w:spacing w:val="3"/>
                <w:shd w:val="solid" w:color="000000" w:fill="000000"/>
                <w:fitText w:val="383" w:id="-1233442300"/>
                <w14:textFill>
                  <w14:solidFill>
                    <w14:srgbClr w14:val="000000">
                      <w14:alpha w14:val="100000"/>
                    </w14:srgbClr>
                  </w14:solidFill>
                </w14:textFill>
              </w:rPr>
              <w:t>|</w:t>
            </w:r>
            <w:r w:rsidR="00C42A2C">
              <w:rPr>
                <w:vertAlign w:val="superscript"/>
              </w:rPr>
              <w:t>6</w:t>
            </w:r>
          </w:p>
        </w:tc>
        <w:tc>
          <w:tcPr>
            <w:tcW w:w="614" w:type="pct"/>
          </w:tcPr>
          <w:p w14:paraId="0691EE2A" w14:textId="1CCBA104"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9"/>
                <w14:textFill>
                  <w14:solidFill>
                    <w14:srgbClr w14:val="000000">
                      <w14:alpha w14:val="100000"/>
                    </w14:srgbClr>
                  </w14:solidFill>
                </w14:textFill>
              </w:rPr>
              <w:t>|||</w:t>
            </w:r>
            <w:r w:rsidRPr="00BA039D">
              <w:rPr>
                <w:color w:val="000000"/>
                <w:spacing w:val="3"/>
                <w:shd w:val="solid" w:color="000000" w:fill="000000"/>
                <w:fitText w:val="383" w:id="-1233442299"/>
                <w14:textFill>
                  <w14:solidFill>
                    <w14:srgbClr w14:val="000000">
                      <w14:alpha w14:val="100000"/>
                    </w14:srgbClr>
                  </w14:solidFill>
                </w14:textFill>
              </w:rPr>
              <w:t>|</w:t>
            </w:r>
            <w:r w:rsidR="00C42A2C">
              <w:rPr>
                <w:vertAlign w:val="superscript"/>
              </w:rPr>
              <w:t>6</w:t>
            </w:r>
          </w:p>
        </w:tc>
        <w:tc>
          <w:tcPr>
            <w:tcW w:w="614" w:type="pct"/>
          </w:tcPr>
          <w:p w14:paraId="276A721D" w14:textId="6C227697"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8"/>
                <w14:textFill>
                  <w14:solidFill>
                    <w14:srgbClr w14:val="000000">
                      <w14:alpha w14:val="100000"/>
                    </w14:srgbClr>
                  </w14:solidFill>
                </w14:textFill>
              </w:rPr>
              <w:t>|||</w:t>
            </w:r>
            <w:r w:rsidRPr="00BA039D">
              <w:rPr>
                <w:color w:val="000000"/>
                <w:spacing w:val="3"/>
                <w:shd w:val="solid" w:color="000000" w:fill="000000"/>
                <w:fitText w:val="383" w:id="-1233442298"/>
                <w14:textFill>
                  <w14:solidFill>
                    <w14:srgbClr w14:val="000000">
                      <w14:alpha w14:val="100000"/>
                    </w14:srgbClr>
                  </w14:solidFill>
                </w14:textFill>
              </w:rPr>
              <w:t>|</w:t>
            </w:r>
            <w:r w:rsidR="00C42A2C">
              <w:rPr>
                <w:vertAlign w:val="superscript"/>
              </w:rPr>
              <w:t>6</w:t>
            </w:r>
          </w:p>
        </w:tc>
        <w:tc>
          <w:tcPr>
            <w:tcW w:w="615" w:type="pct"/>
          </w:tcPr>
          <w:p w14:paraId="39A8867F" w14:textId="63B456B1" w:rsidR="00D73D20" w:rsidRPr="00C42A2C" w:rsidRDefault="00BA039D" w:rsidP="008927AB">
            <w:pPr>
              <w:pStyle w:val="TableText0"/>
              <w:jc w:val="center"/>
              <w:rPr>
                <w:highlight w:val="darkGray"/>
              </w:rPr>
            </w:pPr>
            <w:r w:rsidRPr="00BA039D">
              <w:rPr>
                <w:color w:val="000000"/>
                <w:spacing w:val="65"/>
                <w:shd w:val="solid" w:color="000000" w:fill="000000"/>
                <w:fitText w:val="366" w:id="-1233442297"/>
                <w14:textFill>
                  <w14:solidFill>
                    <w14:srgbClr w14:val="000000">
                      <w14:alpha w14:val="100000"/>
                    </w14:srgbClr>
                  </w14:solidFill>
                </w14:textFill>
              </w:rPr>
              <w:t>|||</w:t>
            </w:r>
            <w:r w:rsidRPr="00BA039D">
              <w:rPr>
                <w:color w:val="000000"/>
                <w:spacing w:val="1"/>
                <w:shd w:val="solid" w:color="000000" w:fill="000000"/>
                <w:fitText w:val="366" w:id="-1233442297"/>
                <w14:textFill>
                  <w14:solidFill>
                    <w14:srgbClr w14:val="000000">
                      <w14:alpha w14:val="100000"/>
                    </w14:srgbClr>
                  </w14:solidFill>
                </w14:textFill>
              </w:rPr>
              <w:t>|</w:t>
            </w:r>
            <w:r w:rsidR="00C42A2C">
              <w:rPr>
                <w:vertAlign w:val="superscript"/>
              </w:rPr>
              <w:t>6</w:t>
            </w:r>
          </w:p>
        </w:tc>
      </w:tr>
      <w:tr w:rsidR="00D73D20" w:rsidRPr="00AD7238" w14:paraId="50B7CE44" w14:textId="77777777">
        <w:tc>
          <w:tcPr>
            <w:tcW w:w="5000" w:type="pct"/>
            <w:gridSpan w:val="7"/>
            <w:shd w:val="clear" w:color="auto" w:fill="auto"/>
            <w:vAlign w:val="center"/>
          </w:tcPr>
          <w:p w14:paraId="59F96C2D" w14:textId="1F15B533" w:rsidR="00D73D20" w:rsidRPr="00AD7238" w:rsidRDefault="00D73D20" w:rsidP="008927AB">
            <w:pPr>
              <w:pStyle w:val="In-tableHeading"/>
              <w:rPr>
                <w:lang w:val="en-AU"/>
              </w:rPr>
            </w:pPr>
            <w:r w:rsidRPr="00AD7238">
              <w:rPr>
                <w:lang w:val="en-AU"/>
              </w:rPr>
              <w:t>Net financial implications</w:t>
            </w:r>
          </w:p>
        </w:tc>
      </w:tr>
      <w:tr w:rsidR="00D73D20" w:rsidRPr="00AD7238" w14:paraId="5CB4CCA8" w14:textId="77777777" w:rsidTr="008927AB">
        <w:tc>
          <w:tcPr>
            <w:tcW w:w="1313" w:type="pct"/>
            <w:shd w:val="clear" w:color="auto" w:fill="auto"/>
            <w:vAlign w:val="center"/>
          </w:tcPr>
          <w:p w14:paraId="3670F154" w14:textId="6664F539" w:rsidR="00D73D20" w:rsidRPr="00C42A2C" w:rsidRDefault="00D73D20">
            <w:pPr>
              <w:pStyle w:val="TableText0"/>
            </w:pPr>
            <w:r w:rsidRPr="00AD7238">
              <w:t xml:space="preserve">Cost to NIP </w:t>
            </w:r>
            <w:r w:rsidRPr="00AD7238">
              <w:rPr>
                <w:vertAlign w:val="superscript"/>
              </w:rPr>
              <w:t xml:space="preserve">a </w:t>
            </w:r>
            <w:r w:rsidR="00C42A2C">
              <w:t xml:space="preserve"> ($)</w:t>
            </w:r>
          </w:p>
        </w:tc>
        <w:tc>
          <w:tcPr>
            <w:tcW w:w="614" w:type="pct"/>
          </w:tcPr>
          <w:p w14:paraId="25E6E933" w14:textId="5E4EDA92"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6"/>
                <w14:textFill>
                  <w14:solidFill>
                    <w14:srgbClr w14:val="000000">
                      <w14:alpha w14:val="100000"/>
                    </w14:srgbClr>
                  </w14:solidFill>
                </w14:textFill>
              </w:rPr>
              <w:t>|||</w:t>
            </w:r>
            <w:r w:rsidRPr="00BA039D">
              <w:rPr>
                <w:color w:val="000000"/>
                <w:spacing w:val="3"/>
                <w:shd w:val="solid" w:color="000000" w:fill="000000"/>
                <w:fitText w:val="383" w:id="-1233442296"/>
                <w14:textFill>
                  <w14:solidFill>
                    <w14:srgbClr w14:val="000000">
                      <w14:alpha w14:val="100000"/>
                    </w14:srgbClr>
                  </w14:solidFill>
                </w14:textFill>
              </w:rPr>
              <w:t>|</w:t>
            </w:r>
            <w:r w:rsidR="00C42A2C">
              <w:rPr>
                <w:vertAlign w:val="superscript"/>
              </w:rPr>
              <w:t>5</w:t>
            </w:r>
          </w:p>
        </w:tc>
        <w:tc>
          <w:tcPr>
            <w:tcW w:w="614" w:type="pct"/>
          </w:tcPr>
          <w:p w14:paraId="268D2085" w14:textId="57E2620A"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5"/>
                <w14:textFill>
                  <w14:solidFill>
                    <w14:srgbClr w14:val="000000">
                      <w14:alpha w14:val="100000"/>
                    </w14:srgbClr>
                  </w14:solidFill>
                </w14:textFill>
              </w:rPr>
              <w:t>|||</w:t>
            </w:r>
            <w:r w:rsidRPr="00BA039D">
              <w:rPr>
                <w:color w:val="000000"/>
                <w:spacing w:val="3"/>
                <w:shd w:val="solid" w:color="000000" w:fill="000000"/>
                <w:fitText w:val="383" w:id="-1233442295"/>
                <w14:textFill>
                  <w14:solidFill>
                    <w14:srgbClr w14:val="000000">
                      <w14:alpha w14:val="100000"/>
                    </w14:srgbClr>
                  </w14:solidFill>
                </w14:textFill>
              </w:rPr>
              <w:t>|</w:t>
            </w:r>
            <w:r w:rsidR="00C42A2C">
              <w:rPr>
                <w:vertAlign w:val="superscript"/>
              </w:rPr>
              <w:t>8</w:t>
            </w:r>
          </w:p>
        </w:tc>
        <w:tc>
          <w:tcPr>
            <w:tcW w:w="614" w:type="pct"/>
          </w:tcPr>
          <w:p w14:paraId="0F2563BD" w14:textId="42E1DDA2"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4"/>
                <w14:textFill>
                  <w14:solidFill>
                    <w14:srgbClr w14:val="000000">
                      <w14:alpha w14:val="100000"/>
                    </w14:srgbClr>
                  </w14:solidFill>
                </w14:textFill>
              </w:rPr>
              <w:t>|||</w:t>
            </w:r>
            <w:r w:rsidRPr="00BA039D">
              <w:rPr>
                <w:color w:val="000000"/>
                <w:spacing w:val="3"/>
                <w:shd w:val="solid" w:color="000000" w:fill="000000"/>
                <w:fitText w:val="383" w:id="-1233442294"/>
                <w14:textFill>
                  <w14:solidFill>
                    <w14:srgbClr w14:val="000000">
                      <w14:alpha w14:val="100000"/>
                    </w14:srgbClr>
                  </w14:solidFill>
                </w14:textFill>
              </w:rPr>
              <w:t>|</w:t>
            </w:r>
            <w:r w:rsidR="00C42A2C">
              <w:rPr>
                <w:vertAlign w:val="superscript"/>
              </w:rPr>
              <w:t>8</w:t>
            </w:r>
          </w:p>
        </w:tc>
        <w:tc>
          <w:tcPr>
            <w:tcW w:w="614" w:type="pct"/>
          </w:tcPr>
          <w:p w14:paraId="286FFFD6" w14:textId="3C59972E"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3"/>
                <w14:textFill>
                  <w14:solidFill>
                    <w14:srgbClr w14:val="000000">
                      <w14:alpha w14:val="100000"/>
                    </w14:srgbClr>
                  </w14:solidFill>
                </w14:textFill>
              </w:rPr>
              <w:t>|||</w:t>
            </w:r>
            <w:r w:rsidRPr="00BA039D">
              <w:rPr>
                <w:color w:val="000000"/>
                <w:spacing w:val="3"/>
                <w:shd w:val="solid" w:color="000000" w:fill="000000"/>
                <w:fitText w:val="383" w:id="-1233442293"/>
                <w14:textFill>
                  <w14:solidFill>
                    <w14:srgbClr w14:val="000000">
                      <w14:alpha w14:val="100000"/>
                    </w14:srgbClr>
                  </w14:solidFill>
                </w14:textFill>
              </w:rPr>
              <w:t>|</w:t>
            </w:r>
            <w:r w:rsidR="00C42A2C">
              <w:rPr>
                <w:vertAlign w:val="superscript"/>
              </w:rPr>
              <w:t>8</w:t>
            </w:r>
          </w:p>
        </w:tc>
        <w:tc>
          <w:tcPr>
            <w:tcW w:w="614" w:type="pct"/>
          </w:tcPr>
          <w:p w14:paraId="6BB674BB" w14:textId="26F6A53A" w:rsidR="00D73D20" w:rsidRPr="00C42A2C" w:rsidRDefault="00BA039D" w:rsidP="008927AB">
            <w:pPr>
              <w:pStyle w:val="TableText0"/>
              <w:jc w:val="center"/>
              <w:rPr>
                <w:highlight w:val="darkGray"/>
              </w:rPr>
            </w:pPr>
            <w:r w:rsidRPr="00BA039D">
              <w:rPr>
                <w:color w:val="000000"/>
                <w:spacing w:val="70"/>
                <w:shd w:val="solid" w:color="000000" w:fill="000000"/>
                <w:fitText w:val="383" w:id="-1233442292"/>
                <w14:textFill>
                  <w14:solidFill>
                    <w14:srgbClr w14:val="000000">
                      <w14:alpha w14:val="100000"/>
                    </w14:srgbClr>
                  </w14:solidFill>
                </w14:textFill>
              </w:rPr>
              <w:t>|||</w:t>
            </w:r>
            <w:r w:rsidRPr="00BA039D">
              <w:rPr>
                <w:color w:val="000000"/>
                <w:spacing w:val="3"/>
                <w:shd w:val="solid" w:color="000000" w:fill="000000"/>
                <w:fitText w:val="383" w:id="-1233442292"/>
                <w14:textFill>
                  <w14:solidFill>
                    <w14:srgbClr w14:val="000000">
                      <w14:alpha w14:val="100000"/>
                    </w14:srgbClr>
                  </w14:solidFill>
                </w14:textFill>
              </w:rPr>
              <w:t>|</w:t>
            </w:r>
            <w:r w:rsidR="00C42A2C">
              <w:rPr>
                <w:vertAlign w:val="superscript"/>
              </w:rPr>
              <w:t>8</w:t>
            </w:r>
          </w:p>
        </w:tc>
        <w:tc>
          <w:tcPr>
            <w:tcW w:w="615" w:type="pct"/>
          </w:tcPr>
          <w:p w14:paraId="51A9086B" w14:textId="34208546" w:rsidR="00D73D20" w:rsidRPr="00C42A2C" w:rsidRDefault="00BA039D" w:rsidP="008927AB">
            <w:pPr>
              <w:pStyle w:val="TableText0"/>
              <w:jc w:val="center"/>
              <w:rPr>
                <w:highlight w:val="darkGray"/>
              </w:rPr>
            </w:pPr>
            <w:r w:rsidRPr="00BA039D">
              <w:rPr>
                <w:color w:val="000000"/>
                <w:spacing w:val="65"/>
                <w:shd w:val="solid" w:color="000000" w:fill="000000"/>
                <w:fitText w:val="366" w:id="-1233442291"/>
                <w14:textFill>
                  <w14:solidFill>
                    <w14:srgbClr w14:val="000000">
                      <w14:alpha w14:val="100000"/>
                    </w14:srgbClr>
                  </w14:solidFill>
                </w14:textFill>
              </w:rPr>
              <w:t>|||</w:t>
            </w:r>
            <w:r w:rsidRPr="00BA039D">
              <w:rPr>
                <w:color w:val="000000"/>
                <w:spacing w:val="1"/>
                <w:shd w:val="solid" w:color="000000" w:fill="000000"/>
                <w:fitText w:val="366" w:id="-1233442291"/>
                <w14:textFill>
                  <w14:solidFill>
                    <w14:srgbClr w14:val="000000">
                      <w14:alpha w14:val="100000"/>
                    </w14:srgbClr>
                  </w14:solidFill>
                </w14:textFill>
              </w:rPr>
              <w:t>|</w:t>
            </w:r>
            <w:r w:rsidR="00C42A2C">
              <w:rPr>
                <w:vertAlign w:val="superscript"/>
              </w:rPr>
              <w:t>8</w:t>
            </w:r>
          </w:p>
        </w:tc>
      </w:tr>
      <w:tr w:rsidR="00D73D20" w:rsidRPr="00AD7238" w14:paraId="437D27C7" w14:textId="77777777" w:rsidTr="008927AB">
        <w:tc>
          <w:tcPr>
            <w:tcW w:w="1313" w:type="pct"/>
            <w:shd w:val="clear" w:color="auto" w:fill="auto"/>
            <w:vAlign w:val="center"/>
          </w:tcPr>
          <w:p w14:paraId="1F1C366E" w14:textId="2D4632FD" w:rsidR="00D73D20" w:rsidRPr="00AD7238" w:rsidRDefault="00D73D20">
            <w:pPr>
              <w:pStyle w:val="TableText0"/>
            </w:pPr>
            <w:r w:rsidRPr="00AD7238">
              <w:t>Net cost to PBS/RPBS</w:t>
            </w:r>
            <w:r w:rsidR="00C42A2C">
              <w:t xml:space="preserve"> ($)</w:t>
            </w:r>
          </w:p>
        </w:tc>
        <w:tc>
          <w:tcPr>
            <w:tcW w:w="614" w:type="pct"/>
          </w:tcPr>
          <w:p w14:paraId="1860D4EF" w14:textId="5F042BE8" w:rsidR="00D73D20" w:rsidRPr="00C42A2C" w:rsidRDefault="00BA039D" w:rsidP="008927AB">
            <w:pPr>
              <w:pStyle w:val="TableText0"/>
              <w:jc w:val="center"/>
              <w:rPr>
                <w:bCs w:val="0"/>
                <w:highlight w:val="darkGray"/>
              </w:rPr>
            </w:pPr>
            <w:r w:rsidRPr="00BA039D">
              <w:rPr>
                <w:color w:val="000000"/>
                <w:spacing w:val="70"/>
                <w:shd w:val="solid" w:color="000000" w:fill="000000"/>
                <w:fitText w:val="383" w:id="-1233442290"/>
                <w14:textFill>
                  <w14:solidFill>
                    <w14:srgbClr w14:val="000000">
                      <w14:alpha w14:val="100000"/>
                    </w14:srgbClr>
                  </w14:solidFill>
                </w14:textFill>
              </w:rPr>
              <w:t>|||</w:t>
            </w:r>
            <w:r w:rsidRPr="00BA039D">
              <w:rPr>
                <w:color w:val="000000"/>
                <w:spacing w:val="3"/>
                <w:shd w:val="solid" w:color="000000" w:fill="000000"/>
                <w:fitText w:val="383" w:id="-1233442290"/>
                <w14:textFill>
                  <w14:solidFill>
                    <w14:srgbClr w14:val="000000">
                      <w14:alpha w14:val="100000"/>
                    </w14:srgbClr>
                  </w14:solidFill>
                </w14:textFill>
              </w:rPr>
              <w:t>|</w:t>
            </w:r>
            <w:r w:rsidR="00C42A2C">
              <w:rPr>
                <w:vertAlign w:val="superscript"/>
              </w:rPr>
              <w:t>6</w:t>
            </w:r>
          </w:p>
        </w:tc>
        <w:tc>
          <w:tcPr>
            <w:tcW w:w="614" w:type="pct"/>
          </w:tcPr>
          <w:p w14:paraId="55D5866D" w14:textId="032A6B8E" w:rsidR="00D73D20" w:rsidRPr="00C42A2C" w:rsidRDefault="00BA039D" w:rsidP="008927AB">
            <w:pPr>
              <w:pStyle w:val="TableText0"/>
              <w:jc w:val="center"/>
              <w:rPr>
                <w:bCs w:val="0"/>
                <w:highlight w:val="darkGray"/>
              </w:rPr>
            </w:pPr>
            <w:r w:rsidRPr="00BA039D">
              <w:rPr>
                <w:color w:val="000000"/>
                <w:spacing w:val="70"/>
                <w:shd w:val="solid" w:color="000000" w:fill="000000"/>
                <w:fitText w:val="383" w:id="-1233442289"/>
                <w14:textFill>
                  <w14:solidFill>
                    <w14:srgbClr w14:val="000000">
                      <w14:alpha w14:val="100000"/>
                    </w14:srgbClr>
                  </w14:solidFill>
                </w14:textFill>
              </w:rPr>
              <w:t>|||</w:t>
            </w:r>
            <w:r w:rsidRPr="00BA039D">
              <w:rPr>
                <w:color w:val="000000"/>
                <w:spacing w:val="3"/>
                <w:shd w:val="solid" w:color="000000" w:fill="000000"/>
                <w:fitText w:val="383" w:id="-1233442289"/>
                <w14:textFill>
                  <w14:solidFill>
                    <w14:srgbClr w14:val="000000">
                      <w14:alpha w14:val="100000"/>
                    </w14:srgbClr>
                  </w14:solidFill>
                </w14:textFill>
              </w:rPr>
              <w:t>|</w:t>
            </w:r>
            <w:r w:rsidR="00C42A2C">
              <w:rPr>
                <w:vertAlign w:val="superscript"/>
              </w:rPr>
              <w:t>6</w:t>
            </w:r>
          </w:p>
        </w:tc>
        <w:tc>
          <w:tcPr>
            <w:tcW w:w="614" w:type="pct"/>
          </w:tcPr>
          <w:p w14:paraId="7B92E6E0" w14:textId="6A9D49A5" w:rsidR="00D73D20" w:rsidRPr="00C42A2C" w:rsidRDefault="00BA039D" w:rsidP="008927AB">
            <w:pPr>
              <w:pStyle w:val="TableText0"/>
              <w:jc w:val="center"/>
              <w:rPr>
                <w:bCs w:val="0"/>
                <w:highlight w:val="darkGray"/>
              </w:rPr>
            </w:pPr>
            <w:r w:rsidRPr="00BA039D">
              <w:rPr>
                <w:color w:val="000000"/>
                <w:spacing w:val="70"/>
                <w:shd w:val="solid" w:color="000000" w:fill="000000"/>
                <w:fitText w:val="383" w:id="-1233442288"/>
                <w14:textFill>
                  <w14:solidFill>
                    <w14:srgbClr w14:val="000000">
                      <w14:alpha w14:val="100000"/>
                    </w14:srgbClr>
                  </w14:solidFill>
                </w14:textFill>
              </w:rPr>
              <w:t>|||</w:t>
            </w:r>
            <w:r w:rsidRPr="00BA039D">
              <w:rPr>
                <w:color w:val="000000"/>
                <w:spacing w:val="3"/>
                <w:shd w:val="solid" w:color="000000" w:fill="000000"/>
                <w:fitText w:val="383" w:id="-1233442288"/>
                <w14:textFill>
                  <w14:solidFill>
                    <w14:srgbClr w14:val="000000">
                      <w14:alpha w14:val="100000"/>
                    </w14:srgbClr>
                  </w14:solidFill>
                </w14:textFill>
              </w:rPr>
              <w:t>|</w:t>
            </w:r>
            <w:r w:rsidR="00C42A2C">
              <w:rPr>
                <w:vertAlign w:val="superscript"/>
              </w:rPr>
              <w:t>6</w:t>
            </w:r>
          </w:p>
        </w:tc>
        <w:tc>
          <w:tcPr>
            <w:tcW w:w="614" w:type="pct"/>
          </w:tcPr>
          <w:p w14:paraId="4DB01310" w14:textId="5C5FD451" w:rsidR="00D73D20" w:rsidRPr="00C42A2C" w:rsidRDefault="00BA039D" w:rsidP="008927AB">
            <w:pPr>
              <w:pStyle w:val="TableText0"/>
              <w:jc w:val="center"/>
              <w:rPr>
                <w:bCs w:val="0"/>
                <w:highlight w:val="darkGray"/>
              </w:rPr>
            </w:pPr>
            <w:r w:rsidRPr="00BA039D">
              <w:rPr>
                <w:color w:val="000000"/>
                <w:spacing w:val="70"/>
                <w:shd w:val="solid" w:color="000000" w:fill="000000"/>
                <w:fitText w:val="383" w:id="-1233442304"/>
                <w14:textFill>
                  <w14:solidFill>
                    <w14:srgbClr w14:val="000000">
                      <w14:alpha w14:val="100000"/>
                    </w14:srgbClr>
                  </w14:solidFill>
                </w14:textFill>
              </w:rPr>
              <w:t>|||</w:t>
            </w:r>
            <w:r w:rsidRPr="00BA039D">
              <w:rPr>
                <w:color w:val="000000"/>
                <w:spacing w:val="3"/>
                <w:shd w:val="solid" w:color="000000" w:fill="000000"/>
                <w:fitText w:val="383" w:id="-1233442304"/>
                <w14:textFill>
                  <w14:solidFill>
                    <w14:srgbClr w14:val="000000">
                      <w14:alpha w14:val="100000"/>
                    </w14:srgbClr>
                  </w14:solidFill>
                </w14:textFill>
              </w:rPr>
              <w:t>|</w:t>
            </w:r>
            <w:r w:rsidR="00C42A2C">
              <w:rPr>
                <w:vertAlign w:val="superscript"/>
              </w:rPr>
              <w:t>6</w:t>
            </w:r>
          </w:p>
        </w:tc>
        <w:tc>
          <w:tcPr>
            <w:tcW w:w="614" w:type="pct"/>
          </w:tcPr>
          <w:p w14:paraId="76D83808" w14:textId="31325BD8" w:rsidR="00D73D20" w:rsidRPr="00C42A2C" w:rsidRDefault="00BA039D" w:rsidP="008927AB">
            <w:pPr>
              <w:pStyle w:val="TableText0"/>
              <w:jc w:val="center"/>
              <w:rPr>
                <w:bCs w:val="0"/>
                <w:highlight w:val="darkGray"/>
              </w:rPr>
            </w:pPr>
            <w:r w:rsidRPr="00BA039D">
              <w:rPr>
                <w:color w:val="000000"/>
                <w:spacing w:val="70"/>
                <w:shd w:val="solid" w:color="000000" w:fill="000000"/>
                <w:fitText w:val="383" w:id="-1233442048"/>
                <w14:textFill>
                  <w14:solidFill>
                    <w14:srgbClr w14:val="000000">
                      <w14:alpha w14:val="100000"/>
                    </w14:srgbClr>
                  </w14:solidFill>
                </w14:textFill>
              </w:rPr>
              <w:t>|||</w:t>
            </w:r>
            <w:r w:rsidRPr="00BA039D">
              <w:rPr>
                <w:color w:val="000000"/>
                <w:spacing w:val="3"/>
                <w:shd w:val="solid" w:color="000000" w:fill="000000"/>
                <w:fitText w:val="383" w:id="-1233442048"/>
                <w14:textFill>
                  <w14:solidFill>
                    <w14:srgbClr w14:val="000000">
                      <w14:alpha w14:val="100000"/>
                    </w14:srgbClr>
                  </w14:solidFill>
                </w14:textFill>
              </w:rPr>
              <w:t>|</w:t>
            </w:r>
            <w:r w:rsidR="00C42A2C">
              <w:rPr>
                <w:vertAlign w:val="superscript"/>
              </w:rPr>
              <w:t>6</w:t>
            </w:r>
          </w:p>
        </w:tc>
        <w:tc>
          <w:tcPr>
            <w:tcW w:w="615" w:type="pct"/>
          </w:tcPr>
          <w:p w14:paraId="5FEA8856" w14:textId="033FE0AA" w:rsidR="00D73D20" w:rsidRPr="00C42A2C" w:rsidRDefault="00BA039D" w:rsidP="008927AB">
            <w:pPr>
              <w:pStyle w:val="TableText0"/>
              <w:jc w:val="center"/>
              <w:rPr>
                <w:bCs w:val="0"/>
                <w:highlight w:val="darkGray"/>
              </w:rPr>
            </w:pPr>
            <w:r w:rsidRPr="00BA039D">
              <w:rPr>
                <w:color w:val="000000"/>
                <w:spacing w:val="65"/>
                <w:shd w:val="solid" w:color="000000" w:fill="000000"/>
                <w:fitText w:val="366" w:id="-1233442047"/>
                <w14:textFill>
                  <w14:solidFill>
                    <w14:srgbClr w14:val="000000">
                      <w14:alpha w14:val="100000"/>
                    </w14:srgbClr>
                  </w14:solidFill>
                </w14:textFill>
              </w:rPr>
              <w:t>|||</w:t>
            </w:r>
            <w:r w:rsidRPr="00BA039D">
              <w:rPr>
                <w:color w:val="000000"/>
                <w:spacing w:val="1"/>
                <w:shd w:val="solid" w:color="000000" w:fill="000000"/>
                <w:fitText w:val="366" w:id="-1233442047"/>
                <w14:textFill>
                  <w14:solidFill>
                    <w14:srgbClr w14:val="000000">
                      <w14:alpha w14:val="100000"/>
                    </w14:srgbClr>
                  </w14:solidFill>
                </w14:textFill>
              </w:rPr>
              <w:t>|</w:t>
            </w:r>
            <w:r w:rsidR="00C42A2C">
              <w:rPr>
                <w:vertAlign w:val="superscript"/>
              </w:rPr>
              <w:t>6</w:t>
            </w:r>
          </w:p>
        </w:tc>
      </w:tr>
      <w:tr w:rsidR="00D73D20" w:rsidRPr="00AD7238" w14:paraId="56B82F4C" w14:textId="77777777" w:rsidTr="008927AB">
        <w:tc>
          <w:tcPr>
            <w:tcW w:w="1313" w:type="pct"/>
            <w:shd w:val="clear" w:color="auto" w:fill="auto"/>
            <w:vAlign w:val="center"/>
          </w:tcPr>
          <w:p w14:paraId="336BE3A5" w14:textId="27A1C6E0" w:rsidR="00D73D20" w:rsidRPr="00AD7238" w:rsidRDefault="00D73D20">
            <w:pPr>
              <w:pStyle w:val="TableText0"/>
            </w:pPr>
            <w:r w:rsidRPr="00AD7238">
              <w:t>Net cost to MBS</w:t>
            </w:r>
            <w:r w:rsidR="00C42A2C">
              <w:t xml:space="preserve"> ($)</w:t>
            </w:r>
          </w:p>
        </w:tc>
        <w:tc>
          <w:tcPr>
            <w:tcW w:w="614" w:type="pct"/>
          </w:tcPr>
          <w:p w14:paraId="4D090F6D" w14:textId="45DEC50D" w:rsidR="00D73D20" w:rsidRPr="00C42A2C" w:rsidRDefault="00BA039D" w:rsidP="008927AB">
            <w:pPr>
              <w:pStyle w:val="TableText0"/>
              <w:jc w:val="center"/>
              <w:rPr>
                <w:highlight w:val="darkGray"/>
              </w:rPr>
            </w:pPr>
            <w:r w:rsidRPr="00BA039D">
              <w:rPr>
                <w:color w:val="000000"/>
                <w:spacing w:val="70"/>
                <w:shd w:val="solid" w:color="000000" w:fill="000000"/>
                <w:fitText w:val="383" w:id="-1233442046"/>
                <w14:textFill>
                  <w14:solidFill>
                    <w14:srgbClr w14:val="000000">
                      <w14:alpha w14:val="100000"/>
                    </w14:srgbClr>
                  </w14:solidFill>
                </w14:textFill>
              </w:rPr>
              <w:t>|||</w:t>
            </w:r>
            <w:r w:rsidRPr="00BA039D">
              <w:rPr>
                <w:color w:val="000000"/>
                <w:spacing w:val="3"/>
                <w:shd w:val="solid" w:color="000000" w:fill="000000"/>
                <w:fitText w:val="383" w:id="-1233442046"/>
                <w14:textFill>
                  <w14:solidFill>
                    <w14:srgbClr w14:val="000000">
                      <w14:alpha w14:val="100000"/>
                    </w14:srgbClr>
                  </w14:solidFill>
                </w14:textFill>
              </w:rPr>
              <w:t>|</w:t>
            </w:r>
            <w:r w:rsidR="00C42A2C">
              <w:rPr>
                <w:vertAlign w:val="superscript"/>
              </w:rPr>
              <w:t>4</w:t>
            </w:r>
          </w:p>
        </w:tc>
        <w:tc>
          <w:tcPr>
            <w:tcW w:w="614" w:type="pct"/>
          </w:tcPr>
          <w:p w14:paraId="6FA1A44F" w14:textId="292A60AB" w:rsidR="00D73D20" w:rsidRPr="00C42A2C" w:rsidRDefault="00BA039D" w:rsidP="008927AB">
            <w:pPr>
              <w:pStyle w:val="TableText0"/>
              <w:jc w:val="center"/>
              <w:rPr>
                <w:highlight w:val="darkGray"/>
              </w:rPr>
            </w:pPr>
            <w:r w:rsidRPr="00BA039D">
              <w:rPr>
                <w:color w:val="000000"/>
                <w:spacing w:val="70"/>
                <w:shd w:val="solid" w:color="000000" w:fill="000000"/>
                <w:fitText w:val="383" w:id="-1233442045"/>
                <w14:textFill>
                  <w14:solidFill>
                    <w14:srgbClr w14:val="000000">
                      <w14:alpha w14:val="100000"/>
                    </w14:srgbClr>
                  </w14:solidFill>
                </w14:textFill>
              </w:rPr>
              <w:t>|||</w:t>
            </w:r>
            <w:r w:rsidRPr="00BA039D">
              <w:rPr>
                <w:color w:val="000000"/>
                <w:spacing w:val="3"/>
                <w:shd w:val="solid" w:color="000000" w:fill="000000"/>
                <w:fitText w:val="383" w:id="-1233442045"/>
                <w14:textFill>
                  <w14:solidFill>
                    <w14:srgbClr w14:val="000000">
                      <w14:alpha w14:val="100000"/>
                    </w14:srgbClr>
                  </w14:solidFill>
                </w14:textFill>
              </w:rPr>
              <w:t>|</w:t>
            </w:r>
            <w:r w:rsidR="00C42A2C">
              <w:rPr>
                <w:vertAlign w:val="superscript"/>
              </w:rPr>
              <w:t>4</w:t>
            </w:r>
          </w:p>
        </w:tc>
        <w:tc>
          <w:tcPr>
            <w:tcW w:w="614" w:type="pct"/>
          </w:tcPr>
          <w:p w14:paraId="27295121" w14:textId="4F79DCF8" w:rsidR="00D73D20" w:rsidRPr="00C42A2C" w:rsidRDefault="00BA039D" w:rsidP="008927AB">
            <w:pPr>
              <w:pStyle w:val="TableText0"/>
              <w:jc w:val="center"/>
              <w:rPr>
                <w:highlight w:val="darkGray"/>
              </w:rPr>
            </w:pPr>
            <w:r w:rsidRPr="00BA039D">
              <w:rPr>
                <w:color w:val="000000"/>
                <w:spacing w:val="70"/>
                <w:shd w:val="solid" w:color="000000" w:fill="000000"/>
                <w:fitText w:val="383" w:id="-1233442044"/>
                <w14:textFill>
                  <w14:solidFill>
                    <w14:srgbClr w14:val="000000">
                      <w14:alpha w14:val="100000"/>
                    </w14:srgbClr>
                  </w14:solidFill>
                </w14:textFill>
              </w:rPr>
              <w:t>|||</w:t>
            </w:r>
            <w:r w:rsidRPr="00BA039D">
              <w:rPr>
                <w:color w:val="000000"/>
                <w:spacing w:val="3"/>
                <w:shd w:val="solid" w:color="000000" w:fill="000000"/>
                <w:fitText w:val="383" w:id="-1233442044"/>
                <w14:textFill>
                  <w14:solidFill>
                    <w14:srgbClr w14:val="000000">
                      <w14:alpha w14:val="100000"/>
                    </w14:srgbClr>
                  </w14:solidFill>
                </w14:textFill>
              </w:rPr>
              <w:t>|</w:t>
            </w:r>
            <w:r w:rsidR="00C42A2C">
              <w:rPr>
                <w:vertAlign w:val="superscript"/>
              </w:rPr>
              <w:t>4</w:t>
            </w:r>
          </w:p>
        </w:tc>
        <w:tc>
          <w:tcPr>
            <w:tcW w:w="614" w:type="pct"/>
          </w:tcPr>
          <w:p w14:paraId="771A1E26" w14:textId="2DF752B7" w:rsidR="00D73D20" w:rsidRPr="00C42A2C" w:rsidRDefault="00BA039D" w:rsidP="008927AB">
            <w:pPr>
              <w:pStyle w:val="TableText0"/>
              <w:jc w:val="center"/>
              <w:rPr>
                <w:highlight w:val="darkGray"/>
              </w:rPr>
            </w:pPr>
            <w:r w:rsidRPr="00BA039D">
              <w:rPr>
                <w:color w:val="000000"/>
                <w:spacing w:val="70"/>
                <w:shd w:val="solid" w:color="000000" w:fill="000000"/>
                <w:fitText w:val="383" w:id="-1233442043"/>
                <w14:textFill>
                  <w14:solidFill>
                    <w14:srgbClr w14:val="000000">
                      <w14:alpha w14:val="100000"/>
                    </w14:srgbClr>
                  </w14:solidFill>
                </w14:textFill>
              </w:rPr>
              <w:t>|||</w:t>
            </w:r>
            <w:r w:rsidRPr="00BA039D">
              <w:rPr>
                <w:color w:val="000000"/>
                <w:spacing w:val="3"/>
                <w:shd w:val="solid" w:color="000000" w:fill="000000"/>
                <w:fitText w:val="383" w:id="-1233442043"/>
                <w14:textFill>
                  <w14:solidFill>
                    <w14:srgbClr w14:val="000000">
                      <w14:alpha w14:val="100000"/>
                    </w14:srgbClr>
                  </w14:solidFill>
                </w14:textFill>
              </w:rPr>
              <w:t>|</w:t>
            </w:r>
            <w:r w:rsidR="00C42A2C">
              <w:rPr>
                <w:vertAlign w:val="superscript"/>
              </w:rPr>
              <w:t>4</w:t>
            </w:r>
          </w:p>
        </w:tc>
        <w:tc>
          <w:tcPr>
            <w:tcW w:w="614" w:type="pct"/>
          </w:tcPr>
          <w:p w14:paraId="40039CBA" w14:textId="42007493" w:rsidR="00D73D20" w:rsidRPr="00C42A2C" w:rsidRDefault="00BA039D" w:rsidP="008927AB">
            <w:pPr>
              <w:pStyle w:val="TableText0"/>
              <w:jc w:val="center"/>
              <w:rPr>
                <w:highlight w:val="darkGray"/>
              </w:rPr>
            </w:pPr>
            <w:r w:rsidRPr="00BA039D">
              <w:rPr>
                <w:color w:val="000000"/>
                <w:spacing w:val="70"/>
                <w:shd w:val="solid" w:color="000000" w:fill="000000"/>
                <w:fitText w:val="383" w:id="-1233442042"/>
                <w14:textFill>
                  <w14:solidFill>
                    <w14:srgbClr w14:val="000000">
                      <w14:alpha w14:val="100000"/>
                    </w14:srgbClr>
                  </w14:solidFill>
                </w14:textFill>
              </w:rPr>
              <w:t>|||</w:t>
            </w:r>
            <w:r w:rsidRPr="00BA039D">
              <w:rPr>
                <w:color w:val="000000"/>
                <w:spacing w:val="3"/>
                <w:shd w:val="solid" w:color="000000" w:fill="000000"/>
                <w:fitText w:val="383" w:id="-1233442042"/>
                <w14:textFill>
                  <w14:solidFill>
                    <w14:srgbClr w14:val="000000">
                      <w14:alpha w14:val="100000"/>
                    </w14:srgbClr>
                  </w14:solidFill>
                </w14:textFill>
              </w:rPr>
              <w:t>|</w:t>
            </w:r>
            <w:r w:rsidR="00C42A2C">
              <w:rPr>
                <w:vertAlign w:val="superscript"/>
              </w:rPr>
              <w:t>4</w:t>
            </w:r>
          </w:p>
        </w:tc>
        <w:tc>
          <w:tcPr>
            <w:tcW w:w="615" w:type="pct"/>
          </w:tcPr>
          <w:p w14:paraId="65A06E66" w14:textId="1C242BFC" w:rsidR="00D73D20" w:rsidRPr="00C42A2C" w:rsidRDefault="00BA039D" w:rsidP="008927AB">
            <w:pPr>
              <w:pStyle w:val="TableText0"/>
              <w:jc w:val="center"/>
              <w:rPr>
                <w:highlight w:val="darkGray"/>
              </w:rPr>
            </w:pPr>
            <w:r w:rsidRPr="00BA039D">
              <w:rPr>
                <w:color w:val="000000"/>
                <w:spacing w:val="65"/>
                <w:shd w:val="solid" w:color="000000" w:fill="000000"/>
                <w:fitText w:val="366" w:id="-1233442041"/>
                <w14:textFill>
                  <w14:solidFill>
                    <w14:srgbClr w14:val="000000">
                      <w14:alpha w14:val="100000"/>
                    </w14:srgbClr>
                  </w14:solidFill>
                </w14:textFill>
              </w:rPr>
              <w:t>|||</w:t>
            </w:r>
            <w:r w:rsidRPr="00BA039D">
              <w:rPr>
                <w:color w:val="000000"/>
                <w:spacing w:val="1"/>
                <w:shd w:val="solid" w:color="000000" w:fill="000000"/>
                <w:fitText w:val="366" w:id="-1233442041"/>
                <w14:textFill>
                  <w14:solidFill>
                    <w14:srgbClr w14:val="000000">
                      <w14:alpha w14:val="100000"/>
                    </w14:srgbClr>
                  </w14:solidFill>
                </w14:textFill>
              </w:rPr>
              <w:t>|</w:t>
            </w:r>
            <w:r w:rsidR="00C42A2C">
              <w:rPr>
                <w:vertAlign w:val="superscript"/>
              </w:rPr>
              <w:t>4</w:t>
            </w:r>
          </w:p>
        </w:tc>
      </w:tr>
    </w:tbl>
    <w:p w14:paraId="04C858C3" w14:textId="709463F0" w:rsidR="00D73D20" w:rsidRPr="00AD7238" w:rsidRDefault="00D73D20" w:rsidP="00D73D20">
      <w:pPr>
        <w:pStyle w:val="TableFooter"/>
      </w:pPr>
      <w:r w:rsidRPr="00AD7238">
        <w:t>Source: Table 4.</w:t>
      </w:r>
      <w:r w:rsidR="001679FB" w:rsidRPr="00AD7238">
        <w:t>8, p.245</w:t>
      </w:r>
      <w:r w:rsidRPr="00AD7238">
        <w:t xml:space="preserve"> of the </w:t>
      </w:r>
      <w:r w:rsidR="00815FA2" w:rsidRPr="00AD7238">
        <w:t>re</w:t>
      </w:r>
      <w:r w:rsidRPr="00AD7238">
        <w:t>submission, Table 4.</w:t>
      </w:r>
      <w:r w:rsidR="009A72EB" w:rsidRPr="00AD7238">
        <w:t>12, p.247</w:t>
      </w:r>
      <w:r w:rsidRPr="00AD7238">
        <w:t xml:space="preserve"> of the </w:t>
      </w:r>
      <w:r w:rsidR="00815FA2" w:rsidRPr="00AD7238">
        <w:t>re</w:t>
      </w:r>
      <w:r w:rsidRPr="00AD7238">
        <w:t>submission, Table 4.</w:t>
      </w:r>
      <w:r w:rsidR="003C0915" w:rsidRPr="00AD7238">
        <w:t>1</w:t>
      </w:r>
      <w:r w:rsidR="009A72EB" w:rsidRPr="00AD7238">
        <w:t>8, p.2</w:t>
      </w:r>
      <w:r w:rsidR="003C0915" w:rsidRPr="00AD7238">
        <w:t>50</w:t>
      </w:r>
      <w:r w:rsidR="009A72EB" w:rsidRPr="00AD7238">
        <w:t xml:space="preserve"> of the </w:t>
      </w:r>
      <w:r w:rsidR="00815FA2" w:rsidRPr="00AD7238">
        <w:t>re</w:t>
      </w:r>
      <w:r w:rsidR="009A72EB" w:rsidRPr="00AD7238">
        <w:t>submission,</w:t>
      </w:r>
      <w:r w:rsidR="003C0915" w:rsidRPr="00AD7238">
        <w:t xml:space="preserve"> Table 4.21, p.251 of the </w:t>
      </w:r>
      <w:r w:rsidR="00815FA2" w:rsidRPr="00AD7238">
        <w:t>re</w:t>
      </w:r>
      <w:r w:rsidR="003C0915" w:rsidRPr="00AD7238">
        <w:t>submission,</w:t>
      </w:r>
      <w:r w:rsidR="00B37EFA" w:rsidRPr="00AD7238">
        <w:t xml:space="preserve"> </w:t>
      </w:r>
      <w:r w:rsidR="00625EE1" w:rsidRPr="00AD7238">
        <w:t>Table 4.27, p.254</w:t>
      </w:r>
      <w:r w:rsidRPr="00AD7238">
        <w:t xml:space="preserve"> of the </w:t>
      </w:r>
      <w:r w:rsidR="00815FA2" w:rsidRPr="00AD7238">
        <w:t>re</w:t>
      </w:r>
      <w:r w:rsidRPr="00AD7238">
        <w:t>submission and Budget Impact Model Excel.</w:t>
      </w:r>
    </w:p>
    <w:p w14:paraId="1501D303" w14:textId="2652ED97" w:rsidR="00D73D20" w:rsidRPr="00AD7238" w:rsidRDefault="00D73D20" w:rsidP="00D73D20">
      <w:pPr>
        <w:pStyle w:val="TableFooter"/>
      </w:pPr>
      <w:r w:rsidRPr="00AD7238">
        <w:t>NIP = National Immunisation Program, MBS = Medicare Benefits Schedule, PBS = Pharmaceutical Benefit Scheme, RPBS = Repatriation Pharmaceutical Benefit Scheme, RZV = recombinant zoster vaccine (</w:t>
      </w:r>
      <w:r w:rsidRPr="00F345DE">
        <w:rPr>
          <w:iCs/>
        </w:rPr>
        <w:t>Shingrix</w:t>
      </w:r>
      <w:r w:rsidRPr="00AD7238">
        <w:t>)</w:t>
      </w:r>
    </w:p>
    <w:p w14:paraId="25C610BB" w14:textId="5B94BDE6" w:rsidR="00D73D20" w:rsidRDefault="009C2E7F" w:rsidP="00C42A2C">
      <w:pPr>
        <w:pStyle w:val="TableFooter"/>
      </w:pPr>
      <w:r w:rsidRPr="00AD7238">
        <w:rPr>
          <w:vertAlign w:val="superscript"/>
        </w:rPr>
        <w:t xml:space="preserve">a </w:t>
      </w:r>
      <w:r w:rsidR="00D73D20" w:rsidRPr="00AD7238">
        <w:t>No co-payments were required for any of the financial estimates</w:t>
      </w:r>
    </w:p>
    <w:p w14:paraId="3E4747F9" w14:textId="77777777" w:rsidR="00C42A2C" w:rsidRPr="009A6D58" w:rsidRDefault="00C42A2C" w:rsidP="00C42A2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FA0EB8E" w14:textId="3B57BDE3" w:rsidR="00C42A2C" w:rsidRPr="009A6D58" w:rsidRDefault="00C42A2C" w:rsidP="00C42A2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42A2C">
        <w:rPr>
          <w:rFonts w:ascii="Arial Narrow" w:hAnsi="Arial Narrow"/>
          <w:i/>
          <w:sz w:val="18"/>
          <w:szCs w:val="18"/>
        </w:rPr>
        <w:t>500 to &lt; 5,000</w:t>
      </w:r>
    </w:p>
    <w:p w14:paraId="6B798717" w14:textId="705B81CE" w:rsidR="00C42A2C" w:rsidRPr="009A6D58" w:rsidRDefault="00C42A2C" w:rsidP="00C42A2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42A2C">
        <w:rPr>
          <w:rFonts w:ascii="Arial Narrow" w:hAnsi="Arial Narrow"/>
          <w:i/>
          <w:sz w:val="18"/>
          <w:szCs w:val="18"/>
        </w:rPr>
        <w:t>100,000 to &lt; 200,000</w:t>
      </w:r>
    </w:p>
    <w:p w14:paraId="30407BC3" w14:textId="74F650C5" w:rsidR="00C42A2C" w:rsidRDefault="00C42A2C" w:rsidP="00C42A2C">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42A2C">
        <w:rPr>
          <w:rFonts w:ascii="Arial Narrow" w:hAnsi="Arial Narrow"/>
          <w:i/>
          <w:sz w:val="18"/>
          <w:szCs w:val="18"/>
        </w:rPr>
        <w:t>200,000 to &lt; 300,000</w:t>
      </w:r>
    </w:p>
    <w:p w14:paraId="34D8ABCD" w14:textId="1D062D8C" w:rsidR="00C42A2C" w:rsidRDefault="00C42A2C" w:rsidP="00C42A2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42A2C">
        <w:rPr>
          <w:rFonts w:ascii="Arial Narrow" w:hAnsi="Arial Narrow"/>
          <w:i/>
          <w:sz w:val="18"/>
          <w:szCs w:val="18"/>
        </w:rPr>
        <w:t>$0 to &lt; $10 million</w:t>
      </w:r>
    </w:p>
    <w:p w14:paraId="7743A7A5" w14:textId="06E9FDED" w:rsidR="00C42A2C" w:rsidRDefault="00C42A2C" w:rsidP="00C42A2C">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42A2C">
        <w:rPr>
          <w:rFonts w:ascii="Arial Narrow" w:hAnsi="Arial Narrow"/>
          <w:i/>
          <w:sz w:val="18"/>
          <w:szCs w:val="18"/>
        </w:rPr>
        <w:t>$40 million to &lt; $50 million</w:t>
      </w:r>
    </w:p>
    <w:p w14:paraId="79834C6A" w14:textId="61DFA159" w:rsidR="00C42A2C" w:rsidRDefault="00C42A2C" w:rsidP="00C42A2C">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42A2C">
        <w:rPr>
          <w:rFonts w:ascii="Arial Narrow" w:hAnsi="Arial Narrow"/>
          <w:i/>
          <w:sz w:val="18"/>
          <w:szCs w:val="18"/>
        </w:rPr>
        <w:t>net cost saving</w:t>
      </w:r>
    </w:p>
    <w:p w14:paraId="22C2AD94" w14:textId="580D1460" w:rsidR="00C42A2C" w:rsidRPr="009A6D58" w:rsidRDefault="00C42A2C" w:rsidP="00C42A2C">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C42A2C">
        <w:rPr>
          <w:rFonts w:ascii="Arial Narrow" w:hAnsi="Arial Narrow"/>
          <w:i/>
          <w:sz w:val="18"/>
          <w:szCs w:val="18"/>
        </w:rPr>
        <w:t>5,000 to &lt; 10,000</w:t>
      </w:r>
    </w:p>
    <w:p w14:paraId="2189DC43" w14:textId="437AB16F" w:rsidR="00C42A2C" w:rsidRPr="009A6D58" w:rsidRDefault="00C42A2C" w:rsidP="00C42A2C">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C42A2C">
        <w:rPr>
          <w:rFonts w:ascii="Arial Narrow" w:hAnsi="Arial Narrow"/>
          <w:i/>
          <w:sz w:val="18"/>
          <w:szCs w:val="18"/>
        </w:rPr>
        <w:t>$50 million to &lt; $60 million</w:t>
      </w:r>
    </w:p>
    <w:p w14:paraId="40D3B37B" w14:textId="0DDD65E2" w:rsidR="00C42A2C" w:rsidRDefault="00C42A2C" w:rsidP="00C42A2C">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C42A2C">
        <w:rPr>
          <w:rFonts w:ascii="Arial Narrow" w:hAnsi="Arial Narrow"/>
          <w:i/>
          <w:sz w:val="18"/>
          <w:szCs w:val="18"/>
        </w:rPr>
        <w:t>300,000 to &lt; 400,000</w:t>
      </w:r>
    </w:p>
    <w:p w14:paraId="59DB6ECA" w14:textId="5084966C" w:rsidR="001168B8" w:rsidRPr="00AD7238" w:rsidRDefault="001168B8" w:rsidP="001168B8">
      <w:pPr>
        <w:pStyle w:val="3-BodyText"/>
      </w:pPr>
      <w:r w:rsidRPr="00AD7238">
        <w:fldChar w:fldCharType="begin" w:fldLock="1"/>
      </w:r>
      <w:r w:rsidRPr="00AD7238">
        <w:instrText xml:space="preserve"> REF _Ref124767419 \h </w:instrText>
      </w:r>
      <w:r w:rsidRPr="00AD7238">
        <w:fldChar w:fldCharType="separate"/>
      </w:r>
      <w:r w:rsidR="00602E99" w:rsidRPr="00AD7238">
        <w:t xml:space="preserve">Table </w:t>
      </w:r>
      <w:r w:rsidR="00602E99">
        <w:rPr>
          <w:noProof/>
        </w:rPr>
        <w:t>19</w:t>
      </w:r>
      <w:r w:rsidRPr="00AD7238">
        <w:fldChar w:fldCharType="end"/>
      </w:r>
      <w:r w:rsidRPr="00AD7238">
        <w:t xml:space="preserve"> </w:t>
      </w:r>
      <w:r w:rsidR="00446413" w:rsidRPr="00AD7238">
        <w:t xml:space="preserve">summarises </w:t>
      </w:r>
      <w:r w:rsidRPr="00AD7238">
        <w:t xml:space="preserve">the overall estimated use and financial implications for the catch-up program for each of the proposed NIP populations.  </w:t>
      </w:r>
    </w:p>
    <w:p w14:paraId="7C578162" w14:textId="1EBCCCC2" w:rsidR="00302DB8" w:rsidRPr="00AD7238" w:rsidRDefault="00302DB8" w:rsidP="00814A1F">
      <w:pPr>
        <w:pStyle w:val="Caption"/>
      </w:pPr>
      <w:bookmarkStart w:id="70" w:name="_Ref124767419"/>
      <w:r w:rsidRPr="00AD7238">
        <w:lastRenderedPageBreak/>
        <w:t xml:space="preserve">Table </w:t>
      </w:r>
      <w:r w:rsidR="000442ED">
        <w:fldChar w:fldCharType="begin" w:fldLock="1"/>
      </w:r>
      <w:r w:rsidR="000442ED">
        <w:instrText xml:space="preserve"> SEQ Table \* ARABIC </w:instrText>
      </w:r>
      <w:r w:rsidR="000442ED">
        <w:fldChar w:fldCharType="separate"/>
      </w:r>
      <w:r w:rsidR="00602E99">
        <w:rPr>
          <w:noProof/>
        </w:rPr>
        <w:t>19</w:t>
      </w:r>
      <w:r w:rsidR="000442ED">
        <w:rPr>
          <w:noProof/>
        </w:rPr>
        <w:fldChar w:fldCharType="end"/>
      </w:r>
      <w:bookmarkEnd w:id="70"/>
      <w:r w:rsidRPr="00AD7238">
        <w:t>: Estimated use and financial implications for the catch-up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02DB8" w:rsidRPr="00AD7238" w14:paraId="2812629E" w14:textId="77777777" w:rsidTr="006F0103">
        <w:trPr>
          <w:tblHeader/>
        </w:trPr>
        <w:tc>
          <w:tcPr>
            <w:tcW w:w="1334" w:type="pct"/>
            <w:shd w:val="clear" w:color="auto" w:fill="auto"/>
            <w:vAlign w:val="center"/>
          </w:tcPr>
          <w:p w14:paraId="440B9280" w14:textId="77777777" w:rsidR="00302DB8" w:rsidRPr="00AD7238" w:rsidRDefault="00302DB8" w:rsidP="00B47BB8">
            <w:pPr>
              <w:pStyle w:val="TableText0"/>
            </w:pPr>
          </w:p>
        </w:tc>
        <w:tc>
          <w:tcPr>
            <w:tcW w:w="611" w:type="pct"/>
            <w:shd w:val="clear" w:color="auto" w:fill="auto"/>
            <w:vAlign w:val="center"/>
          </w:tcPr>
          <w:p w14:paraId="0B0002C2" w14:textId="77777777" w:rsidR="00302DB8" w:rsidRPr="00AD7238" w:rsidRDefault="00302DB8" w:rsidP="007A73AA">
            <w:pPr>
              <w:pStyle w:val="In-tableHeading"/>
              <w:jc w:val="center"/>
              <w:rPr>
                <w:lang w:val="en-AU"/>
              </w:rPr>
            </w:pPr>
            <w:r w:rsidRPr="00AD7238">
              <w:rPr>
                <w:lang w:val="en-AU"/>
              </w:rPr>
              <w:t>Year 1</w:t>
            </w:r>
          </w:p>
        </w:tc>
        <w:tc>
          <w:tcPr>
            <w:tcW w:w="611" w:type="pct"/>
            <w:shd w:val="clear" w:color="auto" w:fill="auto"/>
            <w:vAlign w:val="center"/>
          </w:tcPr>
          <w:p w14:paraId="1A76802E" w14:textId="77777777" w:rsidR="00302DB8" w:rsidRPr="00AD7238" w:rsidRDefault="00302DB8" w:rsidP="007A73AA">
            <w:pPr>
              <w:pStyle w:val="In-tableHeading"/>
              <w:jc w:val="center"/>
              <w:rPr>
                <w:lang w:val="en-AU"/>
              </w:rPr>
            </w:pPr>
            <w:r w:rsidRPr="00AD7238">
              <w:rPr>
                <w:lang w:val="en-AU"/>
              </w:rPr>
              <w:t>Year 2</w:t>
            </w:r>
          </w:p>
        </w:tc>
        <w:tc>
          <w:tcPr>
            <w:tcW w:w="611" w:type="pct"/>
            <w:shd w:val="clear" w:color="auto" w:fill="auto"/>
            <w:vAlign w:val="center"/>
          </w:tcPr>
          <w:p w14:paraId="4F2024ED" w14:textId="77777777" w:rsidR="00302DB8" w:rsidRPr="00AD7238" w:rsidRDefault="00302DB8" w:rsidP="007A73AA">
            <w:pPr>
              <w:pStyle w:val="In-tableHeading"/>
              <w:jc w:val="center"/>
              <w:rPr>
                <w:lang w:val="en-AU"/>
              </w:rPr>
            </w:pPr>
            <w:r w:rsidRPr="00AD7238">
              <w:rPr>
                <w:lang w:val="en-AU"/>
              </w:rPr>
              <w:t>Year 3</w:t>
            </w:r>
          </w:p>
        </w:tc>
        <w:tc>
          <w:tcPr>
            <w:tcW w:w="611" w:type="pct"/>
            <w:shd w:val="clear" w:color="auto" w:fill="auto"/>
            <w:vAlign w:val="center"/>
          </w:tcPr>
          <w:p w14:paraId="1F356520" w14:textId="77777777" w:rsidR="00302DB8" w:rsidRPr="00AD7238" w:rsidRDefault="00302DB8" w:rsidP="007A73AA">
            <w:pPr>
              <w:pStyle w:val="In-tableHeading"/>
              <w:jc w:val="center"/>
              <w:rPr>
                <w:lang w:val="en-AU"/>
              </w:rPr>
            </w:pPr>
            <w:r w:rsidRPr="00AD7238">
              <w:rPr>
                <w:lang w:val="en-AU"/>
              </w:rPr>
              <w:t>Year 4</w:t>
            </w:r>
          </w:p>
        </w:tc>
        <w:tc>
          <w:tcPr>
            <w:tcW w:w="611" w:type="pct"/>
            <w:shd w:val="clear" w:color="auto" w:fill="auto"/>
            <w:vAlign w:val="center"/>
          </w:tcPr>
          <w:p w14:paraId="5E754BF9" w14:textId="77777777" w:rsidR="00302DB8" w:rsidRPr="00AD7238" w:rsidRDefault="00302DB8" w:rsidP="007A73AA">
            <w:pPr>
              <w:pStyle w:val="In-tableHeading"/>
              <w:jc w:val="center"/>
              <w:rPr>
                <w:lang w:val="en-AU"/>
              </w:rPr>
            </w:pPr>
            <w:r w:rsidRPr="00AD7238">
              <w:rPr>
                <w:lang w:val="en-AU"/>
              </w:rPr>
              <w:t>Year 5</w:t>
            </w:r>
          </w:p>
        </w:tc>
        <w:tc>
          <w:tcPr>
            <w:tcW w:w="611" w:type="pct"/>
          </w:tcPr>
          <w:p w14:paraId="54F07702" w14:textId="77777777" w:rsidR="00302DB8" w:rsidRPr="00AD7238" w:rsidRDefault="00302DB8" w:rsidP="007A73AA">
            <w:pPr>
              <w:pStyle w:val="In-tableHeading"/>
              <w:jc w:val="center"/>
              <w:rPr>
                <w:lang w:val="en-AU"/>
              </w:rPr>
            </w:pPr>
            <w:r w:rsidRPr="00AD7238">
              <w:rPr>
                <w:lang w:val="en-AU"/>
              </w:rPr>
              <w:t>Year 6</w:t>
            </w:r>
          </w:p>
        </w:tc>
      </w:tr>
      <w:tr w:rsidR="00302DB8" w:rsidRPr="00AD7238" w14:paraId="2C03143F" w14:textId="77777777" w:rsidTr="006F0103">
        <w:tc>
          <w:tcPr>
            <w:tcW w:w="5000" w:type="pct"/>
            <w:gridSpan w:val="7"/>
            <w:shd w:val="clear" w:color="auto" w:fill="auto"/>
            <w:vAlign w:val="center"/>
          </w:tcPr>
          <w:p w14:paraId="5F71CE45" w14:textId="77777777" w:rsidR="00302DB8" w:rsidRPr="00AD7238" w:rsidRDefault="00302DB8" w:rsidP="0044579A">
            <w:pPr>
              <w:pStyle w:val="In-tableHeading"/>
              <w:rPr>
                <w:lang w:val="en-AU"/>
              </w:rPr>
            </w:pPr>
            <w:r w:rsidRPr="00AD7238">
              <w:rPr>
                <w:lang w:val="en-AU"/>
              </w:rPr>
              <w:t>Estimated extent of use</w:t>
            </w:r>
          </w:p>
        </w:tc>
      </w:tr>
      <w:tr w:rsidR="00302DB8" w:rsidRPr="00AD7238" w14:paraId="7C5BE191" w14:textId="77777777" w:rsidTr="006F0103">
        <w:tc>
          <w:tcPr>
            <w:tcW w:w="5000" w:type="pct"/>
            <w:gridSpan w:val="7"/>
            <w:shd w:val="clear" w:color="auto" w:fill="auto"/>
            <w:vAlign w:val="center"/>
          </w:tcPr>
          <w:p w14:paraId="0D2C6CF0" w14:textId="7B00B7B4" w:rsidR="00302DB8" w:rsidRPr="00AD7238" w:rsidRDefault="00302DB8" w:rsidP="0044579A">
            <w:pPr>
              <w:pStyle w:val="In-tableHeading"/>
              <w:rPr>
                <w:lang w:val="en-AU"/>
              </w:rPr>
            </w:pPr>
            <w:r w:rsidRPr="00AD7238">
              <w:rPr>
                <w:lang w:val="en-AU"/>
              </w:rPr>
              <w:t>Number of</w:t>
            </w:r>
            <w:r w:rsidR="00561625">
              <w:rPr>
                <w:lang w:val="en-AU"/>
              </w:rPr>
              <w:t xml:space="preserve"> individuals</w:t>
            </w:r>
            <w:r w:rsidRPr="00AD7238">
              <w:rPr>
                <w:lang w:val="en-AU"/>
              </w:rPr>
              <w:t xml:space="preserve"> vaccinated</w:t>
            </w:r>
          </w:p>
        </w:tc>
      </w:tr>
      <w:tr w:rsidR="00100480" w:rsidRPr="00AD7238" w14:paraId="1D069A1A" w14:textId="77777777" w:rsidTr="00446413">
        <w:tc>
          <w:tcPr>
            <w:tcW w:w="1334" w:type="pct"/>
            <w:shd w:val="clear" w:color="auto" w:fill="auto"/>
            <w:vAlign w:val="center"/>
          </w:tcPr>
          <w:p w14:paraId="107A8289" w14:textId="00B98FBC" w:rsidR="00100480" w:rsidRPr="00AD7238" w:rsidRDefault="00241461" w:rsidP="00B47BB8">
            <w:pPr>
              <w:pStyle w:val="TableText0"/>
              <w:rPr>
                <w:bCs w:val="0"/>
              </w:rPr>
            </w:pPr>
            <w:r w:rsidRPr="00AD7238">
              <w:t xml:space="preserve">Aboriginal and Torres Strait Islander </w:t>
            </w:r>
            <w:r w:rsidR="00100480" w:rsidRPr="00AD7238">
              <w:t>50-69 YOA</w:t>
            </w:r>
          </w:p>
        </w:tc>
        <w:tc>
          <w:tcPr>
            <w:tcW w:w="611" w:type="pct"/>
          </w:tcPr>
          <w:p w14:paraId="46EE6CDA" w14:textId="16C56B9E" w:rsidR="00100480" w:rsidRPr="000D0219" w:rsidRDefault="00BA039D" w:rsidP="007A73AA">
            <w:pPr>
              <w:pStyle w:val="TableText0"/>
              <w:jc w:val="center"/>
              <w:rPr>
                <w:bCs w:val="0"/>
                <w:highlight w:val="darkGray"/>
                <w:vertAlign w:val="superscript"/>
              </w:rPr>
            </w:pPr>
            <w:r w:rsidRPr="00BA039D">
              <w:rPr>
                <w:color w:val="000000"/>
                <w:spacing w:val="70"/>
                <w:shd w:val="solid" w:color="000000" w:fill="000000"/>
                <w:fitText w:val="382" w:id="-1233442040"/>
                <w14:textFill>
                  <w14:solidFill>
                    <w14:srgbClr w14:val="000000">
                      <w14:alpha w14:val="100000"/>
                    </w14:srgbClr>
                  </w14:solidFill>
                </w14:textFill>
              </w:rPr>
              <w:t>|||</w:t>
            </w:r>
            <w:r w:rsidRPr="00BA039D">
              <w:rPr>
                <w:color w:val="000000"/>
                <w:spacing w:val="2"/>
                <w:shd w:val="solid" w:color="000000" w:fill="000000"/>
                <w:fitText w:val="382" w:id="-1233442040"/>
                <w14:textFill>
                  <w14:solidFill>
                    <w14:srgbClr w14:val="000000">
                      <w14:alpha w14:val="100000"/>
                    </w14:srgbClr>
                  </w14:solidFill>
                </w14:textFill>
              </w:rPr>
              <w:t>|</w:t>
            </w:r>
            <w:r w:rsidR="000D0219" w:rsidRPr="000D0219">
              <w:rPr>
                <w:vertAlign w:val="superscript"/>
              </w:rPr>
              <w:t>1</w:t>
            </w:r>
          </w:p>
        </w:tc>
        <w:tc>
          <w:tcPr>
            <w:tcW w:w="611" w:type="pct"/>
          </w:tcPr>
          <w:p w14:paraId="43D2D20B" w14:textId="4C767392" w:rsidR="00100480" w:rsidRPr="00C42A2C" w:rsidRDefault="00BA039D" w:rsidP="007A73AA">
            <w:pPr>
              <w:pStyle w:val="TableText0"/>
              <w:jc w:val="center"/>
              <w:rPr>
                <w:bCs w:val="0"/>
                <w:highlight w:val="darkGray"/>
              </w:rPr>
            </w:pPr>
            <w:r w:rsidRPr="00BA039D">
              <w:rPr>
                <w:color w:val="000000"/>
                <w:spacing w:val="81"/>
                <w:shd w:val="solid" w:color="000000" w:fill="000000"/>
                <w:fitText w:val="416" w:id="-1233442039"/>
                <w14:textFill>
                  <w14:solidFill>
                    <w14:srgbClr w14:val="000000">
                      <w14:alpha w14:val="100000"/>
                    </w14:srgbClr>
                  </w14:solidFill>
                </w14:textFill>
              </w:rPr>
              <w:t>|||</w:t>
            </w:r>
            <w:r w:rsidRPr="00BA039D">
              <w:rPr>
                <w:color w:val="000000"/>
                <w:spacing w:val="3"/>
                <w:shd w:val="solid" w:color="000000" w:fill="000000"/>
                <w:fitText w:val="416" w:id="-1233442039"/>
                <w14:textFill>
                  <w14:solidFill>
                    <w14:srgbClr w14:val="000000">
                      <w14:alpha w14:val="100000"/>
                    </w14:srgbClr>
                  </w14:solidFill>
                </w14:textFill>
              </w:rPr>
              <w:t>|</w:t>
            </w:r>
            <w:r w:rsidR="00CD2C1A">
              <w:rPr>
                <w:vertAlign w:val="superscript"/>
              </w:rPr>
              <w:t>15</w:t>
            </w:r>
          </w:p>
        </w:tc>
        <w:tc>
          <w:tcPr>
            <w:tcW w:w="611" w:type="pct"/>
          </w:tcPr>
          <w:p w14:paraId="09D0CA97" w14:textId="7BBEAE98" w:rsidR="00100480"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CD2C1A">
              <w:rPr>
                <w:vertAlign w:val="superscript"/>
              </w:rPr>
              <w:t>20</w:t>
            </w:r>
          </w:p>
        </w:tc>
        <w:tc>
          <w:tcPr>
            <w:tcW w:w="611" w:type="pct"/>
          </w:tcPr>
          <w:p w14:paraId="29F8A71F" w14:textId="049DA258" w:rsidR="00100480" w:rsidRPr="00C42A2C" w:rsidRDefault="00BA039D" w:rsidP="007A73AA">
            <w:pPr>
              <w:pStyle w:val="TableText0"/>
              <w:jc w:val="center"/>
              <w:rPr>
                <w:bCs w:val="0"/>
                <w:highlight w:val="darkGray"/>
              </w:rPr>
            </w:pPr>
            <w:r w:rsidRPr="00BA039D">
              <w:rPr>
                <w:color w:val="000000"/>
                <w:spacing w:val="81"/>
                <w:shd w:val="solid" w:color="000000" w:fill="000000"/>
                <w:fitText w:val="416" w:id="-1233442037"/>
                <w14:textFill>
                  <w14:solidFill>
                    <w14:srgbClr w14:val="000000">
                      <w14:alpha w14:val="100000"/>
                    </w14:srgbClr>
                  </w14:solidFill>
                </w14:textFill>
              </w:rPr>
              <w:t>|||</w:t>
            </w:r>
            <w:r w:rsidRPr="00BA039D">
              <w:rPr>
                <w:color w:val="000000"/>
                <w:spacing w:val="3"/>
                <w:shd w:val="solid" w:color="000000" w:fill="000000"/>
                <w:fitText w:val="416" w:id="-1233442037"/>
                <w14:textFill>
                  <w14:solidFill>
                    <w14:srgbClr w14:val="000000">
                      <w14:alpha w14:val="100000"/>
                    </w14:srgbClr>
                  </w14:solidFill>
                </w14:textFill>
              </w:rPr>
              <w:t>|</w:t>
            </w:r>
            <w:r w:rsidR="00FE1DC9">
              <w:rPr>
                <w:vertAlign w:val="superscript"/>
              </w:rPr>
              <w:t>23</w:t>
            </w:r>
          </w:p>
        </w:tc>
        <w:tc>
          <w:tcPr>
            <w:tcW w:w="611" w:type="pct"/>
          </w:tcPr>
          <w:p w14:paraId="433026CE" w14:textId="41789282" w:rsidR="00100480" w:rsidRPr="00C42A2C" w:rsidRDefault="00BA039D" w:rsidP="007A73AA">
            <w:pPr>
              <w:pStyle w:val="TableText0"/>
              <w:jc w:val="center"/>
              <w:rPr>
                <w:bCs w:val="0"/>
                <w:highlight w:val="darkGray"/>
              </w:rPr>
            </w:pPr>
            <w:r w:rsidRPr="00BA039D">
              <w:rPr>
                <w:color w:val="000000"/>
                <w:spacing w:val="82"/>
                <w:shd w:val="solid" w:color="000000" w:fill="000000"/>
                <w:fitText w:val="417" w:id="-1233442036"/>
                <w14:textFill>
                  <w14:solidFill>
                    <w14:srgbClr w14:val="000000">
                      <w14:alpha w14:val="100000"/>
                    </w14:srgbClr>
                  </w14:solidFill>
                </w14:textFill>
              </w:rPr>
              <w:t>|||</w:t>
            </w:r>
            <w:r w:rsidRPr="00BA039D">
              <w:rPr>
                <w:color w:val="000000"/>
                <w:spacing w:val="1"/>
                <w:shd w:val="solid" w:color="000000" w:fill="000000"/>
                <w:fitText w:val="417" w:id="-1233442036"/>
                <w14:textFill>
                  <w14:solidFill>
                    <w14:srgbClr w14:val="000000">
                      <w14:alpha w14:val="100000"/>
                    </w14:srgbClr>
                  </w14:solidFill>
                </w14:textFill>
              </w:rPr>
              <w:t>|</w:t>
            </w:r>
            <w:r w:rsidR="00FE1DC9">
              <w:rPr>
                <w:vertAlign w:val="superscript"/>
              </w:rPr>
              <w:t>23</w:t>
            </w:r>
          </w:p>
        </w:tc>
        <w:tc>
          <w:tcPr>
            <w:tcW w:w="611" w:type="pct"/>
          </w:tcPr>
          <w:p w14:paraId="294D7ECF" w14:textId="7912AAA0" w:rsidR="00100480" w:rsidRPr="00C42A2C" w:rsidRDefault="00BA039D" w:rsidP="007A73AA">
            <w:pPr>
              <w:pStyle w:val="TableText0"/>
              <w:jc w:val="center"/>
              <w:rPr>
                <w:bCs w:val="0"/>
                <w:highlight w:val="darkGray"/>
              </w:rPr>
            </w:pPr>
            <w:r w:rsidRPr="00BA039D">
              <w:rPr>
                <w:color w:val="000000"/>
                <w:spacing w:val="81"/>
                <w:shd w:val="solid" w:color="000000" w:fill="000000"/>
                <w:fitText w:val="416" w:id="-1233442035"/>
                <w14:textFill>
                  <w14:solidFill>
                    <w14:srgbClr w14:val="000000">
                      <w14:alpha w14:val="100000"/>
                    </w14:srgbClr>
                  </w14:solidFill>
                </w14:textFill>
              </w:rPr>
              <w:t>|||</w:t>
            </w:r>
            <w:r w:rsidRPr="00BA039D">
              <w:rPr>
                <w:color w:val="000000"/>
                <w:spacing w:val="3"/>
                <w:shd w:val="solid" w:color="000000" w:fill="000000"/>
                <w:fitText w:val="416" w:id="-1233442035"/>
                <w14:textFill>
                  <w14:solidFill>
                    <w14:srgbClr w14:val="000000">
                      <w14:alpha w14:val="100000"/>
                    </w14:srgbClr>
                  </w14:solidFill>
                </w14:textFill>
              </w:rPr>
              <w:t>|</w:t>
            </w:r>
            <w:r w:rsidR="00CD2C1A">
              <w:rPr>
                <w:vertAlign w:val="superscript"/>
              </w:rPr>
              <w:t>20</w:t>
            </w:r>
          </w:p>
        </w:tc>
      </w:tr>
      <w:tr w:rsidR="008013BD" w:rsidRPr="00AD7238" w14:paraId="687577A7" w14:textId="77777777" w:rsidTr="00446413">
        <w:tc>
          <w:tcPr>
            <w:tcW w:w="1334" w:type="pct"/>
            <w:shd w:val="clear" w:color="auto" w:fill="auto"/>
            <w:vAlign w:val="center"/>
          </w:tcPr>
          <w:p w14:paraId="5551FF4D" w14:textId="7BAC5CD3" w:rsidR="008013BD" w:rsidRPr="00AD7238" w:rsidRDefault="008013BD" w:rsidP="00B47BB8">
            <w:pPr>
              <w:pStyle w:val="TableText0"/>
              <w:rPr>
                <w:bCs w:val="0"/>
              </w:rPr>
            </w:pPr>
            <w:r w:rsidRPr="00AD7238">
              <w:t xml:space="preserve">Non-Indigenous 65-69 YOA </w:t>
            </w:r>
          </w:p>
        </w:tc>
        <w:tc>
          <w:tcPr>
            <w:tcW w:w="611" w:type="pct"/>
          </w:tcPr>
          <w:p w14:paraId="45BC0949" w14:textId="46B76D82" w:rsidR="008013BD" w:rsidRPr="00C42A2C" w:rsidRDefault="00BA039D" w:rsidP="007A73AA">
            <w:pPr>
              <w:pStyle w:val="TableText0"/>
              <w:jc w:val="center"/>
              <w:rPr>
                <w:bCs w:val="0"/>
                <w:highlight w:val="darkGray"/>
              </w:rPr>
            </w:pPr>
            <w:r w:rsidRPr="00BA039D">
              <w:rPr>
                <w:color w:val="000000"/>
                <w:spacing w:val="70"/>
                <w:shd w:val="solid" w:color="000000" w:fill="000000"/>
                <w:fitText w:val="382" w:id="-1233442034"/>
                <w14:textFill>
                  <w14:solidFill>
                    <w14:srgbClr w14:val="000000">
                      <w14:alpha w14:val="100000"/>
                    </w14:srgbClr>
                  </w14:solidFill>
                </w14:textFill>
              </w:rPr>
              <w:t>|||</w:t>
            </w:r>
            <w:r w:rsidRPr="00BA039D">
              <w:rPr>
                <w:color w:val="000000"/>
                <w:spacing w:val="2"/>
                <w:shd w:val="solid" w:color="000000" w:fill="000000"/>
                <w:fitText w:val="382" w:id="-1233442034"/>
                <w14:textFill>
                  <w14:solidFill>
                    <w14:srgbClr w14:val="000000">
                      <w14:alpha w14:val="100000"/>
                    </w14:srgbClr>
                  </w14:solidFill>
                </w14:textFill>
              </w:rPr>
              <w:t>|</w:t>
            </w:r>
            <w:r w:rsidR="000D0219">
              <w:rPr>
                <w:vertAlign w:val="superscript"/>
              </w:rPr>
              <w:t>2</w:t>
            </w:r>
          </w:p>
        </w:tc>
        <w:tc>
          <w:tcPr>
            <w:tcW w:w="611" w:type="pct"/>
          </w:tcPr>
          <w:p w14:paraId="59BD06F7" w14:textId="4E05F13A"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3"/>
                <w14:textFill>
                  <w14:solidFill>
                    <w14:srgbClr w14:val="000000">
                      <w14:alpha w14:val="100000"/>
                    </w14:srgbClr>
                  </w14:solidFill>
                </w14:textFill>
              </w:rPr>
              <w:t>|||</w:t>
            </w:r>
            <w:r w:rsidRPr="00BA039D">
              <w:rPr>
                <w:color w:val="000000"/>
                <w:spacing w:val="3"/>
                <w:shd w:val="solid" w:color="000000" w:fill="000000"/>
                <w:fitText w:val="383" w:id="-1233442033"/>
                <w14:textFill>
                  <w14:solidFill>
                    <w14:srgbClr w14:val="000000">
                      <w14:alpha w14:val="100000"/>
                    </w14:srgbClr>
                  </w14:solidFill>
                </w14:textFill>
              </w:rPr>
              <w:t>|</w:t>
            </w:r>
            <w:r w:rsidR="000D0219">
              <w:rPr>
                <w:vertAlign w:val="superscript"/>
              </w:rPr>
              <w:t>4</w:t>
            </w:r>
          </w:p>
        </w:tc>
        <w:tc>
          <w:tcPr>
            <w:tcW w:w="611" w:type="pct"/>
          </w:tcPr>
          <w:p w14:paraId="43C11C94" w14:textId="44BD9408"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2"/>
                <w14:textFill>
                  <w14:solidFill>
                    <w14:srgbClr w14:val="000000">
                      <w14:alpha w14:val="100000"/>
                    </w14:srgbClr>
                  </w14:solidFill>
                </w14:textFill>
              </w:rPr>
              <w:t>|||</w:t>
            </w:r>
            <w:r w:rsidRPr="00BA039D">
              <w:rPr>
                <w:color w:val="000000"/>
                <w:spacing w:val="3"/>
                <w:shd w:val="solid" w:color="000000" w:fill="000000"/>
                <w:fitText w:val="383" w:id="-1233442032"/>
                <w14:textFill>
                  <w14:solidFill>
                    <w14:srgbClr w14:val="000000">
                      <w14:alpha w14:val="100000"/>
                    </w14:srgbClr>
                  </w14:solidFill>
                </w14:textFill>
              </w:rPr>
              <w:t>|</w:t>
            </w:r>
            <w:r w:rsidR="000D0219">
              <w:rPr>
                <w:vertAlign w:val="superscript"/>
              </w:rPr>
              <w:t>3</w:t>
            </w:r>
          </w:p>
        </w:tc>
        <w:tc>
          <w:tcPr>
            <w:tcW w:w="611" w:type="pct"/>
          </w:tcPr>
          <w:p w14:paraId="6272345A" w14:textId="66A253A3"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8"/>
                <w14:textFill>
                  <w14:solidFill>
                    <w14:srgbClr w14:val="000000">
                      <w14:alpha w14:val="100000"/>
                    </w14:srgbClr>
                  </w14:solidFill>
                </w14:textFill>
              </w:rPr>
              <w:t>|||</w:t>
            </w:r>
            <w:r w:rsidRPr="00BA039D">
              <w:rPr>
                <w:color w:val="000000"/>
                <w:spacing w:val="3"/>
                <w:shd w:val="solid" w:color="000000" w:fill="000000"/>
                <w:fitText w:val="383" w:id="-1233442048"/>
                <w14:textFill>
                  <w14:solidFill>
                    <w14:srgbClr w14:val="000000">
                      <w14:alpha w14:val="100000"/>
                    </w14:srgbClr>
                  </w14:solidFill>
                </w14:textFill>
              </w:rPr>
              <w:t>|</w:t>
            </w:r>
            <w:r w:rsidR="000D0219">
              <w:rPr>
                <w:vertAlign w:val="superscript"/>
              </w:rPr>
              <w:t>3</w:t>
            </w:r>
          </w:p>
        </w:tc>
        <w:tc>
          <w:tcPr>
            <w:tcW w:w="611" w:type="pct"/>
          </w:tcPr>
          <w:p w14:paraId="524F51B0" w14:textId="797898F8"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7"/>
                <w14:textFill>
                  <w14:solidFill>
                    <w14:srgbClr w14:val="000000">
                      <w14:alpha w14:val="100000"/>
                    </w14:srgbClr>
                  </w14:solidFill>
                </w14:textFill>
              </w:rPr>
              <w:t>|||</w:t>
            </w:r>
            <w:r w:rsidRPr="00BA039D">
              <w:rPr>
                <w:color w:val="000000"/>
                <w:spacing w:val="3"/>
                <w:shd w:val="solid" w:color="000000" w:fill="000000"/>
                <w:fitText w:val="383" w:id="-1233442047"/>
                <w14:textFill>
                  <w14:solidFill>
                    <w14:srgbClr w14:val="000000">
                      <w14:alpha w14:val="100000"/>
                    </w14:srgbClr>
                  </w14:solidFill>
                </w14:textFill>
              </w:rPr>
              <w:t>|</w:t>
            </w:r>
            <w:r w:rsidR="000D0219">
              <w:rPr>
                <w:vertAlign w:val="superscript"/>
              </w:rPr>
              <w:t>3</w:t>
            </w:r>
          </w:p>
        </w:tc>
        <w:tc>
          <w:tcPr>
            <w:tcW w:w="611" w:type="pct"/>
          </w:tcPr>
          <w:p w14:paraId="47FDA37B" w14:textId="061FFE26"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6"/>
                <w14:textFill>
                  <w14:solidFill>
                    <w14:srgbClr w14:val="000000">
                      <w14:alpha w14:val="100000"/>
                    </w14:srgbClr>
                  </w14:solidFill>
                </w14:textFill>
              </w:rPr>
              <w:t>|||</w:t>
            </w:r>
            <w:r w:rsidRPr="00BA039D">
              <w:rPr>
                <w:color w:val="000000"/>
                <w:spacing w:val="3"/>
                <w:shd w:val="solid" w:color="000000" w:fill="000000"/>
                <w:fitText w:val="383" w:id="-1233442046"/>
                <w14:textFill>
                  <w14:solidFill>
                    <w14:srgbClr w14:val="000000">
                      <w14:alpha w14:val="100000"/>
                    </w14:srgbClr>
                  </w14:solidFill>
                </w14:textFill>
              </w:rPr>
              <w:t>|</w:t>
            </w:r>
            <w:r w:rsidR="000D0219">
              <w:rPr>
                <w:vertAlign w:val="superscript"/>
              </w:rPr>
              <w:t>3</w:t>
            </w:r>
          </w:p>
        </w:tc>
      </w:tr>
      <w:tr w:rsidR="008013BD" w:rsidRPr="00AD7238" w14:paraId="5504C6ED" w14:textId="77777777" w:rsidTr="00446413">
        <w:tc>
          <w:tcPr>
            <w:tcW w:w="1334" w:type="pct"/>
            <w:shd w:val="clear" w:color="auto" w:fill="auto"/>
            <w:vAlign w:val="center"/>
          </w:tcPr>
          <w:p w14:paraId="7D7C36ED" w14:textId="53B65F59" w:rsidR="008013BD" w:rsidRPr="00AD7238" w:rsidRDefault="008013BD" w:rsidP="00B47BB8">
            <w:pPr>
              <w:pStyle w:val="TableText0"/>
              <w:rPr>
                <w:bCs w:val="0"/>
              </w:rPr>
            </w:pPr>
            <w:r w:rsidRPr="00AD7238">
              <w:t>All 70-79 YOA, Prior ZVL</w:t>
            </w:r>
          </w:p>
        </w:tc>
        <w:tc>
          <w:tcPr>
            <w:tcW w:w="611" w:type="pct"/>
          </w:tcPr>
          <w:p w14:paraId="21542C91" w14:textId="1157EF18" w:rsidR="008013BD" w:rsidRPr="00C42A2C" w:rsidRDefault="00BA039D" w:rsidP="007A73AA">
            <w:pPr>
              <w:pStyle w:val="TableText0"/>
              <w:jc w:val="center"/>
              <w:rPr>
                <w:bCs w:val="0"/>
                <w:highlight w:val="darkGray"/>
              </w:rPr>
            </w:pPr>
            <w:r w:rsidRPr="00BA039D">
              <w:rPr>
                <w:color w:val="000000"/>
                <w:spacing w:val="70"/>
                <w:shd w:val="solid" w:color="000000" w:fill="000000"/>
                <w:fitText w:val="382" w:id="-1233442045"/>
                <w14:textFill>
                  <w14:solidFill>
                    <w14:srgbClr w14:val="000000">
                      <w14:alpha w14:val="100000"/>
                    </w14:srgbClr>
                  </w14:solidFill>
                </w14:textFill>
              </w:rPr>
              <w:t>|||</w:t>
            </w:r>
            <w:r w:rsidRPr="00BA039D">
              <w:rPr>
                <w:color w:val="000000"/>
                <w:spacing w:val="2"/>
                <w:shd w:val="solid" w:color="000000" w:fill="000000"/>
                <w:fitText w:val="382" w:id="-1233442045"/>
                <w14:textFill>
                  <w14:solidFill>
                    <w14:srgbClr w14:val="000000">
                      <w14:alpha w14:val="100000"/>
                    </w14:srgbClr>
                  </w14:solidFill>
                </w14:textFill>
              </w:rPr>
              <w:t>|</w:t>
            </w:r>
            <w:r w:rsidR="000D0219">
              <w:rPr>
                <w:vertAlign w:val="superscript"/>
              </w:rPr>
              <w:t>3</w:t>
            </w:r>
          </w:p>
        </w:tc>
        <w:tc>
          <w:tcPr>
            <w:tcW w:w="611" w:type="pct"/>
          </w:tcPr>
          <w:p w14:paraId="353E83EE" w14:textId="6C57E1CF"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4"/>
                <w14:textFill>
                  <w14:solidFill>
                    <w14:srgbClr w14:val="000000">
                      <w14:alpha w14:val="100000"/>
                    </w14:srgbClr>
                  </w14:solidFill>
                </w14:textFill>
              </w:rPr>
              <w:t>|||</w:t>
            </w:r>
            <w:r w:rsidRPr="00BA039D">
              <w:rPr>
                <w:color w:val="000000"/>
                <w:spacing w:val="3"/>
                <w:shd w:val="solid" w:color="000000" w:fill="000000"/>
                <w:fitText w:val="383" w:id="-1233442044"/>
                <w14:textFill>
                  <w14:solidFill>
                    <w14:srgbClr w14:val="000000">
                      <w14:alpha w14:val="100000"/>
                    </w14:srgbClr>
                  </w14:solidFill>
                </w14:textFill>
              </w:rPr>
              <w:t>|</w:t>
            </w:r>
            <w:r w:rsidR="00CD2C1A">
              <w:rPr>
                <w:vertAlign w:val="superscript"/>
              </w:rPr>
              <w:t>5</w:t>
            </w:r>
          </w:p>
        </w:tc>
        <w:tc>
          <w:tcPr>
            <w:tcW w:w="611" w:type="pct"/>
          </w:tcPr>
          <w:p w14:paraId="3A57FF5A" w14:textId="740EB24F"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3"/>
                <w14:textFill>
                  <w14:solidFill>
                    <w14:srgbClr w14:val="000000">
                      <w14:alpha w14:val="100000"/>
                    </w14:srgbClr>
                  </w14:solidFill>
                </w14:textFill>
              </w:rPr>
              <w:t>|||</w:t>
            </w:r>
            <w:r w:rsidRPr="00BA039D">
              <w:rPr>
                <w:color w:val="000000"/>
                <w:spacing w:val="3"/>
                <w:shd w:val="solid" w:color="000000" w:fill="000000"/>
                <w:fitText w:val="383" w:id="-1233442043"/>
                <w14:textFill>
                  <w14:solidFill>
                    <w14:srgbClr w14:val="000000">
                      <w14:alpha w14:val="100000"/>
                    </w14:srgbClr>
                  </w14:solidFill>
                </w14:textFill>
              </w:rPr>
              <w:t>|</w:t>
            </w:r>
            <w:r w:rsidR="000D0219">
              <w:rPr>
                <w:vertAlign w:val="superscript"/>
              </w:rPr>
              <w:t>5</w:t>
            </w:r>
          </w:p>
        </w:tc>
        <w:tc>
          <w:tcPr>
            <w:tcW w:w="611" w:type="pct"/>
          </w:tcPr>
          <w:p w14:paraId="5CEBFAE2" w14:textId="04988018"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2"/>
                <w14:textFill>
                  <w14:solidFill>
                    <w14:srgbClr w14:val="000000">
                      <w14:alpha w14:val="100000"/>
                    </w14:srgbClr>
                  </w14:solidFill>
                </w14:textFill>
              </w:rPr>
              <w:t>|||</w:t>
            </w:r>
            <w:r w:rsidRPr="00BA039D">
              <w:rPr>
                <w:color w:val="000000"/>
                <w:spacing w:val="3"/>
                <w:shd w:val="solid" w:color="000000" w:fill="000000"/>
                <w:fitText w:val="383" w:id="-1233442042"/>
                <w14:textFill>
                  <w14:solidFill>
                    <w14:srgbClr w14:val="000000">
                      <w14:alpha w14:val="100000"/>
                    </w14:srgbClr>
                  </w14:solidFill>
                </w14:textFill>
              </w:rPr>
              <w:t>|</w:t>
            </w:r>
            <w:r w:rsidR="000D0219" w:rsidRPr="000D0219">
              <w:rPr>
                <w:vertAlign w:val="superscript"/>
              </w:rPr>
              <w:t>1</w:t>
            </w:r>
          </w:p>
        </w:tc>
        <w:tc>
          <w:tcPr>
            <w:tcW w:w="611" w:type="pct"/>
          </w:tcPr>
          <w:p w14:paraId="64048C1D" w14:textId="25EB28F0"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1"/>
                <w14:textFill>
                  <w14:solidFill>
                    <w14:srgbClr w14:val="000000">
                      <w14:alpha w14:val="100000"/>
                    </w14:srgbClr>
                  </w14:solidFill>
                </w14:textFill>
              </w:rPr>
              <w:t>|||</w:t>
            </w:r>
            <w:r w:rsidRPr="00BA039D">
              <w:rPr>
                <w:color w:val="000000"/>
                <w:spacing w:val="3"/>
                <w:shd w:val="solid" w:color="000000" w:fill="000000"/>
                <w:fitText w:val="383" w:id="-1233442041"/>
                <w14:textFill>
                  <w14:solidFill>
                    <w14:srgbClr w14:val="000000">
                      <w14:alpha w14:val="100000"/>
                    </w14:srgbClr>
                  </w14:solidFill>
                </w14:textFill>
              </w:rPr>
              <w:t>|</w:t>
            </w:r>
            <w:r w:rsidR="000D0219" w:rsidRPr="000D0219">
              <w:rPr>
                <w:vertAlign w:val="superscript"/>
              </w:rPr>
              <w:t>1</w:t>
            </w:r>
          </w:p>
        </w:tc>
        <w:tc>
          <w:tcPr>
            <w:tcW w:w="611" w:type="pct"/>
          </w:tcPr>
          <w:p w14:paraId="1D801079" w14:textId="7E084BD8"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0"/>
                <w14:textFill>
                  <w14:solidFill>
                    <w14:srgbClr w14:val="000000">
                      <w14:alpha w14:val="100000"/>
                    </w14:srgbClr>
                  </w14:solidFill>
                </w14:textFill>
              </w:rPr>
              <w:t>|||</w:t>
            </w:r>
            <w:r w:rsidRPr="00BA039D">
              <w:rPr>
                <w:color w:val="000000"/>
                <w:spacing w:val="3"/>
                <w:shd w:val="solid" w:color="000000" w:fill="000000"/>
                <w:fitText w:val="383" w:id="-1233442040"/>
                <w14:textFill>
                  <w14:solidFill>
                    <w14:srgbClr w14:val="000000">
                      <w14:alpha w14:val="100000"/>
                    </w14:srgbClr>
                  </w14:solidFill>
                </w14:textFill>
              </w:rPr>
              <w:t>|</w:t>
            </w:r>
            <w:r w:rsidR="000D0219" w:rsidRPr="000D0219">
              <w:rPr>
                <w:vertAlign w:val="superscript"/>
              </w:rPr>
              <w:t>1</w:t>
            </w:r>
          </w:p>
        </w:tc>
      </w:tr>
      <w:tr w:rsidR="008013BD" w:rsidRPr="00AD7238" w14:paraId="56F15744" w14:textId="77777777" w:rsidTr="00446413">
        <w:tc>
          <w:tcPr>
            <w:tcW w:w="1334" w:type="pct"/>
            <w:shd w:val="clear" w:color="auto" w:fill="auto"/>
            <w:vAlign w:val="center"/>
          </w:tcPr>
          <w:p w14:paraId="33504B30" w14:textId="21ED59AE" w:rsidR="008013BD" w:rsidRPr="00AD7238" w:rsidRDefault="008013BD" w:rsidP="00B47BB8">
            <w:pPr>
              <w:pStyle w:val="TableText0"/>
              <w:rPr>
                <w:bCs w:val="0"/>
              </w:rPr>
            </w:pPr>
            <w:r w:rsidRPr="00AD7238">
              <w:t>All 70-79 YOA, Prior HZ infection</w:t>
            </w:r>
          </w:p>
        </w:tc>
        <w:tc>
          <w:tcPr>
            <w:tcW w:w="611" w:type="pct"/>
          </w:tcPr>
          <w:p w14:paraId="2A614927" w14:textId="65F39D36" w:rsidR="008013BD" w:rsidRPr="00C42A2C" w:rsidRDefault="00BA039D" w:rsidP="007A73AA">
            <w:pPr>
              <w:pStyle w:val="TableText0"/>
              <w:jc w:val="center"/>
              <w:rPr>
                <w:bCs w:val="0"/>
                <w:highlight w:val="darkGray"/>
              </w:rPr>
            </w:pPr>
            <w:r w:rsidRPr="00BA039D">
              <w:rPr>
                <w:color w:val="000000"/>
                <w:spacing w:val="70"/>
                <w:shd w:val="solid" w:color="000000" w:fill="000000"/>
                <w:fitText w:val="382" w:id="-1233442039"/>
                <w14:textFill>
                  <w14:solidFill>
                    <w14:srgbClr w14:val="000000">
                      <w14:alpha w14:val="100000"/>
                    </w14:srgbClr>
                  </w14:solidFill>
                </w14:textFill>
              </w:rPr>
              <w:t>|||</w:t>
            </w:r>
            <w:r w:rsidRPr="00BA039D">
              <w:rPr>
                <w:color w:val="000000"/>
                <w:spacing w:val="2"/>
                <w:shd w:val="solid" w:color="000000" w:fill="000000"/>
                <w:fitText w:val="382" w:id="-1233442039"/>
                <w14:textFill>
                  <w14:solidFill>
                    <w14:srgbClr w14:val="000000">
                      <w14:alpha w14:val="100000"/>
                    </w14:srgbClr>
                  </w14:solidFill>
                </w14:textFill>
              </w:rPr>
              <w:t>|</w:t>
            </w:r>
            <w:r w:rsidR="000D0219">
              <w:rPr>
                <w:vertAlign w:val="superscript"/>
              </w:rPr>
              <w:t>3</w:t>
            </w:r>
          </w:p>
        </w:tc>
        <w:tc>
          <w:tcPr>
            <w:tcW w:w="611" w:type="pct"/>
          </w:tcPr>
          <w:p w14:paraId="71403967" w14:textId="121C506E"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8"/>
                <w14:textFill>
                  <w14:solidFill>
                    <w14:srgbClr w14:val="000000">
                      <w14:alpha w14:val="100000"/>
                    </w14:srgbClr>
                  </w14:solidFill>
                </w14:textFill>
              </w:rPr>
              <w:t>|||</w:t>
            </w:r>
            <w:r w:rsidRPr="00BA039D">
              <w:rPr>
                <w:color w:val="000000"/>
                <w:spacing w:val="3"/>
                <w:shd w:val="solid" w:color="000000" w:fill="000000"/>
                <w:fitText w:val="383" w:id="-1233442038"/>
                <w14:textFill>
                  <w14:solidFill>
                    <w14:srgbClr w14:val="000000">
                      <w14:alpha w14:val="100000"/>
                    </w14:srgbClr>
                  </w14:solidFill>
                </w14:textFill>
              </w:rPr>
              <w:t>|</w:t>
            </w:r>
            <w:r w:rsidR="00CD2C1A">
              <w:rPr>
                <w:vertAlign w:val="superscript"/>
              </w:rPr>
              <w:t>5</w:t>
            </w:r>
          </w:p>
        </w:tc>
        <w:tc>
          <w:tcPr>
            <w:tcW w:w="611" w:type="pct"/>
          </w:tcPr>
          <w:p w14:paraId="47E71543" w14:textId="14782F85"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7"/>
                <w14:textFill>
                  <w14:solidFill>
                    <w14:srgbClr w14:val="000000">
                      <w14:alpha w14:val="100000"/>
                    </w14:srgbClr>
                  </w14:solidFill>
                </w14:textFill>
              </w:rPr>
              <w:t>|||</w:t>
            </w:r>
            <w:r w:rsidRPr="00BA039D">
              <w:rPr>
                <w:color w:val="000000"/>
                <w:spacing w:val="3"/>
                <w:shd w:val="solid" w:color="000000" w:fill="000000"/>
                <w:fitText w:val="383" w:id="-1233442037"/>
                <w14:textFill>
                  <w14:solidFill>
                    <w14:srgbClr w14:val="000000">
                      <w14:alpha w14:val="100000"/>
                    </w14:srgbClr>
                  </w14:solidFill>
                </w14:textFill>
              </w:rPr>
              <w:t>|</w:t>
            </w:r>
            <w:r w:rsidR="000D0219">
              <w:rPr>
                <w:vertAlign w:val="superscript"/>
              </w:rPr>
              <w:t>5</w:t>
            </w:r>
          </w:p>
        </w:tc>
        <w:tc>
          <w:tcPr>
            <w:tcW w:w="611" w:type="pct"/>
          </w:tcPr>
          <w:p w14:paraId="07277419" w14:textId="585FC57A"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6"/>
                <w14:textFill>
                  <w14:solidFill>
                    <w14:srgbClr w14:val="000000">
                      <w14:alpha w14:val="100000"/>
                    </w14:srgbClr>
                  </w14:solidFill>
                </w14:textFill>
              </w:rPr>
              <w:t>|||</w:t>
            </w:r>
            <w:r w:rsidRPr="00BA039D">
              <w:rPr>
                <w:color w:val="000000"/>
                <w:spacing w:val="3"/>
                <w:shd w:val="solid" w:color="000000" w:fill="000000"/>
                <w:fitText w:val="383" w:id="-1233442036"/>
                <w14:textFill>
                  <w14:solidFill>
                    <w14:srgbClr w14:val="000000">
                      <w14:alpha w14:val="100000"/>
                    </w14:srgbClr>
                  </w14:solidFill>
                </w14:textFill>
              </w:rPr>
              <w:t>|</w:t>
            </w:r>
            <w:r w:rsidR="000D0219" w:rsidRPr="000D0219">
              <w:rPr>
                <w:vertAlign w:val="superscript"/>
              </w:rPr>
              <w:t>1</w:t>
            </w:r>
          </w:p>
        </w:tc>
        <w:tc>
          <w:tcPr>
            <w:tcW w:w="611" w:type="pct"/>
          </w:tcPr>
          <w:p w14:paraId="0F9DA4DF" w14:textId="770E67AE"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5"/>
                <w14:textFill>
                  <w14:solidFill>
                    <w14:srgbClr w14:val="000000">
                      <w14:alpha w14:val="100000"/>
                    </w14:srgbClr>
                  </w14:solidFill>
                </w14:textFill>
              </w:rPr>
              <w:t>|||</w:t>
            </w:r>
            <w:r w:rsidRPr="00BA039D">
              <w:rPr>
                <w:color w:val="000000"/>
                <w:spacing w:val="3"/>
                <w:shd w:val="solid" w:color="000000" w:fill="000000"/>
                <w:fitText w:val="383" w:id="-1233442035"/>
                <w14:textFill>
                  <w14:solidFill>
                    <w14:srgbClr w14:val="000000">
                      <w14:alpha w14:val="100000"/>
                    </w14:srgbClr>
                  </w14:solidFill>
                </w14:textFill>
              </w:rPr>
              <w:t>|</w:t>
            </w:r>
            <w:r w:rsidR="000D0219" w:rsidRPr="000D0219">
              <w:rPr>
                <w:vertAlign w:val="superscript"/>
              </w:rPr>
              <w:t>1</w:t>
            </w:r>
          </w:p>
        </w:tc>
        <w:tc>
          <w:tcPr>
            <w:tcW w:w="611" w:type="pct"/>
          </w:tcPr>
          <w:p w14:paraId="2DCAC4EC" w14:textId="4E59200D"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4"/>
                <w14:textFill>
                  <w14:solidFill>
                    <w14:srgbClr w14:val="000000">
                      <w14:alpha w14:val="100000"/>
                    </w14:srgbClr>
                  </w14:solidFill>
                </w14:textFill>
              </w:rPr>
              <w:t>|||</w:t>
            </w:r>
            <w:r w:rsidRPr="00BA039D">
              <w:rPr>
                <w:color w:val="000000"/>
                <w:spacing w:val="3"/>
                <w:shd w:val="solid" w:color="000000" w:fill="000000"/>
                <w:fitText w:val="383" w:id="-1233442034"/>
                <w14:textFill>
                  <w14:solidFill>
                    <w14:srgbClr w14:val="000000">
                      <w14:alpha w14:val="100000"/>
                    </w14:srgbClr>
                  </w14:solidFill>
                </w14:textFill>
              </w:rPr>
              <w:t>|</w:t>
            </w:r>
            <w:r w:rsidR="000D0219" w:rsidRPr="000D0219">
              <w:rPr>
                <w:vertAlign w:val="superscript"/>
              </w:rPr>
              <w:t>1</w:t>
            </w:r>
          </w:p>
        </w:tc>
      </w:tr>
      <w:tr w:rsidR="008013BD" w:rsidRPr="00AD7238" w14:paraId="376CF067" w14:textId="77777777" w:rsidTr="00446413">
        <w:tc>
          <w:tcPr>
            <w:tcW w:w="1334" w:type="pct"/>
            <w:shd w:val="clear" w:color="auto" w:fill="auto"/>
            <w:vAlign w:val="center"/>
          </w:tcPr>
          <w:p w14:paraId="03ADBB20" w14:textId="1B4F9C0B" w:rsidR="008013BD" w:rsidRPr="00AD7238" w:rsidRDefault="008013BD" w:rsidP="00B47BB8">
            <w:pPr>
              <w:pStyle w:val="TableText0"/>
              <w:rPr>
                <w:bCs w:val="0"/>
              </w:rPr>
            </w:pPr>
            <w:r w:rsidRPr="00AD7238">
              <w:t>All 70-79 YOA, Neither</w:t>
            </w:r>
          </w:p>
        </w:tc>
        <w:tc>
          <w:tcPr>
            <w:tcW w:w="611" w:type="pct"/>
          </w:tcPr>
          <w:p w14:paraId="3AF071EC" w14:textId="42B6641F" w:rsidR="008013BD" w:rsidRPr="00C42A2C" w:rsidRDefault="00BA039D" w:rsidP="007A73AA">
            <w:pPr>
              <w:pStyle w:val="TableText0"/>
              <w:jc w:val="center"/>
              <w:rPr>
                <w:bCs w:val="0"/>
                <w:highlight w:val="darkGray"/>
              </w:rPr>
            </w:pPr>
            <w:r w:rsidRPr="00BA039D">
              <w:rPr>
                <w:color w:val="000000"/>
                <w:spacing w:val="70"/>
                <w:shd w:val="solid" w:color="000000" w:fill="000000"/>
                <w:fitText w:val="382" w:id="-1233442033"/>
                <w14:textFill>
                  <w14:solidFill>
                    <w14:srgbClr w14:val="000000">
                      <w14:alpha w14:val="100000"/>
                    </w14:srgbClr>
                  </w14:solidFill>
                </w14:textFill>
              </w:rPr>
              <w:t>|||</w:t>
            </w:r>
            <w:r w:rsidRPr="00BA039D">
              <w:rPr>
                <w:color w:val="000000"/>
                <w:spacing w:val="2"/>
                <w:shd w:val="solid" w:color="000000" w:fill="000000"/>
                <w:fitText w:val="382" w:id="-1233442033"/>
                <w14:textFill>
                  <w14:solidFill>
                    <w14:srgbClr w14:val="000000">
                      <w14:alpha w14:val="100000"/>
                    </w14:srgbClr>
                  </w14:solidFill>
                </w14:textFill>
              </w:rPr>
              <w:t>|</w:t>
            </w:r>
            <w:r w:rsidR="000D0219">
              <w:rPr>
                <w:vertAlign w:val="superscript"/>
              </w:rPr>
              <w:t>4</w:t>
            </w:r>
          </w:p>
        </w:tc>
        <w:tc>
          <w:tcPr>
            <w:tcW w:w="611" w:type="pct"/>
          </w:tcPr>
          <w:p w14:paraId="354F4686" w14:textId="7532DC74"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32"/>
                <w14:textFill>
                  <w14:solidFill>
                    <w14:srgbClr w14:val="000000">
                      <w14:alpha w14:val="100000"/>
                    </w14:srgbClr>
                  </w14:solidFill>
                </w14:textFill>
              </w:rPr>
              <w:t>|||</w:t>
            </w:r>
            <w:r w:rsidRPr="00BA039D">
              <w:rPr>
                <w:color w:val="000000"/>
                <w:spacing w:val="3"/>
                <w:shd w:val="solid" w:color="000000" w:fill="000000"/>
                <w:fitText w:val="383" w:id="-1233442032"/>
                <w14:textFill>
                  <w14:solidFill>
                    <w14:srgbClr w14:val="000000">
                      <w14:alpha w14:val="100000"/>
                    </w14:srgbClr>
                  </w14:solidFill>
                </w14:textFill>
              </w:rPr>
              <w:t>|</w:t>
            </w:r>
            <w:r w:rsidR="000D0219">
              <w:rPr>
                <w:vertAlign w:val="superscript"/>
              </w:rPr>
              <w:t>3</w:t>
            </w:r>
          </w:p>
        </w:tc>
        <w:tc>
          <w:tcPr>
            <w:tcW w:w="611" w:type="pct"/>
          </w:tcPr>
          <w:p w14:paraId="3D5149B6" w14:textId="1501D493" w:rsidR="008013BD" w:rsidRPr="00C42A2C" w:rsidRDefault="00BA039D" w:rsidP="007A73AA">
            <w:pPr>
              <w:pStyle w:val="TableText0"/>
              <w:jc w:val="center"/>
              <w:rPr>
                <w:bCs w:val="0"/>
                <w:highlight w:val="darkGray"/>
              </w:rPr>
            </w:pPr>
            <w:r w:rsidRPr="00BA039D">
              <w:rPr>
                <w:color w:val="000000"/>
                <w:spacing w:val="81"/>
                <w:shd w:val="solid" w:color="000000" w:fill="000000"/>
                <w:fitText w:val="416" w:id="-1233442048"/>
                <w14:textFill>
                  <w14:solidFill>
                    <w14:srgbClr w14:val="000000">
                      <w14:alpha w14:val="100000"/>
                    </w14:srgbClr>
                  </w14:solidFill>
                </w14:textFill>
              </w:rPr>
              <w:t>|||</w:t>
            </w:r>
            <w:r w:rsidRPr="00BA039D">
              <w:rPr>
                <w:color w:val="000000"/>
                <w:spacing w:val="3"/>
                <w:shd w:val="solid" w:color="000000" w:fill="000000"/>
                <w:fitText w:val="416" w:id="-1233442048"/>
                <w14:textFill>
                  <w14:solidFill>
                    <w14:srgbClr w14:val="000000">
                      <w14:alpha w14:val="100000"/>
                    </w14:srgbClr>
                  </w14:solidFill>
                </w14:textFill>
              </w:rPr>
              <w:t>|</w:t>
            </w:r>
            <w:r w:rsidR="008D62AB">
              <w:rPr>
                <w:vertAlign w:val="superscript"/>
              </w:rPr>
              <w:t>21</w:t>
            </w:r>
          </w:p>
        </w:tc>
        <w:tc>
          <w:tcPr>
            <w:tcW w:w="611" w:type="pct"/>
          </w:tcPr>
          <w:p w14:paraId="7285AC72" w14:textId="4726A0E8" w:rsidR="008013BD" w:rsidRPr="00C42A2C" w:rsidRDefault="00BA039D" w:rsidP="007A73AA">
            <w:pPr>
              <w:pStyle w:val="TableText0"/>
              <w:jc w:val="center"/>
              <w:rPr>
                <w:bCs w:val="0"/>
                <w:highlight w:val="darkGray"/>
              </w:rPr>
            </w:pPr>
            <w:r w:rsidRPr="00BA039D">
              <w:rPr>
                <w:color w:val="000000"/>
                <w:spacing w:val="81"/>
                <w:shd w:val="solid" w:color="000000" w:fill="000000"/>
                <w:fitText w:val="416" w:id="-1233442047"/>
                <w14:textFill>
                  <w14:solidFill>
                    <w14:srgbClr w14:val="000000">
                      <w14:alpha w14:val="100000"/>
                    </w14:srgbClr>
                  </w14:solidFill>
                </w14:textFill>
              </w:rPr>
              <w:t>|||</w:t>
            </w:r>
            <w:r w:rsidRPr="00BA039D">
              <w:rPr>
                <w:color w:val="000000"/>
                <w:spacing w:val="3"/>
                <w:shd w:val="solid" w:color="000000" w:fill="000000"/>
                <w:fitText w:val="416" w:id="-1233442047"/>
                <w14:textFill>
                  <w14:solidFill>
                    <w14:srgbClr w14:val="000000">
                      <w14:alpha w14:val="100000"/>
                    </w14:srgbClr>
                  </w14:solidFill>
                </w14:textFill>
              </w:rPr>
              <w:t>|</w:t>
            </w:r>
            <w:r w:rsidR="00FE1DC9">
              <w:rPr>
                <w:vertAlign w:val="superscript"/>
              </w:rPr>
              <w:t>24</w:t>
            </w:r>
          </w:p>
        </w:tc>
        <w:tc>
          <w:tcPr>
            <w:tcW w:w="611" w:type="pct"/>
          </w:tcPr>
          <w:p w14:paraId="0D358FBF" w14:textId="55B7CFA4" w:rsidR="008013BD" w:rsidRPr="00C42A2C" w:rsidRDefault="00BA039D" w:rsidP="007A73AA">
            <w:pPr>
              <w:pStyle w:val="TableText0"/>
              <w:jc w:val="center"/>
              <w:rPr>
                <w:bCs w:val="0"/>
                <w:highlight w:val="darkGray"/>
              </w:rPr>
            </w:pPr>
            <w:r w:rsidRPr="00BA039D">
              <w:rPr>
                <w:color w:val="000000"/>
                <w:spacing w:val="82"/>
                <w:shd w:val="solid" w:color="000000" w:fill="000000"/>
                <w:fitText w:val="417" w:id="-1233442046"/>
                <w14:textFill>
                  <w14:solidFill>
                    <w14:srgbClr w14:val="000000">
                      <w14:alpha w14:val="100000"/>
                    </w14:srgbClr>
                  </w14:solidFill>
                </w14:textFill>
              </w:rPr>
              <w:t>|||</w:t>
            </w:r>
            <w:r w:rsidRPr="00BA039D">
              <w:rPr>
                <w:color w:val="000000"/>
                <w:spacing w:val="1"/>
                <w:shd w:val="solid" w:color="000000" w:fill="000000"/>
                <w:fitText w:val="417" w:id="-1233442046"/>
                <w14:textFill>
                  <w14:solidFill>
                    <w14:srgbClr w14:val="000000">
                      <w14:alpha w14:val="100000"/>
                    </w14:srgbClr>
                  </w14:solidFill>
                </w14:textFill>
              </w:rPr>
              <w:t>|</w:t>
            </w:r>
            <w:r w:rsidR="00FE1DC9">
              <w:rPr>
                <w:vertAlign w:val="superscript"/>
              </w:rPr>
              <w:t>24</w:t>
            </w:r>
          </w:p>
        </w:tc>
        <w:tc>
          <w:tcPr>
            <w:tcW w:w="611" w:type="pct"/>
          </w:tcPr>
          <w:p w14:paraId="5AD84F74" w14:textId="486A0EE9" w:rsidR="008013BD" w:rsidRPr="00C42A2C" w:rsidRDefault="00BA039D" w:rsidP="007A73AA">
            <w:pPr>
              <w:pStyle w:val="TableText0"/>
              <w:jc w:val="center"/>
              <w:rPr>
                <w:bCs w:val="0"/>
                <w:highlight w:val="darkGray"/>
              </w:rPr>
            </w:pPr>
            <w:r w:rsidRPr="00BA039D">
              <w:rPr>
                <w:color w:val="000000"/>
                <w:spacing w:val="81"/>
                <w:shd w:val="solid" w:color="000000" w:fill="000000"/>
                <w:fitText w:val="416" w:id="-1233442045"/>
                <w14:textFill>
                  <w14:solidFill>
                    <w14:srgbClr w14:val="000000">
                      <w14:alpha w14:val="100000"/>
                    </w14:srgbClr>
                  </w14:solidFill>
                </w14:textFill>
              </w:rPr>
              <w:t>|||</w:t>
            </w:r>
            <w:r w:rsidRPr="00BA039D">
              <w:rPr>
                <w:color w:val="000000"/>
                <w:spacing w:val="3"/>
                <w:shd w:val="solid" w:color="000000" w:fill="000000"/>
                <w:fitText w:val="416" w:id="-1233442045"/>
                <w14:textFill>
                  <w14:solidFill>
                    <w14:srgbClr w14:val="000000">
                      <w14:alpha w14:val="100000"/>
                    </w14:srgbClr>
                  </w14:solidFill>
                </w14:textFill>
              </w:rPr>
              <w:t>|</w:t>
            </w:r>
            <w:r w:rsidR="00FE1DC9">
              <w:rPr>
                <w:vertAlign w:val="superscript"/>
              </w:rPr>
              <w:t>24</w:t>
            </w:r>
          </w:p>
        </w:tc>
      </w:tr>
      <w:tr w:rsidR="008013BD" w:rsidRPr="00AD7238" w14:paraId="7641F5F1" w14:textId="77777777" w:rsidTr="00446413">
        <w:tc>
          <w:tcPr>
            <w:tcW w:w="1334" w:type="pct"/>
            <w:shd w:val="clear" w:color="auto" w:fill="auto"/>
            <w:vAlign w:val="center"/>
          </w:tcPr>
          <w:p w14:paraId="1F78C1A4" w14:textId="43485026" w:rsidR="008013BD" w:rsidRPr="00AD7238" w:rsidRDefault="008013BD" w:rsidP="00B47BB8">
            <w:pPr>
              <w:pStyle w:val="TableText0"/>
              <w:rPr>
                <w:bCs w:val="0"/>
              </w:rPr>
            </w:pPr>
            <w:r w:rsidRPr="00AD7238">
              <w:t>All ≥80</w:t>
            </w:r>
            <w:r w:rsidR="009F2288" w:rsidRPr="00AD7238">
              <w:t xml:space="preserve"> YOA</w:t>
            </w:r>
          </w:p>
        </w:tc>
        <w:tc>
          <w:tcPr>
            <w:tcW w:w="611" w:type="pct"/>
          </w:tcPr>
          <w:p w14:paraId="76A97BCE" w14:textId="0F9A521E" w:rsidR="008013BD" w:rsidRPr="00C42A2C" w:rsidRDefault="00BA039D" w:rsidP="007A73AA">
            <w:pPr>
              <w:pStyle w:val="TableText0"/>
              <w:jc w:val="center"/>
              <w:rPr>
                <w:bCs w:val="0"/>
                <w:highlight w:val="darkGray"/>
              </w:rPr>
            </w:pPr>
            <w:r w:rsidRPr="00BA039D">
              <w:rPr>
                <w:color w:val="000000"/>
                <w:spacing w:val="70"/>
                <w:shd w:val="solid" w:color="000000" w:fill="000000"/>
                <w:fitText w:val="382" w:id="-1233442044"/>
                <w14:textFill>
                  <w14:solidFill>
                    <w14:srgbClr w14:val="000000">
                      <w14:alpha w14:val="100000"/>
                    </w14:srgbClr>
                  </w14:solidFill>
                </w14:textFill>
              </w:rPr>
              <w:t>|||</w:t>
            </w:r>
            <w:r w:rsidRPr="00BA039D">
              <w:rPr>
                <w:color w:val="000000"/>
                <w:spacing w:val="2"/>
                <w:shd w:val="solid" w:color="000000" w:fill="000000"/>
                <w:fitText w:val="382" w:id="-1233442044"/>
                <w14:textFill>
                  <w14:solidFill>
                    <w14:srgbClr w14:val="000000">
                      <w14:alpha w14:val="100000"/>
                    </w14:srgbClr>
                  </w14:solidFill>
                </w14:textFill>
              </w:rPr>
              <w:t>|</w:t>
            </w:r>
            <w:r w:rsidR="000D0219">
              <w:rPr>
                <w:vertAlign w:val="superscript"/>
              </w:rPr>
              <w:t>4</w:t>
            </w:r>
          </w:p>
        </w:tc>
        <w:tc>
          <w:tcPr>
            <w:tcW w:w="611" w:type="pct"/>
          </w:tcPr>
          <w:p w14:paraId="5EFF75C3" w14:textId="3918365D"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3"/>
                <w14:textFill>
                  <w14:solidFill>
                    <w14:srgbClr w14:val="000000">
                      <w14:alpha w14:val="100000"/>
                    </w14:srgbClr>
                  </w14:solidFill>
                </w14:textFill>
              </w:rPr>
              <w:t>|||</w:t>
            </w:r>
            <w:r w:rsidRPr="00BA039D">
              <w:rPr>
                <w:color w:val="000000"/>
                <w:spacing w:val="3"/>
                <w:shd w:val="solid" w:color="000000" w:fill="000000"/>
                <w:fitText w:val="383" w:id="-1233442043"/>
                <w14:textFill>
                  <w14:solidFill>
                    <w14:srgbClr w14:val="000000">
                      <w14:alpha w14:val="100000"/>
                    </w14:srgbClr>
                  </w14:solidFill>
                </w14:textFill>
              </w:rPr>
              <w:t>|</w:t>
            </w:r>
            <w:r w:rsidR="000D0219">
              <w:rPr>
                <w:vertAlign w:val="superscript"/>
              </w:rPr>
              <w:t>3</w:t>
            </w:r>
          </w:p>
        </w:tc>
        <w:tc>
          <w:tcPr>
            <w:tcW w:w="611" w:type="pct"/>
          </w:tcPr>
          <w:p w14:paraId="09559149" w14:textId="47F99C9A" w:rsidR="008013BD" w:rsidRPr="00C42A2C" w:rsidRDefault="00BA039D" w:rsidP="007A73AA">
            <w:pPr>
              <w:pStyle w:val="TableText0"/>
              <w:jc w:val="center"/>
              <w:rPr>
                <w:bCs w:val="0"/>
                <w:highlight w:val="darkGray"/>
              </w:rPr>
            </w:pPr>
            <w:r w:rsidRPr="00BA039D">
              <w:rPr>
                <w:color w:val="000000"/>
                <w:spacing w:val="70"/>
                <w:shd w:val="solid" w:color="000000" w:fill="000000"/>
                <w:fitText w:val="383" w:id="-1233442042"/>
                <w14:textFill>
                  <w14:solidFill>
                    <w14:srgbClr w14:val="000000">
                      <w14:alpha w14:val="100000"/>
                    </w14:srgbClr>
                  </w14:solidFill>
                </w14:textFill>
              </w:rPr>
              <w:t>|||</w:t>
            </w:r>
            <w:r w:rsidRPr="00BA039D">
              <w:rPr>
                <w:color w:val="000000"/>
                <w:spacing w:val="3"/>
                <w:shd w:val="solid" w:color="000000" w:fill="000000"/>
                <w:fitText w:val="383" w:id="-1233442042"/>
                <w14:textFill>
                  <w14:solidFill>
                    <w14:srgbClr w14:val="000000">
                      <w14:alpha w14:val="100000"/>
                    </w14:srgbClr>
                  </w14:solidFill>
                </w14:textFill>
              </w:rPr>
              <w:t>|</w:t>
            </w:r>
            <w:r w:rsidR="000D0219">
              <w:rPr>
                <w:vertAlign w:val="superscript"/>
              </w:rPr>
              <w:t>3</w:t>
            </w:r>
          </w:p>
        </w:tc>
        <w:tc>
          <w:tcPr>
            <w:tcW w:w="611" w:type="pct"/>
          </w:tcPr>
          <w:p w14:paraId="32B35006" w14:textId="402A6523" w:rsidR="008013BD" w:rsidRPr="00C42A2C" w:rsidRDefault="00BA039D" w:rsidP="007A73AA">
            <w:pPr>
              <w:pStyle w:val="TableText0"/>
              <w:jc w:val="center"/>
              <w:rPr>
                <w:bCs w:val="0"/>
                <w:highlight w:val="darkGray"/>
              </w:rPr>
            </w:pPr>
            <w:r w:rsidRPr="00BA039D">
              <w:rPr>
                <w:color w:val="000000"/>
                <w:spacing w:val="81"/>
                <w:shd w:val="solid" w:color="000000" w:fill="000000"/>
                <w:fitText w:val="416" w:id="-1233442041"/>
                <w14:textFill>
                  <w14:solidFill>
                    <w14:srgbClr w14:val="000000">
                      <w14:alpha w14:val="100000"/>
                    </w14:srgbClr>
                  </w14:solidFill>
                </w14:textFill>
              </w:rPr>
              <w:t>|||</w:t>
            </w:r>
            <w:r w:rsidRPr="00BA039D">
              <w:rPr>
                <w:color w:val="000000"/>
                <w:spacing w:val="3"/>
                <w:shd w:val="solid" w:color="000000" w:fill="000000"/>
                <w:fitText w:val="416" w:id="-1233442041"/>
                <w14:textFill>
                  <w14:solidFill>
                    <w14:srgbClr w14:val="000000">
                      <w14:alpha w14:val="100000"/>
                    </w14:srgbClr>
                  </w14:solidFill>
                </w14:textFill>
              </w:rPr>
              <w:t>|</w:t>
            </w:r>
            <w:r w:rsidR="00FE1DC9">
              <w:rPr>
                <w:vertAlign w:val="superscript"/>
              </w:rPr>
              <w:t>25</w:t>
            </w:r>
          </w:p>
        </w:tc>
        <w:tc>
          <w:tcPr>
            <w:tcW w:w="611" w:type="pct"/>
          </w:tcPr>
          <w:p w14:paraId="2411B9FE" w14:textId="19447B4F" w:rsidR="008013BD" w:rsidRPr="00C42A2C" w:rsidRDefault="00BA039D" w:rsidP="007A73AA">
            <w:pPr>
              <w:pStyle w:val="TableText0"/>
              <w:jc w:val="center"/>
              <w:rPr>
                <w:bCs w:val="0"/>
                <w:highlight w:val="darkGray"/>
              </w:rPr>
            </w:pPr>
            <w:r w:rsidRPr="00BA039D">
              <w:rPr>
                <w:color w:val="000000"/>
                <w:spacing w:val="82"/>
                <w:shd w:val="solid" w:color="000000" w:fill="000000"/>
                <w:fitText w:val="417" w:id="-1233442040"/>
                <w14:textFill>
                  <w14:solidFill>
                    <w14:srgbClr w14:val="000000">
                      <w14:alpha w14:val="100000"/>
                    </w14:srgbClr>
                  </w14:solidFill>
                </w14:textFill>
              </w:rPr>
              <w:t>|||</w:t>
            </w:r>
            <w:r w:rsidRPr="00BA039D">
              <w:rPr>
                <w:color w:val="000000"/>
                <w:spacing w:val="1"/>
                <w:shd w:val="solid" w:color="000000" w:fill="000000"/>
                <w:fitText w:val="417" w:id="-1233442040"/>
                <w14:textFill>
                  <w14:solidFill>
                    <w14:srgbClr w14:val="000000">
                      <w14:alpha w14:val="100000"/>
                    </w14:srgbClr>
                  </w14:solidFill>
                </w14:textFill>
              </w:rPr>
              <w:t>|</w:t>
            </w:r>
            <w:r w:rsidR="00FE1DC9">
              <w:rPr>
                <w:vertAlign w:val="superscript"/>
              </w:rPr>
              <w:t>25</w:t>
            </w:r>
          </w:p>
        </w:tc>
        <w:tc>
          <w:tcPr>
            <w:tcW w:w="611" w:type="pct"/>
          </w:tcPr>
          <w:p w14:paraId="57190782" w14:textId="1640D34D" w:rsidR="008013BD" w:rsidRPr="00C42A2C" w:rsidRDefault="00BA039D" w:rsidP="007A73AA">
            <w:pPr>
              <w:pStyle w:val="TableText0"/>
              <w:jc w:val="center"/>
              <w:rPr>
                <w:bCs w:val="0"/>
                <w:highlight w:val="darkGray"/>
              </w:rPr>
            </w:pPr>
            <w:r w:rsidRPr="00BA039D">
              <w:rPr>
                <w:color w:val="000000"/>
                <w:spacing w:val="81"/>
                <w:shd w:val="solid" w:color="000000" w:fill="000000"/>
                <w:fitText w:val="416" w:id="-1233442039"/>
                <w14:textFill>
                  <w14:solidFill>
                    <w14:srgbClr w14:val="000000">
                      <w14:alpha w14:val="100000"/>
                    </w14:srgbClr>
                  </w14:solidFill>
                </w14:textFill>
              </w:rPr>
              <w:t>|||</w:t>
            </w:r>
            <w:r w:rsidRPr="00BA039D">
              <w:rPr>
                <w:color w:val="000000"/>
                <w:spacing w:val="3"/>
                <w:shd w:val="solid" w:color="000000" w:fill="000000"/>
                <w:fitText w:val="416" w:id="-1233442039"/>
                <w14:textFill>
                  <w14:solidFill>
                    <w14:srgbClr w14:val="000000">
                      <w14:alpha w14:val="100000"/>
                    </w14:srgbClr>
                  </w14:solidFill>
                </w14:textFill>
              </w:rPr>
              <w:t>|</w:t>
            </w:r>
            <w:r w:rsidR="00FE1DC9">
              <w:rPr>
                <w:vertAlign w:val="superscript"/>
              </w:rPr>
              <w:t>25</w:t>
            </w:r>
          </w:p>
        </w:tc>
      </w:tr>
      <w:tr w:rsidR="008013BD" w:rsidRPr="00AD7238" w14:paraId="39BAB6A5" w14:textId="77777777" w:rsidTr="006F0103">
        <w:tc>
          <w:tcPr>
            <w:tcW w:w="5000" w:type="pct"/>
            <w:gridSpan w:val="7"/>
            <w:shd w:val="clear" w:color="auto" w:fill="FFFFFF" w:themeFill="background1"/>
            <w:vAlign w:val="center"/>
          </w:tcPr>
          <w:p w14:paraId="32AD3443" w14:textId="773FEEE2" w:rsidR="008013BD" w:rsidRPr="00AD7238" w:rsidRDefault="008013BD" w:rsidP="0044579A">
            <w:pPr>
              <w:pStyle w:val="In-tableHeading"/>
              <w:rPr>
                <w:lang w:val="en-AU"/>
              </w:rPr>
            </w:pPr>
            <w:r w:rsidRPr="00AD7238">
              <w:rPr>
                <w:lang w:val="en-AU"/>
              </w:rPr>
              <w:t>Number of doses dispensed</w:t>
            </w:r>
          </w:p>
        </w:tc>
      </w:tr>
      <w:tr w:rsidR="00A71865" w:rsidRPr="00AD7238" w14:paraId="353DA92E" w14:textId="77777777" w:rsidTr="000F48F3">
        <w:trPr>
          <w:trHeight w:val="124"/>
        </w:trPr>
        <w:tc>
          <w:tcPr>
            <w:tcW w:w="1334" w:type="pct"/>
            <w:shd w:val="clear" w:color="auto" w:fill="auto"/>
            <w:vAlign w:val="center"/>
          </w:tcPr>
          <w:p w14:paraId="4AFDBCA5" w14:textId="246A7117" w:rsidR="00A71865" w:rsidRPr="00AD7238" w:rsidRDefault="00F652B3" w:rsidP="00B47BB8">
            <w:pPr>
              <w:pStyle w:val="TableText0"/>
              <w:rPr>
                <w:bCs w:val="0"/>
              </w:rPr>
            </w:pPr>
            <w:r w:rsidRPr="00AD7238">
              <w:t>Aboriginal and Torres Strait Islander</w:t>
            </w:r>
            <w:r w:rsidR="00A71865" w:rsidRPr="00AD7238">
              <w:t xml:space="preserve"> 50-69 YOA</w:t>
            </w:r>
          </w:p>
        </w:tc>
        <w:tc>
          <w:tcPr>
            <w:tcW w:w="611" w:type="pct"/>
          </w:tcPr>
          <w:p w14:paraId="033AE494" w14:textId="5CB4503C"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38"/>
                <w14:textFill>
                  <w14:solidFill>
                    <w14:srgbClr w14:val="000000">
                      <w14:alpha w14:val="100000"/>
                    </w14:srgbClr>
                  </w14:solidFill>
                </w14:textFill>
              </w:rPr>
              <w:t>|||</w:t>
            </w:r>
            <w:r w:rsidRPr="00BA039D">
              <w:rPr>
                <w:color w:val="000000"/>
                <w:spacing w:val="2"/>
                <w:shd w:val="solid" w:color="000000" w:fill="000000"/>
                <w:fitText w:val="382" w:id="-1233442038"/>
                <w14:textFill>
                  <w14:solidFill>
                    <w14:srgbClr w14:val="000000">
                      <w14:alpha w14:val="100000"/>
                    </w14:srgbClr>
                  </w14:solidFill>
                </w14:textFill>
              </w:rPr>
              <w:t>|</w:t>
            </w:r>
            <w:r w:rsidR="000D0219">
              <w:rPr>
                <w:vertAlign w:val="superscript"/>
              </w:rPr>
              <w:t>5</w:t>
            </w:r>
          </w:p>
        </w:tc>
        <w:tc>
          <w:tcPr>
            <w:tcW w:w="611" w:type="pct"/>
          </w:tcPr>
          <w:p w14:paraId="055FC50E" w14:textId="0D561AE9"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7"/>
                <w14:textFill>
                  <w14:solidFill>
                    <w14:srgbClr w14:val="000000">
                      <w14:alpha w14:val="100000"/>
                    </w14:srgbClr>
                  </w14:solidFill>
                </w14:textFill>
              </w:rPr>
              <w:t>|||</w:t>
            </w:r>
            <w:r w:rsidRPr="00BA039D">
              <w:rPr>
                <w:color w:val="000000"/>
                <w:spacing w:val="3"/>
                <w:shd w:val="solid" w:color="000000" w:fill="000000"/>
                <w:fitText w:val="383" w:id="-1233442037"/>
                <w14:textFill>
                  <w14:solidFill>
                    <w14:srgbClr w14:val="000000">
                      <w14:alpha w14:val="100000"/>
                    </w14:srgbClr>
                  </w14:solidFill>
                </w14:textFill>
              </w:rPr>
              <w:t>|</w:t>
            </w:r>
            <w:r w:rsidR="000D0219" w:rsidRPr="000D0219">
              <w:rPr>
                <w:vertAlign w:val="superscript"/>
              </w:rPr>
              <w:t>1</w:t>
            </w:r>
          </w:p>
        </w:tc>
        <w:tc>
          <w:tcPr>
            <w:tcW w:w="611" w:type="pct"/>
          </w:tcPr>
          <w:p w14:paraId="461761E9" w14:textId="20FDA0CD"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6"/>
                <w14:textFill>
                  <w14:solidFill>
                    <w14:srgbClr w14:val="000000">
                      <w14:alpha w14:val="100000"/>
                    </w14:srgbClr>
                  </w14:solidFill>
                </w14:textFill>
              </w:rPr>
              <w:t>|||</w:t>
            </w:r>
            <w:r w:rsidRPr="00BA039D">
              <w:rPr>
                <w:color w:val="000000"/>
                <w:spacing w:val="3"/>
                <w:shd w:val="solid" w:color="000000" w:fill="000000"/>
                <w:fitText w:val="416" w:id="-1233442036"/>
                <w14:textFill>
                  <w14:solidFill>
                    <w14:srgbClr w14:val="000000">
                      <w14:alpha w14:val="100000"/>
                    </w14:srgbClr>
                  </w14:solidFill>
                </w14:textFill>
              </w:rPr>
              <w:t>|</w:t>
            </w:r>
            <w:r w:rsidR="00CD2C1A">
              <w:rPr>
                <w:vertAlign w:val="superscript"/>
              </w:rPr>
              <w:t>15</w:t>
            </w:r>
          </w:p>
        </w:tc>
        <w:tc>
          <w:tcPr>
            <w:tcW w:w="611" w:type="pct"/>
          </w:tcPr>
          <w:p w14:paraId="0A13FE7B" w14:textId="297F9A3C"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5"/>
                <w14:textFill>
                  <w14:solidFill>
                    <w14:srgbClr w14:val="000000">
                      <w14:alpha w14:val="100000"/>
                    </w14:srgbClr>
                  </w14:solidFill>
                </w14:textFill>
              </w:rPr>
              <w:t>|||</w:t>
            </w:r>
            <w:r w:rsidRPr="00BA039D">
              <w:rPr>
                <w:color w:val="000000"/>
                <w:spacing w:val="3"/>
                <w:shd w:val="solid" w:color="000000" w:fill="000000"/>
                <w:fitText w:val="416" w:id="-1233442035"/>
                <w14:textFill>
                  <w14:solidFill>
                    <w14:srgbClr w14:val="000000">
                      <w14:alpha w14:val="100000"/>
                    </w14:srgbClr>
                  </w14:solidFill>
                </w14:textFill>
              </w:rPr>
              <w:t>|</w:t>
            </w:r>
            <w:r w:rsidR="00CD2C1A">
              <w:rPr>
                <w:vertAlign w:val="superscript"/>
              </w:rPr>
              <w:t>20</w:t>
            </w:r>
          </w:p>
        </w:tc>
        <w:tc>
          <w:tcPr>
            <w:tcW w:w="611" w:type="pct"/>
          </w:tcPr>
          <w:p w14:paraId="3C166CE1" w14:textId="0F5F9534" w:rsidR="00A71865" w:rsidRPr="00C42A2C" w:rsidRDefault="00BA039D" w:rsidP="007A73AA">
            <w:pPr>
              <w:pStyle w:val="TableText0"/>
              <w:jc w:val="center"/>
              <w:rPr>
                <w:bCs w:val="0"/>
                <w:highlight w:val="darkGray"/>
              </w:rPr>
            </w:pPr>
            <w:r w:rsidRPr="00BA039D">
              <w:rPr>
                <w:color w:val="000000"/>
                <w:spacing w:val="82"/>
                <w:shd w:val="solid" w:color="000000" w:fill="000000"/>
                <w:fitText w:val="417" w:id="-1233442034"/>
                <w14:textFill>
                  <w14:solidFill>
                    <w14:srgbClr w14:val="000000">
                      <w14:alpha w14:val="100000"/>
                    </w14:srgbClr>
                  </w14:solidFill>
                </w14:textFill>
              </w:rPr>
              <w:t>|||</w:t>
            </w:r>
            <w:r w:rsidRPr="00BA039D">
              <w:rPr>
                <w:color w:val="000000"/>
                <w:spacing w:val="1"/>
                <w:shd w:val="solid" w:color="000000" w:fill="000000"/>
                <w:fitText w:val="417" w:id="-1233442034"/>
                <w14:textFill>
                  <w14:solidFill>
                    <w14:srgbClr w14:val="000000">
                      <w14:alpha w14:val="100000"/>
                    </w14:srgbClr>
                  </w14:solidFill>
                </w14:textFill>
              </w:rPr>
              <w:t>|</w:t>
            </w:r>
            <w:r w:rsidR="00CD2C1A">
              <w:rPr>
                <w:vertAlign w:val="superscript"/>
              </w:rPr>
              <w:t>20</w:t>
            </w:r>
          </w:p>
        </w:tc>
        <w:tc>
          <w:tcPr>
            <w:tcW w:w="611" w:type="pct"/>
          </w:tcPr>
          <w:p w14:paraId="435BD66B" w14:textId="2A127003"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3"/>
                <w14:textFill>
                  <w14:solidFill>
                    <w14:srgbClr w14:val="000000">
                      <w14:alpha w14:val="100000"/>
                    </w14:srgbClr>
                  </w14:solidFill>
                </w14:textFill>
              </w:rPr>
              <w:t>|||</w:t>
            </w:r>
            <w:r w:rsidRPr="00BA039D">
              <w:rPr>
                <w:color w:val="000000"/>
                <w:spacing w:val="3"/>
                <w:shd w:val="solid" w:color="000000" w:fill="000000"/>
                <w:fitText w:val="416" w:id="-1233442033"/>
                <w14:textFill>
                  <w14:solidFill>
                    <w14:srgbClr w14:val="000000">
                      <w14:alpha w14:val="100000"/>
                    </w14:srgbClr>
                  </w14:solidFill>
                </w14:textFill>
              </w:rPr>
              <w:t>|</w:t>
            </w:r>
            <w:r w:rsidR="00CD2C1A">
              <w:rPr>
                <w:vertAlign w:val="superscript"/>
              </w:rPr>
              <w:t>20</w:t>
            </w:r>
          </w:p>
        </w:tc>
      </w:tr>
      <w:tr w:rsidR="00A71865" w:rsidRPr="00AD7238" w14:paraId="13ADD60B" w14:textId="77777777" w:rsidTr="006F0103">
        <w:tc>
          <w:tcPr>
            <w:tcW w:w="1334" w:type="pct"/>
            <w:shd w:val="clear" w:color="auto" w:fill="auto"/>
            <w:vAlign w:val="center"/>
          </w:tcPr>
          <w:p w14:paraId="1990092E" w14:textId="25809C82" w:rsidR="00A71865" w:rsidRPr="00AD7238" w:rsidRDefault="00A71865" w:rsidP="00B47BB8">
            <w:pPr>
              <w:pStyle w:val="TableText0"/>
              <w:rPr>
                <w:bCs w:val="0"/>
              </w:rPr>
            </w:pPr>
            <w:r w:rsidRPr="00AD7238">
              <w:t xml:space="preserve">Non-Indigenous 65-69 YOA </w:t>
            </w:r>
          </w:p>
        </w:tc>
        <w:tc>
          <w:tcPr>
            <w:tcW w:w="611" w:type="pct"/>
          </w:tcPr>
          <w:p w14:paraId="45BCD76B" w14:textId="4578FD4B"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32"/>
                <w14:textFill>
                  <w14:solidFill>
                    <w14:srgbClr w14:val="000000">
                      <w14:alpha w14:val="100000"/>
                    </w14:srgbClr>
                  </w14:solidFill>
                </w14:textFill>
              </w:rPr>
              <w:t>|||</w:t>
            </w:r>
            <w:r w:rsidRPr="00BA039D">
              <w:rPr>
                <w:color w:val="000000"/>
                <w:spacing w:val="2"/>
                <w:shd w:val="solid" w:color="000000" w:fill="000000"/>
                <w:fitText w:val="382" w:id="-1233442032"/>
                <w14:textFill>
                  <w14:solidFill>
                    <w14:srgbClr w14:val="000000">
                      <w14:alpha w14:val="100000"/>
                    </w14:srgbClr>
                  </w14:solidFill>
                </w14:textFill>
              </w:rPr>
              <w:t>|</w:t>
            </w:r>
            <w:r w:rsidR="000D0219" w:rsidRPr="000D0219">
              <w:rPr>
                <w:vertAlign w:val="superscript"/>
              </w:rPr>
              <w:t>6</w:t>
            </w:r>
          </w:p>
        </w:tc>
        <w:tc>
          <w:tcPr>
            <w:tcW w:w="611" w:type="pct"/>
          </w:tcPr>
          <w:p w14:paraId="78A0F610" w14:textId="32086058"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48"/>
                <w14:textFill>
                  <w14:solidFill>
                    <w14:srgbClr w14:val="000000">
                      <w14:alpha w14:val="100000"/>
                    </w14:srgbClr>
                  </w14:solidFill>
                </w14:textFill>
              </w:rPr>
              <w:t>|||</w:t>
            </w:r>
            <w:r w:rsidRPr="00BA039D">
              <w:rPr>
                <w:color w:val="000000"/>
                <w:spacing w:val="3"/>
                <w:shd w:val="solid" w:color="000000" w:fill="000000"/>
                <w:fitText w:val="416" w:id="-1233442048"/>
                <w14:textFill>
                  <w14:solidFill>
                    <w14:srgbClr w14:val="000000">
                      <w14:alpha w14:val="100000"/>
                    </w14:srgbClr>
                  </w14:solidFill>
                </w14:textFill>
              </w:rPr>
              <w:t>|</w:t>
            </w:r>
            <w:r w:rsidR="00CD2C1A">
              <w:rPr>
                <w:vertAlign w:val="superscript"/>
              </w:rPr>
              <w:t>16</w:t>
            </w:r>
          </w:p>
        </w:tc>
        <w:tc>
          <w:tcPr>
            <w:tcW w:w="611" w:type="pct"/>
          </w:tcPr>
          <w:p w14:paraId="520CCDFB" w14:textId="4D8E45C4"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7"/>
                <w14:textFill>
                  <w14:solidFill>
                    <w14:srgbClr w14:val="000000">
                      <w14:alpha w14:val="100000"/>
                    </w14:srgbClr>
                  </w14:solidFill>
                </w14:textFill>
              </w:rPr>
              <w:t>|||</w:t>
            </w:r>
            <w:r w:rsidRPr="00BA039D">
              <w:rPr>
                <w:color w:val="000000"/>
                <w:spacing w:val="3"/>
                <w:shd w:val="solid" w:color="000000" w:fill="000000"/>
                <w:fitText w:val="383" w:id="-1233442047"/>
                <w14:textFill>
                  <w14:solidFill>
                    <w14:srgbClr w14:val="000000">
                      <w14:alpha w14:val="100000"/>
                    </w14:srgbClr>
                  </w14:solidFill>
                </w14:textFill>
              </w:rPr>
              <w:t>|</w:t>
            </w:r>
            <w:r w:rsidR="000D0219">
              <w:rPr>
                <w:vertAlign w:val="superscript"/>
              </w:rPr>
              <w:t>2</w:t>
            </w:r>
          </w:p>
        </w:tc>
        <w:tc>
          <w:tcPr>
            <w:tcW w:w="611" w:type="pct"/>
          </w:tcPr>
          <w:p w14:paraId="5046EDED" w14:textId="580B431B"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6"/>
                <w14:textFill>
                  <w14:solidFill>
                    <w14:srgbClr w14:val="000000">
                      <w14:alpha w14:val="100000"/>
                    </w14:srgbClr>
                  </w14:solidFill>
                </w14:textFill>
              </w:rPr>
              <w:t>|||</w:t>
            </w:r>
            <w:r w:rsidRPr="00BA039D">
              <w:rPr>
                <w:color w:val="000000"/>
                <w:spacing w:val="3"/>
                <w:shd w:val="solid" w:color="000000" w:fill="000000"/>
                <w:fitText w:val="383" w:id="-1233442046"/>
                <w14:textFill>
                  <w14:solidFill>
                    <w14:srgbClr w14:val="000000">
                      <w14:alpha w14:val="100000"/>
                    </w14:srgbClr>
                  </w14:solidFill>
                </w14:textFill>
              </w:rPr>
              <w:t>|</w:t>
            </w:r>
            <w:r w:rsidR="000D0219">
              <w:rPr>
                <w:vertAlign w:val="superscript"/>
              </w:rPr>
              <w:t>3</w:t>
            </w:r>
          </w:p>
        </w:tc>
        <w:tc>
          <w:tcPr>
            <w:tcW w:w="611" w:type="pct"/>
          </w:tcPr>
          <w:p w14:paraId="4C226B79" w14:textId="009E9ED2"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5"/>
                <w14:textFill>
                  <w14:solidFill>
                    <w14:srgbClr w14:val="000000">
                      <w14:alpha w14:val="100000"/>
                    </w14:srgbClr>
                  </w14:solidFill>
                </w14:textFill>
              </w:rPr>
              <w:t>|||</w:t>
            </w:r>
            <w:r w:rsidRPr="00BA039D">
              <w:rPr>
                <w:color w:val="000000"/>
                <w:spacing w:val="3"/>
                <w:shd w:val="solid" w:color="000000" w:fill="000000"/>
                <w:fitText w:val="383" w:id="-1233442045"/>
                <w14:textFill>
                  <w14:solidFill>
                    <w14:srgbClr w14:val="000000">
                      <w14:alpha w14:val="100000"/>
                    </w14:srgbClr>
                  </w14:solidFill>
                </w14:textFill>
              </w:rPr>
              <w:t>|</w:t>
            </w:r>
            <w:r w:rsidR="000D0219">
              <w:rPr>
                <w:vertAlign w:val="superscript"/>
              </w:rPr>
              <w:t>3</w:t>
            </w:r>
          </w:p>
        </w:tc>
        <w:tc>
          <w:tcPr>
            <w:tcW w:w="611" w:type="pct"/>
          </w:tcPr>
          <w:p w14:paraId="5F81DAA5" w14:textId="1C0AC16F"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4"/>
                <w14:textFill>
                  <w14:solidFill>
                    <w14:srgbClr w14:val="000000">
                      <w14:alpha w14:val="100000"/>
                    </w14:srgbClr>
                  </w14:solidFill>
                </w14:textFill>
              </w:rPr>
              <w:t>|||</w:t>
            </w:r>
            <w:r w:rsidRPr="00BA039D">
              <w:rPr>
                <w:color w:val="000000"/>
                <w:spacing w:val="3"/>
                <w:shd w:val="solid" w:color="000000" w:fill="000000"/>
                <w:fitText w:val="383" w:id="-1233442044"/>
                <w14:textFill>
                  <w14:solidFill>
                    <w14:srgbClr w14:val="000000">
                      <w14:alpha w14:val="100000"/>
                    </w14:srgbClr>
                  </w14:solidFill>
                </w14:textFill>
              </w:rPr>
              <w:t>|</w:t>
            </w:r>
            <w:r w:rsidR="000D0219">
              <w:rPr>
                <w:vertAlign w:val="superscript"/>
              </w:rPr>
              <w:t>3</w:t>
            </w:r>
          </w:p>
        </w:tc>
      </w:tr>
      <w:tr w:rsidR="00A71865" w:rsidRPr="00AD7238" w14:paraId="0C3FFC35" w14:textId="77777777" w:rsidTr="006F0103">
        <w:tc>
          <w:tcPr>
            <w:tcW w:w="1334" w:type="pct"/>
            <w:shd w:val="clear" w:color="auto" w:fill="auto"/>
            <w:vAlign w:val="center"/>
          </w:tcPr>
          <w:p w14:paraId="2F09E1FE" w14:textId="0AE362BD" w:rsidR="00A71865" w:rsidRPr="00AD7238" w:rsidRDefault="00A71865" w:rsidP="00B47BB8">
            <w:pPr>
              <w:pStyle w:val="TableText0"/>
              <w:rPr>
                <w:bCs w:val="0"/>
              </w:rPr>
            </w:pPr>
            <w:r w:rsidRPr="00AD7238">
              <w:t>All 70-79 YOA, Prior ZVL</w:t>
            </w:r>
          </w:p>
        </w:tc>
        <w:tc>
          <w:tcPr>
            <w:tcW w:w="611" w:type="pct"/>
          </w:tcPr>
          <w:p w14:paraId="292F90DC" w14:textId="4612DFCF"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43"/>
                <w14:textFill>
                  <w14:solidFill>
                    <w14:srgbClr w14:val="000000">
                      <w14:alpha w14:val="100000"/>
                    </w14:srgbClr>
                  </w14:solidFill>
                </w14:textFill>
              </w:rPr>
              <w:t>|||</w:t>
            </w:r>
            <w:r w:rsidRPr="00BA039D">
              <w:rPr>
                <w:color w:val="000000"/>
                <w:spacing w:val="2"/>
                <w:shd w:val="solid" w:color="000000" w:fill="000000"/>
                <w:fitText w:val="382" w:id="-1233442043"/>
                <w14:textFill>
                  <w14:solidFill>
                    <w14:srgbClr w14:val="000000">
                      <w14:alpha w14:val="100000"/>
                    </w14:srgbClr>
                  </w14:solidFill>
                </w14:textFill>
              </w:rPr>
              <w:t>|</w:t>
            </w:r>
            <w:r w:rsidR="000D0219">
              <w:rPr>
                <w:vertAlign w:val="superscript"/>
              </w:rPr>
              <w:t>2</w:t>
            </w:r>
          </w:p>
        </w:tc>
        <w:tc>
          <w:tcPr>
            <w:tcW w:w="611" w:type="pct"/>
          </w:tcPr>
          <w:p w14:paraId="20D51B9E" w14:textId="4E07E1B7"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2"/>
                <w14:textFill>
                  <w14:solidFill>
                    <w14:srgbClr w14:val="000000">
                      <w14:alpha w14:val="100000"/>
                    </w14:srgbClr>
                  </w14:solidFill>
                </w14:textFill>
              </w:rPr>
              <w:t>|||</w:t>
            </w:r>
            <w:r w:rsidRPr="00BA039D">
              <w:rPr>
                <w:color w:val="000000"/>
                <w:spacing w:val="3"/>
                <w:shd w:val="solid" w:color="000000" w:fill="000000"/>
                <w:fitText w:val="383" w:id="-1233442042"/>
                <w14:textFill>
                  <w14:solidFill>
                    <w14:srgbClr w14:val="000000">
                      <w14:alpha w14:val="100000"/>
                    </w14:srgbClr>
                  </w14:solidFill>
                </w14:textFill>
              </w:rPr>
              <w:t>|</w:t>
            </w:r>
            <w:r w:rsidR="000D0219">
              <w:rPr>
                <w:vertAlign w:val="superscript"/>
              </w:rPr>
              <w:t>3</w:t>
            </w:r>
          </w:p>
        </w:tc>
        <w:tc>
          <w:tcPr>
            <w:tcW w:w="611" w:type="pct"/>
          </w:tcPr>
          <w:p w14:paraId="2A91521E" w14:textId="1F3E6308"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1"/>
                <w14:textFill>
                  <w14:solidFill>
                    <w14:srgbClr w14:val="000000">
                      <w14:alpha w14:val="100000"/>
                    </w14:srgbClr>
                  </w14:solidFill>
                </w14:textFill>
              </w:rPr>
              <w:t>|||</w:t>
            </w:r>
            <w:r w:rsidRPr="00BA039D">
              <w:rPr>
                <w:color w:val="000000"/>
                <w:spacing w:val="3"/>
                <w:shd w:val="solid" w:color="000000" w:fill="000000"/>
                <w:fitText w:val="383" w:id="-1233442041"/>
                <w14:textFill>
                  <w14:solidFill>
                    <w14:srgbClr w14:val="000000">
                      <w14:alpha w14:val="100000"/>
                    </w14:srgbClr>
                  </w14:solidFill>
                </w14:textFill>
              </w:rPr>
              <w:t>|</w:t>
            </w:r>
            <w:r w:rsidR="000D0219">
              <w:rPr>
                <w:vertAlign w:val="superscript"/>
              </w:rPr>
              <w:t>3</w:t>
            </w:r>
          </w:p>
        </w:tc>
        <w:tc>
          <w:tcPr>
            <w:tcW w:w="611" w:type="pct"/>
          </w:tcPr>
          <w:p w14:paraId="24081AF2" w14:textId="227F89FC"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40"/>
                <w14:textFill>
                  <w14:solidFill>
                    <w14:srgbClr w14:val="000000">
                      <w14:alpha w14:val="100000"/>
                    </w14:srgbClr>
                  </w14:solidFill>
                </w14:textFill>
              </w:rPr>
              <w:t>|||</w:t>
            </w:r>
            <w:r w:rsidRPr="00BA039D">
              <w:rPr>
                <w:color w:val="000000"/>
                <w:spacing w:val="3"/>
                <w:shd w:val="solid" w:color="000000" w:fill="000000"/>
                <w:fitText w:val="416" w:id="-1233442040"/>
                <w14:textFill>
                  <w14:solidFill>
                    <w14:srgbClr w14:val="000000">
                      <w14:alpha w14:val="100000"/>
                    </w14:srgbClr>
                  </w14:solidFill>
                </w14:textFill>
              </w:rPr>
              <w:t>|</w:t>
            </w:r>
            <w:r w:rsidR="00FE1DC9">
              <w:rPr>
                <w:vertAlign w:val="superscript"/>
              </w:rPr>
              <w:t>25</w:t>
            </w:r>
          </w:p>
        </w:tc>
        <w:tc>
          <w:tcPr>
            <w:tcW w:w="611" w:type="pct"/>
          </w:tcPr>
          <w:p w14:paraId="65FE8BC8" w14:textId="77E110DF" w:rsidR="00A71865" w:rsidRPr="00C42A2C" w:rsidRDefault="00BA039D" w:rsidP="007A73AA">
            <w:pPr>
              <w:pStyle w:val="TableText0"/>
              <w:jc w:val="center"/>
              <w:rPr>
                <w:bCs w:val="0"/>
                <w:highlight w:val="darkGray"/>
              </w:rPr>
            </w:pPr>
            <w:r w:rsidRPr="00BA039D">
              <w:rPr>
                <w:color w:val="000000"/>
                <w:spacing w:val="82"/>
                <w:shd w:val="solid" w:color="000000" w:fill="000000"/>
                <w:fitText w:val="417" w:id="-1233442039"/>
                <w14:textFill>
                  <w14:solidFill>
                    <w14:srgbClr w14:val="000000">
                      <w14:alpha w14:val="100000"/>
                    </w14:srgbClr>
                  </w14:solidFill>
                </w14:textFill>
              </w:rPr>
              <w:t>|||</w:t>
            </w:r>
            <w:r w:rsidRPr="00BA039D">
              <w:rPr>
                <w:color w:val="000000"/>
                <w:spacing w:val="1"/>
                <w:shd w:val="solid" w:color="000000" w:fill="000000"/>
                <w:fitText w:val="417" w:id="-1233442039"/>
                <w14:textFill>
                  <w14:solidFill>
                    <w14:srgbClr w14:val="000000">
                      <w14:alpha w14:val="100000"/>
                    </w14:srgbClr>
                  </w14:solidFill>
                </w14:textFill>
              </w:rPr>
              <w:t>|</w:t>
            </w:r>
            <w:r w:rsidR="00FE1DC9">
              <w:rPr>
                <w:vertAlign w:val="superscript"/>
              </w:rPr>
              <w:t>25</w:t>
            </w:r>
          </w:p>
        </w:tc>
        <w:tc>
          <w:tcPr>
            <w:tcW w:w="611" w:type="pct"/>
          </w:tcPr>
          <w:p w14:paraId="714557A3" w14:textId="1C694EAE"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FE1DC9">
              <w:rPr>
                <w:vertAlign w:val="superscript"/>
              </w:rPr>
              <w:t>25</w:t>
            </w:r>
          </w:p>
        </w:tc>
      </w:tr>
      <w:tr w:rsidR="00A71865" w:rsidRPr="00AD7238" w14:paraId="76BD708F" w14:textId="77777777" w:rsidTr="006F0103">
        <w:tc>
          <w:tcPr>
            <w:tcW w:w="1334" w:type="pct"/>
            <w:shd w:val="clear" w:color="auto" w:fill="auto"/>
            <w:vAlign w:val="center"/>
          </w:tcPr>
          <w:p w14:paraId="0DBB37A0" w14:textId="1CDB6C91" w:rsidR="00A71865" w:rsidRPr="00AD7238" w:rsidRDefault="00A71865" w:rsidP="00B47BB8">
            <w:pPr>
              <w:pStyle w:val="TableText0"/>
              <w:rPr>
                <w:bCs w:val="0"/>
              </w:rPr>
            </w:pPr>
            <w:r w:rsidRPr="00AD7238">
              <w:t>All 70-79 YOA, Prior HZ infection</w:t>
            </w:r>
          </w:p>
        </w:tc>
        <w:tc>
          <w:tcPr>
            <w:tcW w:w="611" w:type="pct"/>
          </w:tcPr>
          <w:p w14:paraId="6251BBB5" w14:textId="2174DCF5"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37"/>
                <w14:textFill>
                  <w14:solidFill>
                    <w14:srgbClr w14:val="000000">
                      <w14:alpha w14:val="100000"/>
                    </w14:srgbClr>
                  </w14:solidFill>
                </w14:textFill>
              </w:rPr>
              <w:t>|||</w:t>
            </w:r>
            <w:r w:rsidRPr="00BA039D">
              <w:rPr>
                <w:color w:val="000000"/>
                <w:spacing w:val="2"/>
                <w:shd w:val="solid" w:color="000000" w:fill="000000"/>
                <w:fitText w:val="382" w:id="-1233442037"/>
                <w14:textFill>
                  <w14:solidFill>
                    <w14:srgbClr w14:val="000000">
                      <w14:alpha w14:val="100000"/>
                    </w14:srgbClr>
                  </w14:solidFill>
                </w14:textFill>
              </w:rPr>
              <w:t>|</w:t>
            </w:r>
            <w:r w:rsidR="000D0219">
              <w:rPr>
                <w:vertAlign w:val="superscript"/>
              </w:rPr>
              <w:t>2</w:t>
            </w:r>
          </w:p>
        </w:tc>
        <w:tc>
          <w:tcPr>
            <w:tcW w:w="611" w:type="pct"/>
          </w:tcPr>
          <w:p w14:paraId="749AECA3" w14:textId="3AA1CDDC"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6"/>
                <w14:textFill>
                  <w14:solidFill>
                    <w14:srgbClr w14:val="000000">
                      <w14:alpha w14:val="100000"/>
                    </w14:srgbClr>
                  </w14:solidFill>
                </w14:textFill>
              </w:rPr>
              <w:t>|||</w:t>
            </w:r>
            <w:r w:rsidRPr="00BA039D">
              <w:rPr>
                <w:color w:val="000000"/>
                <w:spacing w:val="3"/>
                <w:shd w:val="solid" w:color="000000" w:fill="000000"/>
                <w:fitText w:val="383" w:id="-1233442036"/>
                <w14:textFill>
                  <w14:solidFill>
                    <w14:srgbClr w14:val="000000">
                      <w14:alpha w14:val="100000"/>
                    </w14:srgbClr>
                  </w14:solidFill>
                </w14:textFill>
              </w:rPr>
              <w:t>|</w:t>
            </w:r>
            <w:r w:rsidR="000D0219">
              <w:rPr>
                <w:vertAlign w:val="superscript"/>
              </w:rPr>
              <w:t>3</w:t>
            </w:r>
          </w:p>
        </w:tc>
        <w:tc>
          <w:tcPr>
            <w:tcW w:w="611" w:type="pct"/>
          </w:tcPr>
          <w:p w14:paraId="767519E7" w14:textId="0169FD11"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5"/>
                <w14:textFill>
                  <w14:solidFill>
                    <w14:srgbClr w14:val="000000">
                      <w14:alpha w14:val="100000"/>
                    </w14:srgbClr>
                  </w14:solidFill>
                </w14:textFill>
              </w:rPr>
              <w:t>|||</w:t>
            </w:r>
            <w:r w:rsidRPr="00BA039D">
              <w:rPr>
                <w:color w:val="000000"/>
                <w:spacing w:val="3"/>
                <w:shd w:val="solid" w:color="000000" w:fill="000000"/>
                <w:fitText w:val="383" w:id="-1233442035"/>
                <w14:textFill>
                  <w14:solidFill>
                    <w14:srgbClr w14:val="000000">
                      <w14:alpha w14:val="100000"/>
                    </w14:srgbClr>
                  </w14:solidFill>
                </w14:textFill>
              </w:rPr>
              <w:t>|</w:t>
            </w:r>
            <w:r w:rsidR="000D0219">
              <w:rPr>
                <w:vertAlign w:val="superscript"/>
              </w:rPr>
              <w:t>3</w:t>
            </w:r>
          </w:p>
        </w:tc>
        <w:tc>
          <w:tcPr>
            <w:tcW w:w="611" w:type="pct"/>
          </w:tcPr>
          <w:p w14:paraId="056FBA51" w14:textId="423A9EE4"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4"/>
                <w14:textFill>
                  <w14:solidFill>
                    <w14:srgbClr w14:val="000000">
                      <w14:alpha w14:val="100000"/>
                    </w14:srgbClr>
                  </w14:solidFill>
                </w14:textFill>
              </w:rPr>
              <w:t>|||</w:t>
            </w:r>
            <w:r w:rsidRPr="00BA039D">
              <w:rPr>
                <w:color w:val="000000"/>
                <w:spacing w:val="3"/>
                <w:shd w:val="solid" w:color="000000" w:fill="000000"/>
                <w:fitText w:val="416" w:id="-1233442034"/>
                <w14:textFill>
                  <w14:solidFill>
                    <w14:srgbClr w14:val="000000">
                      <w14:alpha w14:val="100000"/>
                    </w14:srgbClr>
                  </w14:solidFill>
                </w14:textFill>
              </w:rPr>
              <w:t>|</w:t>
            </w:r>
            <w:r w:rsidR="00FE1DC9">
              <w:rPr>
                <w:vertAlign w:val="superscript"/>
              </w:rPr>
              <w:t>25</w:t>
            </w:r>
          </w:p>
        </w:tc>
        <w:tc>
          <w:tcPr>
            <w:tcW w:w="611" w:type="pct"/>
          </w:tcPr>
          <w:p w14:paraId="2A4B7198" w14:textId="1F6A9211" w:rsidR="00A71865" w:rsidRPr="00C42A2C" w:rsidRDefault="00BA039D" w:rsidP="007A73AA">
            <w:pPr>
              <w:pStyle w:val="TableText0"/>
              <w:jc w:val="center"/>
              <w:rPr>
                <w:bCs w:val="0"/>
                <w:highlight w:val="darkGray"/>
              </w:rPr>
            </w:pPr>
            <w:r w:rsidRPr="00BA039D">
              <w:rPr>
                <w:color w:val="000000"/>
                <w:spacing w:val="82"/>
                <w:shd w:val="solid" w:color="000000" w:fill="000000"/>
                <w:fitText w:val="417" w:id="-1233442033"/>
                <w14:textFill>
                  <w14:solidFill>
                    <w14:srgbClr w14:val="000000">
                      <w14:alpha w14:val="100000"/>
                    </w14:srgbClr>
                  </w14:solidFill>
                </w14:textFill>
              </w:rPr>
              <w:t>|||</w:t>
            </w:r>
            <w:r w:rsidRPr="00BA039D">
              <w:rPr>
                <w:color w:val="000000"/>
                <w:spacing w:val="1"/>
                <w:shd w:val="solid" w:color="000000" w:fill="000000"/>
                <w:fitText w:val="417" w:id="-1233442033"/>
                <w14:textFill>
                  <w14:solidFill>
                    <w14:srgbClr w14:val="000000">
                      <w14:alpha w14:val="100000"/>
                    </w14:srgbClr>
                  </w14:solidFill>
                </w14:textFill>
              </w:rPr>
              <w:t>|</w:t>
            </w:r>
            <w:r w:rsidR="00FE1DC9">
              <w:rPr>
                <w:vertAlign w:val="superscript"/>
              </w:rPr>
              <w:t>25</w:t>
            </w:r>
          </w:p>
        </w:tc>
        <w:tc>
          <w:tcPr>
            <w:tcW w:w="611" w:type="pct"/>
          </w:tcPr>
          <w:p w14:paraId="2B51A897" w14:textId="2DF04D28"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32"/>
                <w14:textFill>
                  <w14:solidFill>
                    <w14:srgbClr w14:val="000000">
                      <w14:alpha w14:val="100000"/>
                    </w14:srgbClr>
                  </w14:solidFill>
                </w14:textFill>
              </w:rPr>
              <w:t>|||</w:t>
            </w:r>
            <w:r w:rsidRPr="00BA039D">
              <w:rPr>
                <w:color w:val="000000"/>
                <w:spacing w:val="3"/>
                <w:shd w:val="solid" w:color="000000" w:fill="000000"/>
                <w:fitText w:val="416" w:id="-1233442032"/>
                <w14:textFill>
                  <w14:solidFill>
                    <w14:srgbClr w14:val="000000">
                      <w14:alpha w14:val="100000"/>
                    </w14:srgbClr>
                  </w14:solidFill>
                </w14:textFill>
              </w:rPr>
              <w:t>|</w:t>
            </w:r>
            <w:r w:rsidR="00FE1DC9">
              <w:rPr>
                <w:vertAlign w:val="superscript"/>
              </w:rPr>
              <w:t>25</w:t>
            </w:r>
          </w:p>
        </w:tc>
      </w:tr>
      <w:tr w:rsidR="00A71865" w:rsidRPr="00AD7238" w14:paraId="3F5B353F" w14:textId="77777777" w:rsidTr="006F0103">
        <w:tc>
          <w:tcPr>
            <w:tcW w:w="1334" w:type="pct"/>
            <w:shd w:val="clear" w:color="auto" w:fill="auto"/>
            <w:vAlign w:val="center"/>
          </w:tcPr>
          <w:p w14:paraId="29D33F0F" w14:textId="4F427C73" w:rsidR="00A71865" w:rsidRPr="00AD7238" w:rsidRDefault="00A71865" w:rsidP="00B47BB8">
            <w:pPr>
              <w:pStyle w:val="TableText0"/>
              <w:rPr>
                <w:bCs w:val="0"/>
              </w:rPr>
            </w:pPr>
            <w:r w:rsidRPr="00AD7238">
              <w:t>All 70-79 YOA, Neither</w:t>
            </w:r>
          </w:p>
        </w:tc>
        <w:tc>
          <w:tcPr>
            <w:tcW w:w="611" w:type="pct"/>
          </w:tcPr>
          <w:p w14:paraId="2826E4EA" w14:textId="3911C23B"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48"/>
                <w14:textFill>
                  <w14:solidFill>
                    <w14:srgbClr w14:val="000000">
                      <w14:alpha w14:val="100000"/>
                    </w14:srgbClr>
                  </w14:solidFill>
                </w14:textFill>
              </w:rPr>
              <w:t>|||</w:t>
            </w:r>
            <w:r w:rsidRPr="00BA039D">
              <w:rPr>
                <w:color w:val="000000"/>
                <w:spacing w:val="2"/>
                <w:shd w:val="solid" w:color="000000" w:fill="000000"/>
                <w:fitText w:val="382" w:id="-1233442048"/>
                <w14:textFill>
                  <w14:solidFill>
                    <w14:srgbClr w14:val="000000">
                      <w14:alpha w14:val="100000"/>
                    </w14:srgbClr>
                  </w14:solidFill>
                </w14:textFill>
              </w:rPr>
              <w:t>|</w:t>
            </w:r>
            <w:r w:rsidR="000D0219">
              <w:rPr>
                <w:vertAlign w:val="superscript"/>
              </w:rPr>
              <w:t>2</w:t>
            </w:r>
          </w:p>
        </w:tc>
        <w:tc>
          <w:tcPr>
            <w:tcW w:w="611" w:type="pct"/>
          </w:tcPr>
          <w:p w14:paraId="77289CE7" w14:textId="7BA1751B"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7"/>
                <w14:textFill>
                  <w14:solidFill>
                    <w14:srgbClr w14:val="000000">
                      <w14:alpha w14:val="100000"/>
                    </w14:srgbClr>
                  </w14:solidFill>
                </w14:textFill>
              </w:rPr>
              <w:t>|||</w:t>
            </w:r>
            <w:r w:rsidRPr="00BA039D">
              <w:rPr>
                <w:color w:val="000000"/>
                <w:spacing w:val="3"/>
                <w:shd w:val="solid" w:color="000000" w:fill="000000"/>
                <w:fitText w:val="383" w:id="-1233442047"/>
                <w14:textFill>
                  <w14:solidFill>
                    <w14:srgbClr w14:val="000000">
                      <w14:alpha w14:val="100000"/>
                    </w14:srgbClr>
                  </w14:solidFill>
                </w14:textFill>
              </w:rPr>
              <w:t>|</w:t>
            </w:r>
            <w:r w:rsidR="000D0219">
              <w:rPr>
                <w:vertAlign w:val="superscript"/>
              </w:rPr>
              <w:t>4</w:t>
            </w:r>
          </w:p>
        </w:tc>
        <w:tc>
          <w:tcPr>
            <w:tcW w:w="611" w:type="pct"/>
          </w:tcPr>
          <w:p w14:paraId="6C183716" w14:textId="5F955C58"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6"/>
                <w14:textFill>
                  <w14:solidFill>
                    <w14:srgbClr w14:val="000000">
                      <w14:alpha w14:val="100000"/>
                    </w14:srgbClr>
                  </w14:solidFill>
                </w14:textFill>
              </w:rPr>
              <w:t>|||</w:t>
            </w:r>
            <w:r w:rsidRPr="00BA039D">
              <w:rPr>
                <w:color w:val="000000"/>
                <w:spacing w:val="3"/>
                <w:shd w:val="solid" w:color="000000" w:fill="000000"/>
                <w:fitText w:val="383" w:id="-1233442046"/>
                <w14:textFill>
                  <w14:solidFill>
                    <w14:srgbClr w14:val="000000">
                      <w14:alpha w14:val="100000"/>
                    </w14:srgbClr>
                  </w14:solidFill>
                </w14:textFill>
              </w:rPr>
              <w:t>|</w:t>
            </w:r>
            <w:r w:rsidR="000D0219">
              <w:rPr>
                <w:vertAlign w:val="superscript"/>
              </w:rPr>
              <w:t>3</w:t>
            </w:r>
          </w:p>
        </w:tc>
        <w:tc>
          <w:tcPr>
            <w:tcW w:w="611" w:type="pct"/>
          </w:tcPr>
          <w:p w14:paraId="780639DB" w14:textId="53224D34"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45"/>
                <w14:textFill>
                  <w14:solidFill>
                    <w14:srgbClr w14:val="000000">
                      <w14:alpha w14:val="100000"/>
                    </w14:srgbClr>
                  </w14:solidFill>
                </w14:textFill>
              </w:rPr>
              <w:t>|||</w:t>
            </w:r>
            <w:r w:rsidRPr="00BA039D">
              <w:rPr>
                <w:color w:val="000000"/>
                <w:spacing w:val="3"/>
                <w:shd w:val="solid" w:color="000000" w:fill="000000"/>
                <w:fitText w:val="416" w:id="-1233442045"/>
                <w14:textFill>
                  <w14:solidFill>
                    <w14:srgbClr w14:val="000000">
                      <w14:alpha w14:val="100000"/>
                    </w14:srgbClr>
                  </w14:solidFill>
                </w14:textFill>
              </w:rPr>
              <w:t>|</w:t>
            </w:r>
            <w:r w:rsidR="00FE1DC9">
              <w:rPr>
                <w:vertAlign w:val="superscript"/>
              </w:rPr>
              <w:t>26</w:t>
            </w:r>
          </w:p>
        </w:tc>
        <w:tc>
          <w:tcPr>
            <w:tcW w:w="611" w:type="pct"/>
          </w:tcPr>
          <w:p w14:paraId="21E671EF" w14:textId="01FDB819" w:rsidR="00A71865" w:rsidRPr="00C42A2C" w:rsidRDefault="00BA039D" w:rsidP="007A73AA">
            <w:pPr>
              <w:pStyle w:val="TableText0"/>
              <w:jc w:val="center"/>
              <w:rPr>
                <w:bCs w:val="0"/>
                <w:highlight w:val="darkGray"/>
              </w:rPr>
            </w:pPr>
            <w:r w:rsidRPr="00BA039D">
              <w:rPr>
                <w:color w:val="000000"/>
                <w:spacing w:val="82"/>
                <w:shd w:val="solid" w:color="000000" w:fill="000000"/>
                <w:fitText w:val="417" w:id="-1233442044"/>
                <w14:textFill>
                  <w14:solidFill>
                    <w14:srgbClr w14:val="000000">
                      <w14:alpha w14:val="100000"/>
                    </w14:srgbClr>
                  </w14:solidFill>
                </w14:textFill>
              </w:rPr>
              <w:t>|||</w:t>
            </w:r>
            <w:r w:rsidRPr="00BA039D">
              <w:rPr>
                <w:color w:val="000000"/>
                <w:spacing w:val="1"/>
                <w:shd w:val="solid" w:color="000000" w:fill="000000"/>
                <w:fitText w:val="417" w:id="-1233442044"/>
                <w14:textFill>
                  <w14:solidFill>
                    <w14:srgbClr w14:val="000000">
                      <w14:alpha w14:val="100000"/>
                    </w14:srgbClr>
                  </w14:solidFill>
                </w14:textFill>
              </w:rPr>
              <w:t>|</w:t>
            </w:r>
            <w:r w:rsidR="00FE1DC9">
              <w:rPr>
                <w:vertAlign w:val="superscript"/>
              </w:rPr>
              <w:t>26</w:t>
            </w:r>
          </w:p>
        </w:tc>
        <w:tc>
          <w:tcPr>
            <w:tcW w:w="611" w:type="pct"/>
          </w:tcPr>
          <w:p w14:paraId="20AD9C8B" w14:textId="54FE8844" w:rsidR="00A71865" w:rsidRPr="00C42A2C" w:rsidRDefault="00BA039D" w:rsidP="007A73AA">
            <w:pPr>
              <w:pStyle w:val="TableText0"/>
              <w:jc w:val="center"/>
              <w:rPr>
                <w:bCs w:val="0"/>
                <w:highlight w:val="darkGray"/>
              </w:rPr>
            </w:pPr>
            <w:r w:rsidRPr="00BA039D">
              <w:rPr>
                <w:color w:val="000000"/>
                <w:spacing w:val="81"/>
                <w:shd w:val="solid" w:color="000000" w:fill="000000"/>
                <w:fitText w:val="416" w:id="-1233442043"/>
                <w14:textFill>
                  <w14:solidFill>
                    <w14:srgbClr w14:val="000000">
                      <w14:alpha w14:val="100000"/>
                    </w14:srgbClr>
                  </w14:solidFill>
                </w14:textFill>
              </w:rPr>
              <w:t>|||</w:t>
            </w:r>
            <w:r w:rsidRPr="00BA039D">
              <w:rPr>
                <w:color w:val="000000"/>
                <w:spacing w:val="3"/>
                <w:shd w:val="solid" w:color="000000" w:fill="000000"/>
                <w:fitText w:val="416" w:id="-1233442043"/>
                <w14:textFill>
                  <w14:solidFill>
                    <w14:srgbClr w14:val="000000">
                      <w14:alpha w14:val="100000"/>
                    </w14:srgbClr>
                  </w14:solidFill>
                </w14:textFill>
              </w:rPr>
              <w:t>|</w:t>
            </w:r>
            <w:r w:rsidR="00FE1DC9">
              <w:rPr>
                <w:vertAlign w:val="superscript"/>
              </w:rPr>
              <w:t>26</w:t>
            </w:r>
          </w:p>
        </w:tc>
      </w:tr>
      <w:tr w:rsidR="00A71865" w:rsidRPr="00AD7238" w14:paraId="10FCCE97" w14:textId="77777777" w:rsidTr="006F0103">
        <w:tc>
          <w:tcPr>
            <w:tcW w:w="1334" w:type="pct"/>
            <w:shd w:val="clear" w:color="auto" w:fill="auto"/>
            <w:vAlign w:val="center"/>
          </w:tcPr>
          <w:p w14:paraId="291686EF" w14:textId="3C80FB9D" w:rsidR="00A71865" w:rsidRPr="00AD7238" w:rsidRDefault="00A71865" w:rsidP="00B47BB8">
            <w:pPr>
              <w:pStyle w:val="TableText0"/>
              <w:rPr>
                <w:bCs w:val="0"/>
              </w:rPr>
            </w:pPr>
            <w:r w:rsidRPr="00AD7238">
              <w:t>All ≥80</w:t>
            </w:r>
            <w:r w:rsidR="009F2288" w:rsidRPr="00AD7238">
              <w:t xml:space="preserve"> YOA</w:t>
            </w:r>
          </w:p>
        </w:tc>
        <w:tc>
          <w:tcPr>
            <w:tcW w:w="611" w:type="pct"/>
          </w:tcPr>
          <w:p w14:paraId="60433884" w14:textId="062EA0B1" w:rsidR="00A71865" w:rsidRPr="00C42A2C" w:rsidRDefault="00BA039D" w:rsidP="007A73AA">
            <w:pPr>
              <w:pStyle w:val="TableText0"/>
              <w:jc w:val="center"/>
              <w:rPr>
                <w:bCs w:val="0"/>
                <w:highlight w:val="darkGray"/>
              </w:rPr>
            </w:pPr>
            <w:r w:rsidRPr="00BA039D">
              <w:rPr>
                <w:color w:val="000000"/>
                <w:spacing w:val="70"/>
                <w:shd w:val="solid" w:color="000000" w:fill="000000"/>
                <w:fitText w:val="382" w:id="-1233442042"/>
                <w14:textFill>
                  <w14:solidFill>
                    <w14:srgbClr w14:val="000000">
                      <w14:alpha w14:val="100000"/>
                    </w14:srgbClr>
                  </w14:solidFill>
                </w14:textFill>
              </w:rPr>
              <w:t>|||</w:t>
            </w:r>
            <w:r w:rsidRPr="00BA039D">
              <w:rPr>
                <w:color w:val="000000"/>
                <w:spacing w:val="2"/>
                <w:shd w:val="solid" w:color="000000" w:fill="000000"/>
                <w:fitText w:val="382" w:id="-1233442042"/>
                <w14:textFill>
                  <w14:solidFill>
                    <w14:srgbClr w14:val="000000">
                      <w14:alpha w14:val="100000"/>
                    </w14:srgbClr>
                  </w14:solidFill>
                </w14:textFill>
              </w:rPr>
              <w:t>|</w:t>
            </w:r>
            <w:r w:rsidR="000D0219">
              <w:rPr>
                <w:vertAlign w:val="superscript"/>
              </w:rPr>
              <w:t>6</w:t>
            </w:r>
          </w:p>
        </w:tc>
        <w:tc>
          <w:tcPr>
            <w:tcW w:w="611" w:type="pct"/>
          </w:tcPr>
          <w:p w14:paraId="0DDC1AEA" w14:textId="1297A413"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1"/>
                <w14:textFill>
                  <w14:solidFill>
                    <w14:srgbClr w14:val="000000">
                      <w14:alpha w14:val="100000"/>
                    </w14:srgbClr>
                  </w14:solidFill>
                </w14:textFill>
              </w:rPr>
              <w:t>|||</w:t>
            </w:r>
            <w:r w:rsidRPr="00BA039D">
              <w:rPr>
                <w:color w:val="000000"/>
                <w:spacing w:val="3"/>
                <w:shd w:val="solid" w:color="000000" w:fill="000000"/>
                <w:fitText w:val="383" w:id="-1233442041"/>
                <w14:textFill>
                  <w14:solidFill>
                    <w14:srgbClr w14:val="000000">
                      <w14:alpha w14:val="100000"/>
                    </w14:srgbClr>
                  </w14:solidFill>
                </w14:textFill>
              </w:rPr>
              <w:t>|</w:t>
            </w:r>
            <w:r w:rsidR="000D0219">
              <w:rPr>
                <w:vertAlign w:val="superscript"/>
              </w:rPr>
              <w:t>2</w:t>
            </w:r>
          </w:p>
        </w:tc>
        <w:tc>
          <w:tcPr>
            <w:tcW w:w="611" w:type="pct"/>
          </w:tcPr>
          <w:p w14:paraId="50013941" w14:textId="7C580775"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40"/>
                <w14:textFill>
                  <w14:solidFill>
                    <w14:srgbClr w14:val="000000">
                      <w14:alpha w14:val="100000"/>
                    </w14:srgbClr>
                  </w14:solidFill>
                </w14:textFill>
              </w:rPr>
              <w:t>|||</w:t>
            </w:r>
            <w:r w:rsidRPr="00BA039D">
              <w:rPr>
                <w:color w:val="000000"/>
                <w:spacing w:val="3"/>
                <w:shd w:val="solid" w:color="000000" w:fill="000000"/>
                <w:fitText w:val="383" w:id="-1233442040"/>
                <w14:textFill>
                  <w14:solidFill>
                    <w14:srgbClr w14:val="000000">
                      <w14:alpha w14:val="100000"/>
                    </w14:srgbClr>
                  </w14:solidFill>
                </w14:textFill>
              </w:rPr>
              <w:t>|</w:t>
            </w:r>
            <w:r w:rsidR="000D0219">
              <w:rPr>
                <w:vertAlign w:val="superscript"/>
              </w:rPr>
              <w:t>4</w:t>
            </w:r>
          </w:p>
        </w:tc>
        <w:tc>
          <w:tcPr>
            <w:tcW w:w="611" w:type="pct"/>
          </w:tcPr>
          <w:p w14:paraId="59FE5FEF" w14:textId="501A93C5"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9"/>
                <w14:textFill>
                  <w14:solidFill>
                    <w14:srgbClr w14:val="000000">
                      <w14:alpha w14:val="100000"/>
                    </w14:srgbClr>
                  </w14:solidFill>
                </w14:textFill>
              </w:rPr>
              <w:t>|||</w:t>
            </w:r>
            <w:r w:rsidRPr="00BA039D">
              <w:rPr>
                <w:color w:val="000000"/>
                <w:spacing w:val="3"/>
                <w:shd w:val="solid" w:color="000000" w:fill="000000"/>
                <w:fitText w:val="383" w:id="-1233442039"/>
                <w14:textFill>
                  <w14:solidFill>
                    <w14:srgbClr w14:val="000000">
                      <w14:alpha w14:val="100000"/>
                    </w14:srgbClr>
                  </w14:solidFill>
                </w14:textFill>
              </w:rPr>
              <w:t>|</w:t>
            </w:r>
            <w:r w:rsidR="000D0219">
              <w:rPr>
                <w:vertAlign w:val="superscript"/>
              </w:rPr>
              <w:t>3</w:t>
            </w:r>
          </w:p>
        </w:tc>
        <w:tc>
          <w:tcPr>
            <w:tcW w:w="611" w:type="pct"/>
          </w:tcPr>
          <w:p w14:paraId="0EB32E31" w14:textId="08339965"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8"/>
                <w14:textFill>
                  <w14:solidFill>
                    <w14:srgbClr w14:val="000000">
                      <w14:alpha w14:val="100000"/>
                    </w14:srgbClr>
                  </w14:solidFill>
                </w14:textFill>
              </w:rPr>
              <w:t>|||</w:t>
            </w:r>
            <w:r w:rsidRPr="00BA039D">
              <w:rPr>
                <w:color w:val="000000"/>
                <w:spacing w:val="3"/>
                <w:shd w:val="solid" w:color="000000" w:fill="000000"/>
                <w:fitText w:val="383" w:id="-1233442038"/>
                <w14:textFill>
                  <w14:solidFill>
                    <w14:srgbClr w14:val="000000">
                      <w14:alpha w14:val="100000"/>
                    </w14:srgbClr>
                  </w14:solidFill>
                </w14:textFill>
              </w:rPr>
              <w:t>|</w:t>
            </w:r>
            <w:r w:rsidR="000D0219">
              <w:rPr>
                <w:vertAlign w:val="superscript"/>
              </w:rPr>
              <w:t>3</w:t>
            </w:r>
          </w:p>
        </w:tc>
        <w:tc>
          <w:tcPr>
            <w:tcW w:w="611" w:type="pct"/>
          </w:tcPr>
          <w:p w14:paraId="0AFFC387" w14:textId="40C9F718" w:rsidR="00A71865" w:rsidRPr="00C42A2C" w:rsidRDefault="00BA039D" w:rsidP="007A73AA">
            <w:pPr>
              <w:pStyle w:val="TableText0"/>
              <w:jc w:val="center"/>
              <w:rPr>
                <w:bCs w:val="0"/>
                <w:highlight w:val="darkGray"/>
              </w:rPr>
            </w:pPr>
            <w:r w:rsidRPr="00BA039D">
              <w:rPr>
                <w:color w:val="000000"/>
                <w:spacing w:val="70"/>
                <w:shd w:val="solid" w:color="000000" w:fill="000000"/>
                <w:fitText w:val="383" w:id="-1233442037"/>
                <w14:textFill>
                  <w14:solidFill>
                    <w14:srgbClr w14:val="000000">
                      <w14:alpha w14:val="100000"/>
                    </w14:srgbClr>
                  </w14:solidFill>
                </w14:textFill>
              </w:rPr>
              <w:t>|||</w:t>
            </w:r>
            <w:r w:rsidRPr="00BA039D">
              <w:rPr>
                <w:color w:val="000000"/>
                <w:spacing w:val="3"/>
                <w:shd w:val="solid" w:color="000000" w:fill="000000"/>
                <w:fitText w:val="383" w:id="-1233442037"/>
                <w14:textFill>
                  <w14:solidFill>
                    <w14:srgbClr w14:val="000000">
                      <w14:alpha w14:val="100000"/>
                    </w14:srgbClr>
                  </w14:solidFill>
                </w14:textFill>
              </w:rPr>
              <w:t>|</w:t>
            </w:r>
            <w:r w:rsidR="000D0219">
              <w:rPr>
                <w:vertAlign w:val="superscript"/>
              </w:rPr>
              <w:t>3</w:t>
            </w:r>
          </w:p>
        </w:tc>
      </w:tr>
      <w:tr w:rsidR="00850FD5" w:rsidRPr="00AD7238" w14:paraId="0631412F" w14:textId="77777777" w:rsidTr="006F0103">
        <w:tc>
          <w:tcPr>
            <w:tcW w:w="5000" w:type="pct"/>
            <w:gridSpan w:val="7"/>
            <w:shd w:val="clear" w:color="auto" w:fill="auto"/>
            <w:vAlign w:val="center"/>
          </w:tcPr>
          <w:p w14:paraId="0EF91F45" w14:textId="097C8E61" w:rsidR="00850FD5" w:rsidRPr="00AD7238" w:rsidRDefault="00850FD5" w:rsidP="0044579A">
            <w:pPr>
              <w:pStyle w:val="In-tableHeading"/>
              <w:rPr>
                <w:lang w:val="en-AU"/>
              </w:rPr>
            </w:pPr>
            <w:r w:rsidRPr="00AD7238">
              <w:rPr>
                <w:lang w:val="en-AU"/>
              </w:rPr>
              <w:t xml:space="preserve">Estimated financial implications </w:t>
            </w:r>
            <w:r w:rsidR="00FB1FAE">
              <w:rPr>
                <w:lang w:val="en-AU"/>
              </w:rPr>
              <w:t xml:space="preserve">to NIP of listing </w:t>
            </w:r>
            <w:r w:rsidRPr="00AD7238">
              <w:rPr>
                <w:lang w:val="en-AU"/>
              </w:rPr>
              <w:t>RZV</w:t>
            </w:r>
          </w:p>
        </w:tc>
      </w:tr>
      <w:tr w:rsidR="00A679D1" w:rsidRPr="00AD7238" w14:paraId="02ECB434" w14:textId="77777777" w:rsidTr="006F0103">
        <w:tc>
          <w:tcPr>
            <w:tcW w:w="1334" w:type="pct"/>
            <w:shd w:val="clear" w:color="auto" w:fill="auto"/>
            <w:vAlign w:val="center"/>
          </w:tcPr>
          <w:p w14:paraId="2A9E5482" w14:textId="08A2E2AB" w:rsidR="00A679D1" w:rsidRPr="00AD7238" w:rsidRDefault="00F652B3" w:rsidP="00B47BB8">
            <w:pPr>
              <w:pStyle w:val="TableText0"/>
              <w:rPr>
                <w:bCs w:val="0"/>
              </w:rPr>
            </w:pPr>
            <w:r w:rsidRPr="00AD7238">
              <w:t>Aboriginal and Torres Strait Islander</w:t>
            </w:r>
            <w:r w:rsidR="00A679D1" w:rsidRPr="00AD7238">
              <w:t xml:space="preserve"> 50-69 YOA</w:t>
            </w:r>
            <w:r w:rsidR="00C42A2C">
              <w:t xml:space="preserve"> ($)</w:t>
            </w:r>
          </w:p>
        </w:tc>
        <w:tc>
          <w:tcPr>
            <w:tcW w:w="611" w:type="pct"/>
          </w:tcPr>
          <w:p w14:paraId="171CCE0E" w14:textId="4AE91D9D" w:rsidR="00A679D1" w:rsidRPr="00C42A2C" w:rsidRDefault="00BA039D" w:rsidP="007A73AA">
            <w:pPr>
              <w:pStyle w:val="TableText0"/>
              <w:jc w:val="center"/>
              <w:rPr>
                <w:bCs w:val="0"/>
                <w:highlight w:val="darkGray"/>
              </w:rPr>
            </w:pPr>
            <w:r w:rsidRPr="00BA039D">
              <w:rPr>
                <w:color w:val="000000"/>
                <w:spacing w:val="70"/>
                <w:shd w:val="solid" w:color="000000" w:fill="000000"/>
                <w:fitText w:val="382" w:id="-1233442036"/>
                <w14:textFill>
                  <w14:solidFill>
                    <w14:srgbClr w14:val="000000">
                      <w14:alpha w14:val="100000"/>
                    </w14:srgbClr>
                  </w14:solidFill>
                </w14:textFill>
              </w:rPr>
              <w:t>|||</w:t>
            </w:r>
            <w:r w:rsidRPr="00BA039D">
              <w:rPr>
                <w:color w:val="000000"/>
                <w:spacing w:val="2"/>
                <w:shd w:val="solid" w:color="000000" w:fill="000000"/>
                <w:fitText w:val="382" w:id="-1233442036"/>
                <w14:textFill>
                  <w14:solidFill>
                    <w14:srgbClr w14:val="000000">
                      <w14:alpha w14:val="100000"/>
                    </w14:srgbClr>
                  </w14:solidFill>
                </w14:textFill>
              </w:rPr>
              <w:t>|</w:t>
            </w:r>
            <w:r w:rsidR="000D0219">
              <w:rPr>
                <w:vertAlign w:val="superscript"/>
              </w:rPr>
              <w:t>7</w:t>
            </w:r>
          </w:p>
        </w:tc>
        <w:tc>
          <w:tcPr>
            <w:tcW w:w="611" w:type="pct"/>
          </w:tcPr>
          <w:p w14:paraId="4719A5DC" w14:textId="4719994A" w:rsidR="00A679D1" w:rsidRPr="00C42A2C" w:rsidRDefault="00BA039D" w:rsidP="007A73AA">
            <w:pPr>
              <w:pStyle w:val="TableText0"/>
              <w:jc w:val="center"/>
              <w:rPr>
                <w:bCs w:val="0"/>
                <w:highlight w:val="darkGray"/>
              </w:rPr>
            </w:pPr>
            <w:r w:rsidRPr="00BA039D">
              <w:rPr>
                <w:color w:val="000000"/>
                <w:spacing w:val="81"/>
                <w:shd w:val="solid" w:color="000000" w:fill="000000"/>
                <w:fitText w:val="416" w:id="-1233442035"/>
                <w14:textFill>
                  <w14:solidFill>
                    <w14:srgbClr w14:val="000000">
                      <w14:alpha w14:val="100000"/>
                    </w14:srgbClr>
                  </w14:solidFill>
                </w14:textFill>
              </w:rPr>
              <w:t>|||</w:t>
            </w:r>
            <w:r w:rsidRPr="00BA039D">
              <w:rPr>
                <w:color w:val="000000"/>
                <w:spacing w:val="3"/>
                <w:shd w:val="solid" w:color="000000" w:fill="000000"/>
                <w:fitText w:val="416" w:id="-1233442035"/>
                <w14:textFill>
                  <w14:solidFill>
                    <w14:srgbClr w14:val="000000">
                      <w14:alpha w14:val="100000"/>
                    </w14:srgbClr>
                  </w14:solidFill>
                </w14:textFill>
              </w:rPr>
              <w:t>|</w:t>
            </w:r>
            <w:r w:rsidR="00CD2C1A">
              <w:rPr>
                <w:vertAlign w:val="superscript"/>
              </w:rPr>
              <w:t>17</w:t>
            </w:r>
          </w:p>
        </w:tc>
        <w:tc>
          <w:tcPr>
            <w:tcW w:w="611" w:type="pct"/>
          </w:tcPr>
          <w:p w14:paraId="3DFCBA4B" w14:textId="4396CE64" w:rsidR="00A679D1" w:rsidRPr="00C42A2C" w:rsidRDefault="00BA039D" w:rsidP="007A73AA">
            <w:pPr>
              <w:pStyle w:val="TableText0"/>
              <w:jc w:val="center"/>
              <w:rPr>
                <w:bCs w:val="0"/>
                <w:highlight w:val="darkGray"/>
              </w:rPr>
            </w:pPr>
            <w:r w:rsidRPr="00BA039D">
              <w:rPr>
                <w:color w:val="000000"/>
                <w:spacing w:val="81"/>
                <w:shd w:val="solid" w:color="000000" w:fill="000000"/>
                <w:fitText w:val="416" w:id="-1233442034"/>
                <w14:textFill>
                  <w14:solidFill>
                    <w14:srgbClr w14:val="000000">
                      <w14:alpha w14:val="100000"/>
                    </w14:srgbClr>
                  </w14:solidFill>
                </w14:textFill>
              </w:rPr>
              <w:t>|||</w:t>
            </w:r>
            <w:r w:rsidRPr="00BA039D">
              <w:rPr>
                <w:color w:val="000000"/>
                <w:spacing w:val="3"/>
                <w:shd w:val="solid" w:color="000000" w:fill="000000"/>
                <w:fitText w:val="416" w:id="-1233442034"/>
                <w14:textFill>
                  <w14:solidFill>
                    <w14:srgbClr w14:val="000000">
                      <w14:alpha w14:val="100000"/>
                    </w14:srgbClr>
                  </w14:solidFill>
                </w14:textFill>
              </w:rPr>
              <w:t>|</w:t>
            </w:r>
            <w:r w:rsidR="00CD2C1A">
              <w:rPr>
                <w:vertAlign w:val="superscript"/>
              </w:rPr>
              <w:t>17</w:t>
            </w:r>
          </w:p>
        </w:tc>
        <w:tc>
          <w:tcPr>
            <w:tcW w:w="611" w:type="pct"/>
          </w:tcPr>
          <w:p w14:paraId="2383B321" w14:textId="416E6962" w:rsidR="00A679D1" w:rsidRPr="00C42A2C" w:rsidRDefault="00BA039D" w:rsidP="007A73AA">
            <w:pPr>
              <w:pStyle w:val="TableText0"/>
              <w:jc w:val="center"/>
              <w:rPr>
                <w:bCs w:val="0"/>
                <w:highlight w:val="darkGray"/>
              </w:rPr>
            </w:pPr>
            <w:r w:rsidRPr="00BA039D">
              <w:rPr>
                <w:color w:val="000000"/>
                <w:spacing w:val="81"/>
                <w:shd w:val="solid" w:color="000000" w:fill="000000"/>
                <w:fitText w:val="416" w:id="-1233442033"/>
                <w14:textFill>
                  <w14:solidFill>
                    <w14:srgbClr w14:val="000000">
                      <w14:alpha w14:val="100000"/>
                    </w14:srgbClr>
                  </w14:solidFill>
                </w14:textFill>
              </w:rPr>
              <w:t>|||</w:t>
            </w:r>
            <w:r w:rsidRPr="00BA039D">
              <w:rPr>
                <w:color w:val="000000"/>
                <w:spacing w:val="3"/>
                <w:shd w:val="solid" w:color="000000" w:fill="000000"/>
                <w:fitText w:val="416" w:id="-1233442033"/>
                <w14:textFill>
                  <w14:solidFill>
                    <w14:srgbClr w14:val="000000">
                      <w14:alpha w14:val="100000"/>
                    </w14:srgbClr>
                  </w14:solidFill>
                </w14:textFill>
              </w:rPr>
              <w:t>|</w:t>
            </w:r>
            <w:r w:rsidR="00CD2C1A">
              <w:rPr>
                <w:vertAlign w:val="superscript"/>
              </w:rPr>
              <w:t>17</w:t>
            </w:r>
          </w:p>
        </w:tc>
        <w:tc>
          <w:tcPr>
            <w:tcW w:w="611" w:type="pct"/>
          </w:tcPr>
          <w:p w14:paraId="0E7BB156" w14:textId="60570A11" w:rsidR="00A679D1" w:rsidRPr="00C42A2C" w:rsidRDefault="00BA039D" w:rsidP="007A73AA">
            <w:pPr>
              <w:pStyle w:val="TableText0"/>
              <w:jc w:val="center"/>
              <w:rPr>
                <w:bCs w:val="0"/>
                <w:highlight w:val="darkGray"/>
              </w:rPr>
            </w:pPr>
            <w:r w:rsidRPr="00BA039D">
              <w:rPr>
                <w:color w:val="000000"/>
                <w:spacing w:val="82"/>
                <w:shd w:val="solid" w:color="000000" w:fill="000000"/>
                <w:fitText w:val="417" w:id="-1233442032"/>
                <w14:textFill>
                  <w14:solidFill>
                    <w14:srgbClr w14:val="000000">
                      <w14:alpha w14:val="100000"/>
                    </w14:srgbClr>
                  </w14:solidFill>
                </w14:textFill>
              </w:rPr>
              <w:t>|||</w:t>
            </w:r>
            <w:r w:rsidRPr="00BA039D">
              <w:rPr>
                <w:color w:val="000000"/>
                <w:spacing w:val="1"/>
                <w:shd w:val="solid" w:color="000000" w:fill="000000"/>
                <w:fitText w:val="417" w:id="-1233442032"/>
                <w14:textFill>
                  <w14:solidFill>
                    <w14:srgbClr w14:val="000000">
                      <w14:alpha w14:val="100000"/>
                    </w14:srgbClr>
                  </w14:solidFill>
                </w14:textFill>
              </w:rPr>
              <w:t>|</w:t>
            </w:r>
            <w:r w:rsidR="00CD2C1A">
              <w:rPr>
                <w:vertAlign w:val="superscript"/>
              </w:rPr>
              <w:t>17</w:t>
            </w:r>
          </w:p>
        </w:tc>
        <w:tc>
          <w:tcPr>
            <w:tcW w:w="611" w:type="pct"/>
          </w:tcPr>
          <w:p w14:paraId="3A4EFA7F" w14:textId="626807A3" w:rsidR="00A679D1" w:rsidRPr="00C42A2C" w:rsidRDefault="00BA039D" w:rsidP="007A73AA">
            <w:pPr>
              <w:pStyle w:val="TableText0"/>
              <w:jc w:val="center"/>
              <w:rPr>
                <w:bCs w:val="0"/>
                <w:highlight w:val="darkGray"/>
              </w:rPr>
            </w:pPr>
            <w:r w:rsidRPr="00BA039D">
              <w:rPr>
                <w:color w:val="000000"/>
                <w:spacing w:val="81"/>
                <w:shd w:val="solid" w:color="000000" w:fill="000000"/>
                <w:fitText w:val="416" w:id="-1233442048"/>
                <w14:textFill>
                  <w14:solidFill>
                    <w14:srgbClr w14:val="000000">
                      <w14:alpha w14:val="100000"/>
                    </w14:srgbClr>
                  </w14:solidFill>
                </w14:textFill>
              </w:rPr>
              <w:t>|||</w:t>
            </w:r>
            <w:r w:rsidRPr="00BA039D">
              <w:rPr>
                <w:color w:val="000000"/>
                <w:spacing w:val="3"/>
                <w:shd w:val="solid" w:color="000000" w:fill="000000"/>
                <w:fitText w:val="416" w:id="-1233442048"/>
                <w14:textFill>
                  <w14:solidFill>
                    <w14:srgbClr w14:val="000000">
                      <w14:alpha w14:val="100000"/>
                    </w14:srgbClr>
                  </w14:solidFill>
                </w14:textFill>
              </w:rPr>
              <w:t>|</w:t>
            </w:r>
            <w:r w:rsidR="00CD2C1A">
              <w:rPr>
                <w:vertAlign w:val="superscript"/>
              </w:rPr>
              <w:t>17</w:t>
            </w:r>
          </w:p>
        </w:tc>
      </w:tr>
      <w:tr w:rsidR="00570A00" w:rsidRPr="00AD7238" w14:paraId="7065D252" w14:textId="77777777" w:rsidTr="006F0103">
        <w:tc>
          <w:tcPr>
            <w:tcW w:w="1334" w:type="pct"/>
            <w:shd w:val="clear" w:color="auto" w:fill="auto"/>
            <w:vAlign w:val="center"/>
          </w:tcPr>
          <w:p w14:paraId="4DC9EF1B" w14:textId="2DDC86F0" w:rsidR="00570A00" w:rsidRPr="00AD7238" w:rsidRDefault="00570A00" w:rsidP="00B47BB8">
            <w:pPr>
              <w:pStyle w:val="TableText0"/>
              <w:rPr>
                <w:bCs w:val="0"/>
              </w:rPr>
            </w:pPr>
            <w:r w:rsidRPr="00AD7238">
              <w:t xml:space="preserve">Non-Indigenous 65-69 YOA </w:t>
            </w:r>
            <w:r w:rsidR="00C42A2C">
              <w:t>($)</w:t>
            </w:r>
          </w:p>
        </w:tc>
        <w:tc>
          <w:tcPr>
            <w:tcW w:w="611" w:type="pct"/>
          </w:tcPr>
          <w:p w14:paraId="56E6ABD6" w14:textId="58144201" w:rsidR="00570A00" w:rsidRPr="00C42A2C" w:rsidRDefault="00BA039D" w:rsidP="007A73AA">
            <w:pPr>
              <w:pStyle w:val="TableText0"/>
              <w:jc w:val="center"/>
              <w:rPr>
                <w:bCs w:val="0"/>
                <w:highlight w:val="darkGray"/>
              </w:rPr>
            </w:pPr>
            <w:r w:rsidRPr="00BA039D">
              <w:rPr>
                <w:color w:val="000000"/>
                <w:spacing w:val="70"/>
                <w:shd w:val="solid" w:color="000000" w:fill="000000"/>
                <w:fitText w:val="382" w:id="-1233442047"/>
                <w14:textFill>
                  <w14:solidFill>
                    <w14:srgbClr w14:val="000000">
                      <w14:alpha w14:val="100000"/>
                    </w14:srgbClr>
                  </w14:solidFill>
                </w14:textFill>
              </w:rPr>
              <w:t>|||</w:t>
            </w:r>
            <w:r w:rsidRPr="00BA039D">
              <w:rPr>
                <w:color w:val="000000"/>
                <w:spacing w:val="2"/>
                <w:shd w:val="solid" w:color="000000" w:fill="000000"/>
                <w:fitText w:val="382" w:id="-1233442047"/>
                <w14:textFill>
                  <w14:solidFill>
                    <w14:srgbClr w14:val="000000">
                      <w14:alpha w14:val="100000"/>
                    </w14:srgbClr>
                  </w14:solidFill>
                </w14:textFill>
              </w:rPr>
              <w:t>|</w:t>
            </w:r>
            <w:r w:rsidR="000D0219">
              <w:rPr>
                <w:vertAlign w:val="superscript"/>
              </w:rPr>
              <w:t>8</w:t>
            </w:r>
          </w:p>
        </w:tc>
        <w:tc>
          <w:tcPr>
            <w:tcW w:w="611" w:type="pct"/>
          </w:tcPr>
          <w:p w14:paraId="6A5B1718" w14:textId="19B90F33" w:rsidR="00570A00" w:rsidRPr="00C42A2C" w:rsidRDefault="00BA039D" w:rsidP="007A73AA">
            <w:pPr>
              <w:pStyle w:val="TableText0"/>
              <w:jc w:val="center"/>
              <w:rPr>
                <w:bCs w:val="0"/>
                <w:highlight w:val="darkGray"/>
              </w:rPr>
            </w:pPr>
            <w:r w:rsidRPr="00BA039D">
              <w:rPr>
                <w:color w:val="000000"/>
                <w:spacing w:val="81"/>
                <w:shd w:val="solid" w:color="000000" w:fill="000000"/>
                <w:fitText w:val="416" w:id="-1233442046"/>
                <w14:textFill>
                  <w14:solidFill>
                    <w14:srgbClr w14:val="000000">
                      <w14:alpha w14:val="100000"/>
                    </w14:srgbClr>
                  </w14:solidFill>
                </w14:textFill>
              </w:rPr>
              <w:t>|||</w:t>
            </w:r>
            <w:r w:rsidRPr="00BA039D">
              <w:rPr>
                <w:color w:val="000000"/>
                <w:spacing w:val="3"/>
                <w:shd w:val="solid" w:color="000000" w:fill="000000"/>
                <w:fitText w:val="416" w:id="-1233442046"/>
                <w14:textFill>
                  <w14:solidFill>
                    <w14:srgbClr w14:val="000000">
                      <w14:alpha w14:val="100000"/>
                    </w14:srgbClr>
                  </w14:solidFill>
                </w14:textFill>
              </w:rPr>
              <w:t>|</w:t>
            </w:r>
            <w:r w:rsidR="00CD2C1A">
              <w:rPr>
                <w:vertAlign w:val="superscript"/>
              </w:rPr>
              <w:t>18</w:t>
            </w:r>
          </w:p>
        </w:tc>
        <w:tc>
          <w:tcPr>
            <w:tcW w:w="611" w:type="pct"/>
          </w:tcPr>
          <w:p w14:paraId="4391D234" w14:textId="1B215CF1" w:rsidR="00570A00" w:rsidRPr="00C42A2C" w:rsidRDefault="00BA039D" w:rsidP="007A73AA">
            <w:pPr>
              <w:pStyle w:val="TableText0"/>
              <w:jc w:val="center"/>
              <w:rPr>
                <w:bCs w:val="0"/>
                <w:highlight w:val="darkGray"/>
              </w:rPr>
            </w:pPr>
            <w:r w:rsidRPr="00BA039D">
              <w:rPr>
                <w:color w:val="000000"/>
                <w:spacing w:val="70"/>
                <w:shd w:val="solid" w:color="000000" w:fill="000000"/>
                <w:fitText w:val="383" w:id="-1233442045"/>
                <w14:textFill>
                  <w14:solidFill>
                    <w14:srgbClr w14:val="000000">
                      <w14:alpha w14:val="100000"/>
                    </w14:srgbClr>
                  </w14:solidFill>
                </w14:textFill>
              </w:rPr>
              <w:t>|||</w:t>
            </w:r>
            <w:r w:rsidRPr="00BA039D">
              <w:rPr>
                <w:color w:val="000000"/>
                <w:spacing w:val="3"/>
                <w:shd w:val="solid" w:color="000000" w:fill="000000"/>
                <w:fitText w:val="383" w:id="-1233442045"/>
                <w14:textFill>
                  <w14:solidFill>
                    <w14:srgbClr w14:val="000000">
                      <w14:alpha w14:val="100000"/>
                    </w14:srgbClr>
                  </w14:solidFill>
                </w14:textFill>
              </w:rPr>
              <w:t>|</w:t>
            </w:r>
            <w:r w:rsidR="000D0219">
              <w:rPr>
                <w:vertAlign w:val="superscript"/>
              </w:rPr>
              <w:t>9</w:t>
            </w:r>
          </w:p>
        </w:tc>
        <w:tc>
          <w:tcPr>
            <w:tcW w:w="611" w:type="pct"/>
          </w:tcPr>
          <w:p w14:paraId="4C39F09A" w14:textId="211303FD" w:rsidR="00570A00" w:rsidRPr="00C42A2C" w:rsidRDefault="00BA039D" w:rsidP="007A73AA">
            <w:pPr>
              <w:pStyle w:val="TableText0"/>
              <w:jc w:val="center"/>
              <w:rPr>
                <w:bCs w:val="0"/>
                <w:highlight w:val="darkGray"/>
              </w:rPr>
            </w:pPr>
            <w:r w:rsidRPr="00BA039D">
              <w:rPr>
                <w:color w:val="000000"/>
                <w:spacing w:val="81"/>
                <w:shd w:val="solid" w:color="000000" w:fill="000000"/>
                <w:fitText w:val="416" w:id="-1233442044"/>
                <w14:textFill>
                  <w14:solidFill>
                    <w14:srgbClr w14:val="000000">
                      <w14:alpha w14:val="100000"/>
                    </w14:srgbClr>
                  </w14:solidFill>
                </w14:textFill>
              </w:rPr>
              <w:t>|||</w:t>
            </w:r>
            <w:r w:rsidRPr="00BA039D">
              <w:rPr>
                <w:color w:val="000000"/>
                <w:spacing w:val="3"/>
                <w:shd w:val="solid" w:color="000000" w:fill="000000"/>
                <w:fitText w:val="416" w:id="-1233442044"/>
                <w14:textFill>
                  <w14:solidFill>
                    <w14:srgbClr w14:val="000000">
                      <w14:alpha w14:val="100000"/>
                    </w14:srgbClr>
                  </w14:solidFill>
                </w14:textFill>
              </w:rPr>
              <w:t>|</w:t>
            </w:r>
            <w:r w:rsidR="00CD2C1A">
              <w:rPr>
                <w:vertAlign w:val="superscript"/>
              </w:rPr>
              <w:t>14</w:t>
            </w:r>
          </w:p>
        </w:tc>
        <w:tc>
          <w:tcPr>
            <w:tcW w:w="611" w:type="pct"/>
          </w:tcPr>
          <w:p w14:paraId="65D02A5F" w14:textId="3D7F58F3" w:rsidR="00570A00" w:rsidRPr="00C42A2C" w:rsidRDefault="00BA039D" w:rsidP="007A73AA">
            <w:pPr>
              <w:pStyle w:val="TableText0"/>
              <w:jc w:val="center"/>
              <w:rPr>
                <w:bCs w:val="0"/>
                <w:highlight w:val="darkGray"/>
              </w:rPr>
            </w:pPr>
            <w:r w:rsidRPr="00BA039D">
              <w:rPr>
                <w:color w:val="000000"/>
                <w:spacing w:val="82"/>
                <w:shd w:val="solid" w:color="000000" w:fill="000000"/>
                <w:fitText w:val="417" w:id="-1233442043"/>
                <w14:textFill>
                  <w14:solidFill>
                    <w14:srgbClr w14:val="000000">
                      <w14:alpha w14:val="100000"/>
                    </w14:srgbClr>
                  </w14:solidFill>
                </w14:textFill>
              </w:rPr>
              <w:t>|||</w:t>
            </w:r>
            <w:r w:rsidRPr="00BA039D">
              <w:rPr>
                <w:color w:val="000000"/>
                <w:spacing w:val="1"/>
                <w:shd w:val="solid" w:color="000000" w:fill="000000"/>
                <w:fitText w:val="417" w:id="-1233442043"/>
                <w14:textFill>
                  <w14:solidFill>
                    <w14:srgbClr w14:val="000000">
                      <w14:alpha w14:val="100000"/>
                    </w14:srgbClr>
                  </w14:solidFill>
                </w14:textFill>
              </w:rPr>
              <w:t>|</w:t>
            </w:r>
            <w:r w:rsidR="00CD2C1A">
              <w:rPr>
                <w:vertAlign w:val="superscript"/>
              </w:rPr>
              <w:t>14</w:t>
            </w:r>
          </w:p>
        </w:tc>
        <w:tc>
          <w:tcPr>
            <w:tcW w:w="611" w:type="pct"/>
          </w:tcPr>
          <w:p w14:paraId="7DF663F6" w14:textId="19101FBE" w:rsidR="00570A00" w:rsidRPr="00C42A2C" w:rsidRDefault="00BA039D" w:rsidP="007A73AA">
            <w:pPr>
              <w:pStyle w:val="TableText0"/>
              <w:jc w:val="center"/>
              <w:rPr>
                <w:bCs w:val="0"/>
                <w:highlight w:val="darkGray"/>
              </w:rPr>
            </w:pPr>
            <w:r w:rsidRPr="00BA039D">
              <w:rPr>
                <w:color w:val="000000"/>
                <w:spacing w:val="81"/>
                <w:shd w:val="solid" w:color="000000" w:fill="000000"/>
                <w:fitText w:val="416" w:id="-1233442042"/>
                <w14:textFill>
                  <w14:solidFill>
                    <w14:srgbClr w14:val="000000">
                      <w14:alpha w14:val="100000"/>
                    </w14:srgbClr>
                  </w14:solidFill>
                </w14:textFill>
              </w:rPr>
              <w:t>|||</w:t>
            </w:r>
            <w:r w:rsidRPr="00BA039D">
              <w:rPr>
                <w:color w:val="000000"/>
                <w:spacing w:val="3"/>
                <w:shd w:val="solid" w:color="000000" w:fill="000000"/>
                <w:fitText w:val="416" w:id="-1233442042"/>
                <w14:textFill>
                  <w14:solidFill>
                    <w14:srgbClr w14:val="000000">
                      <w14:alpha w14:val="100000"/>
                    </w14:srgbClr>
                  </w14:solidFill>
                </w14:textFill>
              </w:rPr>
              <w:t>|</w:t>
            </w:r>
            <w:r w:rsidR="00CD2C1A">
              <w:rPr>
                <w:vertAlign w:val="superscript"/>
              </w:rPr>
              <w:t>14</w:t>
            </w:r>
          </w:p>
        </w:tc>
      </w:tr>
      <w:tr w:rsidR="0043426F" w:rsidRPr="00AD7238" w14:paraId="605D802B" w14:textId="77777777" w:rsidTr="006F0103">
        <w:tc>
          <w:tcPr>
            <w:tcW w:w="1334" w:type="pct"/>
            <w:shd w:val="clear" w:color="auto" w:fill="auto"/>
            <w:vAlign w:val="center"/>
          </w:tcPr>
          <w:p w14:paraId="5DF3FC33" w14:textId="00317404" w:rsidR="0043426F" w:rsidRPr="00AD7238" w:rsidRDefault="0043426F" w:rsidP="00B47BB8">
            <w:pPr>
              <w:pStyle w:val="TableText0"/>
              <w:rPr>
                <w:bCs w:val="0"/>
              </w:rPr>
            </w:pPr>
            <w:r w:rsidRPr="00AD7238">
              <w:t>All 70-79 YOA, Prior ZVL</w:t>
            </w:r>
            <w:r w:rsidR="00C42A2C">
              <w:t xml:space="preserve"> ($)</w:t>
            </w:r>
          </w:p>
        </w:tc>
        <w:tc>
          <w:tcPr>
            <w:tcW w:w="611" w:type="pct"/>
          </w:tcPr>
          <w:p w14:paraId="741F0917" w14:textId="3A039F73" w:rsidR="0043426F" w:rsidRPr="00C42A2C" w:rsidRDefault="00BA039D" w:rsidP="007A73AA">
            <w:pPr>
              <w:pStyle w:val="TableText0"/>
              <w:jc w:val="center"/>
              <w:rPr>
                <w:bCs w:val="0"/>
                <w:highlight w:val="darkGray"/>
              </w:rPr>
            </w:pPr>
            <w:r w:rsidRPr="00BA039D">
              <w:rPr>
                <w:color w:val="000000"/>
                <w:spacing w:val="70"/>
                <w:shd w:val="solid" w:color="000000" w:fill="000000"/>
                <w:fitText w:val="382" w:id="-1233442041"/>
                <w14:textFill>
                  <w14:solidFill>
                    <w14:srgbClr w14:val="000000">
                      <w14:alpha w14:val="100000"/>
                    </w14:srgbClr>
                  </w14:solidFill>
                </w14:textFill>
              </w:rPr>
              <w:t>|||</w:t>
            </w:r>
            <w:r w:rsidRPr="00BA039D">
              <w:rPr>
                <w:color w:val="000000"/>
                <w:spacing w:val="2"/>
                <w:shd w:val="solid" w:color="000000" w:fill="000000"/>
                <w:fitText w:val="382" w:id="-1233442041"/>
                <w14:textFill>
                  <w14:solidFill>
                    <w14:srgbClr w14:val="000000">
                      <w14:alpha w14:val="100000"/>
                    </w14:srgbClr>
                  </w14:solidFill>
                </w14:textFill>
              </w:rPr>
              <w:t>|</w:t>
            </w:r>
            <w:r w:rsidR="000D0219">
              <w:rPr>
                <w:vertAlign w:val="superscript"/>
              </w:rPr>
              <w:t>9</w:t>
            </w:r>
          </w:p>
        </w:tc>
        <w:tc>
          <w:tcPr>
            <w:tcW w:w="611" w:type="pct"/>
          </w:tcPr>
          <w:p w14:paraId="65ACAC04" w14:textId="3DBCDEF4"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40"/>
                <w14:textFill>
                  <w14:solidFill>
                    <w14:srgbClr w14:val="000000">
                      <w14:alpha w14:val="100000"/>
                    </w14:srgbClr>
                  </w14:solidFill>
                </w14:textFill>
              </w:rPr>
              <w:t>|||</w:t>
            </w:r>
            <w:r w:rsidRPr="00BA039D">
              <w:rPr>
                <w:color w:val="000000"/>
                <w:spacing w:val="3"/>
                <w:shd w:val="solid" w:color="000000" w:fill="000000"/>
                <w:fitText w:val="383" w:id="-1233442040"/>
                <w14:textFill>
                  <w14:solidFill>
                    <w14:srgbClr w14:val="000000">
                      <w14:alpha w14:val="100000"/>
                    </w14:srgbClr>
                  </w14:solidFill>
                </w14:textFill>
              </w:rPr>
              <w:t>|</w:t>
            </w:r>
            <w:r w:rsidR="000D0219">
              <w:rPr>
                <w:vertAlign w:val="superscript"/>
              </w:rPr>
              <w:t>7</w:t>
            </w:r>
          </w:p>
        </w:tc>
        <w:tc>
          <w:tcPr>
            <w:tcW w:w="611" w:type="pct"/>
          </w:tcPr>
          <w:p w14:paraId="2C500E9D" w14:textId="370D1627"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9"/>
                <w14:textFill>
                  <w14:solidFill>
                    <w14:srgbClr w14:val="000000">
                      <w14:alpha w14:val="100000"/>
                    </w14:srgbClr>
                  </w14:solidFill>
                </w14:textFill>
              </w:rPr>
              <w:t>|||</w:t>
            </w:r>
            <w:r w:rsidRPr="00BA039D">
              <w:rPr>
                <w:color w:val="000000"/>
                <w:spacing w:val="3"/>
                <w:shd w:val="solid" w:color="000000" w:fill="000000"/>
                <w:fitText w:val="383" w:id="-1233442039"/>
                <w14:textFill>
                  <w14:solidFill>
                    <w14:srgbClr w14:val="000000">
                      <w14:alpha w14:val="100000"/>
                    </w14:srgbClr>
                  </w14:solidFill>
                </w14:textFill>
              </w:rPr>
              <w:t>|</w:t>
            </w:r>
            <w:r w:rsidR="000D0219">
              <w:rPr>
                <w:vertAlign w:val="superscript"/>
              </w:rPr>
              <w:t>7</w:t>
            </w:r>
          </w:p>
        </w:tc>
        <w:tc>
          <w:tcPr>
            <w:tcW w:w="611" w:type="pct"/>
          </w:tcPr>
          <w:p w14:paraId="164D6BDD" w14:textId="27665193"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CD2C1A">
              <w:rPr>
                <w:vertAlign w:val="superscript"/>
              </w:rPr>
              <w:t>17</w:t>
            </w:r>
          </w:p>
        </w:tc>
        <w:tc>
          <w:tcPr>
            <w:tcW w:w="611" w:type="pct"/>
          </w:tcPr>
          <w:p w14:paraId="332FB40F" w14:textId="1142927B" w:rsidR="0043426F" w:rsidRPr="00C42A2C" w:rsidRDefault="00BA039D" w:rsidP="007A73AA">
            <w:pPr>
              <w:pStyle w:val="TableText0"/>
              <w:jc w:val="center"/>
              <w:rPr>
                <w:bCs w:val="0"/>
                <w:highlight w:val="darkGray"/>
              </w:rPr>
            </w:pPr>
            <w:r w:rsidRPr="00BA039D">
              <w:rPr>
                <w:color w:val="000000"/>
                <w:spacing w:val="82"/>
                <w:shd w:val="solid" w:color="000000" w:fill="000000"/>
                <w:fitText w:val="417" w:id="-1233442037"/>
                <w14:textFill>
                  <w14:solidFill>
                    <w14:srgbClr w14:val="000000">
                      <w14:alpha w14:val="100000"/>
                    </w14:srgbClr>
                  </w14:solidFill>
                </w14:textFill>
              </w:rPr>
              <w:t>|||</w:t>
            </w:r>
            <w:r w:rsidRPr="00BA039D">
              <w:rPr>
                <w:color w:val="000000"/>
                <w:spacing w:val="1"/>
                <w:shd w:val="solid" w:color="000000" w:fill="000000"/>
                <w:fitText w:val="417" w:id="-1233442037"/>
                <w14:textFill>
                  <w14:solidFill>
                    <w14:srgbClr w14:val="000000">
                      <w14:alpha w14:val="100000"/>
                    </w14:srgbClr>
                  </w14:solidFill>
                </w14:textFill>
              </w:rPr>
              <w:t>|</w:t>
            </w:r>
            <w:r w:rsidR="00CD2C1A">
              <w:rPr>
                <w:vertAlign w:val="superscript"/>
              </w:rPr>
              <w:t>17</w:t>
            </w:r>
          </w:p>
        </w:tc>
        <w:tc>
          <w:tcPr>
            <w:tcW w:w="611" w:type="pct"/>
          </w:tcPr>
          <w:p w14:paraId="481B74D2" w14:textId="5ABCCC89"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36"/>
                <w14:textFill>
                  <w14:solidFill>
                    <w14:srgbClr w14:val="000000">
                      <w14:alpha w14:val="100000"/>
                    </w14:srgbClr>
                  </w14:solidFill>
                </w14:textFill>
              </w:rPr>
              <w:t>|||</w:t>
            </w:r>
            <w:r w:rsidRPr="00BA039D">
              <w:rPr>
                <w:color w:val="000000"/>
                <w:spacing w:val="3"/>
                <w:shd w:val="solid" w:color="000000" w:fill="000000"/>
                <w:fitText w:val="416" w:id="-1233442036"/>
                <w14:textFill>
                  <w14:solidFill>
                    <w14:srgbClr w14:val="000000">
                      <w14:alpha w14:val="100000"/>
                    </w14:srgbClr>
                  </w14:solidFill>
                </w14:textFill>
              </w:rPr>
              <w:t>|</w:t>
            </w:r>
            <w:r w:rsidR="00CD2C1A">
              <w:rPr>
                <w:vertAlign w:val="superscript"/>
              </w:rPr>
              <w:t>17</w:t>
            </w:r>
          </w:p>
        </w:tc>
      </w:tr>
      <w:tr w:rsidR="0043426F" w:rsidRPr="00AD7238" w14:paraId="049E4A5E" w14:textId="77777777" w:rsidTr="006F0103">
        <w:tc>
          <w:tcPr>
            <w:tcW w:w="1334" w:type="pct"/>
            <w:shd w:val="clear" w:color="auto" w:fill="auto"/>
            <w:vAlign w:val="center"/>
          </w:tcPr>
          <w:p w14:paraId="7E0AD054" w14:textId="043C743B" w:rsidR="0043426F" w:rsidRPr="00AD7238" w:rsidRDefault="0043426F" w:rsidP="00B47BB8">
            <w:pPr>
              <w:pStyle w:val="TableText0"/>
              <w:rPr>
                <w:bCs w:val="0"/>
              </w:rPr>
            </w:pPr>
            <w:r w:rsidRPr="00AD7238">
              <w:t>All 70-79 YOA, Prior HZ infection</w:t>
            </w:r>
            <w:r w:rsidR="00C42A2C">
              <w:t xml:space="preserve"> ($)</w:t>
            </w:r>
          </w:p>
        </w:tc>
        <w:tc>
          <w:tcPr>
            <w:tcW w:w="611" w:type="pct"/>
          </w:tcPr>
          <w:p w14:paraId="7FE71721" w14:textId="13DCADEF" w:rsidR="0043426F" w:rsidRPr="00C42A2C" w:rsidRDefault="00BA039D" w:rsidP="007A73AA">
            <w:pPr>
              <w:pStyle w:val="TableText0"/>
              <w:jc w:val="center"/>
              <w:rPr>
                <w:bCs w:val="0"/>
                <w:highlight w:val="darkGray"/>
              </w:rPr>
            </w:pPr>
            <w:r w:rsidRPr="00BA039D">
              <w:rPr>
                <w:color w:val="000000"/>
                <w:spacing w:val="70"/>
                <w:shd w:val="solid" w:color="000000" w:fill="000000"/>
                <w:fitText w:val="382" w:id="-1233442035"/>
                <w14:textFill>
                  <w14:solidFill>
                    <w14:srgbClr w14:val="000000">
                      <w14:alpha w14:val="100000"/>
                    </w14:srgbClr>
                  </w14:solidFill>
                </w14:textFill>
              </w:rPr>
              <w:t>|||</w:t>
            </w:r>
            <w:r w:rsidRPr="00BA039D">
              <w:rPr>
                <w:color w:val="000000"/>
                <w:spacing w:val="2"/>
                <w:shd w:val="solid" w:color="000000" w:fill="000000"/>
                <w:fitText w:val="382" w:id="-1233442035"/>
                <w14:textFill>
                  <w14:solidFill>
                    <w14:srgbClr w14:val="000000">
                      <w14:alpha w14:val="100000"/>
                    </w14:srgbClr>
                  </w14:solidFill>
                </w14:textFill>
              </w:rPr>
              <w:t>|</w:t>
            </w:r>
            <w:r w:rsidR="000D0219">
              <w:rPr>
                <w:vertAlign w:val="superscript"/>
              </w:rPr>
              <w:t>9</w:t>
            </w:r>
          </w:p>
        </w:tc>
        <w:tc>
          <w:tcPr>
            <w:tcW w:w="611" w:type="pct"/>
          </w:tcPr>
          <w:p w14:paraId="5F6F4D7D" w14:textId="12983823"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4"/>
                <w14:textFill>
                  <w14:solidFill>
                    <w14:srgbClr w14:val="000000">
                      <w14:alpha w14:val="100000"/>
                    </w14:srgbClr>
                  </w14:solidFill>
                </w14:textFill>
              </w:rPr>
              <w:t>|||</w:t>
            </w:r>
            <w:r w:rsidRPr="00BA039D">
              <w:rPr>
                <w:color w:val="000000"/>
                <w:spacing w:val="3"/>
                <w:shd w:val="solid" w:color="000000" w:fill="000000"/>
                <w:fitText w:val="383" w:id="-1233442034"/>
                <w14:textFill>
                  <w14:solidFill>
                    <w14:srgbClr w14:val="000000">
                      <w14:alpha w14:val="100000"/>
                    </w14:srgbClr>
                  </w14:solidFill>
                </w14:textFill>
              </w:rPr>
              <w:t>|</w:t>
            </w:r>
            <w:r w:rsidR="000D0219">
              <w:rPr>
                <w:vertAlign w:val="superscript"/>
              </w:rPr>
              <w:t>7</w:t>
            </w:r>
          </w:p>
        </w:tc>
        <w:tc>
          <w:tcPr>
            <w:tcW w:w="611" w:type="pct"/>
          </w:tcPr>
          <w:p w14:paraId="4BFCA208" w14:textId="5945CC48"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3"/>
                <w14:textFill>
                  <w14:solidFill>
                    <w14:srgbClr w14:val="000000">
                      <w14:alpha w14:val="100000"/>
                    </w14:srgbClr>
                  </w14:solidFill>
                </w14:textFill>
              </w:rPr>
              <w:t>|||</w:t>
            </w:r>
            <w:r w:rsidRPr="00BA039D">
              <w:rPr>
                <w:color w:val="000000"/>
                <w:spacing w:val="3"/>
                <w:shd w:val="solid" w:color="000000" w:fill="000000"/>
                <w:fitText w:val="383" w:id="-1233442033"/>
                <w14:textFill>
                  <w14:solidFill>
                    <w14:srgbClr w14:val="000000">
                      <w14:alpha w14:val="100000"/>
                    </w14:srgbClr>
                  </w14:solidFill>
                </w14:textFill>
              </w:rPr>
              <w:t>|</w:t>
            </w:r>
            <w:r w:rsidR="000D0219">
              <w:rPr>
                <w:vertAlign w:val="superscript"/>
              </w:rPr>
              <w:t>7</w:t>
            </w:r>
          </w:p>
        </w:tc>
        <w:tc>
          <w:tcPr>
            <w:tcW w:w="611" w:type="pct"/>
          </w:tcPr>
          <w:p w14:paraId="35E0DCC8" w14:textId="34DEF79D"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32"/>
                <w14:textFill>
                  <w14:solidFill>
                    <w14:srgbClr w14:val="000000">
                      <w14:alpha w14:val="100000"/>
                    </w14:srgbClr>
                  </w14:solidFill>
                </w14:textFill>
              </w:rPr>
              <w:t>|||</w:t>
            </w:r>
            <w:r w:rsidRPr="00BA039D">
              <w:rPr>
                <w:color w:val="000000"/>
                <w:spacing w:val="3"/>
                <w:shd w:val="solid" w:color="000000" w:fill="000000"/>
                <w:fitText w:val="416" w:id="-1233442032"/>
                <w14:textFill>
                  <w14:solidFill>
                    <w14:srgbClr w14:val="000000">
                      <w14:alpha w14:val="100000"/>
                    </w14:srgbClr>
                  </w14:solidFill>
                </w14:textFill>
              </w:rPr>
              <w:t>|</w:t>
            </w:r>
            <w:r w:rsidR="00CD2C1A">
              <w:rPr>
                <w:vertAlign w:val="superscript"/>
              </w:rPr>
              <w:t>17</w:t>
            </w:r>
          </w:p>
        </w:tc>
        <w:tc>
          <w:tcPr>
            <w:tcW w:w="611" w:type="pct"/>
          </w:tcPr>
          <w:p w14:paraId="0E82B043" w14:textId="555A780B" w:rsidR="0043426F" w:rsidRPr="00C42A2C" w:rsidRDefault="00BA039D" w:rsidP="007A73AA">
            <w:pPr>
              <w:pStyle w:val="TableText0"/>
              <w:jc w:val="center"/>
              <w:rPr>
                <w:bCs w:val="0"/>
                <w:highlight w:val="darkGray"/>
              </w:rPr>
            </w:pPr>
            <w:r w:rsidRPr="00BA039D">
              <w:rPr>
                <w:color w:val="000000"/>
                <w:spacing w:val="82"/>
                <w:shd w:val="solid" w:color="000000" w:fill="000000"/>
                <w:fitText w:val="417" w:id="-1233442048"/>
                <w14:textFill>
                  <w14:solidFill>
                    <w14:srgbClr w14:val="000000">
                      <w14:alpha w14:val="100000"/>
                    </w14:srgbClr>
                  </w14:solidFill>
                </w14:textFill>
              </w:rPr>
              <w:t>|||</w:t>
            </w:r>
            <w:r w:rsidRPr="00BA039D">
              <w:rPr>
                <w:color w:val="000000"/>
                <w:spacing w:val="1"/>
                <w:shd w:val="solid" w:color="000000" w:fill="000000"/>
                <w:fitText w:val="417" w:id="-1233442048"/>
                <w14:textFill>
                  <w14:solidFill>
                    <w14:srgbClr w14:val="000000">
                      <w14:alpha w14:val="100000"/>
                    </w14:srgbClr>
                  </w14:solidFill>
                </w14:textFill>
              </w:rPr>
              <w:t>|</w:t>
            </w:r>
            <w:r w:rsidR="00CD2C1A">
              <w:rPr>
                <w:vertAlign w:val="superscript"/>
              </w:rPr>
              <w:t>17</w:t>
            </w:r>
          </w:p>
        </w:tc>
        <w:tc>
          <w:tcPr>
            <w:tcW w:w="611" w:type="pct"/>
          </w:tcPr>
          <w:p w14:paraId="46B0B861" w14:textId="44F42E73"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47"/>
                <w14:textFill>
                  <w14:solidFill>
                    <w14:srgbClr w14:val="000000">
                      <w14:alpha w14:val="100000"/>
                    </w14:srgbClr>
                  </w14:solidFill>
                </w14:textFill>
              </w:rPr>
              <w:t>|||</w:t>
            </w:r>
            <w:r w:rsidRPr="00BA039D">
              <w:rPr>
                <w:color w:val="000000"/>
                <w:spacing w:val="3"/>
                <w:shd w:val="solid" w:color="000000" w:fill="000000"/>
                <w:fitText w:val="416" w:id="-1233442047"/>
                <w14:textFill>
                  <w14:solidFill>
                    <w14:srgbClr w14:val="000000">
                      <w14:alpha w14:val="100000"/>
                    </w14:srgbClr>
                  </w14:solidFill>
                </w14:textFill>
              </w:rPr>
              <w:t>|</w:t>
            </w:r>
            <w:r w:rsidR="00CD2C1A">
              <w:rPr>
                <w:vertAlign w:val="superscript"/>
              </w:rPr>
              <w:t>17</w:t>
            </w:r>
          </w:p>
        </w:tc>
      </w:tr>
      <w:tr w:rsidR="0043426F" w:rsidRPr="00AD7238" w14:paraId="4ED3D3AB" w14:textId="77777777" w:rsidTr="006F0103">
        <w:tc>
          <w:tcPr>
            <w:tcW w:w="1334" w:type="pct"/>
            <w:shd w:val="clear" w:color="auto" w:fill="auto"/>
            <w:vAlign w:val="center"/>
          </w:tcPr>
          <w:p w14:paraId="2B395F0D" w14:textId="1E43A672" w:rsidR="0043426F" w:rsidRPr="00AD7238" w:rsidRDefault="0043426F" w:rsidP="00B47BB8">
            <w:pPr>
              <w:pStyle w:val="TableText0"/>
              <w:rPr>
                <w:bCs w:val="0"/>
              </w:rPr>
            </w:pPr>
            <w:r w:rsidRPr="00AD7238">
              <w:t>All 70-79 YOA, Neither</w:t>
            </w:r>
            <w:r w:rsidR="00C42A2C">
              <w:t xml:space="preserve"> ($)</w:t>
            </w:r>
          </w:p>
        </w:tc>
        <w:tc>
          <w:tcPr>
            <w:tcW w:w="611" w:type="pct"/>
          </w:tcPr>
          <w:p w14:paraId="5300357C" w14:textId="519CED34"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46"/>
                <w14:textFill>
                  <w14:solidFill>
                    <w14:srgbClr w14:val="000000">
                      <w14:alpha w14:val="100000"/>
                    </w14:srgbClr>
                  </w14:solidFill>
                </w14:textFill>
              </w:rPr>
              <w:t>|||</w:t>
            </w:r>
            <w:r w:rsidRPr="00BA039D">
              <w:rPr>
                <w:color w:val="000000"/>
                <w:spacing w:val="3"/>
                <w:shd w:val="solid" w:color="000000" w:fill="000000"/>
                <w:fitText w:val="416" w:id="-1233442046"/>
                <w14:textFill>
                  <w14:solidFill>
                    <w14:srgbClr w14:val="000000">
                      <w14:alpha w14:val="100000"/>
                    </w14:srgbClr>
                  </w14:solidFill>
                </w14:textFill>
              </w:rPr>
              <w:t>|</w:t>
            </w:r>
            <w:r w:rsidR="00CD2C1A">
              <w:rPr>
                <w:vertAlign w:val="superscript"/>
              </w:rPr>
              <w:t>10</w:t>
            </w:r>
          </w:p>
        </w:tc>
        <w:tc>
          <w:tcPr>
            <w:tcW w:w="611" w:type="pct"/>
          </w:tcPr>
          <w:p w14:paraId="4A10C5FD" w14:textId="19DA39E1"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45"/>
                <w14:textFill>
                  <w14:solidFill>
                    <w14:srgbClr w14:val="000000">
                      <w14:alpha w14:val="100000"/>
                    </w14:srgbClr>
                  </w14:solidFill>
                </w14:textFill>
              </w:rPr>
              <w:t>|||</w:t>
            </w:r>
            <w:r w:rsidRPr="00BA039D">
              <w:rPr>
                <w:color w:val="000000"/>
                <w:spacing w:val="3"/>
                <w:shd w:val="solid" w:color="000000" w:fill="000000"/>
                <w:fitText w:val="416" w:id="-1233442045"/>
                <w14:textFill>
                  <w14:solidFill>
                    <w14:srgbClr w14:val="000000">
                      <w14:alpha w14:val="100000"/>
                    </w14:srgbClr>
                  </w14:solidFill>
                </w14:textFill>
              </w:rPr>
              <w:t>|</w:t>
            </w:r>
            <w:r w:rsidR="00CD2C1A">
              <w:rPr>
                <w:vertAlign w:val="superscript"/>
              </w:rPr>
              <w:t>14</w:t>
            </w:r>
          </w:p>
        </w:tc>
        <w:tc>
          <w:tcPr>
            <w:tcW w:w="611" w:type="pct"/>
          </w:tcPr>
          <w:p w14:paraId="008862FD" w14:textId="2ABD0859"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44"/>
                <w14:textFill>
                  <w14:solidFill>
                    <w14:srgbClr w14:val="000000">
                      <w14:alpha w14:val="100000"/>
                    </w14:srgbClr>
                  </w14:solidFill>
                </w14:textFill>
              </w:rPr>
              <w:t>|||</w:t>
            </w:r>
            <w:r w:rsidRPr="00BA039D">
              <w:rPr>
                <w:color w:val="000000"/>
                <w:spacing w:val="3"/>
                <w:shd w:val="solid" w:color="000000" w:fill="000000"/>
                <w:fitText w:val="416" w:id="-1233442044"/>
                <w14:textFill>
                  <w14:solidFill>
                    <w14:srgbClr w14:val="000000">
                      <w14:alpha w14:val="100000"/>
                    </w14:srgbClr>
                  </w14:solidFill>
                </w14:textFill>
              </w:rPr>
              <w:t>|</w:t>
            </w:r>
            <w:r w:rsidR="008D62AB">
              <w:rPr>
                <w:vertAlign w:val="superscript"/>
              </w:rPr>
              <w:t>22</w:t>
            </w:r>
          </w:p>
        </w:tc>
        <w:tc>
          <w:tcPr>
            <w:tcW w:w="611" w:type="pct"/>
          </w:tcPr>
          <w:p w14:paraId="0B4A42DA" w14:textId="6C35EBFE"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43"/>
                <w14:textFill>
                  <w14:solidFill>
                    <w14:srgbClr w14:val="000000">
                      <w14:alpha w14:val="100000"/>
                    </w14:srgbClr>
                  </w14:solidFill>
                </w14:textFill>
              </w:rPr>
              <w:t>|||</w:t>
            </w:r>
            <w:r w:rsidRPr="00BA039D">
              <w:rPr>
                <w:color w:val="000000"/>
                <w:spacing w:val="3"/>
                <w:shd w:val="solid" w:color="000000" w:fill="000000"/>
                <w:fitText w:val="383" w:id="-1233442043"/>
                <w14:textFill>
                  <w14:solidFill>
                    <w14:srgbClr w14:val="000000">
                      <w14:alpha w14:val="100000"/>
                    </w14:srgbClr>
                  </w14:solidFill>
                </w14:textFill>
              </w:rPr>
              <w:t>|</w:t>
            </w:r>
            <w:r w:rsidR="000D0219">
              <w:rPr>
                <w:vertAlign w:val="superscript"/>
              </w:rPr>
              <w:t>7</w:t>
            </w:r>
          </w:p>
        </w:tc>
        <w:tc>
          <w:tcPr>
            <w:tcW w:w="611" w:type="pct"/>
          </w:tcPr>
          <w:p w14:paraId="3AF36EDA" w14:textId="61369E14"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42"/>
                <w14:textFill>
                  <w14:solidFill>
                    <w14:srgbClr w14:val="000000">
                      <w14:alpha w14:val="100000"/>
                    </w14:srgbClr>
                  </w14:solidFill>
                </w14:textFill>
              </w:rPr>
              <w:t>|||</w:t>
            </w:r>
            <w:r w:rsidRPr="00BA039D">
              <w:rPr>
                <w:color w:val="000000"/>
                <w:spacing w:val="3"/>
                <w:shd w:val="solid" w:color="000000" w:fill="000000"/>
                <w:fitText w:val="383" w:id="-1233442042"/>
                <w14:textFill>
                  <w14:solidFill>
                    <w14:srgbClr w14:val="000000">
                      <w14:alpha w14:val="100000"/>
                    </w14:srgbClr>
                  </w14:solidFill>
                </w14:textFill>
              </w:rPr>
              <w:t>|</w:t>
            </w:r>
            <w:r w:rsidR="000D0219">
              <w:rPr>
                <w:vertAlign w:val="superscript"/>
              </w:rPr>
              <w:t>7</w:t>
            </w:r>
          </w:p>
        </w:tc>
        <w:tc>
          <w:tcPr>
            <w:tcW w:w="611" w:type="pct"/>
          </w:tcPr>
          <w:p w14:paraId="27F07561" w14:textId="614D979A"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41"/>
                <w14:textFill>
                  <w14:solidFill>
                    <w14:srgbClr w14:val="000000">
                      <w14:alpha w14:val="100000"/>
                    </w14:srgbClr>
                  </w14:solidFill>
                </w14:textFill>
              </w:rPr>
              <w:t>|||</w:t>
            </w:r>
            <w:r w:rsidRPr="00BA039D">
              <w:rPr>
                <w:color w:val="000000"/>
                <w:spacing w:val="3"/>
                <w:shd w:val="solid" w:color="000000" w:fill="000000"/>
                <w:fitText w:val="383" w:id="-1233442041"/>
                <w14:textFill>
                  <w14:solidFill>
                    <w14:srgbClr w14:val="000000">
                      <w14:alpha w14:val="100000"/>
                    </w14:srgbClr>
                  </w14:solidFill>
                </w14:textFill>
              </w:rPr>
              <w:t>|</w:t>
            </w:r>
            <w:r w:rsidR="000D0219">
              <w:rPr>
                <w:vertAlign w:val="superscript"/>
              </w:rPr>
              <w:t>7</w:t>
            </w:r>
          </w:p>
        </w:tc>
      </w:tr>
      <w:tr w:rsidR="0043426F" w:rsidRPr="00AD7238" w14:paraId="177FE92C" w14:textId="77777777" w:rsidTr="006F0103">
        <w:tc>
          <w:tcPr>
            <w:tcW w:w="1334" w:type="pct"/>
            <w:shd w:val="clear" w:color="auto" w:fill="auto"/>
            <w:vAlign w:val="center"/>
          </w:tcPr>
          <w:p w14:paraId="2F6C2143" w14:textId="24552F4E" w:rsidR="0043426F" w:rsidRPr="00AD7238" w:rsidRDefault="0043426F" w:rsidP="00B47BB8">
            <w:pPr>
              <w:pStyle w:val="TableText0"/>
              <w:rPr>
                <w:bCs w:val="0"/>
              </w:rPr>
            </w:pPr>
            <w:r w:rsidRPr="00AD7238">
              <w:t>All ≥80</w:t>
            </w:r>
            <w:r w:rsidR="009F2288" w:rsidRPr="00AD7238">
              <w:t xml:space="preserve"> YOA</w:t>
            </w:r>
            <w:r w:rsidR="00C42A2C">
              <w:t xml:space="preserve"> ($)</w:t>
            </w:r>
          </w:p>
        </w:tc>
        <w:tc>
          <w:tcPr>
            <w:tcW w:w="611" w:type="pct"/>
          </w:tcPr>
          <w:p w14:paraId="6244CE85" w14:textId="5D3AF86F"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40"/>
                <w14:textFill>
                  <w14:solidFill>
                    <w14:srgbClr w14:val="000000">
                      <w14:alpha w14:val="100000"/>
                    </w14:srgbClr>
                  </w14:solidFill>
                </w14:textFill>
              </w:rPr>
              <w:t>|||</w:t>
            </w:r>
            <w:r w:rsidRPr="00BA039D">
              <w:rPr>
                <w:color w:val="000000"/>
                <w:spacing w:val="3"/>
                <w:shd w:val="solid" w:color="000000" w:fill="000000"/>
                <w:fitText w:val="416" w:id="-1233442040"/>
                <w14:textFill>
                  <w14:solidFill>
                    <w14:srgbClr w14:val="000000">
                      <w14:alpha w14:val="100000"/>
                    </w14:srgbClr>
                  </w14:solidFill>
                </w14:textFill>
              </w:rPr>
              <w:t>|</w:t>
            </w:r>
            <w:r w:rsidR="00CD2C1A">
              <w:rPr>
                <w:vertAlign w:val="superscript"/>
              </w:rPr>
              <w:t>11</w:t>
            </w:r>
          </w:p>
        </w:tc>
        <w:tc>
          <w:tcPr>
            <w:tcW w:w="611" w:type="pct"/>
          </w:tcPr>
          <w:p w14:paraId="04B3B397" w14:textId="6634F554"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9"/>
                <w14:textFill>
                  <w14:solidFill>
                    <w14:srgbClr w14:val="000000">
                      <w14:alpha w14:val="100000"/>
                    </w14:srgbClr>
                  </w14:solidFill>
                </w14:textFill>
              </w:rPr>
              <w:t>|||</w:t>
            </w:r>
            <w:r w:rsidRPr="00BA039D">
              <w:rPr>
                <w:color w:val="000000"/>
                <w:spacing w:val="3"/>
                <w:shd w:val="solid" w:color="000000" w:fill="000000"/>
                <w:fitText w:val="383" w:id="-1233442039"/>
                <w14:textFill>
                  <w14:solidFill>
                    <w14:srgbClr w14:val="000000">
                      <w14:alpha w14:val="100000"/>
                    </w14:srgbClr>
                  </w14:solidFill>
                </w14:textFill>
              </w:rPr>
              <w:t>|</w:t>
            </w:r>
            <w:r w:rsidR="000D0219">
              <w:rPr>
                <w:vertAlign w:val="superscript"/>
              </w:rPr>
              <w:t>9</w:t>
            </w:r>
          </w:p>
        </w:tc>
        <w:tc>
          <w:tcPr>
            <w:tcW w:w="611" w:type="pct"/>
          </w:tcPr>
          <w:p w14:paraId="7CFD5136" w14:textId="72A9990E" w:rsidR="0043426F"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CD2C1A">
              <w:rPr>
                <w:vertAlign w:val="superscript"/>
              </w:rPr>
              <w:t>14</w:t>
            </w:r>
          </w:p>
        </w:tc>
        <w:tc>
          <w:tcPr>
            <w:tcW w:w="611" w:type="pct"/>
          </w:tcPr>
          <w:p w14:paraId="1D218F03" w14:textId="2ED3B312"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7"/>
                <w14:textFill>
                  <w14:solidFill>
                    <w14:srgbClr w14:val="000000">
                      <w14:alpha w14:val="100000"/>
                    </w14:srgbClr>
                  </w14:solidFill>
                </w14:textFill>
              </w:rPr>
              <w:t>|||</w:t>
            </w:r>
            <w:r w:rsidRPr="00BA039D">
              <w:rPr>
                <w:color w:val="000000"/>
                <w:spacing w:val="3"/>
                <w:shd w:val="solid" w:color="000000" w:fill="000000"/>
                <w:fitText w:val="383" w:id="-1233442037"/>
                <w14:textFill>
                  <w14:solidFill>
                    <w14:srgbClr w14:val="000000">
                      <w14:alpha w14:val="100000"/>
                    </w14:srgbClr>
                  </w14:solidFill>
                </w14:textFill>
              </w:rPr>
              <w:t>|</w:t>
            </w:r>
            <w:r w:rsidR="000D0219">
              <w:rPr>
                <w:vertAlign w:val="superscript"/>
              </w:rPr>
              <w:t>7</w:t>
            </w:r>
          </w:p>
        </w:tc>
        <w:tc>
          <w:tcPr>
            <w:tcW w:w="611" w:type="pct"/>
          </w:tcPr>
          <w:p w14:paraId="2B782C73" w14:textId="6CC290B7"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6"/>
                <w14:textFill>
                  <w14:solidFill>
                    <w14:srgbClr w14:val="000000">
                      <w14:alpha w14:val="100000"/>
                    </w14:srgbClr>
                  </w14:solidFill>
                </w14:textFill>
              </w:rPr>
              <w:t>|||</w:t>
            </w:r>
            <w:r w:rsidRPr="00BA039D">
              <w:rPr>
                <w:color w:val="000000"/>
                <w:spacing w:val="3"/>
                <w:shd w:val="solid" w:color="000000" w:fill="000000"/>
                <w:fitText w:val="383" w:id="-1233442036"/>
                <w14:textFill>
                  <w14:solidFill>
                    <w14:srgbClr w14:val="000000">
                      <w14:alpha w14:val="100000"/>
                    </w14:srgbClr>
                  </w14:solidFill>
                </w14:textFill>
              </w:rPr>
              <w:t>|</w:t>
            </w:r>
            <w:r w:rsidR="000D0219">
              <w:rPr>
                <w:vertAlign w:val="superscript"/>
              </w:rPr>
              <w:t>7</w:t>
            </w:r>
          </w:p>
        </w:tc>
        <w:tc>
          <w:tcPr>
            <w:tcW w:w="611" w:type="pct"/>
          </w:tcPr>
          <w:p w14:paraId="3C4E00C2" w14:textId="2A4F5EEC" w:rsidR="0043426F" w:rsidRPr="00C42A2C" w:rsidRDefault="00BA039D" w:rsidP="007A73AA">
            <w:pPr>
              <w:pStyle w:val="TableText0"/>
              <w:jc w:val="center"/>
              <w:rPr>
                <w:bCs w:val="0"/>
                <w:highlight w:val="darkGray"/>
              </w:rPr>
            </w:pPr>
            <w:r w:rsidRPr="00BA039D">
              <w:rPr>
                <w:color w:val="000000"/>
                <w:spacing w:val="70"/>
                <w:shd w:val="solid" w:color="000000" w:fill="000000"/>
                <w:fitText w:val="383" w:id="-1233442035"/>
                <w14:textFill>
                  <w14:solidFill>
                    <w14:srgbClr w14:val="000000">
                      <w14:alpha w14:val="100000"/>
                    </w14:srgbClr>
                  </w14:solidFill>
                </w14:textFill>
              </w:rPr>
              <w:t>|||</w:t>
            </w:r>
            <w:r w:rsidRPr="00BA039D">
              <w:rPr>
                <w:color w:val="000000"/>
                <w:spacing w:val="3"/>
                <w:shd w:val="solid" w:color="000000" w:fill="000000"/>
                <w:fitText w:val="383" w:id="-1233442035"/>
                <w14:textFill>
                  <w14:solidFill>
                    <w14:srgbClr w14:val="000000">
                      <w14:alpha w14:val="100000"/>
                    </w14:srgbClr>
                  </w14:solidFill>
                </w14:textFill>
              </w:rPr>
              <w:t>|</w:t>
            </w:r>
            <w:r w:rsidR="000D0219">
              <w:rPr>
                <w:vertAlign w:val="superscript"/>
              </w:rPr>
              <w:t>7</w:t>
            </w:r>
          </w:p>
        </w:tc>
      </w:tr>
      <w:tr w:rsidR="0043426F" w:rsidRPr="00AD7238" w14:paraId="4A68B4BB" w14:textId="77777777" w:rsidTr="006F0103">
        <w:tc>
          <w:tcPr>
            <w:tcW w:w="5000" w:type="pct"/>
            <w:gridSpan w:val="7"/>
            <w:shd w:val="clear" w:color="auto" w:fill="auto"/>
            <w:vAlign w:val="center"/>
          </w:tcPr>
          <w:p w14:paraId="0D427AAB" w14:textId="27DBE357" w:rsidR="0043426F" w:rsidRPr="00AD7238" w:rsidRDefault="0043426F" w:rsidP="0044579A">
            <w:pPr>
              <w:pStyle w:val="In-tableHeading"/>
              <w:rPr>
                <w:lang w:val="en-AU"/>
              </w:rPr>
            </w:pPr>
            <w:r w:rsidRPr="00AD7238">
              <w:rPr>
                <w:lang w:val="en-AU"/>
              </w:rPr>
              <w:t>Estimated financial implications fo</w:t>
            </w:r>
            <w:r w:rsidR="00660A82" w:rsidRPr="00AD7238">
              <w:rPr>
                <w:lang w:val="en-AU"/>
              </w:rPr>
              <w:t>r</w:t>
            </w:r>
            <w:r w:rsidRPr="00AD7238">
              <w:rPr>
                <w:lang w:val="en-AU"/>
              </w:rPr>
              <w:t xml:space="preserve"> PBS listed medicines</w:t>
            </w:r>
            <w:r w:rsidRPr="00AD7238">
              <w:rPr>
                <w:bCs/>
                <w:lang w:val="en-AU"/>
              </w:rPr>
              <w:t xml:space="preserve"> </w:t>
            </w:r>
          </w:p>
        </w:tc>
      </w:tr>
      <w:tr w:rsidR="004C2DBD" w:rsidRPr="00AD7238" w14:paraId="581254CF" w14:textId="77777777" w:rsidTr="006F0103">
        <w:tc>
          <w:tcPr>
            <w:tcW w:w="1334" w:type="pct"/>
            <w:shd w:val="clear" w:color="auto" w:fill="auto"/>
            <w:vAlign w:val="center"/>
          </w:tcPr>
          <w:p w14:paraId="2DEA5622" w14:textId="7304865B" w:rsidR="004C2DBD" w:rsidRPr="00AD7238" w:rsidRDefault="00F652B3" w:rsidP="00B47BB8">
            <w:pPr>
              <w:pStyle w:val="TableText0"/>
              <w:rPr>
                <w:bCs w:val="0"/>
              </w:rPr>
            </w:pPr>
            <w:r w:rsidRPr="00AD7238">
              <w:t>Aboriginal and Torres Strait Islander</w:t>
            </w:r>
            <w:r w:rsidR="004C2DBD" w:rsidRPr="00AD7238">
              <w:t xml:space="preserve"> 50-69 YOA</w:t>
            </w:r>
            <w:r w:rsidR="00C42A2C">
              <w:t xml:space="preserve"> ($)</w:t>
            </w:r>
          </w:p>
        </w:tc>
        <w:tc>
          <w:tcPr>
            <w:tcW w:w="611" w:type="pct"/>
          </w:tcPr>
          <w:p w14:paraId="11F714EB" w14:textId="2BC32D8E" w:rsidR="004C2DBD" w:rsidRPr="00C42A2C" w:rsidRDefault="00BA039D" w:rsidP="007A73AA">
            <w:pPr>
              <w:pStyle w:val="TableText0"/>
              <w:jc w:val="center"/>
              <w:rPr>
                <w:bCs w:val="0"/>
                <w:highlight w:val="darkGray"/>
              </w:rPr>
            </w:pPr>
            <w:r w:rsidRPr="00BA039D">
              <w:rPr>
                <w:color w:val="000000"/>
                <w:spacing w:val="81"/>
                <w:shd w:val="solid" w:color="000000" w:fill="000000"/>
                <w:fitText w:val="416" w:id="-1233442034"/>
                <w14:textFill>
                  <w14:solidFill>
                    <w14:srgbClr w14:val="000000">
                      <w14:alpha w14:val="100000"/>
                    </w14:srgbClr>
                  </w14:solidFill>
                </w14:textFill>
              </w:rPr>
              <w:t>|||</w:t>
            </w:r>
            <w:r w:rsidRPr="00BA039D">
              <w:rPr>
                <w:color w:val="000000"/>
                <w:spacing w:val="3"/>
                <w:shd w:val="solid" w:color="000000" w:fill="000000"/>
                <w:fitText w:val="416" w:id="-1233442034"/>
                <w14:textFill>
                  <w14:solidFill>
                    <w14:srgbClr w14:val="000000">
                      <w14:alpha w14:val="100000"/>
                    </w14:srgbClr>
                  </w14:solidFill>
                </w14:textFill>
              </w:rPr>
              <w:t>|</w:t>
            </w:r>
            <w:r w:rsidR="00CD2C1A">
              <w:rPr>
                <w:vertAlign w:val="superscript"/>
              </w:rPr>
              <w:t>12</w:t>
            </w:r>
          </w:p>
        </w:tc>
        <w:tc>
          <w:tcPr>
            <w:tcW w:w="611" w:type="pct"/>
          </w:tcPr>
          <w:p w14:paraId="4EEA488C" w14:textId="22CE009B" w:rsidR="004C2DBD" w:rsidRPr="00C42A2C" w:rsidRDefault="00BA039D" w:rsidP="007A73AA">
            <w:pPr>
              <w:pStyle w:val="TableText0"/>
              <w:jc w:val="center"/>
              <w:rPr>
                <w:bCs w:val="0"/>
                <w:highlight w:val="darkGray"/>
              </w:rPr>
            </w:pPr>
            <w:r w:rsidRPr="00BA039D">
              <w:rPr>
                <w:color w:val="000000"/>
                <w:spacing w:val="81"/>
                <w:shd w:val="solid" w:color="000000" w:fill="000000"/>
                <w:fitText w:val="416" w:id="-1233442033"/>
                <w14:textFill>
                  <w14:solidFill>
                    <w14:srgbClr w14:val="000000">
                      <w14:alpha w14:val="100000"/>
                    </w14:srgbClr>
                  </w14:solidFill>
                </w14:textFill>
              </w:rPr>
              <w:t>|||</w:t>
            </w:r>
            <w:r w:rsidRPr="00BA039D">
              <w:rPr>
                <w:color w:val="000000"/>
                <w:spacing w:val="3"/>
                <w:shd w:val="solid" w:color="000000" w:fill="000000"/>
                <w:fitText w:val="416" w:id="-1233442033"/>
                <w14:textFill>
                  <w14:solidFill>
                    <w14:srgbClr w14:val="000000">
                      <w14:alpha w14:val="100000"/>
                    </w14:srgbClr>
                  </w14:solidFill>
                </w14:textFill>
              </w:rPr>
              <w:t>|</w:t>
            </w:r>
            <w:r w:rsidR="00CD2C1A">
              <w:rPr>
                <w:vertAlign w:val="superscript"/>
              </w:rPr>
              <w:t>12</w:t>
            </w:r>
          </w:p>
        </w:tc>
        <w:tc>
          <w:tcPr>
            <w:tcW w:w="611" w:type="pct"/>
          </w:tcPr>
          <w:p w14:paraId="0CEE0026" w14:textId="5F56BE8B" w:rsidR="004C2DBD" w:rsidRPr="00C42A2C" w:rsidRDefault="00BA039D" w:rsidP="007A73AA">
            <w:pPr>
              <w:pStyle w:val="TableText0"/>
              <w:jc w:val="center"/>
              <w:rPr>
                <w:bCs w:val="0"/>
                <w:highlight w:val="darkGray"/>
              </w:rPr>
            </w:pPr>
            <w:r w:rsidRPr="00BA039D">
              <w:rPr>
                <w:color w:val="000000"/>
                <w:spacing w:val="81"/>
                <w:shd w:val="solid" w:color="000000" w:fill="000000"/>
                <w:fitText w:val="416" w:id="-1233442032"/>
                <w14:textFill>
                  <w14:solidFill>
                    <w14:srgbClr w14:val="000000">
                      <w14:alpha w14:val="100000"/>
                    </w14:srgbClr>
                  </w14:solidFill>
                </w14:textFill>
              </w:rPr>
              <w:t>|||</w:t>
            </w:r>
            <w:r w:rsidRPr="00BA039D">
              <w:rPr>
                <w:color w:val="000000"/>
                <w:spacing w:val="3"/>
                <w:shd w:val="solid" w:color="000000" w:fill="000000"/>
                <w:fitText w:val="416" w:id="-1233442032"/>
                <w14:textFill>
                  <w14:solidFill>
                    <w14:srgbClr w14:val="000000">
                      <w14:alpha w14:val="100000"/>
                    </w14:srgbClr>
                  </w14:solidFill>
                </w14:textFill>
              </w:rPr>
              <w:t>|</w:t>
            </w:r>
            <w:r w:rsidR="00CD2C1A">
              <w:rPr>
                <w:vertAlign w:val="superscript"/>
              </w:rPr>
              <w:t>12</w:t>
            </w:r>
          </w:p>
        </w:tc>
        <w:tc>
          <w:tcPr>
            <w:tcW w:w="611" w:type="pct"/>
          </w:tcPr>
          <w:p w14:paraId="21886AC1" w14:textId="0C6D9546" w:rsidR="004C2DBD" w:rsidRPr="00C42A2C" w:rsidRDefault="00BA039D" w:rsidP="007A73AA">
            <w:pPr>
              <w:pStyle w:val="TableText0"/>
              <w:jc w:val="center"/>
              <w:rPr>
                <w:bCs w:val="0"/>
                <w:highlight w:val="darkGray"/>
              </w:rPr>
            </w:pPr>
            <w:r w:rsidRPr="00BA039D">
              <w:rPr>
                <w:color w:val="000000"/>
                <w:spacing w:val="81"/>
                <w:shd w:val="solid" w:color="000000" w:fill="000000"/>
                <w:fitText w:val="416" w:id="-1233442048"/>
                <w14:textFill>
                  <w14:solidFill>
                    <w14:srgbClr w14:val="000000">
                      <w14:alpha w14:val="100000"/>
                    </w14:srgbClr>
                  </w14:solidFill>
                </w14:textFill>
              </w:rPr>
              <w:t>|||</w:t>
            </w:r>
            <w:r w:rsidRPr="00BA039D">
              <w:rPr>
                <w:color w:val="000000"/>
                <w:spacing w:val="3"/>
                <w:shd w:val="solid" w:color="000000" w:fill="000000"/>
                <w:fitText w:val="416" w:id="-1233442048"/>
                <w14:textFill>
                  <w14:solidFill>
                    <w14:srgbClr w14:val="000000">
                      <w14:alpha w14:val="100000"/>
                    </w14:srgbClr>
                  </w14:solidFill>
                </w14:textFill>
              </w:rPr>
              <w:t>|</w:t>
            </w:r>
            <w:r w:rsidR="00CD2C1A">
              <w:rPr>
                <w:vertAlign w:val="superscript"/>
              </w:rPr>
              <w:t>12</w:t>
            </w:r>
          </w:p>
        </w:tc>
        <w:tc>
          <w:tcPr>
            <w:tcW w:w="611" w:type="pct"/>
          </w:tcPr>
          <w:p w14:paraId="09742364" w14:textId="5842CC16" w:rsidR="004C2DBD" w:rsidRPr="00C42A2C" w:rsidRDefault="00BA039D" w:rsidP="007A73AA">
            <w:pPr>
              <w:pStyle w:val="TableText0"/>
              <w:jc w:val="center"/>
              <w:rPr>
                <w:bCs w:val="0"/>
                <w:highlight w:val="darkGray"/>
              </w:rPr>
            </w:pPr>
            <w:r w:rsidRPr="00BA039D">
              <w:rPr>
                <w:color w:val="000000"/>
                <w:spacing w:val="82"/>
                <w:shd w:val="solid" w:color="000000" w:fill="000000"/>
                <w:fitText w:val="417" w:id="-1233442047"/>
                <w14:textFill>
                  <w14:solidFill>
                    <w14:srgbClr w14:val="000000">
                      <w14:alpha w14:val="100000"/>
                    </w14:srgbClr>
                  </w14:solidFill>
                </w14:textFill>
              </w:rPr>
              <w:t>|||</w:t>
            </w:r>
            <w:r w:rsidRPr="00BA039D">
              <w:rPr>
                <w:color w:val="000000"/>
                <w:spacing w:val="1"/>
                <w:shd w:val="solid" w:color="000000" w:fill="000000"/>
                <w:fitText w:val="417" w:id="-1233442047"/>
                <w14:textFill>
                  <w14:solidFill>
                    <w14:srgbClr w14:val="000000">
                      <w14:alpha w14:val="100000"/>
                    </w14:srgbClr>
                  </w14:solidFill>
                </w14:textFill>
              </w:rPr>
              <w:t>|</w:t>
            </w:r>
            <w:r w:rsidR="00CD2C1A">
              <w:rPr>
                <w:vertAlign w:val="superscript"/>
              </w:rPr>
              <w:t>12</w:t>
            </w:r>
          </w:p>
        </w:tc>
        <w:tc>
          <w:tcPr>
            <w:tcW w:w="611" w:type="pct"/>
          </w:tcPr>
          <w:p w14:paraId="477E6C6C" w14:textId="32991AF8" w:rsidR="004C2DBD" w:rsidRPr="00C42A2C" w:rsidRDefault="00BA039D" w:rsidP="007A73AA">
            <w:pPr>
              <w:pStyle w:val="TableText0"/>
              <w:jc w:val="center"/>
              <w:rPr>
                <w:bCs w:val="0"/>
                <w:highlight w:val="darkGray"/>
              </w:rPr>
            </w:pPr>
            <w:r w:rsidRPr="00BA039D">
              <w:rPr>
                <w:color w:val="000000"/>
                <w:spacing w:val="81"/>
                <w:shd w:val="solid" w:color="000000" w:fill="000000"/>
                <w:fitText w:val="416" w:id="-1233442046"/>
                <w14:textFill>
                  <w14:solidFill>
                    <w14:srgbClr w14:val="000000">
                      <w14:alpha w14:val="100000"/>
                    </w14:srgbClr>
                  </w14:solidFill>
                </w14:textFill>
              </w:rPr>
              <w:t>|||</w:t>
            </w:r>
            <w:r w:rsidRPr="00BA039D">
              <w:rPr>
                <w:color w:val="000000"/>
                <w:spacing w:val="3"/>
                <w:shd w:val="solid" w:color="000000" w:fill="000000"/>
                <w:fitText w:val="416" w:id="-1233442046"/>
                <w14:textFill>
                  <w14:solidFill>
                    <w14:srgbClr w14:val="000000">
                      <w14:alpha w14:val="100000"/>
                    </w14:srgbClr>
                  </w14:solidFill>
                </w14:textFill>
              </w:rPr>
              <w:t>|</w:t>
            </w:r>
            <w:r w:rsidR="00CD2C1A">
              <w:rPr>
                <w:vertAlign w:val="superscript"/>
              </w:rPr>
              <w:t>12</w:t>
            </w:r>
          </w:p>
        </w:tc>
      </w:tr>
      <w:tr w:rsidR="00C633D7" w:rsidRPr="00AD7238" w14:paraId="08A29ECB" w14:textId="77777777" w:rsidTr="006F0103">
        <w:tc>
          <w:tcPr>
            <w:tcW w:w="1334" w:type="pct"/>
            <w:shd w:val="clear" w:color="auto" w:fill="auto"/>
            <w:vAlign w:val="center"/>
          </w:tcPr>
          <w:p w14:paraId="524C606A" w14:textId="2BE27FAC" w:rsidR="00C633D7" w:rsidRPr="00AD7238" w:rsidRDefault="00C633D7" w:rsidP="00B47BB8">
            <w:pPr>
              <w:pStyle w:val="TableText0"/>
              <w:rPr>
                <w:bCs w:val="0"/>
              </w:rPr>
            </w:pPr>
            <w:r w:rsidRPr="00AD7238">
              <w:t xml:space="preserve">Non-Indigenous 65-69 YOA </w:t>
            </w:r>
            <w:r w:rsidR="00C42A2C">
              <w:t>($)</w:t>
            </w:r>
          </w:p>
        </w:tc>
        <w:tc>
          <w:tcPr>
            <w:tcW w:w="611" w:type="pct"/>
          </w:tcPr>
          <w:p w14:paraId="571BACD4" w14:textId="25FC4ABB" w:rsidR="00C633D7" w:rsidRPr="00C42A2C" w:rsidRDefault="00BA039D" w:rsidP="007A73AA">
            <w:pPr>
              <w:pStyle w:val="TableText0"/>
              <w:jc w:val="center"/>
              <w:rPr>
                <w:bCs w:val="0"/>
                <w:highlight w:val="darkGray"/>
              </w:rPr>
            </w:pPr>
            <w:r w:rsidRPr="00BA039D">
              <w:rPr>
                <w:color w:val="000000"/>
                <w:spacing w:val="81"/>
                <w:shd w:val="solid" w:color="000000" w:fill="000000"/>
                <w:fitText w:val="416" w:id="-1233442045"/>
                <w14:textFill>
                  <w14:solidFill>
                    <w14:srgbClr w14:val="000000">
                      <w14:alpha w14:val="100000"/>
                    </w14:srgbClr>
                  </w14:solidFill>
                </w14:textFill>
              </w:rPr>
              <w:t>|||</w:t>
            </w:r>
            <w:r w:rsidRPr="00BA039D">
              <w:rPr>
                <w:color w:val="000000"/>
                <w:spacing w:val="3"/>
                <w:shd w:val="solid" w:color="000000" w:fill="000000"/>
                <w:fitText w:val="416" w:id="-1233442045"/>
                <w14:textFill>
                  <w14:solidFill>
                    <w14:srgbClr w14:val="000000">
                      <w14:alpha w14:val="100000"/>
                    </w14:srgbClr>
                  </w14:solidFill>
                </w14:textFill>
              </w:rPr>
              <w:t>|</w:t>
            </w:r>
            <w:r w:rsidR="00CD2C1A">
              <w:rPr>
                <w:vertAlign w:val="superscript"/>
              </w:rPr>
              <w:t>12</w:t>
            </w:r>
          </w:p>
        </w:tc>
        <w:tc>
          <w:tcPr>
            <w:tcW w:w="611" w:type="pct"/>
          </w:tcPr>
          <w:p w14:paraId="5BC2378D" w14:textId="31F759A5" w:rsidR="00C633D7" w:rsidRPr="00C42A2C" w:rsidRDefault="00BA039D" w:rsidP="007A73AA">
            <w:pPr>
              <w:pStyle w:val="TableText0"/>
              <w:jc w:val="center"/>
              <w:rPr>
                <w:bCs w:val="0"/>
                <w:highlight w:val="darkGray"/>
              </w:rPr>
            </w:pPr>
            <w:r w:rsidRPr="00BA039D">
              <w:rPr>
                <w:color w:val="000000"/>
                <w:spacing w:val="81"/>
                <w:shd w:val="solid" w:color="000000" w:fill="000000"/>
                <w:fitText w:val="416" w:id="-1233442044"/>
                <w14:textFill>
                  <w14:solidFill>
                    <w14:srgbClr w14:val="000000">
                      <w14:alpha w14:val="100000"/>
                    </w14:srgbClr>
                  </w14:solidFill>
                </w14:textFill>
              </w:rPr>
              <w:t>|||</w:t>
            </w:r>
            <w:r w:rsidRPr="00BA039D">
              <w:rPr>
                <w:color w:val="000000"/>
                <w:spacing w:val="3"/>
                <w:shd w:val="solid" w:color="000000" w:fill="000000"/>
                <w:fitText w:val="416" w:id="-1233442044"/>
                <w14:textFill>
                  <w14:solidFill>
                    <w14:srgbClr w14:val="000000">
                      <w14:alpha w14:val="100000"/>
                    </w14:srgbClr>
                  </w14:solidFill>
                </w14:textFill>
              </w:rPr>
              <w:t>|</w:t>
            </w:r>
            <w:r w:rsidR="00CD2C1A">
              <w:rPr>
                <w:vertAlign w:val="superscript"/>
              </w:rPr>
              <w:t>12</w:t>
            </w:r>
          </w:p>
        </w:tc>
        <w:tc>
          <w:tcPr>
            <w:tcW w:w="611" w:type="pct"/>
          </w:tcPr>
          <w:p w14:paraId="44DA03B3" w14:textId="072E270B" w:rsidR="00C633D7" w:rsidRPr="00C42A2C" w:rsidRDefault="00BA039D" w:rsidP="007A73AA">
            <w:pPr>
              <w:pStyle w:val="TableText0"/>
              <w:jc w:val="center"/>
              <w:rPr>
                <w:bCs w:val="0"/>
                <w:highlight w:val="darkGray"/>
              </w:rPr>
            </w:pPr>
            <w:r w:rsidRPr="00BA039D">
              <w:rPr>
                <w:color w:val="000000"/>
                <w:spacing w:val="81"/>
                <w:shd w:val="solid" w:color="000000" w:fill="000000"/>
                <w:fitText w:val="416" w:id="-1233442043"/>
                <w14:textFill>
                  <w14:solidFill>
                    <w14:srgbClr w14:val="000000">
                      <w14:alpha w14:val="100000"/>
                    </w14:srgbClr>
                  </w14:solidFill>
                </w14:textFill>
              </w:rPr>
              <w:t>|||</w:t>
            </w:r>
            <w:r w:rsidRPr="00BA039D">
              <w:rPr>
                <w:color w:val="000000"/>
                <w:spacing w:val="3"/>
                <w:shd w:val="solid" w:color="000000" w:fill="000000"/>
                <w:fitText w:val="416" w:id="-1233442043"/>
                <w14:textFill>
                  <w14:solidFill>
                    <w14:srgbClr w14:val="000000">
                      <w14:alpha w14:val="100000"/>
                    </w14:srgbClr>
                  </w14:solidFill>
                </w14:textFill>
              </w:rPr>
              <w:t>|</w:t>
            </w:r>
            <w:r w:rsidR="00CD2C1A">
              <w:rPr>
                <w:vertAlign w:val="superscript"/>
              </w:rPr>
              <w:t>12</w:t>
            </w:r>
          </w:p>
        </w:tc>
        <w:tc>
          <w:tcPr>
            <w:tcW w:w="611" w:type="pct"/>
          </w:tcPr>
          <w:p w14:paraId="7ACCBDF2" w14:textId="5EB4A8FD" w:rsidR="00C633D7" w:rsidRPr="00C42A2C" w:rsidRDefault="00BA039D" w:rsidP="007A73AA">
            <w:pPr>
              <w:pStyle w:val="TableText0"/>
              <w:jc w:val="center"/>
              <w:rPr>
                <w:bCs w:val="0"/>
                <w:highlight w:val="darkGray"/>
              </w:rPr>
            </w:pPr>
            <w:r w:rsidRPr="00BA039D">
              <w:rPr>
                <w:color w:val="000000"/>
                <w:spacing w:val="81"/>
                <w:shd w:val="solid" w:color="000000" w:fill="000000"/>
                <w:fitText w:val="416" w:id="-1233442042"/>
                <w14:textFill>
                  <w14:solidFill>
                    <w14:srgbClr w14:val="000000">
                      <w14:alpha w14:val="100000"/>
                    </w14:srgbClr>
                  </w14:solidFill>
                </w14:textFill>
              </w:rPr>
              <w:t>|||</w:t>
            </w:r>
            <w:r w:rsidRPr="00BA039D">
              <w:rPr>
                <w:color w:val="000000"/>
                <w:spacing w:val="3"/>
                <w:shd w:val="solid" w:color="000000" w:fill="000000"/>
                <w:fitText w:val="416" w:id="-1233442042"/>
                <w14:textFill>
                  <w14:solidFill>
                    <w14:srgbClr w14:val="000000">
                      <w14:alpha w14:val="100000"/>
                    </w14:srgbClr>
                  </w14:solidFill>
                </w14:textFill>
              </w:rPr>
              <w:t>|</w:t>
            </w:r>
            <w:r w:rsidR="00CD2C1A">
              <w:rPr>
                <w:vertAlign w:val="superscript"/>
              </w:rPr>
              <w:t>12</w:t>
            </w:r>
          </w:p>
        </w:tc>
        <w:tc>
          <w:tcPr>
            <w:tcW w:w="611" w:type="pct"/>
          </w:tcPr>
          <w:p w14:paraId="1B9FD78A" w14:textId="779C896D" w:rsidR="00C633D7" w:rsidRPr="00C42A2C" w:rsidRDefault="00BA039D" w:rsidP="007A73AA">
            <w:pPr>
              <w:pStyle w:val="TableText0"/>
              <w:jc w:val="center"/>
              <w:rPr>
                <w:bCs w:val="0"/>
                <w:highlight w:val="darkGray"/>
              </w:rPr>
            </w:pPr>
            <w:r w:rsidRPr="00BA039D">
              <w:rPr>
                <w:color w:val="000000"/>
                <w:spacing w:val="82"/>
                <w:shd w:val="solid" w:color="000000" w:fill="000000"/>
                <w:fitText w:val="417" w:id="-1233442041"/>
                <w14:textFill>
                  <w14:solidFill>
                    <w14:srgbClr w14:val="000000">
                      <w14:alpha w14:val="100000"/>
                    </w14:srgbClr>
                  </w14:solidFill>
                </w14:textFill>
              </w:rPr>
              <w:t>|||</w:t>
            </w:r>
            <w:r w:rsidRPr="00BA039D">
              <w:rPr>
                <w:color w:val="000000"/>
                <w:spacing w:val="1"/>
                <w:shd w:val="solid" w:color="000000" w:fill="000000"/>
                <w:fitText w:val="417" w:id="-1233442041"/>
                <w14:textFill>
                  <w14:solidFill>
                    <w14:srgbClr w14:val="000000">
                      <w14:alpha w14:val="100000"/>
                    </w14:srgbClr>
                  </w14:solidFill>
                </w14:textFill>
              </w:rPr>
              <w:t>|</w:t>
            </w:r>
            <w:r w:rsidR="00CD2C1A">
              <w:rPr>
                <w:vertAlign w:val="superscript"/>
              </w:rPr>
              <w:t>12</w:t>
            </w:r>
          </w:p>
        </w:tc>
        <w:tc>
          <w:tcPr>
            <w:tcW w:w="611" w:type="pct"/>
          </w:tcPr>
          <w:p w14:paraId="5E1C8EE4" w14:textId="6B0C301B" w:rsidR="00C633D7" w:rsidRPr="00C42A2C" w:rsidRDefault="00BA039D" w:rsidP="007A73AA">
            <w:pPr>
              <w:pStyle w:val="TableText0"/>
              <w:jc w:val="center"/>
              <w:rPr>
                <w:bCs w:val="0"/>
                <w:highlight w:val="darkGray"/>
              </w:rPr>
            </w:pPr>
            <w:r w:rsidRPr="00BA039D">
              <w:rPr>
                <w:color w:val="000000"/>
                <w:spacing w:val="81"/>
                <w:shd w:val="solid" w:color="000000" w:fill="000000"/>
                <w:fitText w:val="416" w:id="-1233442040"/>
                <w14:textFill>
                  <w14:solidFill>
                    <w14:srgbClr w14:val="000000">
                      <w14:alpha w14:val="100000"/>
                    </w14:srgbClr>
                  </w14:solidFill>
                </w14:textFill>
              </w:rPr>
              <w:t>|||</w:t>
            </w:r>
            <w:r w:rsidRPr="00BA039D">
              <w:rPr>
                <w:color w:val="000000"/>
                <w:spacing w:val="3"/>
                <w:shd w:val="solid" w:color="000000" w:fill="000000"/>
                <w:fitText w:val="416" w:id="-1233442040"/>
                <w14:textFill>
                  <w14:solidFill>
                    <w14:srgbClr w14:val="000000">
                      <w14:alpha w14:val="100000"/>
                    </w14:srgbClr>
                  </w14:solidFill>
                </w14:textFill>
              </w:rPr>
              <w:t>|</w:t>
            </w:r>
            <w:r w:rsidR="00CD2C1A">
              <w:rPr>
                <w:vertAlign w:val="superscript"/>
              </w:rPr>
              <w:t>12</w:t>
            </w:r>
          </w:p>
        </w:tc>
      </w:tr>
      <w:tr w:rsidR="003B1CC2" w:rsidRPr="00AD7238" w14:paraId="20A155E9" w14:textId="77777777" w:rsidTr="006F0103">
        <w:tc>
          <w:tcPr>
            <w:tcW w:w="1334" w:type="pct"/>
            <w:shd w:val="clear" w:color="auto" w:fill="auto"/>
            <w:vAlign w:val="center"/>
          </w:tcPr>
          <w:p w14:paraId="6DD0DDF7" w14:textId="21A816C2" w:rsidR="003B1CC2" w:rsidRPr="00AD7238" w:rsidRDefault="003B1CC2" w:rsidP="00B47BB8">
            <w:pPr>
              <w:pStyle w:val="TableText0"/>
              <w:rPr>
                <w:bCs w:val="0"/>
              </w:rPr>
            </w:pPr>
            <w:r w:rsidRPr="00AD7238">
              <w:t>All 70-79 YOA, Prior ZVL</w:t>
            </w:r>
            <w:r w:rsidR="00C42A2C">
              <w:t xml:space="preserve"> ($)</w:t>
            </w:r>
          </w:p>
        </w:tc>
        <w:tc>
          <w:tcPr>
            <w:tcW w:w="611" w:type="pct"/>
          </w:tcPr>
          <w:p w14:paraId="00E03419" w14:textId="01706686"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9"/>
                <w14:textFill>
                  <w14:solidFill>
                    <w14:srgbClr w14:val="000000">
                      <w14:alpha w14:val="100000"/>
                    </w14:srgbClr>
                  </w14:solidFill>
                </w14:textFill>
              </w:rPr>
              <w:t>|||</w:t>
            </w:r>
            <w:r w:rsidRPr="00BA039D">
              <w:rPr>
                <w:color w:val="000000"/>
                <w:spacing w:val="3"/>
                <w:shd w:val="solid" w:color="000000" w:fill="000000"/>
                <w:fitText w:val="416" w:id="-1233442039"/>
                <w14:textFill>
                  <w14:solidFill>
                    <w14:srgbClr w14:val="000000">
                      <w14:alpha w14:val="100000"/>
                    </w14:srgbClr>
                  </w14:solidFill>
                </w14:textFill>
              </w:rPr>
              <w:t>|</w:t>
            </w:r>
            <w:r w:rsidR="00CD2C1A">
              <w:rPr>
                <w:vertAlign w:val="superscript"/>
              </w:rPr>
              <w:t>12</w:t>
            </w:r>
          </w:p>
        </w:tc>
        <w:tc>
          <w:tcPr>
            <w:tcW w:w="611" w:type="pct"/>
          </w:tcPr>
          <w:p w14:paraId="343B5968" w14:textId="0F93A165"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CD2C1A">
              <w:rPr>
                <w:vertAlign w:val="superscript"/>
              </w:rPr>
              <w:t>12</w:t>
            </w:r>
          </w:p>
        </w:tc>
        <w:tc>
          <w:tcPr>
            <w:tcW w:w="611" w:type="pct"/>
          </w:tcPr>
          <w:p w14:paraId="63E1B8B5" w14:textId="78A4087C"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7"/>
                <w14:textFill>
                  <w14:solidFill>
                    <w14:srgbClr w14:val="000000">
                      <w14:alpha w14:val="100000"/>
                    </w14:srgbClr>
                  </w14:solidFill>
                </w14:textFill>
              </w:rPr>
              <w:t>|||</w:t>
            </w:r>
            <w:r w:rsidRPr="00BA039D">
              <w:rPr>
                <w:color w:val="000000"/>
                <w:spacing w:val="3"/>
                <w:shd w:val="solid" w:color="000000" w:fill="000000"/>
                <w:fitText w:val="416" w:id="-1233442037"/>
                <w14:textFill>
                  <w14:solidFill>
                    <w14:srgbClr w14:val="000000">
                      <w14:alpha w14:val="100000"/>
                    </w14:srgbClr>
                  </w14:solidFill>
                </w14:textFill>
              </w:rPr>
              <w:t>|</w:t>
            </w:r>
            <w:r w:rsidR="00CD2C1A">
              <w:rPr>
                <w:vertAlign w:val="superscript"/>
              </w:rPr>
              <w:t>12</w:t>
            </w:r>
          </w:p>
        </w:tc>
        <w:tc>
          <w:tcPr>
            <w:tcW w:w="611" w:type="pct"/>
          </w:tcPr>
          <w:p w14:paraId="6577D97F" w14:textId="39613443"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6"/>
                <w14:textFill>
                  <w14:solidFill>
                    <w14:srgbClr w14:val="000000">
                      <w14:alpha w14:val="100000"/>
                    </w14:srgbClr>
                  </w14:solidFill>
                </w14:textFill>
              </w:rPr>
              <w:t>|||</w:t>
            </w:r>
            <w:r w:rsidRPr="00BA039D">
              <w:rPr>
                <w:color w:val="000000"/>
                <w:spacing w:val="3"/>
                <w:shd w:val="solid" w:color="000000" w:fill="000000"/>
                <w:fitText w:val="416" w:id="-1233442036"/>
                <w14:textFill>
                  <w14:solidFill>
                    <w14:srgbClr w14:val="000000">
                      <w14:alpha w14:val="100000"/>
                    </w14:srgbClr>
                  </w14:solidFill>
                </w14:textFill>
              </w:rPr>
              <w:t>|</w:t>
            </w:r>
            <w:r w:rsidR="00CD2C1A">
              <w:rPr>
                <w:vertAlign w:val="superscript"/>
              </w:rPr>
              <w:t>12</w:t>
            </w:r>
          </w:p>
        </w:tc>
        <w:tc>
          <w:tcPr>
            <w:tcW w:w="611" w:type="pct"/>
          </w:tcPr>
          <w:p w14:paraId="41DFC849" w14:textId="0C32A6DD" w:rsidR="003B1CC2" w:rsidRPr="00C42A2C" w:rsidRDefault="00BA039D" w:rsidP="007A73AA">
            <w:pPr>
              <w:pStyle w:val="TableText0"/>
              <w:jc w:val="center"/>
              <w:rPr>
                <w:bCs w:val="0"/>
                <w:highlight w:val="darkGray"/>
              </w:rPr>
            </w:pPr>
            <w:r w:rsidRPr="00BA039D">
              <w:rPr>
                <w:color w:val="000000"/>
                <w:spacing w:val="82"/>
                <w:shd w:val="solid" w:color="000000" w:fill="000000"/>
                <w:fitText w:val="417" w:id="-1233442035"/>
                <w14:textFill>
                  <w14:solidFill>
                    <w14:srgbClr w14:val="000000">
                      <w14:alpha w14:val="100000"/>
                    </w14:srgbClr>
                  </w14:solidFill>
                </w14:textFill>
              </w:rPr>
              <w:t>|||</w:t>
            </w:r>
            <w:r w:rsidRPr="00BA039D">
              <w:rPr>
                <w:color w:val="000000"/>
                <w:spacing w:val="1"/>
                <w:shd w:val="solid" w:color="000000" w:fill="000000"/>
                <w:fitText w:val="417" w:id="-1233442035"/>
                <w14:textFill>
                  <w14:solidFill>
                    <w14:srgbClr w14:val="000000">
                      <w14:alpha w14:val="100000"/>
                    </w14:srgbClr>
                  </w14:solidFill>
                </w14:textFill>
              </w:rPr>
              <w:t>|</w:t>
            </w:r>
            <w:r w:rsidR="00CD2C1A">
              <w:rPr>
                <w:vertAlign w:val="superscript"/>
              </w:rPr>
              <w:t>12</w:t>
            </w:r>
          </w:p>
        </w:tc>
        <w:tc>
          <w:tcPr>
            <w:tcW w:w="611" w:type="pct"/>
          </w:tcPr>
          <w:p w14:paraId="4113689E" w14:textId="2870C71D"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4"/>
                <w14:textFill>
                  <w14:solidFill>
                    <w14:srgbClr w14:val="000000">
                      <w14:alpha w14:val="100000"/>
                    </w14:srgbClr>
                  </w14:solidFill>
                </w14:textFill>
              </w:rPr>
              <w:t>|||</w:t>
            </w:r>
            <w:r w:rsidRPr="00BA039D">
              <w:rPr>
                <w:color w:val="000000"/>
                <w:spacing w:val="3"/>
                <w:shd w:val="solid" w:color="000000" w:fill="000000"/>
                <w:fitText w:val="416" w:id="-1233442034"/>
                <w14:textFill>
                  <w14:solidFill>
                    <w14:srgbClr w14:val="000000">
                      <w14:alpha w14:val="100000"/>
                    </w14:srgbClr>
                  </w14:solidFill>
                </w14:textFill>
              </w:rPr>
              <w:t>|</w:t>
            </w:r>
            <w:r w:rsidR="00CD2C1A">
              <w:rPr>
                <w:vertAlign w:val="superscript"/>
              </w:rPr>
              <w:t>12</w:t>
            </w:r>
          </w:p>
        </w:tc>
      </w:tr>
      <w:tr w:rsidR="003B1CC2" w:rsidRPr="00AD7238" w14:paraId="75D9F5DE" w14:textId="77777777" w:rsidTr="006F0103">
        <w:tc>
          <w:tcPr>
            <w:tcW w:w="1334" w:type="pct"/>
            <w:shd w:val="clear" w:color="auto" w:fill="auto"/>
            <w:vAlign w:val="center"/>
          </w:tcPr>
          <w:p w14:paraId="68697D52" w14:textId="487DCE4B" w:rsidR="003B1CC2" w:rsidRPr="00AD7238" w:rsidRDefault="003B1CC2" w:rsidP="00B47BB8">
            <w:pPr>
              <w:pStyle w:val="TableText0"/>
              <w:rPr>
                <w:bCs w:val="0"/>
              </w:rPr>
            </w:pPr>
            <w:r w:rsidRPr="00AD7238">
              <w:t>All 70-79 YOA, Prior HZ infection</w:t>
            </w:r>
            <w:r w:rsidR="00C42A2C">
              <w:t xml:space="preserve"> ($)</w:t>
            </w:r>
          </w:p>
        </w:tc>
        <w:tc>
          <w:tcPr>
            <w:tcW w:w="611" w:type="pct"/>
          </w:tcPr>
          <w:p w14:paraId="31F99D0A" w14:textId="2B71DB58"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3"/>
                <w14:textFill>
                  <w14:solidFill>
                    <w14:srgbClr w14:val="000000">
                      <w14:alpha w14:val="100000"/>
                    </w14:srgbClr>
                  </w14:solidFill>
                </w14:textFill>
              </w:rPr>
              <w:t>|||</w:t>
            </w:r>
            <w:r w:rsidRPr="00BA039D">
              <w:rPr>
                <w:color w:val="000000"/>
                <w:spacing w:val="3"/>
                <w:shd w:val="solid" w:color="000000" w:fill="000000"/>
                <w:fitText w:val="416" w:id="-1233442033"/>
                <w14:textFill>
                  <w14:solidFill>
                    <w14:srgbClr w14:val="000000">
                      <w14:alpha w14:val="100000"/>
                    </w14:srgbClr>
                  </w14:solidFill>
                </w14:textFill>
              </w:rPr>
              <w:t>|</w:t>
            </w:r>
            <w:r w:rsidR="00CD2C1A">
              <w:rPr>
                <w:vertAlign w:val="superscript"/>
              </w:rPr>
              <w:t>12</w:t>
            </w:r>
          </w:p>
        </w:tc>
        <w:tc>
          <w:tcPr>
            <w:tcW w:w="611" w:type="pct"/>
          </w:tcPr>
          <w:p w14:paraId="500A51D6" w14:textId="1CFE117D"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2"/>
                <w14:textFill>
                  <w14:solidFill>
                    <w14:srgbClr w14:val="000000">
                      <w14:alpha w14:val="100000"/>
                    </w14:srgbClr>
                  </w14:solidFill>
                </w14:textFill>
              </w:rPr>
              <w:t>|||</w:t>
            </w:r>
            <w:r w:rsidRPr="00BA039D">
              <w:rPr>
                <w:color w:val="000000"/>
                <w:spacing w:val="3"/>
                <w:shd w:val="solid" w:color="000000" w:fill="000000"/>
                <w:fitText w:val="416" w:id="-1233442032"/>
                <w14:textFill>
                  <w14:solidFill>
                    <w14:srgbClr w14:val="000000">
                      <w14:alpha w14:val="100000"/>
                    </w14:srgbClr>
                  </w14:solidFill>
                </w14:textFill>
              </w:rPr>
              <w:t>|</w:t>
            </w:r>
            <w:r w:rsidR="00CD2C1A">
              <w:rPr>
                <w:vertAlign w:val="superscript"/>
              </w:rPr>
              <w:t>12</w:t>
            </w:r>
          </w:p>
        </w:tc>
        <w:tc>
          <w:tcPr>
            <w:tcW w:w="611" w:type="pct"/>
          </w:tcPr>
          <w:p w14:paraId="36F26A57" w14:textId="1C094236"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8"/>
                <w14:textFill>
                  <w14:solidFill>
                    <w14:srgbClr w14:val="000000">
                      <w14:alpha w14:val="100000"/>
                    </w14:srgbClr>
                  </w14:solidFill>
                </w14:textFill>
              </w:rPr>
              <w:t>|||</w:t>
            </w:r>
            <w:r w:rsidRPr="00BA039D">
              <w:rPr>
                <w:color w:val="000000"/>
                <w:spacing w:val="3"/>
                <w:shd w:val="solid" w:color="000000" w:fill="000000"/>
                <w:fitText w:val="416" w:id="-1233442048"/>
                <w14:textFill>
                  <w14:solidFill>
                    <w14:srgbClr w14:val="000000">
                      <w14:alpha w14:val="100000"/>
                    </w14:srgbClr>
                  </w14:solidFill>
                </w14:textFill>
              </w:rPr>
              <w:t>|</w:t>
            </w:r>
            <w:r w:rsidR="00CD2C1A">
              <w:rPr>
                <w:vertAlign w:val="superscript"/>
              </w:rPr>
              <w:t>12</w:t>
            </w:r>
          </w:p>
        </w:tc>
        <w:tc>
          <w:tcPr>
            <w:tcW w:w="611" w:type="pct"/>
          </w:tcPr>
          <w:p w14:paraId="0CE65F27" w14:textId="71650E23"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7"/>
                <w14:textFill>
                  <w14:solidFill>
                    <w14:srgbClr w14:val="000000">
                      <w14:alpha w14:val="100000"/>
                    </w14:srgbClr>
                  </w14:solidFill>
                </w14:textFill>
              </w:rPr>
              <w:t>|||</w:t>
            </w:r>
            <w:r w:rsidRPr="00BA039D">
              <w:rPr>
                <w:color w:val="000000"/>
                <w:spacing w:val="3"/>
                <w:shd w:val="solid" w:color="000000" w:fill="000000"/>
                <w:fitText w:val="416" w:id="-1233442047"/>
                <w14:textFill>
                  <w14:solidFill>
                    <w14:srgbClr w14:val="000000">
                      <w14:alpha w14:val="100000"/>
                    </w14:srgbClr>
                  </w14:solidFill>
                </w14:textFill>
              </w:rPr>
              <w:t>|</w:t>
            </w:r>
            <w:r w:rsidR="00CD2C1A">
              <w:rPr>
                <w:vertAlign w:val="superscript"/>
              </w:rPr>
              <w:t>12</w:t>
            </w:r>
          </w:p>
        </w:tc>
        <w:tc>
          <w:tcPr>
            <w:tcW w:w="611" w:type="pct"/>
          </w:tcPr>
          <w:p w14:paraId="7CDD22F2" w14:textId="76F775CB" w:rsidR="003B1CC2" w:rsidRPr="00C42A2C" w:rsidRDefault="00BA039D" w:rsidP="007A73AA">
            <w:pPr>
              <w:pStyle w:val="TableText0"/>
              <w:jc w:val="center"/>
              <w:rPr>
                <w:bCs w:val="0"/>
                <w:highlight w:val="darkGray"/>
              </w:rPr>
            </w:pPr>
            <w:r w:rsidRPr="00BA039D">
              <w:rPr>
                <w:color w:val="000000"/>
                <w:spacing w:val="82"/>
                <w:shd w:val="solid" w:color="000000" w:fill="000000"/>
                <w:fitText w:val="417" w:id="-1233442046"/>
                <w14:textFill>
                  <w14:solidFill>
                    <w14:srgbClr w14:val="000000">
                      <w14:alpha w14:val="100000"/>
                    </w14:srgbClr>
                  </w14:solidFill>
                </w14:textFill>
              </w:rPr>
              <w:t>|||</w:t>
            </w:r>
            <w:r w:rsidRPr="00BA039D">
              <w:rPr>
                <w:color w:val="000000"/>
                <w:spacing w:val="1"/>
                <w:shd w:val="solid" w:color="000000" w:fill="000000"/>
                <w:fitText w:val="417" w:id="-1233442046"/>
                <w14:textFill>
                  <w14:solidFill>
                    <w14:srgbClr w14:val="000000">
                      <w14:alpha w14:val="100000"/>
                    </w14:srgbClr>
                  </w14:solidFill>
                </w14:textFill>
              </w:rPr>
              <w:t>|</w:t>
            </w:r>
            <w:r w:rsidR="00CD2C1A">
              <w:rPr>
                <w:vertAlign w:val="superscript"/>
              </w:rPr>
              <w:t>12</w:t>
            </w:r>
          </w:p>
        </w:tc>
        <w:tc>
          <w:tcPr>
            <w:tcW w:w="611" w:type="pct"/>
          </w:tcPr>
          <w:p w14:paraId="4A929E91" w14:textId="3897CF4A"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5"/>
                <w14:textFill>
                  <w14:solidFill>
                    <w14:srgbClr w14:val="000000">
                      <w14:alpha w14:val="100000"/>
                    </w14:srgbClr>
                  </w14:solidFill>
                </w14:textFill>
              </w:rPr>
              <w:t>|||</w:t>
            </w:r>
            <w:r w:rsidRPr="00BA039D">
              <w:rPr>
                <w:color w:val="000000"/>
                <w:spacing w:val="3"/>
                <w:shd w:val="solid" w:color="000000" w:fill="000000"/>
                <w:fitText w:val="416" w:id="-1233442045"/>
                <w14:textFill>
                  <w14:solidFill>
                    <w14:srgbClr w14:val="000000">
                      <w14:alpha w14:val="100000"/>
                    </w14:srgbClr>
                  </w14:solidFill>
                </w14:textFill>
              </w:rPr>
              <w:t>|</w:t>
            </w:r>
            <w:r w:rsidR="00CD2C1A">
              <w:rPr>
                <w:vertAlign w:val="superscript"/>
              </w:rPr>
              <w:t>12</w:t>
            </w:r>
          </w:p>
        </w:tc>
      </w:tr>
      <w:tr w:rsidR="003B1CC2" w:rsidRPr="00AD7238" w14:paraId="0B78B009" w14:textId="77777777" w:rsidTr="006F0103">
        <w:tc>
          <w:tcPr>
            <w:tcW w:w="1334" w:type="pct"/>
            <w:shd w:val="clear" w:color="auto" w:fill="auto"/>
            <w:vAlign w:val="center"/>
          </w:tcPr>
          <w:p w14:paraId="24D1728C" w14:textId="1D5FE778" w:rsidR="003B1CC2" w:rsidRPr="00AD7238" w:rsidRDefault="003B1CC2" w:rsidP="00B47BB8">
            <w:pPr>
              <w:pStyle w:val="TableText0"/>
              <w:rPr>
                <w:bCs w:val="0"/>
              </w:rPr>
            </w:pPr>
            <w:r w:rsidRPr="00AD7238">
              <w:t>All 70-79 YOA, Neither</w:t>
            </w:r>
            <w:r w:rsidR="00C42A2C">
              <w:t xml:space="preserve"> ($)</w:t>
            </w:r>
          </w:p>
        </w:tc>
        <w:tc>
          <w:tcPr>
            <w:tcW w:w="611" w:type="pct"/>
          </w:tcPr>
          <w:p w14:paraId="12242B72" w14:textId="3987646B"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4"/>
                <w14:textFill>
                  <w14:solidFill>
                    <w14:srgbClr w14:val="000000">
                      <w14:alpha w14:val="100000"/>
                    </w14:srgbClr>
                  </w14:solidFill>
                </w14:textFill>
              </w:rPr>
              <w:t>|||</w:t>
            </w:r>
            <w:r w:rsidRPr="00BA039D">
              <w:rPr>
                <w:color w:val="000000"/>
                <w:spacing w:val="3"/>
                <w:shd w:val="solid" w:color="000000" w:fill="000000"/>
                <w:fitText w:val="416" w:id="-1233442044"/>
                <w14:textFill>
                  <w14:solidFill>
                    <w14:srgbClr w14:val="000000">
                      <w14:alpha w14:val="100000"/>
                    </w14:srgbClr>
                  </w14:solidFill>
                </w14:textFill>
              </w:rPr>
              <w:t>|</w:t>
            </w:r>
            <w:r w:rsidR="00CD2C1A">
              <w:rPr>
                <w:vertAlign w:val="superscript"/>
              </w:rPr>
              <w:t>12</w:t>
            </w:r>
          </w:p>
        </w:tc>
        <w:tc>
          <w:tcPr>
            <w:tcW w:w="611" w:type="pct"/>
          </w:tcPr>
          <w:p w14:paraId="10A36BF0" w14:textId="085B453A"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3"/>
                <w14:textFill>
                  <w14:solidFill>
                    <w14:srgbClr w14:val="000000">
                      <w14:alpha w14:val="100000"/>
                    </w14:srgbClr>
                  </w14:solidFill>
                </w14:textFill>
              </w:rPr>
              <w:t>|||</w:t>
            </w:r>
            <w:r w:rsidRPr="00BA039D">
              <w:rPr>
                <w:color w:val="000000"/>
                <w:spacing w:val="3"/>
                <w:shd w:val="solid" w:color="000000" w:fill="000000"/>
                <w:fitText w:val="416" w:id="-1233442043"/>
                <w14:textFill>
                  <w14:solidFill>
                    <w14:srgbClr w14:val="000000">
                      <w14:alpha w14:val="100000"/>
                    </w14:srgbClr>
                  </w14:solidFill>
                </w14:textFill>
              </w:rPr>
              <w:t>|</w:t>
            </w:r>
            <w:r w:rsidR="00CD2C1A">
              <w:rPr>
                <w:vertAlign w:val="superscript"/>
              </w:rPr>
              <w:t>12</w:t>
            </w:r>
          </w:p>
        </w:tc>
        <w:tc>
          <w:tcPr>
            <w:tcW w:w="611" w:type="pct"/>
          </w:tcPr>
          <w:p w14:paraId="6870A084" w14:textId="72C76C31"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2"/>
                <w14:textFill>
                  <w14:solidFill>
                    <w14:srgbClr w14:val="000000">
                      <w14:alpha w14:val="100000"/>
                    </w14:srgbClr>
                  </w14:solidFill>
                </w14:textFill>
              </w:rPr>
              <w:t>|||</w:t>
            </w:r>
            <w:r w:rsidRPr="00BA039D">
              <w:rPr>
                <w:color w:val="000000"/>
                <w:spacing w:val="3"/>
                <w:shd w:val="solid" w:color="000000" w:fill="000000"/>
                <w:fitText w:val="416" w:id="-1233442042"/>
                <w14:textFill>
                  <w14:solidFill>
                    <w14:srgbClr w14:val="000000">
                      <w14:alpha w14:val="100000"/>
                    </w14:srgbClr>
                  </w14:solidFill>
                </w14:textFill>
              </w:rPr>
              <w:t>|</w:t>
            </w:r>
            <w:r w:rsidR="00CD2C1A">
              <w:rPr>
                <w:vertAlign w:val="superscript"/>
              </w:rPr>
              <w:t>12</w:t>
            </w:r>
          </w:p>
        </w:tc>
        <w:tc>
          <w:tcPr>
            <w:tcW w:w="611" w:type="pct"/>
          </w:tcPr>
          <w:p w14:paraId="43CAC8FC" w14:textId="14F079E4"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41"/>
                <w14:textFill>
                  <w14:solidFill>
                    <w14:srgbClr w14:val="000000">
                      <w14:alpha w14:val="100000"/>
                    </w14:srgbClr>
                  </w14:solidFill>
                </w14:textFill>
              </w:rPr>
              <w:t>|||</w:t>
            </w:r>
            <w:r w:rsidRPr="00BA039D">
              <w:rPr>
                <w:color w:val="000000"/>
                <w:spacing w:val="3"/>
                <w:shd w:val="solid" w:color="000000" w:fill="000000"/>
                <w:fitText w:val="416" w:id="-1233442041"/>
                <w14:textFill>
                  <w14:solidFill>
                    <w14:srgbClr w14:val="000000">
                      <w14:alpha w14:val="100000"/>
                    </w14:srgbClr>
                  </w14:solidFill>
                </w14:textFill>
              </w:rPr>
              <w:t>|</w:t>
            </w:r>
            <w:r w:rsidR="00CD2C1A">
              <w:rPr>
                <w:vertAlign w:val="superscript"/>
              </w:rPr>
              <w:t>12</w:t>
            </w:r>
          </w:p>
        </w:tc>
        <w:tc>
          <w:tcPr>
            <w:tcW w:w="611" w:type="pct"/>
          </w:tcPr>
          <w:p w14:paraId="558D4E00" w14:textId="27A5022D" w:rsidR="003B1CC2" w:rsidRPr="00C42A2C" w:rsidRDefault="00BA039D" w:rsidP="007A73AA">
            <w:pPr>
              <w:pStyle w:val="TableText0"/>
              <w:jc w:val="center"/>
              <w:rPr>
                <w:bCs w:val="0"/>
                <w:highlight w:val="darkGray"/>
              </w:rPr>
            </w:pPr>
            <w:r w:rsidRPr="00BA039D">
              <w:rPr>
                <w:color w:val="000000"/>
                <w:spacing w:val="82"/>
                <w:shd w:val="solid" w:color="000000" w:fill="000000"/>
                <w:fitText w:val="417" w:id="-1233442040"/>
                <w14:textFill>
                  <w14:solidFill>
                    <w14:srgbClr w14:val="000000">
                      <w14:alpha w14:val="100000"/>
                    </w14:srgbClr>
                  </w14:solidFill>
                </w14:textFill>
              </w:rPr>
              <w:t>|||</w:t>
            </w:r>
            <w:r w:rsidRPr="00BA039D">
              <w:rPr>
                <w:color w:val="000000"/>
                <w:spacing w:val="1"/>
                <w:shd w:val="solid" w:color="000000" w:fill="000000"/>
                <w:fitText w:val="417" w:id="-1233442040"/>
                <w14:textFill>
                  <w14:solidFill>
                    <w14:srgbClr w14:val="000000">
                      <w14:alpha w14:val="100000"/>
                    </w14:srgbClr>
                  </w14:solidFill>
                </w14:textFill>
              </w:rPr>
              <w:t>|</w:t>
            </w:r>
            <w:r w:rsidR="00CD2C1A">
              <w:rPr>
                <w:vertAlign w:val="superscript"/>
              </w:rPr>
              <w:t>12</w:t>
            </w:r>
          </w:p>
        </w:tc>
        <w:tc>
          <w:tcPr>
            <w:tcW w:w="611" w:type="pct"/>
          </w:tcPr>
          <w:p w14:paraId="28F649C4" w14:textId="17BF9CD2"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9"/>
                <w14:textFill>
                  <w14:solidFill>
                    <w14:srgbClr w14:val="000000">
                      <w14:alpha w14:val="100000"/>
                    </w14:srgbClr>
                  </w14:solidFill>
                </w14:textFill>
              </w:rPr>
              <w:t>|||</w:t>
            </w:r>
            <w:r w:rsidRPr="00BA039D">
              <w:rPr>
                <w:color w:val="000000"/>
                <w:spacing w:val="3"/>
                <w:shd w:val="solid" w:color="000000" w:fill="000000"/>
                <w:fitText w:val="416" w:id="-1233442039"/>
                <w14:textFill>
                  <w14:solidFill>
                    <w14:srgbClr w14:val="000000">
                      <w14:alpha w14:val="100000"/>
                    </w14:srgbClr>
                  </w14:solidFill>
                </w14:textFill>
              </w:rPr>
              <w:t>|</w:t>
            </w:r>
            <w:r w:rsidR="00CD2C1A">
              <w:rPr>
                <w:vertAlign w:val="superscript"/>
              </w:rPr>
              <w:t>12</w:t>
            </w:r>
          </w:p>
        </w:tc>
      </w:tr>
      <w:tr w:rsidR="003B1CC2" w:rsidRPr="00AD7238" w14:paraId="26EB8CAB" w14:textId="77777777" w:rsidTr="006F0103">
        <w:tc>
          <w:tcPr>
            <w:tcW w:w="1334" w:type="pct"/>
            <w:shd w:val="clear" w:color="auto" w:fill="auto"/>
            <w:vAlign w:val="center"/>
          </w:tcPr>
          <w:p w14:paraId="3005F5DA" w14:textId="033FA05E" w:rsidR="003B1CC2" w:rsidRPr="00AD7238" w:rsidRDefault="003B1CC2" w:rsidP="00B47BB8">
            <w:pPr>
              <w:pStyle w:val="TableText0"/>
              <w:rPr>
                <w:bCs w:val="0"/>
              </w:rPr>
            </w:pPr>
            <w:r w:rsidRPr="00AD7238">
              <w:t>All ≥80 YOA</w:t>
            </w:r>
            <w:r w:rsidR="00C42A2C">
              <w:t xml:space="preserve"> ($)</w:t>
            </w:r>
          </w:p>
        </w:tc>
        <w:tc>
          <w:tcPr>
            <w:tcW w:w="611" w:type="pct"/>
          </w:tcPr>
          <w:p w14:paraId="6FB588F4" w14:textId="73161CCB"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2038"/>
                <w14:textFill>
                  <w14:solidFill>
                    <w14:srgbClr w14:val="000000">
                      <w14:alpha w14:val="100000"/>
                    </w14:srgbClr>
                  </w14:solidFill>
                </w14:textFill>
              </w:rPr>
              <w:t>|||</w:t>
            </w:r>
            <w:r w:rsidRPr="00BA039D">
              <w:rPr>
                <w:color w:val="000000"/>
                <w:spacing w:val="3"/>
                <w:shd w:val="solid" w:color="000000" w:fill="000000"/>
                <w:fitText w:val="416" w:id="-1233442038"/>
                <w14:textFill>
                  <w14:solidFill>
                    <w14:srgbClr w14:val="000000">
                      <w14:alpha w14:val="100000"/>
                    </w14:srgbClr>
                  </w14:solidFill>
                </w14:textFill>
              </w:rPr>
              <w:t>|</w:t>
            </w:r>
            <w:r w:rsidR="00CD2C1A">
              <w:rPr>
                <w:vertAlign w:val="superscript"/>
              </w:rPr>
              <w:t>12</w:t>
            </w:r>
          </w:p>
        </w:tc>
        <w:tc>
          <w:tcPr>
            <w:tcW w:w="611" w:type="pct"/>
          </w:tcPr>
          <w:p w14:paraId="2253F3E6" w14:textId="36E0D166"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1792"/>
                <w14:textFill>
                  <w14:solidFill>
                    <w14:srgbClr w14:val="000000">
                      <w14:alpha w14:val="100000"/>
                    </w14:srgbClr>
                  </w14:solidFill>
                </w14:textFill>
              </w:rPr>
              <w:t>|||</w:t>
            </w:r>
            <w:r w:rsidRPr="00BA039D">
              <w:rPr>
                <w:color w:val="000000"/>
                <w:spacing w:val="3"/>
                <w:shd w:val="solid" w:color="000000" w:fill="000000"/>
                <w:fitText w:val="416" w:id="-1233441792"/>
                <w14:textFill>
                  <w14:solidFill>
                    <w14:srgbClr w14:val="000000">
                      <w14:alpha w14:val="100000"/>
                    </w14:srgbClr>
                  </w14:solidFill>
                </w14:textFill>
              </w:rPr>
              <w:t>|</w:t>
            </w:r>
            <w:r w:rsidR="00CD2C1A">
              <w:rPr>
                <w:vertAlign w:val="superscript"/>
              </w:rPr>
              <w:t>12</w:t>
            </w:r>
          </w:p>
        </w:tc>
        <w:tc>
          <w:tcPr>
            <w:tcW w:w="611" w:type="pct"/>
          </w:tcPr>
          <w:p w14:paraId="09C090C1" w14:textId="69D311B4"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1791"/>
                <w14:textFill>
                  <w14:solidFill>
                    <w14:srgbClr w14:val="000000">
                      <w14:alpha w14:val="100000"/>
                    </w14:srgbClr>
                  </w14:solidFill>
                </w14:textFill>
              </w:rPr>
              <w:t>|||</w:t>
            </w:r>
            <w:r w:rsidRPr="00BA039D">
              <w:rPr>
                <w:color w:val="000000"/>
                <w:spacing w:val="3"/>
                <w:shd w:val="solid" w:color="000000" w:fill="000000"/>
                <w:fitText w:val="416" w:id="-1233441791"/>
                <w14:textFill>
                  <w14:solidFill>
                    <w14:srgbClr w14:val="000000">
                      <w14:alpha w14:val="100000"/>
                    </w14:srgbClr>
                  </w14:solidFill>
                </w14:textFill>
              </w:rPr>
              <w:t>|</w:t>
            </w:r>
            <w:r w:rsidR="00CD2C1A">
              <w:rPr>
                <w:vertAlign w:val="superscript"/>
              </w:rPr>
              <w:t>12</w:t>
            </w:r>
          </w:p>
        </w:tc>
        <w:tc>
          <w:tcPr>
            <w:tcW w:w="611" w:type="pct"/>
          </w:tcPr>
          <w:p w14:paraId="3B7DF98E" w14:textId="36816379"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1790"/>
                <w14:textFill>
                  <w14:solidFill>
                    <w14:srgbClr w14:val="000000">
                      <w14:alpha w14:val="100000"/>
                    </w14:srgbClr>
                  </w14:solidFill>
                </w14:textFill>
              </w:rPr>
              <w:t>|||</w:t>
            </w:r>
            <w:r w:rsidRPr="00BA039D">
              <w:rPr>
                <w:color w:val="000000"/>
                <w:spacing w:val="3"/>
                <w:shd w:val="solid" w:color="000000" w:fill="000000"/>
                <w:fitText w:val="416" w:id="-1233441790"/>
                <w14:textFill>
                  <w14:solidFill>
                    <w14:srgbClr w14:val="000000">
                      <w14:alpha w14:val="100000"/>
                    </w14:srgbClr>
                  </w14:solidFill>
                </w14:textFill>
              </w:rPr>
              <w:t>|</w:t>
            </w:r>
            <w:r w:rsidR="00CD2C1A">
              <w:rPr>
                <w:vertAlign w:val="superscript"/>
              </w:rPr>
              <w:t>12</w:t>
            </w:r>
          </w:p>
        </w:tc>
        <w:tc>
          <w:tcPr>
            <w:tcW w:w="611" w:type="pct"/>
          </w:tcPr>
          <w:p w14:paraId="6ADB9453" w14:textId="187443F7" w:rsidR="003B1CC2" w:rsidRPr="00C42A2C" w:rsidRDefault="00BA039D" w:rsidP="007A73AA">
            <w:pPr>
              <w:pStyle w:val="TableText0"/>
              <w:jc w:val="center"/>
              <w:rPr>
                <w:bCs w:val="0"/>
                <w:highlight w:val="darkGray"/>
              </w:rPr>
            </w:pPr>
            <w:r w:rsidRPr="00BA039D">
              <w:rPr>
                <w:color w:val="000000"/>
                <w:spacing w:val="82"/>
                <w:shd w:val="solid" w:color="000000" w:fill="000000"/>
                <w:fitText w:val="417" w:id="-1233441789"/>
                <w14:textFill>
                  <w14:solidFill>
                    <w14:srgbClr w14:val="000000">
                      <w14:alpha w14:val="100000"/>
                    </w14:srgbClr>
                  </w14:solidFill>
                </w14:textFill>
              </w:rPr>
              <w:t>|||</w:t>
            </w:r>
            <w:r w:rsidRPr="00BA039D">
              <w:rPr>
                <w:color w:val="000000"/>
                <w:spacing w:val="1"/>
                <w:shd w:val="solid" w:color="000000" w:fill="000000"/>
                <w:fitText w:val="417" w:id="-1233441789"/>
                <w14:textFill>
                  <w14:solidFill>
                    <w14:srgbClr w14:val="000000">
                      <w14:alpha w14:val="100000"/>
                    </w14:srgbClr>
                  </w14:solidFill>
                </w14:textFill>
              </w:rPr>
              <w:t>|</w:t>
            </w:r>
            <w:r w:rsidR="00CD2C1A">
              <w:rPr>
                <w:vertAlign w:val="superscript"/>
              </w:rPr>
              <w:t>12</w:t>
            </w:r>
          </w:p>
        </w:tc>
        <w:tc>
          <w:tcPr>
            <w:tcW w:w="611" w:type="pct"/>
          </w:tcPr>
          <w:p w14:paraId="04D628E5" w14:textId="30BE0813" w:rsidR="003B1CC2" w:rsidRPr="00C42A2C" w:rsidRDefault="00BA039D" w:rsidP="007A73AA">
            <w:pPr>
              <w:pStyle w:val="TableText0"/>
              <w:jc w:val="center"/>
              <w:rPr>
                <w:bCs w:val="0"/>
                <w:highlight w:val="darkGray"/>
              </w:rPr>
            </w:pPr>
            <w:r w:rsidRPr="00BA039D">
              <w:rPr>
                <w:color w:val="000000"/>
                <w:spacing w:val="81"/>
                <w:shd w:val="solid" w:color="000000" w:fill="000000"/>
                <w:fitText w:val="416" w:id="-1233441788"/>
                <w14:textFill>
                  <w14:solidFill>
                    <w14:srgbClr w14:val="000000">
                      <w14:alpha w14:val="100000"/>
                    </w14:srgbClr>
                  </w14:solidFill>
                </w14:textFill>
              </w:rPr>
              <w:t>|||</w:t>
            </w:r>
            <w:r w:rsidRPr="00BA039D">
              <w:rPr>
                <w:color w:val="000000"/>
                <w:spacing w:val="3"/>
                <w:shd w:val="solid" w:color="000000" w:fill="000000"/>
                <w:fitText w:val="416" w:id="-1233441788"/>
                <w14:textFill>
                  <w14:solidFill>
                    <w14:srgbClr w14:val="000000">
                      <w14:alpha w14:val="100000"/>
                    </w14:srgbClr>
                  </w14:solidFill>
                </w14:textFill>
              </w:rPr>
              <w:t>|</w:t>
            </w:r>
            <w:r w:rsidR="00CD2C1A">
              <w:rPr>
                <w:vertAlign w:val="superscript"/>
              </w:rPr>
              <w:t>12</w:t>
            </w:r>
          </w:p>
        </w:tc>
      </w:tr>
      <w:tr w:rsidR="003B1CC2" w:rsidRPr="00AD7238" w14:paraId="1765FC20" w14:textId="77777777" w:rsidTr="006F0103">
        <w:tc>
          <w:tcPr>
            <w:tcW w:w="5000" w:type="pct"/>
            <w:gridSpan w:val="7"/>
            <w:shd w:val="clear" w:color="auto" w:fill="auto"/>
            <w:vAlign w:val="center"/>
          </w:tcPr>
          <w:p w14:paraId="61B27CAE" w14:textId="77777777" w:rsidR="003B1CC2" w:rsidRPr="00AD7238" w:rsidRDefault="003B1CC2" w:rsidP="0044579A">
            <w:pPr>
              <w:pStyle w:val="In-tableHeading"/>
              <w:rPr>
                <w:lang w:val="en-AU"/>
              </w:rPr>
            </w:pPr>
            <w:r w:rsidRPr="00AD7238">
              <w:rPr>
                <w:lang w:val="en-AU"/>
              </w:rPr>
              <w:t xml:space="preserve">Net financial implications </w:t>
            </w:r>
          </w:p>
        </w:tc>
      </w:tr>
      <w:tr w:rsidR="00F67F56" w:rsidRPr="00DA054C" w14:paraId="3EB52B50" w14:textId="77777777" w:rsidTr="006F0103">
        <w:tc>
          <w:tcPr>
            <w:tcW w:w="1334" w:type="pct"/>
            <w:shd w:val="clear" w:color="auto" w:fill="auto"/>
            <w:vAlign w:val="center"/>
          </w:tcPr>
          <w:p w14:paraId="3E861418" w14:textId="540C8DD3" w:rsidR="00F67F56" w:rsidRPr="00DA054C" w:rsidRDefault="00F67F56" w:rsidP="00B47BB8">
            <w:pPr>
              <w:pStyle w:val="TableText0"/>
              <w:rPr>
                <w:bCs w:val="0"/>
              </w:rPr>
            </w:pPr>
            <w:r w:rsidRPr="00DA054C">
              <w:rPr>
                <w:bCs w:val="0"/>
              </w:rPr>
              <w:t>Cost to NIP</w:t>
            </w:r>
            <w:r w:rsidR="00C42A2C">
              <w:t xml:space="preserve"> ($)</w:t>
            </w:r>
          </w:p>
        </w:tc>
        <w:tc>
          <w:tcPr>
            <w:tcW w:w="611" w:type="pct"/>
          </w:tcPr>
          <w:p w14:paraId="38BDA699" w14:textId="47618003"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7"/>
                <w14:textFill>
                  <w14:solidFill>
                    <w14:srgbClr w14:val="000000">
                      <w14:alpha w14:val="100000"/>
                    </w14:srgbClr>
                  </w14:solidFill>
                </w14:textFill>
              </w:rPr>
              <w:t>|||</w:t>
            </w:r>
            <w:r w:rsidRPr="00BA039D">
              <w:rPr>
                <w:color w:val="000000"/>
                <w:spacing w:val="3"/>
                <w:shd w:val="solid" w:color="000000" w:fill="000000"/>
                <w:fitText w:val="416" w:id="-1233441787"/>
                <w14:textFill>
                  <w14:solidFill>
                    <w14:srgbClr w14:val="000000">
                      <w14:alpha w14:val="100000"/>
                    </w14:srgbClr>
                  </w14:solidFill>
                </w14:textFill>
              </w:rPr>
              <w:t>|</w:t>
            </w:r>
            <w:r w:rsidR="00CD2C1A">
              <w:rPr>
                <w:vertAlign w:val="superscript"/>
              </w:rPr>
              <w:t>13</w:t>
            </w:r>
          </w:p>
        </w:tc>
        <w:tc>
          <w:tcPr>
            <w:tcW w:w="611" w:type="pct"/>
          </w:tcPr>
          <w:p w14:paraId="5EAD192A" w14:textId="058F20A2"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6"/>
                <w14:textFill>
                  <w14:solidFill>
                    <w14:srgbClr w14:val="000000">
                      <w14:alpha w14:val="100000"/>
                    </w14:srgbClr>
                  </w14:solidFill>
                </w14:textFill>
              </w:rPr>
              <w:t>|||</w:t>
            </w:r>
            <w:r w:rsidRPr="00BA039D">
              <w:rPr>
                <w:color w:val="000000"/>
                <w:spacing w:val="3"/>
                <w:shd w:val="solid" w:color="000000" w:fill="000000"/>
                <w:fitText w:val="416" w:id="-1233441786"/>
                <w14:textFill>
                  <w14:solidFill>
                    <w14:srgbClr w14:val="000000">
                      <w14:alpha w14:val="100000"/>
                    </w14:srgbClr>
                  </w14:solidFill>
                </w14:textFill>
              </w:rPr>
              <w:t>|</w:t>
            </w:r>
            <w:r w:rsidR="00CD2C1A">
              <w:rPr>
                <w:vertAlign w:val="superscript"/>
              </w:rPr>
              <w:t>19</w:t>
            </w:r>
          </w:p>
        </w:tc>
        <w:tc>
          <w:tcPr>
            <w:tcW w:w="611" w:type="pct"/>
          </w:tcPr>
          <w:p w14:paraId="31AB5B71" w14:textId="39D4F6E1" w:rsidR="00F67F56" w:rsidRPr="00C42A2C" w:rsidRDefault="00BA039D" w:rsidP="00D5100F">
            <w:pPr>
              <w:pStyle w:val="TableText0"/>
              <w:jc w:val="center"/>
              <w:rPr>
                <w:bCs w:val="0"/>
                <w:highlight w:val="darkGray"/>
              </w:rPr>
            </w:pPr>
            <w:r w:rsidRPr="00BA039D">
              <w:rPr>
                <w:color w:val="000000"/>
                <w:spacing w:val="70"/>
                <w:shd w:val="solid" w:color="000000" w:fill="000000"/>
                <w:fitText w:val="383" w:id="-1233441785"/>
                <w14:textFill>
                  <w14:solidFill>
                    <w14:srgbClr w14:val="000000">
                      <w14:alpha w14:val="100000"/>
                    </w14:srgbClr>
                  </w14:solidFill>
                </w14:textFill>
              </w:rPr>
              <w:t>|||</w:t>
            </w:r>
            <w:r w:rsidRPr="00BA039D">
              <w:rPr>
                <w:color w:val="000000"/>
                <w:spacing w:val="3"/>
                <w:shd w:val="solid" w:color="000000" w:fill="000000"/>
                <w:fitText w:val="383" w:id="-1233441785"/>
                <w14:textFill>
                  <w14:solidFill>
                    <w14:srgbClr w14:val="000000">
                      <w14:alpha w14:val="100000"/>
                    </w14:srgbClr>
                  </w14:solidFill>
                </w14:textFill>
              </w:rPr>
              <w:t>|</w:t>
            </w:r>
            <w:r w:rsidR="000D0219">
              <w:rPr>
                <w:vertAlign w:val="superscript"/>
              </w:rPr>
              <w:t>8</w:t>
            </w:r>
          </w:p>
        </w:tc>
        <w:tc>
          <w:tcPr>
            <w:tcW w:w="611" w:type="pct"/>
          </w:tcPr>
          <w:p w14:paraId="15DFC935" w14:textId="0DD2C800"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4"/>
                <w14:textFill>
                  <w14:solidFill>
                    <w14:srgbClr w14:val="000000">
                      <w14:alpha w14:val="100000"/>
                    </w14:srgbClr>
                  </w14:solidFill>
                </w14:textFill>
              </w:rPr>
              <w:t>|||</w:t>
            </w:r>
            <w:r w:rsidRPr="00BA039D">
              <w:rPr>
                <w:color w:val="000000"/>
                <w:spacing w:val="3"/>
                <w:shd w:val="solid" w:color="000000" w:fill="000000"/>
                <w:fitText w:val="416" w:id="-1233441784"/>
                <w14:textFill>
                  <w14:solidFill>
                    <w14:srgbClr w14:val="000000">
                      <w14:alpha w14:val="100000"/>
                    </w14:srgbClr>
                  </w14:solidFill>
                </w14:textFill>
              </w:rPr>
              <w:t>|</w:t>
            </w:r>
            <w:r w:rsidR="00FE1DC9">
              <w:rPr>
                <w:vertAlign w:val="superscript"/>
              </w:rPr>
              <w:t>27</w:t>
            </w:r>
          </w:p>
        </w:tc>
        <w:tc>
          <w:tcPr>
            <w:tcW w:w="611" w:type="pct"/>
          </w:tcPr>
          <w:p w14:paraId="4536B0D9" w14:textId="498817F3" w:rsidR="00F67F56" w:rsidRPr="00C42A2C" w:rsidRDefault="00BA039D" w:rsidP="00D5100F">
            <w:pPr>
              <w:pStyle w:val="TableText0"/>
              <w:jc w:val="center"/>
              <w:rPr>
                <w:bCs w:val="0"/>
                <w:highlight w:val="darkGray"/>
              </w:rPr>
            </w:pPr>
            <w:r w:rsidRPr="00BA039D">
              <w:rPr>
                <w:color w:val="000000"/>
                <w:spacing w:val="82"/>
                <w:shd w:val="solid" w:color="000000" w:fill="000000"/>
                <w:fitText w:val="417" w:id="-1233441783"/>
                <w14:textFill>
                  <w14:solidFill>
                    <w14:srgbClr w14:val="000000">
                      <w14:alpha w14:val="100000"/>
                    </w14:srgbClr>
                  </w14:solidFill>
                </w14:textFill>
              </w:rPr>
              <w:t>|||</w:t>
            </w:r>
            <w:r w:rsidRPr="00BA039D">
              <w:rPr>
                <w:color w:val="000000"/>
                <w:spacing w:val="1"/>
                <w:shd w:val="solid" w:color="000000" w:fill="000000"/>
                <w:fitText w:val="417" w:id="-1233441783"/>
                <w14:textFill>
                  <w14:solidFill>
                    <w14:srgbClr w14:val="000000">
                      <w14:alpha w14:val="100000"/>
                    </w14:srgbClr>
                  </w14:solidFill>
                </w14:textFill>
              </w:rPr>
              <w:t>|</w:t>
            </w:r>
            <w:r w:rsidR="00FE1DC9">
              <w:rPr>
                <w:vertAlign w:val="superscript"/>
              </w:rPr>
              <w:t>27</w:t>
            </w:r>
          </w:p>
        </w:tc>
        <w:tc>
          <w:tcPr>
            <w:tcW w:w="611" w:type="pct"/>
          </w:tcPr>
          <w:p w14:paraId="5E2B5051" w14:textId="198E6308"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2"/>
                <w14:textFill>
                  <w14:solidFill>
                    <w14:srgbClr w14:val="000000">
                      <w14:alpha w14:val="100000"/>
                    </w14:srgbClr>
                  </w14:solidFill>
                </w14:textFill>
              </w:rPr>
              <w:t>|||</w:t>
            </w:r>
            <w:r w:rsidRPr="00BA039D">
              <w:rPr>
                <w:color w:val="000000"/>
                <w:spacing w:val="3"/>
                <w:shd w:val="solid" w:color="000000" w:fill="000000"/>
                <w:fitText w:val="416" w:id="-1233441782"/>
                <w14:textFill>
                  <w14:solidFill>
                    <w14:srgbClr w14:val="000000">
                      <w14:alpha w14:val="100000"/>
                    </w14:srgbClr>
                  </w14:solidFill>
                </w14:textFill>
              </w:rPr>
              <w:t>|</w:t>
            </w:r>
            <w:r w:rsidR="00FE1DC9">
              <w:rPr>
                <w:vertAlign w:val="superscript"/>
              </w:rPr>
              <w:t>27</w:t>
            </w:r>
          </w:p>
        </w:tc>
      </w:tr>
      <w:tr w:rsidR="00F67F56" w:rsidRPr="00DA054C" w14:paraId="2341711F" w14:textId="77777777" w:rsidTr="006F0103">
        <w:tc>
          <w:tcPr>
            <w:tcW w:w="1334" w:type="pct"/>
            <w:shd w:val="clear" w:color="auto" w:fill="auto"/>
            <w:vAlign w:val="center"/>
          </w:tcPr>
          <w:p w14:paraId="474B6784" w14:textId="00A9B5FE" w:rsidR="00F67F56" w:rsidRPr="00DA054C" w:rsidRDefault="00F67F56" w:rsidP="00B47BB8">
            <w:pPr>
              <w:pStyle w:val="TableText0"/>
              <w:rPr>
                <w:bCs w:val="0"/>
              </w:rPr>
            </w:pPr>
            <w:r w:rsidRPr="00DA054C">
              <w:rPr>
                <w:bCs w:val="0"/>
              </w:rPr>
              <w:t>Net cost to PBS/RPBS</w:t>
            </w:r>
            <w:r w:rsidR="00C42A2C">
              <w:t xml:space="preserve"> ($)</w:t>
            </w:r>
          </w:p>
        </w:tc>
        <w:tc>
          <w:tcPr>
            <w:tcW w:w="611" w:type="pct"/>
          </w:tcPr>
          <w:p w14:paraId="32CF096C" w14:textId="5ACEB739" w:rsidR="00F67F56" w:rsidRPr="00C42A2C" w:rsidRDefault="00BA039D" w:rsidP="00D5100F">
            <w:pPr>
              <w:pStyle w:val="TableText0"/>
              <w:jc w:val="center"/>
              <w:rPr>
                <w:highlight w:val="darkGray"/>
              </w:rPr>
            </w:pPr>
            <w:r w:rsidRPr="00BA039D">
              <w:rPr>
                <w:color w:val="000000"/>
                <w:spacing w:val="81"/>
                <w:shd w:val="solid" w:color="000000" w:fill="000000"/>
                <w:fitText w:val="416" w:id="-1233441781"/>
                <w14:textFill>
                  <w14:solidFill>
                    <w14:srgbClr w14:val="000000">
                      <w14:alpha w14:val="100000"/>
                    </w14:srgbClr>
                  </w14:solidFill>
                </w14:textFill>
              </w:rPr>
              <w:t>|||</w:t>
            </w:r>
            <w:r w:rsidRPr="00BA039D">
              <w:rPr>
                <w:color w:val="000000"/>
                <w:spacing w:val="3"/>
                <w:shd w:val="solid" w:color="000000" w:fill="000000"/>
                <w:fitText w:val="416" w:id="-1233441781"/>
                <w14:textFill>
                  <w14:solidFill>
                    <w14:srgbClr w14:val="000000">
                      <w14:alpha w14:val="100000"/>
                    </w14:srgbClr>
                  </w14:solidFill>
                </w14:textFill>
              </w:rPr>
              <w:t>|</w:t>
            </w:r>
            <w:r w:rsidR="00CD2C1A">
              <w:rPr>
                <w:vertAlign w:val="superscript"/>
              </w:rPr>
              <w:t>12</w:t>
            </w:r>
          </w:p>
        </w:tc>
        <w:tc>
          <w:tcPr>
            <w:tcW w:w="611" w:type="pct"/>
          </w:tcPr>
          <w:p w14:paraId="4BA93F3D" w14:textId="7D48DBCA" w:rsidR="00F67F56" w:rsidRPr="00C42A2C" w:rsidRDefault="00BA039D" w:rsidP="00D5100F">
            <w:pPr>
              <w:pStyle w:val="TableText0"/>
              <w:jc w:val="center"/>
              <w:rPr>
                <w:highlight w:val="darkGray"/>
              </w:rPr>
            </w:pPr>
            <w:r w:rsidRPr="00BA039D">
              <w:rPr>
                <w:color w:val="000000"/>
                <w:spacing w:val="81"/>
                <w:shd w:val="solid" w:color="000000" w:fill="000000"/>
                <w:fitText w:val="416" w:id="-1233441780"/>
                <w14:textFill>
                  <w14:solidFill>
                    <w14:srgbClr w14:val="000000">
                      <w14:alpha w14:val="100000"/>
                    </w14:srgbClr>
                  </w14:solidFill>
                </w14:textFill>
              </w:rPr>
              <w:t>|||</w:t>
            </w:r>
            <w:r w:rsidRPr="00BA039D">
              <w:rPr>
                <w:color w:val="000000"/>
                <w:spacing w:val="3"/>
                <w:shd w:val="solid" w:color="000000" w:fill="000000"/>
                <w:fitText w:val="416" w:id="-1233441780"/>
                <w14:textFill>
                  <w14:solidFill>
                    <w14:srgbClr w14:val="000000">
                      <w14:alpha w14:val="100000"/>
                    </w14:srgbClr>
                  </w14:solidFill>
                </w14:textFill>
              </w:rPr>
              <w:t>|</w:t>
            </w:r>
            <w:r w:rsidR="00CD2C1A">
              <w:rPr>
                <w:vertAlign w:val="superscript"/>
              </w:rPr>
              <w:t>12</w:t>
            </w:r>
          </w:p>
        </w:tc>
        <w:tc>
          <w:tcPr>
            <w:tcW w:w="611" w:type="pct"/>
          </w:tcPr>
          <w:p w14:paraId="36EBDA2E" w14:textId="2539039E" w:rsidR="00F67F56" w:rsidRPr="00C42A2C" w:rsidRDefault="00BA039D" w:rsidP="00D5100F">
            <w:pPr>
              <w:pStyle w:val="TableText0"/>
              <w:jc w:val="center"/>
              <w:rPr>
                <w:highlight w:val="darkGray"/>
              </w:rPr>
            </w:pPr>
            <w:r w:rsidRPr="00BA039D">
              <w:rPr>
                <w:color w:val="000000"/>
                <w:spacing w:val="81"/>
                <w:shd w:val="solid" w:color="000000" w:fill="000000"/>
                <w:fitText w:val="416" w:id="-1233441779"/>
                <w14:textFill>
                  <w14:solidFill>
                    <w14:srgbClr w14:val="000000">
                      <w14:alpha w14:val="100000"/>
                    </w14:srgbClr>
                  </w14:solidFill>
                </w14:textFill>
              </w:rPr>
              <w:t>|||</w:t>
            </w:r>
            <w:r w:rsidRPr="00BA039D">
              <w:rPr>
                <w:color w:val="000000"/>
                <w:spacing w:val="3"/>
                <w:shd w:val="solid" w:color="000000" w:fill="000000"/>
                <w:fitText w:val="416" w:id="-1233441779"/>
                <w14:textFill>
                  <w14:solidFill>
                    <w14:srgbClr w14:val="000000">
                      <w14:alpha w14:val="100000"/>
                    </w14:srgbClr>
                  </w14:solidFill>
                </w14:textFill>
              </w:rPr>
              <w:t>|</w:t>
            </w:r>
            <w:r w:rsidR="00CD2C1A">
              <w:rPr>
                <w:vertAlign w:val="superscript"/>
              </w:rPr>
              <w:t>12</w:t>
            </w:r>
          </w:p>
        </w:tc>
        <w:tc>
          <w:tcPr>
            <w:tcW w:w="611" w:type="pct"/>
          </w:tcPr>
          <w:p w14:paraId="111DFA72" w14:textId="576D74FA" w:rsidR="00F67F56" w:rsidRPr="00C42A2C" w:rsidRDefault="00BA039D" w:rsidP="00D5100F">
            <w:pPr>
              <w:pStyle w:val="TableText0"/>
              <w:jc w:val="center"/>
              <w:rPr>
                <w:highlight w:val="darkGray"/>
              </w:rPr>
            </w:pPr>
            <w:r w:rsidRPr="00BA039D">
              <w:rPr>
                <w:color w:val="000000"/>
                <w:spacing w:val="81"/>
                <w:shd w:val="solid" w:color="000000" w:fill="000000"/>
                <w:fitText w:val="416" w:id="-1233441778"/>
                <w14:textFill>
                  <w14:solidFill>
                    <w14:srgbClr w14:val="000000">
                      <w14:alpha w14:val="100000"/>
                    </w14:srgbClr>
                  </w14:solidFill>
                </w14:textFill>
              </w:rPr>
              <w:t>|||</w:t>
            </w:r>
            <w:r w:rsidRPr="00BA039D">
              <w:rPr>
                <w:color w:val="000000"/>
                <w:spacing w:val="3"/>
                <w:shd w:val="solid" w:color="000000" w:fill="000000"/>
                <w:fitText w:val="416" w:id="-1233441778"/>
                <w14:textFill>
                  <w14:solidFill>
                    <w14:srgbClr w14:val="000000">
                      <w14:alpha w14:val="100000"/>
                    </w14:srgbClr>
                  </w14:solidFill>
                </w14:textFill>
              </w:rPr>
              <w:t>|</w:t>
            </w:r>
            <w:r w:rsidR="00CD2C1A">
              <w:rPr>
                <w:vertAlign w:val="superscript"/>
              </w:rPr>
              <w:t>12</w:t>
            </w:r>
          </w:p>
        </w:tc>
        <w:tc>
          <w:tcPr>
            <w:tcW w:w="611" w:type="pct"/>
          </w:tcPr>
          <w:p w14:paraId="461D91D3" w14:textId="4850BBA5" w:rsidR="00F67F56" w:rsidRPr="00C42A2C" w:rsidRDefault="00BA039D" w:rsidP="00D5100F">
            <w:pPr>
              <w:pStyle w:val="TableText0"/>
              <w:jc w:val="center"/>
              <w:rPr>
                <w:highlight w:val="darkGray"/>
              </w:rPr>
            </w:pPr>
            <w:r w:rsidRPr="00BA039D">
              <w:rPr>
                <w:color w:val="000000"/>
                <w:spacing w:val="82"/>
                <w:shd w:val="solid" w:color="000000" w:fill="000000"/>
                <w:fitText w:val="417" w:id="-1233441777"/>
                <w14:textFill>
                  <w14:solidFill>
                    <w14:srgbClr w14:val="000000">
                      <w14:alpha w14:val="100000"/>
                    </w14:srgbClr>
                  </w14:solidFill>
                </w14:textFill>
              </w:rPr>
              <w:t>|||</w:t>
            </w:r>
            <w:r w:rsidRPr="00BA039D">
              <w:rPr>
                <w:color w:val="000000"/>
                <w:spacing w:val="1"/>
                <w:shd w:val="solid" w:color="000000" w:fill="000000"/>
                <w:fitText w:val="417" w:id="-1233441777"/>
                <w14:textFill>
                  <w14:solidFill>
                    <w14:srgbClr w14:val="000000">
                      <w14:alpha w14:val="100000"/>
                    </w14:srgbClr>
                  </w14:solidFill>
                </w14:textFill>
              </w:rPr>
              <w:t>|</w:t>
            </w:r>
            <w:r w:rsidR="00CD2C1A">
              <w:rPr>
                <w:vertAlign w:val="superscript"/>
              </w:rPr>
              <w:t>12</w:t>
            </w:r>
          </w:p>
        </w:tc>
        <w:tc>
          <w:tcPr>
            <w:tcW w:w="611" w:type="pct"/>
          </w:tcPr>
          <w:p w14:paraId="77701E25" w14:textId="40A4D354" w:rsidR="00F67F56" w:rsidRPr="00C42A2C" w:rsidRDefault="00BA039D" w:rsidP="00D5100F">
            <w:pPr>
              <w:pStyle w:val="TableText0"/>
              <w:jc w:val="center"/>
              <w:rPr>
                <w:highlight w:val="darkGray"/>
              </w:rPr>
            </w:pPr>
            <w:r w:rsidRPr="00BA039D">
              <w:rPr>
                <w:color w:val="000000"/>
                <w:spacing w:val="81"/>
                <w:shd w:val="solid" w:color="000000" w:fill="000000"/>
                <w:fitText w:val="416" w:id="-1233441776"/>
                <w14:textFill>
                  <w14:solidFill>
                    <w14:srgbClr w14:val="000000">
                      <w14:alpha w14:val="100000"/>
                    </w14:srgbClr>
                  </w14:solidFill>
                </w14:textFill>
              </w:rPr>
              <w:t>|||</w:t>
            </w:r>
            <w:r w:rsidRPr="00BA039D">
              <w:rPr>
                <w:color w:val="000000"/>
                <w:spacing w:val="3"/>
                <w:shd w:val="solid" w:color="000000" w:fill="000000"/>
                <w:fitText w:val="416" w:id="-1233441776"/>
                <w14:textFill>
                  <w14:solidFill>
                    <w14:srgbClr w14:val="000000">
                      <w14:alpha w14:val="100000"/>
                    </w14:srgbClr>
                  </w14:solidFill>
                </w14:textFill>
              </w:rPr>
              <w:t>|</w:t>
            </w:r>
            <w:r w:rsidR="00CD2C1A">
              <w:rPr>
                <w:vertAlign w:val="superscript"/>
              </w:rPr>
              <w:t>12</w:t>
            </w:r>
          </w:p>
        </w:tc>
      </w:tr>
      <w:tr w:rsidR="00F67F56" w:rsidRPr="00DA054C" w14:paraId="24E92CB0" w14:textId="77777777" w:rsidTr="006F0103">
        <w:tc>
          <w:tcPr>
            <w:tcW w:w="1334" w:type="pct"/>
            <w:shd w:val="clear" w:color="auto" w:fill="auto"/>
            <w:vAlign w:val="center"/>
          </w:tcPr>
          <w:p w14:paraId="209D7985" w14:textId="09B778B0" w:rsidR="00F67F56" w:rsidRPr="00DA054C" w:rsidRDefault="00F67F56" w:rsidP="00B47BB8">
            <w:pPr>
              <w:pStyle w:val="TableText0"/>
              <w:rPr>
                <w:bCs w:val="0"/>
              </w:rPr>
            </w:pPr>
            <w:r w:rsidRPr="00DA054C">
              <w:rPr>
                <w:bCs w:val="0"/>
              </w:rPr>
              <w:t>Net cost to MBS</w:t>
            </w:r>
            <w:r w:rsidR="00C42A2C">
              <w:t xml:space="preserve"> ($)</w:t>
            </w:r>
          </w:p>
        </w:tc>
        <w:tc>
          <w:tcPr>
            <w:tcW w:w="611" w:type="pct"/>
          </w:tcPr>
          <w:p w14:paraId="544BB330" w14:textId="175569D4"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92"/>
                <w14:textFill>
                  <w14:solidFill>
                    <w14:srgbClr w14:val="000000">
                      <w14:alpha w14:val="100000"/>
                    </w14:srgbClr>
                  </w14:solidFill>
                </w14:textFill>
              </w:rPr>
              <w:t>|||</w:t>
            </w:r>
            <w:r w:rsidRPr="00BA039D">
              <w:rPr>
                <w:color w:val="000000"/>
                <w:spacing w:val="3"/>
                <w:shd w:val="solid" w:color="000000" w:fill="000000"/>
                <w:fitText w:val="416" w:id="-1233441792"/>
                <w14:textFill>
                  <w14:solidFill>
                    <w14:srgbClr w14:val="000000">
                      <w14:alpha w14:val="100000"/>
                    </w14:srgbClr>
                  </w14:solidFill>
                </w14:textFill>
              </w:rPr>
              <w:t>|</w:t>
            </w:r>
            <w:r w:rsidR="00CD2C1A">
              <w:rPr>
                <w:vertAlign w:val="superscript"/>
              </w:rPr>
              <w:t>14</w:t>
            </w:r>
          </w:p>
        </w:tc>
        <w:tc>
          <w:tcPr>
            <w:tcW w:w="611" w:type="pct"/>
          </w:tcPr>
          <w:p w14:paraId="77262A66" w14:textId="438EBB5D" w:rsidR="00F67F56" w:rsidRPr="00C42A2C" w:rsidRDefault="00BA039D" w:rsidP="00D5100F">
            <w:pPr>
              <w:pStyle w:val="TableText0"/>
              <w:jc w:val="center"/>
              <w:rPr>
                <w:bCs w:val="0"/>
                <w:highlight w:val="darkGray"/>
              </w:rPr>
            </w:pPr>
            <w:r w:rsidRPr="00BA039D">
              <w:rPr>
                <w:color w:val="000000"/>
                <w:spacing w:val="70"/>
                <w:shd w:val="solid" w:color="000000" w:fill="000000"/>
                <w:fitText w:val="383" w:id="-1233441791"/>
                <w14:textFill>
                  <w14:solidFill>
                    <w14:srgbClr w14:val="000000">
                      <w14:alpha w14:val="100000"/>
                    </w14:srgbClr>
                  </w14:solidFill>
                </w14:textFill>
              </w:rPr>
              <w:t>|||</w:t>
            </w:r>
            <w:r w:rsidRPr="00BA039D">
              <w:rPr>
                <w:color w:val="000000"/>
                <w:spacing w:val="3"/>
                <w:shd w:val="solid" w:color="000000" w:fill="000000"/>
                <w:fitText w:val="383" w:id="-1233441791"/>
                <w14:textFill>
                  <w14:solidFill>
                    <w14:srgbClr w14:val="000000">
                      <w14:alpha w14:val="100000"/>
                    </w14:srgbClr>
                  </w14:solidFill>
                </w14:textFill>
              </w:rPr>
              <w:t>|</w:t>
            </w:r>
            <w:r w:rsidR="000D0219">
              <w:rPr>
                <w:vertAlign w:val="superscript"/>
              </w:rPr>
              <w:t>7</w:t>
            </w:r>
          </w:p>
        </w:tc>
        <w:tc>
          <w:tcPr>
            <w:tcW w:w="611" w:type="pct"/>
          </w:tcPr>
          <w:p w14:paraId="0E3595D3" w14:textId="284792B7" w:rsidR="00F67F56" w:rsidRPr="00C42A2C" w:rsidRDefault="00BA039D" w:rsidP="00D5100F">
            <w:pPr>
              <w:pStyle w:val="TableText0"/>
              <w:jc w:val="center"/>
              <w:rPr>
                <w:bCs w:val="0"/>
                <w:highlight w:val="darkGray"/>
              </w:rPr>
            </w:pPr>
            <w:r w:rsidRPr="00BA039D">
              <w:rPr>
                <w:color w:val="000000"/>
                <w:spacing w:val="70"/>
                <w:shd w:val="solid" w:color="000000" w:fill="000000"/>
                <w:fitText w:val="383" w:id="-1233441790"/>
                <w14:textFill>
                  <w14:solidFill>
                    <w14:srgbClr w14:val="000000">
                      <w14:alpha w14:val="100000"/>
                    </w14:srgbClr>
                  </w14:solidFill>
                </w14:textFill>
              </w:rPr>
              <w:t>|||</w:t>
            </w:r>
            <w:r w:rsidRPr="00BA039D">
              <w:rPr>
                <w:color w:val="000000"/>
                <w:spacing w:val="3"/>
                <w:shd w:val="solid" w:color="000000" w:fill="000000"/>
                <w:fitText w:val="383" w:id="-1233441790"/>
                <w14:textFill>
                  <w14:solidFill>
                    <w14:srgbClr w14:val="000000">
                      <w14:alpha w14:val="100000"/>
                    </w14:srgbClr>
                  </w14:solidFill>
                </w14:textFill>
              </w:rPr>
              <w:t>|</w:t>
            </w:r>
            <w:r w:rsidR="000D0219">
              <w:rPr>
                <w:vertAlign w:val="superscript"/>
              </w:rPr>
              <w:t>7</w:t>
            </w:r>
          </w:p>
        </w:tc>
        <w:tc>
          <w:tcPr>
            <w:tcW w:w="611" w:type="pct"/>
          </w:tcPr>
          <w:p w14:paraId="38C1826A" w14:textId="5FE491EE"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9"/>
                <w14:textFill>
                  <w14:solidFill>
                    <w14:srgbClr w14:val="000000">
                      <w14:alpha w14:val="100000"/>
                    </w14:srgbClr>
                  </w14:solidFill>
                </w14:textFill>
              </w:rPr>
              <w:t>|||</w:t>
            </w:r>
            <w:r w:rsidRPr="00BA039D">
              <w:rPr>
                <w:color w:val="000000"/>
                <w:spacing w:val="3"/>
                <w:shd w:val="solid" w:color="000000" w:fill="000000"/>
                <w:fitText w:val="416" w:id="-1233441789"/>
                <w14:textFill>
                  <w14:solidFill>
                    <w14:srgbClr w14:val="000000">
                      <w14:alpha w14:val="100000"/>
                    </w14:srgbClr>
                  </w14:solidFill>
                </w14:textFill>
              </w:rPr>
              <w:t>|</w:t>
            </w:r>
            <w:r w:rsidR="00CD2C1A">
              <w:rPr>
                <w:vertAlign w:val="superscript"/>
              </w:rPr>
              <w:t>17</w:t>
            </w:r>
          </w:p>
        </w:tc>
        <w:tc>
          <w:tcPr>
            <w:tcW w:w="611" w:type="pct"/>
          </w:tcPr>
          <w:p w14:paraId="72B4F046" w14:textId="63E9EB29" w:rsidR="00F67F56" w:rsidRPr="00C42A2C" w:rsidRDefault="00BA039D" w:rsidP="00D5100F">
            <w:pPr>
              <w:pStyle w:val="TableText0"/>
              <w:jc w:val="center"/>
              <w:rPr>
                <w:bCs w:val="0"/>
                <w:highlight w:val="darkGray"/>
              </w:rPr>
            </w:pPr>
            <w:r w:rsidRPr="00BA039D">
              <w:rPr>
                <w:color w:val="000000"/>
                <w:spacing w:val="82"/>
                <w:shd w:val="solid" w:color="000000" w:fill="000000"/>
                <w:fitText w:val="417" w:id="-1233441788"/>
                <w14:textFill>
                  <w14:solidFill>
                    <w14:srgbClr w14:val="000000">
                      <w14:alpha w14:val="100000"/>
                    </w14:srgbClr>
                  </w14:solidFill>
                </w14:textFill>
              </w:rPr>
              <w:t>|||</w:t>
            </w:r>
            <w:r w:rsidRPr="00BA039D">
              <w:rPr>
                <w:color w:val="000000"/>
                <w:spacing w:val="1"/>
                <w:shd w:val="solid" w:color="000000" w:fill="000000"/>
                <w:fitText w:val="417" w:id="-1233441788"/>
                <w14:textFill>
                  <w14:solidFill>
                    <w14:srgbClr w14:val="000000">
                      <w14:alpha w14:val="100000"/>
                    </w14:srgbClr>
                  </w14:solidFill>
                </w14:textFill>
              </w:rPr>
              <w:t>|</w:t>
            </w:r>
            <w:r w:rsidR="00CD2C1A">
              <w:rPr>
                <w:vertAlign w:val="superscript"/>
              </w:rPr>
              <w:t>17</w:t>
            </w:r>
          </w:p>
        </w:tc>
        <w:tc>
          <w:tcPr>
            <w:tcW w:w="611" w:type="pct"/>
          </w:tcPr>
          <w:p w14:paraId="2272B07B" w14:textId="33B80606" w:rsidR="00F67F56" w:rsidRPr="00C42A2C" w:rsidRDefault="00BA039D" w:rsidP="00D5100F">
            <w:pPr>
              <w:pStyle w:val="TableText0"/>
              <w:jc w:val="center"/>
              <w:rPr>
                <w:bCs w:val="0"/>
                <w:highlight w:val="darkGray"/>
              </w:rPr>
            </w:pPr>
            <w:r w:rsidRPr="00BA039D">
              <w:rPr>
                <w:color w:val="000000"/>
                <w:spacing w:val="81"/>
                <w:shd w:val="solid" w:color="000000" w:fill="000000"/>
                <w:fitText w:val="416" w:id="-1233441787"/>
                <w14:textFill>
                  <w14:solidFill>
                    <w14:srgbClr w14:val="000000">
                      <w14:alpha w14:val="100000"/>
                    </w14:srgbClr>
                  </w14:solidFill>
                </w14:textFill>
              </w:rPr>
              <w:t>|||</w:t>
            </w:r>
            <w:r w:rsidRPr="00BA039D">
              <w:rPr>
                <w:color w:val="000000"/>
                <w:spacing w:val="3"/>
                <w:shd w:val="solid" w:color="000000" w:fill="000000"/>
                <w:fitText w:val="416" w:id="-1233441787"/>
                <w14:textFill>
                  <w14:solidFill>
                    <w14:srgbClr w14:val="000000">
                      <w14:alpha w14:val="100000"/>
                    </w14:srgbClr>
                  </w14:solidFill>
                </w14:textFill>
              </w:rPr>
              <w:t>|</w:t>
            </w:r>
            <w:r w:rsidR="00CD2C1A">
              <w:rPr>
                <w:vertAlign w:val="superscript"/>
              </w:rPr>
              <w:t>17</w:t>
            </w:r>
          </w:p>
        </w:tc>
      </w:tr>
    </w:tbl>
    <w:p w14:paraId="24497DCC" w14:textId="08085D27" w:rsidR="000F6C9E" w:rsidRPr="00DA054C" w:rsidRDefault="00B37EFA" w:rsidP="000F6C9E">
      <w:pPr>
        <w:pStyle w:val="TableFooter"/>
      </w:pPr>
      <w:r w:rsidRPr="00DA054C">
        <w:t>Source: Table 4.</w:t>
      </w:r>
      <w:r w:rsidR="00BB4806" w:rsidRPr="00DA054C">
        <w:t>9</w:t>
      </w:r>
      <w:r w:rsidRPr="00DA054C">
        <w:t xml:space="preserve">, p.245 of the </w:t>
      </w:r>
      <w:r w:rsidR="00F40635" w:rsidRPr="00DA054C">
        <w:t>re</w:t>
      </w:r>
      <w:r w:rsidRPr="00DA054C">
        <w:t>submission, Table 4.1</w:t>
      </w:r>
      <w:r w:rsidR="00BB4806" w:rsidRPr="00DA054C">
        <w:t>3</w:t>
      </w:r>
      <w:r w:rsidRPr="00DA054C">
        <w:t xml:space="preserve">, p.247 of the </w:t>
      </w:r>
      <w:r w:rsidR="00F40635" w:rsidRPr="00DA054C">
        <w:t>re</w:t>
      </w:r>
      <w:r w:rsidRPr="00DA054C">
        <w:t>submission, Table 4.1</w:t>
      </w:r>
      <w:r w:rsidR="00BB4806" w:rsidRPr="00DA054C">
        <w:t>9</w:t>
      </w:r>
      <w:r w:rsidRPr="00DA054C">
        <w:t xml:space="preserve">, p.250 of the </w:t>
      </w:r>
      <w:r w:rsidR="00F40635" w:rsidRPr="00DA054C">
        <w:t>re</w:t>
      </w:r>
      <w:r w:rsidRPr="00DA054C">
        <w:t>submission, Table 4.2</w:t>
      </w:r>
      <w:r w:rsidR="00BB4806" w:rsidRPr="00DA054C">
        <w:t>2</w:t>
      </w:r>
      <w:r w:rsidRPr="00DA054C">
        <w:t xml:space="preserve">, p.251 of the </w:t>
      </w:r>
      <w:r w:rsidR="00815FA2" w:rsidRPr="00DA054C">
        <w:t>re</w:t>
      </w:r>
      <w:r w:rsidRPr="00DA054C">
        <w:t xml:space="preserve">submission, </w:t>
      </w:r>
      <w:r w:rsidR="00625EE1" w:rsidRPr="00DA054C">
        <w:t xml:space="preserve">Table 4.28, pp.254-255 of the </w:t>
      </w:r>
      <w:r w:rsidR="00815FA2" w:rsidRPr="00DA054C">
        <w:t>re</w:t>
      </w:r>
      <w:r w:rsidR="00625EE1" w:rsidRPr="00DA054C">
        <w:t>su</w:t>
      </w:r>
      <w:r w:rsidR="00660A82" w:rsidRPr="00DA054C">
        <w:t xml:space="preserve">bmission </w:t>
      </w:r>
      <w:r w:rsidRPr="00DA054C">
        <w:t xml:space="preserve">and Budget Impact Model </w:t>
      </w:r>
      <w:r w:rsidR="00BB4806" w:rsidRPr="00DA054C">
        <w:t>Excel.</w:t>
      </w:r>
    </w:p>
    <w:p w14:paraId="485F5F0C" w14:textId="3A9089DF" w:rsidR="00C42A2C" w:rsidRDefault="000F6C9E" w:rsidP="00C42A2C">
      <w:pPr>
        <w:pStyle w:val="TableFooter"/>
      </w:pPr>
      <w:r w:rsidRPr="00DA054C">
        <w:t>NIP = National Immunisation Program, MBS = Medicare Benefits Schedule, PBS = Pharmaceutical Benefit Scheme, RPBS = Repatriation Pharmaceutical Benefit Scheme, RZV = recombinant zoster vaccine (</w:t>
      </w:r>
      <w:r w:rsidRPr="00DA054C">
        <w:rPr>
          <w:iCs/>
        </w:rPr>
        <w:t>Shingrix</w:t>
      </w:r>
      <w:r w:rsidRPr="00DA054C">
        <w:t>)</w:t>
      </w:r>
    </w:p>
    <w:p w14:paraId="3E5EDCC4" w14:textId="77777777" w:rsidR="00C42A2C" w:rsidRPr="009A6D58" w:rsidRDefault="00C42A2C" w:rsidP="00C42A2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84831C7" w14:textId="1F07A075" w:rsidR="00C42A2C" w:rsidRPr="009A6D58" w:rsidRDefault="00C42A2C" w:rsidP="00C42A2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0D0219" w:rsidRPr="000D0219">
        <w:rPr>
          <w:rFonts w:ascii="Arial Narrow" w:hAnsi="Arial Narrow"/>
          <w:i/>
          <w:sz w:val="18"/>
          <w:szCs w:val="18"/>
        </w:rPr>
        <w:t>30,000 to &lt; 40,000</w:t>
      </w:r>
    </w:p>
    <w:p w14:paraId="64AA92AE" w14:textId="164C8971" w:rsidR="00C42A2C" w:rsidRPr="009A6D58" w:rsidRDefault="00C42A2C" w:rsidP="00C42A2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0D0219" w:rsidRPr="000D0219">
        <w:rPr>
          <w:rFonts w:ascii="Arial Narrow" w:hAnsi="Arial Narrow"/>
          <w:i/>
          <w:sz w:val="18"/>
          <w:szCs w:val="18"/>
        </w:rPr>
        <w:t>300,000 to &lt; 400,000</w:t>
      </w:r>
    </w:p>
    <w:p w14:paraId="7ECA12EB" w14:textId="6D664514" w:rsidR="00C42A2C" w:rsidRDefault="00C42A2C" w:rsidP="00C42A2C">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0D0219" w:rsidRPr="000D0219">
        <w:rPr>
          <w:rFonts w:ascii="Arial Narrow" w:hAnsi="Arial Narrow"/>
          <w:i/>
          <w:sz w:val="18"/>
          <w:szCs w:val="18"/>
        </w:rPr>
        <w:t>100,000 to &lt; 200,000</w:t>
      </w:r>
    </w:p>
    <w:p w14:paraId="2944CF49" w14:textId="42AB39B9" w:rsidR="00C42A2C" w:rsidRDefault="00C42A2C" w:rsidP="00C42A2C">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0D0219" w:rsidRPr="000D0219">
        <w:rPr>
          <w:rFonts w:ascii="Arial Narrow" w:hAnsi="Arial Narrow"/>
          <w:i/>
          <w:sz w:val="18"/>
          <w:szCs w:val="18"/>
        </w:rPr>
        <w:t>200,000 to &lt; 300,000</w:t>
      </w:r>
    </w:p>
    <w:p w14:paraId="4FD0FE8F" w14:textId="47241A7F" w:rsidR="00C42A2C" w:rsidRDefault="00C42A2C" w:rsidP="00C42A2C">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0D0219" w:rsidRPr="000D0219">
        <w:rPr>
          <w:rFonts w:ascii="Arial Narrow" w:hAnsi="Arial Narrow"/>
          <w:i/>
          <w:sz w:val="18"/>
          <w:szCs w:val="18"/>
        </w:rPr>
        <w:t>60,000 to &lt; 70,000</w:t>
      </w:r>
    </w:p>
    <w:p w14:paraId="1FC28207" w14:textId="3BE0EFBC" w:rsidR="00C42A2C" w:rsidRDefault="00C42A2C" w:rsidP="00C42A2C">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0D0219" w:rsidRPr="000D0219">
        <w:rPr>
          <w:rFonts w:ascii="Arial Narrow" w:hAnsi="Arial Narrow"/>
          <w:i/>
          <w:sz w:val="18"/>
          <w:szCs w:val="18"/>
        </w:rPr>
        <w:t>500,000 to &lt; 600,000</w:t>
      </w:r>
    </w:p>
    <w:p w14:paraId="0403045D" w14:textId="0F45A356" w:rsidR="00C42A2C" w:rsidRPr="009A6D58" w:rsidRDefault="00C42A2C" w:rsidP="00C42A2C">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0D0219" w:rsidRPr="000D0219">
        <w:rPr>
          <w:rFonts w:ascii="Arial Narrow" w:hAnsi="Arial Narrow"/>
          <w:i/>
          <w:sz w:val="18"/>
          <w:szCs w:val="18"/>
        </w:rPr>
        <w:t>$10 million to &lt; $20 million</w:t>
      </w:r>
    </w:p>
    <w:p w14:paraId="02CB11A5" w14:textId="502B6B8D" w:rsidR="00C42A2C" w:rsidRPr="009A6D58" w:rsidRDefault="00C42A2C" w:rsidP="00C42A2C">
      <w:pPr>
        <w:rPr>
          <w:rFonts w:ascii="Arial Narrow" w:hAnsi="Arial Narrow"/>
          <w:i/>
          <w:sz w:val="18"/>
          <w:szCs w:val="18"/>
        </w:rPr>
      </w:pPr>
      <w:r>
        <w:rPr>
          <w:rFonts w:ascii="Arial Narrow" w:hAnsi="Arial Narrow"/>
          <w:i/>
          <w:sz w:val="18"/>
          <w:szCs w:val="18"/>
          <w:vertAlign w:val="superscript"/>
        </w:rPr>
        <w:lastRenderedPageBreak/>
        <w:t>8</w:t>
      </w:r>
      <w:r>
        <w:rPr>
          <w:rFonts w:ascii="Arial Narrow" w:hAnsi="Arial Narrow"/>
          <w:i/>
          <w:sz w:val="18"/>
          <w:szCs w:val="18"/>
        </w:rPr>
        <w:t xml:space="preserve"> </w:t>
      </w:r>
      <w:r w:rsidR="000D0219" w:rsidRPr="000D0219">
        <w:rPr>
          <w:rFonts w:ascii="Arial Narrow" w:hAnsi="Arial Narrow"/>
          <w:i/>
          <w:sz w:val="18"/>
          <w:szCs w:val="18"/>
        </w:rPr>
        <w:t>$100 million to &lt; $200 million</w:t>
      </w:r>
    </w:p>
    <w:p w14:paraId="4370A0B6" w14:textId="24EF987D" w:rsidR="00C42A2C" w:rsidRDefault="00C42A2C" w:rsidP="00C42A2C">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0D0219" w:rsidRPr="000D0219">
        <w:rPr>
          <w:rFonts w:ascii="Arial Narrow" w:hAnsi="Arial Narrow"/>
          <w:i/>
          <w:sz w:val="18"/>
          <w:szCs w:val="18"/>
        </w:rPr>
        <w:t>$50 million to &lt; $60 million</w:t>
      </w:r>
    </w:p>
    <w:p w14:paraId="52D241AE" w14:textId="15601A2D" w:rsidR="00C42A2C" w:rsidRDefault="00C42A2C" w:rsidP="00C42A2C">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CD2C1A" w:rsidRPr="00CD2C1A">
        <w:rPr>
          <w:rFonts w:ascii="Arial Narrow" w:hAnsi="Arial Narrow"/>
          <w:i/>
          <w:sz w:val="18"/>
          <w:szCs w:val="18"/>
        </w:rPr>
        <w:t>$60 million to &lt; $70 million</w:t>
      </w:r>
    </w:p>
    <w:p w14:paraId="672E9FB4" w14:textId="47823BDC" w:rsidR="00C42A2C" w:rsidRDefault="00C42A2C" w:rsidP="00C42A2C">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CD2C1A" w:rsidRPr="00CD2C1A">
        <w:rPr>
          <w:rFonts w:ascii="Arial Narrow" w:hAnsi="Arial Narrow"/>
          <w:i/>
          <w:sz w:val="18"/>
          <w:szCs w:val="18"/>
        </w:rPr>
        <w:t>$90 million to &lt; $100 million</w:t>
      </w:r>
    </w:p>
    <w:p w14:paraId="02B1A106" w14:textId="1222FE0A" w:rsidR="00C42A2C" w:rsidRDefault="00C42A2C" w:rsidP="00C42A2C">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CD2C1A" w:rsidRPr="00CD2C1A">
        <w:rPr>
          <w:rFonts w:ascii="Arial Narrow" w:hAnsi="Arial Narrow"/>
          <w:i/>
          <w:sz w:val="18"/>
          <w:szCs w:val="18"/>
        </w:rPr>
        <w:t>net cost saving</w:t>
      </w:r>
    </w:p>
    <w:p w14:paraId="737B147B" w14:textId="1D246FE4" w:rsidR="00C42A2C" w:rsidRPr="009A6D58" w:rsidRDefault="00C42A2C" w:rsidP="00C42A2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vertAlign w:val="superscript"/>
        </w:rPr>
        <w:t>3</w:t>
      </w:r>
      <w:r>
        <w:rPr>
          <w:rFonts w:ascii="Arial Narrow" w:hAnsi="Arial Narrow"/>
          <w:i/>
          <w:sz w:val="18"/>
          <w:szCs w:val="18"/>
        </w:rPr>
        <w:t xml:space="preserve"> </w:t>
      </w:r>
      <w:r w:rsidR="00CD2C1A" w:rsidRPr="00CD2C1A">
        <w:rPr>
          <w:rFonts w:ascii="Arial Narrow" w:hAnsi="Arial Narrow"/>
          <w:i/>
          <w:sz w:val="18"/>
          <w:szCs w:val="18"/>
        </w:rPr>
        <w:t>$300 million to &lt; $400 million</w:t>
      </w:r>
    </w:p>
    <w:p w14:paraId="53CDA074" w14:textId="56AE6C8B" w:rsidR="00C42A2C" w:rsidRPr="009A6D58" w:rsidRDefault="00C42A2C" w:rsidP="00C42A2C">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CD2C1A" w:rsidRPr="00CD2C1A">
        <w:rPr>
          <w:rFonts w:ascii="Arial Narrow" w:hAnsi="Arial Narrow"/>
          <w:i/>
          <w:sz w:val="18"/>
          <w:szCs w:val="18"/>
        </w:rPr>
        <w:t>$30 million to &lt; $40 million</w:t>
      </w:r>
    </w:p>
    <w:p w14:paraId="129176F5" w14:textId="67AD9328" w:rsidR="00C42A2C" w:rsidRDefault="00C42A2C" w:rsidP="00C42A2C">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CD2C1A" w:rsidRPr="00CD2C1A">
        <w:rPr>
          <w:rFonts w:ascii="Arial Narrow" w:hAnsi="Arial Narrow"/>
          <w:i/>
          <w:sz w:val="18"/>
          <w:szCs w:val="18"/>
        </w:rPr>
        <w:t>20,000 to &lt; 30,000</w:t>
      </w:r>
    </w:p>
    <w:p w14:paraId="718D4F4C" w14:textId="48128B7F" w:rsidR="00C42A2C" w:rsidRDefault="00C42A2C" w:rsidP="00C42A2C">
      <w:pPr>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00CD2C1A" w:rsidRPr="00CD2C1A">
        <w:rPr>
          <w:rFonts w:ascii="Arial Narrow" w:hAnsi="Arial Narrow"/>
          <w:i/>
          <w:sz w:val="18"/>
          <w:szCs w:val="18"/>
        </w:rPr>
        <w:t>400,000 to &lt; 500,000</w:t>
      </w:r>
    </w:p>
    <w:p w14:paraId="5527FC96" w14:textId="1DDAE5CC" w:rsidR="00C42A2C" w:rsidRDefault="00C42A2C" w:rsidP="00C42A2C">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00CD2C1A" w:rsidRPr="00CD2C1A">
        <w:rPr>
          <w:rFonts w:ascii="Arial Narrow" w:hAnsi="Arial Narrow"/>
          <w:i/>
          <w:sz w:val="18"/>
          <w:szCs w:val="18"/>
        </w:rPr>
        <w:t>$0 to &lt; $10 million</w:t>
      </w:r>
    </w:p>
    <w:p w14:paraId="7A11E892" w14:textId="379C2AD7" w:rsidR="00C42A2C" w:rsidRPr="00C42A2C" w:rsidRDefault="00C42A2C" w:rsidP="00C42A2C">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00CD2C1A" w:rsidRPr="00CD2C1A">
        <w:rPr>
          <w:rFonts w:ascii="Arial Narrow" w:hAnsi="Arial Narrow"/>
          <w:i/>
          <w:sz w:val="18"/>
          <w:szCs w:val="18"/>
        </w:rPr>
        <w:t>$70 million to &lt; $80 million</w:t>
      </w:r>
    </w:p>
    <w:p w14:paraId="1BDA227A" w14:textId="091A5732" w:rsidR="00CD2C1A" w:rsidRDefault="00CD2C1A" w:rsidP="00CD2C1A">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Pr="00CD2C1A">
        <w:rPr>
          <w:rFonts w:ascii="Arial Narrow" w:hAnsi="Arial Narrow"/>
          <w:i/>
          <w:sz w:val="18"/>
          <w:szCs w:val="18"/>
        </w:rPr>
        <w:t>$200 million to &lt; $300 million</w:t>
      </w:r>
    </w:p>
    <w:p w14:paraId="1A696F59" w14:textId="0B312473" w:rsidR="00CD2C1A" w:rsidRDefault="00CD2C1A" w:rsidP="00CD2C1A">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Pr="00CD2C1A">
        <w:rPr>
          <w:rFonts w:ascii="Arial Narrow" w:hAnsi="Arial Narrow"/>
          <w:i/>
          <w:sz w:val="18"/>
          <w:szCs w:val="18"/>
        </w:rPr>
        <w:t>10,000 to &lt; 20,000</w:t>
      </w:r>
    </w:p>
    <w:p w14:paraId="59E178AE" w14:textId="2E7FBD7F" w:rsidR="00CD2C1A" w:rsidRDefault="00CD2C1A" w:rsidP="00CD2C1A">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008D62AB" w:rsidRPr="008D62AB">
        <w:rPr>
          <w:rFonts w:ascii="Arial Narrow" w:hAnsi="Arial Narrow"/>
          <w:i/>
          <w:sz w:val="18"/>
          <w:szCs w:val="18"/>
        </w:rPr>
        <w:t>80,000 to &lt; 90,000</w:t>
      </w:r>
    </w:p>
    <w:p w14:paraId="39DF92C3" w14:textId="059AA85F" w:rsidR="00CD2C1A" w:rsidRPr="00C42A2C" w:rsidRDefault="00CD2C1A" w:rsidP="00CD2C1A">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008D62AB" w:rsidRPr="008D62AB">
        <w:rPr>
          <w:rFonts w:ascii="Arial Narrow" w:hAnsi="Arial Narrow"/>
          <w:i/>
          <w:sz w:val="18"/>
          <w:szCs w:val="18"/>
        </w:rPr>
        <w:t>$20 million to &lt; $30 million</w:t>
      </w:r>
    </w:p>
    <w:p w14:paraId="27C87065" w14:textId="37529728" w:rsidR="00CD2C1A" w:rsidRDefault="00CD2C1A" w:rsidP="00CD2C1A">
      <w:pPr>
        <w:rPr>
          <w:rFonts w:ascii="Arial Narrow" w:hAnsi="Arial Narrow"/>
          <w:i/>
          <w:sz w:val="18"/>
          <w:szCs w:val="18"/>
        </w:rPr>
      </w:pPr>
      <w:r>
        <w:rPr>
          <w:rFonts w:ascii="Arial Narrow" w:hAnsi="Arial Narrow"/>
          <w:i/>
          <w:sz w:val="18"/>
          <w:szCs w:val="18"/>
          <w:vertAlign w:val="superscript"/>
        </w:rPr>
        <w:t>23</w:t>
      </w:r>
      <w:r>
        <w:rPr>
          <w:rFonts w:ascii="Arial Narrow" w:hAnsi="Arial Narrow"/>
          <w:i/>
          <w:sz w:val="18"/>
          <w:szCs w:val="18"/>
        </w:rPr>
        <w:t xml:space="preserve"> </w:t>
      </w:r>
      <w:r w:rsidR="00FE1DC9" w:rsidRPr="00FE1DC9">
        <w:rPr>
          <w:rFonts w:ascii="Arial Narrow" w:hAnsi="Arial Narrow"/>
          <w:i/>
          <w:sz w:val="18"/>
          <w:szCs w:val="18"/>
        </w:rPr>
        <w:t>5,000 to &lt; 10,000</w:t>
      </w:r>
    </w:p>
    <w:p w14:paraId="4F8C9501" w14:textId="365B1E36" w:rsidR="00CD2C1A" w:rsidRPr="00C42A2C" w:rsidRDefault="00CD2C1A" w:rsidP="00CD2C1A">
      <w:pPr>
        <w:rPr>
          <w:rFonts w:ascii="Arial Narrow" w:hAnsi="Arial Narrow"/>
          <w:i/>
          <w:sz w:val="18"/>
          <w:szCs w:val="18"/>
        </w:rPr>
      </w:pPr>
      <w:r>
        <w:rPr>
          <w:rFonts w:ascii="Arial Narrow" w:hAnsi="Arial Narrow"/>
          <w:i/>
          <w:sz w:val="18"/>
          <w:szCs w:val="18"/>
          <w:vertAlign w:val="superscript"/>
        </w:rPr>
        <w:t>24</w:t>
      </w:r>
      <w:r>
        <w:rPr>
          <w:rFonts w:ascii="Arial Narrow" w:hAnsi="Arial Narrow"/>
          <w:i/>
          <w:sz w:val="18"/>
          <w:szCs w:val="18"/>
        </w:rPr>
        <w:t xml:space="preserve"> </w:t>
      </w:r>
      <w:r w:rsidR="00FE1DC9" w:rsidRPr="00FE1DC9">
        <w:rPr>
          <w:rFonts w:ascii="Arial Narrow" w:hAnsi="Arial Narrow"/>
          <w:i/>
          <w:sz w:val="18"/>
          <w:szCs w:val="18"/>
        </w:rPr>
        <w:t>40,000 to &lt; 50,000</w:t>
      </w:r>
    </w:p>
    <w:p w14:paraId="5F3D17AF" w14:textId="7345D991" w:rsidR="00CD2C1A" w:rsidRDefault="00CD2C1A" w:rsidP="00CD2C1A">
      <w:pPr>
        <w:rPr>
          <w:rFonts w:ascii="Arial Narrow" w:hAnsi="Arial Narrow"/>
          <w:i/>
          <w:sz w:val="18"/>
          <w:szCs w:val="18"/>
        </w:rPr>
      </w:pPr>
      <w:r>
        <w:rPr>
          <w:rFonts w:ascii="Arial Narrow" w:hAnsi="Arial Narrow"/>
          <w:i/>
          <w:sz w:val="18"/>
          <w:szCs w:val="18"/>
          <w:vertAlign w:val="superscript"/>
        </w:rPr>
        <w:t>25</w:t>
      </w:r>
      <w:r>
        <w:rPr>
          <w:rFonts w:ascii="Arial Narrow" w:hAnsi="Arial Narrow"/>
          <w:i/>
          <w:sz w:val="18"/>
          <w:szCs w:val="18"/>
        </w:rPr>
        <w:t xml:space="preserve"> </w:t>
      </w:r>
      <w:r w:rsidR="00FE1DC9" w:rsidRPr="00FE1DC9">
        <w:rPr>
          <w:rFonts w:ascii="Arial Narrow" w:hAnsi="Arial Narrow"/>
          <w:i/>
          <w:sz w:val="18"/>
          <w:szCs w:val="18"/>
        </w:rPr>
        <w:t>50,000 to &lt; 60,000</w:t>
      </w:r>
    </w:p>
    <w:p w14:paraId="45C289FD" w14:textId="761248F3" w:rsidR="00CD2C1A" w:rsidRPr="00C42A2C" w:rsidRDefault="00CD2C1A" w:rsidP="00CD2C1A">
      <w:pPr>
        <w:rPr>
          <w:rFonts w:ascii="Arial Narrow" w:hAnsi="Arial Narrow"/>
          <w:i/>
          <w:sz w:val="18"/>
          <w:szCs w:val="18"/>
        </w:rPr>
      </w:pPr>
      <w:r>
        <w:rPr>
          <w:rFonts w:ascii="Arial Narrow" w:hAnsi="Arial Narrow"/>
          <w:i/>
          <w:sz w:val="18"/>
          <w:szCs w:val="18"/>
          <w:vertAlign w:val="superscript"/>
        </w:rPr>
        <w:t>26</w:t>
      </w:r>
      <w:r>
        <w:rPr>
          <w:rFonts w:ascii="Arial Narrow" w:hAnsi="Arial Narrow"/>
          <w:i/>
          <w:sz w:val="18"/>
          <w:szCs w:val="18"/>
        </w:rPr>
        <w:t xml:space="preserve"> </w:t>
      </w:r>
      <w:r w:rsidR="00FE1DC9" w:rsidRPr="00FE1DC9">
        <w:rPr>
          <w:rFonts w:ascii="Arial Narrow" w:hAnsi="Arial Narrow"/>
          <w:i/>
          <w:sz w:val="18"/>
          <w:szCs w:val="18"/>
        </w:rPr>
        <w:t>70,000 to &lt; 80,000</w:t>
      </w:r>
    </w:p>
    <w:p w14:paraId="5605FA44" w14:textId="36859541" w:rsidR="00C42A2C" w:rsidRPr="00FE1DC9" w:rsidRDefault="00FE1DC9" w:rsidP="00FE1DC9">
      <w:pPr>
        <w:spacing w:after="120"/>
        <w:rPr>
          <w:rFonts w:ascii="Arial Narrow" w:hAnsi="Arial Narrow"/>
          <w:i/>
          <w:sz w:val="18"/>
          <w:szCs w:val="18"/>
        </w:rPr>
      </w:pPr>
      <w:r>
        <w:rPr>
          <w:rFonts w:ascii="Arial Narrow" w:hAnsi="Arial Narrow"/>
          <w:i/>
          <w:sz w:val="18"/>
          <w:szCs w:val="18"/>
          <w:vertAlign w:val="superscript"/>
        </w:rPr>
        <w:t>27</w:t>
      </w:r>
      <w:r>
        <w:rPr>
          <w:rFonts w:ascii="Arial Narrow" w:hAnsi="Arial Narrow"/>
          <w:i/>
          <w:sz w:val="18"/>
          <w:szCs w:val="18"/>
        </w:rPr>
        <w:t xml:space="preserve"> </w:t>
      </w:r>
      <w:r w:rsidRPr="00FE1DC9">
        <w:rPr>
          <w:rFonts w:ascii="Arial Narrow" w:hAnsi="Arial Narrow"/>
          <w:i/>
          <w:sz w:val="18"/>
          <w:szCs w:val="18"/>
        </w:rPr>
        <w:t>$80 million to &lt; $90 million</w:t>
      </w:r>
    </w:p>
    <w:p w14:paraId="04649DC5" w14:textId="0CDC19A0" w:rsidR="004A75C8" w:rsidRPr="00AD7238" w:rsidRDefault="001168B8" w:rsidP="004A75C8">
      <w:pPr>
        <w:pStyle w:val="3-BodyText"/>
        <w:rPr>
          <w:rFonts w:cstheme="minorBidi"/>
          <w:sz w:val="22"/>
          <w:szCs w:val="22"/>
        </w:rPr>
      </w:pPr>
      <w:r w:rsidRPr="00E61E02">
        <w:rPr>
          <w:rFonts w:ascii="Calibri" w:hAnsi="Calibri" w:cs="Calibri"/>
          <w:b/>
          <w:bCs/>
        </w:rPr>
        <w:fldChar w:fldCharType="begin" w:fldLock="1"/>
      </w:r>
      <w:r w:rsidRPr="00E61E02">
        <w:rPr>
          <w:rFonts w:ascii="Calibri" w:hAnsi="Calibri" w:cs="Calibri"/>
          <w:b/>
          <w:bCs/>
        </w:rPr>
        <w:instrText xml:space="preserve"> REF _Ref124767465 \h  \* MERGEFORMAT </w:instrText>
      </w:r>
      <w:r w:rsidRPr="00E61E02">
        <w:rPr>
          <w:rFonts w:ascii="Calibri" w:hAnsi="Calibri" w:cs="Calibri"/>
          <w:b/>
          <w:bCs/>
        </w:rPr>
      </w:r>
      <w:r w:rsidRPr="00E61E02">
        <w:rPr>
          <w:rFonts w:ascii="Calibri" w:hAnsi="Calibri" w:cs="Calibri"/>
          <w:b/>
          <w:bCs/>
        </w:rPr>
        <w:fldChar w:fldCharType="separate"/>
      </w:r>
      <w:r w:rsidR="00602E99" w:rsidRPr="00602E99">
        <w:rPr>
          <w:rStyle w:val="CommentReference"/>
          <w:rFonts w:ascii="Calibri" w:hAnsi="Calibri" w:cs="Calibri"/>
          <w:b w:val="0"/>
          <w:bCs/>
          <w:sz w:val="24"/>
          <w:szCs w:val="24"/>
        </w:rPr>
        <w:t>Table</w:t>
      </w:r>
      <w:r w:rsidR="00602E99" w:rsidRPr="00602E99">
        <w:rPr>
          <w:rFonts w:ascii="Calibri" w:hAnsi="Calibri" w:cs="Calibri"/>
          <w:bCs/>
        </w:rPr>
        <w:t xml:space="preserve"> </w:t>
      </w:r>
      <w:r w:rsidR="00602E99" w:rsidRPr="00602E99">
        <w:rPr>
          <w:rFonts w:ascii="Calibri" w:hAnsi="Calibri" w:cs="Calibri"/>
        </w:rPr>
        <w:t>20</w:t>
      </w:r>
      <w:r w:rsidRPr="00E61E02">
        <w:rPr>
          <w:rFonts w:ascii="Calibri" w:hAnsi="Calibri" w:cs="Calibri"/>
          <w:b/>
          <w:bCs/>
        </w:rPr>
        <w:fldChar w:fldCharType="end"/>
      </w:r>
      <w:r w:rsidR="004A75C8" w:rsidRPr="00AD7238">
        <w:t xml:space="preserve"> shows the overall estimated use and financial implications for both primary and catch-up programs.</w:t>
      </w:r>
    </w:p>
    <w:p w14:paraId="1CE25541" w14:textId="157FD41E" w:rsidR="00CB58FA" w:rsidRPr="00AD7238" w:rsidRDefault="00CB58FA" w:rsidP="00814A1F">
      <w:pPr>
        <w:pStyle w:val="Caption"/>
        <w:rPr>
          <w:rStyle w:val="CommentReference"/>
          <w:b/>
          <w:bCs w:val="0"/>
        </w:rPr>
      </w:pPr>
      <w:bookmarkStart w:id="71" w:name="_Ref124767465"/>
      <w:r w:rsidRPr="00AD7238">
        <w:rPr>
          <w:rStyle w:val="CommentReference"/>
          <w:b/>
          <w:bCs w:val="0"/>
        </w:rPr>
        <w:t xml:space="preserve">Table </w:t>
      </w:r>
      <w:r w:rsidR="00814A1F" w:rsidRPr="00AD7238">
        <w:rPr>
          <w:rStyle w:val="CommentReference"/>
          <w:b/>
          <w:bCs w:val="0"/>
        </w:rPr>
        <w:fldChar w:fldCharType="begin" w:fldLock="1"/>
      </w:r>
      <w:r w:rsidR="00814A1F" w:rsidRPr="00AD7238">
        <w:rPr>
          <w:rStyle w:val="CommentReference"/>
          <w:b/>
          <w:bCs w:val="0"/>
        </w:rPr>
        <w:instrText xml:space="preserve"> SEQ Table \* ARABIC </w:instrText>
      </w:r>
      <w:r w:rsidR="00814A1F" w:rsidRPr="00AD7238">
        <w:rPr>
          <w:rStyle w:val="CommentReference"/>
          <w:b/>
          <w:bCs w:val="0"/>
        </w:rPr>
        <w:fldChar w:fldCharType="separate"/>
      </w:r>
      <w:r w:rsidR="00602E99">
        <w:rPr>
          <w:rStyle w:val="CommentReference"/>
          <w:b/>
          <w:bCs w:val="0"/>
          <w:noProof/>
        </w:rPr>
        <w:t>20</w:t>
      </w:r>
      <w:r w:rsidR="00814A1F" w:rsidRPr="00AD7238">
        <w:rPr>
          <w:rStyle w:val="CommentReference"/>
          <w:b/>
          <w:bCs w:val="0"/>
        </w:rPr>
        <w:fldChar w:fldCharType="end"/>
      </w:r>
      <w:bookmarkEnd w:id="71"/>
      <w:r w:rsidRPr="00AD7238">
        <w:rPr>
          <w:rStyle w:val="CommentReference"/>
          <w:b/>
          <w:bCs w:val="0"/>
        </w:rPr>
        <w:t>: Estimated net</w:t>
      </w:r>
      <w:r w:rsidR="00A14AE5" w:rsidRPr="00AD7238">
        <w:rPr>
          <w:rStyle w:val="CommentReference"/>
          <w:b/>
          <w:bCs w:val="0"/>
        </w:rPr>
        <w:t xml:space="preserve"> </w:t>
      </w:r>
      <w:r w:rsidRPr="00AD7238">
        <w:rPr>
          <w:rStyle w:val="CommentReference"/>
          <w:b/>
          <w:bCs w:val="0"/>
        </w:rPr>
        <w:t xml:space="preserve">financial implications for </w:t>
      </w:r>
      <w:r w:rsidR="00C67DB1" w:rsidRPr="00AD7238">
        <w:rPr>
          <w:rStyle w:val="CommentReference"/>
          <w:b/>
          <w:bCs w:val="0"/>
        </w:rPr>
        <w:t xml:space="preserve">both </w:t>
      </w:r>
      <w:r w:rsidR="00A14AE5" w:rsidRPr="00AD7238">
        <w:rPr>
          <w:rStyle w:val="CommentReference"/>
          <w:b/>
          <w:bCs w:val="0"/>
        </w:rPr>
        <w:t>primary and catch-up pr</w:t>
      </w:r>
      <w:r w:rsidR="00947E0E" w:rsidRPr="00AD7238">
        <w:rPr>
          <w:rStyle w:val="CommentReference"/>
          <w:b/>
          <w:bCs w:val="0"/>
        </w:rPr>
        <w:t>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0"/>
        <w:gridCol w:w="1061"/>
        <w:gridCol w:w="1198"/>
        <w:gridCol w:w="1197"/>
        <w:gridCol w:w="1197"/>
        <w:gridCol w:w="1197"/>
        <w:gridCol w:w="1197"/>
      </w:tblGrid>
      <w:tr w:rsidR="00CB58FA" w:rsidRPr="00AD7238" w14:paraId="375277D7" w14:textId="77777777" w:rsidTr="008D4AE0">
        <w:trPr>
          <w:tblHeader/>
        </w:trPr>
        <w:tc>
          <w:tcPr>
            <w:tcW w:w="1092" w:type="pct"/>
            <w:shd w:val="clear" w:color="auto" w:fill="auto"/>
            <w:vAlign w:val="center"/>
          </w:tcPr>
          <w:p w14:paraId="31ED66FF" w14:textId="77777777" w:rsidR="00CB58FA" w:rsidRPr="00AD7238" w:rsidRDefault="00CB58FA" w:rsidP="00B47BB8">
            <w:pPr>
              <w:pStyle w:val="TableText0"/>
            </w:pPr>
          </w:p>
        </w:tc>
        <w:tc>
          <w:tcPr>
            <w:tcW w:w="588" w:type="pct"/>
            <w:shd w:val="clear" w:color="auto" w:fill="auto"/>
            <w:vAlign w:val="center"/>
          </w:tcPr>
          <w:p w14:paraId="7B9509F1" w14:textId="77777777" w:rsidR="00CB58FA" w:rsidRPr="00AD7238" w:rsidRDefault="00CB58FA" w:rsidP="00086F21">
            <w:pPr>
              <w:pStyle w:val="In-tableHeading"/>
              <w:jc w:val="center"/>
              <w:rPr>
                <w:lang w:val="en-AU"/>
              </w:rPr>
            </w:pPr>
            <w:r w:rsidRPr="00AD7238">
              <w:rPr>
                <w:lang w:val="en-AU"/>
              </w:rPr>
              <w:t>Year 1</w:t>
            </w:r>
          </w:p>
        </w:tc>
        <w:tc>
          <w:tcPr>
            <w:tcW w:w="664" w:type="pct"/>
            <w:shd w:val="clear" w:color="auto" w:fill="auto"/>
            <w:vAlign w:val="center"/>
          </w:tcPr>
          <w:p w14:paraId="1FAB636E" w14:textId="77777777" w:rsidR="00CB58FA" w:rsidRPr="00AD7238" w:rsidRDefault="00CB58FA" w:rsidP="00086F21">
            <w:pPr>
              <w:pStyle w:val="In-tableHeading"/>
              <w:jc w:val="center"/>
              <w:rPr>
                <w:lang w:val="en-AU"/>
              </w:rPr>
            </w:pPr>
            <w:r w:rsidRPr="00AD7238">
              <w:rPr>
                <w:lang w:val="en-AU"/>
              </w:rPr>
              <w:t>Year 2</w:t>
            </w:r>
          </w:p>
        </w:tc>
        <w:tc>
          <w:tcPr>
            <w:tcW w:w="664" w:type="pct"/>
            <w:shd w:val="clear" w:color="auto" w:fill="auto"/>
            <w:vAlign w:val="center"/>
          </w:tcPr>
          <w:p w14:paraId="0D1236A0" w14:textId="77777777" w:rsidR="00CB58FA" w:rsidRPr="00AD7238" w:rsidRDefault="00CB58FA" w:rsidP="00086F21">
            <w:pPr>
              <w:pStyle w:val="In-tableHeading"/>
              <w:jc w:val="center"/>
              <w:rPr>
                <w:lang w:val="en-AU"/>
              </w:rPr>
            </w:pPr>
            <w:r w:rsidRPr="00AD7238">
              <w:rPr>
                <w:lang w:val="en-AU"/>
              </w:rPr>
              <w:t>Year 3</w:t>
            </w:r>
          </w:p>
        </w:tc>
        <w:tc>
          <w:tcPr>
            <w:tcW w:w="664" w:type="pct"/>
            <w:shd w:val="clear" w:color="auto" w:fill="auto"/>
            <w:vAlign w:val="center"/>
          </w:tcPr>
          <w:p w14:paraId="0EC64C6E" w14:textId="77777777" w:rsidR="00CB58FA" w:rsidRPr="00AD7238" w:rsidRDefault="00CB58FA" w:rsidP="00086F21">
            <w:pPr>
              <w:pStyle w:val="In-tableHeading"/>
              <w:jc w:val="center"/>
              <w:rPr>
                <w:lang w:val="en-AU"/>
              </w:rPr>
            </w:pPr>
            <w:r w:rsidRPr="00AD7238">
              <w:rPr>
                <w:lang w:val="en-AU"/>
              </w:rPr>
              <w:t>Year 4</w:t>
            </w:r>
          </w:p>
        </w:tc>
        <w:tc>
          <w:tcPr>
            <w:tcW w:w="664" w:type="pct"/>
            <w:shd w:val="clear" w:color="auto" w:fill="auto"/>
            <w:vAlign w:val="center"/>
          </w:tcPr>
          <w:p w14:paraId="686EC331" w14:textId="77777777" w:rsidR="00CB58FA" w:rsidRPr="00AD7238" w:rsidRDefault="00CB58FA" w:rsidP="00086F21">
            <w:pPr>
              <w:pStyle w:val="In-tableHeading"/>
              <w:jc w:val="center"/>
              <w:rPr>
                <w:lang w:val="en-AU"/>
              </w:rPr>
            </w:pPr>
            <w:r w:rsidRPr="00AD7238">
              <w:rPr>
                <w:lang w:val="en-AU"/>
              </w:rPr>
              <w:t>Year 5</w:t>
            </w:r>
          </w:p>
        </w:tc>
        <w:tc>
          <w:tcPr>
            <w:tcW w:w="663" w:type="pct"/>
          </w:tcPr>
          <w:p w14:paraId="7C432795" w14:textId="77777777" w:rsidR="00CB58FA" w:rsidRPr="00AD7238" w:rsidRDefault="00CB58FA" w:rsidP="00086F21">
            <w:pPr>
              <w:pStyle w:val="In-tableHeading"/>
              <w:jc w:val="center"/>
              <w:rPr>
                <w:lang w:val="en-AU"/>
              </w:rPr>
            </w:pPr>
            <w:r w:rsidRPr="00AD7238">
              <w:rPr>
                <w:lang w:val="en-AU"/>
              </w:rPr>
              <w:t>Year 6</w:t>
            </w:r>
          </w:p>
        </w:tc>
      </w:tr>
      <w:tr w:rsidR="004D2CA9" w:rsidRPr="00AD7238" w14:paraId="70E46F42" w14:textId="77777777" w:rsidTr="008D4AE0">
        <w:tc>
          <w:tcPr>
            <w:tcW w:w="1092" w:type="pct"/>
            <w:shd w:val="clear" w:color="auto" w:fill="auto"/>
            <w:vAlign w:val="center"/>
          </w:tcPr>
          <w:p w14:paraId="12D881F0" w14:textId="70751AFF" w:rsidR="004D2CA9" w:rsidRPr="00AD7238" w:rsidRDefault="004D2CA9" w:rsidP="004D2CA9">
            <w:pPr>
              <w:pStyle w:val="TableText0"/>
            </w:pPr>
            <w:r>
              <w:t>Total doses</w:t>
            </w:r>
          </w:p>
        </w:tc>
        <w:tc>
          <w:tcPr>
            <w:tcW w:w="588" w:type="pct"/>
            <w:shd w:val="clear" w:color="auto" w:fill="auto"/>
            <w:vAlign w:val="bottom"/>
          </w:tcPr>
          <w:p w14:paraId="16FD9AD9" w14:textId="1B54E84D" w:rsidR="004D2CA9" w:rsidRPr="008D4AE0" w:rsidRDefault="00BA039D" w:rsidP="004D2CA9">
            <w:pPr>
              <w:pStyle w:val="TableText0"/>
              <w:jc w:val="center"/>
              <w:rPr>
                <w:highlight w:val="darkGray"/>
              </w:rPr>
            </w:pPr>
            <w:r w:rsidRPr="00BA039D">
              <w:rPr>
                <w:color w:val="000000"/>
                <w:spacing w:val="76"/>
                <w:shd w:val="solid" w:color="000000" w:fill="000000"/>
                <w:fitText w:val="400" w:id="-1233441786"/>
                <w14:textFill>
                  <w14:solidFill>
                    <w14:srgbClr w14:val="000000">
                      <w14:alpha w14:val="100000"/>
                    </w14:srgbClr>
                  </w14:solidFill>
                </w14:textFill>
              </w:rPr>
              <w:t>|||</w:t>
            </w:r>
            <w:r w:rsidRPr="00BA039D">
              <w:rPr>
                <w:color w:val="000000"/>
                <w:spacing w:val="2"/>
                <w:shd w:val="solid" w:color="000000" w:fill="000000"/>
                <w:fitText w:val="400" w:id="-1233441786"/>
                <w14:textFill>
                  <w14:solidFill>
                    <w14:srgbClr w14:val="000000">
                      <w14:alpha w14:val="100000"/>
                    </w14:srgbClr>
                  </w14:solidFill>
                </w14:textFill>
              </w:rPr>
              <w:t>|</w:t>
            </w:r>
            <w:r w:rsidR="008D4AE0" w:rsidRPr="008D4AE0">
              <w:rPr>
                <w:vertAlign w:val="superscript"/>
              </w:rPr>
              <w:t>1</w:t>
            </w:r>
          </w:p>
        </w:tc>
        <w:tc>
          <w:tcPr>
            <w:tcW w:w="664" w:type="pct"/>
            <w:shd w:val="clear" w:color="auto" w:fill="auto"/>
            <w:vAlign w:val="bottom"/>
          </w:tcPr>
          <w:p w14:paraId="1A2A3553" w14:textId="51290553" w:rsidR="004D2CA9" w:rsidRPr="008D4AE0" w:rsidRDefault="00BA039D" w:rsidP="004D2CA9">
            <w:pPr>
              <w:pStyle w:val="TableText0"/>
              <w:jc w:val="center"/>
              <w:rPr>
                <w:highlight w:val="darkGray"/>
              </w:rPr>
            </w:pPr>
            <w:r w:rsidRPr="00BA039D">
              <w:rPr>
                <w:color w:val="000000"/>
                <w:spacing w:val="51"/>
                <w:shd w:val="solid" w:color="000000" w:fill="000000"/>
                <w:fitText w:val="324" w:id="-1233441785"/>
                <w14:textFill>
                  <w14:solidFill>
                    <w14:srgbClr w14:val="000000">
                      <w14:alpha w14:val="100000"/>
                    </w14:srgbClr>
                  </w14:solidFill>
                </w14:textFill>
              </w:rPr>
              <w:t>|||</w:t>
            </w:r>
            <w:r w:rsidRPr="00BA039D">
              <w:rPr>
                <w:color w:val="000000"/>
                <w:spacing w:val="1"/>
                <w:shd w:val="solid" w:color="000000" w:fill="000000"/>
                <w:fitText w:val="324" w:id="-1233441785"/>
                <w14:textFill>
                  <w14:solidFill>
                    <w14:srgbClr w14:val="000000">
                      <w14:alpha w14:val="100000"/>
                    </w14:srgbClr>
                  </w14:solidFill>
                </w14:textFill>
              </w:rPr>
              <w:t>|</w:t>
            </w:r>
            <w:r w:rsidR="008D4AE0" w:rsidRPr="008D4AE0">
              <w:rPr>
                <w:vertAlign w:val="superscript"/>
              </w:rPr>
              <w:t>1</w:t>
            </w:r>
          </w:p>
        </w:tc>
        <w:tc>
          <w:tcPr>
            <w:tcW w:w="664" w:type="pct"/>
            <w:shd w:val="clear" w:color="auto" w:fill="auto"/>
            <w:vAlign w:val="bottom"/>
          </w:tcPr>
          <w:p w14:paraId="604C775C" w14:textId="43D80970" w:rsidR="004D2CA9" w:rsidRPr="008D4AE0" w:rsidRDefault="00BA039D" w:rsidP="004D2CA9">
            <w:pPr>
              <w:pStyle w:val="TableText0"/>
              <w:jc w:val="center"/>
              <w:rPr>
                <w:highlight w:val="darkGray"/>
              </w:rPr>
            </w:pPr>
            <w:r w:rsidRPr="00BA039D">
              <w:rPr>
                <w:color w:val="000000"/>
                <w:spacing w:val="51"/>
                <w:shd w:val="solid" w:color="000000" w:fill="000000"/>
                <w:fitText w:val="325" w:id="-1233441784"/>
                <w14:textFill>
                  <w14:solidFill>
                    <w14:srgbClr w14:val="000000">
                      <w14:alpha w14:val="100000"/>
                    </w14:srgbClr>
                  </w14:solidFill>
                </w14:textFill>
              </w:rPr>
              <w:t>|||</w:t>
            </w:r>
            <w:r w:rsidRPr="00BA039D">
              <w:rPr>
                <w:color w:val="000000"/>
                <w:spacing w:val="2"/>
                <w:shd w:val="solid" w:color="000000" w:fill="000000"/>
                <w:fitText w:val="325" w:id="-1233441784"/>
                <w14:textFill>
                  <w14:solidFill>
                    <w14:srgbClr w14:val="000000">
                      <w14:alpha w14:val="100000"/>
                    </w14:srgbClr>
                  </w14:solidFill>
                </w14:textFill>
              </w:rPr>
              <w:t>|</w:t>
            </w:r>
            <w:r w:rsidR="008D4AE0" w:rsidRPr="008D4AE0">
              <w:rPr>
                <w:vertAlign w:val="superscript"/>
              </w:rPr>
              <w:t>1</w:t>
            </w:r>
          </w:p>
        </w:tc>
        <w:tc>
          <w:tcPr>
            <w:tcW w:w="664" w:type="pct"/>
            <w:shd w:val="clear" w:color="auto" w:fill="auto"/>
            <w:vAlign w:val="bottom"/>
          </w:tcPr>
          <w:p w14:paraId="708BE5D3" w14:textId="533DDA51" w:rsidR="004D2CA9" w:rsidRPr="008D4AE0" w:rsidRDefault="00BA039D" w:rsidP="004D2CA9">
            <w:pPr>
              <w:pStyle w:val="TableText0"/>
              <w:jc w:val="center"/>
              <w:rPr>
                <w:highlight w:val="darkGray"/>
              </w:rPr>
            </w:pPr>
            <w:r w:rsidRPr="00BA039D">
              <w:rPr>
                <w:color w:val="000000"/>
                <w:spacing w:val="51"/>
                <w:shd w:val="solid" w:color="000000" w:fill="000000"/>
                <w:fitText w:val="325" w:id="-1233441783"/>
                <w14:textFill>
                  <w14:solidFill>
                    <w14:srgbClr w14:val="000000">
                      <w14:alpha w14:val="100000"/>
                    </w14:srgbClr>
                  </w14:solidFill>
                </w14:textFill>
              </w:rPr>
              <w:t>|||</w:t>
            </w:r>
            <w:r w:rsidRPr="00BA039D">
              <w:rPr>
                <w:color w:val="000000"/>
                <w:spacing w:val="2"/>
                <w:shd w:val="solid" w:color="000000" w:fill="000000"/>
                <w:fitText w:val="325" w:id="-1233441783"/>
                <w14:textFill>
                  <w14:solidFill>
                    <w14:srgbClr w14:val="000000">
                      <w14:alpha w14:val="100000"/>
                    </w14:srgbClr>
                  </w14:solidFill>
                </w14:textFill>
              </w:rPr>
              <w:t>|</w:t>
            </w:r>
            <w:r w:rsidR="00E7392D">
              <w:rPr>
                <w:vertAlign w:val="superscript"/>
              </w:rPr>
              <w:t>9</w:t>
            </w:r>
          </w:p>
        </w:tc>
        <w:tc>
          <w:tcPr>
            <w:tcW w:w="664" w:type="pct"/>
            <w:shd w:val="clear" w:color="auto" w:fill="auto"/>
            <w:vAlign w:val="bottom"/>
          </w:tcPr>
          <w:p w14:paraId="41FCD4F3" w14:textId="34417287" w:rsidR="004D2CA9" w:rsidRPr="008D4AE0" w:rsidRDefault="00BA039D" w:rsidP="004D2CA9">
            <w:pPr>
              <w:pStyle w:val="TableText0"/>
              <w:jc w:val="center"/>
              <w:rPr>
                <w:highlight w:val="darkGray"/>
              </w:rPr>
            </w:pPr>
            <w:r w:rsidRPr="00BA039D">
              <w:rPr>
                <w:color w:val="000000"/>
                <w:spacing w:val="51"/>
                <w:shd w:val="solid" w:color="000000" w:fill="000000"/>
                <w:fitText w:val="324" w:id="-1233441782"/>
                <w14:textFill>
                  <w14:solidFill>
                    <w14:srgbClr w14:val="000000">
                      <w14:alpha w14:val="100000"/>
                    </w14:srgbClr>
                  </w14:solidFill>
                </w14:textFill>
              </w:rPr>
              <w:t>|||</w:t>
            </w:r>
            <w:r w:rsidRPr="00BA039D">
              <w:rPr>
                <w:color w:val="000000"/>
                <w:spacing w:val="1"/>
                <w:shd w:val="solid" w:color="000000" w:fill="000000"/>
                <w:fitText w:val="324" w:id="-1233441782"/>
                <w14:textFill>
                  <w14:solidFill>
                    <w14:srgbClr w14:val="000000">
                      <w14:alpha w14:val="100000"/>
                    </w14:srgbClr>
                  </w14:solidFill>
                </w14:textFill>
              </w:rPr>
              <w:t>|</w:t>
            </w:r>
            <w:r w:rsidR="00E7392D">
              <w:rPr>
                <w:vertAlign w:val="superscript"/>
              </w:rPr>
              <w:t>9</w:t>
            </w:r>
          </w:p>
        </w:tc>
        <w:tc>
          <w:tcPr>
            <w:tcW w:w="663" w:type="pct"/>
            <w:shd w:val="clear" w:color="auto" w:fill="auto"/>
            <w:vAlign w:val="bottom"/>
          </w:tcPr>
          <w:p w14:paraId="1B824D84" w14:textId="2B19366E" w:rsidR="004D2CA9" w:rsidRPr="008D4AE0" w:rsidRDefault="00BA039D" w:rsidP="004D2CA9">
            <w:pPr>
              <w:pStyle w:val="TableText0"/>
              <w:jc w:val="center"/>
              <w:rPr>
                <w:highlight w:val="darkGray"/>
              </w:rPr>
            </w:pPr>
            <w:r w:rsidRPr="00BA039D">
              <w:rPr>
                <w:color w:val="000000"/>
                <w:spacing w:val="51"/>
                <w:shd w:val="solid" w:color="000000" w:fill="000000"/>
                <w:fitText w:val="324" w:id="-1233441781"/>
                <w14:textFill>
                  <w14:solidFill>
                    <w14:srgbClr w14:val="000000">
                      <w14:alpha w14:val="100000"/>
                    </w14:srgbClr>
                  </w14:solidFill>
                </w14:textFill>
              </w:rPr>
              <w:t>|||</w:t>
            </w:r>
            <w:r w:rsidRPr="00BA039D">
              <w:rPr>
                <w:color w:val="000000"/>
                <w:spacing w:val="1"/>
                <w:shd w:val="solid" w:color="000000" w:fill="000000"/>
                <w:fitText w:val="324" w:id="-1233441781"/>
                <w14:textFill>
                  <w14:solidFill>
                    <w14:srgbClr w14:val="000000">
                      <w14:alpha w14:val="100000"/>
                    </w14:srgbClr>
                  </w14:solidFill>
                </w14:textFill>
              </w:rPr>
              <w:t>|</w:t>
            </w:r>
            <w:r w:rsidR="00E7392D">
              <w:rPr>
                <w:vertAlign w:val="superscript"/>
              </w:rPr>
              <w:t>9</w:t>
            </w:r>
          </w:p>
        </w:tc>
      </w:tr>
      <w:tr w:rsidR="004D2CA9" w:rsidRPr="00AD7238" w14:paraId="61822038" w14:textId="77777777" w:rsidTr="008D4AE0">
        <w:tc>
          <w:tcPr>
            <w:tcW w:w="1092" w:type="pct"/>
            <w:shd w:val="clear" w:color="auto" w:fill="auto"/>
            <w:vAlign w:val="center"/>
          </w:tcPr>
          <w:p w14:paraId="3346709D" w14:textId="2F5FD352" w:rsidR="004D2CA9" w:rsidRPr="00AD7238" w:rsidRDefault="004D2CA9" w:rsidP="004D2CA9">
            <w:pPr>
              <w:pStyle w:val="TableText0"/>
              <w:rPr>
                <w:bCs w:val="0"/>
              </w:rPr>
            </w:pPr>
            <w:r w:rsidRPr="00AD7238">
              <w:t xml:space="preserve">Cost to NIP </w:t>
            </w:r>
            <w:r w:rsidR="008D4AE0">
              <w:t>($)</w:t>
            </w:r>
          </w:p>
        </w:tc>
        <w:tc>
          <w:tcPr>
            <w:tcW w:w="588" w:type="pct"/>
          </w:tcPr>
          <w:p w14:paraId="305B0A22" w14:textId="1C5AE353" w:rsidR="004D2CA9" w:rsidRPr="008D4AE0" w:rsidRDefault="00BA039D" w:rsidP="004D2CA9">
            <w:pPr>
              <w:pStyle w:val="TableText0"/>
              <w:jc w:val="center"/>
              <w:rPr>
                <w:bCs w:val="0"/>
                <w:highlight w:val="darkGray"/>
              </w:rPr>
            </w:pPr>
            <w:r w:rsidRPr="00BA039D">
              <w:rPr>
                <w:color w:val="000000"/>
                <w:spacing w:val="76"/>
                <w:shd w:val="solid" w:color="000000" w:fill="000000"/>
                <w:fitText w:val="400" w:id="-1233441780"/>
                <w14:textFill>
                  <w14:solidFill>
                    <w14:srgbClr w14:val="000000">
                      <w14:alpha w14:val="100000"/>
                    </w14:srgbClr>
                  </w14:solidFill>
                </w14:textFill>
              </w:rPr>
              <w:t>|||</w:t>
            </w:r>
            <w:r w:rsidRPr="00BA039D">
              <w:rPr>
                <w:color w:val="000000"/>
                <w:spacing w:val="2"/>
                <w:shd w:val="solid" w:color="000000" w:fill="000000"/>
                <w:fitText w:val="400" w:id="-1233441780"/>
                <w14:textFill>
                  <w14:solidFill>
                    <w14:srgbClr w14:val="000000">
                      <w14:alpha w14:val="100000"/>
                    </w14:srgbClr>
                  </w14:solidFill>
                </w14:textFill>
              </w:rPr>
              <w:t>|</w:t>
            </w:r>
            <w:r w:rsidR="00E7392D">
              <w:rPr>
                <w:vertAlign w:val="superscript"/>
              </w:rPr>
              <w:t>2</w:t>
            </w:r>
          </w:p>
        </w:tc>
        <w:tc>
          <w:tcPr>
            <w:tcW w:w="664" w:type="pct"/>
          </w:tcPr>
          <w:p w14:paraId="2FA07EB0" w14:textId="1D3E9A7F"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79"/>
                <w14:textFill>
                  <w14:solidFill>
                    <w14:srgbClr w14:val="000000">
                      <w14:alpha w14:val="100000"/>
                    </w14:srgbClr>
                  </w14:solidFill>
                </w14:textFill>
              </w:rPr>
              <w:t>|||</w:t>
            </w:r>
            <w:r w:rsidRPr="00BA039D">
              <w:rPr>
                <w:color w:val="000000"/>
                <w:spacing w:val="1"/>
                <w:shd w:val="solid" w:color="000000" w:fill="000000"/>
                <w:fitText w:val="324" w:id="-1233441779"/>
                <w14:textFill>
                  <w14:solidFill>
                    <w14:srgbClr w14:val="000000">
                      <w14:alpha w14:val="100000"/>
                    </w14:srgbClr>
                  </w14:solidFill>
                </w14:textFill>
              </w:rPr>
              <w:t>|</w:t>
            </w:r>
            <w:r w:rsidR="00E7392D">
              <w:rPr>
                <w:vertAlign w:val="superscript"/>
              </w:rPr>
              <w:t>5</w:t>
            </w:r>
          </w:p>
        </w:tc>
        <w:tc>
          <w:tcPr>
            <w:tcW w:w="664" w:type="pct"/>
          </w:tcPr>
          <w:p w14:paraId="3B28F297" w14:textId="046F88C8"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78"/>
                <w14:textFill>
                  <w14:solidFill>
                    <w14:srgbClr w14:val="000000">
                      <w14:alpha w14:val="100000"/>
                    </w14:srgbClr>
                  </w14:solidFill>
                </w14:textFill>
              </w:rPr>
              <w:t>|||</w:t>
            </w:r>
            <w:r w:rsidRPr="00BA039D">
              <w:rPr>
                <w:color w:val="000000"/>
                <w:spacing w:val="2"/>
                <w:shd w:val="solid" w:color="000000" w:fill="000000"/>
                <w:fitText w:val="325" w:id="-1233441778"/>
                <w14:textFill>
                  <w14:solidFill>
                    <w14:srgbClr w14:val="000000">
                      <w14:alpha w14:val="100000"/>
                    </w14:srgbClr>
                  </w14:solidFill>
                </w14:textFill>
              </w:rPr>
              <w:t>|</w:t>
            </w:r>
            <w:r w:rsidR="00E7392D">
              <w:rPr>
                <w:vertAlign w:val="superscript"/>
              </w:rPr>
              <w:t>5</w:t>
            </w:r>
          </w:p>
        </w:tc>
        <w:tc>
          <w:tcPr>
            <w:tcW w:w="664" w:type="pct"/>
          </w:tcPr>
          <w:p w14:paraId="2CEF5DBA" w14:textId="379EDF3F"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77"/>
                <w14:textFill>
                  <w14:solidFill>
                    <w14:srgbClr w14:val="000000">
                      <w14:alpha w14:val="100000"/>
                    </w14:srgbClr>
                  </w14:solidFill>
                </w14:textFill>
              </w:rPr>
              <w:t>|||</w:t>
            </w:r>
            <w:r w:rsidRPr="00BA039D">
              <w:rPr>
                <w:color w:val="000000"/>
                <w:spacing w:val="2"/>
                <w:shd w:val="solid" w:color="000000" w:fill="000000"/>
                <w:fitText w:val="325" w:id="-1233441777"/>
                <w14:textFill>
                  <w14:solidFill>
                    <w14:srgbClr w14:val="000000">
                      <w14:alpha w14:val="100000"/>
                    </w14:srgbClr>
                  </w14:solidFill>
                </w14:textFill>
              </w:rPr>
              <w:t>|</w:t>
            </w:r>
            <w:r w:rsidR="00E7392D">
              <w:rPr>
                <w:vertAlign w:val="superscript"/>
              </w:rPr>
              <w:t>8</w:t>
            </w:r>
          </w:p>
        </w:tc>
        <w:tc>
          <w:tcPr>
            <w:tcW w:w="664" w:type="pct"/>
          </w:tcPr>
          <w:p w14:paraId="75EB7E5C" w14:textId="25C304EF"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76"/>
                <w14:textFill>
                  <w14:solidFill>
                    <w14:srgbClr w14:val="000000">
                      <w14:alpha w14:val="100000"/>
                    </w14:srgbClr>
                  </w14:solidFill>
                </w14:textFill>
              </w:rPr>
              <w:t>|||</w:t>
            </w:r>
            <w:r w:rsidRPr="00BA039D">
              <w:rPr>
                <w:color w:val="000000"/>
                <w:spacing w:val="1"/>
                <w:shd w:val="solid" w:color="000000" w:fill="000000"/>
                <w:fitText w:val="324" w:id="-1233441776"/>
                <w14:textFill>
                  <w14:solidFill>
                    <w14:srgbClr w14:val="000000">
                      <w14:alpha w14:val="100000"/>
                    </w14:srgbClr>
                  </w14:solidFill>
                </w14:textFill>
              </w:rPr>
              <w:t>|</w:t>
            </w:r>
            <w:r w:rsidR="00E7392D">
              <w:rPr>
                <w:vertAlign w:val="superscript"/>
              </w:rPr>
              <w:t>8</w:t>
            </w:r>
          </w:p>
        </w:tc>
        <w:tc>
          <w:tcPr>
            <w:tcW w:w="663" w:type="pct"/>
          </w:tcPr>
          <w:p w14:paraId="665B8ECC" w14:textId="4026255D"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92"/>
                <w14:textFill>
                  <w14:solidFill>
                    <w14:srgbClr w14:val="000000">
                      <w14:alpha w14:val="100000"/>
                    </w14:srgbClr>
                  </w14:solidFill>
                </w14:textFill>
              </w:rPr>
              <w:t>|||</w:t>
            </w:r>
            <w:r w:rsidRPr="00BA039D">
              <w:rPr>
                <w:color w:val="000000"/>
                <w:spacing w:val="1"/>
                <w:shd w:val="solid" w:color="000000" w:fill="000000"/>
                <w:fitText w:val="324" w:id="-1233441792"/>
                <w14:textFill>
                  <w14:solidFill>
                    <w14:srgbClr w14:val="000000">
                      <w14:alpha w14:val="100000"/>
                    </w14:srgbClr>
                  </w14:solidFill>
                </w14:textFill>
              </w:rPr>
              <w:t>|</w:t>
            </w:r>
            <w:r w:rsidR="00E7392D">
              <w:rPr>
                <w:vertAlign w:val="superscript"/>
              </w:rPr>
              <w:t>8</w:t>
            </w:r>
          </w:p>
        </w:tc>
      </w:tr>
      <w:tr w:rsidR="004D2CA9" w:rsidRPr="00AD7238" w14:paraId="2C4012E6" w14:textId="77777777" w:rsidTr="008D4AE0">
        <w:tc>
          <w:tcPr>
            <w:tcW w:w="1092" w:type="pct"/>
            <w:shd w:val="clear" w:color="auto" w:fill="auto"/>
            <w:vAlign w:val="center"/>
          </w:tcPr>
          <w:p w14:paraId="581AE4B3" w14:textId="4167D5D0" w:rsidR="004D2CA9" w:rsidRPr="00AD7238" w:rsidRDefault="004D2CA9" w:rsidP="004D2CA9">
            <w:pPr>
              <w:pStyle w:val="TableText0"/>
              <w:rPr>
                <w:bCs w:val="0"/>
              </w:rPr>
            </w:pPr>
            <w:r w:rsidRPr="00AD7238">
              <w:t>Net cost to PBS/RPBS</w:t>
            </w:r>
            <w:r w:rsidR="008D4AE0">
              <w:t xml:space="preserve"> ($)</w:t>
            </w:r>
          </w:p>
        </w:tc>
        <w:tc>
          <w:tcPr>
            <w:tcW w:w="588" w:type="pct"/>
          </w:tcPr>
          <w:p w14:paraId="1AC4977F" w14:textId="16EA8D54" w:rsidR="004D2CA9" w:rsidRPr="008D4AE0" w:rsidRDefault="00BA039D" w:rsidP="004D2CA9">
            <w:pPr>
              <w:pStyle w:val="TableText0"/>
              <w:jc w:val="center"/>
              <w:rPr>
                <w:bCs w:val="0"/>
                <w:highlight w:val="darkGray"/>
              </w:rPr>
            </w:pPr>
            <w:r w:rsidRPr="00BA039D">
              <w:rPr>
                <w:color w:val="000000"/>
                <w:spacing w:val="76"/>
                <w:shd w:val="solid" w:color="000000" w:fill="000000"/>
                <w:fitText w:val="400" w:id="-1233441791"/>
                <w14:textFill>
                  <w14:solidFill>
                    <w14:srgbClr w14:val="000000">
                      <w14:alpha w14:val="100000"/>
                    </w14:srgbClr>
                  </w14:solidFill>
                </w14:textFill>
              </w:rPr>
              <w:t>|||</w:t>
            </w:r>
            <w:r w:rsidRPr="00BA039D">
              <w:rPr>
                <w:color w:val="000000"/>
                <w:spacing w:val="2"/>
                <w:shd w:val="solid" w:color="000000" w:fill="000000"/>
                <w:fitText w:val="400" w:id="-1233441791"/>
                <w14:textFill>
                  <w14:solidFill>
                    <w14:srgbClr w14:val="000000">
                      <w14:alpha w14:val="100000"/>
                    </w14:srgbClr>
                  </w14:solidFill>
                </w14:textFill>
              </w:rPr>
              <w:t>|</w:t>
            </w:r>
            <w:r w:rsidR="00E7392D">
              <w:rPr>
                <w:vertAlign w:val="superscript"/>
              </w:rPr>
              <w:t>3</w:t>
            </w:r>
          </w:p>
        </w:tc>
        <w:tc>
          <w:tcPr>
            <w:tcW w:w="664" w:type="pct"/>
          </w:tcPr>
          <w:p w14:paraId="02F4AF45" w14:textId="77E03BA3"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90"/>
                <w14:textFill>
                  <w14:solidFill>
                    <w14:srgbClr w14:val="000000">
                      <w14:alpha w14:val="100000"/>
                    </w14:srgbClr>
                  </w14:solidFill>
                </w14:textFill>
              </w:rPr>
              <w:t>|||</w:t>
            </w:r>
            <w:r w:rsidRPr="00BA039D">
              <w:rPr>
                <w:color w:val="000000"/>
                <w:spacing w:val="1"/>
                <w:shd w:val="solid" w:color="000000" w:fill="000000"/>
                <w:fitText w:val="324" w:id="-1233441790"/>
                <w14:textFill>
                  <w14:solidFill>
                    <w14:srgbClr w14:val="000000">
                      <w14:alpha w14:val="100000"/>
                    </w14:srgbClr>
                  </w14:solidFill>
                </w14:textFill>
              </w:rPr>
              <w:t>|</w:t>
            </w:r>
            <w:r w:rsidR="00E7392D">
              <w:rPr>
                <w:vertAlign w:val="superscript"/>
              </w:rPr>
              <w:t>3</w:t>
            </w:r>
          </w:p>
        </w:tc>
        <w:tc>
          <w:tcPr>
            <w:tcW w:w="664" w:type="pct"/>
          </w:tcPr>
          <w:p w14:paraId="7FF48C28" w14:textId="36145C80"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89"/>
                <w14:textFill>
                  <w14:solidFill>
                    <w14:srgbClr w14:val="000000">
                      <w14:alpha w14:val="100000"/>
                    </w14:srgbClr>
                  </w14:solidFill>
                </w14:textFill>
              </w:rPr>
              <w:t>|||</w:t>
            </w:r>
            <w:r w:rsidRPr="00BA039D">
              <w:rPr>
                <w:color w:val="000000"/>
                <w:spacing w:val="2"/>
                <w:shd w:val="solid" w:color="000000" w:fill="000000"/>
                <w:fitText w:val="325" w:id="-1233441789"/>
                <w14:textFill>
                  <w14:solidFill>
                    <w14:srgbClr w14:val="000000">
                      <w14:alpha w14:val="100000"/>
                    </w14:srgbClr>
                  </w14:solidFill>
                </w14:textFill>
              </w:rPr>
              <w:t>|</w:t>
            </w:r>
            <w:r w:rsidR="00E7392D">
              <w:rPr>
                <w:vertAlign w:val="superscript"/>
              </w:rPr>
              <w:t>3</w:t>
            </w:r>
          </w:p>
        </w:tc>
        <w:tc>
          <w:tcPr>
            <w:tcW w:w="664" w:type="pct"/>
          </w:tcPr>
          <w:p w14:paraId="63B1CD2C" w14:textId="3EAD9F56"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88"/>
                <w14:textFill>
                  <w14:solidFill>
                    <w14:srgbClr w14:val="000000">
                      <w14:alpha w14:val="100000"/>
                    </w14:srgbClr>
                  </w14:solidFill>
                </w14:textFill>
              </w:rPr>
              <w:t>|||</w:t>
            </w:r>
            <w:r w:rsidRPr="00BA039D">
              <w:rPr>
                <w:color w:val="000000"/>
                <w:spacing w:val="2"/>
                <w:shd w:val="solid" w:color="000000" w:fill="000000"/>
                <w:fitText w:val="325" w:id="-1233441788"/>
                <w14:textFill>
                  <w14:solidFill>
                    <w14:srgbClr w14:val="000000">
                      <w14:alpha w14:val="100000"/>
                    </w14:srgbClr>
                  </w14:solidFill>
                </w14:textFill>
              </w:rPr>
              <w:t>|</w:t>
            </w:r>
            <w:r w:rsidR="00E7392D">
              <w:rPr>
                <w:vertAlign w:val="superscript"/>
              </w:rPr>
              <w:t>3</w:t>
            </w:r>
          </w:p>
        </w:tc>
        <w:tc>
          <w:tcPr>
            <w:tcW w:w="664" w:type="pct"/>
          </w:tcPr>
          <w:p w14:paraId="3718FE75" w14:textId="05DA22F4"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87"/>
                <w14:textFill>
                  <w14:solidFill>
                    <w14:srgbClr w14:val="000000">
                      <w14:alpha w14:val="100000"/>
                    </w14:srgbClr>
                  </w14:solidFill>
                </w14:textFill>
              </w:rPr>
              <w:t>|||</w:t>
            </w:r>
            <w:r w:rsidRPr="00BA039D">
              <w:rPr>
                <w:color w:val="000000"/>
                <w:spacing w:val="1"/>
                <w:shd w:val="solid" w:color="000000" w:fill="000000"/>
                <w:fitText w:val="324" w:id="-1233441787"/>
                <w14:textFill>
                  <w14:solidFill>
                    <w14:srgbClr w14:val="000000">
                      <w14:alpha w14:val="100000"/>
                    </w14:srgbClr>
                  </w14:solidFill>
                </w14:textFill>
              </w:rPr>
              <w:t>|</w:t>
            </w:r>
            <w:r w:rsidR="00E7392D">
              <w:rPr>
                <w:vertAlign w:val="superscript"/>
              </w:rPr>
              <w:t>3</w:t>
            </w:r>
          </w:p>
        </w:tc>
        <w:tc>
          <w:tcPr>
            <w:tcW w:w="663" w:type="pct"/>
          </w:tcPr>
          <w:p w14:paraId="54E69071" w14:textId="031EAA8B"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86"/>
                <w14:textFill>
                  <w14:solidFill>
                    <w14:srgbClr w14:val="000000">
                      <w14:alpha w14:val="100000"/>
                    </w14:srgbClr>
                  </w14:solidFill>
                </w14:textFill>
              </w:rPr>
              <w:t>|||</w:t>
            </w:r>
            <w:r w:rsidRPr="00BA039D">
              <w:rPr>
                <w:color w:val="000000"/>
                <w:spacing w:val="1"/>
                <w:shd w:val="solid" w:color="000000" w:fill="000000"/>
                <w:fitText w:val="324" w:id="-1233441786"/>
                <w14:textFill>
                  <w14:solidFill>
                    <w14:srgbClr w14:val="000000">
                      <w14:alpha w14:val="100000"/>
                    </w14:srgbClr>
                  </w14:solidFill>
                </w14:textFill>
              </w:rPr>
              <w:t>|</w:t>
            </w:r>
            <w:r w:rsidR="00E7392D">
              <w:rPr>
                <w:vertAlign w:val="superscript"/>
              </w:rPr>
              <w:t>3</w:t>
            </w:r>
          </w:p>
        </w:tc>
      </w:tr>
      <w:tr w:rsidR="004D2CA9" w:rsidRPr="00AD7238" w14:paraId="00E34C32" w14:textId="77777777" w:rsidTr="008D4AE0">
        <w:tc>
          <w:tcPr>
            <w:tcW w:w="1092" w:type="pct"/>
            <w:shd w:val="clear" w:color="auto" w:fill="auto"/>
            <w:vAlign w:val="center"/>
          </w:tcPr>
          <w:p w14:paraId="3121BED9" w14:textId="02BF3611" w:rsidR="004D2CA9" w:rsidRPr="00AD7238" w:rsidRDefault="004D2CA9" w:rsidP="004D2CA9">
            <w:pPr>
              <w:pStyle w:val="TableText0"/>
              <w:rPr>
                <w:bCs w:val="0"/>
              </w:rPr>
            </w:pPr>
            <w:r w:rsidRPr="00AD7238">
              <w:t>Net cost to MBS</w:t>
            </w:r>
            <w:r w:rsidR="008D4AE0">
              <w:t xml:space="preserve"> ($)</w:t>
            </w:r>
          </w:p>
        </w:tc>
        <w:tc>
          <w:tcPr>
            <w:tcW w:w="588" w:type="pct"/>
          </w:tcPr>
          <w:p w14:paraId="76A354A2" w14:textId="5D13BE61" w:rsidR="004D2CA9" w:rsidRPr="008D4AE0" w:rsidRDefault="00BA039D" w:rsidP="004D2CA9">
            <w:pPr>
              <w:pStyle w:val="TableText0"/>
              <w:jc w:val="center"/>
              <w:rPr>
                <w:bCs w:val="0"/>
                <w:highlight w:val="darkGray"/>
              </w:rPr>
            </w:pPr>
            <w:r w:rsidRPr="00BA039D">
              <w:rPr>
                <w:color w:val="000000"/>
                <w:spacing w:val="76"/>
                <w:shd w:val="solid" w:color="000000" w:fill="000000"/>
                <w:fitText w:val="400" w:id="-1233441785"/>
                <w14:textFill>
                  <w14:solidFill>
                    <w14:srgbClr w14:val="000000">
                      <w14:alpha w14:val="100000"/>
                    </w14:srgbClr>
                  </w14:solidFill>
                </w14:textFill>
              </w:rPr>
              <w:t>|||</w:t>
            </w:r>
            <w:r w:rsidRPr="00BA039D">
              <w:rPr>
                <w:color w:val="000000"/>
                <w:spacing w:val="2"/>
                <w:shd w:val="solid" w:color="000000" w:fill="000000"/>
                <w:fitText w:val="400" w:id="-1233441785"/>
                <w14:textFill>
                  <w14:solidFill>
                    <w14:srgbClr w14:val="000000">
                      <w14:alpha w14:val="100000"/>
                    </w14:srgbClr>
                  </w14:solidFill>
                </w14:textFill>
              </w:rPr>
              <w:t>|</w:t>
            </w:r>
            <w:r w:rsidR="00E7392D">
              <w:rPr>
                <w:vertAlign w:val="superscript"/>
              </w:rPr>
              <w:t>4</w:t>
            </w:r>
          </w:p>
        </w:tc>
        <w:tc>
          <w:tcPr>
            <w:tcW w:w="664" w:type="pct"/>
          </w:tcPr>
          <w:p w14:paraId="72F2C7D4" w14:textId="05334A8E"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84"/>
                <w14:textFill>
                  <w14:solidFill>
                    <w14:srgbClr w14:val="000000">
                      <w14:alpha w14:val="100000"/>
                    </w14:srgbClr>
                  </w14:solidFill>
                </w14:textFill>
              </w:rPr>
              <w:t>|||</w:t>
            </w:r>
            <w:r w:rsidRPr="00BA039D">
              <w:rPr>
                <w:color w:val="000000"/>
                <w:spacing w:val="1"/>
                <w:shd w:val="solid" w:color="000000" w:fill="000000"/>
                <w:fitText w:val="324" w:id="-1233441784"/>
                <w14:textFill>
                  <w14:solidFill>
                    <w14:srgbClr w14:val="000000">
                      <w14:alpha w14:val="100000"/>
                    </w14:srgbClr>
                  </w14:solidFill>
                </w14:textFill>
              </w:rPr>
              <w:t>|</w:t>
            </w:r>
            <w:r w:rsidR="00E7392D">
              <w:rPr>
                <w:vertAlign w:val="superscript"/>
              </w:rPr>
              <w:t>6</w:t>
            </w:r>
          </w:p>
        </w:tc>
        <w:tc>
          <w:tcPr>
            <w:tcW w:w="664" w:type="pct"/>
          </w:tcPr>
          <w:p w14:paraId="66E90F51" w14:textId="7984D3B0"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83"/>
                <w14:textFill>
                  <w14:solidFill>
                    <w14:srgbClr w14:val="000000">
                      <w14:alpha w14:val="100000"/>
                    </w14:srgbClr>
                  </w14:solidFill>
                </w14:textFill>
              </w:rPr>
              <w:t>|||</w:t>
            </w:r>
            <w:r w:rsidRPr="00BA039D">
              <w:rPr>
                <w:color w:val="000000"/>
                <w:spacing w:val="2"/>
                <w:shd w:val="solid" w:color="000000" w:fill="000000"/>
                <w:fitText w:val="325" w:id="-1233441783"/>
                <w14:textFill>
                  <w14:solidFill>
                    <w14:srgbClr w14:val="000000">
                      <w14:alpha w14:val="100000"/>
                    </w14:srgbClr>
                  </w14:solidFill>
                </w14:textFill>
              </w:rPr>
              <w:t>|</w:t>
            </w:r>
            <w:r w:rsidR="00E7392D">
              <w:rPr>
                <w:vertAlign w:val="superscript"/>
              </w:rPr>
              <w:t>7</w:t>
            </w:r>
          </w:p>
        </w:tc>
        <w:tc>
          <w:tcPr>
            <w:tcW w:w="664" w:type="pct"/>
          </w:tcPr>
          <w:p w14:paraId="15FD87A5" w14:textId="20EFBD84" w:rsidR="004D2CA9" w:rsidRPr="008D4AE0" w:rsidRDefault="00BA039D" w:rsidP="004D2CA9">
            <w:pPr>
              <w:pStyle w:val="TableText0"/>
              <w:jc w:val="center"/>
              <w:rPr>
                <w:bCs w:val="0"/>
                <w:highlight w:val="darkGray"/>
              </w:rPr>
            </w:pPr>
            <w:r w:rsidRPr="00BA039D">
              <w:rPr>
                <w:color w:val="000000"/>
                <w:spacing w:val="51"/>
                <w:shd w:val="solid" w:color="000000" w:fill="000000"/>
                <w:fitText w:val="325" w:id="-1233441782"/>
                <w14:textFill>
                  <w14:solidFill>
                    <w14:srgbClr w14:val="000000">
                      <w14:alpha w14:val="100000"/>
                    </w14:srgbClr>
                  </w14:solidFill>
                </w14:textFill>
              </w:rPr>
              <w:t>|||</w:t>
            </w:r>
            <w:r w:rsidRPr="00BA039D">
              <w:rPr>
                <w:color w:val="000000"/>
                <w:spacing w:val="2"/>
                <w:shd w:val="solid" w:color="000000" w:fill="000000"/>
                <w:fitText w:val="325" w:id="-1233441782"/>
                <w14:textFill>
                  <w14:solidFill>
                    <w14:srgbClr w14:val="000000">
                      <w14:alpha w14:val="100000"/>
                    </w14:srgbClr>
                  </w14:solidFill>
                </w14:textFill>
              </w:rPr>
              <w:t>|</w:t>
            </w:r>
            <w:r w:rsidR="00E7392D">
              <w:rPr>
                <w:vertAlign w:val="superscript"/>
              </w:rPr>
              <w:t>7</w:t>
            </w:r>
          </w:p>
        </w:tc>
        <w:tc>
          <w:tcPr>
            <w:tcW w:w="664" w:type="pct"/>
          </w:tcPr>
          <w:p w14:paraId="3A498A07" w14:textId="2C045299" w:rsidR="004D2CA9" w:rsidRPr="008D4AE0" w:rsidRDefault="00BA039D" w:rsidP="004D2CA9">
            <w:pPr>
              <w:pStyle w:val="TableText0"/>
              <w:jc w:val="center"/>
              <w:rPr>
                <w:bCs w:val="0"/>
                <w:highlight w:val="darkGray"/>
              </w:rPr>
            </w:pPr>
            <w:r w:rsidRPr="00BA039D">
              <w:rPr>
                <w:color w:val="000000"/>
                <w:spacing w:val="51"/>
                <w:shd w:val="solid" w:color="000000" w:fill="000000"/>
                <w:fitText w:val="324" w:id="-1233441781"/>
                <w14:textFill>
                  <w14:solidFill>
                    <w14:srgbClr w14:val="000000">
                      <w14:alpha w14:val="100000"/>
                    </w14:srgbClr>
                  </w14:solidFill>
                </w14:textFill>
              </w:rPr>
              <w:t>|||</w:t>
            </w:r>
            <w:r w:rsidRPr="00BA039D">
              <w:rPr>
                <w:color w:val="000000"/>
                <w:spacing w:val="1"/>
                <w:shd w:val="solid" w:color="000000" w:fill="000000"/>
                <w:fitText w:val="324" w:id="-1233441781"/>
                <w14:textFill>
                  <w14:solidFill>
                    <w14:srgbClr w14:val="000000">
                      <w14:alpha w14:val="100000"/>
                    </w14:srgbClr>
                  </w14:solidFill>
                </w14:textFill>
              </w:rPr>
              <w:t>|</w:t>
            </w:r>
            <w:r w:rsidR="00E7392D">
              <w:rPr>
                <w:vertAlign w:val="superscript"/>
              </w:rPr>
              <w:t>7</w:t>
            </w:r>
          </w:p>
        </w:tc>
        <w:tc>
          <w:tcPr>
            <w:tcW w:w="663" w:type="pct"/>
          </w:tcPr>
          <w:p w14:paraId="3240F427" w14:textId="2A0B31E8" w:rsidR="004D2CA9" w:rsidRPr="008D4AE0" w:rsidRDefault="00BA039D" w:rsidP="004D2CA9">
            <w:pPr>
              <w:pStyle w:val="TableText0"/>
              <w:jc w:val="center"/>
              <w:rPr>
                <w:bCs w:val="0"/>
                <w:highlight w:val="darkGray"/>
              </w:rPr>
            </w:pPr>
            <w:r w:rsidRPr="00BA039D">
              <w:rPr>
                <w:color w:val="000000"/>
                <w:spacing w:val="65"/>
                <w:shd w:val="solid" w:color="000000" w:fill="000000"/>
                <w:fitText w:val="366" w:id="-1233441780"/>
                <w14:textFill>
                  <w14:solidFill>
                    <w14:srgbClr w14:val="000000">
                      <w14:alpha w14:val="100000"/>
                    </w14:srgbClr>
                  </w14:solidFill>
                </w14:textFill>
              </w:rPr>
              <w:t>|||</w:t>
            </w:r>
            <w:r w:rsidRPr="00BA039D">
              <w:rPr>
                <w:color w:val="000000"/>
                <w:spacing w:val="1"/>
                <w:shd w:val="solid" w:color="000000" w:fill="000000"/>
                <w:fitText w:val="366" w:id="-1233441780"/>
                <w14:textFill>
                  <w14:solidFill>
                    <w14:srgbClr w14:val="000000">
                      <w14:alpha w14:val="100000"/>
                    </w14:srgbClr>
                  </w14:solidFill>
                </w14:textFill>
              </w:rPr>
              <w:t>|</w:t>
            </w:r>
            <w:r w:rsidR="00E7392D">
              <w:rPr>
                <w:vertAlign w:val="superscript"/>
              </w:rPr>
              <w:t>10</w:t>
            </w:r>
          </w:p>
        </w:tc>
      </w:tr>
      <w:tr w:rsidR="004D2CA9" w:rsidRPr="00AD7238" w14:paraId="2268EA5B" w14:textId="77777777" w:rsidTr="008D4AE0">
        <w:tc>
          <w:tcPr>
            <w:tcW w:w="5000" w:type="pct"/>
            <w:gridSpan w:val="7"/>
            <w:shd w:val="clear" w:color="auto" w:fill="95B3D7" w:themeFill="accent1" w:themeFillTint="99"/>
            <w:vAlign w:val="center"/>
          </w:tcPr>
          <w:p w14:paraId="40694AD7" w14:textId="2E0793F0" w:rsidR="004D2CA9" w:rsidRPr="00AD7238" w:rsidRDefault="004D2CA9" w:rsidP="004D2CA9">
            <w:pPr>
              <w:pStyle w:val="In-tableHeading"/>
              <w:rPr>
                <w:bCs/>
                <w:lang w:val="en-AU"/>
              </w:rPr>
            </w:pPr>
            <w:r w:rsidRPr="00AD7238">
              <w:rPr>
                <w:lang w:val="en-AU"/>
              </w:rPr>
              <w:t>Previous submission November, 2018</w:t>
            </w:r>
          </w:p>
        </w:tc>
      </w:tr>
      <w:tr w:rsidR="004D2CA9" w:rsidRPr="00AD7238" w14:paraId="0E8F7980" w14:textId="77777777" w:rsidTr="008D4AE0">
        <w:tc>
          <w:tcPr>
            <w:tcW w:w="1092" w:type="pct"/>
            <w:shd w:val="clear" w:color="auto" w:fill="95B3D7" w:themeFill="accent1" w:themeFillTint="99"/>
            <w:vAlign w:val="center"/>
          </w:tcPr>
          <w:p w14:paraId="2DF36D24" w14:textId="59C14D27" w:rsidR="004D2CA9" w:rsidRPr="00AD7238" w:rsidRDefault="004D2CA9" w:rsidP="004D2CA9">
            <w:pPr>
              <w:pStyle w:val="TableText0"/>
              <w:rPr>
                <w:bCs w:val="0"/>
              </w:rPr>
            </w:pPr>
            <w:r w:rsidRPr="00AD7238">
              <w:t>Net cost to NIP</w:t>
            </w:r>
            <w:r w:rsidR="008D4AE0">
              <w:t xml:space="preserve"> ($)</w:t>
            </w:r>
          </w:p>
        </w:tc>
        <w:tc>
          <w:tcPr>
            <w:tcW w:w="588" w:type="pct"/>
            <w:shd w:val="clear" w:color="auto" w:fill="95B3D7" w:themeFill="accent1" w:themeFillTint="99"/>
            <w:vAlign w:val="center"/>
          </w:tcPr>
          <w:p w14:paraId="6EAECDE0" w14:textId="2222F055" w:rsidR="004D2CA9" w:rsidRPr="008D4AE0" w:rsidRDefault="00BA039D" w:rsidP="004D2CA9">
            <w:pPr>
              <w:pStyle w:val="TableText0"/>
              <w:jc w:val="center"/>
              <w:rPr>
                <w:bCs w:val="0"/>
                <w:highlight w:val="darkGray"/>
              </w:rPr>
            </w:pPr>
            <w:r w:rsidRPr="00BA039D">
              <w:rPr>
                <w:rFonts w:cs="Calibri"/>
                <w:color w:val="000000"/>
                <w:spacing w:val="76"/>
                <w:szCs w:val="20"/>
                <w:shd w:val="solid" w:color="000000" w:fill="000000"/>
                <w:fitText w:val="400" w:id="-1233441779"/>
                <w14:textFill>
                  <w14:solidFill>
                    <w14:srgbClr w14:val="000000">
                      <w14:alpha w14:val="100000"/>
                    </w14:srgbClr>
                  </w14:solidFill>
                </w14:textFill>
              </w:rPr>
              <w:t>|||</w:t>
            </w:r>
            <w:r w:rsidRPr="00BA039D">
              <w:rPr>
                <w:rFonts w:cs="Calibri"/>
                <w:color w:val="000000"/>
                <w:spacing w:val="2"/>
                <w:szCs w:val="20"/>
                <w:shd w:val="solid" w:color="000000" w:fill="000000"/>
                <w:fitText w:val="400" w:id="-1233441779"/>
                <w14:textFill>
                  <w14:solidFill>
                    <w14:srgbClr w14:val="000000">
                      <w14:alpha w14:val="100000"/>
                    </w14:srgbClr>
                  </w14:solidFill>
                </w14:textFill>
              </w:rPr>
              <w:t>|</w:t>
            </w:r>
            <w:r w:rsidR="00E7392D">
              <w:rPr>
                <w:vertAlign w:val="superscript"/>
              </w:rPr>
              <w:t>2</w:t>
            </w:r>
          </w:p>
        </w:tc>
        <w:tc>
          <w:tcPr>
            <w:tcW w:w="664" w:type="pct"/>
            <w:shd w:val="clear" w:color="auto" w:fill="95B3D7" w:themeFill="accent1" w:themeFillTint="99"/>
            <w:vAlign w:val="center"/>
          </w:tcPr>
          <w:p w14:paraId="431CF55F" w14:textId="612DF119" w:rsidR="004D2CA9" w:rsidRPr="008D4AE0" w:rsidRDefault="00BA039D" w:rsidP="004D2CA9">
            <w:pPr>
              <w:pStyle w:val="TableText0"/>
              <w:jc w:val="center"/>
              <w:rPr>
                <w:bCs w:val="0"/>
                <w:highlight w:val="darkGray"/>
              </w:rPr>
            </w:pPr>
            <w:r w:rsidRPr="00BA039D">
              <w:rPr>
                <w:rFonts w:cs="Calibri"/>
                <w:color w:val="000000"/>
                <w:spacing w:val="51"/>
                <w:szCs w:val="20"/>
                <w:shd w:val="solid" w:color="000000" w:fill="000000"/>
                <w:fitText w:val="324" w:id="-1233441778"/>
                <w14:textFill>
                  <w14:solidFill>
                    <w14:srgbClr w14:val="000000">
                      <w14:alpha w14:val="100000"/>
                    </w14:srgbClr>
                  </w14:solidFill>
                </w14:textFill>
              </w:rPr>
              <w:t>|||</w:t>
            </w:r>
            <w:r w:rsidRPr="00BA039D">
              <w:rPr>
                <w:rFonts w:cs="Calibri"/>
                <w:color w:val="000000"/>
                <w:spacing w:val="1"/>
                <w:szCs w:val="20"/>
                <w:shd w:val="solid" w:color="000000" w:fill="000000"/>
                <w:fitText w:val="324" w:id="-1233441778"/>
                <w14:textFill>
                  <w14:solidFill>
                    <w14:srgbClr w14:val="000000">
                      <w14:alpha w14:val="100000"/>
                    </w14:srgbClr>
                  </w14:solidFill>
                </w14:textFill>
              </w:rPr>
              <w:t>|</w:t>
            </w:r>
            <w:r w:rsidR="00E7392D">
              <w:rPr>
                <w:vertAlign w:val="superscript"/>
              </w:rPr>
              <w:t>5</w:t>
            </w:r>
          </w:p>
        </w:tc>
        <w:tc>
          <w:tcPr>
            <w:tcW w:w="664" w:type="pct"/>
            <w:shd w:val="clear" w:color="auto" w:fill="95B3D7" w:themeFill="accent1" w:themeFillTint="99"/>
            <w:vAlign w:val="center"/>
          </w:tcPr>
          <w:p w14:paraId="48FE2609" w14:textId="73399AF1" w:rsidR="004D2CA9" w:rsidRPr="008D4AE0" w:rsidRDefault="00BA039D" w:rsidP="004D2CA9">
            <w:pPr>
              <w:pStyle w:val="TableText0"/>
              <w:jc w:val="center"/>
              <w:rPr>
                <w:bCs w:val="0"/>
                <w:highlight w:val="darkGray"/>
              </w:rPr>
            </w:pPr>
            <w:r w:rsidRPr="00BA039D">
              <w:rPr>
                <w:rFonts w:cs="Calibri"/>
                <w:color w:val="000000"/>
                <w:spacing w:val="51"/>
                <w:szCs w:val="20"/>
                <w:shd w:val="solid" w:color="000000" w:fill="000000"/>
                <w:fitText w:val="325" w:id="-1233441777"/>
                <w14:textFill>
                  <w14:solidFill>
                    <w14:srgbClr w14:val="000000">
                      <w14:alpha w14:val="100000"/>
                    </w14:srgbClr>
                  </w14:solidFill>
                </w14:textFill>
              </w:rPr>
              <w:t>|||</w:t>
            </w:r>
            <w:r w:rsidRPr="00BA039D">
              <w:rPr>
                <w:rFonts w:cs="Calibri"/>
                <w:color w:val="000000"/>
                <w:spacing w:val="2"/>
                <w:szCs w:val="20"/>
                <w:shd w:val="solid" w:color="000000" w:fill="000000"/>
                <w:fitText w:val="325" w:id="-1233441777"/>
                <w14:textFill>
                  <w14:solidFill>
                    <w14:srgbClr w14:val="000000">
                      <w14:alpha w14:val="100000"/>
                    </w14:srgbClr>
                  </w14:solidFill>
                </w14:textFill>
              </w:rPr>
              <w:t>|</w:t>
            </w:r>
            <w:r w:rsidR="00E7392D">
              <w:rPr>
                <w:vertAlign w:val="superscript"/>
              </w:rPr>
              <w:t>8</w:t>
            </w:r>
          </w:p>
        </w:tc>
        <w:tc>
          <w:tcPr>
            <w:tcW w:w="664" w:type="pct"/>
            <w:shd w:val="clear" w:color="auto" w:fill="95B3D7" w:themeFill="accent1" w:themeFillTint="99"/>
            <w:vAlign w:val="center"/>
          </w:tcPr>
          <w:p w14:paraId="59061005" w14:textId="78FA6198" w:rsidR="004D2CA9" w:rsidRPr="008D4AE0" w:rsidRDefault="00BA039D" w:rsidP="004D2CA9">
            <w:pPr>
              <w:pStyle w:val="TableText0"/>
              <w:jc w:val="center"/>
              <w:rPr>
                <w:bCs w:val="0"/>
                <w:highlight w:val="darkGray"/>
              </w:rPr>
            </w:pPr>
            <w:r w:rsidRPr="00BA039D">
              <w:rPr>
                <w:rFonts w:cs="Calibri"/>
                <w:color w:val="000000"/>
                <w:spacing w:val="51"/>
                <w:szCs w:val="20"/>
                <w:shd w:val="solid" w:color="000000" w:fill="000000"/>
                <w:fitText w:val="325" w:id="-1233441776"/>
                <w14:textFill>
                  <w14:solidFill>
                    <w14:srgbClr w14:val="000000">
                      <w14:alpha w14:val="100000"/>
                    </w14:srgbClr>
                  </w14:solidFill>
                </w14:textFill>
              </w:rPr>
              <w:t>|||</w:t>
            </w:r>
            <w:r w:rsidRPr="00BA039D">
              <w:rPr>
                <w:rFonts w:cs="Calibri"/>
                <w:color w:val="000000"/>
                <w:spacing w:val="2"/>
                <w:szCs w:val="20"/>
                <w:shd w:val="solid" w:color="000000" w:fill="000000"/>
                <w:fitText w:val="325" w:id="-1233441776"/>
                <w14:textFill>
                  <w14:solidFill>
                    <w14:srgbClr w14:val="000000">
                      <w14:alpha w14:val="100000"/>
                    </w14:srgbClr>
                  </w14:solidFill>
                </w14:textFill>
              </w:rPr>
              <w:t>|</w:t>
            </w:r>
            <w:r w:rsidR="00E7392D">
              <w:rPr>
                <w:vertAlign w:val="superscript"/>
              </w:rPr>
              <w:t>8</w:t>
            </w:r>
          </w:p>
        </w:tc>
        <w:tc>
          <w:tcPr>
            <w:tcW w:w="664" w:type="pct"/>
            <w:shd w:val="clear" w:color="auto" w:fill="95B3D7" w:themeFill="accent1" w:themeFillTint="99"/>
            <w:vAlign w:val="center"/>
          </w:tcPr>
          <w:p w14:paraId="58A1671B" w14:textId="35C833BD" w:rsidR="004D2CA9" w:rsidRPr="008D4AE0" w:rsidRDefault="00BA039D" w:rsidP="004D2CA9">
            <w:pPr>
              <w:pStyle w:val="TableText0"/>
              <w:jc w:val="center"/>
              <w:rPr>
                <w:bCs w:val="0"/>
                <w:highlight w:val="darkGray"/>
              </w:rPr>
            </w:pPr>
            <w:r w:rsidRPr="00BA039D">
              <w:rPr>
                <w:rFonts w:cs="Calibri"/>
                <w:color w:val="000000"/>
                <w:spacing w:val="51"/>
                <w:szCs w:val="20"/>
                <w:shd w:val="solid" w:color="000000" w:fill="000000"/>
                <w:fitText w:val="324" w:id="-1233441792"/>
                <w14:textFill>
                  <w14:solidFill>
                    <w14:srgbClr w14:val="000000">
                      <w14:alpha w14:val="100000"/>
                    </w14:srgbClr>
                  </w14:solidFill>
                </w14:textFill>
              </w:rPr>
              <w:t>|||</w:t>
            </w:r>
            <w:r w:rsidRPr="00BA039D">
              <w:rPr>
                <w:rFonts w:cs="Calibri"/>
                <w:color w:val="000000"/>
                <w:spacing w:val="1"/>
                <w:szCs w:val="20"/>
                <w:shd w:val="solid" w:color="000000" w:fill="000000"/>
                <w:fitText w:val="324" w:id="-1233441792"/>
                <w14:textFill>
                  <w14:solidFill>
                    <w14:srgbClr w14:val="000000">
                      <w14:alpha w14:val="100000"/>
                    </w14:srgbClr>
                  </w14:solidFill>
                </w14:textFill>
              </w:rPr>
              <w:t>|</w:t>
            </w:r>
            <w:r w:rsidR="00E7392D">
              <w:rPr>
                <w:vertAlign w:val="superscript"/>
              </w:rPr>
              <w:t>8</w:t>
            </w:r>
          </w:p>
        </w:tc>
        <w:tc>
          <w:tcPr>
            <w:tcW w:w="663" w:type="pct"/>
            <w:shd w:val="clear" w:color="auto" w:fill="95B3D7" w:themeFill="accent1" w:themeFillTint="99"/>
            <w:vAlign w:val="center"/>
          </w:tcPr>
          <w:p w14:paraId="42FD681A" w14:textId="41402BC0" w:rsidR="004D2CA9" w:rsidRPr="008D4AE0" w:rsidRDefault="00BA039D" w:rsidP="004D2CA9">
            <w:pPr>
              <w:pStyle w:val="TableText0"/>
              <w:jc w:val="center"/>
              <w:rPr>
                <w:bCs w:val="0"/>
                <w:highlight w:val="darkGray"/>
              </w:rPr>
            </w:pPr>
            <w:r w:rsidRPr="00BA039D">
              <w:rPr>
                <w:rFonts w:cs="Calibri"/>
                <w:color w:val="000000"/>
                <w:spacing w:val="65"/>
                <w:szCs w:val="20"/>
                <w:shd w:val="solid" w:color="000000" w:fill="000000"/>
                <w:fitText w:val="366" w:id="-1233441791"/>
                <w14:textFill>
                  <w14:solidFill>
                    <w14:srgbClr w14:val="000000">
                      <w14:alpha w14:val="100000"/>
                    </w14:srgbClr>
                  </w14:solidFill>
                </w14:textFill>
              </w:rPr>
              <w:t>|||</w:t>
            </w:r>
            <w:r w:rsidRPr="00BA039D">
              <w:rPr>
                <w:rFonts w:cs="Calibri"/>
                <w:color w:val="000000"/>
                <w:spacing w:val="1"/>
                <w:szCs w:val="20"/>
                <w:shd w:val="solid" w:color="000000" w:fill="000000"/>
                <w:fitText w:val="366" w:id="-1233441791"/>
                <w14:textFill>
                  <w14:solidFill>
                    <w14:srgbClr w14:val="000000">
                      <w14:alpha w14:val="100000"/>
                    </w14:srgbClr>
                  </w14:solidFill>
                </w14:textFill>
              </w:rPr>
              <w:t>|</w:t>
            </w:r>
            <w:r w:rsidR="00E7392D">
              <w:rPr>
                <w:vertAlign w:val="superscript"/>
              </w:rPr>
              <w:t>11</w:t>
            </w:r>
          </w:p>
        </w:tc>
      </w:tr>
      <w:tr w:rsidR="004D2CA9" w:rsidRPr="00AD7238" w14:paraId="198BFA33" w14:textId="77777777" w:rsidTr="008D4AE0">
        <w:tc>
          <w:tcPr>
            <w:tcW w:w="1092" w:type="pct"/>
            <w:shd w:val="clear" w:color="auto" w:fill="95B3D7" w:themeFill="accent1" w:themeFillTint="99"/>
            <w:vAlign w:val="center"/>
          </w:tcPr>
          <w:p w14:paraId="08E5D709" w14:textId="6F89B962" w:rsidR="004D2CA9" w:rsidRPr="00AD7238" w:rsidRDefault="004D2CA9" w:rsidP="004D2CA9">
            <w:pPr>
              <w:pStyle w:val="TableText0"/>
              <w:rPr>
                <w:bCs w:val="0"/>
              </w:rPr>
            </w:pPr>
            <w:r w:rsidRPr="00AD7238">
              <w:t>Net cost to PBS/RPBS</w:t>
            </w:r>
            <w:r w:rsidR="008D4AE0">
              <w:t xml:space="preserve"> ($)</w:t>
            </w:r>
          </w:p>
        </w:tc>
        <w:tc>
          <w:tcPr>
            <w:tcW w:w="588" w:type="pct"/>
            <w:shd w:val="clear" w:color="auto" w:fill="95B3D7" w:themeFill="accent1" w:themeFillTint="99"/>
            <w:vAlign w:val="bottom"/>
          </w:tcPr>
          <w:p w14:paraId="74771C94" w14:textId="4FD293FC" w:rsidR="004D2CA9" w:rsidRPr="008D4AE0" w:rsidRDefault="00BA039D" w:rsidP="004D2CA9">
            <w:pPr>
              <w:pStyle w:val="TableText0"/>
              <w:jc w:val="center"/>
              <w:rPr>
                <w:bCs w:val="0"/>
                <w:highlight w:val="darkGray"/>
              </w:rPr>
            </w:pPr>
            <w:r w:rsidRPr="00BA039D">
              <w:rPr>
                <w:rFonts w:cs="Calibri"/>
                <w:iCs/>
                <w:color w:val="000000"/>
                <w:spacing w:val="76"/>
                <w:szCs w:val="20"/>
                <w:shd w:val="solid" w:color="000000" w:fill="000000"/>
                <w:fitText w:val="400" w:id="-1233441790"/>
                <w14:textFill>
                  <w14:solidFill>
                    <w14:srgbClr w14:val="000000">
                      <w14:alpha w14:val="100000"/>
                    </w14:srgbClr>
                  </w14:solidFill>
                </w14:textFill>
              </w:rPr>
              <w:t>|||</w:t>
            </w:r>
            <w:r w:rsidRPr="00BA039D">
              <w:rPr>
                <w:rFonts w:cs="Calibri"/>
                <w:iCs/>
                <w:color w:val="000000"/>
                <w:spacing w:val="2"/>
                <w:szCs w:val="20"/>
                <w:shd w:val="solid" w:color="000000" w:fill="000000"/>
                <w:fitText w:val="400" w:id="-1233441790"/>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18904F55" w14:textId="672C5028"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89"/>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89"/>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73402334" w14:textId="3BAAA9C0"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5" w:id="-1233441788"/>
                <w14:textFill>
                  <w14:solidFill>
                    <w14:srgbClr w14:val="000000">
                      <w14:alpha w14:val="100000"/>
                    </w14:srgbClr>
                  </w14:solidFill>
                </w14:textFill>
              </w:rPr>
              <w:t>|||</w:t>
            </w:r>
            <w:r w:rsidRPr="00BA039D">
              <w:rPr>
                <w:rFonts w:cs="Calibri"/>
                <w:iCs/>
                <w:color w:val="000000"/>
                <w:spacing w:val="2"/>
                <w:szCs w:val="20"/>
                <w:shd w:val="solid" w:color="000000" w:fill="000000"/>
                <w:fitText w:val="325" w:id="-1233441788"/>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7E936BFC" w14:textId="199F4CD7"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5" w:id="-1233441787"/>
                <w14:textFill>
                  <w14:solidFill>
                    <w14:srgbClr w14:val="000000">
                      <w14:alpha w14:val="100000"/>
                    </w14:srgbClr>
                  </w14:solidFill>
                </w14:textFill>
              </w:rPr>
              <w:t>|||</w:t>
            </w:r>
            <w:r w:rsidRPr="00BA039D">
              <w:rPr>
                <w:rFonts w:cs="Calibri"/>
                <w:iCs/>
                <w:color w:val="000000"/>
                <w:spacing w:val="2"/>
                <w:szCs w:val="20"/>
                <w:shd w:val="solid" w:color="000000" w:fill="000000"/>
                <w:fitText w:val="325" w:id="-1233441787"/>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78A2AA8A" w14:textId="368A27EC"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86"/>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86"/>
                <w14:textFill>
                  <w14:solidFill>
                    <w14:srgbClr w14:val="000000">
                      <w14:alpha w14:val="100000"/>
                    </w14:srgbClr>
                  </w14:solidFill>
                </w14:textFill>
              </w:rPr>
              <w:t>|</w:t>
            </w:r>
            <w:r w:rsidR="00E7392D">
              <w:rPr>
                <w:vertAlign w:val="superscript"/>
              </w:rPr>
              <w:t>3</w:t>
            </w:r>
          </w:p>
        </w:tc>
        <w:tc>
          <w:tcPr>
            <w:tcW w:w="663" w:type="pct"/>
            <w:shd w:val="clear" w:color="auto" w:fill="95B3D7" w:themeFill="accent1" w:themeFillTint="99"/>
            <w:vAlign w:val="bottom"/>
          </w:tcPr>
          <w:p w14:paraId="1375640D" w14:textId="658FDC15"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85"/>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85"/>
                <w14:textFill>
                  <w14:solidFill>
                    <w14:srgbClr w14:val="000000">
                      <w14:alpha w14:val="100000"/>
                    </w14:srgbClr>
                  </w14:solidFill>
                </w14:textFill>
              </w:rPr>
              <w:t>|</w:t>
            </w:r>
            <w:r w:rsidR="00E7392D">
              <w:rPr>
                <w:vertAlign w:val="superscript"/>
              </w:rPr>
              <w:t>3</w:t>
            </w:r>
          </w:p>
        </w:tc>
      </w:tr>
      <w:tr w:rsidR="004D2CA9" w:rsidRPr="00AD7238" w14:paraId="1F75FA48" w14:textId="77777777" w:rsidTr="008D4AE0">
        <w:tc>
          <w:tcPr>
            <w:tcW w:w="1092" w:type="pct"/>
            <w:shd w:val="clear" w:color="auto" w:fill="95B3D7" w:themeFill="accent1" w:themeFillTint="99"/>
            <w:vAlign w:val="center"/>
          </w:tcPr>
          <w:p w14:paraId="2A0A4833" w14:textId="13BF9DB4" w:rsidR="004D2CA9" w:rsidRPr="00AD7238" w:rsidRDefault="004D2CA9" w:rsidP="004D2CA9">
            <w:pPr>
              <w:pStyle w:val="TableText0"/>
              <w:rPr>
                <w:bCs w:val="0"/>
              </w:rPr>
            </w:pPr>
            <w:r w:rsidRPr="00AD7238">
              <w:t>Net cost to MBS</w:t>
            </w:r>
            <w:r w:rsidR="008D4AE0">
              <w:t xml:space="preserve"> ($)</w:t>
            </w:r>
          </w:p>
        </w:tc>
        <w:tc>
          <w:tcPr>
            <w:tcW w:w="588" w:type="pct"/>
            <w:shd w:val="clear" w:color="auto" w:fill="95B3D7" w:themeFill="accent1" w:themeFillTint="99"/>
            <w:vAlign w:val="bottom"/>
          </w:tcPr>
          <w:p w14:paraId="6780A5EA" w14:textId="599386A8" w:rsidR="004D2CA9" w:rsidRPr="008D4AE0" w:rsidRDefault="00BA039D" w:rsidP="004D2CA9">
            <w:pPr>
              <w:pStyle w:val="TableText0"/>
              <w:jc w:val="center"/>
              <w:rPr>
                <w:bCs w:val="0"/>
                <w:highlight w:val="darkGray"/>
              </w:rPr>
            </w:pPr>
            <w:r w:rsidRPr="00BA039D">
              <w:rPr>
                <w:rFonts w:cs="Calibri"/>
                <w:iCs/>
                <w:color w:val="000000"/>
                <w:spacing w:val="76"/>
                <w:szCs w:val="20"/>
                <w:shd w:val="solid" w:color="000000" w:fill="000000"/>
                <w:fitText w:val="400" w:id="-1233441784"/>
                <w14:textFill>
                  <w14:solidFill>
                    <w14:srgbClr w14:val="000000">
                      <w14:alpha w14:val="100000"/>
                    </w14:srgbClr>
                  </w14:solidFill>
                </w14:textFill>
              </w:rPr>
              <w:t>|||</w:t>
            </w:r>
            <w:r w:rsidRPr="00BA039D">
              <w:rPr>
                <w:rFonts w:cs="Calibri"/>
                <w:iCs/>
                <w:color w:val="000000"/>
                <w:spacing w:val="2"/>
                <w:szCs w:val="20"/>
                <w:shd w:val="solid" w:color="000000" w:fill="000000"/>
                <w:fitText w:val="400" w:id="-1233441784"/>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4D69F699" w14:textId="670DD424"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83"/>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83"/>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75261755" w14:textId="326AF0EA"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5" w:id="-1233441782"/>
                <w14:textFill>
                  <w14:solidFill>
                    <w14:srgbClr w14:val="000000">
                      <w14:alpha w14:val="100000"/>
                    </w14:srgbClr>
                  </w14:solidFill>
                </w14:textFill>
              </w:rPr>
              <w:t>|||</w:t>
            </w:r>
            <w:r w:rsidRPr="00BA039D">
              <w:rPr>
                <w:rFonts w:cs="Calibri"/>
                <w:iCs/>
                <w:color w:val="000000"/>
                <w:spacing w:val="2"/>
                <w:szCs w:val="20"/>
                <w:shd w:val="solid" w:color="000000" w:fill="000000"/>
                <w:fitText w:val="325" w:id="-1233441782"/>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515A0A38" w14:textId="0F282EFC"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5" w:id="-1233441781"/>
                <w14:textFill>
                  <w14:solidFill>
                    <w14:srgbClr w14:val="000000">
                      <w14:alpha w14:val="100000"/>
                    </w14:srgbClr>
                  </w14:solidFill>
                </w14:textFill>
              </w:rPr>
              <w:t>|||</w:t>
            </w:r>
            <w:r w:rsidRPr="00BA039D">
              <w:rPr>
                <w:rFonts w:cs="Calibri"/>
                <w:iCs/>
                <w:color w:val="000000"/>
                <w:spacing w:val="2"/>
                <w:szCs w:val="20"/>
                <w:shd w:val="solid" w:color="000000" w:fill="000000"/>
                <w:fitText w:val="325" w:id="-1233441781"/>
                <w14:textFill>
                  <w14:solidFill>
                    <w14:srgbClr w14:val="000000">
                      <w14:alpha w14:val="100000"/>
                    </w14:srgbClr>
                  </w14:solidFill>
                </w14:textFill>
              </w:rPr>
              <w:t>|</w:t>
            </w:r>
            <w:r w:rsidR="00E7392D">
              <w:rPr>
                <w:vertAlign w:val="superscript"/>
              </w:rPr>
              <w:t>3</w:t>
            </w:r>
          </w:p>
        </w:tc>
        <w:tc>
          <w:tcPr>
            <w:tcW w:w="664" w:type="pct"/>
            <w:shd w:val="clear" w:color="auto" w:fill="95B3D7" w:themeFill="accent1" w:themeFillTint="99"/>
            <w:vAlign w:val="bottom"/>
          </w:tcPr>
          <w:p w14:paraId="0646E761" w14:textId="76DC5A17"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80"/>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80"/>
                <w14:textFill>
                  <w14:solidFill>
                    <w14:srgbClr w14:val="000000">
                      <w14:alpha w14:val="100000"/>
                    </w14:srgbClr>
                  </w14:solidFill>
                </w14:textFill>
              </w:rPr>
              <w:t>|</w:t>
            </w:r>
            <w:r w:rsidR="00E7392D">
              <w:rPr>
                <w:vertAlign w:val="superscript"/>
              </w:rPr>
              <w:t>3</w:t>
            </w:r>
          </w:p>
        </w:tc>
        <w:tc>
          <w:tcPr>
            <w:tcW w:w="663" w:type="pct"/>
            <w:shd w:val="clear" w:color="auto" w:fill="95B3D7" w:themeFill="accent1" w:themeFillTint="99"/>
            <w:vAlign w:val="bottom"/>
          </w:tcPr>
          <w:p w14:paraId="69273054" w14:textId="4616FC7C" w:rsidR="004D2CA9" w:rsidRPr="008D4AE0" w:rsidRDefault="00BA039D" w:rsidP="004D2CA9">
            <w:pPr>
              <w:pStyle w:val="TableText0"/>
              <w:jc w:val="center"/>
              <w:rPr>
                <w:bCs w:val="0"/>
                <w:highlight w:val="darkGray"/>
              </w:rPr>
            </w:pPr>
            <w:r w:rsidRPr="00BA039D">
              <w:rPr>
                <w:rFonts w:cs="Calibri"/>
                <w:iCs/>
                <w:color w:val="000000"/>
                <w:spacing w:val="51"/>
                <w:szCs w:val="20"/>
                <w:shd w:val="solid" w:color="000000" w:fill="000000"/>
                <w:fitText w:val="324" w:id="-1233441779"/>
                <w14:textFill>
                  <w14:solidFill>
                    <w14:srgbClr w14:val="000000">
                      <w14:alpha w14:val="100000"/>
                    </w14:srgbClr>
                  </w14:solidFill>
                </w14:textFill>
              </w:rPr>
              <w:t>|||</w:t>
            </w:r>
            <w:r w:rsidRPr="00BA039D">
              <w:rPr>
                <w:rFonts w:cs="Calibri"/>
                <w:iCs/>
                <w:color w:val="000000"/>
                <w:spacing w:val="1"/>
                <w:szCs w:val="20"/>
                <w:shd w:val="solid" w:color="000000" w:fill="000000"/>
                <w:fitText w:val="324" w:id="-1233441779"/>
                <w14:textFill>
                  <w14:solidFill>
                    <w14:srgbClr w14:val="000000">
                      <w14:alpha w14:val="100000"/>
                    </w14:srgbClr>
                  </w14:solidFill>
                </w14:textFill>
              </w:rPr>
              <w:t>|</w:t>
            </w:r>
            <w:r w:rsidR="00E7392D">
              <w:rPr>
                <w:vertAlign w:val="superscript"/>
              </w:rPr>
              <w:t>3</w:t>
            </w:r>
          </w:p>
        </w:tc>
      </w:tr>
    </w:tbl>
    <w:p w14:paraId="02108D2E" w14:textId="3A7FB573" w:rsidR="00660A82" w:rsidRPr="00AD7238" w:rsidRDefault="00660A82" w:rsidP="00660A82">
      <w:pPr>
        <w:pStyle w:val="TableFooter"/>
      </w:pPr>
      <w:r w:rsidRPr="00AD7238">
        <w:t xml:space="preserve">Source: Table 4.27, pp.254 of the </w:t>
      </w:r>
      <w:r w:rsidR="00F40635" w:rsidRPr="00AD7238">
        <w:t>re</w:t>
      </w:r>
      <w:r w:rsidRPr="00AD7238">
        <w:t xml:space="preserve">submission, Table 4.28, pp.254-255 of the </w:t>
      </w:r>
      <w:r w:rsidR="00F40635" w:rsidRPr="00AD7238">
        <w:t>re</w:t>
      </w:r>
      <w:r w:rsidRPr="00AD7238">
        <w:t>submission and Budget Impact Model Excel.</w:t>
      </w:r>
    </w:p>
    <w:p w14:paraId="16493299" w14:textId="77777777" w:rsidR="00C262E9" w:rsidRDefault="00660A82" w:rsidP="007F69C5">
      <w:pPr>
        <w:pStyle w:val="TableFooter"/>
      </w:pPr>
      <w:r w:rsidRPr="00AD7238">
        <w:t>NIP = National Immunisation Program, MBS = Medicare Benefits Schedule, PBS = Pharmaceutical Benefit Scheme, RPBS = Repatriation Pharmaceutical Benefit Scheme</w:t>
      </w:r>
    </w:p>
    <w:p w14:paraId="4653B69C" w14:textId="5480B538" w:rsidR="007F69C5" w:rsidRDefault="007F69C5" w:rsidP="007F69C5">
      <w:pPr>
        <w:pStyle w:val="TableFooter"/>
      </w:pPr>
      <w:r w:rsidRPr="00AD7238">
        <w:rPr>
          <w:shd w:val="clear" w:color="auto" w:fill="95B3D7" w:themeFill="accent1" w:themeFillTint="99"/>
        </w:rPr>
        <w:t>Blue</w:t>
      </w:r>
      <w:r w:rsidRPr="00AD7238">
        <w:t xml:space="preserve"> shading indicates information previously considered by the PBAC (2018 submission). Note that the proposed NIP population considered in the 2018 submission is adults ≥60 YOA.</w:t>
      </w:r>
    </w:p>
    <w:p w14:paraId="03D9724D" w14:textId="77777777" w:rsidR="008D4AE0" w:rsidRPr="00CD0589" w:rsidRDefault="008D4AE0" w:rsidP="008D4AE0">
      <w:pPr>
        <w:rPr>
          <w:rFonts w:ascii="Arial Narrow" w:hAnsi="Arial Narrow"/>
          <w:i/>
          <w:sz w:val="18"/>
          <w:szCs w:val="18"/>
        </w:rPr>
      </w:pPr>
      <w:r w:rsidRPr="00CD0589">
        <w:rPr>
          <w:rFonts w:ascii="Arial Narrow" w:hAnsi="Arial Narrow"/>
          <w:i/>
          <w:sz w:val="18"/>
          <w:szCs w:val="18"/>
        </w:rPr>
        <w:t xml:space="preserve">The redacted values correspond to the following ranges: </w:t>
      </w:r>
    </w:p>
    <w:p w14:paraId="4802A068" w14:textId="31400BE6"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1</w:t>
      </w:r>
      <w:r w:rsidRPr="00CD0589">
        <w:rPr>
          <w:rFonts w:ascii="Arial Narrow" w:hAnsi="Arial Narrow"/>
          <w:i/>
          <w:sz w:val="18"/>
          <w:szCs w:val="18"/>
        </w:rPr>
        <w:t xml:space="preserve"> 1,000,000 to &lt; 2,000,000</w:t>
      </w:r>
    </w:p>
    <w:p w14:paraId="27D0849C" w14:textId="50C19181"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2</w:t>
      </w:r>
      <w:r w:rsidRPr="00CD0589">
        <w:rPr>
          <w:rFonts w:ascii="Arial Narrow" w:hAnsi="Arial Narrow"/>
          <w:i/>
          <w:sz w:val="18"/>
          <w:szCs w:val="18"/>
        </w:rPr>
        <w:t xml:space="preserve"> </w:t>
      </w:r>
      <w:r w:rsidR="00E7392D" w:rsidRPr="00CD0589">
        <w:rPr>
          <w:rFonts w:ascii="Arial Narrow" w:hAnsi="Arial Narrow"/>
          <w:i/>
          <w:sz w:val="18"/>
          <w:szCs w:val="18"/>
        </w:rPr>
        <w:t>$400 million to &lt; $500 million</w:t>
      </w:r>
    </w:p>
    <w:p w14:paraId="057C0B73" w14:textId="7F2057AD"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3</w:t>
      </w:r>
      <w:r w:rsidRPr="00CD0589">
        <w:rPr>
          <w:rFonts w:ascii="Arial Narrow" w:hAnsi="Arial Narrow"/>
          <w:i/>
          <w:sz w:val="18"/>
          <w:szCs w:val="18"/>
        </w:rPr>
        <w:t xml:space="preserve"> </w:t>
      </w:r>
      <w:r w:rsidR="00E7392D" w:rsidRPr="00CD0589">
        <w:rPr>
          <w:rFonts w:ascii="Arial Narrow" w:hAnsi="Arial Narrow"/>
          <w:i/>
          <w:sz w:val="18"/>
          <w:szCs w:val="18"/>
        </w:rPr>
        <w:t>net cost saving</w:t>
      </w:r>
    </w:p>
    <w:p w14:paraId="7CAF33E5" w14:textId="6B2BB737"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4</w:t>
      </w:r>
      <w:r w:rsidRPr="00CD0589">
        <w:rPr>
          <w:rFonts w:ascii="Arial Narrow" w:hAnsi="Arial Narrow"/>
          <w:i/>
          <w:sz w:val="18"/>
          <w:szCs w:val="18"/>
        </w:rPr>
        <w:t xml:space="preserve"> </w:t>
      </w:r>
      <w:r w:rsidR="00E7392D" w:rsidRPr="00CD0589">
        <w:rPr>
          <w:rFonts w:ascii="Arial Narrow" w:hAnsi="Arial Narrow"/>
          <w:i/>
          <w:sz w:val="18"/>
          <w:szCs w:val="18"/>
        </w:rPr>
        <w:t>$40 million to &lt; $50 million</w:t>
      </w:r>
      <w:r w:rsidRPr="00CD0589">
        <w:rPr>
          <w:rFonts w:ascii="Arial Narrow" w:hAnsi="Arial Narrow"/>
          <w:i/>
          <w:sz w:val="18"/>
          <w:szCs w:val="18"/>
          <w:vertAlign w:val="superscript"/>
        </w:rPr>
        <w:t>5</w:t>
      </w:r>
      <w:r w:rsidRPr="00CD0589">
        <w:rPr>
          <w:rFonts w:ascii="Arial Narrow" w:hAnsi="Arial Narrow"/>
          <w:i/>
          <w:sz w:val="18"/>
          <w:szCs w:val="18"/>
        </w:rPr>
        <w:t xml:space="preserve"> </w:t>
      </w:r>
      <w:r w:rsidR="00E7392D" w:rsidRPr="00CD0589">
        <w:rPr>
          <w:rFonts w:ascii="Arial Narrow" w:hAnsi="Arial Narrow"/>
          <w:i/>
          <w:sz w:val="18"/>
          <w:szCs w:val="18"/>
        </w:rPr>
        <w:t>$200 million to &lt; $300 million</w:t>
      </w:r>
    </w:p>
    <w:p w14:paraId="6866DD44" w14:textId="7589C724"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6</w:t>
      </w:r>
      <w:r w:rsidRPr="00CD0589">
        <w:rPr>
          <w:rFonts w:ascii="Arial Narrow" w:hAnsi="Arial Narrow"/>
          <w:i/>
          <w:sz w:val="18"/>
          <w:szCs w:val="18"/>
        </w:rPr>
        <w:t xml:space="preserve"> </w:t>
      </w:r>
      <w:r w:rsidR="00E7392D" w:rsidRPr="00CD0589">
        <w:rPr>
          <w:rFonts w:ascii="Arial Narrow" w:hAnsi="Arial Narrow"/>
          <w:i/>
          <w:sz w:val="18"/>
          <w:szCs w:val="18"/>
        </w:rPr>
        <w:t>$20 million to &lt; $30 million</w:t>
      </w:r>
    </w:p>
    <w:p w14:paraId="4D435B09" w14:textId="21963A13" w:rsidR="008D4AE0" w:rsidRPr="00CD0589" w:rsidRDefault="008D4AE0" w:rsidP="008D4AE0">
      <w:pPr>
        <w:rPr>
          <w:rFonts w:ascii="Arial Narrow" w:hAnsi="Arial Narrow"/>
          <w:i/>
          <w:sz w:val="18"/>
          <w:szCs w:val="18"/>
        </w:rPr>
      </w:pPr>
      <w:r w:rsidRPr="00CD0589">
        <w:rPr>
          <w:rFonts w:ascii="Arial Narrow" w:hAnsi="Arial Narrow"/>
          <w:i/>
          <w:sz w:val="18"/>
          <w:szCs w:val="18"/>
          <w:vertAlign w:val="superscript"/>
        </w:rPr>
        <w:t>7</w:t>
      </w:r>
      <w:r w:rsidRPr="00CD0589">
        <w:rPr>
          <w:rFonts w:ascii="Arial Narrow" w:hAnsi="Arial Narrow"/>
          <w:i/>
          <w:sz w:val="18"/>
          <w:szCs w:val="18"/>
        </w:rPr>
        <w:t xml:space="preserve"> </w:t>
      </w:r>
      <w:r w:rsidR="00E7392D" w:rsidRPr="00CD0589">
        <w:rPr>
          <w:rFonts w:ascii="Arial Narrow" w:hAnsi="Arial Narrow"/>
          <w:i/>
          <w:sz w:val="18"/>
          <w:szCs w:val="18"/>
        </w:rPr>
        <w:t>$10 million to &lt; $20 million</w:t>
      </w:r>
    </w:p>
    <w:p w14:paraId="54CAF234" w14:textId="28E89D4B" w:rsidR="00E7392D" w:rsidRPr="00CD0589" w:rsidRDefault="008D4AE0" w:rsidP="00E7392D">
      <w:pPr>
        <w:rPr>
          <w:rFonts w:ascii="Arial Narrow" w:hAnsi="Arial Narrow"/>
          <w:i/>
          <w:sz w:val="18"/>
          <w:szCs w:val="18"/>
        </w:rPr>
      </w:pPr>
      <w:r w:rsidRPr="00CD0589">
        <w:rPr>
          <w:rFonts w:ascii="Arial Narrow" w:hAnsi="Arial Narrow"/>
          <w:i/>
          <w:sz w:val="18"/>
          <w:szCs w:val="18"/>
          <w:vertAlign w:val="superscript"/>
        </w:rPr>
        <w:t>8</w:t>
      </w:r>
      <w:r w:rsidRPr="00CD0589">
        <w:rPr>
          <w:rFonts w:ascii="Arial Narrow" w:hAnsi="Arial Narrow"/>
          <w:i/>
          <w:sz w:val="18"/>
          <w:szCs w:val="18"/>
        </w:rPr>
        <w:t xml:space="preserve"> </w:t>
      </w:r>
      <w:r w:rsidR="00E7392D" w:rsidRPr="00CD0589">
        <w:rPr>
          <w:rFonts w:ascii="Arial Narrow" w:hAnsi="Arial Narrow"/>
          <w:i/>
          <w:sz w:val="18"/>
          <w:szCs w:val="18"/>
        </w:rPr>
        <w:t>$100 million to &lt; $200 million</w:t>
      </w:r>
    </w:p>
    <w:p w14:paraId="08BAAA15" w14:textId="221D27F3" w:rsidR="00E7392D" w:rsidRPr="00CD0589" w:rsidRDefault="00E7392D" w:rsidP="00E7392D">
      <w:pPr>
        <w:rPr>
          <w:rFonts w:ascii="Arial Narrow" w:hAnsi="Arial Narrow"/>
          <w:i/>
          <w:sz w:val="18"/>
          <w:szCs w:val="18"/>
        </w:rPr>
      </w:pPr>
      <w:r w:rsidRPr="00CD0589">
        <w:rPr>
          <w:rFonts w:ascii="Arial Narrow" w:hAnsi="Arial Narrow"/>
          <w:i/>
          <w:sz w:val="18"/>
          <w:szCs w:val="18"/>
          <w:vertAlign w:val="superscript"/>
        </w:rPr>
        <w:t>9</w:t>
      </w:r>
      <w:r w:rsidRPr="00CD0589">
        <w:rPr>
          <w:rFonts w:ascii="Arial Narrow" w:hAnsi="Arial Narrow"/>
          <w:i/>
          <w:sz w:val="18"/>
          <w:szCs w:val="18"/>
        </w:rPr>
        <w:t xml:space="preserve"> 800,000 to &lt; 900,000</w:t>
      </w:r>
    </w:p>
    <w:p w14:paraId="7C1B9E66" w14:textId="7507D149" w:rsidR="00E7392D" w:rsidRPr="00CD0589" w:rsidRDefault="00E7392D" w:rsidP="00E7392D">
      <w:pPr>
        <w:pStyle w:val="TableFooter"/>
        <w:rPr>
          <w:i/>
          <w:szCs w:val="18"/>
        </w:rPr>
      </w:pPr>
      <w:r w:rsidRPr="00CD0589">
        <w:rPr>
          <w:i/>
          <w:szCs w:val="18"/>
          <w:vertAlign w:val="superscript"/>
        </w:rPr>
        <w:t>10</w:t>
      </w:r>
      <w:r w:rsidRPr="00CD0589">
        <w:rPr>
          <w:i/>
          <w:szCs w:val="18"/>
        </w:rPr>
        <w:t xml:space="preserve"> $0 to &lt; $10 million</w:t>
      </w:r>
    </w:p>
    <w:p w14:paraId="26F5332A" w14:textId="452630B3" w:rsidR="00302DB8" w:rsidRPr="00CD0589" w:rsidRDefault="00E7392D" w:rsidP="00E7392D">
      <w:pPr>
        <w:pStyle w:val="TableFooter"/>
        <w:spacing w:after="120"/>
        <w:rPr>
          <w:szCs w:val="18"/>
        </w:rPr>
      </w:pPr>
      <w:r w:rsidRPr="00CD0589">
        <w:rPr>
          <w:i/>
          <w:szCs w:val="18"/>
          <w:vertAlign w:val="superscript"/>
        </w:rPr>
        <w:t>11</w:t>
      </w:r>
      <w:r w:rsidRPr="00CD0589">
        <w:rPr>
          <w:i/>
          <w:szCs w:val="18"/>
        </w:rPr>
        <w:t xml:space="preserve"> $80 million to &lt; $90 million</w:t>
      </w:r>
    </w:p>
    <w:p w14:paraId="2301E8E7" w14:textId="05F0FD1B" w:rsidR="00D73D20" w:rsidRPr="000755DA" w:rsidRDefault="00D73D20" w:rsidP="000755DA">
      <w:pPr>
        <w:pStyle w:val="3-BodyText"/>
        <w:rPr>
          <w:b/>
          <w:bCs/>
        </w:rPr>
      </w:pPr>
      <w:r w:rsidRPr="00AD7238">
        <w:t xml:space="preserve">The cost to the NIP for listing RZV for the primary program is estimated to be </w:t>
      </w:r>
      <w:r w:rsidR="000755DA" w:rsidRPr="000755DA">
        <w:t>$40 million to &lt; $50 million</w:t>
      </w:r>
      <w:r w:rsidR="000755DA">
        <w:rPr>
          <w:b/>
          <w:bCs/>
        </w:rPr>
        <w:t xml:space="preserve"> </w:t>
      </w:r>
      <w:r w:rsidRPr="00AD7238">
        <w:t xml:space="preserve"> in the first year, increasing to approximately </w:t>
      </w:r>
      <w:r w:rsidR="000755DA" w:rsidRPr="000755DA">
        <w:t>$50 million to &lt; $60 million</w:t>
      </w:r>
      <w:r w:rsidR="000755DA">
        <w:rPr>
          <w:b/>
          <w:bCs/>
        </w:rPr>
        <w:t xml:space="preserve"> </w:t>
      </w:r>
      <w:r w:rsidRPr="00AD7238">
        <w:t xml:space="preserve">at Year 6, totalling </w:t>
      </w:r>
      <w:r w:rsidR="000755DA" w:rsidRPr="000755DA">
        <w:t>$300 million to &lt; $400 million</w:t>
      </w:r>
      <w:r w:rsidR="000755DA">
        <w:rPr>
          <w:b/>
          <w:bCs/>
        </w:rPr>
        <w:t xml:space="preserve"> </w:t>
      </w:r>
      <w:r w:rsidRPr="00AD7238">
        <w:t xml:space="preserve">over 6 years. For </w:t>
      </w:r>
      <w:r w:rsidRPr="003970FE">
        <w:t xml:space="preserve">the catch-up program, it is estimated to be </w:t>
      </w:r>
      <w:r w:rsidR="000755DA" w:rsidRPr="000755DA">
        <w:t>$300 million to &lt; $400 million</w:t>
      </w:r>
      <w:r w:rsidR="000755DA">
        <w:rPr>
          <w:b/>
          <w:bCs/>
        </w:rPr>
        <w:t xml:space="preserve"> </w:t>
      </w:r>
      <w:r w:rsidRPr="003970FE">
        <w:t xml:space="preserve">in the first year, decreasing to approximately </w:t>
      </w:r>
      <w:r w:rsidR="000755DA" w:rsidRPr="000755DA">
        <w:t>$80 million to &lt; $90 million</w:t>
      </w:r>
      <w:r w:rsidR="000755DA">
        <w:rPr>
          <w:b/>
          <w:bCs/>
        </w:rPr>
        <w:t xml:space="preserve"> </w:t>
      </w:r>
      <w:r w:rsidRPr="003970FE">
        <w:t xml:space="preserve">at Year 6, totalling </w:t>
      </w:r>
      <w:r w:rsidR="000755DA" w:rsidRPr="000755DA">
        <w:t>&gt; $1 billion</w:t>
      </w:r>
      <w:r w:rsidR="000755DA">
        <w:rPr>
          <w:b/>
          <w:bCs/>
        </w:rPr>
        <w:t xml:space="preserve"> </w:t>
      </w:r>
      <w:r w:rsidRPr="003970FE">
        <w:t>over 6 years.</w:t>
      </w:r>
      <w:r w:rsidR="005B1172" w:rsidRPr="003970FE">
        <w:t xml:space="preserve"> </w:t>
      </w:r>
    </w:p>
    <w:p w14:paraId="06507DD5" w14:textId="69CBC9C7" w:rsidR="004C3778" w:rsidRPr="00A65E17" w:rsidRDefault="004C3778" w:rsidP="00D73D20">
      <w:pPr>
        <w:pStyle w:val="3-BodyText"/>
        <w:rPr>
          <w:iCs/>
        </w:rPr>
      </w:pPr>
      <w:bookmarkStart w:id="72" w:name="_Ref127219566"/>
      <w:bookmarkStart w:id="73" w:name="_Ref130738774"/>
      <w:r w:rsidRPr="00A65E17">
        <w:rPr>
          <w:iCs/>
        </w:rPr>
        <w:lastRenderedPageBreak/>
        <w:t>The ESC noted the financial estimates did not exclude people who had received ZVL in the last 5 years or account for people who had been previously vaccinated with R</w:t>
      </w:r>
      <w:r w:rsidR="008658BB" w:rsidRPr="00A65E17">
        <w:rPr>
          <w:iCs/>
        </w:rPr>
        <w:t>Z</w:t>
      </w:r>
      <w:r w:rsidRPr="00A65E17">
        <w:rPr>
          <w:iCs/>
        </w:rPr>
        <w:t xml:space="preserve">V.  The ESC considered that, given the </w:t>
      </w:r>
      <w:r w:rsidR="0028084B" w:rsidRPr="00A65E17">
        <w:rPr>
          <w:iCs/>
        </w:rPr>
        <w:t xml:space="preserve">likely </w:t>
      </w:r>
      <w:r w:rsidRPr="00A65E17">
        <w:rPr>
          <w:iCs/>
        </w:rPr>
        <w:t>duration of effect of R</w:t>
      </w:r>
      <w:r w:rsidR="008658BB" w:rsidRPr="00A65E17">
        <w:rPr>
          <w:iCs/>
        </w:rPr>
        <w:t>Z</w:t>
      </w:r>
      <w:r w:rsidRPr="00A65E17">
        <w:rPr>
          <w:iCs/>
        </w:rPr>
        <w:t xml:space="preserve">V, it may be reasonable to exclude these people from being revaccinated on the NIP. The ESC </w:t>
      </w:r>
      <w:r w:rsidR="00544DAE" w:rsidRPr="00A65E17">
        <w:rPr>
          <w:iCs/>
        </w:rPr>
        <w:t>indicated that</w:t>
      </w:r>
      <w:r w:rsidR="008D3FED" w:rsidRPr="00A65E17">
        <w:rPr>
          <w:iCs/>
        </w:rPr>
        <w:t xml:space="preserve"> </w:t>
      </w:r>
      <w:r w:rsidRPr="00A65E17">
        <w:rPr>
          <w:iCs/>
        </w:rPr>
        <w:t>ATAGI advi</w:t>
      </w:r>
      <w:r w:rsidR="0028084B" w:rsidRPr="00A65E17">
        <w:rPr>
          <w:iCs/>
        </w:rPr>
        <w:t>c</w:t>
      </w:r>
      <w:r w:rsidRPr="00A65E17">
        <w:rPr>
          <w:iCs/>
        </w:rPr>
        <w:t>e on this issue</w:t>
      </w:r>
      <w:r w:rsidR="003970FE" w:rsidRPr="00A65E17">
        <w:rPr>
          <w:iCs/>
        </w:rPr>
        <w:t xml:space="preserve"> would be informative</w:t>
      </w:r>
      <w:r w:rsidRPr="00A65E17">
        <w:rPr>
          <w:iCs/>
        </w:rPr>
        <w:t>.</w:t>
      </w:r>
      <w:bookmarkEnd w:id="72"/>
      <w:r w:rsidRPr="00A65E17">
        <w:rPr>
          <w:iCs/>
        </w:rPr>
        <w:t xml:space="preserve"> </w:t>
      </w:r>
      <w:r w:rsidR="00250F5A">
        <w:rPr>
          <w:iCs/>
        </w:rPr>
        <w:t xml:space="preserve">The ATAGI </w:t>
      </w:r>
      <w:r w:rsidR="00417F64">
        <w:rPr>
          <w:iCs/>
        </w:rPr>
        <w:t xml:space="preserve">post-submission </w:t>
      </w:r>
      <w:r w:rsidR="00250F5A">
        <w:rPr>
          <w:iCs/>
        </w:rPr>
        <w:t>advice stated it is reasonable and implementable to limit the use of RZV in people who (i) have received ZVL within the last 5 years and (ii) have received 2 doses of RZV. The ATAGI considered it was reasonable to limit individuals who have already received one dose of RZV to receiving one dose on the NIP.</w:t>
      </w:r>
      <w:bookmarkEnd w:id="73"/>
      <w:r w:rsidR="00250F5A">
        <w:rPr>
          <w:iCs/>
        </w:rPr>
        <w:t xml:space="preserve">   </w:t>
      </w:r>
    </w:p>
    <w:p w14:paraId="4BF659FB" w14:textId="5BF78BB4" w:rsidR="0028084B" w:rsidRPr="002D5745" w:rsidRDefault="0028084B" w:rsidP="002D5745">
      <w:pPr>
        <w:pStyle w:val="3-BodyText"/>
        <w:rPr>
          <w:rFonts w:cstheme="minorBidi"/>
          <w:b/>
          <w:bCs/>
          <w:iCs/>
        </w:rPr>
      </w:pPr>
      <w:r w:rsidRPr="00A65E17">
        <w:rPr>
          <w:rFonts w:cstheme="minorBidi"/>
          <w:iCs/>
        </w:rPr>
        <w:t xml:space="preserve">The ESC noted that, based on the estimates provided in the resubmission, of the </w:t>
      </w:r>
      <w:r w:rsidR="002D5745" w:rsidRPr="000755DA">
        <w:t>&gt; $1 billion</w:t>
      </w:r>
      <w:r w:rsidR="002D5745">
        <w:rPr>
          <w:b/>
          <w:bCs/>
        </w:rPr>
        <w:t xml:space="preserve"> </w:t>
      </w:r>
      <w:r w:rsidRPr="00A65E17">
        <w:rPr>
          <w:rFonts w:cstheme="minorBidi"/>
          <w:iCs/>
        </w:rPr>
        <w:t xml:space="preserve">cost </w:t>
      </w:r>
      <w:r w:rsidR="00D724EF" w:rsidRPr="00A65E17">
        <w:rPr>
          <w:rFonts w:cstheme="minorBidi"/>
          <w:iCs/>
        </w:rPr>
        <w:t xml:space="preserve">of including RZV on the NIP </w:t>
      </w:r>
      <w:r w:rsidRPr="00A65E17">
        <w:rPr>
          <w:rFonts w:cstheme="minorBidi"/>
          <w:iCs/>
        </w:rPr>
        <w:t xml:space="preserve">over 6 years, </w:t>
      </w:r>
      <w:r w:rsidR="002D5745" w:rsidRPr="002D5745">
        <w:rPr>
          <w:rFonts w:cstheme="minorBidi"/>
          <w:iCs/>
        </w:rPr>
        <w:t>$600 million to &lt; $700 million</w:t>
      </w:r>
      <w:r w:rsidR="002D5745">
        <w:rPr>
          <w:rFonts w:cstheme="minorBidi"/>
          <w:b/>
          <w:bCs/>
          <w:iCs/>
        </w:rPr>
        <w:t xml:space="preserve"> </w:t>
      </w:r>
      <w:r w:rsidRPr="002D5745">
        <w:rPr>
          <w:rFonts w:cstheme="minorBidi"/>
          <w:iCs/>
        </w:rPr>
        <w:t xml:space="preserve">(51%) was in people aged 50 </w:t>
      </w:r>
      <w:r w:rsidR="00933714" w:rsidRPr="002D5745">
        <w:rPr>
          <w:rFonts w:cstheme="minorBidi"/>
          <w:iCs/>
        </w:rPr>
        <w:t>to</w:t>
      </w:r>
      <w:r w:rsidRPr="002D5745">
        <w:rPr>
          <w:rFonts w:cstheme="minorBidi"/>
          <w:iCs/>
        </w:rPr>
        <w:t xml:space="preserve"> 69 YOA, </w:t>
      </w:r>
      <w:r w:rsidR="002D5745" w:rsidRPr="002D5745">
        <w:rPr>
          <w:rFonts w:cstheme="minorBidi"/>
          <w:iCs/>
        </w:rPr>
        <w:t>$400 million to &lt; $500 million</w:t>
      </w:r>
      <w:r w:rsidR="002D5745">
        <w:rPr>
          <w:rFonts w:cstheme="minorBidi"/>
          <w:b/>
          <w:bCs/>
          <w:iCs/>
        </w:rPr>
        <w:t xml:space="preserve"> </w:t>
      </w:r>
      <w:r w:rsidRPr="002D5745">
        <w:rPr>
          <w:rFonts w:cstheme="minorBidi"/>
          <w:iCs/>
        </w:rPr>
        <w:t xml:space="preserve">(31%) was in people aged 70 to 79 YOA and </w:t>
      </w:r>
      <w:r w:rsidR="002D5745" w:rsidRPr="002D5745">
        <w:rPr>
          <w:rFonts w:cstheme="minorBidi"/>
          <w:iCs/>
        </w:rPr>
        <w:t>$200 million to &lt; $300 million</w:t>
      </w:r>
      <w:r w:rsidR="002D5745">
        <w:rPr>
          <w:rFonts w:cstheme="minorBidi"/>
          <w:b/>
          <w:bCs/>
          <w:iCs/>
        </w:rPr>
        <w:t xml:space="preserve"> </w:t>
      </w:r>
      <w:r w:rsidRPr="002D5745">
        <w:rPr>
          <w:rFonts w:cstheme="minorBidi"/>
          <w:iCs/>
        </w:rPr>
        <w:t xml:space="preserve">(17%) was in people aged </w:t>
      </w:r>
      <w:r w:rsidRPr="002D5745">
        <w:rPr>
          <w:rFonts w:cstheme="minorHAnsi"/>
          <w:iCs/>
        </w:rPr>
        <w:t>≥</w:t>
      </w:r>
      <w:r w:rsidRPr="002D5745">
        <w:rPr>
          <w:rFonts w:cstheme="minorBidi"/>
          <w:iCs/>
        </w:rPr>
        <w:t>80 YOA.</w:t>
      </w:r>
      <w:r w:rsidR="00644DA5" w:rsidRPr="002D5745">
        <w:rPr>
          <w:rFonts w:cstheme="minorBidi"/>
          <w:iCs/>
        </w:rPr>
        <w:t xml:space="preserve"> </w:t>
      </w:r>
      <w:r w:rsidRPr="002D5745">
        <w:rPr>
          <w:rFonts w:cstheme="minorBidi"/>
          <w:iCs/>
        </w:rPr>
        <w:t xml:space="preserve">The ESC noted excluding the 30% of people aged 70-79 YOA who have received ZVL would reduce the cost by </w:t>
      </w:r>
      <w:r w:rsidR="002D5745" w:rsidRPr="002D5745">
        <w:rPr>
          <w:rFonts w:cstheme="minorBidi"/>
          <w:iCs/>
        </w:rPr>
        <w:t>$100 million to &lt; $200 million</w:t>
      </w:r>
      <w:r w:rsidR="002D5745">
        <w:rPr>
          <w:rFonts w:cstheme="minorBidi"/>
          <w:b/>
          <w:bCs/>
          <w:iCs/>
        </w:rPr>
        <w:t xml:space="preserve"> </w:t>
      </w:r>
      <w:r w:rsidRPr="002D5745">
        <w:rPr>
          <w:rFonts w:cstheme="minorBidi"/>
          <w:iCs/>
        </w:rPr>
        <w:t>over 6 years.</w:t>
      </w:r>
    </w:p>
    <w:p w14:paraId="1B50BCEA" w14:textId="11444BCB" w:rsidR="00D73D20" w:rsidRPr="002D5745" w:rsidRDefault="00D73D20" w:rsidP="002D5745">
      <w:pPr>
        <w:pStyle w:val="3-BodyText"/>
        <w:rPr>
          <w:b/>
          <w:bCs/>
        </w:rPr>
      </w:pPr>
      <w:r w:rsidRPr="003970FE">
        <w:t xml:space="preserve">The </w:t>
      </w:r>
      <w:r w:rsidR="00F40635" w:rsidRPr="003970FE">
        <w:t>re</w:t>
      </w:r>
      <w:r w:rsidRPr="003970FE">
        <w:t xml:space="preserve">submission anticipated a reduction in the use of medications used to treat HZ, PHN and non-PHN complications that will result in PBS savings of a total of </w:t>
      </w:r>
      <w:r w:rsidR="002D5745" w:rsidRPr="002D5745">
        <w:t>$0 to &lt; $10 million</w:t>
      </w:r>
      <w:r w:rsidR="002D5745">
        <w:rPr>
          <w:b/>
          <w:bCs/>
        </w:rPr>
        <w:t xml:space="preserve"> </w:t>
      </w:r>
      <w:r w:rsidRPr="003970FE">
        <w:t>over 6 years for the primary</w:t>
      </w:r>
      <w:r w:rsidRPr="00AD7238">
        <w:t xml:space="preserve"> program and </w:t>
      </w:r>
      <w:r w:rsidR="002D5745" w:rsidRPr="002D5745">
        <w:t>$20 million to &lt; $30 million</w:t>
      </w:r>
      <w:r w:rsidR="002D5745">
        <w:rPr>
          <w:b/>
          <w:bCs/>
        </w:rPr>
        <w:t xml:space="preserve"> </w:t>
      </w:r>
      <w:r w:rsidRPr="00AD7238">
        <w:t xml:space="preserve">over 6 years for the catch-up programs. </w:t>
      </w:r>
      <w:r w:rsidRPr="002D5745">
        <w:rPr>
          <w:iCs/>
        </w:rPr>
        <w:t xml:space="preserve">These estimates may be overestimated as they were based on estimated reductions in the incidence of HZ, PHN, and non-PHN complications from the economic model. </w:t>
      </w:r>
    </w:p>
    <w:p w14:paraId="036C0C11" w14:textId="07D52EF7" w:rsidR="00D73D20" w:rsidRPr="002D5745" w:rsidRDefault="00D73D20" w:rsidP="002D5745">
      <w:pPr>
        <w:pStyle w:val="3-BodyText"/>
        <w:rPr>
          <w:b/>
          <w:bCs/>
        </w:rPr>
      </w:pPr>
      <w:r w:rsidRPr="00AD7238">
        <w:t xml:space="preserve">Across both the primary and catch-up programs, the total cost to MBS would range from </w:t>
      </w:r>
      <w:r w:rsidR="002D5745" w:rsidRPr="002D5745">
        <w:t>$40 million to &lt; $50 million</w:t>
      </w:r>
      <w:r w:rsidR="002D5745">
        <w:rPr>
          <w:b/>
          <w:bCs/>
        </w:rPr>
        <w:t xml:space="preserve"> </w:t>
      </w:r>
      <w:r w:rsidRPr="00AD7238">
        <w:t xml:space="preserve">in Year 1 to </w:t>
      </w:r>
      <w:r w:rsidR="002D5745" w:rsidRPr="002D5745">
        <w:t>$0 to &lt; $10 million</w:t>
      </w:r>
      <w:r w:rsidR="002D5745">
        <w:rPr>
          <w:b/>
          <w:bCs/>
        </w:rPr>
        <w:t xml:space="preserve"> </w:t>
      </w:r>
      <w:r w:rsidRPr="00AD7238">
        <w:t xml:space="preserve">in Year 6, totalling </w:t>
      </w:r>
      <w:r w:rsidR="002D5745" w:rsidRPr="002D5745">
        <w:t>$100 million to &lt; $200 million</w:t>
      </w:r>
      <w:r w:rsidR="002D5745">
        <w:rPr>
          <w:b/>
          <w:bCs/>
        </w:rPr>
        <w:t xml:space="preserve"> </w:t>
      </w:r>
      <w:r w:rsidRPr="00AD7238">
        <w:t xml:space="preserve">over 6 years. </w:t>
      </w:r>
      <w:r w:rsidRPr="002D5745">
        <w:rPr>
          <w:iCs/>
        </w:rPr>
        <w:t xml:space="preserve">These estimates are uncertain given the reliance on the outputs from the economic model and the assumptions made. </w:t>
      </w:r>
      <w:r w:rsidRPr="00AD7238">
        <w:t xml:space="preserve">Across both primary and catch-up programs, the total GP cost offset is estimated to be </w:t>
      </w:r>
      <w:r w:rsidR="002D5745" w:rsidRPr="002D5745">
        <w:t>$20 million to &lt; $30 million</w:t>
      </w:r>
      <w:r w:rsidRPr="00AD7238">
        <w:t xml:space="preserve">, while the total vaccine administration cost is estimated to be </w:t>
      </w:r>
      <w:r w:rsidR="002D5745" w:rsidRPr="002D5745">
        <w:t>$100 million to &lt; $200 million</w:t>
      </w:r>
      <w:r w:rsidRPr="00AD7238">
        <w:t>.</w:t>
      </w:r>
      <w:r w:rsidR="00C84B1D">
        <w:t xml:space="preserve"> </w:t>
      </w:r>
    </w:p>
    <w:p w14:paraId="63179E59" w14:textId="5031A0EB" w:rsidR="00D73D20" w:rsidRPr="00AD7238" w:rsidRDefault="00D73D20">
      <w:pPr>
        <w:pStyle w:val="3-BodyText"/>
      </w:pPr>
      <w:r w:rsidRPr="00AD7238">
        <w:t xml:space="preserve">The </w:t>
      </w:r>
      <w:r w:rsidR="00F40635" w:rsidRPr="00AD7238">
        <w:t>re</w:t>
      </w:r>
      <w:r w:rsidRPr="00AD7238">
        <w:t xml:space="preserve">submission identified the 1st dose coverage and 2nd dose compliance as the key sources of uncertainty. </w:t>
      </w:r>
      <w:r w:rsidR="00BD727A" w:rsidRPr="00AD7238">
        <w:t xml:space="preserve">Increasing </w:t>
      </w:r>
      <w:r w:rsidR="008D4102" w:rsidRPr="00AD7238">
        <w:t xml:space="preserve">or decreasing </w:t>
      </w:r>
      <w:r w:rsidR="00BD727A" w:rsidRPr="00AD7238">
        <w:t xml:space="preserve">the first dose </w:t>
      </w:r>
      <w:r w:rsidRPr="00AD7238">
        <w:t>coverage by 10</w:t>
      </w:r>
      <w:r w:rsidR="00BD727A" w:rsidRPr="00AD7238">
        <w:t xml:space="preserve"> percentage points </w:t>
      </w:r>
      <w:r w:rsidRPr="00AD7238">
        <w:t>result</w:t>
      </w:r>
      <w:r w:rsidR="002711F3" w:rsidRPr="00AD7238">
        <w:t>ed</w:t>
      </w:r>
      <w:r w:rsidRPr="00AD7238">
        <w:t xml:space="preserve"> in a 18.4% </w:t>
      </w:r>
      <w:r w:rsidR="00917452" w:rsidRPr="00AD7238">
        <w:t>increase</w:t>
      </w:r>
      <w:r w:rsidR="008D4102" w:rsidRPr="00AD7238">
        <w:t xml:space="preserve"> or decrease</w:t>
      </w:r>
      <w:r w:rsidR="00917452" w:rsidRPr="00AD7238">
        <w:t xml:space="preserve"> </w:t>
      </w:r>
      <w:r w:rsidRPr="00AD7238">
        <w:t>in the overall net cost over six years</w:t>
      </w:r>
      <w:r w:rsidR="00BD727A" w:rsidRPr="00AD7238">
        <w:t>.</w:t>
      </w:r>
      <w:r w:rsidR="00185EB7" w:rsidRPr="00AD7238">
        <w:t xml:space="preserve"> </w:t>
      </w:r>
      <w:r w:rsidR="008D4102" w:rsidRPr="00AD7238">
        <w:t>Increasing or d</w:t>
      </w:r>
      <w:r w:rsidR="00BD727A" w:rsidRPr="00AD7238">
        <w:t xml:space="preserve">ecreasing </w:t>
      </w:r>
      <w:r w:rsidR="00185EB7" w:rsidRPr="00AD7238">
        <w:t xml:space="preserve">the </w:t>
      </w:r>
      <w:r w:rsidRPr="00AD7238">
        <w:t xml:space="preserve">2nd dose compliance </w:t>
      </w:r>
      <w:r w:rsidR="00185EB7" w:rsidRPr="00AD7238">
        <w:t>by 10</w:t>
      </w:r>
      <w:r w:rsidR="00BD727A" w:rsidRPr="00AD7238">
        <w:t xml:space="preserve"> percentage points </w:t>
      </w:r>
      <w:r w:rsidR="008D4102" w:rsidRPr="00AD7238">
        <w:t xml:space="preserve">resulted in a 5.8% increase or decrease in the overall net cost over 6 years. </w:t>
      </w:r>
    </w:p>
    <w:p w14:paraId="042A9B5E" w14:textId="3A8B2612" w:rsidR="00694AE6" w:rsidRPr="002D5745" w:rsidRDefault="00D73D20" w:rsidP="002D5745">
      <w:pPr>
        <w:pStyle w:val="3-BodyText"/>
        <w:rPr>
          <w:b/>
          <w:bCs/>
          <w:iCs/>
        </w:rPr>
      </w:pPr>
      <w:r w:rsidRPr="00AD7238">
        <w:t xml:space="preserve">The </w:t>
      </w:r>
      <w:r w:rsidR="00F40635" w:rsidRPr="00AD7238">
        <w:t>re</w:t>
      </w:r>
      <w:r w:rsidRPr="00AD7238">
        <w:t xml:space="preserve">submission also provided financial estimates for the proposed optional population of </w:t>
      </w:r>
      <w:r w:rsidRPr="006E790F">
        <w:t>immunocompromised adults ≥18 YOA</w:t>
      </w:r>
      <w:r w:rsidR="0028084B">
        <w:t xml:space="preserve">. </w:t>
      </w:r>
      <w:r w:rsidR="0028084B" w:rsidRPr="00A65E17">
        <w:rPr>
          <w:iCs/>
        </w:rPr>
        <w:t xml:space="preserve">The resubmission used self-reported immunosuppressed status in the US (Harpaz, 2016) to calculate the number of immunosuppressed people and assumed a 65% uptake. The resubmission estimated the number of immunocompromised adults in Year 1 </w:t>
      </w:r>
      <w:r w:rsidR="0056393F">
        <w:rPr>
          <w:iCs/>
        </w:rPr>
        <w:t xml:space="preserve">would be </w:t>
      </w:r>
      <w:r w:rsidR="002D5745" w:rsidRPr="002D5745">
        <w:rPr>
          <w:iCs/>
        </w:rPr>
        <w:t>400,000 to &lt; 500,000</w:t>
      </w:r>
      <w:r w:rsidR="002D5745">
        <w:rPr>
          <w:b/>
          <w:bCs/>
          <w:iCs/>
        </w:rPr>
        <w:t xml:space="preserve"> </w:t>
      </w:r>
      <w:r w:rsidR="0028084B" w:rsidRPr="002D5745">
        <w:rPr>
          <w:iCs/>
        </w:rPr>
        <w:t xml:space="preserve">with </w:t>
      </w:r>
      <w:r w:rsidR="002D5745" w:rsidRPr="002D5745">
        <w:rPr>
          <w:iCs/>
        </w:rPr>
        <w:t>200,000 to &lt; 300,000</w:t>
      </w:r>
      <w:r w:rsidR="002D5745">
        <w:rPr>
          <w:b/>
          <w:bCs/>
          <w:iCs/>
        </w:rPr>
        <w:t xml:space="preserve"> </w:t>
      </w:r>
      <w:r w:rsidR="0028084B" w:rsidRPr="002D5745">
        <w:rPr>
          <w:iCs/>
        </w:rPr>
        <w:t xml:space="preserve">expected to be vaccinated. </w:t>
      </w:r>
      <w:r w:rsidR="00694AE6" w:rsidRPr="002D5745">
        <w:rPr>
          <w:iCs/>
        </w:rPr>
        <w:t xml:space="preserve">In the Harpaz study, people reporting immunosuppressive medications or treatments or </w:t>
      </w:r>
      <w:r w:rsidR="00694AE6" w:rsidRPr="002D5745">
        <w:rPr>
          <w:iCs/>
        </w:rPr>
        <w:lastRenderedPageBreak/>
        <w:t>occurrence of immunosuppressive medical conditions (i.e., hematopoietic cancers or HIV infection) were considered immunosuppressed. Those reporting only frequent colds or infections or attributing immunosuppression solely to chronic diseases or to solid cancers (</w:t>
      </w:r>
      <w:r w:rsidR="00D54333" w:rsidRPr="002D5745">
        <w:rPr>
          <w:iCs/>
        </w:rPr>
        <w:t>i.e.</w:t>
      </w:r>
      <w:r w:rsidR="00694AE6" w:rsidRPr="002D5745">
        <w:rPr>
          <w:iCs/>
        </w:rPr>
        <w:t>, in absence of immunosuppressive treatments) were not considered to be immunocompr</w:t>
      </w:r>
      <w:r w:rsidR="00644DA5" w:rsidRPr="002D5745">
        <w:rPr>
          <w:iCs/>
        </w:rPr>
        <w:t>om</w:t>
      </w:r>
      <w:r w:rsidR="00694AE6" w:rsidRPr="002D5745">
        <w:rPr>
          <w:iCs/>
        </w:rPr>
        <w:t>ised.</w:t>
      </w:r>
    </w:p>
    <w:p w14:paraId="22DFCBB0" w14:textId="719705BD" w:rsidR="00694AE6" w:rsidRPr="00A65E17" w:rsidRDefault="00D73D20" w:rsidP="0028084B">
      <w:pPr>
        <w:pStyle w:val="3-BodyText"/>
        <w:rPr>
          <w:iCs/>
        </w:rPr>
      </w:pPr>
      <w:r w:rsidRPr="00AD7238">
        <w:t xml:space="preserve">The </w:t>
      </w:r>
      <w:r w:rsidR="00815FA2" w:rsidRPr="00AD7238">
        <w:t>re</w:t>
      </w:r>
      <w:r w:rsidRPr="00AD7238">
        <w:t>submission stated that these were provided as an indicative estimate as to the size and potential financial impact of RZV in these populations based on prevalence data reported by ATAGI.</w:t>
      </w:r>
      <w:r w:rsidR="00A90065" w:rsidRPr="00AD7238">
        <w:t xml:space="preserve"> </w:t>
      </w:r>
    </w:p>
    <w:p w14:paraId="77C7F20E" w14:textId="4012F754" w:rsidR="00D73D20" w:rsidRPr="002D5745" w:rsidRDefault="00D73D20" w:rsidP="002D5745">
      <w:pPr>
        <w:pStyle w:val="3-BodyText"/>
        <w:rPr>
          <w:b/>
          <w:bCs/>
        </w:rPr>
      </w:pPr>
      <w:r w:rsidRPr="00AD7238">
        <w:t>The</w:t>
      </w:r>
      <w:r w:rsidRPr="00AD7238" w:rsidDel="00654D50">
        <w:t xml:space="preserve"> </w:t>
      </w:r>
      <w:r w:rsidRPr="00AD7238">
        <w:t xml:space="preserve">estimated cost of RZV to the NIP </w:t>
      </w:r>
      <w:r w:rsidRPr="006E790F">
        <w:t>for immunocompromised adults</w:t>
      </w:r>
      <w:r w:rsidRPr="00AD7238">
        <w:t xml:space="preserve"> </w:t>
      </w:r>
      <w:r w:rsidRPr="0028084B">
        <w:rPr>
          <w:rFonts w:cstheme="minorBidi"/>
        </w:rPr>
        <w:t>≥</w:t>
      </w:r>
      <w:r w:rsidRPr="00AD7238">
        <w:t xml:space="preserve">18 YOA </w:t>
      </w:r>
      <w:r w:rsidR="00C619A8">
        <w:t>was</w:t>
      </w:r>
      <w:r w:rsidRPr="00AD7238">
        <w:t xml:space="preserve"> </w:t>
      </w:r>
      <w:r w:rsidR="002D5745" w:rsidRPr="002D5745">
        <w:t>$80 million to &lt; $90 million</w:t>
      </w:r>
      <w:r w:rsidR="002D5745">
        <w:rPr>
          <w:b/>
          <w:bCs/>
        </w:rPr>
        <w:t xml:space="preserve"> </w:t>
      </w:r>
      <w:r w:rsidRPr="00AD7238">
        <w:t xml:space="preserve">in Year 1, decreasing to approximately </w:t>
      </w:r>
      <w:r w:rsidR="002D5745" w:rsidRPr="002D5745">
        <w:t>$0 to &lt; $10 million</w:t>
      </w:r>
      <w:r w:rsidR="002D5745">
        <w:rPr>
          <w:b/>
          <w:bCs/>
        </w:rPr>
        <w:t xml:space="preserve"> </w:t>
      </w:r>
      <w:r w:rsidRPr="00AD7238">
        <w:t xml:space="preserve">at Year 6, totalling </w:t>
      </w:r>
      <w:r w:rsidR="002D5745" w:rsidRPr="002D5745">
        <w:t>$100 million to &lt; $200 million</w:t>
      </w:r>
      <w:r w:rsidR="002D5745">
        <w:rPr>
          <w:b/>
          <w:bCs/>
        </w:rPr>
        <w:t xml:space="preserve"> </w:t>
      </w:r>
      <w:r w:rsidRPr="00AD7238">
        <w:t xml:space="preserve">over 6 years. </w:t>
      </w:r>
      <w:r w:rsidRPr="002D5745">
        <w:rPr>
          <w:iCs/>
        </w:rPr>
        <w:t>These estimates do not include the cost of administration (only vaccine costs are reflected).</w:t>
      </w:r>
    </w:p>
    <w:p w14:paraId="4C9E0529" w14:textId="78E73D7F" w:rsidR="00D73D20" w:rsidRPr="003521E4" w:rsidRDefault="00D73D20" w:rsidP="00D73D20">
      <w:pPr>
        <w:pStyle w:val="3-BodyText"/>
      </w:pPr>
      <w:r w:rsidRPr="00F345DE">
        <w:rPr>
          <w:iCs/>
        </w:rPr>
        <w:t>These estimates represent the cost of RZV to the NIP for populations</w:t>
      </w:r>
      <w:r w:rsidR="0028084B">
        <w:rPr>
          <w:iCs/>
        </w:rPr>
        <w:t xml:space="preserve"> </w:t>
      </w:r>
      <w:r w:rsidR="0028084B" w:rsidRPr="00A65E17">
        <w:t>for whom no cost-effectiveness analysis was presented in the resubmission</w:t>
      </w:r>
      <w:r w:rsidR="0028084B">
        <w:rPr>
          <w:iCs/>
        </w:rPr>
        <w:t xml:space="preserve"> </w:t>
      </w:r>
      <w:r w:rsidRPr="00F345DE">
        <w:rPr>
          <w:iCs/>
        </w:rPr>
        <w:t xml:space="preserve">: immunocompromised non-Indigenous adults 18 to 64 YOA and immunocompromised </w:t>
      </w:r>
      <w:r w:rsidR="008D4102" w:rsidRPr="00F345DE">
        <w:rPr>
          <w:iCs/>
        </w:rPr>
        <w:t xml:space="preserve">Aboriginal and Torres Strait Islander </w:t>
      </w:r>
      <w:r w:rsidRPr="00F345DE">
        <w:rPr>
          <w:iCs/>
        </w:rPr>
        <w:t>adults 18 to 49 YOA. These estimates should be interpreted with caution because of uncertainty with respect to the definition of immunocompromise</w:t>
      </w:r>
      <w:r w:rsidR="00915942">
        <w:rPr>
          <w:iCs/>
        </w:rPr>
        <w:t>d</w:t>
      </w:r>
      <w:r w:rsidRPr="00F345DE">
        <w:rPr>
          <w:iCs/>
        </w:rPr>
        <w:t xml:space="preserve"> and the age threshold at which these populations may be eligible for RZV. The source used to estimate age-specific prevalence of immunosuppressed persons may not be reflective of the Australian population.</w:t>
      </w:r>
      <w:r w:rsidR="004C3778">
        <w:rPr>
          <w:iCs/>
        </w:rPr>
        <w:t xml:space="preserve"> </w:t>
      </w:r>
      <w:r w:rsidR="004C3778" w:rsidRPr="00A65E17">
        <w:t>The ESC considered it was unclear if the approach in the resubmission accurately represents the Australian population of immunocompromised people who would most benefit from receiving RZV.</w:t>
      </w:r>
      <w:r w:rsidR="004C3778" w:rsidRPr="004C3778">
        <w:rPr>
          <w:iCs/>
        </w:rPr>
        <w:t xml:space="preserve"> </w:t>
      </w:r>
      <w:r w:rsidR="004C3778" w:rsidRPr="00A65E17">
        <w:t xml:space="preserve">The ESC </w:t>
      </w:r>
      <w:r w:rsidR="00544DAE" w:rsidRPr="00A65E17">
        <w:t xml:space="preserve">indicated that </w:t>
      </w:r>
      <w:r w:rsidR="006C48A0">
        <w:t xml:space="preserve">further </w:t>
      </w:r>
      <w:r w:rsidR="004C3778" w:rsidRPr="00A65E17">
        <w:t>ATAGI advice on this issue would be informative.</w:t>
      </w:r>
      <w:r w:rsidR="004C3778" w:rsidRPr="0028084B">
        <w:rPr>
          <w:iCs/>
        </w:rPr>
        <w:t xml:space="preserve"> </w:t>
      </w:r>
    </w:p>
    <w:p w14:paraId="7EF73CF3" w14:textId="36933057" w:rsidR="003521E4" w:rsidRPr="0098513C" w:rsidRDefault="003521E4">
      <w:pPr>
        <w:pStyle w:val="3-BodyText"/>
      </w:pPr>
      <w:bookmarkStart w:id="74" w:name="_Ref130332365"/>
      <w:r w:rsidRPr="004133D9">
        <w:rPr>
          <w:iCs/>
        </w:rPr>
        <w:t xml:space="preserve">The </w:t>
      </w:r>
      <w:r w:rsidR="00C619A8" w:rsidRPr="004133D9">
        <w:rPr>
          <w:iCs/>
        </w:rPr>
        <w:t xml:space="preserve">ATAGI </w:t>
      </w:r>
      <w:r w:rsidR="006C48A0">
        <w:rPr>
          <w:iCs/>
        </w:rPr>
        <w:t xml:space="preserve">post-submission </w:t>
      </w:r>
      <w:r w:rsidR="00C619A8" w:rsidRPr="004133D9">
        <w:rPr>
          <w:iCs/>
        </w:rPr>
        <w:t xml:space="preserve">advice </w:t>
      </w:r>
      <w:r w:rsidR="00624F42" w:rsidRPr="004133D9">
        <w:rPr>
          <w:iCs/>
        </w:rPr>
        <w:t>estimated</w:t>
      </w:r>
      <w:r w:rsidR="004133D9">
        <w:rPr>
          <w:iCs/>
        </w:rPr>
        <w:t xml:space="preserve"> there are</w:t>
      </w:r>
      <w:r w:rsidR="00624F42" w:rsidRPr="004133D9">
        <w:rPr>
          <w:iCs/>
        </w:rPr>
        <w:t xml:space="preserve"> 126,170 individuals over 18 years of age with conditions at high risk of HZ</w:t>
      </w:r>
      <w:r w:rsidR="004133D9">
        <w:rPr>
          <w:iCs/>
        </w:rPr>
        <w:t xml:space="preserve"> defined as </w:t>
      </w:r>
      <w:r w:rsidR="004133D9" w:rsidRPr="00615B0D">
        <w:rPr>
          <w:iCs/>
        </w:rPr>
        <w:t>haematopoietic stem cell transplant, sol</w:t>
      </w:r>
      <w:r w:rsidR="004133D9">
        <w:rPr>
          <w:iCs/>
        </w:rPr>
        <w:t>i</w:t>
      </w:r>
      <w:r w:rsidR="004133D9" w:rsidRPr="00615B0D">
        <w:rPr>
          <w:iCs/>
        </w:rPr>
        <w:t>d organ transplant recipients</w:t>
      </w:r>
      <w:r w:rsidR="004133D9">
        <w:rPr>
          <w:iCs/>
        </w:rPr>
        <w:t xml:space="preserve"> on immunosuppressive therapy</w:t>
      </w:r>
      <w:r w:rsidR="004133D9" w:rsidRPr="00615B0D">
        <w:rPr>
          <w:iCs/>
        </w:rPr>
        <w:t xml:space="preserve">, </w:t>
      </w:r>
      <w:r w:rsidR="004133D9">
        <w:rPr>
          <w:iCs/>
        </w:rPr>
        <w:t xml:space="preserve">active </w:t>
      </w:r>
      <w:r w:rsidR="004133D9" w:rsidRPr="00615B0D">
        <w:rPr>
          <w:iCs/>
        </w:rPr>
        <w:t>haematological malignancies</w:t>
      </w:r>
      <w:r w:rsidR="004133D9" w:rsidRPr="00615B0D" w:rsidDel="004133D9">
        <w:rPr>
          <w:iCs/>
        </w:rPr>
        <w:t xml:space="preserve"> </w:t>
      </w:r>
      <w:r w:rsidR="004133D9">
        <w:rPr>
          <w:iCs/>
        </w:rPr>
        <w:t xml:space="preserve">and advanced or untreated </w:t>
      </w:r>
      <w:r w:rsidR="004133D9" w:rsidRPr="00615B0D">
        <w:rPr>
          <w:iCs/>
        </w:rPr>
        <w:t xml:space="preserve">HIV </w:t>
      </w:r>
      <w:r w:rsidR="004133D9">
        <w:rPr>
          <w:iCs/>
        </w:rPr>
        <w:t xml:space="preserve">with CD4 counts </w:t>
      </w:r>
      <w:r w:rsidR="004133D9" w:rsidRPr="004133D9">
        <w:rPr>
          <w:iCs/>
        </w:rPr>
        <w:t>&lt;250/μL or those with a higher CD4 count unable to be established on effective anti-retroviral therapy</w:t>
      </w:r>
      <w:r w:rsidR="004133D9">
        <w:rPr>
          <w:iCs/>
        </w:rPr>
        <w:t>.</w:t>
      </w:r>
      <w:bookmarkEnd w:id="74"/>
      <w:r w:rsidR="004133D9">
        <w:rPr>
          <w:iCs/>
        </w:rPr>
        <w:t xml:space="preserve"> </w:t>
      </w:r>
    </w:p>
    <w:p w14:paraId="11498993" w14:textId="0332AF76" w:rsidR="0098513C" w:rsidRPr="006E790F" w:rsidRDefault="0098513C">
      <w:pPr>
        <w:pStyle w:val="3-BodyText"/>
      </w:pPr>
      <w:r>
        <w:rPr>
          <w:iCs/>
        </w:rPr>
        <w:t xml:space="preserve">The ATAGI </w:t>
      </w:r>
      <w:r w:rsidR="00156C14">
        <w:rPr>
          <w:iCs/>
        </w:rPr>
        <w:t xml:space="preserve">post-submission </w:t>
      </w:r>
      <w:r w:rsidRPr="006E790F">
        <w:rPr>
          <w:iCs/>
        </w:rPr>
        <w:t xml:space="preserve">advice estimated there are 464,697 individuals over 18 years of age with conditions at moderate risk of HZ defined as rheumatoid arthritis and systemic lupus erythematosus.  </w:t>
      </w:r>
    </w:p>
    <w:p w14:paraId="267FB39C" w14:textId="04D375B5" w:rsidR="0098513C" w:rsidRPr="00DF2B97" w:rsidRDefault="0098513C">
      <w:pPr>
        <w:pStyle w:val="3-BodyText"/>
      </w:pPr>
      <w:bookmarkStart w:id="75" w:name="_Ref130332410"/>
      <w:r w:rsidRPr="006E790F">
        <w:rPr>
          <w:iCs/>
        </w:rPr>
        <w:t>The PBAC noted the ATAGI pre-submission advi</w:t>
      </w:r>
      <w:r w:rsidR="00DF2B97" w:rsidRPr="006E790F">
        <w:rPr>
          <w:iCs/>
        </w:rPr>
        <w:t>c</w:t>
      </w:r>
      <w:r w:rsidRPr="006E790F">
        <w:rPr>
          <w:iCs/>
        </w:rPr>
        <w:t xml:space="preserve">e stated that people on one or more immunosuppressive therapies (high dose systemic corticosteroids, DMARDs, chemotherapy/ radiotherapy) are at high risk of HZ, regardless of the underlying condition. The PBAC considered there is likely to be individuals with </w:t>
      </w:r>
      <w:r w:rsidR="00DF2B97" w:rsidRPr="006E790F">
        <w:rPr>
          <w:iCs/>
        </w:rPr>
        <w:t xml:space="preserve">low or </w:t>
      </w:r>
      <w:r w:rsidRPr="006E790F">
        <w:rPr>
          <w:iCs/>
        </w:rPr>
        <w:t>moderate risk conditions</w:t>
      </w:r>
      <w:r>
        <w:rPr>
          <w:iCs/>
        </w:rPr>
        <w:t xml:space="preserve"> on these immunosuppressive treatments that would be at similar (or higher) risk of HZ than the individuals identified in paragraph </w:t>
      </w:r>
      <w:r w:rsidR="00C03E46" w:rsidRPr="00A147A6">
        <w:rPr>
          <w:iCs/>
        </w:rPr>
        <w:fldChar w:fldCharType="begin" w:fldLock="1"/>
      </w:r>
      <w:r w:rsidR="00C03E46" w:rsidRPr="00A147A6">
        <w:rPr>
          <w:iCs/>
        </w:rPr>
        <w:instrText xml:space="preserve"> REF _Ref130332365 \r \h  \* MERGEFORMAT </w:instrText>
      </w:r>
      <w:r w:rsidR="00C03E46" w:rsidRPr="00A147A6">
        <w:rPr>
          <w:iCs/>
        </w:rPr>
      </w:r>
      <w:r w:rsidR="00C03E46" w:rsidRPr="00A147A6">
        <w:rPr>
          <w:iCs/>
        </w:rPr>
        <w:fldChar w:fldCharType="separate"/>
      </w:r>
      <w:r w:rsidR="00602E99">
        <w:rPr>
          <w:iCs/>
        </w:rPr>
        <w:t>6.85</w:t>
      </w:r>
      <w:r w:rsidR="00C03E46" w:rsidRPr="00A147A6">
        <w:rPr>
          <w:iCs/>
        </w:rPr>
        <w:fldChar w:fldCharType="end"/>
      </w:r>
      <w:r>
        <w:rPr>
          <w:iCs/>
        </w:rPr>
        <w:t xml:space="preserve">; however, this population has not been defined. Additionally, the PBAC noted the consumer comments specifically discussed individuals with multiple sclerosis on </w:t>
      </w:r>
      <w:r w:rsidR="00DF2B97">
        <w:rPr>
          <w:iCs/>
        </w:rPr>
        <w:t xml:space="preserve">immunosuppressive </w:t>
      </w:r>
      <w:r>
        <w:rPr>
          <w:iCs/>
        </w:rPr>
        <w:t xml:space="preserve">treatments and </w:t>
      </w:r>
      <w:r w:rsidR="00DF2B97">
        <w:rPr>
          <w:iCs/>
        </w:rPr>
        <w:t xml:space="preserve">those </w:t>
      </w:r>
      <w:r>
        <w:rPr>
          <w:iCs/>
        </w:rPr>
        <w:t xml:space="preserve">on JAK inhibitors </w:t>
      </w:r>
      <w:r w:rsidR="00DF2B97">
        <w:rPr>
          <w:iCs/>
        </w:rPr>
        <w:t>as being at high risk of HZ.</w:t>
      </w:r>
      <w:bookmarkEnd w:id="75"/>
      <w:r w:rsidR="00DF2B97">
        <w:rPr>
          <w:iCs/>
        </w:rPr>
        <w:t xml:space="preserve">  </w:t>
      </w:r>
    </w:p>
    <w:p w14:paraId="7EF3E12D" w14:textId="5E9EC699" w:rsidR="00DF2B97" w:rsidRPr="0028084B" w:rsidRDefault="00DF2B97">
      <w:pPr>
        <w:pStyle w:val="3-BodyText"/>
      </w:pPr>
      <w:r>
        <w:rPr>
          <w:iCs/>
        </w:rPr>
        <w:lastRenderedPageBreak/>
        <w:t>The PBAC recalled a report on the risk of HZ infection in patients taking biologics and JAK inhibitor medicines for autoimmune conditions considered at the December 2022 PBAC meeting which indicated patients at most risk of HZ infection were those taking JAK inhibitors with rheumatoid arthritis or inflammatory bowel disease</w:t>
      </w:r>
      <w:r>
        <w:rPr>
          <w:rStyle w:val="FootnoteReference"/>
          <w:iCs/>
        </w:rPr>
        <w:footnoteReference w:id="4"/>
      </w:r>
      <w:r>
        <w:rPr>
          <w:iCs/>
        </w:rPr>
        <w:t>.</w:t>
      </w:r>
    </w:p>
    <w:p w14:paraId="6538DC52" w14:textId="77777777" w:rsidR="00D73D20" w:rsidRPr="00AD7238" w:rsidRDefault="00D73D20">
      <w:pPr>
        <w:pStyle w:val="4-SubsectionHeading"/>
      </w:pPr>
      <w:bookmarkStart w:id="76" w:name="_Toc22897648"/>
      <w:bookmarkStart w:id="77" w:name="_Toc124949420"/>
      <w:r w:rsidRPr="00AD7238">
        <w:t>Quality Use of Medicines</w:t>
      </w:r>
      <w:bookmarkEnd w:id="76"/>
      <w:bookmarkEnd w:id="77"/>
    </w:p>
    <w:p w14:paraId="51691B3E" w14:textId="3A2EBE4D" w:rsidR="00D73D20" w:rsidRDefault="00D73D20" w:rsidP="00D73D20">
      <w:pPr>
        <w:pStyle w:val="3-BodyText"/>
      </w:pPr>
      <w:r w:rsidRPr="00AD7238">
        <w:t xml:space="preserve">The </w:t>
      </w:r>
      <w:r w:rsidR="00F40635" w:rsidRPr="00AD7238">
        <w:t>re</w:t>
      </w:r>
      <w:r w:rsidRPr="00AD7238">
        <w:t xml:space="preserve">submission indicated that ongoing educational support and materials, including working with jurisdictions and supporting and sponsoring immunisation provider educational initiatives will continue. </w:t>
      </w:r>
    </w:p>
    <w:p w14:paraId="78B46429" w14:textId="77777777" w:rsidR="00CC3A23" w:rsidRPr="00CC3A23" w:rsidRDefault="00CC3A23" w:rsidP="00CC3A23">
      <w:pPr>
        <w:ind w:firstLine="720"/>
        <w:rPr>
          <w:i/>
          <w:iCs/>
        </w:rPr>
      </w:pPr>
      <w:r w:rsidRPr="00CC3A23">
        <w:rPr>
          <w:i/>
          <w:iCs/>
        </w:rPr>
        <w:t>For more detail on PBAC’s view, see section 7 PBAC outcome.</w:t>
      </w:r>
    </w:p>
    <w:p w14:paraId="580D48F6" w14:textId="77777777" w:rsidR="0087771F" w:rsidRPr="0090150D" w:rsidRDefault="0087771F" w:rsidP="00441995">
      <w:pPr>
        <w:pStyle w:val="2-SectionHeading"/>
      </w:pPr>
      <w:bookmarkStart w:id="78" w:name="_Hlk76381249"/>
      <w:bookmarkStart w:id="79" w:name="_Hlk76377955"/>
      <w:r w:rsidRPr="0090150D">
        <w:t>PBAC Outcome</w:t>
      </w:r>
    </w:p>
    <w:p w14:paraId="0B973FC2" w14:textId="56A90F22" w:rsidR="002E5370" w:rsidRPr="006E790F" w:rsidRDefault="00E7382A" w:rsidP="00011840">
      <w:pPr>
        <w:widowControl w:val="0"/>
        <w:numPr>
          <w:ilvl w:val="1"/>
          <w:numId w:val="1"/>
        </w:numPr>
        <w:spacing w:after="120"/>
        <w:rPr>
          <w:rFonts w:asciiTheme="minorHAnsi" w:hAnsiTheme="minorHAnsi"/>
          <w:snapToGrid w:val="0"/>
          <w:lang w:val="en-GB"/>
        </w:rPr>
      </w:pPr>
      <w:bookmarkStart w:id="80" w:name="_Hlk111543188"/>
      <w:r w:rsidRPr="00E7382A">
        <w:rPr>
          <w:rFonts w:asciiTheme="minorHAnsi" w:hAnsiTheme="minorHAnsi"/>
          <w:snapToGrid w:val="0"/>
          <w:lang w:val="en-GB"/>
        </w:rPr>
        <w:t>The PBAC recommended that varicella virus recombinant vaccine (</w:t>
      </w:r>
      <w:r w:rsidR="00B049B3">
        <w:rPr>
          <w:rFonts w:asciiTheme="minorHAnsi" w:hAnsiTheme="minorHAnsi"/>
          <w:snapToGrid w:val="0"/>
          <w:lang w:val="en-GB"/>
        </w:rPr>
        <w:t>RZV</w:t>
      </w:r>
      <w:r w:rsidR="00ED43D7">
        <w:rPr>
          <w:rFonts w:asciiTheme="minorHAnsi" w:hAnsiTheme="minorHAnsi"/>
          <w:snapToGrid w:val="0"/>
          <w:lang w:val="en-GB"/>
        </w:rPr>
        <w:t>, Shingrix</w:t>
      </w:r>
      <w:r w:rsidRPr="00E7382A">
        <w:rPr>
          <w:rFonts w:asciiTheme="minorHAnsi" w:hAnsiTheme="minorHAnsi"/>
          <w:snapToGrid w:val="0"/>
          <w:lang w:val="en-GB"/>
        </w:rPr>
        <w:t>) be a designated vaccine for the purposes of the National Health Act 1953, for the prevention of herpes zoster (HZ) and post-herpetic neuralgia</w:t>
      </w:r>
      <w:r w:rsidR="00DD64FC">
        <w:rPr>
          <w:rFonts w:asciiTheme="minorHAnsi" w:hAnsiTheme="minorHAnsi"/>
          <w:snapToGrid w:val="0"/>
          <w:lang w:val="en-GB"/>
        </w:rPr>
        <w:t xml:space="preserve"> (PHN)</w:t>
      </w:r>
      <w:r w:rsidRPr="00E7382A">
        <w:rPr>
          <w:rFonts w:asciiTheme="minorHAnsi" w:hAnsiTheme="minorHAnsi"/>
          <w:snapToGrid w:val="0"/>
          <w:lang w:val="en-GB"/>
        </w:rPr>
        <w:t>. The PBAC considered the range of incremental cost effectiveness ratios</w:t>
      </w:r>
      <w:r w:rsidR="00B128F3">
        <w:rPr>
          <w:rFonts w:asciiTheme="minorHAnsi" w:hAnsiTheme="minorHAnsi"/>
          <w:snapToGrid w:val="0"/>
          <w:lang w:val="en-GB"/>
        </w:rPr>
        <w:t xml:space="preserve"> (ICERs)</w:t>
      </w:r>
      <w:r w:rsidRPr="00E7382A">
        <w:rPr>
          <w:rFonts w:asciiTheme="minorHAnsi" w:hAnsiTheme="minorHAnsi"/>
          <w:snapToGrid w:val="0"/>
          <w:lang w:val="en-GB"/>
        </w:rPr>
        <w:t xml:space="preserve"> presented in the resubmission were acceptable at the price requested in the resubmission ($</w:t>
      </w:r>
      <w:r w:rsidR="00BA039D" w:rsidRPr="00BA039D">
        <w:rPr>
          <w:rFonts w:asciiTheme="minorHAnsi" w:hAnsiTheme="minorHAnsi"/>
          <w:snapToGrid w:val="0"/>
          <w:color w:val="000000"/>
          <w:w w:val="21"/>
          <w:shd w:val="solid" w:color="000000" w:fill="000000"/>
          <w:fitText w:val="72" w:id="-1233441778"/>
          <w:lang w:val="en-GB"/>
          <w14:textFill>
            <w14:solidFill>
              <w14:srgbClr w14:val="000000">
                <w14:alpha w14:val="100000"/>
              </w14:srgbClr>
            </w14:solidFill>
          </w14:textFill>
        </w:rPr>
        <w:t xml:space="preserve">|  </w:t>
      </w:r>
      <w:r w:rsidR="00BA039D" w:rsidRPr="00BA039D">
        <w:rPr>
          <w:rFonts w:asciiTheme="minorHAnsi" w:hAnsiTheme="minorHAnsi"/>
          <w:snapToGrid w:val="0"/>
          <w:color w:val="000000"/>
          <w:spacing w:val="2"/>
          <w:w w:val="21"/>
          <w:shd w:val="solid" w:color="000000" w:fill="000000"/>
          <w:fitText w:val="72" w:id="-1233441778"/>
          <w:lang w:val="en-GB"/>
          <w14:textFill>
            <w14:solidFill>
              <w14:srgbClr w14:val="000000">
                <w14:alpha w14:val="100000"/>
              </w14:srgbClr>
            </w14:solidFill>
          </w14:textFill>
        </w:rPr>
        <w:t>|</w:t>
      </w:r>
      <w:r w:rsidRPr="00E7382A">
        <w:rPr>
          <w:rFonts w:asciiTheme="minorHAnsi" w:hAnsiTheme="minorHAnsi"/>
          <w:snapToGrid w:val="0"/>
          <w:lang w:val="en-GB"/>
        </w:rPr>
        <w:t xml:space="preserve"> per dose) for non-Indigenous individuals </w:t>
      </w:r>
      <w:r w:rsidRPr="006E790F">
        <w:rPr>
          <w:rFonts w:asciiTheme="minorHAnsi" w:hAnsiTheme="minorHAnsi"/>
          <w:snapToGrid w:val="0"/>
          <w:lang w:val="en-GB"/>
        </w:rPr>
        <w:t xml:space="preserve">aged 70 years, Aboriginal and Torres Strait Islander individuals aged ≥ 50 years and immunocompromised individuals aged ≥ 18 years </w:t>
      </w:r>
      <w:r w:rsidR="00B128F3" w:rsidRPr="006E790F">
        <w:rPr>
          <w:rFonts w:asciiTheme="minorHAnsi" w:hAnsiTheme="minorHAnsi"/>
          <w:snapToGrid w:val="0"/>
          <w:lang w:val="en-GB"/>
        </w:rPr>
        <w:t xml:space="preserve">with conditions </w:t>
      </w:r>
      <w:r w:rsidRPr="006E790F">
        <w:rPr>
          <w:rFonts w:asciiTheme="minorHAnsi" w:hAnsiTheme="minorHAnsi"/>
          <w:snapToGrid w:val="0"/>
          <w:lang w:val="en-GB"/>
        </w:rPr>
        <w:t>at high risk of HZ infection</w:t>
      </w:r>
      <w:r w:rsidR="006F6D32" w:rsidRPr="006E790F">
        <w:rPr>
          <w:rFonts w:asciiTheme="minorHAnsi" w:hAnsiTheme="minorHAnsi"/>
          <w:snapToGrid w:val="0"/>
          <w:lang w:val="en-GB"/>
        </w:rPr>
        <w:t xml:space="preserve"> (as defined by ATAGI)</w:t>
      </w:r>
      <w:r w:rsidR="003521E4" w:rsidRPr="006E790F">
        <w:rPr>
          <w:rFonts w:asciiTheme="minorHAnsi" w:hAnsiTheme="minorHAnsi"/>
          <w:snapToGrid w:val="0"/>
          <w:lang w:val="en-GB"/>
        </w:rPr>
        <w:t xml:space="preserve">. </w:t>
      </w:r>
    </w:p>
    <w:p w14:paraId="743AE3A4" w14:textId="47182BF7" w:rsidR="002E5370" w:rsidRDefault="004543CD" w:rsidP="00011840">
      <w:pPr>
        <w:widowControl w:val="0"/>
        <w:numPr>
          <w:ilvl w:val="1"/>
          <w:numId w:val="1"/>
        </w:numPr>
        <w:spacing w:after="120"/>
        <w:rPr>
          <w:rFonts w:asciiTheme="minorHAnsi" w:hAnsiTheme="minorHAnsi"/>
          <w:snapToGrid w:val="0"/>
          <w:lang w:val="en-GB"/>
        </w:rPr>
      </w:pPr>
      <w:r w:rsidRPr="009A47A5">
        <w:rPr>
          <w:rFonts w:asciiTheme="minorHAnsi" w:hAnsiTheme="minorHAnsi"/>
          <w:snapToGrid w:val="0"/>
          <w:lang w:val="en-GB"/>
        </w:rPr>
        <w:t xml:space="preserve">The PBAC deferred a decision for the broader population of immunocompromised individuals aged ≥ 18 years at </w:t>
      </w:r>
      <w:r w:rsidR="00B75525">
        <w:rPr>
          <w:rFonts w:asciiTheme="minorHAnsi" w:hAnsiTheme="minorHAnsi"/>
          <w:snapToGrid w:val="0"/>
          <w:lang w:val="en-GB"/>
        </w:rPr>
        <w:t xml:space="preserve">increased </w:t>
      </w:r>
      <w:r w:rsidRPr="009A47A5">
        <w:rPr>
          <w:rFonts w:asciiTheme="minorHAnsi" w:hAnsiTheme="minorHAnsi"/>
          <w:snapToGrid w:val="0"/>
          <w:lang w:val="en-GB"/>
        </w:rPr>
        <w:t xml:space="preserve">risk of HZ infection to seek further ATAGI advice on the appropriate </w:t>
      </w:r>
      <w:r w:rsidR="00776950">
        <w:rPr>
          <w:rFonts w:asciiTheme="minorHAnsi" w:hAnsiTheme="minorHAnsi"/>
          <w:snapToGrid w:val="0"/>
          <w:lang w:val="en-GB"/>
        </w:rPr>
        <w:t>definition of this population</w:t>
      </w:r>
      <w:r w:rsidRPr="009A47A5">
        <w:rPr>
          <w:rFonts w:asciiTheme="minorHAnsi" w:hAnsiTheme="minorHAnsi"/>
          <w:snapToGrid w:val="0"/>
          <w:lang w:val="en-GB"/>
        </w:rPr>
        <w:t xml:space="preserve">. </w:t>
      </w:r>
      <w:r w:rsidR="0021688C">
        <w:rPr>
          <w:rFonts w:asciiTheme="minorHAnsi" w:hAnsiTheme="minorHAnsi"/>
          <w:snapToGrid w:val="0"/>
          <w:lang w:val="en-GB"/>
        </w:rPr>
        <w:t>VZ</w:t>
      </w:r>
    </w:p>
    <w:p w14:paraId="3531E847" w14:textId="4A2429A1" w:rsidR="00E7382A" w:rsidRPr="001A42A4" w:rsidRDefault="003521E4" w:rsidP="001A42A4">
      <w:pPr>
        <w:widowControl w:val="0"/>
        <w:numPr>
          <w:ilvl w:val="1"/>
          <w:numId w:val="1"/>
        </w:numPr>
        <w:spacing w:after="120"/>
        <w:rPr>
          <w:rFonts w:asciiTheme="minorHAnsi" w:hAnsiTheme="minorHAnsi"/>
          <w:b/>
          <w:bCs/>
          <w:snapToGrid w:val="0"/>
        </w:rPr>
      </w:pPr>
      <w:r w:rsidRPr="009A47A5">
        <w:rPr>
          <w:rFonts w:asciiTheme="minorHAnsi" w:hAnsiTheme="minorHAnsi"/>
          <w:snapToGrid w:val="0"/>
          <w:lang w:val="en-GB"/>
        </w:rPr>
        <w:t xml:space="preserve">The PBAC </w:t>
      </w:r>
      <w:r w:rsidR="0078036E" w:rsidRPr="009A47A5">
        <w:rPr>
          <w:rFonts w:asciiTheme="minorHAnsi" w:hAnsiTheme="minorHAnsi"/>
          <w:snapToGrid w:val="0"/>
          <w:lang w:val="en-GB"/>
        </w:rPr>
        <w:t>did not recommend RZV for non-Indigenous individuals aged 65 to 69 years</w:t>
      </w:r>
      <w:r w:rsidRPr="009A47A5">
        <w:rPr>
          <w:rFonts w:asciiTheme="minorHAnsi" w:hAnsiTheme="minorHAnsi"/>
          <w:snapToGrid w:val="0"/>
          <w:lang w:val="en-GB"/>
        </w:rPr>
        <w:t xml:space="preserve"> and </w:t>
      </w:r>
      <w:r w:rsidR="0078036E" w:rsidRPr="009A47A5">
        <w:rPr>
          <w:rFonts w:asciiTheme="minorHAnsi" w:hAnsiTheme="minorHAnsi"/>
          <w:snapToGrid w:val="0"/>
          <w:lang w:val="en-GB"/>
        </w:rPr>
        <w:t>individuals aged ≥ 71 years</w:t>
      </w:r>
      <w:r w:rsidRPr="00011840">
        <w:rPr>
          <w:rFonts w:asciiTheme="minorHAnsi" w:hAnsiTheme="minorHAnsi"/>
          <w:snapToGrid w:val="0"/>
          <w:lang w:val="en-GB"/>
        </w:rPr>
        <w:t>.</w:t>
      </w:r>
      <w:r w:rsidR="0078036E" w:rsidRPr="00011840">
        <w:rPr>
          <w:rFonts w:asciiTheme="minorHAnsi" w:hAnsiTheme="minorHAnsi"/>
          <w:snapToGrid w:val="0"/>
          <w:lang w:val="en-GB"/>
        </w:rPr>
        <w:t xml:space="preserve"> The PBAC noted that these populations were of lower clinical priority and represented a high volume of doses (</w:t>
      </w:r>
      <w:r w:rsidR="001A42A4">
        <w:rPr>
          <w:rFonts w:asciiTheme="minorHAnsi" w:hAnsiTheme="minorHAnsi"/>
          <w:snapToGrid w:val="0"/>
        </w:rPr>
        <w:t>5</w:t>
      </w:r>
      <w:r w:rsidR="001A42A4" w:rsidRPr="001A42A4">
        <w:rPr>
          <w:rFonts w:asciiTheme="minorHAnsi" w:hAnsiTheme="minorHAnsi"/>
          <w:snapToGrid w:val="0"/>
        </w:rPr>
        <w:t>,000,000 to &lt; 6,000,000</w:t>
      </w:r>
      <w:r w:rsidR="001A42A4">
        <w:rPr>
          <w:rFonts w:asciiTheme="minorHAnsi" w:hAnsiTheme="minorHAnsi"/>
          <w:b/>
          <w:bCs/>
          <w:snapToGrid w:val="0"/>
        </w:rPr>
        <w:t xml:space="preserve"> </w:t>
      </w:r>
      <w:r w:rsidR="0078036E" w:rsidRPr="001A42A4">
        <w:rPr>
          <w:rFonts w:asciiTheme="minorHAnsi" w:hAnsiTheme="minorHAnsi"/>
          <w:snapToGrid w:val="0"/>
          <w:lang w:val="en-GB"/>
        </w:rPr>
        <w:t xml:space="preserve">doses </w:t>
      </w:r>
      <w:r w:rsidR="0053150F" w:rsidRPr="001A42A4">
        <w:rPr>
          <w:rFonts w:asciiTheme="minorHAnsi" w:hAnsiTheme="minorHAnsi"/>
          <w:snapToGrid w:val="0"/>
          <w:lang w:val="en-GB"/>
        </w:rPr>
        <w:t xml:space="preserve">over 6 years </w:t>
      </w:r>
      <w:r w:rsidR="0078036E" w:rsidRPr="001A42A4">
        <w:rPr>
          <w:rFonts w:asciiTheme="minorHAnsi" w:hAnsiTheme="minorHAnsi"/>
          <w:snapToGrid w:val="0"/>
          <w:lang w:val="en-GB"/>
        </w:rPr>
        <w:t xml:space="preserve">with an associated cost of </w:t>
      </w:r>
      <w:r w:rsidR="001A42A4" w:rsidRPr="001A42A4">
        <w:rPr>
          <w:rFonts w:asciiTheme="minorHAnsi" w:hAnsiTheme="minorHAnsi"/>
          <w:snapToGrid w:val="0"/>
        </w:rPr>
        <w:t>$900 million to &lt; $1 billion</w:t>
      </w:r>
      <w:r w:rsidR="009A47A5" w:rsidRPr="001A42A4">
        <w:rPr>
          <w:rFonts w:asciiTheme="minorHAnsi" w:hAnsiTheme="minorHAnsi"/>
          <w:snapToGrid w:val="0"/>
          <w:lang w:val="en-GB"/>
        </w:rPr>
        <w:t xml:space="preserve">). </w:t>
      </w:r>
      <w:r w:rsidR="0078036E" w:rsidRPr="001A42A4">
        <w:rPr>
          <w:rFonts w:asciiTheme="minorHAnsi" w:hAnsiTheme="minorHAnsi"/>
          <w:snapToGrid w:val="0"/>
          <w:lang w:val="en-GB"/>
        </w:rPr>
        <w:t xml:space="preserve">In the context of the total cost, the PBAC considered the extent of uncertainty regarding the cost-effectiveness of RZV to be too high. </w:t>
      </w:r>
      <w:r w:rsidR="00E7382A" w:rsidRPr="001A42A4">
        <w:rPr>
          <w:rFonts w:asciiTheme="minorHAnsi" w:hAnsiTheme="minorHAnsi"/>
          <w:snapToGrid w:val="0"/>
          <w:lang w:val="en-GB"/>
        </w:rPr>
        <w:t xml:space="preserve"> </w:t>
      </w:r>
    </w:p>
    <w:p w14:paraId="4EDF2A20" w14:textId="7E8DC88F" w:rsidR="00755E2D" w:rsidRPr="00C262E9" w:rsidRDefault="00C262E9" w:rsidP="0087771F">
      <w:pPr>
        <w:widowControl w:val="0"/>
        <w:numPr>
          <w:ilvl w:val="1"/>
          <w:numId w:val="1"/>
        </w:numPr>
        <w:spacing w:after="120"/>
        <w:rPr>
          <w:rFonts w:asciiTheme="minorHAnsi" w:hAnsiTheme="minorHAnsi"/>
          <w:snapToGrid w:val="0"/>
          <w:lang w:val="en-GB"/>
        </w:rPr>
      </w:pPr>
      <w:r w:rsidRPr="00C262E9">
        <w:rPr>
          <w:rFonts w:asciiTheme="minorHAnsi" w:hAnsiTheme="minorHAnsi"/>
          <w:snapToGrid w:val="0"/>
          <w:lang w:val="en-GB"/>
        </w:rPr>
        <w:t xml:space="preserve">The PBAC noted the consumer comments were highly supportive of including RZV on the NIP. </w:t>
      </w:r>
      <w:r>
        <w:rPr>
          <w:rFonts w:asciiTheme="minorHAnsi" w:hAnsiTheme="minorHAnsi"/>
          <w:snapToGrid w:val="0"/>
          <w:lang w:val="en-GB"/>
        </w:rPr>
        <w:t xml:space="preserve">The PBAC noted the burden of HZ and its complications and the importance of having a safe and effective vaccine available that can be used in immunocompromised individuals. </w:t>
      </w:r>
      <w:r w:rsidR="009172B8">
        <w:rPr>
          <w:rFonts w:asciiTheme="minorHAnsi" w:hAnsiTheme="minorHAnsi"/>
          <w:snapToGrid w:val="0"/>
          <w:lang w:val="en-GB"/>
        </w:rPr>
        <w:t xml:space="preserve">The PBAC noted a number of comments raised the equity issues associated with the high </w:t>
      </w:r>
      <w:r w:rsidR="009172B8" w:rsidRPr="006E790F">
        <w:rPr>
          <w:rFonts w:asciiTheme="minorHAnsi" w:hAnsiTheme="minorHAnsi"/>
          <w:snapToGrid w:val="0"/>
          <w:lang w:val="en-GB"/>
        </w:rPr>
        <w:t>cost of RZ</w:t>
      </w:r>
      <w:r w:rsidR="004A6F9C" w:rsidRPr="006E790F">
        <w:rPr>
          <w:rFonts w:asciiTheme="minorHAnsi" w:hAnsiTheme="minorHAnsi"/>
          <w:snapToGrid w:val="0"/>
          <w:lang w:val="en-GB"/>
        </w:rPr>
        <w:t>V</w:t>
      </w:r>
      <w:r w:rsidR="009172B8" w:rsidRPr="006E790F">
        <w:rPr>
          <w:rFonts w:asciiTheme="minorHAnsi" w:hAnsiTheme="minorHAnsi"/>
          <w:snapToGrid w:val="0"/>
          <w:lang w:val="en-GB"/>
        </w:rPr>
        <w:t xml:space="preserve"> on the private</w:t>
      </w:r>
      <w:r w:rsidR="009172B8">
        <w:rPr>
          <w:rFonts w:asciiTheme="minorHAnsi" w:hAnsiTheme="minorHAnsi"/>
          <w:snapToGrid w:val="0"/>
          <w:lang w:val="en-GB"/>
        </w:rPr>
        <w:t xml:space="preserve"> market.   </w:t>
      </w:r>
    </w:p>
    <w:p w14:paraId="4E1C092C" w14:textId="7802D998" w:rsidR="0075343E" w:rsidRDefault="0075343E" w:rsidP="0075343E">
      <w:pPr>
        <w:widowControl w:val="0"/>
        <w:numPr>
          <w:ilvl w:val="1"/>
          <w:numId w:val="1"/>
        </w:numPr>
        <w:spacing w:after="120"/>
        <w:rPr>
          <w:rFonts w:asciiTheme="minorHAnsi" w:hAnsiTheme="minorHAnsi"/>
          <w:snapToGrid w:val="0"/>
          <w:lang w:val="en-GB"/>
        </w:rPr>
      </w:pPr>
      <w:bookmarkStart w:id="81" w:name="_Ref130831813"/>
      <w:r w:rsidRPr="00C262E9">
        <w:rPr>
          <w:rFonts w:asciiTheme="minorHAnsi" w:hAnsiTheme="minorHAnsi"/>
          <w:snapToGrid w:val="0"/>
          <w:lang w:val="en-GB"/>
        </w:rPr>
        <w:t>The PBAC</w:t>
      </w:r>
      <w:r>
        <w:rPr>
          <w:rFonts w:asciiTheme="minorHAnsi" w:hAnsiTheme="minorHAnsi"/>
          <w:snapToGrid w:val="0"/>
          <w:lang w:val="en-GB"/>
        </w:rPr>
        <w:t xml:space="preserve"> noted the resubmission requested inclusion on the NIP for non-Indigenous individuals aged 65 years with an ongoing catch up program </w:t>
      </w:r>
      <w:r w:rsidR="003C5B0F">
        <w:rPr>
          <w:rFonts w:asciiTheme="minorHAnsi" w:hAnsiTheme="minorHAnsi"/>
          <w:snapToGrid w:val="0"/>
          <w:lang w:val="en-GB"/>
        </w:rPr>
        <w:t xml:space="preserve">for people aged 66 years and over </w:t>
      </w:r>
      <w:r>
        <w:rPr>
          <w:rFonts w:asciiTheme="minorHAnsi" w:hAnsiTheme="minorHAnsi"/>
          <w:snapToGrid w:val="0"/>
          <w:lang w:val="en-GB"/>
        </w:rPr>
        <w:t xml:space="preserve">and for Aboriginal and Torres Strait Islander individuals aged 50 years with </w:t>
      </w:r>
      <w:r>
        <w:rPr>
          <w:rFonts w:asciiTheme="minorHAnsi" w:hAnsiTheme="minorHAnsi"/>
          <w:snapToGrid w:val="0"/>
          <w:lang w:val="en-GB"/>
        </w:rPr>
        <w:lastRenderedPageBreak/>
        <w:t>an ongoing catch up program</w:t>
      </w:r>
      <w:r w:rsidR="003C5B0F">
        <w:rPr>
          <w:rFonts w:asciiTheme="minorHAnsi" w:hAnsiTheme="minorHAnsi"/>
          <w:snapToGrid w:val="0"/>
          <w:lang w:val="en-GB"/>
        </w:rPr>
        <w:t xml:space="preserve"> for people aged 51 years and over</w:t>
      </w:r>
      <w:r>
        <w:rPr>
          <w:rFonts w:asciiTheme="minorHAnsi" w:hAnsiTheme="minorHAnsi"/>
          <w:snapToGrid w:val="0"/>
          <w:lang w:val="en-GB"/>
        </w:rPr>
        <w:t>.</w:t>
      </w:r>
      <w:bookmarkEnd w:id="81"/>
      <w:r>
        <w:rPr>
          <w:rFonts w:asciiTheme="minorHAnsi" w:hAnsiTheme="minorHAnsi"/>
          <w:snapToGrid w:val="0"/>
          <w:lang w:val="en-GB"/>
        </w:rPr>
        <w:t xml:space="preserve">  </w:t>
      </w:r>
    </w:p>
    <w:p w14:paraId="2FCAD7E6" w14:textId="74B7C666" w:rsidR="004A058E" w:rsidRPr="006E790F" w:rsidRDefault="004A058E" w:rsidP="004A058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while immunocompromised individuals </w:t>
      </w:r>
      <w:r w:rsidR="000A1592">
        <w:rPr>
          <w:rFonts w:asciiTheme="minorHAnsi" w:hAnsiTheme="minorHAnsi"/>
          <w:snapToGrid w:val="0"/>
          <w:lang w:val="en-GB"/>
        </w:rPr>
        <w:t>who</w:t>
      </w:r>
      <w:r>
        <w:rPr>
          <w:rFonts w:asciiTheme="minorHAnsi" w:hAnsiTheme="minorHAnsi"/>
          <w:snapToGrid w:val="0"/>
          <w:lang w:val="en-GB"/>
        </w:rPr>
        <w:t xml:space="preserve"> meet the age criteria in paragraph </w:t>
      </w:r>
      <w:r w:rsidR="00C262E9">
        <w:rPr>
          <w:rFonts w:asciiTheme="minorHAnsi" w:hAnsiTheme="minorHAnsi"/>
          <w:snapToGrid w:val="0"/>
          <w:highlight w:val="green"/>
          <w:lang w:val="en-GB"/>
        </w:rPr>
        <w:fldChar w:fldCharType="begin" w:fldLock="1"/>
      </w:r>
      <w:r w:rsidR="00C262E9">
        <w:rPr>
          <w:rFonts w:asciiTheme="minorHAnsi" w:hAnsiTheme="minorHAnsi"/>
          <w:snapToGrid w:val="0"/>
          <w:lang w:val="en-GB"/>
        </w:rPr>
        <w:instrText xml:space="preserve"> REF _Ref130831813 \r \h </w:instrText>
      </w:r>
      <w:r w:rsidR="00C262E9">
        <w:rPr>
          <w:rFonts w:asciiTheme="minorHAnsi" w:hAnsiTheme="minorHAnsi"/>
          <w:snapToGrid w:val="0"/>
          <w:highlight w:val="green"/>
          <w:lang w:val="en-GB"/>
        </w:rPr>
      </w:r>
      <w:r w:rsidR="00C262E9">
        <w:rPr>
          <w:rFonts w:asciiTheme="minorHAnsi" w:hAnsiTheme="minorHAnsi"/>
          <w:snapToGrid w:val="0"/>
          <w:highlight w:val="green"/>
          <w:lang w:val="en-GB"/>
        </w:rPr>
        <w:fldChar w:fldCharType="separate"/>
      </w:r>
      <w:r w:rsidR="00602E99">
        <w:rPr>
          <w:rFonts w:asciiTheme="minorHAnsi" w:hAnsiTheme="minorHAnsi"/>
          <w:snapToGrid w:val="0"/>
          <w:lang w:val="en-GB"/>
        </w:rPr>
        <w:t>7.5</w:t>
      </w:r>
      <w:r w:rsidR="00C262E9">
        <w:rPr>
          <w:rFonts w:asciiTheme="minorHAnsi" w:hAnsiTheme="minorHAnsi"/>
          <w:snapToGrid w:val="0"/>
          <w:highlight w:val="green"/>
          <w:lang w:val="en-GB"/>
        </w:rPr>
        <w:fldChar w:fldCharType="end"/>
      </w:r>
      <w:r w:rsidR="00C262E9">
        <w:rPr>
          <w:rFonts w:asciiTheme="minorHAnsi" w:hAnsiTheme="minorHAnsi"/>
          <w:snapToGrid w:val="0"/>
          <w:lang w:val="en-GB"/>
        </w:rPr>
        <w:t xml:space="preserve"> </w:t>
      </w:r>
      <w:r>
        <w:rPr>
          <w:rFonts w:asciiTheme="minorHAnsi" w:hAnsiTheme="minorHAnsi"/>
          <w:snapToGrid w:val="0"/>
          <w:lang w:val="en-GB"/>
        </w:rPr>
        <w:t xml:space="preserve">would be eligible for </w:t>
      </w:r>
      <w:r w:rsidR="00B049B3">
        <w:rPr>
          <w:rFonts w:asciiTheme="minorHAnsi" w:hAnsiTheme="minorHAnsi"/>
          <w:snapToGrid w:val="0"/>
          <w:lang w:val="en-GB"/>
        </w:rPr>
        <w:t>RZV</w:t>
      </w:r>
      <w:r w:rsidR="00776950">
        <w:rPr>
          <w:rFonts w:asciiTheme="minorHAnsi" w:hAnsiTheme="minorHAnsi"/>
          <w:snapToGrid w:val="0"/>
          <w:lang w:val="en-GB"/>
        </w:rPr>
        <w:t>,</w:t>
      </w:r>
      <w:r>
        <w:rPr>
          <w:rFonts w:asciiTheme="minorHAnsi" w:hAnsiTheme="minorHAnsi"/>
          <w:snapToGrid w:val="0"/>
          <w:lang w:val="en-GB"/>
        </w:rPr>
        <w:t xml:space="preserve"> the resubmission did </w:t>
      </w:r>
      <w:r w:rsidR="00176425">
        <w:rPr>
          <w:rFonts w:asciiTheme="minorHAnsi" w:hAnsiTheme="minorHAnsi"/>
          <w:snapToGrid w:val="0"/>
          <w:lang w:val="en-GB"/>
        </w:rPr>
        <w:t xml:space="preserve">not present an </w:t>
      </w:r>
      <w:r w:rsidR="00176425" w:rsidRPr="006E790F">
        <w:rPr>
          <w:rFonts w:asciiTheme="minorHAnsi" w:hAnsiTheme="minorHAnsi"/>
          <w:snapToGrid w:val="0"/>
          <w:lang w:val="en-GB"/>
        </w:rPr>
        <w:t xml:space="preserve">economic evaluation for </w:t>
      </w:r>
      <w:r w:rsidRPr="006E790F">
        <w:rPr>
          <w:rFonts w:asciiTheme="minorHAnsi" w:hAnsiTheme="minorHAnsi"/>
          <w:snapToGrid w:val="0"/>
          <w:lang w:val="en-GB"/>
        </w:rPr>
        <w:t>younger immunocompr</w:t>
      </w:r>
      <w:r w:rsidR="00B049B3" w:rsidRPr="006E790F">
        <w:rPr>
          <w:rFonts w:asciiTheme="minorHAnsi" w:hAnsiTheme="minorHAnsi"/>
          <w:snapToGrid w:val="0"/>
          <w:lang w:val="en-GB"/>
        </w:rPr>
        <w:t>om</w:t>
      </w:r>
      <w:r w:rsidRPr="006E790F">
        <w:rPr>
          <w:rFonts w:asciiTheme="minorHAnsi" w:hAnsiTheme="minorHAnsi"/>
          <w:snapToGrid w:val="0"/>
          <w:lang w:val="en-GB"/>
        </w:rPr>
        <w:t xml:space="preserve">ised individuals (i.e., non-Indigenous people aged 18 to 64 years or Aboriginal and Torres Strait Islander people aged 18 to 49 years). Rather, the resubmission </w:t>
      </w:r>
      <w:r w:rsidR="005159D7" w:rsidRPr="006E790F">
        <w:rPr>
          <w:rFonts w:asciiTheme="minorHAnsi" w:hAnsiTheme="minorHAnsi"/>
          <w:snapToGrid w:val="0"/>
          <w:lang w:val="en-GB"/>
        </w:rPr>
        <w:t>stated that i</w:t>
      </w:r>
      <w:r w:rsidR="00B049B3" w:rsidRPr="006E790F">
        <w:rPr>
          <w:rFonts w:asciiTheme="minorHAnsi" w:hAnsiTheme="minorHAnsi"/>
          <w:snapToGrid w:val="0"/>
          <w:lang w:val="en-GB"/>
        </w:rPr>
        <w:t>t</w:t>
      </w:r>
      <w:r w:rsidR="005159D7" w:rsidRPr="006E790F">
        <w:rPr>
          <w:rFonts w:asciiTheme="minorHAnsi" w:hAnsiTheme="minorHAnsi"/>
          <w:snapToGrid w:val="0"/>
          <w:lang w:val="en-GB"/>
        </w:rPr>
        <w:t xml:space="preserve"> could be assumed that the </w:t>
      </w:r>
      <w:r w:rsidRPr="006E790F">
        <w:rPr>
          <w:rFonts w:asciiTheme="minorHAnsi" w:hAnsiTheme="minorHAnsi"/>
          <w:snapToGrid w:val="0"/>
          <w:lang w:val="en-GB"/>
        </w:rPr>
        <w:t xml:space="preserve">cost effectiveness </w:t>
      </w:r>
      <w:r w:rsidR="005159D7" w:rsidRPr="006E790F">
        <w:rPr>
          <w:rFonts w:asciiTheme="minorHAnsi" w:hAnsiTheme="minorHAnsi"/>
          <w:snapToGrid w:val="0"/>
          <w:lang w:val="en-GB"/>
        </w:rPr>
        <w:t>of RZV in th</w:t>
      </w:r>
      <w:r w:rsidR="003C5B0F" w:rsidRPr="006E790F">
        <w:rPr>
          <w:rFonts w:asciiTheme="minorHAnsi" w:hAnsiTheme="minorHAnsi"/>
          <w:snapToGrid w:val="0"/>
          <w:lang w:val="en-GB"/>
        </w:rPr>
        <w:t>e requested NIP</w:t>
      </w:r>
      <w:r w:rsidR="005159D7" w:rsidRPr="006E790F">
        <w:rPr>
          <w:rFonts w:asciiTheme="minorHAnsi" w:hAnsiTheme="minorHAnsi"/>
          <w:snapToGrid w:val="0"/>
          <w:lang w:val="en-GB"/>
        </w:rPr>
        <w:t xml:space="preserve"> population would be </w:t>
      </w:r>
      <w:r w:rsidR="003C5B0F" w:rsidRPr="006E790F">
        <w:rPr>
          <w:rFonts w:asciiTheme="minorHAnsi" w:hAnsiTheme="minorHAnsi"/>
          <w:snapToGrid w:val="0"/>
          <w:lang w:val="en-GB"/>
        </w:rPr>
        <w:t xml:space="preserve">applicable to the immunocompromised </w:t>
      </w:r>
      <w:r w:rsidRPr="006E790F">
        <w:rPr>
          <w:rFonts w:asciiTheme="minorHAnsi" w:hAnsiTheme="minorHAnsi"/>
          <w:snapToGrid w:val="0"/>
          <w:lang w:val="en-GB"/>
        </w:rPr>
        <w:t>population</w:t>
      </w:r>
      <w:r w:rsidR="003C5B0F" w:rsidRPr="006E790F">
        <w:rPr>
          <w:rFonts w:asciiTheme="minorHAnsi" w:hAnsiTheme="minorHAnsi"/>
          <w:snapToGrid w:val="0"/>
          <w:lang w:val="en-GB"/>
        </w:rPr>
        <w:t xml:space="preserve"> at a younger age threshold </w:t>
      </w:r>
      <w:r w:rsidR="003C5B0F" w:rsidRPr="006E790F">
        <w:t>with similar or greater risk of HZ, and similar efficacy, immunogenicity, and safety of RZV</w:t>
      </w:r>
      <w:r w:rsidRPr="006E790F">
        <w:rPr>
          <w:rFonts w:asciiTheme="minorHAnsi" w:hAnsiTheme="minorHAnsi"/>
          <w:snapToGrid w:val="0"/>
          <w:lang w:val="en-GB"/>
        </w:rPr>
        <w:t xml:space="preserve">. </w:t>
      </w:r>
    </w:p>
    <w:p w14:paraId="41DDFA00" w14:textId="1CE470EB" w:rsidR="0075343E" w:rsidRPr="0075343E" w:rsidRDefault="00355EFA" w:rsidP="0075343E">
      <w:pPr>
        <w:widowControl w:val="0"/>
        <w:numPr>
          <w:ilvl w:val="1"/>
          <w:numId w:val="1"/>
        </w:numPr>
        <w:spacing w:after="120"/>
        <w:rPr>
          <w:rFonts w:asciiTheme="minorHAnsi" w:hAnsiTheme="minorHAnsi"/>
          <w:snapToGrid w:val="0"/>
          <w:lang w:val="en-GB"/>
        </w:rPr>
      </w:pPr>
      <w:r w:rsidRPr="006E790F">
        <w:rPr>
          <w:rFonts w:asciiTheme="minorHAnsi" w:hAnsiTheme="minorHAnsi"/>
          <w:snapToGrid w:val="0"/>
          <w:lang w:val="en-GB"/>
        </w:rPr>
        <w:t xml:space="preserve">The </w:t>
      </w:r>
      <w:r w:rsidR="008473E3" w:rsidRPr="006E790F">
        <w:rPr>
          <w:rFonts w:asciiTheme="minorHAnsi" w:hAnsiTheme="minorHAnsi"/>
          <w:snapToGrid w:val="0"/>
          <w:lang w:val="en-GB"/>
        </w:rPr>
        <w:t>P</w:t>
      </w:r>
      <w:r w:rsidRPr="006E790F">
        <w:rPr>
          <w:rFonts w:asciiTheme="minorHAnsi" w:hAnsiTheme="minorHAnsi"/>
          <w:snapToGrid w:val="0"/>
          <w:lang w:val="en-GB"/>
        </w:rPr>
        <w:t>BAC noted</w:t>
      </w:r>
      <w:r w:rsidR="00B049B3" w:rsidRPr="006E790F">
        <w:rPr>
          <w:rFonts w:asciiTheme="minorHAnsi" w:hAnsiTheme="minorHAnsi"/>
          <w:snapToGrid w:val="0"/>
          <w:lang w:val="en-GB"/>
        </w:rPr>
        <w:t xml:space="preserve"> a live zoster vaccine (ZVL</w:t>
      </w:r>
      <w:r w:rsidR="00ED43D7" w:rsidRPr="006E790F">
        <w:rPr>
          <w:rFonts w:asciiTheme="minorHAnsi" w:hAnsiTheme="minorHAnsi"/>
          <w:snapToGrid w:val="0"/>
          <w:lang w:val="en-GB"/>
        </w:rPr>
        <w:t>, Zostavax</w:t>
      </w:r>
      <w:r w:rsidR="00B049B3" w:rsidRPr="006E790F">
        <w:rPr>
          <w:rFonts w:asciiTheme="minorHAnsi" w:hAnsiTheme="minorHAnsi"/>
          <w:snapToGrid w:val="0"/>
          <w:lang w:val="en-GB"/>
        </w:rPr>
        <w:t>)</w:t>
      </w:r>
      <w:r w:rsidRPr="006E790F">
        <w:rPr>
          <w:rFonts w:asciiTheme="minorHAnsi" w:hAnsiTheme="minorHAnsi"/>
          <w:snapToGrid w:val="0"/>
          <w:lang w:val="en-GB"/>
        </w:rPr>
        <w:t xml:space="preserve"> is currently</w:t>
      </w:r>
      <w:r w:rsidR="007C3F85" w:rsidRPr="006E790F">
        <w:rPr>
          <w:rFonts w:asciiTheme="minorHAnsi" w:hAnsiTheme="minorHAnsi"/>
          <w:snapToGrid w:val="0"/>
          <w:lang w:val="en-GB"/>
        </w:rPr>
        <w:t xml:space="preserve"> listed</w:t>
      </w:r>
      <w:r w:rsidRPr="006E790F">
        <w:rPr>
          <w:rFonts w:asciiTheme="minorHAnsi" w:hAnsiTheme="minorHAnsi"/>
          <w:snapToGrid w:val="0"/>
          <w:lang w:val="en-GB"/>
        </w:rPr>
        <w:t xml:space="preserve"> on the NIP for individuals </w:t>
      </w:r>
      <w:r w:rsidR="008473E3" w:rsidRPr="006E790F">
        <w:rPr>
          <w:rFonts w:asciiTheme="minorHAnsi" w:hAnsiTheme="minorHAnsi"/>
          <w:snapToGrid w:val="0"/>
          <w:lang w:val="en-GB"/>
        </w:rPr>
        <w:t xml:space="preserve">aged </w:t>
      </w:r>
      <w:r w:rsidRPr="006E790F">
        <w:rPr>
          <w:rFonts w:asciiTheme="minorHAnsi" w:hAnsiTheme="minorHAnsi"/>
          <w:snapToGrid w:val="0"/>
          <w:lang w:val="en-GB"/>
        </w:rPr>
        <w:t>70 years with a</w:t>
      </w:r>
      <w:r w:rsidR="008473E3" w:rsidRPr="006E790F">
        <w:rPr>
          <w:rFonts w:asciiTheme="minorHAnsi" w:hAnsiTheme="minorHAnsi"/>
          <w:snapToGrid w:val="0"/>
          <w:lang w:val="en-GB"/>
        </w:rPr>
        <w:t xml:space="preserve"> </w:t>
      </w:r>
      <w:r w:rsidRPr="006E790F">
        <w:rPr>
          <w:rFonts w:asciiTheme="minorHAnsi" w:hAnsiTheme="minorHAnsi"/>
          <w:snapToGrid w:val="0"/>
          <w:lang w:val="en-GB"/>
        </w:rPr>
        <w:t xml:space="preserve">catch up </w:t>
      </w:r>
      <w:r w:rsidR="008473E3" w:rsidRPr="006E790F">
        <w:rPr>
          <w:rFonts w:asciiTheme="minorHAnsi" w:hAnsiTheme="minorHAnsi"/>
          <w:snapToGrid w:val="0"/>
          <w:lang w:val="en-GB"/>
        </w:rPr>
        <w:t xml:space="preserve">program </w:t>
      </w:r>
      <w:r w:rsidR="00B049B3" w:rsidRPr="006E790F">
        <w:rPr>
          <w:rFonts w:asciiTheme="minorHAnsi" w:hAnsiTheme="minorHAnsi"/>
          <w:snapToGrid w:val="0"/>
          <w:lang w:val="en-GB"/>
        </w:rPr>
        <w:t xml:space="preserve">in place </w:t>
      </w:r>
      <w:r w:rsidR="008473E3" w:rsidRPr="006E790F">
        <w:rPr>
          <w:rFonts w:asciiTheme="minorHAnsi" w:hAnsiTheme="minorHAnsi"/>
          <w:snapToGrid w:val="0"/>
          <w:lang w:val="en-GB"/>
        </w:rPr>
        <w:t>for individuals aged at least 71 years and less than 80 years of age</w:t>
      </w:r>
      <w:r w:rsidR="007C3F85" w:rsidRPr="006E790F">
        <w:rPr>
          <w:rFonts w:asciiTheme="minorHAnsi" w:hAnsiTheme="minorHAnsi"/>
          <w:snapToGrid w:val="0"/>
          <w:lang w:val="en-GB"/>
        </w:rPr>
        <w:t xml:space="preserve"> </w:t>
      </w:r>
      <w:r w:rsidR="008473E3" w:rsidRPr="006E790F">
        <w:rPr>
          <w:rFonts w:asciiTheme="minorHAnsi" w:hAnsiTheme="minorHAnsi"/>
          <w:snapToGrid w:val="0"/>
          <w:lang w:val="en-GB"/>
        </w:rPr>
        <w:t xml:space="preserve">until 31 October 2023. </w:t>
      </w:r>
      <w:r w:rsidR="00E90D94" w:rsidRPr="006E790F">
        <w:rPr>
          <w:rFonts w:asciiTheme="minorHAnsi" w:hAnsiTheme="minorHAnsi"/>
          <w:snapToGrid w:val="0"/>
          <w:lang w:val="en-GB"/>
        </w:rPr>
        <w:t xml:space="preserve">The PBAC noted the resubmission assumed that </w:t>
      </w:r>
      <w:r w:rsidR="00260E91" w:rsidRPr="006E790F">
        <w:rPr>
          <w:rFonts w:asciiTheme="minorHAnsi" w:hAnsiTheme="minorHAnsi"/>
          <w:snapToGrid w:val="0"/>
          <w:lang w:val="en-GB"/>
        </w:rPr>
        <w:t>the supply of</w:t>
      </w:r>
      <w:r w:rsidR="00B049B3" w:rsidRPr="006E790F">
        <w:rPr>
          <w:rFonts w:asciiTheme="minorHAnsi" w:hAnsiTheme="minorHAnsi"/>
          <w:snapToGrid w:val="0"/>
          <w:lang w:val="en-GB"/>
        </w:rPr>
        <w:t xml:space="preserve"> ZVL</w:t>
      </w:r>
      <w:r w:rsidR="00E90D94" w:rsidRPr="006E790F">
        <w:rPr>
          <w:rFonts w:asciiTheme="minorHAnsi" w:hAnsiTheme="minorHAnsi"/>
          <w:snapToGrid w:val="0"/>
          <w:lang w:val="en-GB"/>
        </w:rPr>
        <w:t xml:space="preserve"> </w:t>
      </w:r>
      <w:r w:rsidR="00260E91" w:rsidRPr="006E790F">
        <w:rPr>
          <w:rFonts w:asciiTheme="minorHAnsi" w:hAnsiTheme="minorHAnsi"/>
          <w:snapToGrid w:val="0"/>
          <w:lang w:val="en-GB"/>
        </w:rPr>
        <w:t xml:space="preserve">to the NIP will cease “from </w:t>
      </w:r>
      <w:r w:rsidR="008F591D" w:rsidRPr="006E790F">
        <w:rPr>
          <w:rFonts w:asciiTheme="minorHAnsi" w:hAnsiTheme="minorHAnsi"/>
          <w:snapToGrid w:val="0"/>
          <w:lang w:val="en-GB"/>
        </w:rPr>
        <w:t xml:space="preserve">late </w:t>
      </w:r>
      <w:r w:rsidR="00260E91" w:rsidRPr="006E790F">
        <w:rPr>
          <w:rFonts w:asciiTheme="minorHAnsi" w:hAnsiTheme="minorHAnsi"/>
          <w:snapToGrid w:val="0"/>
          <w:lang w:val="en-GB"/>
        </w:rPr>
        <w:t>2023”</w:t>
      </w:r>
      <w:r w:rsidR="0075343E" w:rsidRPr="006E790F">
        <w:rPr>
          <w:rFonts w:asciiTheme="minorHAnsi" w:hAnsiTheme="minorHAnsi"/>
          <w:snapToGrid w:val="0"/>
          <w:lang w:val="en-GB"/>
        </w:rPr>
        <w:t xml:space="preserve"> and, based on this assumption, the resubmission nominated no vaccine</w:t>
      </w:r>
      <w:r w:rsidR="00814468" w:rsidRPr="006E790F">
        <w:rPr>
          <w:rFonts w:asciiTheme="minorHAnsi" w:hAnsiTheme="minorHAnsi"/>
          <w:snapToGrid w:val="0"/>
          <w:lang w:val="en-GB"/>
        </w:rPr>
        <w:t xml:space="preserve"> (placebo</w:t>
      </w:r>
      <w:r w:rsidR="00814468">
        <w:rPr>
          <w:rFonts w:asciiTheme="minorHAnsi" w:hAnsiTheme="minorHAnsi"/>
          <w:snapToGrid w:val="0"/>
          <w:lang w:val="en-GB"/>
        </w:rPr>
        <w:t>)</w:t>
      </w:r>
      <w:r w:rsidR="0075343E">
        <w:rPr>
          <w:rFonts w:asciiTheme="minorHAnsi" w:hAnsiTheme="minorHAnsi"/>
          <w:snapToGrid w:val="0"/>
          <w:lang w:val="en-GB"/>
        </w:rPr>
        <w:t xml:space="preserve"> as the comparator for all requested populations.  </w:t>
      </w:r>
    </w:p>
    <w:p w14:paraId="07300A85" w14:textId="7634DDCF" w:rsidR="001608C3" w:rsidRDefault="0075343E" w:rsidP="0022092B">
      <w:pPr>
        <w:pStyle w:val="3-BodyText"/>
        <w:rPr>
          <w:lang w:val="en-GB"/>
        </w:rPr>
      </w:pPr>
      <w:r>
        <w:rPr>
          <w:lang w:val="en-GB"/>
        </w:rPr>
        <w:t xml:space="preserve">The PBAC noted </w:t>
      </w:r>
      <w:r w:rsidR="00722E16">
        <w:rPr>
          <w:lang w:val="en-GB"/>
        </w:rPr>
        <w:t>that, in addition to the two studies previously considered by the PBAC (ZOE-50 and ZOE-70), the resubmission presented data from ZOSTER-049, a l</w:t>
      </w:r>
      <w:r w:rsidR="00722E16" w:rsidRPr="00722E16">
        <w:rPr>
          <w:lang w:val="en-GB"/>
        </w:rPr>
        <w:t xml:space="preserve">ong-term follow-up study </w:t>
      </w:r>
      <w:r w:rsidR="00722E16">
        <w:rPr>
          <w:lang w:val="en-GB"/>
        </w:rPr>
        <w:t xml:space="preserve">of </w:t>
      </w:r>
      <w:r w:rsidR="00722E16" w:rsidRPr="00722E16">
        <w:rPr>
          <w:lang w:val="en-GB"/>
        </w:rPr>
        <w:t>ZOE-50 and ZOE-70 participants</w:t>
      </w:r>
      <w:r w:rsidR="00722E16">
        <w:rPr>
          <w:lang w:val="en-GB"/>
        </w:rPr>
        <w:t>.</w:t>
      </w:r>
      <w:r w:rsidR="00B049B3">
        <w:rPr>
          <w:lang w:val="en-GB"/>
        </w:rPr>
        <w:t xml:space="preserve"> </w:t>
      </w:r>
      <w:r w:rsidR="0022092B">
        <w:rPr>
          <w:lang w:val="en-GB"/>
        </w:rPr>
        <w:t xml:space="preserve">The PBAC noted the clinical claim in the resubmission was that </w:t>
      </w:r>
      <w:r w:rsidR="0022092B" w:rsidRPr="0022092B">
        <w:rPr>
          <w:lang w:val="en-GB"/>
        </w:rPr>
        <w:t xml:space="preserve">RZV </w:t>
      </w:r>
      <w:r w:rsidR="0022092B">
        <w:rPr>
          <w:lang w:val="en-GB"/>
        </w:rPr>
        <w:t xml:space="preserve">is </w:t>
      </w:r>
      <w:r w:rsidR="0022092B" w:rsidRPr="0022092B">
        <w:rPr>
          <w:lang w:val="en-GB"/>
        </w:rPr>
        <w:t xml:space="preserve">superior in terms of effectiveness compared with placebo and slightly inferior in terms of safety compared to </w:t>
      </w:r>
      <w:r w:rsidR="00814468">
        <w:rPr>
          <w:lang w:val="en-GB"/>
        </w:rPr>
        <w:t xml:space="preserve">placebo </w:t>
      </w:r>
      <w:r w:rsidR="0022092B" w:rsidRPr="0022092B">
        <w:rPr>
          <w:lang w:val="en-GB"/>
        </w:rPr>
        <w:t>for the proposed NIP populations</w:t>
      </w:r>
      <w:r w:rsidR="0022092B">
        <w:rPr>
          <w:lang w:val="en-GB"/>
        </w:rPr>
        <w:t xml:space="preserve"> described in paragraph </w:t>
      </w:r>
      <w:r w:rsidR="00C262E9">
        <w:rPr>
          <w:highlight w:val="green"/>
          <w:lang w:val="en-GB"/>
        </w:rPr>
        <w:fldChar w:fldCharType="begin" w:fldLock="1"/>
      </w:r>
      <w:r w:rsidR="00C262E9">
        <w:rPr>
          <w:lang w:val="en-GB"/>
        </w:rPr>
        <w:instrText xml:space="preserve"> REF _Ref130831813 \r \h </w:instrText>
      </w:r>
      <w:r w:rsidR="00C262E9">
        <w:rPr>
          <w:highlight w:val="green"/>
          <w:lang w:val="en-GB"/>
        </w:rPr>
      </w:r>
      <w:r w:rsidR="00C262E9">
        <w:rPr>
          <w:highlight w:val="green"/>
          <w:lang w:val="en-GB"/>
        </w:rPr>
        <w:fldChar w:fldCharType="separate"/>
      </w:r>
      <w:r w:rsidR="00602E99">
        <w:rPr>
          <w:lang w:val="en-GB"/>
        </w:rPr>
        <w:t>7.5</w:t>
      </w:r>
      <w:r w:rsidR="00C262E9">
        <w:rPr>
          <w:highlight w:val="green"/>
          <w:lang w:val="en-GB"/>
        </w:rPr>
        <w:fldChar w:fldCharType="end"/>
      </w:r>
      <w:r w:rsidR="0022092B" w:rsidRPr="00176425">
        <w:rPr>
          <w:lang w:val="en-GB"/>
        </w:rPr>
        <w:t>. Th</w:t>
      </w:r>
      <w:r w:rsidR="0022092B" w:rsidRPr="0022092B">
        <w:rPr>
          <w:lang w:val="en-GB"/>
        </w:rPr>
        <w:t>e PBAC considered this claim was reasonable</w:t>
      </w:r>
      <w:r w:rsidR="0022092B">
        <w:rPr>
          <w:lang w:val="en-GB"/>
        </w:rPr>
        <w:t xml:space="preserve">, </w:t>
      </w:r>
      <w:r w:rsidR="0022092B" w:rsidRPr="0022092B">
        <w:rPr>
          <w:lang w:val="en-GB"/>
        </w:rPr>
        <w:t>consistent with its previous consideration</w:t>
      </w:r>
      <w:r w:rsidR="0022092B">
        <w:rPr>
          <w:lang w:val="en-GB"/>
        </w:rPr>
        <w:t xml:space="preserve"> (paragraph 7.4, RZV PSD, November 2018 PBAC meeting).  </w:t>
      </w:r>
    </w:p>
    <w:p w14:paraId="017FECA2" w14:textId="1767C74E" w:rsidR="001608C3" w:rsidRDefault="00ED43D7" w:rsidP="0022092B">
      <w:pPr>
        <w:pStyle w:val="3-BodyText"/>
        <w:rPr>
          <w:lang w:val="en-GB"/>
        </w:rPr>
      </w:pPr>
      <w:r>
        <w:rPr>
          <w:lang w:val="en-GB"/>
        </w:rPr>
        <w:t xml:space="preserve">The </w:t>
      </w:r>
      <w:r w:rsidRPr="00ED43D7">
        <w:rPr>
          <w:lang w:val="en-GB"/>
        </w:rPr>
        <w:t xml:space="preserve">PBAC noted the </w:t>
      </w:r>
      <w:r>
        <w:rPr>
          <w:lang w:val="en-GB"/>
        </w:rPr>
        <w:t>vaccine efficacy against HZ (</w:t>
      </w:r>
      <w:r w:rsidR="001608C3" w:rsidRPr="00ED43D7">
        <w:rPr>
          <w:lang w:val="en-GB"/>
        </w:rPr>
        <w:t>VE</w:t>
      </w:r>
      <w:r w:rsidR="001608C3" w:rsidRPr="00ED43D7">
        <w:rPr>
          <w:vertAlign w:val="subscript"/>
          <w:lang w:val="en-GB"/>
        </w:rPr>
        <w:t>HZ</w:t>
      </w:r>
      <w:r w:rsidRPr="00ED43D7">
        <w:rPr>
          <w:lang w:val="en-GB"/>
        </w:rPr>
        <w:t>)</w:t>
      </w:r>
      <w:r w:rsidR="001608C3" w:rsidRPr="00ED43D7">
        <w:rPr>
          <w:lang w:val="en-GB"/>
        </w:rPr>
        <w:t xml:space="preserve"> </w:t>
      </w:r>
      <w:r>
        <w:rPr>
          <w:lang w:val="en-GB"/>
        </w:rPr>
        <w:t xml:space="preserve">for individuals who received two doses </w:t>
      </w:r>
      <w:r w:rsidR="001608C3" w:rsidRPr="00ED43D7">
        <w:rPr>
          <w:lang w:val="en-GB"/>
        </w:rPr>
        <w:t xml:space="preserve">was high </w:t>
      </w:r>
      <w:r>
        <w:rPr>
          <w:lang w:val="en-GB"/>
        </w:rPr>
        <w:t>(</w:t>
      </w:r>
      <w:r w:rsidR="0070039E">
        <w:rPr>
          <w:lang w:val="en-GB"/>
        </w:rPr>
        <w:t>90</w:t>
      </w:r>
      <w:r>
        <w:rPr>
          <w:lang w:val="en-GB"/>
        </w:rPr>
        <w:t>% to 9</w:t>
      </w:r>
      <w:r w:rsidR="0070039E">
        <w:rPr>
          <w:lang w:val="en-GB"/>
        </w:rPr>
        <w:t>7</w:t>
      </w:r>
      <w:r>
        <w:rPr>
          <w:lang w:val="en-GB"/>
        </w:rPr>
        <w:t xml:space="preserve">%, see </w:t>
      </w:r>
      <w:r>
        <w:rPr>
          <w:lang w:val="en-GB"/>
        </w:rPr>
        <w:fldChar w:fldCharType="begin" w:fldLock="1"/>
      </w:r>
      <w:r>
        <w:rPr>
          <w:lang w:val="en-GB"/>
        </w:rPr>
        <w:instrText xml:space="preserve"> REF _Ref124761461 \h  \* MERGEFORMAT </w:instrText>
      </w:r>
      <w:r>
        <w:rPr>
          <w:lang w:val="en-GB"/>
        </w:rPr>
      </w:r>
      <w:r>
        <w:rPr>
          <w:lang w:val="en-GB"/>
        </w:rPr>
        <w:fldChar w:fldCharType="separate"/>
      </w:r>
      <w:r w:rsidR="00441995" w:rsidRPr="00441995">
        <w:rPr>
          <w:bCs/>
          <w:lang w:val="en-GB"/>
        </w:rPr>
        <w:t>Table</w:t>
      </w:r>
      <w:r w:rsidR="00441995" w:rsidRPr="00441995">
        <w:rPr>
          <w:lang w:val="en-GB"/>
        </w:rPr>
        <w:t xml:space="preserve"> 5</w:t>
      </w:r>
      <w:r>
        <w:rPr>
          <w:lang w:val="en-GB"/>
        </w:rPr>
        <w:fldChar w:fldCharType="end"/>
      </w:r>
      <w:r>
        <w:rPr>
          <w:lang w:val="en-GB"/>
        </w:rPr>
        <w:t xml:space="preserve">) </w:t>
      </w:r>
      <w:r w:rsidR="001608C3" w:rsidRPr="00ED43D7">
        <w:rPr>
          <w:lang w:val="en-GB"/>
        </w:rPr>
        <w:t>and while</w:t>
      </w:r>
      <w:r w:rsidR="002B6299">
        <w:rPr>
          <w:lang w:val="en-GB"/>
        </w:rPr>
        <w:t xml:space="preserve"> VE</w:t>
      </w:r>
      <w:r w:rsidR="002B6299" w:rsidRPr="002B6299">
        <w:rPr>
          <w:vertAlign w:val="subscript"/>
          <w:lang w:val="en-GB"/>
        </w:rPr>
        <w:t>HZ</w:t>
      </w:r>
      <w:r w:rsidR="001608C3" w:rsidRPr="00ED43D7">
        <w:rPr>
          <w:lang w:val="en-GB"/>
        </w:rPr>
        <w:t xml:space="preserve"> appeared to be</w:t>
      </w:r>
      <w:r>
        <w:rPr>
          <w:lang w:val="en-GB"/>
        </w:rPr>
        <w:t xml:space="preserve"> reducing over time</w:t>
      </w:r>
      <w:r w:rsidR="001608C3" w:rsidRPr="00ED43D7">
        <w:rPr>
          <w:lang w:val="en-GB"/>
        </w:rPr>
        <w:t xml:space="preserve">, </w:t>
      </w:r>
      <w:r>
        <w:rPr>
          <w:lang w:val="en-GB"/>
        </w:rPr>
        <w:t xml:space="preserve">it </w:t>
      </w:r>
      <w:r w:rsidR="001608C3" w:rsidRPr="00ED43D7">
        <w:rPr>
          <w:lang w:val="en-GB"/>
        </w:rPr>
        <w:t>remained</w:t>
      </w:r>
      <w:r>
        <w:rPr>
          <w:lang w:val="en-GB"/>
        </w:rPr>
        <w:t xml:space="preserve"> </w:t>
      </w:r>
      <w:r w:rsidR="002B6299">
        <w:rPr>
          <w:lang w:val="en-GB"/>
        </w:rPr>
        <w:t xml:space="preserve">high (84%) </w:t>
      </w:r>
      <w:r>
        <w:rPr>
          <w:lang w:val="en-GB"/>
        </w:rPr>
        <w:t>after 8 years.</w:t>
      </w:r>
      <w:r w:rsidR="002B6299">
        <w:rPr>
          <w:lang w:val="en-GB"/>
        </w:rPr>
        <w:t xml:space="preserve"> The PBAC noted </w:t>
      </w:r>
      <w:r w:rsidR="00AB2935">
        <w:rPr>
          <w:lang w:val="en-GB"/>
        </w:rPr>
        <w:t xml:space="preserve">some data for </w:t>
      </w:r>
      <w:r w:rsidR="002B6299">
        <w:rPr>
          <w:lang w:val="en-GB"/>
        </w:rPr>
        <w:t>VE</w:t>
      </w:r>
      <w:r w:rsidR="002B6299" w:rsidRPr="002B6299">
        <w:rPr>
          <w:vertAlign w:val="subscript"/>
          <w:lang w:val="en-GB"/>
        </w:rPr>
        <w:t>HZ</w:t>
      </w:r>
      <w:r w:rsidR="002B6299">
        <w:rPr>
          <w:lang w:val="en-GB"/>
        </w:rPr>
        <w:t xml:space="preserve"> for individuals receiving one dose </w:t>
      </w:r>
      <w:r w:rsidR="00AB2935">
        <w:rPr>
          <w:lang w:val="en-GB"/>
        </w:rPr>
        <w:t xml:space="preserve">was available (see paragraph </w:t>
      </w:r>
      <w:r w:rsidR="00AB2935" w:rsidRPr="009172B8">
        <w:rPr>
          <w:lang w:val="en-GB"/>
        </w:rPr>
        <w:fldChar w:fldCharType="begin" w:fldLock="1"/>
      </w:r>
      <w:r w:rsidR="00AB2935" w:rsidRPr="009172B8">
        <w:rPr>
          <w:lang w:val="en-GB"/>
        </w:rPr>
        <w:instrText xml:space="preserve"> REF _Ref129798022 \r \h </w:instrText>
      </w:r>
      <w:r w:rsidR="006F6D32" w:rsidRPr="009172B8">
        <w:rPr>
          <w:lang w:val="en-GB"/>
        </w:rPr>
        <w:instrText xml:space="preserve"> \* MERGEFORMAT </w:instrText>
      </w:r>
      <w:r w:rsidR="00AB2935" w:rsidRPr="009172B8">
        <w:rPr>
          <w:lang w:val="en-GB"/>
        </w:rPr>
      </w:r>
      <w:r w:rsidR="00AB2935" w:rsidRPr="009172B8">
        <w:rPr>
          <w:lang w:val="en-GB"/>
        </w:rPr>
        <w:fldChar w:fldCharType="separate"/>
      </w:r>
      <w:r w:rsidR="00602E99">
        <w:rPr>
          <w:lang w:val="en-GB"/>
        </w:rPr>
        <w:t>6.48</w:t>
      </w:r>
      <w:r w:rsidR="00AB2935" w:rsidRPr="009172B8">
        <w:rPr>
          <w:lang w:val="en-GB"/>
        </w:rPr>
        <w:fldChar w:fldCharType="end"/>
      </w:r>
      <w:r w:rsidR="00AB2935">
        <w:rPr>
          <w:lang w:val="en-GB"/>
        </w:rPr>
        <w:t xml:space="preserve"> and </w:t>
      </w:r>
      <w:r w:rsidR="00AB2935" w:rsidRPr="009172B8">
        <w:rPr>
          <w:lang w:val="en-GB"/>
        </w:rPr>
        <w:fldChar w:fldCharType="begin" w:fldLock="1"/>
      </w:r>
      <w:r w:rsidR="00AB2935" w:rsidRPr="009172B8">
        <w:rPr>
          <w:lang w:val="en-GB"/>
        </w:rPr>
        <w:instrText xml:space="preserve"> REF _Ref129798016 \r \h </w:instrText>
      </w:r>
      <w:r w:rsidR="006F6D32" w:rsidRPr="009172B8">
        <w:rPr>
          <w:lang w:val="en-GB"/>
        </w:rPr>
        <w:instrText xml:space="preserve"> \* MERGEFORMAT </w:instrText>
      </w:r>
      <w:r w:rsidR="00AB2935" w:rsidRPr="009172B8">
        <w:rPr>
          <w:lang w:val="en-GB"/>
        </w:rPr>
      </w:r>
      <w:r w:rsidR="00AB2935" w:rsidRPr="009172B8">
        <w:rPr>
          <w:lang w:val="en-GB"/>
        </w:rPr>
        <w:fldChar w:fldCharType="separate"/>
      </w:r>
      <w:r w:rsidR="00602E99">
        <w:rPr>
          <w:lang w:val="en-GB"/>
        </w:rPr>
        <w:t>6.53</w:t>
      </w:r>
      <w:r w:rsidR="00AB2935" w:rsidRPr="009172B8">
        <w:rPr>
          <w:lang w:val="en-GB"/>
        </w:rPr>
        <w:fldChar w:fldCharType="end"/>
      </w:r>
      <w:r w:rsidR="00AB2935" w:rsidRPr="009172B8">
        <w:rPr>
          <w:lang w:val="en-GB"/>
        </w:rPr>
        <w:t>)</w:t>
      </w:r>
      <w:r w:rsidR="00AB2935">
        <w:rPr>
          <w:lang w:val="en-GB"/>
        </w:rPr>
        <w:t xml:space="preserve"> but considered that, overall, the effectiveness of one dose </w:t>
      </w:r>
      <w:r w:rsidR="002B6299">
        <w:rPr>
          <w:lang w:val="en-GB"/>
        </w:rPr>
        <w:t xml:space="preserve">remained uncertain.  </w:t>
      </w:r>
    </w:p>
    <w:p w14:paraId="3450B458" w14:textId="240D6CE0" w:rsidR="004438A0" w:rsidRPr="001608C3" w:rsidRDefault="001608C3" w:rsidP="001608C3">
      <w:pPr>
        <w:pStyle w:val="3-BodyText"/>
        <w:rPr>
          <w:lang w:val="en-GB"/>
        </w:rPr>
      </w:pPr>
      <w:r>
        <w:rPr>
          <w:lang w:val="en-GB"/>
        </w:rPr>
        <w:t>T</w:t>
      </w:r>
      <w:r w:rsidR="0022092B">
        <w:rPr>
          <w:lang w:val="en-GB"/>
        </w:rPr>
        <w:t xml:space="preserve">he PBAC noted </w:t>
      </w:r>
      <w:r>
        <w:rPr>
          <w:lang w:val="en-GB"/>
        </w:rPr>
        <w:t xml:space="preserve">individuals who had previously received ZVL, previously had HZ or were immunocompromised where excluded from the ZOE-50 and ZOE-70 studies. </w:t>
      </w:r>
      <w:r w:rsidR="00814468">
        <w:rPr>
          <w:lang w:val="en-GB"/>
        </w:rPr>
        <w:t xml:space="preserve">The resubmission presented a number of supportive studies to support the effectiveness and safety of RZV in these populations. </w:t>
      </w:r>
      <w:r w:rsidRPr="001608C3">
        <w:rPr>
          <w:lang w:val="en-GB"/>
        </w:rPr>
        <w:t>The PBAC</w:t>
      </w:r>
      <w:r w:rsidR="0070039E">
        <w:rPr>
          <w:lang w:val="en-GB"/>
        </w:rPr>
        <w:t xml:space="preserve"> noted ATAGI advice that</w:t>
      </w:r>
      <w:r w:rsidRPr="001608C3">
        <w:rPr>
          <w:lang w:val="en-GB"/>
        </w:rPr>
        <w:t xml:space="preserve"> </w:t>
      </w:r>
      <w:r w:rsidR="0070039E">
        <w:rPr>
          <w:lang w:val="en-GB"/>
        </w:rPr>
        <w:t>t</w:t>
      </w:r>
      <w:r w:rsidRPr="001608C3">
        <w:rPr>
          <w:lang w:val="en-GB"/>
        </w:rPr>
        <w:t>he evidence presented supported the safety, immunogenicity and efficacy of RZV in th</w:t>
      </w:r>
      <w:r w:rsidR="00AB2935">
        <w:rPr>
          <w:lang w:val="en-GB"/>
        </w:rPr>
        <w:t xml:space="preserve">e populations that were excluded from the ZOE studies </w:t>
      </w:r>
      <w:r w:rsidRPr="001608C3">
        <w:rPr>
          <w:lang w:val="en-GB"/>
        </w:rPr>
        <w:t xml:space="preserve">but </w:t>
      </w:r>
      <w:r w:rsidR="0070039E">
        <w:rPr>
          <w:lang w:val="en-GB"/>
        </w:rPr>
        <w:t xml:space="preserve">the PBAC considered </w:t>
      </w:r>
      <w:r w:rsidR="00AB2935">
        <w:rPr>
          <w:lang w:val="en-GB"/>
        </w:rPr>
        <w:t>VE</w:t>
      </w:r>
      <w:r w:rsidR="00AB2935" w:rsidRPr="00AB2935">
        <w:rPr>
          <w:vertAlign w:val="subscript"/>
          <w:lang w:val="en-GB"/>
        </w:rPr>
        <w:t>HZ</w:t>
      </w:r>
      <w:r w:rsidRPr="001608C3">
        <w:rPr>
          <w:lang w:val="en-GB"/>
        </w:rPr>
        <w:t xml:space="preserve"> may be lower</w:t>
      </w:r>
      <w:r w:rsidR="00AB2935">
        <w:rPr>
          <w:lang w:val="en-GB"/>
        </w:rPr>
        <w:t xml:space="preserve"> in these individuals</w:t>
      </w:r>
      <w:r w:rsidRPr="001608C3">
        <w:rPr>
          <w:lang w:val="en-GB"/>
        </w:rPr>
        <w:t xml:space="preserve">. </w:t>
      </w:r>
      <w:r>
        <w:rPr>
          <w:lang w:val="en-GB"/>
        </w:rPr>
        <w:t xml:space="preserve"> </w:t>
      </w:r>
    </w:p>
    <w:p w14:paraId="5BF355A6" w14:textId="7EF172BF" w:rsidR="00924B9B" w:rsidRPr="009C1FD1" w:rsidRDefault="007D3DAE" w:rsidP="009C1FD1">
      <w:pPr>
        <w:widowControl w:val="0"/>
        <w:numPr>
          <w:ilvl w:val="1"/>
          <w:numId w:val="1"/>
        </w:numPr>
        <w:spacing w:after="120"/>
        <w:rPr>
          <w:rFonts w:asciiTheme="minorHAnsi" w:hAnsiTheme="minorHAnsi"/>
          <w:b/>
          <w:bCs/>
          <w:snapToGrid w:val="0"/>
        </w:rPr>
      </w:pPr>
      <w:r>
        <w:rPr>
          <w:rFonts w:asciiTheme="minorHAnsi" w:hAnsiTheme="minorHAnsi"/>
          <w:snapToGrid w:val="0"/>
          <w:lang w:val="en-GB"/>
        </w:rPr>
        <w:t xml:space="preserve">The </w:t>
      </w:r>
      <w:r w:rsidR="00B479FC">
        <w:rPr>
          <w:rFonts w:asciiTheme="minorHAnsi" w:hAnsiTheme="minorHAnsi"/>
          <w:snapToGrid w:val="0"/>
          <w:lang w:val="en-GB"/>
        </w:rPr>
        <w:t xml:space="preserve">PBAC </w:t>
      </w:r>
      <w:r w:rsidR="00755E2D">
        <w:rPr>
          <w:rFonts w:asciiTheme="minorHAnsi" w:hAnsiTheme="minorHAnsi"/>
          <w:snapToGrid w:val="0"/>
          <w:lang w:val="en-GB"/>
        </w:rPr>
        <w:t xml:space="preserve">noted the base </w:t>
      </w:r>
      <w:r w:rsidR="002101EB">
        <w:rPr>
          <w:rFonts w:asciiTheme="minorHAnsi" w:hAnsiTheme="minorHAnsi"/>
          <w:snapToGrid w:val="0"/>
          <w:lang w:val="en-GB"/>
        </w:rPr>
        <w:t xml:space="preserve">case </w:t>
      </w:r>
      <w:r w:rsidR="00755E2D">
        <w:rPr>
          <w:rFonts w:asciiTheme="minorHAnsi" w:hAnsiTheme="minorHAnsi"/>
          <w:snapToGrid w:val="0"/>
          <w:lang w:val="en-GB"/>
        </w:rPr>
        <w:t>ICER</w:t>
      </w:r>
      <w:r w:rsidR="002101EB">
        <w:rPr>
          <w:rFonts w:asciiTheme="minorHAnsi" w:hAnsiTheme="minorHAnsi"/>
          <w:snapToGrid w:val="0"/>
          <w:lang w:val="en-GB"/>
        </w:rPr>
        <w:t xml:space="preserve"> </w:t>
      </w:r>
      <w:r w:rsidR="00755E2D">
        <w:rPr>
          <w:rFonts w:asciiTheme="minorHAnsi" w:hAnsiTheme="minorHAnsi"/>
          <w:snapToGrid w:val="0"/>
          <w:lang w:val="en-GB"/>
        </w:rPr>
        <w:t xml:space="preserve">for the non-Indigenous population was </w:t>
      </w:r>
      <w:r w:rsidR="009C1FD1" w:rsidRPr="009C1FD1">
        <w:rPr>
          <w:rFonts w:asciiTheme="minorHAnsi" w:hAnsiTheme="minorHAnsi"/>
          <w:snapToGrid w:val="0"/>
        </w:rPr>
        <w:t>$15,000 to &lt; $25,000</w:t>
      </w:r>
      <w:r w:rsidR="00755E2D" w:rsidRPr="009C1FD1">
        <w:rPr>
          <w:rFonts w:asciiTheme="minorHAnsi" w:hAnsiTheme="minorHAnsi"/>
          <w:snapToGrid w:val="0"/>
          <w:lang w:val="en-GB"/>
        </w:rPr>
        <w:t>/QALY</w:t>
      </w:r>
      <w:r w:rsidR="007873A7" w:rsidRPr="009C1FD1">
        <w:rPr>
          <w:rFonts w:asciiTheme="minorHAnsi" w:hAnsiTheme="minorHAnsi"/>
          <w:snapToGrid w:val="0"/>
          <w:lang w:val="en-GB"/>
        </w:rPr>
        <w:t xml:space="preserve"> and it was reasonably consistent across the different age groups </w:t>
      </w:r>
      <w:r w:rsidR="009C1FD1">
        <w:rPr>
          <w:rFonts w:asciiTheme="minorHAnsi" w:hAnsiTheme="minorHAnsi"/>
          <w:snapToGrid w:val="0"/>
          <w:lang w:val="en-GB"/>
        </w:rPr>
        <w:t>(</w:t>
      </w:r>
      <w:r w:rsidR="009C1FD1" w:rsidRPr="009C1FD1">
        <w:rPr>
          <w:rFonts w:asciiTheme="minorHAnsi" w:hAnsiTheme="minorHAnsi"/>
          <w:snapToGrid w:val="0"/>
        </w:rPr>
        <w:t>$15,000 to &lt; $25,000</w:t>
      </w:r>
      <w:r w:rsidR="007873A7" w:rsidRPr="009C1FD1">
        <w:rPr>
          <w:rFonts w:asciiTheme="minorHAnsi" w:hAnsiTheme="minorHAnsi"/>
          <w:snapToGrid w:val="0"/>
          <w:lang w:val="en-GB"/>
        </w:rPr>
        <w:t xml:space="preserve">/QALY to </w:t>
      </w:r>
      <w:r w:rsidR="009C1FD1" w:rsidRPr="009C1FD1">
        <w:rPr>
          <w:rFonts w:asciiTheme="minorHAnsi" w:hAnsiTheme="minorHAnsi"/>
          <w:snapToGrid w:val="0"/>
        </w:rPr>
        <w:t>$15,000 to &lt; $25,000</w:t>
      </w:r>
      <w:r w:rsidR="007873A7" w:rsidRPr="009C1FD1">
        <w:rPr>
          <w:rFonts w:asciiTheme="minorHAnsi" w:hAnsiTheme="minorHAnsi"/>
          <w:snapToGrid w:val="0"/>
          <w:lang w:val="en-GB"/>
        </w:rPr>
        <w:t xml:space="preserve">/QALY, see </w:t>
      </w:r>
      <w:r w:rsidR="007873A7" w:rsidRPr="009C1FD1">
        <w:rPr>
          <w:rFonts w:asciiTheme="minorHAnsi" w:hAnsiTheme="minorHAnsi"/>
          <w:snapToGrid w:val="0"/>
          <w:lang w:val="en-GB"/>
        </w:rPr>
        <w:fldChar w:fldCharType="begin" w:fldLock="1"/>
      </w:r>
      <w:r w:rsidR="007873A7" w:rsidRPr="009C1FD1">
        <w:rPr>
          <w:rFonts w:asciiTheme="minorHAnsi" w:hAnsiTheme="minorHAnsi"/>
          <w:snapToGrid w:val="0"/>
          <w:lang w:val="en-GB"/>
        </w:rPr>
        <w:instrText xml:space="preserve"> REF _Ref124766290 \h  \* MERGEFORMAT </w:instrText>
      </w:r>
      <w:r w:rsidR="007873A7" w:rsidRPr="009C1FD1">
        <w:rPr>
          <w:rFonts w:asciiTheme="minorHAnsi" w:hAnsiTheme="minorHAnsi"/>
          <w:snapToGrid w:val="0"/>
          <w:lang w:val="en-GB"/>
        </w:rPr>
      </w:r>
      <w:r w:rsidR="007873A7" w:rsidRPr="009C1FD1">
        <w:rPr>
          <w:rFonts w:asciiTheme="minorHAnsi" w:hAnsiTheme="minorHAnsi"/>
          <w:snapToGrid w:val="0"/>
          <w:lang w:val="en-GB"/>
        </w:rPr>
        <w:fldChar w:fldCharType="separate"/>
      </w:r>
      <w:r w:rsidR="00441995" w:rsidRPr="009C1FD1">
        <w:rPr>
          <w:rFonts w:asciiTheme="minorHAnsi" w:hAnsiTheme="minorHAnsi"/>
          <w:snapToGrid w:val="0"/>
          <w:lang w:val="en-GB"/>
        </w:rPr>
        <w:t>Table 14</w:t>
      </w:r>
      <w:r w:rsidR="007873A7" w:rsidRPr="009C1FD1">
        <w:rPr>
          <w:rFonts w:asciiTheme="minorHAnsi" w:hAnsiTheme="minorHAnsi"/>
          <w:snapToGrid w:val="0"/>
          <w:lang w:val="en-GB"/>
        </w:rPr>
        <w:fldChar w:fldCharType="end"/>
      </w:r>
      <w:r w:rsidR="007873A7" w:rsidRPr="009C1FD1">
        <w:rPr>
          <w:rFonts w:asciiTheme="minorHAnsi" w:hAnsiTheme="minorHAnsi"/>
          <w:snapToGrid w:val="0"/>
          <w:lang w:val="en-GB"/>
        </w:rPr>
        <w:t>)</w:t>
      </w:r>
      <w:r w:rsidR="00755E2D" w:rsidRPr="009C1FD1">
        <w:rPr>
          <w:rFonts w:asciiTheme="minorHAnsi" w:hAnsiTheme="minorHAnsi"/>
          <w:snapToGrid w:val="0"/>
          <w:lang w:val="en-GB"/>
        </w:rPr>
        <w:t xml:space="preserve">. </w:t>
      </w:r>
      <w:r w:rsidR="008C0A04" w:rsidRPr="009C1FD1">
        <w:rPr>
          <w:rFonts w:asciiTheme="minorHAnsi" w:hAnsiTheme="minorHAnsi"/>
          <w:snapToGrid w:val="0"/>
          <w:lang w:val="en-GB"/>
        </w:rPr>
        <w:t>The PBAC noted that applying a discount rate of 3.5% to costs and outcomes decreased the ICER</w:t>
      </w:r>
      <w:r w:rsidR="002101EB" w:rsidRPr="009C1FD1">
        <w:rPr>
          <w:rFonts w:asciiTheme="minorHAnsi" w:hAnsiTheme="minorHAnsi"/>
          <w:snapToGrid w:val="0"/>
          <w:lang w:val="en-GB"/>
        </w:rPr>
        <w:t>s</w:t>
      </w:r>
      <w:r w:rsidR="008C0A04" w:rsidRPr="009C1FD1">
        <w:rPr>
          <w:rFonts w:asciiTheme="minorHAnsi" w:hAnsiTheme="minorHAnsi"/>
          <w:snapToGrid w:val="0"/>
          <w:lang w:val="en-GB"/>
        </w:rPr>
        <w:t xml:space="preserve"> by approximately 20%.   </w:t>
      </w:r>
    </w:p>
    <w:p w14:paraId="7DC1CF08" w14:textId="0FCBFB0E" w:rsidR="003E7501" w:rsidRPr="009C1FD1" w:rsidRDefault="003E7501" w:rsidP="009C1FD1">
      <w:pPr>
        <w:widowControl w:val="0"/>
        <w:numPr>
          <w:ilvl w:val="1"/>
          <w:numId w:val="1"/>
        </w:numPr>
        <w:spacing w:after="120"/>
        <w:rPr>
          <w:rFonts w:asciiTheme="minorHAnsi" w:hAnsiTheme="minorHAnsi"/>
          <w:b/>
          <w:bCs/>
          <w:snapToGrid w:val="0"/>
        </w:rPr>
      </w:pPr>
      <w:r w:rsidRPr="00835656">
        <w:rPr>
          <w:rFonts w:asciiTheme="minorHAnsi" w:hAnsiTheme="minorHAnsi"/>
          <w:snapToGrid w:val="0"/>
          <w:lang w:val="en-GB"/>
        </w:rPr>
        <w:lastRenderedPageBreak/>
        <w:t xml:space="preserve">The PBAC noted the base case ICER in the Aboriginal and Torres Strait Islander population was </w:t>
      </w:r>
      <w:r w:rsidR="009C1FD1" w:rsidRPr="009C1FD1">
        <w:rPr>
          <w:rFonts w:asciiTheme="minorHAnsi" w:hAnsiTheme="minorHAnsi"/>
          <w:snapToGrid w:val="0"/>
        </w:rPr>
        <w:t>$55,000 to &lt; $75,000</w:t>
      </w:r>
      <w:r w:rsidRPr="009C1FD1">
        <w:rPr>
          <w:rFonts w:asciiTheme="minorHAnsi" w:hAnsiTheme="minorHAnsi"/>
          <w:snapToGrid w:val="0"/>
          <w:lang w:val="en-GB"/>
        </w:rPr>
        <w:t xml:space="preserve">/QALY which was higher than in the non-Indigenous population. </w:t>
      </w:r>
      <w:r w:rsidR="004438A0">
        <w:t xml:space="preserve">The PBAC noted </w:t>
      </w:r>
      <w:r w:rsidR="00AE5A14">
        <w:t xml:space="preserve">while there is limited data available on the </w:t>
      </w:r>
      <w:r w:rsidR="004438A0">
        <w:t xml:space="preserve">incidence of HZ and PHN in </w:t>
      </w:r>
      <w:r w:rsidR="004438A0" w:rsidRPr="009C1FD1">
        <w:rPr>
          <w:rFonts w:asciiTheme="minorHAnsi" w:hAnsiTheme="minorHAnsi"/>
          <w:snapToGrid w:val="0"/>
          <w:lang w:val="en-GB"/>
        </w:rPr>
        <w:t>the Aboriginal and Torres Strait Islander population</w:t>
      </w:r>
      <w:r w:rsidR="00AE5A14" w:rsidRPr="009C1FD1">
        <w:rPr>
          <w:rFonts w:asciiTheme="minorHAnsi" w:hAnsiTheme="minorHAnsi"/>
          <w:snapToGrid w:val="0"/>
          <w:lang w:val="en-GB"/>
        </w:rPr>
        <w:t xml:space="preserve">, the </w:t>
      </w:r>
      <w:r w:rsidR="0079084F" w:rsidRPr="009C1FD1">
        <w:rPr>
          <w:rFonts w:asciiTheme="minorHAnsi" w:hAnsiTheme="minorHAnsi"/>
          <w:snapToGrid w:val="0"/>
          <w:lang w:val="en-GB"/>
        </w:rPr>
        <w:t xml:space="preserve">age-specific </w:t>
      </w:r>
      <w:r w:rsidR="00AE5A14" w:rsidRPr="009C1FD1">
        <w:rPr>
          <w:rFonts w:asciiTheme="minorHAnsi" w:hAnsiTheme="minorHAnsi"/>
          <w:snapToGrid w:val="0"/>
          <w:lang w:val="en-GB"/>
        </w:rPr>
        <w:t>rates of</w:t>
      </w:r>
      <w:r w:rsidR="0079084F" w:rsidRPr="009C1FD1">
        <w:rPr>
          <w:rFonts w:asciiTheme="minorHAnsi" w:hAnsiTheme="minorHAnsi"/>
          <w:snapToGrid w:val="0"/>
          <w:lang w:val="en-GB"/>
        </w:rPr>
        <w:t xml:space="preserve"> HZ-related hospitalisation </w:t>
      </w:r>
      <w:r w:rsidR="002E5370" w:rsidRPr="009C1FD1">
        <w:rPr>
          <w:rFonts w:asciiTheme="minorHAnsi" w:hAnsiTheme="minorHAnsi"/>
          <w:snapToGrid w:val="0"/>
          <w:lang w:val="en-GB"/>
        </w:rPr>
        <w:t xml:space="preserve">were </w:t>
      </w:r>
      <w:r w:rsidR="0079084F" w:rsidRPr="009C1FD1">
        <w:rPr>
          <w:rFonts w:asciiTheme="minorHAnsi" w:hAnsiTheme="minorHAnsi"/>
          <w:snapToGrid w:val="0"/>
          <w:lang w:val="en-GB"/>
        </w:rPr>
        <w:t xml:space="preserve">generally higher than for the </w:t>
      </w:r>
      <w:r w:rsidR="004438A0" w:rsidRPr="009C1FD1">
        <w:rPr>
          <w:rFonts w:asciiTheme="minorHAnsi" w:hAnsiTheme="minorHAnsi"/>
          <w:snapToGrid w:val="0"/>
          <w:lang w:val="en-GB"/>
        </w:rPr>
        <w:t>non-Indigenous population</w:t>
      </w:r>
      <w:r w:rsidR="0079084F" w:rsidRPr="009C1FD1">
        <w:rPr>
          <w:rFonts w:asciiTheme="minorHAnsi" w:hAnsiTheme="minorHAnsi"/>
          <w:snapToGrid w:val="0"/>
          <w:lang w:val="en-GB"/>
        </w:rPr>
        <w:t xml:space="preserve">, which suggests a higher disease burden. The PBAC </w:t>
      </w:r>
      <w:r w:rsidR="000A1592" w:rsidRPr="009C1FD1">
        <w:rPr>
          <w:rFonts w:asciiTheme="minorHAnsi" w:hAnsiTheme="minorHAnsi"/>
          <w:snapToGrid w:val="0"/>
          <w:lang w:val="en-GB"/>
        </w:rPr>
        <w:t>noted</w:t>
      </w:r>
      <w:r w:rsidR="0079084F" w:rsidRPr="009C1FD1">
        <w:rPr>
          <w:rFonts w:asciiTheme="minorHAnsi" w:hAnsiTheme="minorHAnsi"/>
          <w:snapToGrid w:val="0"/>
          <w:lang w:val="en-GB"/>
        </w:rPr>
        <w:t xml:space="preserve"> </w:t>
      </w:r>
      <w:r w:rsidR="004438A0" w:rsidRPr="009C1FD1">
        <w:rPr>
          <w:rFonts w:asciiTheme="minorHAnsi" w:hAnsiTheme="minorHAnsi"/>
          <w:snapToGrid w:val="0"/>
          <w:lang w:val="en-GB"/>
        </w:rPr>
        <w:t xml:space="preserve">the </w:t>
      </w:r>
      <w:r w:rsidR="004438A0">
        <w:t xml:space="preserve">higher ICER </w:t>
      </w:r>
      <w:r w:rsidR="004438A0" w:rsidRPr="006508AA">
        <w:t xml:space="preserve">reflected the lower life expectancy reported for the </w:t>
      </w:r>
      <w:r w:rsidR="004438A0" w:rsidRPr="009C1FD1">
        <w:rPr>
          <w:rFonts w:asciiTheme="minorHAnsi" w:hAnsiTheme="minorHAnsi"/>
          <w:snapToGrid w:val="0"/>
          <w:lang w:val="en-GB"/>
        </w:rPr>
        <w:t>Aboriginal and Torres Strait Islander population.</w:t>
      </w:r>
      <w:r w:rsidR="004438A0" w:rsidRPr="006508AA">
        <w:t xml:space="preserve"> </w:t>
      </w:r>
    </w:p>
    <w:p w14:paraId="03580866" w14:textId="3615D9DC" w:rsidR="00760993" w:rsidRPr="006508AA" w:rsidRDefault="006508AA" w:rsidP="003E7501">
      <w:pPr>
        <w:widowControl w:val="0"/>
        <w:numPr>
          <w:ilvl w:val="1"/>
          <w:numId w:val="1"/>
        </w:numPr>
        <w:spacing w:after="120"/>
        <w:rPr>
          <w:rFonts w:asciiTheme="minorHAnsi" w:hAnsiTheme="minorHAnsi"/>
          <w:snapToGrid w:val="0"/>
          <w:lang w:val="en-GB"/>
        </w:rPr>
      </w:pPr>
      <w:r w:rsidRPr="006508AA">
        <w:rPr>
          <w:rFonts w:asciiTheme="minorHAnsi" w:hAnsiTheme="minorHAnsi"/>
          <w:snapToGrid w:val="0"/>
          <w:lang w:val="en-GB"/>
        </w:rPr>
        <w:t xml:space="preserve">The PBAC noted the cost effectiveness of RZV was not assessed in immunocompromised individuals but considered that, for the population </w:t>
      </w:r>
      <w:r w:rsidR="0070039E">
        <w:rPr>
          <w:rFonts w:asciiTheme="minorHAnsi" w:hAnsiTheme="minorHAnsi"/>
          <w:snapToGrid w:val="0"/>
          <w:lang w:val="en-GB"/>
        </w:rPr>
        <w:t xml:space="preserve">with conditions </w:t>
      </w:r>
      <w:r w:rsidRPr="006508AA">
        <w:rPr>
          <w:rFonts w:asciiTheme="minorHAnsi" w:hAnsiTheme="minorHAnsi"/>
          <w:snapToGrid w:val="0"/>
          <w:lang w:val="en-GB"/>
        </w:rPr>
        <w:t xml:space="preserve">at high risk of HZ </w:t>
      </w:r>
      <w:r>
        <w:rPr>
          <w:rFonts w:asciiTheme="minorHAnsi" w:hAnsiTheme="minorHAnsi"/>
          <w:snapToGrid w:val="0"/>
          <w:lang w:val="en-GB"/>
        </w:rPr>
        <w:t xml:space="preserve">infection </w:t>
      </w:r>
      <w:r w:rsidRPr="006508AA">
        <w:rPr>
          <w:rFonts w:asciiTheme="minorHAnsi" w:hAnsiTheme="minorHAnsi"/>
          <w:snapToGrid w:val="0"/>
          <w:lang w:val="en-GB"/>
        </w:rPr>
        <w:t>and complications</w:t>
      </w:r>
      <w:r w:rsidR="0070039E">
        <w:rPr>
          <w:rFonts w:asciiTheme="minorHAnsi" w:hAnsiTheme="minorHAnsi"/>
          <w:snapToGrid w:val="0"/>
          <w:lang w:val="en-GB"/>
        </w:rPr>
        <w:t xml:space="preserve"> (as described in paragraph </w:t>
      </w:r>
      <w:r w:rsidR="006F6D32" w:rsidRPr="009172B8">
        <w:rPr>
          <w:rFonts w:asciiTheme="minorHAnsi" w:hAnsiTheme="minorHAnsi"/>
          <w:snapToGrid w:val="0"/>
          <w:lang w:val="en-GB"/>
        </w:rPr>
        <w:fldChar w:fldCharType="begin" w:fldLock="1"/>
      </w:r>
      <w:r w:rsidR="006F6D32" w:rsidRPr="009172B8">
        <w:rPr>
          <w:rFonts w:asciiTheme="minorHAnsi" w:hAnsiTheme="minorHAnsi"/>
          <w:snapToGrid w:val="0"/>
          <w:lang w:val="en-GB"/>
        </w:rPr>
        <w:instrText xml:space="preserve"> REF _Ref130332365 \r \h  \* MERGEFORMAT </w:instrText>
      </w:r>
      <w:r w:rsidR="006F6D32" w:rsidRPr="009172B8">
        <w:rPr>
          <w:rFonts w:asciiTheme="minorHAnsi" w:hAnsiTheme="minorHAnsi"/>
          <w:snapToGrid w:val="0"/>
          <w:lang w:val="en-GB"/>
        </w:rPr>
      </w:r>
      <w:r w:rsidR="006F6D32" w:rsidRPr="009172B8">
        <w:rPr>
          <w:rFonts w:asciiTheme="minorHAnsi" w:hAnsiTheme="minorHAnsi"/>
          <w:snapToGrid w:val="0"/>
          <w:lang w:val="en-GB"/>
        </w:rPr>
        <w:fldChar w:fldCharType="separate"/>
      </w:r>
      <w:r w:rsidR="00602E99">
        <w:rPr>
          <w:rFonts w:asciiTheme="minorHAnsi" w:hAnsiTheme="minorHAnsi"/>
          <w:snapToGrid w:val="0"/>
          <w:lang w:val="en-GB"/>
        </w:rPr>
        <w:t>6.85</w:t>
      </w:r>
      <w:r w:rsidR="006F6D32" w:rsidRPr="009172B8">
        <w:rPr>
          <w:rFonts w:asciiTheme="minorHAnsi" w:hAnsiTheme="minorHAnsi"/>
          <w:snapToGrid w:val="0"/>
          <w:lang w:val="en-GB"/>
        </w:rPr>
        <w:fldChar w:fldCharType="end"/>
      </w:r>
      <w:r w:rsidR="0070039E" w:rsidRPr="009172B8">
        <w:rPr>
          <w:rFonts w:asciiTheme="minorHAnsi" w:hAnsiTheme="minorHAnsi"/>
          <w:snapToGrid w:val="0"/>
          <w:lang w:val="en-GB"/>
        </w:rPr>
        <w:t>)</w:t>
      </w:r>
      <w:r w:rsidRPr="009172B8">
        <w:rPr>
          <w:rFonts w:asciiTheme="minorHAnsi" w:hAnsiTheme="minorHAnsi"/>
          <w:snapToGrid w:val="0"/>
          <w:lang w:val="en-GB"/>
        </w:rPr>
        <w:t>,</w:t>
      </w:r>
      <w:r w:rsidRPr="006508AA">
        <w:rPr>
          <w:rFonts w:asciiTheme="minorHAnsi" w:hAnsiTheme="minorHAnsi"/>
          <w:snapToGrid w:val="0"/>
          <w:lang w:val="en-GB"/>
        </w:rPr>
        <w:t xml:space="preserve"> RZV was likely to be at least similarly cost-effective. </w:t>
      </w:r>
    </w:p>
    <w:p w14:paraId="73991323" w14:textId="134EFC9B" w:rsidR="00251BD0" w:rsidRPr="00251BD0" w:rsidRDefault="00251BD0" w:rsidP="00251BD0">
      <w:pPr>
        <w:widowControl w:val="0"/>
        <w:spacing w:after="120"/>
        <w:rPr>
          <w:rFonts w:asciiTheme="minorHAnsi" w:hAnsiTheme="minorHAnsi"/>
          <w:b/>
          <w:bCs/>
          <w:snapToGrid w:val="0"/>
          <w:lang w:val="en-GB"/>
        </w:rPr>
      </w:pPr>
      <w:r w:rsidRPr="00251BD0">
        <w:rPr>
          <w:rFonts w:asciiTheme="minorHAnsi" w:hAnsiTheme="minorHAnsi"/>
          <w:b/>
          <w:bCs/>
          <w:snapToGrid w:val="0"/>
          <w:lang w:val="en-GB"/>
        </w:rPr>
        <w:t>Recommendation for non-Indigenous individuals aged 70 years, Aboriginal and Torres Strait Islander individuals aged ≥ 50 years and immunocompromised individuals aged ≥ 18 years with conditions at high risk of HZ infection</w:t>
      </w:r>
    </w:p>
    <w:p w14:paraId="2B8F70B4" w14:textId="288EBA89" w:rsidR="001B725C" w:rsidRPr="001B725C" w:rsidRDefault="001B725C">
      <w:pPr>
        <w:widowControl w:val="0"/>
        <w:numPr>
          <w:ilvl w:val="1"/>
          <w:numId w:val="1"/>
        </w:numPr>
        <w:spacing w:after="120"/>
        <w:rPr>
          <w:rFonts w:asciiTheme="minorHAnsi" w:hAnsiTheme="minorHAnsi"/>
          <w:snapToGrid w:val="0"/>
          <w:lang w:val="en-GB"/>
        </w:rPr>
      </w:pPr>
      <w:bookmarkStart w:id="82" w:name="_Ref130832453"/>
      <w:r w:rsidRPr="006C0513">
        <w:rPr>
          <w:rFonts w:asciiTheme="minorHAnsi" w:hAnsiTheme="minorHAnsi"/>
          <w:snapToGrid w:val="0"/>
          <w:lang w:val="en-GB"/>
        </w:rPr>
        <w:t xml:space="preserve">The PBAC recommended RZV be a designated vaccine for the purposes of </w:t>
      </w:r>
      <w:r w:rsidRPr="009C1FD1">
        <w:rPr>
          <w:rFonts w:asciiTheme="minorHAnsi" w:hAnsiTheme="minorHAnsi"/>
          <w:i/>
          <w:iCs/>
          <w:snapToGrid w:val="0"/>
          <w:lang w:val="en-GB"/>
        </w:rPr>
        <w:t>the National Health Act 1953</w:t>
      </w:r>
      <w:r w:rsidRPr="006C0513">
        <w:rPr>
          <w:rFonts w:asciiTheme="minorHAnsi" w:hAnsiTheme="minorHAnsi"/>
          <w:snapToGrid w:val="0"/>
          <w:lang w:val="en-GB"/>
        </w:rPr>
        <w:t xml:space="preserve">, for the prevention of herpes zoster (HZ) and post-herpetic neuralgia for non-Indigenous individuals aged 70 years, Aboriginal and Torres Strait Islander individuals aged ≥ 50 years and immunocompromised individuals aged ≥ 18 years </w:t>
      </w:r>
      <w:r w:rsidR="0070039E" w:rsidRPr="006C0513">
        <w:rPr>
          <w:rFonts w:asciiTheme="minorHAnsi" w:hAnsiTheme="minorHAnsi"/>
          <w:snapToGrid w:val="0"/>
          <w:lang w:val="en-GB"/>
        </w:rPr>
        <w:t xml:space="preserve">with conditions </w:t>
      </w:r>
      <w:r w:rsidRPr="006C0513">
        <w:rPr>
          <w:rFonts w:asciiTheme="minorHAnsi" w:hAnsiTheme="minorHAnsi"/>
          <w:snapToGrid w:val="0"/>
          <w:lang w:val="en-GB"/>
        </w:rPr>
        <w:t>at high risk of HZ infection.</w:t>
      </w:r>
      <w:bookmarkEnd w:id="82"/>
    </w:p>
    <w:p w14:paraId="547CB0A2" w14:textId="531009EA" w:rsidR="00835656" w:rsidRPr="006C0513" w:rsidRDefault="00835656">
      <w:pPr>
        <w:widowControl w:val="0"/>
        <w:numPr>
          <w:ilvl w:val="1"/>
          <w:numId w:val="1"/>
        </w:numPr>
        <w:spacing w:after="120"/>
        <w:rPr>
          <w:rFonts w:asciiTheme="minorHAnsi" w:hAnsiTheme="minorHAnsi"/>
          <w:snapToGrid w:val="0"/>
          <w:lang w:val="en-GB"/>
        </w:rPr>
      </w:pPr>
      <w:r w:rsidRPr="006C0513">
        <w:rPr>
          <w:rFonts w:asciiTheme="minorHAnsi" w:hAnsiTheme="minorHAnsi"/>
          <w:snapToGrid w:val="0"/>
          <w:lang w:val="en-GB"/>
        </w:rPr>
        <w:t xml:space="preserve">The PBAC considered the range of ICERs presented in the resubmission were acceptable at the price requested for </w:t>
      </w:r>
      <w:r w:rsidR="006C0513" w:rsidRPr="006C0513">
        <w:rPr>
          <w:rFonts w:asciiTheme="minorHAnsi" w:hAnsiTheme="minorHAnsi"/>
          <w:snapToGrid w:val="0"/>
          <w:lang w:val="en-GB"/>
        </w:rPr>
        <w:t>these populations</w:t>
      </w:r>
      <w:r w:rsidR="006C0513">
        <w:rPr>
          <w:rFonts w:asciiTheme="minorHAnsi" w:hAnsiTheme="minorHAnsi"/>
          <w:snapToGrid w:val="0"/>
          <w:lang w:val="en-GB"/>
        </w:rPr>
        <w:t>, noting</w:t>
      </w:r>
      <w:r w:rsidRPr="006C0513">
        <w:rPr>
          <w:rFonts w:asciiTheme="minorHAnsi" w:hAnsiTheme="minorHAnsi"/>
          <w:snapToGrid w:val="0"/>
          <w:lang w:val="en-GB"/>
        </w:rPr>
        <w:t xml:space="preserve"> </w:t>
      </w:r>
      <w:r w:rsidR="006C0513">
        <w:rPr>
          <w:rFonts w:asciiTheme="minorHAnsi" w:hAnsiTheme="minorHAnsi"/>
          <w:snapToGrid w:val="0"/>
          <w:lang w:val="en-GB"/>
        </w:rPr>
        <w:t>the</w:t>
      </w:r>
      <w:r w:rsidR="003E7501" w:rsidRPr="006C0513">
        <w:rPr>
          <w:rFonts w:asciiTheme="minorHAnsi" w:hAnsiTheme="minorHAnsi"/>
          <w:snapToGrid w:val="0"/>
          <w:lang w:val="en-GB"/>
        </w:rPr>
        <w:t xml:space="preserve"> high clinical priority due to the </w:t>
      </w:r>
      <w:r w:rsidR="00FB5BA2" w:rsidRPr="006C0513">
        <w:rPr>
          <w:rFonts w:asciiTheme="minorHAnsi" w:hAnsiTheme="minorHAnsi"/>
          <w:snapToGrid w:val="0"/>
          <w:lang w:val="en-GB"/>
        </w:rPr>
        <w:t xml:space="preserve">potential </w:t>
      </w:r>
      <w:r w:rsidR="003E7501" w:rsidRPr="006C0513">
        <w:rPr>
          <w:rFonts w:asciiTheme="minorHAnsi" w:hAnsiTheme="minorHAnsi"/>
          <w:snapToGrid w:val="0"/>
          <w:lang w:val="en-GB"/>
        </w:rPr>
        <w:t xml:space="preserve">loss of </w:t>
      </w:r>
      <w:r w:rsidR="00030888" w:rsidRPr="006C0513">
        <w:rPr>
          <w:rFonts w:asciiTheme="minorHAnsi" w:hAnsiTheme="minorHAnsi"/>
          <w:snapToGrid w:val="0"/>
          <w:lang w:val="en-GB"/>
        </w:rPr>
        <w:t xml:space="preserve">the </w:t>
      </w:r>
      <w:r w:rsidR="003E7501" w:rsidRPr="006C0513">
        <w:rPr>
          <w:rFonts w:asciiTheme="minorHAnsi" w:hAnsiTheme="minorHAnsi"/>
          <w:snapToGrid w:val="0"/>
          <w:lang w:val="en-GB"/>
        </w:rPr>
        <w:t>Z</w:t>
      </w:r>
      <w:r w:rsidR="00176425" w:rsidRPr="006C0513">
        <w:rPr>
          <w:rFonts w:asciiTheme="minorHAnsi" w:hAnsiTheme="minorHAnsi"/>
          <w:snapToGrid w:val="0"/>
          <w:lang w:val="en-GB"/>
        </w:rPr>
        <w:t>VL</w:t>
      </w:r>
      <w:r w:rsidR="00030888" w:rsidRPr="006C0513">
        <w:rPr>
          <w:rFonts w:asciiTheme="minorHAnsi" w:hAnsiTheme="minorHAnsi"/>
          <w:snapToGrid w:val="0"/>
          <w:lang w:val="en-GB"/>
        </w:rPr>
        <w:t xml:space="preserve"> </w:t>
      </w:r>
      <w:r w:rsidR="00776950" w:rsidRPr="006C0513">
        <w:rPr>
          <w:rFonts w:asciiTheme="minorHAnsi" w:hAnsiTheme="minorHAnsi"/>
          <w:snapToGrid w:val="0"/>
          <w:lang w:val="en-GB"/>
        </w:rPr>
        <w:t>through</w:t>
      </w:r>
      <w:r w:rsidR="00030888" w:rsidRPr="006C0513">
        <w:rPr>
          <w:rFonts w:asciiTheme="minorHAnsi" w:hAnsiTheme="minorHAnsi"/>
          <w:snapToGrid w:val="0"/>
          <w:lang w:val="en-GB"/>
        </w:rPr>
        <w:t xml:space="preserve"> the NIP</w:t>
      </w:r>
      <w:r w:rsidR="00176425" w:rsidRPr="006C0513">
        <w:rPr>
          <w:rFonts w:asciiTheme="minorHAnsi" w:hAnsiTheme="minorHAnsi"/>
          <w:snapToGrid w:val="0"/>
          <w:lang w:val="en-GB"/>
        </w:rPr>
        <w:t xml:space="preserve"> </w:t>
      </w:r>
      <w:r w:rsidR="003E7501" w:rsidRPr="006C0513">
        <w:rPr>
          <w:rFonts w:asciiTheme="minorHAnsi" w:hAnsiTheme="minorHAnsi"/>
          <w:snapToGrid w:val="0"/>
          <w:lang w:val="en-GB"/>
        </w:rPr>
        <w:t>and the high risk of HZ infection and complications.</w:t>
      </w:r>
      <w:r w:rsidR="00602B19" w:rsidRPr="006C0513">
        <w:rPr>
          <w:rFonts w:asciiTheme="minorHAnsi" w:hAnsiTheme="minorHAnsi"/>
          <w:snapToGrid w:val="0"/>
          <w:lang w:val="en-GB"/>
        </w:rPr>
        <w:t xml:space="preserve"> The PBAC noted that the cost-effectiveness </w:t>
      </w:r>
      <w:r w:rsidR="00E53791" w:rsidRPr="006C0513">
        <w:rPr>
          <w:rFonts w:asciiTheme="minorHAnsi" w:hAnsiTheme="minorHAnsi"/>
          <w:snapToGrid w:val="0"/>
          <w:lang w:val="en-GB"/>
        </w:rPr>
        <w:t xml:space="preserve">of RZV </w:t>
      </w:r>
      <w:r w:rsidR="00602B19" w:rsidRPr="006C0513">
        <w:rPr>
          <w:rFonts w:asciiTheme="minorHAnsi" w:hAnsiTheme="minorHAnsi"/>
          <w:snapToGrid w:val="0"/>
          <w:lang w:val="en-GB"/>
        </w:rPr>
        <w:t xml:space="preserve">relied </w:t>
      </w:r>
      <w:r w:rsidR="0070039E" w:rsidRPr="006C0513">
        <w:rPr>
          <w:rFonts w:asciiTheme="minorHAnsi" w:hAnsiTheme="minorHAnsi"/>
          <w:snapToGrid w:val="0"/>
          <w:lang w:val="en-GB"/>
        </w:rPr>
        <w:t xml:space="preserve">on </w:t>
      </w:r>
      <w:r w:rsidR="00E53791" w:rsidRPr="006C0513">
        <w:rPr>
          <w:rFonts w:asciiTheme="minorHAnsi" w:hAnsiTheme="minorHAnsi"/>
          <w:snapToGrid w:val="0"/>
          <w:lang w:val="en-GB"/>
        </w:rPr>
        <w:t>its</w:t>
      </w:r>
      <w:r w:rsidR="00602B19" w:rsidRPr="006C0513">
        <w:rPr>
          <w:rFonts w:asciiTheme="minorHAnsi" w:hAnsiTheme="minorHAnsi"/>
          <w:snapToGrid w:val="0"/>
          <w:lang w:val="en-GB"/>
        </w:rPr>
        <w:t xml:space="preserve"> efficacy being maintained well beyond the 10 years for which clinical data are available. In this context, the PBAC considered the long-term efficacy of RZV should be monitored and the </w:t>
      </w:r>
      <w:r w:rsidR="00E53791" w:rsidRPr="006C0513">
        <w:rPr>
          <w:rFonts w:asciiTheme="minorHAnsi" w:hAnsiTheme="minorHAnsi"/>
          <w:snapToGrid w:val="0"/>
          <w:lang w:val="en-GB"/>
        </w:rPr>
        <w:t xml:space="preserve">cost-effectiveness reconsidered if </w:t>
      </w:r>
      <w:r w:rsidR="00602B19" w:rsidRPr="006C0513">
        <w:rPr>
          <w:rFonts w:asciiTheme="minorHAnsi" w:hAnsiTheme="minorHAnsi"/>
          <w:snapToGrid w:val="0"/>
          <w:lang w:val="en-GB"/>
        </w:rPr>
        <w:t xml:space="preserve">a booster dose </w:t>
      </w:r>
      <w:r w:rsidR="00E53791" w:rsidRPr="006C0513">
        <w:rPr>
          <w:rFonts w:asciiTheme="minorHAnsi" w:hAnsiTheme="minorHAnsi"/>
          <w:snapToGrid w:val="0"/>
          <w:lang w:val="en-GB"/>
        </w:rPr>
        <w:t xml:space="preserve">is required or if </w:t>
      </w:r>
      <w:r w:rsidR="00251BD0" w:rsidRPr="006C0513">
        <w:rPr>
          <w:rFonts w:asciiTheme="minorHAnsi" w:hAnsiTheme="minorHAnsi"/>
          <w:snapToGrid w:val="0"/>
          <w:lang w:val="en-GB"/>
        </w:rPr>
        <w:t xml:space="preserve">long-term </w:t>
      </w:r>
      <w:r w:rsidR="00E53791" w:rsidRPr="006C0513">
        <w:rPr>
          <w:rFonts w:asciiTheme="minorHAnsi" w:hAnsiTheme="minorHAnsi"/>
          <w:snapToGrid w:val="0"/>
          <w:lang w:val="en-GB"/>
        </w:rPr>
        <w:t xml:space="preserve">efficacy is less than predicted (see </w:t>
      </w:r>
      <w:r w:rsidR="00E9145A" w:rsidRPr="006C0513">
        <w:rPr>
          <w:rFonts w:asciiTheme="minorHAnsi" w:hAnsiTheme="minorHAnsi"/>
          <w:snapToGrid w:val="0"/>
          <w:lang w:val="en-GB"/>
        </w:rPr>
        <w:fldChar w:fldCharType="begin" w:fldLock="1"/>
      </w:r>
      <w:r w:rsidR="00E9145A" w:rsidRPr="006C0513">
        <w:rPr>
          <w:rFonts w:asciiTheme="minorHAnsi" w:hAnsiTheme="minorHAnsi"/>
          <w:snapToGrid w:val="0"/>
          <w:lang w:val="en-GB"/>
        </w:rPr>
        <w:instrText xml:space="preserve"> REF _Ref124752866 \h  \* MERGEFORMAT </w:instrText>
      </w:r>
      <w:r w:rsidR="00E9145A" w:rsidRPr="006C0513">
        <w:rPr>
          <w:rFonts w:asciiTheme="minorHAnsi" w:hAnsiTheme="minorHAnsi"/>
          <w:snapToGrid w:val="0"/>
          <w:lang w:val="en-GB"/>
        </w:rPr>
      </w:r>
      <w:r w:rsidR="00E9145A" w:rsidRPr="006C0513">
        <w:rPr>
          <w:rFonts w:asciiTheme="minorHAnsi" w:hAnsiTheme="minorHAnsi"/>
          <w:snapToGrid w:val="0"/>
          <w:lang w:val="en-GB"/>
        </w:rPr>
        <w:fldChar w:fldCharType="separate"/>
      </w:r>
      <w:r w:rsidR="00441995" w:rsidRPr="00441995">
        <w:rPr>
          <w:rFonts w:asciiTheme="minorHAnsi" w:hAnsiTheme="minorHAnsi"/>
          <w:snapToGrid w:val="0"/>
          <w:lang w:val="en-GB"/>
        </w:rPr>
        <w:t>Figure 2</w:t>
      </w:r>
      <w:r w:rsidR="00E9145A" w:rsidRPr="006C0513">
        <w:rPr>
          <w:rFonts w:asciiTheme="minorHAnsi" w:hAnsiTheme="minorHAnsi"/>
          <w:snapToGrid w:val="0"/>
          <w:lang w:val="en-GB"/>
        </w:rPr>
        <w:fldChar w:fldCharType="end"/>
      </w:r>
      <w:r w:rsidR="00E9145A" w:rsidRPr="006C0513">
        <w:rPr>
          <w:rFonts w:asciiTheme="minorHAnsi" w:hAnsiTheme="minorHAnsi"/>
          <w:snapToGrid w:val="0"/>
          <w:lang w:val="en-GB"/>
        </w:rPr>
        <w:t>).</w:t>
      </w:r>
    </w:p>
    <w:p w14:paraId="72D21FD2" w14:textId="55C282D7" w:rsidR="00251BD0" w:rsidRPr="001608C3" w:rsidRDefault="00251BD0" w:rsidP="00251BD0">
      <w:pPr>
        <w:pStyle w:val="3-BodyText"/>
        <w:rPr>
          <w:lang w:val="en-GB"/>
        </w:rPr>
      </w:pPr>
      <w:r>
        <w:rPr>
          <w:lang w:val="en-GB"/>
        </w:rPr>
        <w:t xml:space="preserve">The PBAC noted that a booster dose with RZV </w:t>
      </w:r>
      <w:r w:rsidRPr="002852A7">
        <w:rPr>
          <w:lang w:val="en-GB"/>
        </w:rPr>
        <w:t>is not currently recommended</w:t>
      </w:r>
      <w:r>
        <w:rPr>
          <w:lang w:val="en-GB"/>
        </w:rPr>
        <w:t xml:space="preserve"> and </w:t>
      </w:r>
      <w:r w:rsidRPr="00FB5BA2">
        <w:rPr>
          <w:lang w:val="en-GB"/>
        </w:rPr>
        <w:t xml:space="preserve">therefore </w:t>
      </w:r>
      <w:r>
        <w:rPr>
          <w:lang w:val="en-GB"/>
        </w:rPr>
        <w:t xml:space="preserve">at this stage individuals previously vaccinated with 2 doses of RZV should not be eligible for RZV through the NIP. The PBAC noted the ICERs for individuals who have previously received ZVL were higher than the base case ICERs (see paragraph </w:t>
      </w:r>
      <w:r>
        <w:rPr>
          <w:lang w:val="en-GB"/>
        </w:rPr>
        <w:fldChar w:fldCharType="begin" w:fldLock="1"/>
      </w:r>
      <w:r>
        <w:rPr>
          <w:lang w:val="en-GB"/>
        </w:rPr>
        <w:instrText xml:space="preserve"> REF _Ref129850630 \r \h </w:instrText>
      </w:r>
      <w:r>
        <w:rPr>
          <w:lang w:val="en-GB"/>
        </w:rPr>
      </w:r>
      <w:r>
        <w:rPr>
          <w:lang w:val="en-GB"/>
        </w:rPr>
        <w:fldChar w:fldCharType="separate"/>
      </w:r>
      <w:r w:rsidR="00602E99">
        <w:rPr>
          <w:lang w:val="en-GB"/>
        </w:rPr>
        <w:t>6.65</w:t>
      </w:r>
      <w:r>
        <w:rPr>
          <w:lang w:val="en-GB"/>
        </w:rPr>
        <w:fldChar w:fldCharType="end"/>
      </w:r>
      <w:r>
        <w:rPr>
          <w:lang w:val="en-GB"/>
        </w:rPr>
        <w:t>). However, the PBAC considered that, given the effectiveness of ZVL was likely to be low after 5 years, vaccination with RZV after this timeframe would be clinically reasonable</w:t>
      </w:r>
      <w:r w:rsidR="00DD64FC">
        <w:rPr>
          <w:lang w:val="en-GB"/>
        </w:rPr>
        <w:t xml:space="preserve"> as </w:t>
      </w:r>
      <w:r w:rsidR="00E331BE">
        <w:rPr>
          <w:lang w:val="en-GB"/>
        </w:rPr>
        <w:t>supported</w:t>
      </w:r>
      <w:r w:rsidR="00DD64FC">
        <w:rPr>
          <w:lang w:val="en-GB"/>
        </w:rPr>
        <w:t xml:space="preserve"> by ATAGI (see paragraph </w:t>
      </w:r>
      <w:r w:rsidR="00E331BE">
        <w:rPr>
          <w:highlight w:val="green"/>
          <w:lang w:val="en-GB"/>
        </w:rPr>
        <w:fldChar w:fldCharType="begin" w:fldLock="1"/>
      </w:r>
      <w:r w:rsidR="00E331BE">
        <w:rPr>
          <w:lang w:val="en-GB"/>
        </w:rPr>
        <w:instrText xml:space="preserve"> REF _Ref130738774 \r \h </w:instrText>
      </w:r>
      <w:r w:rsidR="00E331BE">
        <w:rPr>
          <w:highlight w:val="green"/>
          <w:lang w:val="en-GB"/>
        </w:rPr>
      </w:r>
      <w:r w:rsidR="00E331BE">
        <w:rPr>
          <w:highlight w:val="green"/>
          <w:lang w:val="en-GB"/>
        </w:rPr>
        <w:fldChar w:fldCharType="separate"/>
      </w:r>
      <w:r w:rsidR="00602E99">
        <w:rPr>
          <w:lang w:val="en-GB"/>
        </w:rPr>
        <w:t>6.76</w:t>
      </w:r>
      <w:r w:rsidR="00E331BE">
        <w:rPr>
          <w:highlight w:val="green"/>
          <w:lang w:val="en-GB"/>
        </w:rPr>
        <w:fldChar w:fldCharType="end"/>
      </w:r>
      <w:r w:rsidR="00DD64FC">
        <w:rPr>
          <w:lang w:val="en-GB"/>
        </w:rPr>
        <w:t>)</w:t>
      </w:r>
      <w:r w:rsidR="00D31774">
        <w:rPr>
          <w:lang w:val="en-GB"/>
        </w:rPr>
        <w:t xml:space="preserve"> and should be funded on the NIP</w:t>
      </w:r>
      <w:r>
        <w:rPr>
          <w:lang w:val="en-GB"/>
        </w:rPr>
        <w:t xml:space="preserve">. </w:t>
      </w:r>
    </w:p>
    <w:p w14:paraId="3668F029" w14:textId="29402281" w:rsidR="00251BD0" w:rsidRDefault="00251BD0" w:rsidP="00251BD0">
      <w:pPr>
        <w:widowControl w:val="0"/>
        <w:numPr>
          <w:ilvl w:val="1"/>
          <w:numId w:val="1"/>
        </w:numPr>
        <w:spacing w:after="120"/>
        <w:rPr>
          <w:rFonts w:asciiTheme="minorHAnsi" w:hAnsiTheme="minorHAnsi"/>
          <w:snapToGrid w:val="0"/>
          <w:lang w:val="en-GB"/>
        </w:rPr>
      </w:pPr>
      <w:r w:rsidRPr="0091392F">
        <w:rPr>
          <w:rFonts w:asciiTheme="minorHAnsi" w:hAnsiTheme="minorHAnsi"/>
          <w:snapToGrid w:val="0"/>
          <w:lang w:val="en-GB"/>
        </w:rPr>
        <w:t xml:space="preserve">The PBAC </w:t>
      </w:r>
      <w:r>
        <w:rPr>
          <w:rFonts w:asciiTheme="minorHAnsi" w:hAnsiTheme="minorHAnsi"/>
          <w:snapToGrid w:val="0"/>
          <w:lang w:val="en-GB"/>
        </w:rPr>
        <w:t xml:space="preserve">considered the estimated financial cost of listing RZV on the NIP for </w:t>
      </w:r>
      <w:r w:rsidRPr="009F1F23">
        <w:rPr>
          <w:rFonts w:asciiTheme="minorHAnsi" w:hAnsiTheme="minorHAnsi"/>
          <w:snapToGrid w:val="0"/>
          <w:lang w:val="en-GB"/>
        </w:rPr>
        <w:t xml:space="preserve">non-Indigenous individuals aged 70 years, Aboriginal and Torres Strait Islander individuals aged ≥ 50 years and immunocompromised individuals aged ≥ 18 years </w:t>
      </w:r>
      <w:r w:rsidRPr="006E790F">
        <w:rPr>
          <w:rFonts w:asciiTheme="minorHAnsi" w:hAnsiTheme="minorHAnsi"/>
          <w:snapToGrid w:val="0"/>
          <w:lang w:val="en-GB"/>
        </w:rPr>
        <w:t>with conditions</w:t>
      </w:r>
      <w:r>
        <w:rPr>
          <w:rFonts w:asciiTheme="minorHAnsi" w:hAnsiTheme="minorHAnsi"/>
          <w:snapToGrid w:val="0"/>
          <w:lang w:val="en-GB"/>
        </w:rPr>
        <w:t xml:space="preserve"> </w:t>
      </w:r>
      <w:r w:rsidRPr="009F1F23">
        <w:rPr>
          <w:rFonts w:asciiTheme="minorHAnsi" w:hAnsiTheme="minorHAnsi"/>
          <w:snapToGrid w:val="0"/>
          <w:lang w:val="en-GB"/>
        </w:rPr>
        <w:t>at high risk of HZ infection</w:t>
      </w:r>
      <w:r>
        <w:rPr>
          <w:rFonts w:asciiTheme="minorHAnsi" w:hAnsiTheme="minorHAnsi"/>
          <w:snapToGrid w:val="0"/>
          <w:lang w:val="en-GB"/>
        </w:rPr>
        <w:t xml:space="preserve"> could reliably be determined using the estimates model provided in the resubmission</w:t>
      </w:r>
      <w:r w:rsidR="006F6D32">
        <w:rPr>
          <w:rFonts w:asciiTheme="minorHAnsi" w:hAnsiTheme="minorHAnsi"/>
          <w:snapToGrid w:val="0"/>
          <w:lang w:val="en-GB"/>
        </w:rPr>
        <w:t xml:space="preserve"> (with appropriate amendments to account for a primary </w:t>
      </w:r>
      <w:r w:rsidR="006F6D32">
        <w:rPr>
          <w:rFonts w:asciiTheme="minorHAnsi" w:hAnsiTheme="minorHAnsi"/>
          <w:snapToGrid w:val="0"/>
          <w:lang w:val="en-GB"/>
        </w:rPr>
        <w:lastRenderedPageBreak/>
        <w:t>program in individuals aged 70 years</w:t>
      </w:r>
      <w:r w:rsidR="00FF6C54">
        <w:rPr>
          <w:rFonts w:asciiTheme="minorHAnsi" w:hAnsiTheme="minorHAnsi"/>
          <w:snapToGrid w:val="0"/>
          <w:lang w:val="en-GB"/>
        </w:rPr>
        <w:t>, rather than 65 years</w:t>
      </w:r>
      <w:r w:rsidR="006F6D32">
        <w:rPr>
          <w:rFonts w:asciiTheme="minorHAnsi" w:hAnsiTheme="minorHAnsi"/>
          <w:snapToGrid w:val="0"/>
          <w:lang w:val="en-GB"/>
        </w:rPr>
        <w:t>)</w:t>
      </w:r>
      <w:r w:rsidRPr="009F1F23">
        <w:rPr>
          <w:rFonts w:asciiTheme="minorHAnsi" w:hAnsiTheme="minorHAnsi"/>
          <w:snapToGrid w:val="0"/>
          <w:lang w:val="en-GB"/>
        </w:rPr>
        <w:t>.</w:t>
      </w:r>
      <w:r>
        <w:rPr>
          <w:rFonts w:asciiTheme="minorHAnsi" w:hAnsiTheme="minorHAnsi"/>
          <w:snapToGrid w:val="0"/>
          <w:lang w:val="en-GB"/>
        </w:rPr>
        <w:t xml:space="preserve"> </w:t>
      </w:r>
      <w:r w:rsidR="00E9145A">
        <w:rPr>
          <w:rFonts w:asciiTheme="minorHAnsi" w:hAnsiTheme="minorHAnsi"/>
          <w:snapToGrid w:val="0"/>
          <w:lang w:val="en-GB"/>
        </w:rPr>
        <w:t xml:space="preserve">The PBAC noted individuals previously vaccinated with 2 doses of RZV and individuals who have received ZVL in the previous 5 years should be removed from the estimates. </w:t>
      </w:r>
      <w:r>
        <w:rPr>
          <w:rFonts w:asciiTheme="minorHAnsi" w:hAnsiTheme="minorHAnsi"/>
          <w:snapToGrid w:val="0"/>
          <w:lang w:val="en-GB"/>
        </w:rPr>
        <w:t xml:space="preserve">The PBAC noted the ATAGI </w:t>
      </w:r>
      <w:r w:rsidR="00417F64">
        <w:rPr>
          <w:rFonts w:asciiTheme="minorHAnsi" w:hAnsiTheme="minorHAnsi"/>
          <w:snapToGrid w:val="0"/>
          <w:lang w:val="en-GB"/>
        </w:rPr>
        <w:t xml:space="preserve">post-submission </w:t>
      </w:r>
      <w:r>
        <w:rPr>
          <w:rFonts w:asciiTheme="minorHAnsi" w:hAnsiTheme="minorHAnsi"/>
          <w:snapToGrid w:val="0"/>
          <w:lang w:val="en-GB"/>
        </w:rPr>
        <w:t xml:space="preserve">advice estimated the prevalence of immunocompromised individuals aged </w:t>
      </w:r>
      <w:r w:rsidRPr="009F1F23">
        <w:rPr>
          <w:rFonts w:asciiTheme="minorHAnsi" w:hAnsiTheme="minorHAnsi"/>
          <w:snapToGrid w:val="0"/>
          <w:lang w:val="en-GB"/>
        </w:rPr>
        <w:t>≥ 18 years</w:t>
      </w:r>
      <w:r>
        <w:rPr>
          <w:rFonts w:asciiTheme="minorHAnsi" w:hAnsiTheme="minorHAnsi"/>
          <w:snapToGrid w:val="0"/>
          <w:lang w:val="en-GB"/>
        </w:rPr>
        <w:t xml:space="preserve"> with conditions at the high risk of HZ </w:t>
      </w:r>
      <w:r w:rsidR="00E9145A">
        <w:rPr>
          <w:rFonts w:asciiTheme="minorHAnsi" w:hAnsiTheme="minorHAnsi"/>
          <w:snapToGrid w:val="0"/>
          <w:lang w:val="en-GB"/>
        </w:rPr>
        <w:t xml:space="preserve">(as defined in </w:t>
      </w:r>
      <w:r w:rsidR="00E9145A" w:rsidRPr="009172B8">
        <w:rPr>
          <w:rFonts w:asciiTheme="minorHAnsi" w:hAnsiTheme="minorHAnsi"/>
          <w:snapToGrid w:val="0"/>
          <w:lang w:val="en-GB"/>
        </w:rPr>
        <w:t xml:space="preserve">paragraph </w:t>
      </w:r>
      <w:r w:rsidR="00DF2B97" w:rsidRPr="009172B8">
        <w:rPr>
          <w:rFonts w:asciiTheme="minorHAnsi" w:hAnsiTheme="minorHAnsi"/>
          <w:snapToGrid w:val="0"/>
          <w:lang w:val="en-GB"/>
        </w:rPr>
        <w:fldChar w:fldCharType="begin" w:fldLock="1"/>
      </w:r>
      <w:r w:rsidR="00DF2B97" w:rsidRPr="009172B8">
        <w:rPr>
          <w:rFonts w:asciiTheme="minorHAnsi" w:hAnsiTheme="minorHAnsi"/>
          <w:snapToGrid w:val="0"/>
          <w:lang w:val="en-GB"/>
        </w:rPr>
        <w:instrText xml:space="preserve"> REF _Ref130332365 \r \h  \* MERGEFORMAT </w:instrText>
      </w:r>
      <w:r w:rsidR="00DF2B97" w:rsidRPr="009172B8">
        <w:rPr>
          <w:rFonts w:asciiTheme="minorHAnsi" w:hAnsiTheme="minorHAnsi"/>
          <w:snapToGrid w:val="0"/>
          <w:lang w:val="en-GB"/>
        </w:rPr>
      </w:r>
      <w:r w:rsidR="00DF2B97" w:rsidRPr="009172B8">
        <w:rPr>
          <w:rFonts w:asciiTheme="minorHAnsi" w:hAnsiTheme="minorHAnsi"/>
          <w:snapToGrid w:val="0"/>
          <w:lang w:val="en-GB"/>
        </w:rPr>
        <w:fldChar w:fldCharType="separate"/>
      </w:r>
      <w:r w:rsidR="00602E99">
        <w:rPr>
          <w:rFonts w:asciiTheme="minorHAnsi" w:hAnsiTheme="minorHAnsi"/>
          <w:snapToGrid w:val="0"/>
          <w:lang w:val="en-GB"/>
        </w:rPr>
        <w:t>6.85</w:t>
      </w:r>
      <w:r w:rsidR="00DF2B97" w:rsidRPr="009172B8">
        <w:rPr>
          <w:rFonts w:asciiTheme="minorHAnsi" w:hAnsiTheme="minorHAnsi"/>
          <w:snapToGrid w:val="0"/>
          <w:lang w:val="en-GB"/>
        </w:rPr>
        <w:fldChar w:fldCharType="end"/>
      </w:r>
      <w:r w:rsidR="00E9145A" w:rsidRPr="009172B8">
        <w:rPr>
          <w:rFonts w:asciiTheme="minorHAnsi" w:hAnsiTheme="minorHAnsi"/>
          <w:snapToGrid w:val="0"/>
          <w:lang w:val="en-GB"/>
        </w:rPr>
        <w:t xml:space="preserve">) </w:t>
      </w:r>
      <w:r w:rsidRPr="009172B8">
        <w:rPr>
          <w:rFonts w:asciiTheme="minorHAnsi" w:hAnsiTheme="minorHAnsi"/>
          <w:snapToGrid w:val="0"/>
          <w:lang w:val="en-GB"/>
        </w:rPr>
        <w:t>is 126,170.</w:t>
      </w:r>
    </w:p>
    <w:p w14:paraId="0F13C639" w14:textId="1188ACCB" w:rsidR="00251BD0" w:rsidRPr="00251BD0" w:rsidRDefault="00251BD0" w:rsidP="00251BD0">
      <w:pPr>
        <w:widowControl w:val="0"/>
        <w:spacing w:after="120"/>
        <w:rPr>
          <w:rFonts w:asciiTheme="minorHAnsi" w:hAnsiTheme="minorHAnsi"/>
          <w:b/>
          <w:bCs/>
          <w:snapToGrid w:val="0"/>
          <w:lang w:val="en-GB"/>
        </w:rPr>
      </w:pPr>
      <w:r>
        <w:rPr>
          <w:rFonts w:asciiTheme="minorHAnsi" w:hAnsiTheme="minorHAnsi"/>
          <w:b/>
          <w:bCs/>
          <w:snapToGrid w:val="0"/>
          <w:lang w:val="en-GB"/>
        </w:rPr>
        <w:t xml:space="preserve">Recommendation for </w:t>
      </w:r>
      <w:r w:rsidR="00E9145A">
        <w:rPr>
          <w:rFonts w:asciiTheme="minorHAnsi" w:hAnsiTheme="minorHAnsi"/>
          <w:b/>
          <w:bCs/>
          <w:snapToGrid w:val="0"/>
          <w:lang w:val="en-GB"/>
        </w:rPr>
        <w:t xml:space="preserve">the </w:t>
      </w:r>
      <w:r>
        <w:rPr>
          <w:rFonts w:asciiTheme="minorHAnsi" w:hAnsiTheme="minorHAnsi"/>
          <w:b/>
          <w:bCs/>
          <w:snapToGrid w:val="0"/>
          <w:lang w:val="en-GB"/>
        </w:rPr>
        <w:t xml:space="preserve">broader population </w:t>
      </w:r>
      <w:r w:rsidRPr="00251BD0">
        <w:rPr>
          <w:rFonts w:asciiTheme="minorHAnsi" w:hAnsiTheme="minorHAnsi"/>
          <w:b/>
          <w:bCs/>
          <w:snapToGrid w:val="0"/>
          <w:lang w:val="en-GB"/>
        </w:rPr>
        <w:t xml:space="preserve">of immunocompromised individuals aged ≥ 18 years at </w:t>
      </w:r>
      <w:r w:rsidR="00E9145A">
        <w:rPr>
          <w:rFonts w:asciiTheme="minorHAnsi" w:hAnsiTheme="minorHAnsi"/>
          <w:b/>
          <w:bCs/>
          <w:snapToGrid w:val="0"/>
          <w:lang w:val="en-GB"/>
        </w:rPr>
        <w:t xml:space="preserve">increased </w:t>
      </w:r>
      <w:r w:rsidRPr="00251BD0">
        <w:rPr>
          <w:rFonts w:asciiTheme="minorHAnsi" w:hAnsiTheme="minorHAnsi"/>
          <w:b/>
          <w:bCs/>
          <w:snapToGrid w:val="0"/>
          <w:lang w:val="en-GB"/>
        </w:rPr>
        <w:t>risk of HZ</w:t>
      </w:r>
    </w:p>
    <w:p w14:paraId="0F2597B5" w14:textId="10FF49F4" w:rsidR="001B725C" w:rsidRDefault="001B725C">
      <w:pPr>
        <w:widowControl w:val="0"/>
        <w:numPr>
          <w:ilvl w:val="1"/>
          <w:numId w:val="1"/>
        </w:numPr>
        <w:spacing w:after="120"/>
        <w:rPr>
          <w:rFonts w:asciiTheme="minorHAnsi" w:hAnsiTheme="minorHAnsi"/>
          <w:snapToGrid w:val="0"/>
          <w:lang w:val="en-GB"/>
        </w:rPr>
      </w:pPr>
      <w:r w:rsidRPr="006C0513">
        <w:rPr>
          <w:rFonts w:asciiTheme="minorHAnsi" w:hAnsiTheme="minorHAnsi"/>
          <w:snapToGrid w:val="0"/>
          <w:lang w:val="en-GB"/>
        </w:rPr>
        <w:t xml:space="preserve">The PBAC deferred a decision for the broader population of immunocompromised individuals aged ≥ 18 years at </w:t>
      </w:r>
      <w:r w:rsidR="00E9145A" w:rsidRPr="006C0513">
        <w:rPr>
          <w:rFonts w:asciiTheme="minorHAnsi" w:hAnsiTheme="minorHAnsi"/>
          <w:snapToGrid w:val="0"/>
          <w:lang w:val="en-GB"/>
        </w:rPr>
        <w:t xml:space="preserve">increased </w:t>
      </w:r>
      <w:r w:rsidR="00D54EAD" w:rsidRPr="006C0513">
        <w:rPr>
          <w:rFonts w:asciiTheme="minorHAnsi" w:hAnsiTheme="minorHAnsi"/>
          <w:snapToGrid w:val="0"/>
          <w:lang w:val="en-GB"/>
        </w:rPr>
        <w:t xml:space="preserve">risk </w:t>
      </w:r>
      <w:r w:rsidRPr="006C0513">
        <w:rPr>
          <w:rFonts w:asciiTheme="minorHAnsi" w:hAnsiTheme="minorHAnsi"/>
          <w:snapToGrid w:val="0"/>
          <w:lang w:val="en-GB"/>
        </w:rPr>
        <w:t>of HZ infection.</w:t>
      </w:r>
    </w:p>
    <w:p w14:paraId="4431043C" w14:textId="69AE7D91" w:rsidR="00C11239" w:rsidRPr="006C0513" w:rsidRDefault="006C051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 </w:t>
      </w:r>
      <w:r w:rsidR="00F210DA" w:rsidRPr="006C0513">
        <w:rPr>
          <w:rFonts w:asciiTheme="minorHAnsi" w:hAnsiTheme="minorHAnsi"/>
          <w:snapToGrid w:val="0"/>
          <w:lang w:val="en-GB"/>
        </w:rPr>
        <w:t>The PBAC considered there was likely to be a broader population of immunocompromised individuals aged ≥ 18 years at</w:t>
      </w:r>
      <w:r w:rsidR="00E9145A" w:rsidRPr="006C0513">
        <w:rPr>
          <w:rFonts w:asciiTheme="minorHAnsi" w:hAnsiTheme="minorHAnsi"/>
          <w:snapToGrid w:val="0"/>
          <w:lang w:val="en-GB"/>
        </w:rPr>
        <w:t xml:space="preserve"> increased</w:t>
      </w:r>
      <w:r w:rsidR="00F210DA" w:rsidRPr="006C0513">
        <w:rPr>
          <w:rFonts w:asciiTheme="minorHAnsi" w:hAnsiTheme="minorHAnsi"/>
          <w:snapToGrid w:val="0"/>
          <w:lang w:val="en-GB"/>
        </w:rPr>
        <w:t xml:space="preserve"> risk of HZ for whom </w:t>
      </w:r>
      <w:r w:rsidR="00F210DA" w:rsidRPr="006E790F">
        <w:rPr>
          <w:rFonts w:asciiTheme="minorHAnsi" w:hAnsiTheme="minorHAnsi"/>
          <w:snapToGrid w:val="0"/>
          <w:lang w:val="en-GB"/>
        </w:rPr>
        <w:t>RZ</w:t>
      </w:r>
      <w:r w:rsidR="004A6F9C" w:rsidRPr="006E790F">
        <w:rPr>
          <w:rFonts w:asciiTheme="minorHAnsi" w:hAnsiTheme="minorHAnsi"/>
          <w:snapToGrid w:val="0"/>
          <w:lang w:val="en-GB"/>
        </w:rPr>
        <w:t>V</w:t>
      </w:r>
      <w:r w:rsidR="00F210DA" w:rsidRPr="006E790F">
        <w:rPr>
          <w:rFonts w:asciiTheme="minorHAnsi" w:hAnsiTheme="minorHAnsi"/>
          <w:snapToGrid w:val="0"/>
          <w:lang w:val="en-GB"/>
        </w:rPr>
        <w:t xml:space="preserve"> was</w:t>
      </w:r>
      <w:r w:rsidR="00F210DA" w:rsidRPr="006C0513">
        <w:rPr>
          <w:rFonts w:asciiTheme="minorHAnsi" w:hAnsiTheme="minorHAnsi"/>
          <w:snapToGrid w:val="0"/>
          <w:lang w:val="en-GB"/>
        </w:rPr>
        <w:t xml:space="preserve"> </w:t>
      </w:r>
      <w:r w:rsidR="00100D3F" w:rsidRPr="006C0513">
        <w:rPr>
          <w:rFonts w:asciiTheme="minorHAnsi" w:hAnsiTheme="minorHAnsi"/>
          <w:snapToGrid w:val="0"/>
          <w:lang w:val="en-GB"/>
        </w:rPr>
        <w:t xml:space="preserve">similarly </w:t>
      </w:r>
      <w:r w:rsidR="00F210DA" w:rsidRPr="006C0513">
        <w:rPr>
          <w:rFonts w:asciiTheme="minorHAnsi" w:hAnsiTheme="minorHAnsi"/>
          <w:snapToGrid w:val="0"/>
          <w:lang w:val="en-GB"/>
        </w:rPr>
        <w:t xml:space="preserve">cost effective </w:t>
      </w:r>
      <w:r w:rsidR="00100D3F" w:rsidRPr="006C0513">
        <w:rPr>
          <w:rFonts w:asciiTheme="minorHAnsi" w:hAnsiTheme="minorHAnsi"/>
          <w:snapToGrid w:val="0"/>
          <w:lang w:val="en-GB"/>
        </w:rPr>
        <w:t xml:space="preserve">to the populations identified in paragraph </w:t>
      </w:r>
      <w:r w:rsidR="009172B8">
        <w:rPr>
          <w:rFonts w:asciiTheme="minorHAnsi" w:hAnsiTheme="minorHAnsi"/>
          <w:snapToGrid w:val="0"/>
          <w:highlight w:val="green"/>
          <w:lang w:val="en-GB"/>
        </w:rPr>
        <w:fldChar w:fldCharType="begin" w:fldLock="1"/>
      </w:r>
      <w:r w:rsidR="009172B8">
        <w:rPr>
          <w:rFonts w:asciiTheme="minorHAnsi" w:hAnsiTheme="minorHAnsi"/>
          <w:snapToGrid w:val="0"/>
          <w:lang w:val="en-GB"/>
        </w:rPr>
        <w:instrText xml:space="preserve"> REF _Ref130832453 \r \h </w:instrText>
      </w:r>
      <w:r w:rsidR="009172B8">
        <w:rPr>
          <w:rFonts w:asciiTheme="minorHAnsi" w:hAnsiTheme="minorHAnsi"/>
          <w:snapToGrid w:val="0"/>
          <w:highlight w:val="green"/>
          <w:lang w:val="en-GB"/>
        </w:rPr>
      </w:r>
      <w:r w:rsidR="009172B8">
        <w:rPr>
          <w:rFonts w:asciiTheme="minorHAnsi" w:hAnsiTheme="minorHAnsi"/>
          <w:snapToGrid w:val="0"/>
          <w:highlight w:val="green"/>
          <w:lang w:val="en-GB"/>
        </w:rPr>
        <w:fldChar w:fldCharType="separate"/>
      </w:r>
      <w:r w:rsidR="00602E99">
        <w:rPr>
          <w:rFonts w:asciiTheme="minorHAnsi" w:hAnsiTheme="minorHAnsi"/>
          <w:snapToGrid w:val="0"/>
          <w:lang w:val="en-GB"/>
        </w:rPr>
        <w:t>7.14</w:t>
      </w:r>
      <w:r w:rsidR="009172B8">
        <w:rPr>
          <w:rFonts w:asciiTheme="minorHAnsi" w:hAnsiTheme="minorHAnsi"/>
          <w:snapToGrid w:val="0"/>
          <w:highlight w:val="green"/>
          <w:lang w:val="en-GB"/>
        </w:rPr>
        <w:fldChar w:fldCharType="end"/>
      </w:r>
      <w:r w:rsidR="00100D3F" w:rsidRPr="006C0513">
        <w:rPr>
          <w:rFonts w:asciiTheme="minorHAnsi" w:hAnsiTheme="minorHAnsi"/>
          <w:snapToGrid w:val="0"/>
          <w:lang w:val="en-GB"/>
        </w:rPr>
        <w:t xml:space="preserve">, </w:t>
      </w:r>
      <w:r w:rsidR="00F210DA" w:rsidRPr="006C0513">
        <w:rPr>
          <w:rFonts w:asciiTheme="minorHAnsi" w:hAnsiTheme="minorHAnsi"/>
          <w:snapToGrid w:val="0"/>
          <w:lang w:val="en-GB"/>
        </w:rPr>
        <w:t>but this population</w:t>
      </w:r>
      <w:r w:rsidR="00100D3F" w:rsidRPr="006C0513">
        <w:rPr>
          <w:rFonts w:asciiTheme="minorHAnsi" w:hAnsiTheme="minorHAnsi"/>
          <w:snapToGrid w:val="0"/>
          <w:lang w:val="en-GB"/>
        </w:rPr>
        <w:t xml:space="preserve"> had not yet been clearly defined</w:t>
      </w:r>
      <w:r w:rsidR="00960B7D" w:rsidRPr="006C0513">
        <w:rPr>
          <w:rFonts w:asciiTheme="minorHAnsi" w:hAnsiTheme="minorHAnsi"/>
          <w:snapToGrid w:val="0"/>
          <w:lang w:val="en-GB"/>
        </w:rPr>
        <w:t xml:space="preserve"> (as discussed in paragraph </w:t>
      </w:r>
      <w:r w:rsidR="00DF2B97" w:rsidRPr="009172B8">
        <w:rPr>
          <w:rFonts w:asciiTheme="minorHAnsi" w:hAnsiTheme="minorHAnsi"/>
          <w:snapToGrid w:val="0"/>
          <w:lang w:val="en-GB"/>
        </w:rPr>
        <w:fldChar w:fldCharType="begin" w:fldLock="1"/>
      </w:r>
      <w:r w:rsidR="00DF2B97" w:rsidRPr="009172B8">
        <w:rPr>
          <w:rFonts w:asciiTheme="minorHAnsi" w:hAnsiTheme="minorHAnsi"/>
          <w:snapToGrid w:val="0"/>
          <w:lang w:val="en-GB"/>
        </w:rPr>
        <w:instrText xml:space="preserve"> REF _Ref130332410 \r \h  \* MERGEFORMAT </w:instrText>
      </w:r>
      <w:r w:rsidR="00DF2B97" w:rsidRPr="009172B8">
        <w:rPr>
          <w:rFonts w:asciiTheme="minorHAnsi" w:hAnsiTheme="minorHAnsi"/>
          <w:snapToGrid w:val="0"/>
          <w:lang w:val="en-GB"/>
        </w:rPr>
      </w:r>
      <w:r w:rsidR="00DF2B97" w:rsidRPr="009172B8">
        <w:rPr>
          <w:rFonts w:asciiTheme="minorHAnsi" w:hAnsiTheme="minorHAnsi"/>
          <w:snapToGrid w:val="0"/>
          <w:lang w:val="en-GB"/>
        </w:rPr>
        <w:fldChar w:fldCharType="separate"/>
      </w:r>
      <w:r w:rsidR="00602E99">
        <w:rPr>
          <w:rFonts w:asciiTheme="minorHAnsi" w:hAnsiTheme="minorHAnsi"/>
          <w:snapToGrid w:val="0"/>
          <w:lang w:val="en-GB"/>
        </w:rPr>
        <w:t>6.87</w:t>
      </w:r>
      <w:r w:rsidR="00DF2B97" w:rsidRPr="009172B8">
        <w:rPr>
          <w:rFonts w:asciiTheme="minorHAnsi" w:hAnsiTheme="minorHAnsi"/>
          <w:snapToGrid w:val="0"/>
          <w:lang w:val="en-GB"/>
        </w:rPr>
        <w:fldChar w:fldCharType="end"/>
      </w:r>
      <w:r w:rsidR="00960B7D" w:rsidRPr="009172B8">
        <w:rPr>
          <w:rFonts w:asciiTheme="minorHAnsi" w:hAnsiTheme="minorHAnsi"/>
          <w:snapToGrid w:val="0"/>
          <w:lang w:val="en-GB"/>
        </w:rPr>
        <w:t>)</w:t>
      </w:r>
      <w:r w:rsidR="00F210DA" w:rsidRPr="006C0513">
        <w:rPr>
          <w:rFonts w:asciiTheme="minorHAnsi" w:hAnsiTheme="minorHAnsi"/>
          <w:snapToGrid w:val="0"/>
          <w:lang w:val="en-GB"/>
        </w:rPr>
        <w:t xml:space="preserve">. The PBAC deferred </w:t>
      </w:r>
      <w:r w:rsidR="00100D3F" w:rsidRPr="006C0513">
        <w:rPr>
          <w:rFonts w:asciiTheme="minorHAnsi" w:hAnsiTheme="minorHAnsi"/>
          <w:snapToGrid w:val="0"/>
          <w:lang w:val="en-GB"/>
        </w:rPr>
        <w:t xml:space="preserve">a </w:t>
      </w:r>
      <w:r w:rsidR="00F210DA" w:rsidRPr="006C0513">
        <w:rPr>
          <w:rFonts w:asciiTheme="minorHAnsi" w:hAnsiTheme="minorHAnsi"/>
          <w:snapToGrid w:val="0"/>
          <w:lang w:val="en-GB"/>
        </w:rPr>
        <w:t xml:space="preserve">recommendation to seek further ATAGI advice on the </w:t>
      </w:r>
      <w:r w:rsidR="00100D3F" w:rsidRPr="006C0513">
        <w:rPr>
          <w:rFonts w:asciiTheme="minorHAnsi" w:hAnsiTheme="minorHAnsi"/>
          <w:snapToGrid w:val="0"/>
          <w:lang w:val="en-GB"/>
        </w:rPr>
        <w:t xml:space="preserve">broader immunocompromised </w:t>
      </w:r>
      <w:r w:rsidR="00F210DA" w:rsidRPr="006C0513">
        <w:rPr>
          <w:rFonts w:asciiTheme="minorHAnsi" w:hAnsiTheme="minorHAnsi"/>
          <w:snapToGrid w:val="0"/>
          <w:lang w:val="en-GB"/>
        </w:rPr>
        <w:t xml:space="preserve">population for whom RZV would be </w:t>
      </w:r>
      <w:r w:rsidR="00776950" w:rsidRPr="006C0513">
        <w:rPr>
          <w:rFonts w:asciiTheme="minorHAnsi" w:hAnsiTheme="minorHAnsi"/>
          <w:snapToGrid w:val="0"/>
          <w:lang w:val="en-GB"/>
        </w:rPr>
        <w:t>appropriate</w:t>
      </w:r>
      <w:r w:rsidR="00F210DA" w:rsidRPr="006C0513">
        <w:rPr>
          <w:rFonts w:asciiTheme="minorHAnsi" w:hAnsiTheme="minorHAnsi"/>
          <w:snapToGrid w:val="0"/>
          <w:lang w:val="en-GB"/>
        </w:rPr>
        <w:t>.</w:t>
      </w:r>
      <w:r w:rsidR="00776950" w:rsidRPr="006C0513">
        <w:rPr>
          <w:rFonts w:asciiTheme="minorHAnsi" w:hAnsiTheme="minorHAnsi"/>
          <w:snapToGrid w:val="0"/>
          <w:lang w:val="en-GB"/>
        </w:rPr>
        <w:t xml:space="preserve"> The PBAC requested that the sponsor provide information to support the </w:t>
      </w:r>
      <w:r w:rsidR="00602B19" w:rsidRPr="006C0513">
        <w:rPr>
          <w:rFonts w:asciiTheme="minorHAnsi" w:hAnsiTheme="minorHAnsi"/>
          <w:snapToGrid w:val="0"/>
          <w:lang w:val="en-GB"/>
        </w:rPr>
        <w:t xml:space="preserve">cost-effectiveness in the population as defined by ATAGI, noting that </w:t>
      </w:r>
      <w:r w:rsidR="001B725C" w:rsidRPr="006C0513">
        <w:rPr>
          <w:rFonts w:asciiTheme="minorHAnsi" w:hAnsiTheme="minorHAnsi"/>
          <w:snapToGrid w:val="0"/>
          <w:lang w:val="en-GB"/>
        </w:rPr>
        <w:t xml:space="preserve">it </w:t>
      </w:r>
      <w:r w:rsidR="00602B19" w:rsidRPr="006C0513">
        <w:rPr>
          <w:rFonts w:asciiTheme="minorHAnsi" w:hAnsiTheme="minorHAnsi"/>
          <w:snapToGrid w:val="0"/>
          <w:lang w:val="en-GB"/>
        </w:rPr>
        <w:t xml:space="preserve">would likely be based on the incidence of HZ and associated complications compared with the recommended populations. </w:t>
      </w:r>
      <w:r w:rsidR="009172B8">
        <w:rPr>
          <w:rFonts w:asciiTheme="minorHAnsi" w:hAnsiTheme="minorHAnsi"/>
          <w:snapToGrid w:val="0"/>
          <w:lang w:val="en-GB"/>
        </w:rPr>
        <w:t xml:space="preserve">Additionally, the PBAC requested that the sponsor provide financial estimates of including RZV on the NIP for this population, noting individuals previously vaccinated with 2 doses of RZV should be removed from the estimates.  </w:t>
      </w:r>
    </w:p>
    <w:p w14:paraId="5D4DD9F4" w14:textId="39505661" w:rsidR="001B725C" w:rsidRPr="001B725C" w:rsidRDefault="001B725C" w:rsidP="001B725C">
      <w:pPr>
        <w:widowControl w:val="0"/>
        <w:spacing w:after="120"/>
        <w:rPr>
          <w:rFonts w:asciiTheme="minorHAnsi" w:hAnsiTheme="minorHAnsi"/>
          <w:b/>
          <w:bCs/>
          <w:snapToGrid w:val="0"/>
          <w:lang w:val="en-GB"/>
        </w:rPr>
      </w:pPr>
      <w:r>
        <w:rPr>
          <w:rFonts w:asciiTheme="minorHAnsi" w:hAnsiTheme="minorHAnsi"/>
          <w:b/>
          <w:bCs/>
          <w:snapToGrid w:val="0"/>
          <w:lang w:val="en-GB"/>
        </w:rPr>
        <w:t xml:space="preserve">Recommendation for </w:t>
      </w:r>
      <w:r w:rsidRPr="001B725C">
        <w:rPr>
          <w:rFonts w:asciiTheme="minorHAnsi" w:hAnsiTheme="minorHAnsi"/>
          <w:b/>
          <w:bCs/>
          <w:snapToGrid w:val="0"/>
          <w:lang w:val="en-GB"/>
        </w:rPr>
        <w:t xml:space="preserve">non-Indigenous individuals aged 65 to 69 years </w:t>
      </w:r>
      <w:r>
        <w:rPr>
          <w:rFonts w:asciiTheme="minorHAnsi" w:hAnsiTheme="minorHAnsi"/>
          <w:b/>
          <w:bCs/>
          <w:snapToGrid w:val="0"/>
          <w:lang w:val="en-GB"/>
        </w:rPr>
        <w:t xml:space="preserve">and </w:t>
      </w:r>
      <w:r w:rsidRPr="001B725C">
        <w:rPr>
          <w:rFonts w:asciiTheme="minorHAnsi" w:hAnsiTheme="minorHAnsi"/>
          <w:b/>
          <w:bCs/>
          <w:snapToGrid w:val="0"/>
          <w:lang w:val="en-GB"/>
        </w:rPr>
        <w:t>≥ 71 years</w:t>
      </w:r>
    </w:p>
    <w:p w14:paraId="4EFF8AC3" w14:textId="29A4813C" w:rsidR="001B725C" w:rsidRDefault="001B725C">
      <w:pPr>
        <w:widowControl w:val="0"/>
        <w:numPr>
          <w:ilvl w:val="1"/>
          <w:numId w:val="1"/>
        </w:numPr>
        <w:spacing w:after="120"/>
        <w:rPr>
          <w:rFonts w:asciiTheme="minorHAnsi" w:hAnsiTheme="minorHAnsi"/>
          <w:snapToGrid w:val="0"/>
          <w:lang w:val="en-GB"/>
        </w:rPr>
      </w:pPr>
      <w:r w:rsidRPr="006C0513">
        <w:rPr>
          <w:rFonts w:asciiTheme="minorHAnsi" w:hAnsiTheme="minorHAnsi"/>
          <w:snapToGrid w:val="0"/>
          <w:lang w:val="en-GB"/>
        </w:rPr>
        <w:t>The PBAC did not recommend RZV for non-Indigenous individuals aged 65 to 69 years and ≥ 71 years.</w:t>
      </w:r>
    </w:p>
    <w:p w14:paraId="1EF22F64" w14:textId="2BF0D496" w:rsidR="00D929CC" w:rsidRPr="001A42A4" w:rsidRDefault="00D929CC" w:rsidP="001A42A4">
      <w:pPr>
        <w:widowControl w:val="0"/>
        <w:numPr>
          <w:ilvl w:val="1"/>
          <w:numId w:val="1"/>
        </w:numPr>
        <w:spacing w:after="120"/>
        <w:rPr>
          <w:rFonts w:asciiTheme="minorHAnsi" w:hAnsiTheme="minorHAnsi"/>
          <w:b/>
          <w:bCs/>
          <w:snapToGrid w:val="0"/>
        </w:rPr>
      </w:pPr>
      <w:bookmarkStart w:id="83" w:name="_Ref130833089"/>
      <w:r w:rsidRPr="006C0513">
        <w:rPr>
          <w:rFonts w:asciiTheme="minorHAnsi" w:hAnsiTheme="minorHAnsi"/>
          <w:snapToGrid w:val="0"/>
          <w:lang w:val="en-GB"/>
        </w:rPr>
        <w:t xml:space="preserve">The PBAC considered a price reduction would be required for RZV to be cost-effective for </w:t>
      </w:r>
      <w:r w:rsidR="006C0513">
        <w:rPr>
          <w:rFonts w:asciiTheme="minorHAnsi" w:hAnsiTheme="minorHAnsi"/>
          <w:snapToGrid w:val="0"/>
          <w:lang w:val="en-GB"/>
        </w:rPr>
        <w:t>these populations, noting</w:t>
      </w:r>
      <w:r w:rsidRPr="006C0513">
        <w:rPr>
          <w:rFonts w:asciiTheme="minorHAnsi" w:hAnsiTheme="minorHAnsi"/>
          <w:snapToGrid w:val="0"/>
          <w:lang w:val="en-GB"/>
        </w:rPr>
        <w:t xml:space="preserve"> that </w:t>
      </w:r>
      <w:r w:rsidR="006C0513">
        <w:rPr>
          <w:rFonts w:asciiTheme="minorHAnsi" w:hAnsiTheme="minorHAnsi"/>
          <w:snapToGrid w:val="0"/>
          <w:lang w:val="en-GB"/>
        </w:rPr>
        <w:t>they</w:t>
      </w:r>
      <w:r w:rsidRPr="006C0513">
        <w:rPr>
          <w:rFonts w:asciiTheme="minorHAnsi" w:hAnsiTheme="minorHAnsi"/>
          <w:snapToGrid w:val="0"/>
          <w:lang w:val="en-GB"/>
        </w:rPr>
        <w:t xml:space="preserve"> were of lower clinical priority and represented a high volume of doses </w:t>
      </w:r>
      <w:r w:rsidR="003F4716" w:rsidRPr="006C0513">
        <w:rPr>
          <w:rFonts w:asciiTheme="minorHAnsi" w:hAnsiTheme="minorHAnsi"/>
          <w:snapToGrid w:val="0"/>
          <w:lang w:val="en-GB"/>
        </w:rPr>
        <w:t>(</w:t>
      </w:r>
      <w:r w:rsidR="001A42A4">
        <w:rPr>
          <w:rFonts w:asciiTheme="minorHAnsi" w:hAnsiTheme="minorHAnsi"/>
          <w:snapToGrid w:val="0"/>
        </w:rPr>
        <w:t>5</w:t>
      </w:r>
      <w:r w:rsidR="001A42A4" w:rsidRPr="001A42A4">
        <w:rPr>
          <w:rFonts w:asciiTheme="minorHAnsi" w:hAnsiTheme="minorHAnsi"/>
          <w:snapToGrid w:val="0"/>
        </w:rPr>
        <w:t>,000,000 to &lt; 6,000,000</w:t>
      </w:r>
      <w:r w:rsidR="001A42A4">
        <w:rPr>
          <w:rFonts w:asciiTheme="minorHAnsi" w:hAnsiTheme="minorHAnsi"/>
          <w:b/>
          <w:bCs/>
          <w:snapToGrid w:val="0"/>
        </w:rPr>
        <w:t xml:space="preserve"> </w:t>
      </w:r>
      <w:r w:rsidR="003F4716" w:rsidRPr="006C0513">
        <w:rPr>
          <w:rFonts w:asciiTheme="minorHAnsi" w:hAnsiTheme="minorHAnsi"/>
          <w:snapToGrid w:val="0"/>
          <w:lang w:val="en-GB"/>
        </w:rPr>
        <w:t xml:space="preserve">doses over 6 years with an associated cost of </w:t>
      </w:r>
      <w:r w:rsidR="001A42A4" w:rsidRPr="001A42A4">
        <w:rPr>
          <w:rFonts w:asciiTheme="minorHAnsi" w:hAnsiTheme="minorHAnsi"/>
          <w:snapToGrid w:val="0"/>
        </w:rPr>
        <w:t>$900 million to &lt; $1 billion</w:t>
      </w:r>
      <w:r w:rsidR="003521E4" w:rsidRPr="001A42A4">
        <w:rPr>
          <w:rFonts w:asciiTheme="minorHAnsi" w:hAnsiTheme="minorHAnsi"/>
          <w:snapToGrid w:val="0"/>
          <w:lang w:val="en-GB"/>
        </w:rPr>
        <w:t xml:space="preserve">). </w:t>
      </w:r>
      <w:r w:rsidRPr="001A42A4">
        <w:rPr>
          <w:rFonts w:asciiTheme="minorHAnsi" w:hAnsiTheme="minorHAnsi"/>
          <w:snapToGrid w:val="0"/>
          <w:lang w:val="en-GB"/>
        </w:rPr>
        <w:t>In the context of the total cost, the PBAC considered the extent of uncertainty regarding the cost-effectiveness of RZV to be too high. Specifically the PBAC noted:</w:t>
      </w:r>
      <w:bookmarkEnd w:id="83"/>
    </w:p>
    <w:p w14:paraId="4C10C640" w14:textId="2C8BD75D" w:rsidR="00D929CC" w:rsidRPr="009C1FD1" w:rsidRDefault="00D929CC" w:rsidP="009C1FD1">
      <w:pPr>
        <w:widowControl w:val="0"/>
        <w:numPr>
          <w:ilvl w:val="2"/>
          <w:numId w:val="33"/>
        </w:numPr>
        <w:spacing w:after="120"/>
        <w:ind w:left="1080" w:hanging="360"/>
        <w:rPr>
          <w:rFonts w:asciiTheme="minorHAnsi" w:hAnsiTheme="minorHAnsi"/>
          <w:b/>
          <w:bCs/>
          <w:snapToGrid w:val="0"/>
        </w:rPr>
      </w:pPr>
      <w:r>
        <w:rPr>
          <w:rFonts w:asciiTheme="minorHAnsi" w:hAnsiTheme="minorHAnsi"/>
          <w:snapToGrid w:val="0"/>
          <w:lang w:val="en-GB"/>
        </w:rPr>
        <w:t>The ICER was sensitive to the incidence of HZ. The PBAC noted the ATAGI</w:t>
      </w:r>
      <w:r w:rsidR="00E331BE">
        <w:rPr>
          <w:rFonts w:asciiTheme="minorHAnsi" w:hAnsiTheme="minorHAnsi"/>
          <w:snapToGrid w:val="0"/>
          <w:lang w:val="en-GB"/>
        </w:rPr>
        <w:t xml:space="preserve"> post-submission</w:t>
      </w:r>
      <w:r>
        <w:rPr>
          <w:rFonts w:asciiTheme="minorHAnsi" w:hAnsiTheme="minorHAnsi"/>
          <w:snapToGrid w:val="0"/>
          <w:lang w:val="en-GB"/>
        </w:rPr>
        <w:t xml:space="preserve"> advice that the best estimate of incidence was a pooled estimate using data from MacIntyre 2015, Qian 2021a and Lin 2022. The PBAC noted </w:t>
      </w:r>
      <w:r w:rsidR="00632702">
        <w:rPr>
          <w:rFonts w:asciiTheme="minorHAnsi" w:hAnsiTheme="minorHAnsi"/>
          <w:snapToGrid w:val="0"/>
          <w:lang w:val="en-GB"/>
        </w:rPr>
        <w:t xml:space="preserve">that </w:t>
      </w:r>
      <w:r>
        <w:rPr>
          <w:rFonts w:asciiTheme="minorHAnsi" w:hAnsiTheme="minorHAnsi"/>
          <w:snapToGrid w:val="0"/>
          <w:lang w:val="en-GB"/>
        </w:rPr>
        <w:t xml:space="preserve">this scenario was not included in the resubmission and the PSCR and pre-PBAC response considered it appropriate for Lin 2022 to be excluded </w:t>
      </w:r>
      <w:r w:rsidR="00D24D75">
        <w:rPr>
          <w:rFonts w:asciiTheme="minorHAnsi" w:hAnsiTheme="minorHAnsi"/>
          <w:snapToGrid w:val="0"/>
          <w:lang w:val="en-GB"/>
        </w:rPr>
        <w:t>as it would significantly underestimate the incidence of HZ due to methodological issues</w:t>
      </w:r>
      <w:r>
        <w:rPr>
          <w:rFonts w:asciiTheme="minorHAnsi" w:hAnsiTheme="minorHAnsi"/>
          <w:snapToGrid w:val="0"/>
          <w:lang w:val="en-GB"/>
        </w:rPr>
        <w:t xml:space="preserve">. The PBAC noted the ICER increased to </w:t>
      </w:r>
      <w:r w:rsidR="009C1FD1" w:rsidRPr="009C1FD1">
        <w:rPr>
          <w:rFonts w:asciiTheme="minorHAnsi" w:hAnsiTheme="minorHAnsi"/>
          <w:snapToGrid w:val="0"/>
        </w:rPr>
        <w:t>$25,000 to &lt; $35,000</w:t>
      </w:r>
      <w:r w:rsidRPr="009C1FD1">
        <w:rPr>
          <w:rFonts w:asciiTheme="minorHAnsi" w:hAnsiTheme="minorHAnsi"/>
          <w:snapToGrid w:val="0"/>
          <w:lang w:val="en-GB"/>
        </w:rPr>
        <w:t xml:space="preserve">/QALY using pooled data from MacIntyre and Qian and to </w:t>
      </w:r>
      <w:r w:rsidR="009C1FD1" w:rsidRPr="009C1FD1">
        <w:rPr>
          <w:rFonts w:asciiTheme="minorHAnsi" w:hAnsiTheme="minorHAnsi"/>
          <w:snapToGrid w:val="0"/>
        </w:rPr>
        <w:t>$25,000 to &lt; $35,000</w:t>
      </w:r>
      <w:r w:rsidRPr="009C1FD1">
        <w:rPr>
          <w:rFonts w:asciiTheme="minorHAnsi" w:hAnsiTheme="minorHAnsi"/>
          <w:snapToGrid w:val="0"/>
          <w:lang w:val="en-GB"/>
        </w:rPr>
        <w:t>/QALY using Qian alone.</w:t>
      </w:r>
    </w:p>
    <w:p w14:paraId="3A92648F" w14:textId="0BD1E2D4" w:rsidR="00D929CC" w:rsidRPr="009C1FD1" w:rsidRDefault="00D929CC" w:rsidP="009C1FD1">
      <w:pPr>
        <w:widowControl w:val="0"/>
        <w:numPr>
          <w:ilvl w:val="2"/>
          <w:numId w:val="33"/>
        </w:numPr>
        <w:spacing w:after="120"/>
        <w:ind w:left="1080" w:hanging="360"/>
        <w:rPr>
          <w:rFonts w:asciiTheme="minorHAnsi" w:hAnsiTheme="minorHAnsi"/>
          <w:b/>
          <w:bCs/>
          <w:snapToGrid w:val="0"/>
        </w:rPr>
      </w:pPr>
      <w:r>
        <w:rPr>
          <w:rFonts w:asciiTheme="minorHAnsi" w:hAnsiTheme="minorHAnsi"/>
          <w:snapToGrid w:val="0"/>
          <w:lang w:val="en-GB"/>
        </w:rPr>
        <w:t xml:space="preserve">The ICER was sensitive to the VE estimates. The PBAC noted the ATAGI </w:t>
      </w:r>
      <w:r w:rsidR="00E331BE">
        <w:rPr>
          <w:rFonts w:asciiTheme="minorHAnsi" w:hAnsiTheme="minorHAnsi"/>
          <w:snapToGrid w:val="0"/>
          <w:lang w:val="en-GB"/>
        </w:rPr>
        <w:t>post-</w:t>
      </w:r>
      <w:r w:rsidR="00E331BE">
        <w:rPr>
          <w:rFonts w:asciiTheme="minorHAnsi" w:hAnsiTheme="minorHAnsi"/>
          <w:snapToGrid w:val="0"/>
          <w:lang w:val="en-GB"/>
        </w:rPr>
        <w:lastRenderedPageBreak/>
        <w:t xml:space="preserve">submission </w:t>
      </w:r>
      <w:r>
        <w:rPr>
          <w:rFonts w:asciiTheme="minorHAnsi" w:hAnsiTheme="minorHAnsi"/>
          <w:snapToGrid w:val="0"/>
          <w:lang w:val="en-GB"/>
        </w:rPr>
        <w:t xml:space="preserve">advice </w:t>
      </w:r>
      <w:r w:rsidRPr="006E790F">
        <w:rPr>
          <w:rFonts w:asciiTheme="minorHAnsi" w:hAnsiTheme="minorHAnsi"/>
          <w:snapToGrid w:val="0"/>
          <w:lang w:val="en-GB"/>
        </w:rPr>
        <w:t>that the VE</w:t>
      </w:r>
      <w:r w:rsidR="008F591D" w:rsidRPr="006E790F">
        <w:rPr>
          <w:rFonts w:asciiTheme="minorHAnsi" w:hAnsiTheme="minorHAnsi"/>
          <w:snapToGrid w:val="0"/>
          <w:lang w:val="en-GB"/>
        </w:rPr>
        <w:t>ff</w:t>
      </w:r>
      <w:r w:rsidRPr="006E790F">
        <w:rPr>
          <w:rFonts w:asciiTheme="minorHAnsi" w:hAnsiTheme="minorHAnsi"/>
          <w:snapToGrid w:val="0"/>
          <w:lang w:val="en-GB"/>
        </w:rPr>
        <w:t xml:space="preserve"> </w:t>
      </w:r>
      <w:r w:rsidR="0038740F" w:rsidRPr="006E790F">
        <w:rPr>
          <w:rFonts w:asciiTheme="minorHAnsi" w:hAnsiTheme="minorHAnsi"/>
          <w:snapToGrid w:val="0"/>
          <w:lang w:val="en-GB"/>
        </w:rPr>
        <w:t>for two</w:t>
      </w:r>
      <w:r w:rsidR="0038740F">
        <w:rPr>
          <w:rFonts w:asciiTheme="minorHAnsi" w:hAnsiTheme="minorHAnsi"/>
          <w:snapToGrid w:val="0"/>
          <w:lang w:val="en-GB"/>
        </w:rPr>
        <w:t xml:space="preserve"> doses </w:t>
      </w:r>
      <w:r>
        <w:rPr>
          <w:rFonts w:asciiTheme="minorHAnsi" w:hAnsiTheme="minorHAnsi"/>
          <w:snapToGrid w:val="0"/>
          <w:lang w:val="en-GB"/>
        </w:rPr>
        <w:t xml:space="preserve">from Izurieta 2021 could be used in sensitivity analyses, and that use of this estimate increased the ICER to </w:t>
      </w:r>
      <w:r w:rsidR="009C1FD1" w:rsidRPr="009C1FD1">
        <w:rPr>
          <w:rFonts w:asciiTheme="minorHAnsi" w:hAnsiTheme="minorHAnsi"/>
          <w:snapToGrid w:val="0"/>
        </w:rPr>
        <w:t>$35,000 to &lt; $45,000</w:t>
      </w:r>
      <w:r w:rsidRPr="009C1FD1">
        <w:rPr>
          <w:rFonts w:asciiTheme="minorHAnsi" w:hAnsiTheme="minorHAnsi"/>
          <w:snapToGrid w:val="0"/>
          <w:lang w:val="en-GB"/>
        </w:rPr>
        <w:t>/QALY.</w:t>
      </w:r>
    </w:p>
    <w:p w14:paraId="1D289D97" w14:textId="2C9C2DDC" w:rsidR="00D929CC" w:rsidRPr="009C1FD1" w:rsidRDefault="00D929CC" w:rsidP="009C1FD1">
      <w:pPr>
        <w:widowControl w:val="0"/>
        <w:numPr>
          <w:ilvl w:val="2"/>
          <w:numId w:val="33"/>
        </w:numPr>
        <w:spacing w:after="120"/>
        <w:ind w:left="1080" w:hanging="360"/>
        <w:rPr>
          <w:rFonts w:asciiTheme="minorHAnsi" w:hAnsiTheme="minorHAnsi"/>
          <w:b/>
          <w:bCs/>
          <w:snapToGrid w:val="0"/>
        </w:rPr>
      </w:pPr>
      <w:r>
        <w:rPr>
          <w:rFonts w:asciiTheme="minorHAnsi" w:hAnsiTheme="minorHAnsi"/>
          <w:snapToGrid w:val="0"/>
          <w:lang w:val="en-GB"/>
        </w:rPr>
        <w:t>The ICER was sensitive to assumptions regarding long-term waning of efficacy</w:t>
      </w:r>
      <w:r w:rsidR="00632702">
        <w:rPr>
          <w:rFonts w:asciiTheme="minorHAnsi" w:hAnsiTheme="minorHAnsi"/>
          <w:snapToGrid w:val="0"/>
          <w:lang w:val="en-GB"/>
        </w:rPr>
        <w:t xml:space="preserve">, and the PBAC noted for the base case </w:t>
      </w:r>
      <w:r w:rsidR="00632702" w:rsidRPr="006E790F">
        <w:rPr>
          <w:rFonts w:asciiTheme="minorHAnsi" w:hAnsiTheme="minorHAnsi"/>
          <w:snapToGrid w:val="0"/>
          <w:lang w:val="en-GB"/>
        </w:rPr>
        <w:t>analysis the VE remained</w:t>
      </w:r>
      <w:r w:rsidR="00632702">
        <w:rPr>
          <w:rFonts w:asciiTheme="minorHAnsi" w:hAnsiTheme="minorHAnsi"/>
          <w:snapToGrid w:val="0"/>
          <w:lang w:val="en-GB"/>
        </w:rPr>
        <w:t xml:space="preserve"> above 50% for more than 20 years</w:t>
      </w:r>
      <w:r>
        <w:rPr>
          <w:rFonts w:asciiTheme="minorHAnsi" w:hAnsiTheme="minorHAnsi"/>
          <w:snapToGrid w:val="0"/>
          <w:lang w:val="en-GB"/>
        </w:rPr>
        <w:t xml:space="preserve">. The PBAC noted the resubmission presented a scenario analysis in which the upper confidence interval for the waning function was applied after 20 years, however considered this scenario did not adequately address the uncertainty given clinical data were available for only up to 10 years. The PBAC noted the ICER increased to </w:t>
      </w:r>
      <w:r w:rsidR="009C1FD1" w:rsidRPr="009C1FD1">
        <w:rPr>
          <w:rFonts w:asciiTheme="minorHAnsi" w:hAnsiTheme="minorHAnsi"/>
          <w:snapToGrid w:val="0"/>
        </w:rPr>
        <w:t>$25,000 to &lt; $35,000</w:t>
      </w:r>
      <w:r w:rsidRPr="009C1FD1">
        <w:rPr>
          <w:rFonts w:asciiTheme="minorHAnsi" w:hAnsiTheme="minorHAnsi"/>
          <w:snapToGrid w:val="0"/>
          <w:lang w:val="en-GB"/>
        </w:rPr>
        <w:t>/QALY if an annual waning rate of 5.4% was assumed from 10 years after vaccination</w:t>
      </w:r>
      <w:r w:rsidR="003F4716" w:rsidRPr="009C1FD1">
        <w:rPr>
          <w:rFonts w:asciiTheme="minorHAnsi" w:hAnsiTheme="minorHAnsi"/>
          <w:snapToGrid w:val="0"/>
          <w:lang w:val="en-GB"/>
        </w:rPr>
        <w:t>.</w:t>
      </w:r>
      <w:r w:rsidRPr="009C1FD1">
        <w:rPr>
          <w:rFonts w:asciiTheme="minorHAnsi" w:hAnsiTheme="minorHAnsi"/>
          <w:snapToGrid w:val="0"/>
          <w:lang w:val="en-GB"/>
        </w:rPr>
        <w:t xml:space="preserve"> </w:t>
      </w:r>
      <w:r w:rsidR="00E53791" w:rsidRPr="009C1FD1">
        <w:rPr>
          <w:rFonts w:asciiTheme="minorHAnsi" w:hAnsiTheme="minorHAnsi"/>
          <w:snapToGrid w:val="0"/>
          <w:lang w:val="en-GB"/>
        </w:rPr>
        <w:t xml:space="preserve">The PBAC also noted the waning assumptions become more critical when vaccinating a younger cohort. </w:t>
      </w:r>
    </w:p>
    <w:p w14:paraId="3A3262F4" w14:textId="7E982477" w:rsidR="00D929CC" w:rsidRDefault="00D929CC" w:rsidP="00915A5A">
      <w:pPr>
        <w:widowControl w:val="0"/>
        <w:numPr>
          <w:ilvl w:val="2"/>
          <w:numId w:val="33"/>
        </w:numPr>
        <w:spacing w:after="120"/>
        <w:ind w:left="1080" w:hanging="360"/>
        <w:rPr>
          <w:rFonts w:asciiTheme="minorHAnsi" w:hAnsiTheme="minorHAnsi"/>
          <w:snapToGrid w:val="0"/>
          <w:lang w:val="en-GB"/>
        </w:rPr>
      </w:pPr>
      <w:r>
        <w:rPr>
          <w:rFonts w:asciiTheme="minorHAnsi" w:hAnsiTheme="minorHAnsi"/>
          <w:snapToGrid w:val="0"/>
          <w:lang w:val="en-GB"/>
        </w:rPr>
        <w:t>The ICER was sensitive to the assumed QALY loss per HZ and PHN event and</w:t>
      </w:r>
      <w:r w:rsidRPr="009B2A4B">
        <w:rPr>
          <w:rFonts w:cs="Calibri"/>
          <w:iCs/>
        </w:rPr>
        <w:t xml:space="preserve"> </w:t>
      </w:r>
      <w:r w:rsidRPr="00A65E17">
        <w:rPr>
          <w:rFonts w:cs="Calibri"/>
          <w:iCs/>
        </w:rPr>
        <w:t>the ESC considered the QALY loss per case of HZ and PHN were overestimated</w:t>
      </w:r>
      <w:r>
        <w:rPr>
          <w:rFonts w:cs="Calibri"/>
          <w:iCs/>
        </w:rPr>
        <w:t xml:space="preserve"> given t</w:t>
      </w:r>
      <w:r w:rsidRPr="00A65E17">
        <w:rPr>
          <w:rFonts w:cs="Calibri"/>
          <w:iCs/>
        </w:rPr>
        <w:t>he trial data demonstrate</w:t>
      </w:r>
      <w:r>
        <w:rPr>
          <w:rFonts w:cs="Calibri"/>
          <w:iCs/>
        </w:rPr>
        <w:t>d</w:t>
      </w:r>
      <w:r w:rsidRPr="00A65E17">
        <w:rPr>
          <w:rFonts w:cs="Calibri"/>
          <w:iCs/>
        </w:rPr>
        <w:t xml:space="preserve"> attenuation of disease impact over the period of HZ</w:t>
      </w:r>
      <w:r>
        <w:rPr>
          <w:rFonts w:cs="Calibri"/>
          <w:iCs/>
        </w:rPr>
        <w:t xml:space="preserve">. The PBAC noted the ICER increased to </w:t>
      </w:r>
      <w:r w:rsidR="009C1FD1" w:rsidRPr="009C1FD1">
        <w:rPr>
          <w:rFonts w:asciiTheme="minorHAnsi" w:hAnsiTheme="minorHAnsi"/>
          <w:snapToGrid w:val="0"/>
        </w:rPr>
        <w:t>$25,000 to &lt; $35,000</w:t>
      </w:r>
      <w:r>
        <w:rPr>
          <w:rFonts w:cs="Calibri"/>
          <w:iCs/>
        </w:rPr>
        <w:t>/QALY when the lower 95% confidence intervals were used to inform the QALY loss per event.</w:t>
      </w:r>
    </w:p>
    <w:p w14:paraId="50539B69" w14:textId="02C10756" w:rsidR="00D929CC" w:rsidRPr="009C1FD1" w:rsidRDefault="00D929CC" w:rsidP="009C1FD1">
      <w:pPr>
        <w:widowControl w:val="0"/>
        <w:numPr>
          <w:ilvl w:val="1"/>
          <w:numId w:val="1"/>
        </w:numPr>
        <w:spacing w:after="120"/>
        <w:rPr>
          <w:b/>
          <w:bCs/>
        </w:rPr>
      </w:pPr>
      <w:r w:rsidRPr="00AD7238">
        <w:t xml:space="preserve">The </w:t>
      </w:r>
      <w:r>
        <w:t xml:space="preserve">PBAC noted the </w:t>
      </w:r>
      <w:r w:rsidRPr="00AD7238">
        <w:t xml:space="preserve">resubmission presented a secondary economic comparison of ZVL vs no vaccine in adults </w:t>
      </w:r>
      <w:r w:rsidR="00174E1E">
        <w:t xml:space="preserve">aged </w:t>
      </w:r>
      <w:r w:rsidRPr="00AD7238">
        <w:t xml:space="preserve">70-79 </w:t>
      </w:r>
      <w:r w:rsidR="00174E1E">
        <w:t>years</w:t>
      </w:r>
      <w:r w:rsidRPr="00AD7238">
        <w:t>, to provide a benchmark for acceptable cost-effectiveness of HZ vaccines in the Australian setting.</w:t>
      </w:r>
      <w:r>
        <w:t xml:space="preserve"> The PBAC noted this analysis supported a threshold ICER of </w:t>
      </w:r>
      <w:r w:rsidR="009C1FD1" w:rsidRPr="009C1FD1">
        <w:t>$15,000 to &lt; $25,000</w:t>
      </w:r>
      <w:r>
        <w:t>/QALY if the price of ZVL is $</w:t>
      </w:r>
      <w:r w:rsidR="00BA039D" w:rsidRPr="00BA039D">
        <w:rPr>
          <w:color w:val="000000"/>
          <w:w w:val="21"/>
          <w:shd w:val="solid" w:color="000000" w:fill="000000"/>
          <w:fitText w:val="72" w:id="-1233441777"/>
          <w14:textFill>
            <w14:solidFill>
              <w14:srgbClr w14:val="000000">
                <w14:alpha w14:val="100000"/>
              </w14:srgbClr>
            </w14:solidFill>
          </w14:textFill>
        </w:rPr>
        <w:t xml:space="preserve">|  </w:t>
      </w:r>
      <w:r w:rsidR="00BA039D" w:rsidRPr="00BA039D">
        <w:rPr>
          <w:color w:val="000000"/>
          <w:spacing w:val="2"/>
          <w:w w:val="21"/>
          <w:shd w:val="solid" w:color="000000" w:fill="000000"/>
          <w:fitText w:val="72" w:id="-1233441777"/>
          <w14:textFill>
            <w14:solidFill>
              <w14:srgbClr w14:val="000000">
                <w14:alpha w14:val="100000"/>
              </w14:srgbClr>
            </w14:solidFill>
          </w14:textFill>
        </w:rPr>
        <w:t>|</w:t>
      </w:r>
      <w:r>
        <w:t xml:space="preserve"> per dose.</w:t>
      </w:r>
    </w:p>
    <w:p w14:paraId="327DF578" w14:textId="77777777" w:rsidR="00D929CC" w:rsidRPr="003E7501" w:rsidRDefault="00D929CC" w:rsidP="00D929CC">
      <w:pPr>
        <w:widowControl w:val="0"/>
        <w:spacing w:after="120"/>
        <w:ind w:left="720"/>
        <w:jc w:val="center"/>
        <w:rPr>
          <w:rFonts w:asciiTheme="minorHAnsi" w:hAnsiTheme="minorHAnsi"/>
          <w:snapToGrid w:val="0"/>
          <w:lang w:val="en-GB"/>
        </w:rPr>
      </w:pPr>
      <w:r>
        <w:rPr>
          <w:b/>
          <w:bCs/>
        </w:rPr>
        <w:t>Start committee – in-confidence</w:t>
      </w:r>
    </w:p>
    <w:p w14:paraId="253ECCC5" w14:textId="558249D0" w:rsidR="00D929CC" w:rsidRDefault="00D929CC" w:rsidP="00D929CC">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ICER </w:t>
      </w:r>
      <w:r w:rsidR="009F552B">
        <w:rPr>
          <w:rFonts w:asciiTheme="minorHAnsi" w:hAnsiTheme="minorHAnsi"/>
          <w:snapToGrid w:val="0"/>
          <w:lang w:val="en-GB"/>
        </w:rPr>
        <w:t xml:space="preserve">for the secondary comparison </w:t>
      </w:r>
      <w:r>
        <w:rPr>
          <w:rFonts w:asciiTheme="minorHAnsi" w:hAnsiTheme="minorHAnsi"/>
          <w:snapToGrid w:val="0"/>
          <w:lang w:val="en-GB"/>
        </w:rPr>
        <w:t xml:space="preserve">using the </w:t>
      </w:r>
      <w:r w:rsidRPr="00D929CC">
        <w:rPr>
          <w:rFonts w:asciiTheme="minorHAnsi" w:hAnsiTheme="minorHAnsi"/>
          <w:snapToGrid w:val="0"/>
          <w:lang w:val="en-GB"/>
        </w:rPr>
        <w:t>current</w:t>
      </w:r>
      <w:r>
        <w:rPr>
          <w:rFonts w:asciiTheme="minorHAnsi" w:hAnsiTheme="minorHAnsi"/>
          <w:snapToGrid w:val="0"/>
          <w:lang w:val="en-GB"/>
        </w:rPr>
        <w:t xml:space="preserve"> price of ZVL </w:t>
      </w:r>
      <w:r w:rsidR="005D6E23" w:rsidRPr="00D26158">
        <w:rPr>
          <w:rFonts w:asciiTheme="minorHAnsi" w:hAnsiTheme="minorHAnsi"/>
          <w:snapToGrid w:val="0"/>
          <w:color w:val="000000"/>
          <w:w w:val="15"/>
          <w:shd w:val="solid" w:color="000000" w:fill="000000"/>
          <w:fitText w:val="-20" w:id="-1275407360"/>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60"/>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9"/>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9"/>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8"/>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8"/>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7"/>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7"/>
          <w:lang w:val="en-GB"/>
          <w14:textFill>
            <w14:solidFill>
              <w14:srgbClr w14:val="000000">
                <w14:alpha w14:val="100000"/>
              </w14:srgbClr>
            </w14:solidFill>
          </w14:textFill>
        </w:rPr>
        <w:t>|</w:t>
      </w:r>
      <w:r w:rsidR="00B637A9">
        <w:rPr>
          <w:rFonts w:asciiTheme="minorHAnsi" w:hAnsiTheme="minorHAnsi"/>
          <w:snapToGrid w:val="0"/>
          <w:lang w:val="en-GB"/>
        </w:rPr>
        <w:t xml:space="preserve"> </w:t>
      </w:r>
      <w:r w:rsidR="00D54EAD">
        <w:rPr>
          <w:rFonts w:asciiTheme="minorHAnsi" w:hAnsiTheme="minorHAnsi"/>
          <w:snapToGrid w:val="0"/>
          <w:lang w:val="en-GB"/>
        </w:rPr>
        <w:t xml:space="preserve"> </w:t>
      </w:r>
      <w:r w:rsidR="00B637A9" w:rsidRPr="00B637A9">
        <w:rPr>
          <w:rFonts w:asciiTheme="minorHAnsi" w:hAnsiTheme="minorHAnsi"/>
          <w:snapToGrid w:val="0"/>
          <w:lang w:val="en-GB"/>
        </w:rPr>
        <w:t xml:space="preserve">The PBAC noted the ICER accepted for ZVL was </w:t>
      </w:r>
      <w:r w:rsidR="005D6E23" w:rsidRPr="00D26158">
        <w:rPr>
          <w:rFonts w:asciiTheme="minorHAnsi" w:hAnsiTheme="minorHAnsi"/>
          <w:snapToGrid w:val="0"/>
          <w:color w:val="000000"/>
          <w:w w:val="15"/>
          <w:shd w:val="solid" w:color="000000" w:fill="000000"/>
          <w:fitText w:val="-20" w:id="-1275407356"/>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6"/>
          <w:lang w:val="en-GB"/>
          <w14:textFill>
            <w14:solidFill>
              <w14:srgbClr w14:val="000000">
                <w14:alpha w14:val="100000"/>
              </w14:srgbClr>
            </w14:solidFill>
          </w14:textFill>
        </w:rPr>
        <w:t>|</w:t>
      </w:r>
      <w:r w:rsidR="00B637A9" w:rsidRPr="00B637A9">
        <w:rPr>
          <w:rFonts w:asciiTheme="minorHAnsi" w:hAnsiTheme="minorHAnsi"/>
          <w:snapToGrid w:val="0"/>
          <w:lang w:val="en-GB"/>
        </w:rPr>
        <w:t xml:space="preserve">, and that the </w:t>
      </w:r>
      <w:r w:rsidR="005D6E23" w:rsidRPr="00D26158">
        <w:rPr>
          <w:rFonts w:asciiTheme="minorHAnsi" w:hAnsiTheme="minorHAnsi"/>
          <w:snapToGrid w:val="0"/>
          <w:color w:val="000000"/>
          <w:w w:val="15"/>
          <w:shd w:val="solid" w:color="000000" w:fill="000000"/>
          <w:fitText w:val="-20" w:id="-1275407355"/>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5"/>
          <w:lang w:val="en-GB"/>
          <w14:textFill>
            <w14:solidFill>
              <w14:srgbClr w14:val="000000">
                <w14:alpha w14:val="100000"/>
              </w14:srgbClr>
            </w14:solidFill>
          </w14:textFill>
        </w:rPr>
        <w:t>|</w:t>
      </w:r>
      <w:r w:rsidR="00B637A9" w:rsidRPr="00B637A9">
        <w:rPr>
          <w:rFonts w:asciiTheme="minorHAnsi" w:hAnsiTheme="minorHAnsi"/>
          <w:snapToGrid w:val="0"/>
          <w:lang w:val="en-GB"/>
        </w:rPr>
        <w:t xml:space="preserve"> ICER using the model included in the current submission suggested </w:t>
      </w:r>
      <w:r w:rsidR="005D6E23" w:rsidRPr="00D26158">
        <w:rPr>
          <w:rFonts w:asciiTheme="minorHAnsi" w:hAnsiTheme="minorHAnsi"/>
          <w:snapToGrid w:val="0"/>
          <w:color w:val="000000"/>
          <w:w w:val="15"/>
          <w:shd w:val="solid" w:color="000000" w:fill="000000"/>
          <w:fitText w:val="-20" w:id="-1275407354"/>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4"/>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3"/>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3"/>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2"/>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2"/>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1"/>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1"/>
          <w:lang w:val="en-GB"/>
          <w14:textFill>
            <w14:solidFill>
              <w14:srgbClr w14:val="000000">
                <w14:alpha w14:val="100000"/>
              </w14:srgbClr>
            </w14:solidFill>
          </w14:textFill>
        </w:rPr>
        <w:t>|</w:t>
      </w:r>
      <w:r w:rsidR="005D6E23" w:rsidRPr="005D6E23">
        <w:rPr>
          <w:rFonts w:asciiTheme="minorHAnsi" w:hAnsiTheme="minorHAnsi"/>
          <w:snapToGrid w:val="0"/>
          <w:lang w:val="en-GB"/>
        </w:rPr>
        <w:t xml:space="preserve"> </w:t>
      </w:r>
      <w:r w:rsidR="005D6E23" w:rsidRPr="00D26158">
        <w:rPr>
          <w:rFonts w:asciiTheme="minorHAnsi" w:hAnsiTheme="minorHAnsi"/>
          <w:snapToGrid w:val="0"/>
          <w:color w:val="000000"/>
          <w:w w:val="15"/>
          <w:shd w:val="solid" w:color="000000" w:fill="000000"/>
          <w:fitText w:val="-20" w:id="-1275407350"/>
          <w:lang w:val="en-GB"/>
          <w14:textFill>
            <w14:solidFill>
              <w14:srgbClr w14:val="000000">
                <w14:alpha w14:val="100000"/>
              </w14:srgbClr>
            </w14:solidFill>
          </w14:textFill>
        </w:rPr>
        <w:t xml:space="preserve">|  </w:t>
      </w:r>
      <w:r w:rsidR="005D6E23" w:rsidRPr="00D26158">
        <w:rPr>
          <w:rFonts w:asciiTheme="minorHAnsi" w:hAnsiTheme="minorHAnsi"/>
          <w:snapToGrid w:val="0"/>
          <w:color w:val="000000"/>
          <w:spacing w:val="-69"/>
          <w:w w:val="15"/>
          <w:shd w:val="solid" w:color="000000" w:fill="000000"/>
          <w:fitText w:val="-20" w:id="-1275407350"/>
          <w:lang w:val="en-GB"/>
          <w14:textFill>
            <w14:solidFill>
              <w14:srgbClr w14:val="000000">
                <w14:alpha w14:val="100000"/>
              </w14:srgbClr>
            </w14:solidFill>
          </w14:textFill>
        </w:rPr>
        <w:t>|</w:t>
      </w:r>
      <w:r w:rsidR="00B637A9" w:rsidRPr="00B637A9">
        <w:rPr>
          <w:rFonts w:asciiTheme="minorHAnsi" w:hAnsiTheme="minorHAnsi"/>
          <w:snapToGrid w:val="0"/>
          <w:lang w:val="en-GB"/>
        </w:rPr>
        <w:t>.</w:t>
      </w:r>
    </w:p>
    <w:p w14:paraId="754262AD" w14:textId="77777777" w:rsidR="00D929CC" w:rsidRPr="0089368A" w:rsidRDefault="00D929CC" w:rsidP="00D929CC">
      <w:pPr>
        <w:widowControl w:val="0"/>
        <w:spacing w:after="120"/>
        <w:ind w:left="720"/>
        <w:jc w:val="center"/>
        <w:rPr>
          <w:rFonts w:asciiTheme="minorHAnsi" w:hAnsiTheme="minorHAnsi"/>
          <w:b/>
          <w:bCs/>
          <w:snapToGrid w:val="0"/>
          <w:lang w:val="en-GB"/>
        </w:rPr>
      </w:pPr>
      <w:r>
        <w:rPr>
          <w:rFonts w:asciiTheme="minorHAnsi" w:hAnsiTheme="minorHAnsi"/>
          <w:b/>
          <w:bCs/>
          <w:snapToGrid w:val="0"/>
          <w:lang w:val="en-GB"/>
        </w:rPr>
        <w:t>End committee-in-confidence</w:t>
      </w:r>
    </w:p>
    <w:p w14:paraId="0ED08122" w14:textId="7D427CDA" w:rsidR="00D929CC" w:rsidRDefault="009F552B" w:rsidP="00D929CC">
      <w:pPr>
        <w:widowControl w:val="0"/>
        <w:numPr>
          <w:ilvl w:val="1"/>
          <w:numId w:val="1"/>
        </w:numPr>
        <w:spacing w:after="120"/>
        <w:rPr>
          <w:rFonts w:asciiTheme="minorHAnsi" w:hAnsiTheme="minorHAnsi"/>
          <w:snapToGrid w:val="0"/>
          <w:lang w:val="en-GB"/>
        </w:rPr>
      </w:pPr>
      <w:bookmarkStart w:id="84" w:name="_Ref130369273"/>
      <w:r>
        <w:rPr>
          <w:rFonts w:asciiTheme="minorHAnsi" w:hAnsiTheme="minorHAnsi"/>
          <w:snapToGrid w:val="0"/>
          <w:lang w:val="en-GB"/>
        </w:rPr>
        <w:t xml:space="preserve">The PBAC did not consider </w:t>
      </w:r>
      <w:r w:rsidRPr="009A47A5">
        <w:rPr>
          <w:rFonts w:asciiTheme="minorHAnsi" w:hAnsiTheme="minorHAnsi"/>
          <w:snapToGrid w:val="0"/>
          <w:lang w:val="en-GB"/>
        </w:rPr>
        <w:t xml:space="preserve">RZV </w:t>
      </w:r>
      <w:r>
        <w:rPr>
          <w:rFonts w:asciiTheme="minorHAnsi" w:hAnsiTheme="minorHAnsi"/>
          <w:snapToGrid w:val="0"/>
          <w:lang w:val="en-GB"/>
        </w:rPr>
        <w:t xml:space="preserve">was cost-effective </w:t>
      </w:r>
      <w:r w:rsidRPr="009A47A5">
        <w:rPr>
          <w:rFonts w:asciiTheme="minorHAnsi" w:hAnsiTheme="minorHAnsi"/>
          <w:snapToGrid w:val="0"/>
          <w:lang w:val="en-GB"/>
        </w:rPr>
        <w:t>for non-Indigenous individuals aged 65 to 69 years and ≥ 71 years</w:t>
      </w:r>
      <w:r>
        <w:rPr>
          <w:rFonts w:asciiTheme="minorHAnsi" w:hAnsiTheme="minorHAnsi"/>
          <w:snapToGrid w:val="0"/>
          <w:lang w:val="en-GB"/>
        </w:rPr>
        <w:t>.</w:t>
      </w:r>
      <w:r w:rsidR="00E53791">
        <w:rPr>
          <w:rFonts w:asciiTheme="minorHAnsi" w:hAnsiTheme="minorHAnsi"/>
          <w:snapToGrid w:val="0"/>
          <w:lang w:val="en-GB"/>
        </w:rPr>
        <w:t xml:space="preserve"> The PBAC recalled its November 2018 advice for RZV that </w:t>
      </w:r>
      <w:r w:rsidR="00E53791">
        <w:rPr>
          <w:rFonts w:asciiTheme="minorHAnsi" w:hAnsiTheme="minorHAnsi"/>
          <w:bCs/>
          <w:lang w:val="en-GB"/>
        </w:rPr>
        <w:t>g</w:t>
      </w:r>
      <w:r w:rsidR="00E53791" w:rsidRPr="006C57CC">
        <w:rPr>
          <w:rFonts w:asciiTheme="minorHAnsi" w:hAnsiTheme="minorHAnsi"/>
          <w:bCs/>
          <w:lang w:val="en-GB"/>
        </w:rPr>
        <w:t>iven the large opportunity cost, more conservative cost-effectiveness analyses were required</w:t>
      </w:r>
      <w:r w:rsidR="00FF6C54">
        <w:rPr>
          <w:rFonts w:asciiTheme="minorHAnsi" w:hAnsiTheme="minorHAnsi"/>
          <w:bCs/>
          <w:lang w:val="en-GB"/>
        </w:rPr>
        <w:t xml:space="preserve"> (paragraph 7.1, RZV PSD, November 2018 PBAC meeting)</w:t>
      </w:r>
      <w:r w:rsidR="00E53791" w:rsidRPr="006C57CC">
        <w:rPr>
          <w:rFonts w:asciiTheme="minorHAnsi" w:hAnsiTheme="minorHAnsi"/>
          <w:bCs/>
          <w:lang w:val="en-GB"/>
        </w:rPr>
        <w:t xml:space="preserve">. </w:t>
      </w:r>
      <w:r w:rsidR="00E53791">
        <w:rPr>
          <w:rFonts w:asciiTheme="minorHAnsi" w:hAnsiTheme="minorHAnsi"/>
          <w:snapToGrid w:val="0"/>
          <w:lang w:val="en-GB"/>
        </w:rPr>
        <w:t xml:space="preserve">The PBAC maintained this advice and </w:t>
      </w:r>
      <w:r w:rsidR="00B637A9" w:rsidRPr="00B637A9">
        <w:rPr>
          <w:rFonts w:asciiTheme="minorHAnsi" w:hAnsiTheme="minorHAnsi"/>
          <w:snapToGrid w:val="0"/>
          <w:lang w:val="en-GB"/>
        </w:rPr>
        <w:t xml:space="preserve">considered that any resubmission should present </w:t>
      </w:r>
      <w:r w:rsidR="0038740F">
        <w:rPr>
          <w:rFonts w:asciiTheme="minorHAnsi" w:hAnsiTheme="minorHAnsi"/>
          <w:snapToGrid w:val="0"/>
          <w:lang w:val="en-GB"/>
        </w:rPr>
        <w:t>additional cost effectiveness analyses including</w:t>
      </w:r>
      <w:r w:rsidR="00B637A9" w:rsidRPr="00B637A9">
        <w:rPr>
          <w:rFonts w:asciiTheme="minorHAnsi" w:hAnsiTheme="minorHAnsi"/>
          <w:snapToGrid w:val="0"/>
          <w:lang w:val="en-GB"/>
        </w:rPr>
        <w:t xml:space="preserve"> univariate and multivariate analyses addressing the issues outlined in paragraph </w:t>
      </w:r>
      <w:r w:rsidR="0038740F">
        <w:rPr>
          <w:rFonts w:asciiTheme="minorHAnsi" w:hAnsiTheme="minorHAnsi"/>
          <w:snapToGrid w:val="0"/>
          <w:lang w:val="en-GB"/>
        </w:rPr>
        <w:fldChar w:fldCharType="begin" w:fldLock="1"/>
      </w:r>
      <w:r w:rsidR="0038740F">
        <w:rPr>
          <w:rFonts w:asciiTheme="minorHAnsi" w:hAnsiTheme="minorHAnsi"/>
          <w:snapToGrid w:val="0"/>
          <w:lang w:val="en-GB"/>
        </w:rPr>
        <w:instrText xml:space="preserve"> REF _Ref130833089 \r \h </w:instrText>
      </w:r>
      <w:r w:rsidR="0038740F">
        <w:rPr>
          <w:rFonts w:asciiTheme="minorHAnsi" w:hAnsiTheme="minorHAnsi"/>
          <w:snapToGrid w:val="0"/>
          <w:lang w:val="en-GB"/>
        </w:rPr>
      </w:r>
      <w:r w:rsidR="0038740F">
        <w:rPr>
          <w:rFonts w:asciiTheme="minorHAnsi" w:hAnsiTheme="minorHAnsi"/>
          <w:snapToGrid w:val="0"/>
          <w:lang w:val="en-GB"/>
        </w:rPr>
        <w:fldChar w:fldCharType="separate"/>
      </w:r>
      <w:r w:rsidR="00602E99">
        <w:rPr>
          <w:rFonts w:asciiTheme="minorHAnsi" w:hAnsiTheme="minorHAnsi"/>
          <w:snapToGrid w:val="0"/>
          <w:lang w:val="en-GB"/>
        </w:rPr>
        <w:t>7.21</w:t>
      </w:r>
      <w:r w:rsidR="0038740F">
        <w:rPr>
          <w:rFonts w:asciiTheme="minorHAnsi" w:hAnsiTheme="minorHAnsi"/>
          <w:snapToGrid w:val="0"/>
          <w:lang w:val="en-GB"/>
        </w:rPr>
        <w:fldChar w:fldCharType="end"/>
      </w:r>
      <w:r w:rsidR="00B637A9">
        <w:rPr>
          <w:rFonts w:asciiTheme="minorHAnsi" w:hAnsiTheme="minorHAnsi"/>
          <w:snapToGrid w:val="0"/>
          <w:lang w:val="en-GB"/>
        </w:rPr>
        <w:t>.</w:t>
      </w:r>
      <w:bookmarkEnd w:id="84"/>
    </w:p>
    <w:p w14:paraId="19E6C26A" w14:textId="0595B2A3" w:rsidR="001B725C" w:rsidRPr="00960B7D" w:rsidRDefault="00960B7D" w:rsidP="00960B7D">
      <w:pPr>
        <w:pStyle w:val="3-BodyText"/>
        <w:rPr>
          <w:lang w:val="en-GB"/>
        </w:rPr>
      </w:pPr>
      <w:bookmarkStart w:id="85" w:name="_Ref130369295"/>
      <w:r w:rsidRPr="00960B7D">
        <w:rPr>
          <w:lang w:val="en-GB"/>
        </w:rPr>
        <w:t xml:space="preserve">The PBAC considered the estimated financial cost of listing RZV on the NIP for non-Indigenous individuals aged 65 to 69 years and ≥ 71 years could reliably be determined using the estimates model provided in the resubmission. The PBAC noted </w:t>
      </w:r>
      <w:r w:rsidR="00797020">
        <w:rPr>
          <w:lang w:val="en-GB"/>
        </w:rPr>
        <w:t xml:space="preserve">in any resubmission </w:t>
      </w:r>
      <w:r w:rsidRPr="00960B7D">
        <w:rPr>
          <w:lang w:val="en-GB"/>
        </w:rPr>
        <w:t>individuals previously vaccinated with 2 doses of RZV and individuals who have received ZVL in the previous 5 years should be removed from the estimates.</w:t>
      </w:r>
      <w:bookmarkEnd w:id="85"/>
      <w:r w:rsidR="00780531">
        <w:rPr>
          <w:lang w:val="en-GB"/>
        </w:rPr>
        <w:t xml:space="preserve"> The PBAC noted the ATAGI post-submission advice indicated the proportion of the </w:t>
      </w:r>
      <w:r w:rsidR="00780531">
        <w:rPr>
          <w:lang w:val="en-GB"/>
        </w:rPr>
        <w:lastRenderedPageBreak/>
        <w:t xml:space="preserve">population that has previously received ZVL </w:t>
      </w:r>
      <w:r w:rsidR="006C48A0">
        <w:rPr>
          <w:lang w:val="en-GB"/>
        </w:rPr>
        <w:t>w</w:t>
      </w:r>
      <w:r w:rsidR="00780531">
        <w:rPr>
          <w:lang w:val="en-GB"/>
        </w:rPr>
        <w:t xml:space="preserve">as higher than assumed in the resubmission (see </w:t>
      </w:r>
      <w:r w:rsidR="00780531">
        <w:rPr>
          <w:lang w:val="en-GB"/>
        </w:rPr>
        <w:fldChar w:fldCharType="begin" w:fldLock="1"/>
      </w:r>
      <w:r w:rsidR="00780531">
        <w:rPr>
          <w:lang w:val="en-GB"/>
        </w:rPr>
        <w:instrText xml:space="preserve"> REF _Ref122266983 \h </w:instrText>
      </w:r>
      <w:r w:rsidR="00780531">
        <w:rPr>
          <w:lang w:val="en-GB"/>
        </w:rPr>
      </w:r>
      <w:r w:rsidR="00780531">
        <w:rPr>
          <w:lang w:val="en-GB"/>
        </w:rPr>
        <w:fldChar w:fldCharType="separate"/>
      </w:r>
      <w:r w:rsidR="00441995" w:rsidRPr="00AD7238">
        <w:t xml:space="preserve">Table </w:t>
      </w:r>
      <w:r w:rsidR="00441995">
        <w:rPr>
          <w:noProof/>
        </w:rPr>
        <w:t>17</w:t>
      </w:r>
      <w:r w:rsidR="00780531">
        <w:rPr>
          <w:lang w:val="en-GB"/>
        </w:rPr>
        <w:fldChar w:fldCharType="end"/>
      </w:r>
      <w:r w:rsidR="00780531">
        <w:rPr>
          <w:lang w:val="en-GB"/>
        </w:rPr>
        <w:t>).</w:t>
      </w:r>
    </w:p>
    <w:p w14:paraId="35739CD6" w14:textId="5AF2D10F" w:rsidR="00960B7D" w:rsidRPr="00960B7D" w:rsidRDefault="00960B7D" w:rsidP="00D929CC">
      <w:pPr>
        <w:widowControl w:val="0"/>
        <w:numPr>
          <w:ilvl w:val="1"/>
          <w:numId w:val="1"/>
        </w:numPr>
        <w:spacing w:after="120"/>
        <w:rPr>
          <w:rFonts w:asciiTheme="minorHAnsi" w:hAnsiTheme="minorHAnsi"/>
          <w:snapToGrid w:val="0"/>
          <w:lang w:val="en-GB"/>
        </w:rPr>
      </w:pPr>
      <w:r w:rsidRPr="00960B7D">
        <w:rPr>
          <w:rFonts w:asciiTheme="minorHAnsi" w:hAnsiTheme="minorHAnsi"/>
          <w:bCs/>
          <w:snapToGrid w:val="0"/>
          <w:lang w:val="en-GB"/>
        </w:rPr>
        <w:t xml:space="preserve">The PBAC considered the outstanding issues </w:t>
      </w:r>
      <w:r w:rsidR="00BE608C" w:rsidRPr="009A47A5">
        <w:rPr>
          <w:rFonts w:asciiTheme="minorHAnsi" w:hAnsiTheme="minorHAnsi"/>
          <w:snapToGrid w:val="0"/>
          <w:lang w:val="en-GB"/>
        </w:rPr>
        <w:t>for non-Indigenous individuals aged 65 to 69 years and ≥ 71 years</w:t>
      </w:r>
      <w:r w:rsidR="00BE608C" w:rsidRPr="00960B7D">
        <w:rPr>
          <w:rFonts w:asciiTheme="minorHAnsi" w:hAnsiTheme="minorHAnsi"/>
          <w:bCs/>
          <w:snapToGrid w:val="0"/>
          <w:lang w:val="en-GB"/>
        </w:rPr>
        <w:t xml:space="preserve"> </w:t>
      </w:r>
      <w:r w:rsidRPr="00960B7D">
        <w:rPr>
          <w:rFonts w:asciiTheme="minorHAnsi" w:hAnsiTheme="minorHAnsi"/>
          <w:bCs/>
          <w:snapToGrid w:val="0"/>
          <w:lang w:val="en-GB"/>
        </w:rPr>
        <w:t>could be easily resolved in a simple resubmission for RZV using the early re-entry pathway. If the sponsor accepts this pathway, the following changes may address these outstanding issues without requiring further re-evaluation:</w:t>
      </w:r>
    </w:p>
    <w:p w14:paraId="1A2FDBE0" w14:textId="2B33FC82" w:rsidR="001B725C" w:rsidRPr="00960B7D" w:rsidRDefault="00DD64FC" w:rsidP="00915A5A">
      <w:pPr>
        <w:pStyle w:val="ListParagraph"/>
        <w:widowControl w:val="0"/>
        <w:numPr>
          <w:ilvl w:val="0"/>
          <w:numId w:val="34"/>
        </w:numPr>
        <w:rPr>
          <w:lang w:val="en-GB"/>
        </w:rPr>
      </w:pPr>
      <w:r>
        <w:rPr>
          <w:lang w:val="en-GB"/>
        </w:rPr>
        <w:t xml:space="preserve">Present </w:t>
      </w:r>
      <w:r w:rsidR="00BE608C">
        <w:rPr>
          <w:lang w:val="en-GB"/>
        </w:rPr>
        <w:t>additional cost-effectiveness analyses</w:t>
      </w:r>
      <w:r w:rsidRPr="00DD64FC">
        <w:rPr>
          <w:lang w:val="en-GB"/>
        </w:rPr>
        <w:t xml:space="preserve"> </w:t>
      </w:r>
      <w:r>
        <w:rPr>
          <w:lang w:val="en-GB"/>
        </w:rPr>
        <w:t xml:space="preserve">as outlined in </w:t>
      </w:r>
      <w:r w:rsidRPr="00DD64FC">
        <w:rPr>
          <w:lang w:val="en-GB"/>
        </w:rPr>
        <w:t>paragraph</w:t>
      </w:r>
      <w:r>
        <w:rPr>
          <w:lang w:val="en-GB"/>
        </w:rPr>
        <w:t xml:space="preserve"> </w:t>
      </w:r>
      <w:r w:rsidR="00FF6C54" w:rsidRPr="0038740F">
        <w:rPr>
          <w:lang w:val="en-GB"/>
        </w:rPr>
        <w:fldChar w:fldCharType="begin" w:fldLock="1"/>
      </w:r>
      <w:r w:rsidR="00FF6C54" w:rsidRPr="0038740F">
        <w:rPr>
          <w:lang w:val="en-GB"/>
        </w:rPr>
        <w:instrText xml:space="preserve"> REF _Ref130369273 \r \h  \* MERGEFORMAT </w:instrText>
      </w:r>
      <w:r w:rsidR="00FF6C54" w:rsidRPr="0038740F">
        <w:rPr>
          <w:lang w:val="en-GB"/>
        </w:rPr>
      </w:r>
      <w:r w:rsidR="00FF6C54" w:rsidRPr="0038740F">
        <w:rPr>
          <w:lang w:val="en-GB"/>
        </w:rPr>
        <w:fldChar w:fldCharType="separate"/>
      </w:r>
      <w:r w:rsidR="00602E99">
        <w:rPr>
          <w:lang w:val="en-GB"/>
        </w:rPr>
        <w:t>7.24</w:t>
      </w:r>
      <w:r w:rsidR="00FF6C54" w:rsidRPr="0038740F">
        <w:rPr>
          <w:lang w:val="en-GB"/>
        </w:rPr>
        <w:fldChar w:fldCharType="end"/>
      </w:r>
      <w:r>
        <w:rPr>
          <w:lang w:val="en-GB"/>
        </w:rPr>
        <w:t>; and</w:t>
      </w:r>
    </w:p>
    <w:p w14:paraId="004BB25A" w14:textId="113832A6" w:rsidR="00960B7D" w:rsidRPr="00960B7D" w:rsidRDefault="00DD64FC" w:rsidP="00915A5A">
      <w:pPr>
        <w:pStyle w:val="ListParagraph"/>
        <w:widowControl w:val="0"/>
        <w:numPr>
          <w:ilvl w:val="0"/>
          <w:numId w:val="34"/>
        </w:numPr>
        <w:rPr>
          <w:lang w:val="en-GB"/>
        </w:rPr>
      </w:pPr>
      <w:r>
        <w:rPr>
          <w:lang w:val="en-GB"/>
        </w:rPr>
        <w:t xml:space="preserve">Provide revised financials as outlined in paragraph </w:t>
      </w:r>
      <w:r w:rsidR="00FF6C54" w:rsidRPr="0038740F">
        <w:rPr>
          <w:lang w:val="en-GB"/>
        </w:rPr>
        <w:fldChar w:fldCharType="begin" w:fldLock="1"/>
      </w:r>
      <w:r w:rsidR="00FF6C54" w:rsidRPr="0038740F">
        <w:rPr>
          <w:lang w:val="en-GB"/>
        </w:rPr>
        <w:instrText xml:space="preserve"> REF _Ref130369295 \r \h  \* MERGEFORMAT </w:instrText>
      </w:r>
      <w:r w:rsidR="00FF6C54" w:rsidRPr="0038740F">
        <w:rPr>
          <w:lang w:val="en-GB"/>
        </w:rPr>
      </w:r>
      <w:r w:rsidR="00FF6C54" w:rsidRPr="0038740F">
        <w:rPr>
          <w:lang w:val="en-GB"/>
        </w:rPr>
        <w:fldChar w:fldCharType="separate"/>
      </w:r>
      <w:r w:rsidR="00602E99">
        <w:rPr>
          <w:lang w:val="en-GB"/>
        </w:rPr>
        <w:t>7.25</w:t>
      </w:r>
      <w:r w:rsidR="00FF6C54" w:rsidRPr="0038740F">
        <w:rPr>
          <w:lang w:val="en-GB"/>
        </w:rPr>
        <w:fldChar w:fldCharType="end"/>
      </w:r>
      <w:r w:rsidRPr="0038740F">
        <w:rPr>
          <w:lang w:val="en-GB"/>
        </w:rPr>
        <w:t>.</w:t>
      </w:r>
    </w:p>
    <w:p w14:paraId="2A825598" w14:textId="77777777" w:rsidR="005D6E23" w:rsidRPr="005D6E23" w:rsidRDefault="00960B7D" w:rsidP="00960B7D">
      <w:pPr>
        <w:pStyle w:val="ListBullet"/>
        <w:numPr>
          <w:ilvl w:val="0"/>
          <w:numId w:val="0"/>
        </w:numPr>
        <w:spacing w:after="240"/>
        <w:ind w:left="720"/>
        <w:rPr>
          <w:lang w:val="en-GB"/>
        </w:rPr>
      </w:pPr>
      <w:r w:rsidRPr="00960B7D">
        <w:rPr>
          <w:rFonts w:asciiTheme="minorHAnsi" w:hAnsiTheme="minorHAnsi"/>
          <w:bCs/>
          <w:snapToGrid w:val="0"/>
          <w:lang w:val="en-GB"/>
        </w:rPr>
        <w:t>The early re-entry resubmission must be lodged by week 7 of the current PBAC cycle</w:t>
      </w:r>
      <w:r w:rsidRPr="00674C0F">
        <w:rPr>
          <w:rFonts w:asciiTheme="minorHAnsi" w:hAnsiTheme="minorHAnsi"/>
          <w:bCs/>
          <w:snapToGrid w:val="0"/>
          <w:lang w:val="en-GB"/>
        </w:rPr>
        <w:t xml:space="preserve"> or the next cycle. If the issues cannot be addressed by the sponsor in a simple resubmission and the early re-entry timing is not acceptable, a standard re-entry pathway is available.</w:t>
      </w:r>
    </w:p>
    <w:p w14:paraId="0B45B3A8" w14:textId="1BEB3CA5" w:rsidR="00924B9B" w:rsidRDefault="00491CD2" w:rsidP="0087771F">
      <w:pPr>
        <w:widowControl w:val="0"/>
        <w:numPr>
          <w:ilvl w:val="1"/>
          <w:numId w:val="1"/>
        </w:numPr>
        <w:spacing w:after="120"/>
        <w:rPr>
          <w:rFonts w:asciiTheme="minorHAnsi" w:hAnsiTheme="minorHAnsi"/>
          <w:snapToGrid w:val="0"/>
          <w:lang w:val="en-GB"/>
        </w:rPr>
      </w:pPr>
      <w:r>
        <w:t xml:space="preserve">The </w:t>
      </w:r>
      <w:r w:rsidRPr="00B76800">
        <w:t>PBAC noted that this submission is not eligible for an independent review as independent review is only relevant to requests for PBS listing</w:t>
      </w:r>
    </w:p>
    <w:p w14:paraId="26BEE26B" w14:textId="77777777" w:rsidR="00491CD2" w:rsidRPr="00491CD2" w:rsidRDefault="00491CD2" w:rsidP="00D6559D">
      <w:pPr>
        <w:widowControl w:val="0"/>
        <w:rPr>
          <w:rFonts w:asciiTheme="minorHAnsi" w:hAnsiTheme="minorHAnsi"/>
          <w:snapToGrid w:val="0"/>
          <w:lang w:val="en-GB"/>
        </w:rPr>
      </w:pPr>
      <w:r w:rsidRPr="00491CD2">
        <w:rPr>
          <w:rFonts w:asciiTheme="minorHAnsi" w:hAnsiTheme="minorHAnsi"/>
          <w:b/>
          <w:bCs/>
          <w:snapToGrid w:val="0"/>
          <w:lang w:val="en-GB"/>
        </w:rPr>
        <w:t>Outcome</w:t>
      </w:r>
      <w:r w:rsidRPr="00491CD2">
        <w:rPr>
          <w:rFonts w:asciiTheme="minorHAnsi" w:hAnsiTheme="minorHAnsi"/>
          <w:snapToGrid w:val="0"/>
          <w:lang w:val="en-GB"/>
        </w:rPr>
        <w:t>:</w:t>
      </w:r>
    </w:p>
    <w:p w14:paraId="1FE27054" w14:textId="10D72B00" w:rsidR="000421EB" w:rsidRDefault="00491CD2" w:rsidP="00D6559D">
      <w:pPr>
        <w:widowControl w:val="0"/>
        <w:spacing w:after="120"/>
        <w:rPr>
          <w:rFonts w:asciiTheme="minorHAnsi" w:hAnsiTheme="minorHAnsi"/>
          <w:snapToGrid w:val="0"/>
          <w:lang w:val="en-GB"/>
        </w:rPr>
      </w:pPr>
      <w:r w:rsidRPr="00491CD2">
        <w:rPr>
          <w:rFonts w:asciiTheme="minorHAnsi" w:hAnsiTheme="minorHAnsi"/>
          <w:snapToGrid w:val="0"/>
          <w:lang w:val="en-GB"/>
        </w:rPr>
        <w:t>Recommended</w:t>
      </w:r>
      <w:bookmarkEnd w:id="80"/>
      <w:r w:rsidR="00960B7D">
        <w:rPr>
          <w:lang w:val="en-GB"/>
        </w:rPr>
        <w:t xml:space="preserve"> for </w:t>
      </w:r>
      <w:r w:rsidR="00960B7D" w:rsidRPr="001B725C">
        <w:rPr>
          <w:rFonts w:asciiTheme="minorHAnsi" w:hAnsiTheme="minorHAnsi"/>
          <w:snapToGrid w:val="0"/>
          <w:lang w:val="en-GB"/>
        </w:rPr>
        <w:t xml:space="preserve">non-Indigenous individuals aged 70 years, Aboriginal and Torres Strait Islander individuals aged ≥ 50 years and immunocompromised individuals aged ≥ 18 years </w:t>
      </w:r>
      <w:r w:rsidR="00960B7D">
        <w:rPr>
          <w:rFonts w:asciiTheme="minorHAnsi" w:hAnsiTheme="minorHAnsi"/>
          <w:snapToGrid w:val="0"/>
          <w:lang w:val="en-GB"/>
        </w:rPr>
        <w:t xml:space="preserve">with conditions </w:t>
      </w:r>
      <w:r w:rsidR="00960B7D" w:rsidRPr="001B725C">
        <w:rPr>
          <w:rFonts w:asciiTheme="minorHAnsi" w:hAnsiTheme="minorHAnsi"/>
          <w:snapToGrid w:val="0"/>
          <w:lang w:val="en-GB"/>
        </w:rPr>
        <w:t xml:space="preserve">at </w:t>
      </w:r>
      <w:r w:rsidR="006C48A0">
        <w:rPr>
          <w:rFonts w:asciiTheme="minorHAnsi" w:hAnsiTheme="minorHAnsi"/>
          <w:snapToGrid w:val="0"/>
          <w:lang w:val="en-GB"/>
        </w:rPr>
        <w:t>‘</w:t>
      </w:r>
      <w:r w:rsidR="00960B7D" w:rsidRPr="001B725C">
        <w:rPr>
          <w:rFonts w:asciiTheme="minorHAnsi" w:hAnsiTheme="minorHAnsi"/>
          <w:snapToGrid w:val="0"/>
          <w:lang w:val="en-GB"/>
        </w:rPr>
        <w:t>high risk</w:t>
      </w:r>
      <w:r w:rsidR="006C48A0">
        <w:rPr>
          <w:rFonts w:asciiTheme="minorHAnsi" w:hAnsiTheme="minorHAnsi"/>
          <w:snapToGrid w:val="0"/>
          <w:lang w:val="en-GB"/>
        </w:rPr>
        <w:t>’</w:t>
      </w:r>
      <w:r w:rsidR="00960B7D" w:rsidRPr="001B725C">
        <w:rPr>
          <w:rFonts w:asciiTheme="minorHAnsi" w:hAnsiTheme="minorHAnsi"/>
          <w:snapToGrid w:val="0"/>
          <w:lang w:val="en-GB"/>
        </w:rPr>
        <w:t xml:space="preserve"> of HZ infection.</w:t>
      </w:r>
    </w:p>
    <w:p w14:paraId="25C4DF96" w14:textId="531BA796" w:rsidR="000421EB" w:rsidRDefault="000421EB" w:rsidP="000421EB">
      <w:pPr>
        <w:widowControl w:val="0"/>
        <w:spacing w:after="120"/>
        <w:rPr>
          <w:rFonts w:asciiTheme="minorHAnsi" w:hAnsiTheme="minorHAnsi"/>
          <w:snapToGrid w:val="0"/>
          <w:lang w:val="en-GB"/>
        </w:rPr>
      </w:pPr>
      <w:r>
        <w:rPr>
          <w:rFonts w:asciiTheme="minorHAnsi" w:hAnsiTheme="minorHAnsi"/>
          <w:snapToGrid w:val="0"/>
          <w:lang w:val="en-GB"/>
        </w:rPr>
        <w:t>D</w:t>
      </w:r>
      <w:r w:rsidRPr="009A47A5">
        <w:rPr>
          <w:rFonts w:asciiTheme="minorHAnsi" w:hAnsiTheme="minorHAnsi"/>
          <w:snapToGrid w:val="0"/>
          <w:lang w:val="en-GB"/>
        </w:rPr>
        <w:t xml:space="preserve">eferred for the broader population of immunocompromised individuals aged ≥ 18 years at </w:t>
      </w:r>
      <w:r>
        <w:rPr>
          <w:rFonts w:asciiTheme="minorHAnsi" w:hAnsiTheme="minorHAnsi"/>
          <w:snapToGrid w:val="0"/>
          <w:lang w:val="en-GB"/>
        </w:rPr>
        <w:t xml:space="preserve">increased </w:t>
      </w:r>
      <w:r w:rsidRPr="009A47A5">
        <w:rPr>
          <w:rFonts w:asciiTheme="minorHAnsi" w:hAnsiTheme="minorHAnsi"/>
          <w:snapToGrid w:val="0"/>
          <w:lang w:val="en-GB"/>
        </w:rPr>
        <w:t>risk of HZ infection</w:t>
      </w:r>
      <w:r w:rsidR="006C48A0">
        <w:rPr>
          <w:rFonts w:asciiTheme="minorHAnsi" w:hAnsiTheme="minorHAnsi"/>
          <w:snapToGrid w:val="0"/>
          <w:lang w:val="en-GB"/>
        </w:rPr>
        <w:t>, with further advice being sought from ATAGI</w:t>
      </w:r>
      <w:r>
        <w:rPr>
          <w:rFonts w:asciiTheme="minorHAnsi" w:hAnsiTheme="minorHAnsi"/>
          <w:snapToGrid w:val="0"/>
          <w:lang w:val="en-GB"/>
        </w:rPr>
        <w:t>.</w:t>
      </w:r>
      <w:r w:rsidRPr="009A47A5">
        <w:rPr>
          <w:rFonts w:asciiTheme="minorHAnsi" w:hAnsiTheme="minorHAnsi"/>
          <w:snapToGrid w:val="0"/>
          <w:lang w:val="en-GB"/>
        </w:rPr>
        <w:t xml:space="preserve"> </w:t>
      </w:r>
    </w:p>
    <w:p w14:paraId="0F6801B5" w14:textId="29AF0D1D" w:rsidR="000421EB" w:rsidRDefault="000421EB" w:rsidP="000421EB">
      <w:pPr>
        <w:widowControl w:val="0"/>
        <w:spacing w:after="120"/>
        <w:rPr>
          <w:rFonts w:asciiTheme="minorHAnsi" w:hAnsiTheme="minorHAnsi"/>
          <w:snapToGrid w:val="0"/>
          <w:lang w:val="en-GB"/>
        </w:rPr>
      </w:pPr>
      <w:r>
        <w:rPr>
          <w:rFonts w:asciiTheme="minorHAnsi" w:hAnsiTheme="minorHAnsi"/>
          <w:snapToGrid w:val="0"/>
          <w:lang w:val="en-GB"/>
        </w:rPr>
        <w:t>N</w:t>
      </w:r>
      <w:r w:rsidRPr="009A47A5">
        <w:rPr>
          <w:rFonts w:asciiTheme="minorHAnsi" w:hAnsiTheme="minorHAnsi"/>
          <w:snapToGrid w:val="0"/>
          <w:lang w:val="en-GB"/>
        </w:rPr>
        <w:t>ot recommend for non-Indigenous individuals aged 65 to 69 years and ≥ 71 years</w:t>
      </w:r>
      <w:r w:rsidRPr="00011840">
        <w:rPr>
          <w:rFonts w:asciiTheme="minorHAnsi" w:hAnsiTheme="minorHAnsi"/>
          <w:snapToGrid w:val="0"/>
          <w:lang w:val="en-GB"/>
        </w:rPr>
        <w:t xml:space="preserve">. </w:t>
      </w:r>
    </w:p>
    <w:bookmarkEnd w:id="78"/>
    <w:p w14:paraId="74033E81" w14:textId="77777777" w:rsidR="0087771F" w:rsidRPr="00F237A4" w:rsidRDefault="0087771F" w:rsidP="00441995">
      <w:pPr>
        <w:pStyle w:val="2-SectionHeading"/>
        <w:rPr>
          <w:b w:val="0"/>
          <w:iCs/>
          <w:lang w:val="en-GB"/>
        </w:rPr>
      </w:pPr>
      <w:r w:rsidRPr="00441995">
        <w:t>Recommended</w:t>
      </w:r>
      <w:r w:rsidRPr="00525B39">
        <w:rPr>
          <w:lang w:val="en-GB"/>
        </w:rPr>
        <w:t xml:space="preserve"> listing</w:t>
      </w:r>
    </w:p>
    <w:p w14:paraId="7B76BE44" w14:textId="377AE0D5" w:rsidR="0087771F" w:rsidRPr="00BC4D50" w:rsidRDefault="0087771F" w:rsidP="00BC4D50">
      <w:pPr>
        <w:widowControl w:val="0"/>
        <w:numPr>
          <w:ilvl w:val="1"/>
          <w:numId w:val="1"/>
        </w:numPr>
        <w:spacing w:after="120"/>
        <w:contextualSpacing/>
        <w:rPr>
          <w:rFonts w:asciiTheme="minorHAnsi" w:hAnsiTheme="minorHAnsi"/>
          <w:bCs/>
          <w:snapToGrid w:val="0"/>
        </w:rPr>
      </w:pPr>
      <w:r w:rsidRPr="00BC4D50">
        <w:rPr>
          <w:rFonts w:asciiTheme="minorHAnsi" w:hAnsiTheme="minorHAnsi"/>
          <w:bCs/>
          <w:snapToGrid w:val="0"/>
        </w:rPr>
        <w:t>Add new item</w:t>
      </w:r>
      <w:r w:rsidR="00BC4D50" w:rsidRPr="00BC4D50">
        <w:rPr>
          <w:rFonts w:asciiTheme="minorHAnsi" w:hAnsiTheme="minorHAnsi"/>
          <w:bCs/>
          <w:snapToGrid w:val="0"/>
        </w:rPr>
        <w:t xml:space="preserve"> to </w:t>
      </w:r>
      <w:r w:rsidR="00BC4D50">
        <w:rPr>
          <w:rFonts w:asciiTheme="minorHAnsi" w:hAnsiTheme="minorHAnsi"/>
          <w:bCs/>
          <w:snapToGrid w:val="0"/>
        </w:rPr>
        <w:t>the Determination</w:t>
      </w:r>
      <w:r w:rsidRPr="00BC4D50">
        <w:rPr>
          <w:rFonts w:asciiTheme="minorHAnsi" w:hAnsiTheme="minorHAnsi"/>
          <w:bCs/>
          <w:snapToGrid w:val="0"/>
        </w:rPr>
        <w:t>:</w:t>
      </w:r>
    </w:p>
    <w:p w14:paraId="11AF2CC8" w14:textId="74A0705A" w:rsidR="00924B9B" w:rsidRDefault="00924B9B" w:rsidP="0087771F">
      <w:pPr>
        <w:rPr>
          <w:rFonts w:asciiTheme="minorHAnsi" w:hAnsiTheme="minorHAnsi"/>
          <w:bCs/>
          <w:snapToGrid w:val="0"/>
          <w:lang w:val="en-GB"/>
        </w:rPr>
      </w:pPr>
    </w:p>
    <w:tbl>
      <w:tblPr>
        <w:tblW w:w="5000" w:type="pct"/>
        <w:tblInd w:w="28" w:type="dxa"/>
        <w:tblCellMar>
          <w:left w:w="28" w:type="dxa"/>
          <w:right w:w="28" w:type="dxa"/>
        </w:tblCellMar>
        <w:tblLook w:val="0000" w:firstRow="0" w:lastRow="0" w:firstColumn="0" w:lastColumn="0" w:noHBand="0" w:noVBand="0"/>
      </w:tblPr>
      <w:tblGrid>
        <w:gridCol w:w="2100"/>
        <w:gridCol w:w="1415"/>
        <w:gridCol w:w="1560"/>
        <w:gridCol w:w="3952"/>
      </w:tblGrid>
      <w:tr w:rsidR="00BC4D50" w:rsidRPr="004F7AC4" w14:paraId="7648C139" w14:textId="77777777" w:rsidTr="0093496C">
        <w:trPr>
          <w:cantSplit/>
          <w:trHeight w:val="463"/>
        </w:trPr>
        <w:tc>
          <w:tcPr>
            <w:tcW w:w="1163" w:type="pct"/>
            <w:tcBorders>
              <w:top w:val="single" w:sz="4" w:space="0" w:color="auto"/>
              <w:bottom w:val="single" w:sz="4" w:space="0" w:color="auto"/>
            </w:tcBorders>
            <w:vAlign w:val="center"/>
          </w:tcPr>
          <w:p w14:paraId="313C4644" w14:textId="77777777" w:rsidR="00BC4D50" w:rsidRPr="00BC4D50" w:rsidRDefault="00BC4D50">
            <w:pPr>
              <w:keepNext/>
              <w:rPr>
                <w:rFonts w:ascii="Arial Narrow" w:hAnsi="Arial Narrow"/>
                <w:b/>
                <w:sz w:val="20"/>
              </w:rPr>
            </w:pPr>
            <w:r w:rsidRPr="00BC4D50">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706079AA" w14:textId="77777777" w:rsidR="00BC4D50" w:rsidRPr="00BC4D50" w:rsidRDefault="00BC4D50">
            <w:pPr>
              <w:keepNext/>
              <w:jc w:val="center"/>
              <w:rPr>
                <w:rFonts w:ascii="Arial Narrow" w:hAnsi="Arial Narrow"/>
                <w:b/>
                <w:sz w:val="20"/>
              </w:rPr>
            </w:pPr>
            <w:r w:rsidRPr="00BC4D50">
              <w:rPr>
                <w:rFonts w:ascii="Arial Narrow" w:hAnsi="Arial Narrow"/>
                <w:b/>
                <w:sz w:val="20"/>
              </w:rPr>
              <w:t>Brand</w:t>
            </w:r>
          </w:p>
        </w:tc>
        <w:tc>
          <w:tcPr>
            <w:tcW w:w="864" w:type="pct"/>
            <w:tcBorders>
              <w:top w:val="single" w:sz="4" w:space="0" w:color="auto"/>
              <w:bottom w:val="single" w:sz="4" w:space="0" w:color="auto"/>
            </w:tcBorders>
            <w:vAlign w:val="center"/>
          </w:tcPr>
          <w:p w14:paraId="40285C3A" w14:textId="77777777" w:rsidR="00BC4D50" w:rsidRPr="00BC4D50" w:rsidRDefault="00BC4D50">
            <w:pPr>
              <w:keepNext/>
              <w:jc w:val="center"/>
              <w:rPr>
                <w:rFonts w:ascii="Arial Narrow" w:hAnsi="Arial Narrow"/>
                <w:b/>
                <w:sz w:val="20"/>
              </w:rPr>
            </w:pPr>
            <w:r w:rsidRPr="00BC4D50">
              <w:rPr>
                <w:rFonts w:ascii="Arial Narrow" w:hAnsi="Arial Narrow"/>
                <w:b/>
                <w:sz w:val="20"/>
              </w:rPr>
              <w:t>Formulation</w:t>
            </w:r>
          </w:p>
        </w:tc>
        <w:tc>
          <w:tcPr>
            <w:tcW w:w="2189" w:type="pct"/>
            <w:tcBorders>
              <w:top w:val="single" w:sz="4" w:space="0" w:color="auto"/>
              <w:bottom w:val="single" w:sz="4" w:space="0" w:color="auto"/>
            </w:tcBorders>
            <w:vAlign w:val="center"/>
          </w:tcPr>
          <w:p w14:paraId="67670571" w14:textId="77777777" w:rsidR="00BC4D50" w:rsidRPr="00BC4D50" w:rsidRDefault="00BC4D50" w:rsidP="0093496C">
            <w:pPr>
              <w:keepNext/>
              <w:jc w:val="left"/>
              <w:rPr>
                <w:rFonts w:ascii="Arial Narrow" w:hAnsi="Arial Narrow"/>
                <w:b/>
                <w:sz w:val="20"/>
                <w:lang w:val="fr-FR"/>
              </w:rPr>
            </w:pPr>
            <w:r w:rsidRPr="00BC4D50">
              <w:rPr>
                <w:rFonts w:ascii="Arial Narrow" w:hAnsi="Arial Narrow"/>
                <w:b/>
                <w:sz w:val="20"/>
                <w:lang w:val="fr-FR"/>
              </w:rPr>
              <w:t>Number and timing of doses</w:t>
            </w:r>
          </w:p>
        </w:tc>
      </w:tr>
      <w:tr w:rsidR="00BC4D50" w:rsidRPr="004F7AC4" w14:paraId="2991632B" w14:textId="77777777" w:rsidTr="0093496C">
        <w:trPr>
          <w:cantSplit/>
          <w:trHeight w:val="567"/>
        </w:trPr>
        <w:tc>
          <w:tcPr>
            <w:tcW w:w="1163" w:type="pct"/>
            <w:tcBorders>
              <w:top w:val="single" w:sz="4" w:space="0" w:color="auto"/>
              <w:bottom w:val="single" w:sz="4" w:space="0" w:color="auto"/>
            </w:tcBorders>
            <w:vAlign w:val="center"/>
          </w:tcPr>
          <w:p w14:paraId="6029AD9A" w14:textId="31745025" w:rsidR="00BC4D50" w:rsidRPr="00BC4D50" w:rsidRDefault="00BC4D50">
            <w:pPr>
              <w:keepNext/>
              <w:rPr>
                <w:rFonts w:ascii="Arial Narrow" w:eastAsiaTheme="majorEastAsia" w:hAnsi="Arial Narrow" w:cstheme="majorBidi"/>
                <w:bCs/>
                <w:sz w:val="20"/>
                <w:szCs w:val="20"/>
              </w:rPr>
            </w:pPr>
            <w:r w:rsidRPr="00BC4D50">
              <w:rPr>
                <w:rFonts w:ascii="Arial Narrow" w:eastAsiaTheme="majorEastAsia" w:hAnsi="Arial Narrow" w:cstheme="majorBidi"/>
                <w:bCs/>
                <w:sz w:val="20"/>
                <w:szCs w:val="20"/>
              </w:rPr>
              <w:t>recombinant varicella zoster virus glycoprotein E antigen (AS01</w:t>
            </w:r>
            <w:r w:rsidRPr="006C2C53">
              <w:rPr>
                <w:rFonts w:ascii="Arial Narrow" w:eastAsiaTheme="majorEastAsia" w:hAnsi="Arial Narrow" w:cstheme="majorBidi"/>
                <w:bCs/>
                <w:sz w:val="20"/>
                <w:szCs w:val="20"/>
                <w:vertAlign w:val="subscript"/>
              </w:rPr>
              <w:t>B</w:t>
            </w:r>
            <w:r w:rsidRPr="00BC4D50">
              <w:rPr>
                <w:rFonts w:ascii="Arial Narrow" w:eastAsiaTheme="majorEastAsia" w:hAnsi="Arial Narrow" w:cstheme="majorBidi"/>
                <w:bCs/>
                <w:sz w:val="20"/>
                <w:szCs w:val="20"/>
              </w:rPr>
              <w:t xml:space="preserve"> Adjuvanted) vaccine</w:t>
            </w:r>
          </w:p>
        </w:tc>
        <w:tc>
          <w:tcPr>
            <w:tcW w:w="784" w:type="pct"/>
            <w:tcBorders>
              <w:top w:val="single" w:sz="4" w:space="0" w:color="auto"/>
              <w:bottom w:val="single" w:sz="4" w:space="0" w:color="auto"/>
            </w:tcBorders>
            <w:vAlign w:val="center"/>
          </w:tcPr>
          <w:p w14:paraId="39F5DD90" w14:textId="04312D46" w:rsidR="00BC4D50" w:rsidRPr="00BC4D50" w:rsidRDefault="00BC4D50">
            <w:pPr>
              <w:keepNext/>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Shingrix</w:t>
            </w:r>
          </w:p>
        </w:tc>
        <w:tc>
          <w:tcPr>
            <w:tcW w:w="864" w:type="pct"/>
            <w:tcBorders>
              <w:top w:val="single" w:sz="4" w:space="0" w:color="auto"/>
              <w:bottom w:val="single" w:sz="4" w:space="0" w:color="auto"/>
            </w:tcBorders>
            <w:vAlign w:val="center"/>
          </w:tcPr>
          <w:p w14:paraId="2841B761" w14:textId="1640B29D" w:rsidR="00BC4D50" w:rsidRPr="00BC4D50" w:rsidRDefault="00BC4D50">
            <w:pPr>
              <w:keepNext/>
              <w:jc w:val="center"/>
              <w:rPr>
                <w:rFonts w:ascii="Arial Narrow" w:hAnsi="Arial Narrow"/>
                <w:sz w:val="20"/>
              </w:rPr>
            </w:pPr>
            <w:r w:rsidRPr="00BC4D50">
              <w:rPr>
                <w:rFonts w:ascii="Arial Narrow" w:eastAsiaTheme="majorEastAsia" w:hAnsi="Arial Narrow" w:cstheme="majorBidi"/>
                <w:bCs/>
                <w:sz w:val="20"/>
                <w:szCs w:val="20"/>
              </w:rPr>
              <w:t>powder and suspension for injection, 0.5 mL</w:t>
            </w:r>
          </w:p>
        </w:tc>
        <w:tc>
          <w:tcPr>
            <w:tcW w:w="2189" w:type="pct"/>
            <w:tcBorders>
              <w:top w:val="single" w:sz="4" w:space="0" w:color="auto"/>
              <w:bottom w:val="single" w:sz="4" w:space="0" w:color="auto"/>
            </w:tcBorders>
            <w:vAlign w:val="center"/>
          </w:tcPr>
          <w:p w14:paraId="3B62F28C" w14:textId="77777777" w:rsidR="0093496C" w:rsidRDefault="0093496C" w:rsidP="00D929CC">
            <w:pPr>
              <w:pStyle w:val="Tabletext"/>
              <w:numPr>
                <w:ilvl w:val="4"/>
                <w:numId w:val="32"/>
              </w:numPr>
              <w:ind w:left="399" w:hanging="283"/>
            </w:pPr>
            <w:r w:rsidRPr="007108BC">
              <w:t xml:space="preserve">Two primary doses 2 </w:t>
            </w:r>
            <w:r>
              <w:t>to 6 months apart</w:t>
            </w:r>
          </w:p>
          <w:p w14:paraId="574948FA" w14:textId="77777777" w:rsidR="00BC4D50" w:rsidRPr="00A147A6" w:rsidRDefault="0093496C" w:rsidP="00D929CC">
            <w:pPr>
              <w:pStyle w:val="Tabletext"/>
              <w:numPr>
                <w:ilvl w:val="4"/>
                <w:numId w:val="32"/>
              </w:numPr>
              <w:ind w:left="399" w:hanging="283"/>
            </w:pPr>
            <w:r w:rsidRPr="0093496C">
              <w:rPr>
                <w:snapToGrid/>
              </w:rPr>
              <w:t xml:space="preserve">For subjects who are immunodeficient, immunosuppressed or likely to become immunosuppressed due to known disease or therapy, two primary </w:t>
            </w:r>
            <w:r w:rsidR="001060BF">
              <w:rPr>
                <w:snapToGrid/>
              </w:rPr>
              <w:t xml:space="preserve">doses </w:t>
            </w:r>
            <w:r w:rsidRPr="0093496C">
              <w:rPr>
                <w:snapToGrid/>
              </w:rPr>
              <w:t xml:space="preserve">can be given 1 to 2 months apart </w:t>
            </w:r>
          </w:p>
          <w:p w14:paraId="7C24C473" w14:textId="39F6546F" w:rsidR="00A147A6" w:rsidRPr="00BC4D50" w:rsidRDefault="00A147A6" w:rsidP="00D929CC">
            <w:pPr>
              <w:pStyle w:val="Tabletext"/>
              <w:numPr>
                <w:ilvl w:val="4"/>
                <w:numId w:val="32"/>
              </w:numPr>
              <w:ind w:left="399" w:hanging="283"/>
            </w:pPr>
            <w:r>
              <w:rPr>
                <w:snapToGrid/>
              </w:rPr>
              <w:t>Those eligible populations who have received one dose privately can receive their second dose on the NIP</w:t>
            </w:r>
          </w:p>
        </w:tc>
      </w:tr>
    </w:tbl>
    <w:p w14:paraId="7FD03832" w14:textId="7208CFD8" w:rsidR="00BC4D50" w:rsidRDefault="00BC4D50" w:rsidP="00924B9B">
      <w:pPr>
        <w:pStyle w:val="TableHeader"/>
        <w:keepNext/>
        <w:rPr>
          <w:rFonts w:ascii="Arial Narrow" w:hAnsi="Arial Narrow"/>
        </w:rPr>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9072"/>
      </w:tblGrid>
      <w:tr w:rsidR="00924B9B" w:rsidRPr="007108BC" w14:paraId="765A4B4A" w14:textId="77777777" w:rsidTr="0093496C">
        <w:trPr>
          <w:trHeight w:val="357"/>
        </w:trPr>
        <w:tc>
          <w:tcPr>
            <w:tcW w:w="9072" w:type="dxa"/>
            <w:tcBorders>
              <w:top w:val="nil"/>
              <w:bottom w:val="nil"/>
            </w:tcBorders>
          </w:tcPr>
          <w:p w14:paraId="33DE1BC3" w14:textId="77777777" w:rsidR="00924B9B" w:rsidRPr="006E790F" w:rsidRDefault="00924B9B">
            <w:pPr>
              <w:pStyle w:val="Tabletext"/>
              <w:rPr>
                <w:b/>
                <w:bCs/>
              </w:rPr>
            </w:pPr>
            <w:r w:rsidRPr="006E790F">
              <w:rPr>
                <w:b/>
                <w:bCs/>
              </w:rPr>
              <w:t>Circumstances</w:t>
            </w:r>
          </w:p>
          <w:p w14:paraId="6ADBDB3C" w14:textId="4644A49A" w:rsidR="00924B9B" w:rsidRPr="006E790F" w:rsidRDefault="00924B9B">
            <w:pPr>
              <w:pStyle w:val="Tabletext"/>
            </w:pPr>
            <w:r w:rsidRPr="006E790F">
              <w:t>Vaccine may be provided to a person who:</w:t>
            </w:r>
          </w:p>
          <w:p w14:paraId="0F766D02" w14:textId="3067E521" w:rsidR="00924B9B" w:rsidRPr="006E790F" w:rsidRDefault="0093496C" w:rsidP="00D929CC">
            <w:pPr>
              <w:pStyle w:val="Tabletext"/>
              <w:numPr>
                <w:ilvl w:val="0"/>
                <w:numId w:val="31"/>
              </w:numPr>
            </w:pPr>
            <w:r w:rsidRPr="006E790F">
              <w:t>turns</w:t>
            </w:r>
            <w:r w:rsidR="00924B9B" w:rsidRPr="006E790F">
              <w:t xml:space="preserve"> 70 years of age</w:t>
            </w:r>
            <w:r w:rsidRPr="006E790F">
              <w:t xml:space="preserve"> on or after </w:t>
            </w:r>
            <w:r w:rsidR="00174E1E" w:rsidRPr="006E790F">
              <w:t>[date of inclusion on NIP]</w:t>
            </w:r>
            <w:r w:rsidR="00924B9B" w:rsidRPr="006E790F">
              <w:t>; or</w:t>
            </w:r>
          </w:p>
          <w:p w14:paraId="4D40A1E5" w14:textId="7C4FF15E" w:rsidR="00924B9B" w:rsidRPr="006E790F" w:rsidRDefault="0093496C" w:rsidP="00D929CC">
            <w:pPr>
              <w:pStyle w:val="Tabletext"/>
              <w:numPr>
                <w:ilvl w:val="0"/>
                <w:numId w:val="31"/>
              </w:numPr>
            </w:pPr>
            <w:r w:rsidRPr="006E790F">
              <w:lastRenderedPageBreak/>
              <w:t>i</w:t>
            </w:r>
            <w:r w:rsidR="00924B9B" w:rsidRPr="006E790F">
              <w:t xml:space="preserve">s an Aboriginal and Torres Strait Islander individual who is </w:t>
            </w:r>
            <w:r w:rsidRPr="006E790F">
              <w:t xml:space="preserve">at least </w:t>
            </w:r>
            <w:r w:rsidR="00924B9B" w:rsidRPr="006E790F">
              <w:t xml:space="preserve">50 years </w:t>
            </w:r>
            <w:r w:rsidR="00174E1E" w:rsidRPr="006E790F">
              <w:t xml:space="preserve">of age </w:t>
            </w:r>
            <w:r w:rsidRPr="006E790F">
              <w:t xml:space="preserve">as of </w:t>
            </w:r>
            <w:r w:rsidR="00174E1E" w:rsidRPr="006E790F">
              <w:t>[date of inclusion on NIP]</w:t>
            </w:r>
            <w:r w:rsidR="001060BF" w:rsidRPr="006E790F">
              <w:t>; or</w:t>
            </w:r>
          </w:p>
          <w:p w14:paraId="5029F789" w14:textId="3FA6FC87" w:rsidR="00C70FB1" w:rsidRPr="006E790F" w:rsidRDefault="00C70FB1" w:rsidP="00D929CC">
            <w:pPr>
              <w:pStyle w:val="Tabletext"/>
              <w:numPr>
                <w:ilvl w:val="0"/>
                <w:numId w:val="31"/>
              </w:numPr>
            </w:pPr>
            <w:r w:rsidRPr="006E790F">
              <w:t xml:space="preserve">who is at least 18 years of age </w:t>
            </w:r>
            <w:r w:rsidR="002361AC" w:rsidRPr="006E790F">
              <w:t xml:space="preserve">as of </w:t>
            </w:r>
            <w:r w:rsidR="00174E1E" w:rsidRPr="006E790F">
              <w:t xml:space="preserve">[date of inclusion on NIP] </w:t>
            </w:r>
            <w:r w:rsidRPr="006E790F">
              <w:t>a</w:t>
            </w:r>
            <w:r w:rsidR="002361AC" w:rsidRPr="006E790F">
              <w:t>nd:</w:t>
            </w:r>
          </w:p>
          <w:p w14:paraId="3D6F40F3" w14:textId="6AD546F5" w:rsidR="002361AC" w:rsidRPr="006E790F" w:rsidRDefault="002361AC" w:rsidP="00D929CC">
            <w:pPr>
              <w:pStyle w:val="Tabletext"/>
              <w:numPr>
                <w:ilvl w:val="1"/>
                <w:numId w:val="31"/>
              </w:numPr>
            </w:pPr>
            <w:r w:rsidRPr="006E790F">
              <w:t>has had a haemopoietic stem cell transplantation or</w:t>
            </w:r>
            <w:r w:rsidR="00A147A6" w:rsidRPr="006E790F">
              <w:t xml:space="preserve"> is scheduled to receive a haemopoietic stem cell transplantation or</w:t>
            </w:r>
          </w:p>
          <w:p w14:paraId="07DDEC7B" w14:textId="593ACDAB" w:rsidR="002361AC" w:rsidRPr="006E790F" w:rsidRDefault="002361AC" w:rsidP="00D929CC">
            <w:pPr>
              <w:pStyle w:val="Tabletext"/>
              <w:numPr>
                <w:ilvl w:val="1"/>
                <w:numId w:val="31"/>
              </w:numPr>
            </w:pPr>
            <w:r w:rsidRPr="006E790F">
              <w:t xml:space="preserve">has had a solid organ transplant </w:t>
            </w:r>
            <w:r w:rsidR="00A147A6" w:rsidRPr="006E790F">
              <w:t xml:space="preserve">or is scheduled for a transplant </w:t>
            </w:r>
            <w:r w:rsidRPr="006E790F">
              <w:t>and is on immunosuppressive therapy or</w:t>
            </w:r>
          </w:p>
          <w:p w14:paraId="0A1AB354" w14:textId="3AFC671F" w:rsidR="002361AC" w:rsidRPr="006E790F" w:rsidRDefault="002361AC" w:rsidP="00D929CC">
            <w:pPr>
              <w:pStyle w:val="Tabletext"/>
              <w:numPr>
                <w:ilvl w:val="1"/>
                <w:numId w:val="31"/>
              </w:numPr>
            </w:pPr>
            <w:r w:rsidRPr="006E790F">
              <w:t>has an active haematological malignancy or</w:t>
            </w:r>
          </w:p>
          <w:p w14:paraId="000CD4AD" w14:textId="6CBC848D" w:rsidR="002361AC" w:rsidRPr="006E790F" w:rsidRDefault="002361AC" w:rsidP="00D929CC">
            <w:pPr>
              <w:pStyle w:val="Tabletext"/>
              <w:numPr>
                <w:ilvl w:val="1"/>
                <w:numId w:val="31"/>
              </w:numPr>
            </w:pPr>
            <w:r w:rsidRPr="006E790F">
              <w:t>has advanced or untreated HI</w:t>
            </w:r>
            <w:r w:rsidR="00174E1E" w:rsidRPr="006E790F">
              <w:t>V</w:t>
            </w:r>
            <w:r w:rsidRPr="006E790F">
              <w:t xml:space="preserve"> with CD4 counts &lt; 250/ µL or those with a higher CD</w:t>
            </w:r>
            <w:r w:rsidR="00174E1E" w:rsidRPr="006E790F">
              <w:t>4</w:t>
            </w:r>
            <w:r w:rsidRPr="006E790F">
              <w:t xml:space="preserve"> count unable to be established on effective anti-retroviral therapy. </w:t>
            </w:r>
          </w:p>
          <w:p w14:paraId="5116E4F4" w14:textId="394C417F" w:rsidR="00924B9B" w:rsidRPr="007108BC" w:rsidRDefault="00924B9B" w:rsidP="0093496C">
            <w:pPr>
              <w:pStyle w:val="Tabletext"/>
              <w:ind w:left="720"/>
            </w:pPr>
            <w:r>
              <w:t xml:space="preserve"> </w:t>
            </w:r>
          </w:p>
        </w:tc>
      </w:tr>
    </w:tbl>
    <w:p w14:paraId="33BAB2C5" w14:textId="4CCC3E61" w:rsidR="00924B9B" w:rsidRPr="00D6559D" w:rsidRDefault="00B22071" w:rsidP="0087771F">
      <w:pPr>
        <w:rPr>
          <w:b/>
          <w:i/>
        </w:rPr>
      </w:pPr>
      <w:r w:rsidRPr="00361A30">
        <w:rPr>
          <w:b/>
          <w:i/>
        </w:rPr>
        <w:lastRenderedPageBreak/>
        <w:t>Th</w:t>
      </w:r>
      <w:r>
        <w:rPr>
          <w:b/>
          <w:i/>
        </w:rPr>
        <w:t>e wording of the item</w:t>
      </w:r>
      <w:r w:rsidRPr="00361A30">
        <w:rPr>
          <w:b/>
          <w:i/>
        </w:rPr>
        <w:t xml:space="preserve"> may be subject to further review. Should there be any changes made to the </w:t>
      </w:r>
      <w:r>
        <w:rPr>
          <w:b/>
          <w:i/>
        </w:rPr>
        <w:t>item t</w:t>
      </w:r>
      <w:r w:rsidRPr="00361A30">
        <w:rPr>
          <w:b/>
          <w:i/>
        </w:rPr>
        <w:t>he sponsor will be informed.</w:t>
      </w:r>
    </w:p>
    <w:bookmarkEnd w:id="79"/>
    <w:p w14:paraId="6CD096F5" w14:textId="05F7BD3F" w:rsidR="00D6559D" w:rsidRPr="00D6559D" w:rsidRDefault="00D6559D" w:rsidP="00D6559D">
      <w:pPr>
        <w:pStyle w:val="2-SectionHeading"/>
      </w:pPr>
      <w:r w:rsidRPr="00C07617">
        <w:t>Context for Decision</w:t>
      </w:r>
    </w:p>
    <w:p w14:paraId="193C2B2B" w14:textId="77777777" w:rsidR="00D6559D" w:rsidRPr="007129F2" w:rsidRDefault="00D6559D" w:rsidP="00D6559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50D555" w14:textId="22365B3D" w:rsidR="00D6559D" w:rsidRPr="00D6559D" w:rsidRDefault="00D6559D" w:rsidP="00D6559D">
      <w:pPr>
        <w:pStyle w:val="2-SectionHeading"/>
      </w:pPr>
      <w:r>
        <w:t>Sponsor’s Comment</w:t>
      </w:r>
    </w:p>
    <w:p w14:paraId="3A1E359C" w14:textId="77777777" w:rsidR="009A4944" w:rsidRPr="002E29E5" w:rsidRDefault="009A4944" w:rsidP="009A4944">
      <w:pPr>
        <w:ind w:left="720"/>
        <w:rPr>
          <w:bCs/>
        </w:rPr>
      </w:pPr>
      <w:r w:rsidRPr="002E29E5">
        <w:rPr>
          <w:bCs/>
        </w:rPr>
        <w:t>GSK welcomes the Pharmaceutical Benefits Advisory Committee (PBAC) decision to recommend the listing of Shingrix on the National Immunisation Program (NIP) for: non-Indigenous adults 70 years of age at the time of the first dose; Aboriginal and Torres Strait Islander adults 50 years of age and older; and immunocompromised adults 18 years of age and above at high increased risk of herpes zoster (as defined for the NIP by the Australian Technical Advisory Group on Immunisation, ATAGI).</w:t>
      </w:r>
    </w:p>
    <w:p w14:paraId="50B00CAD" w14:textId="77777777" w:rsidR="00007E9B" w:rsidRDefault="00007E9B" w:rsidP="009A4944">
      <w:pPr>
        <w:ind w:left="720"/>
        <w:rPr>
          <w:bCs/>
        </w:rPr>
      </w:pPr>
    </w:p>
    <w:p w14:paraId="4F61D15B" w14:textId="590FDD77" w:rsidR="009A4944" w:rsidRPr="002E29E5" w:rsidRDefault="009A4944" w:rsidP="009A4944">
      <w:pPr>
        <w:ind w:left="720"/>
        <w:rPr>
          <w:bCs/>
        </w:rPr>
      </w:pPr>
      <w:r w:rsidRPr="002E29E5">
        <w:rPr>
          <w:bCs/>
        </w:rPr>
        <w:t xml:space="preserve">ATAGI </w:t>
      </w:r>
      <w:r w:rsidR="002C080A">
        <w:rPr>
          <w:bCs/>
        </w:rPr>
        <w:t>is supportive of access to Shingrix</w:t>
      </w:r>
      <w:r w:rsidRPr="002E29E5">
        <w:rPr>
          <w:bCs/>
        </w:rPr>
        <w:t xml:space="preserve"> for</w:t>
      </w:r>
      <w:r w:rsidR="002C080A">
        <w:rPr>
          <w:bCs/>
        </w:rPr>
        <w:t xml:space="preserve"> the</w:t>
      </w:r>
      <w:r w:rsidRPr="002E29E5">
        <w:rPr>
          <w:bCs/>
        </w:rPr>
        <w:t xml:space="preserve"> wider community beyond the groups recommended. GSK acknowledges the numerous consumer comments from organisations and individuals supporting a broad NIP listing of Shingrix, however not all patient groups that they serve will be eligible for funded Shingrix on the NIP within the currently recommended cohorts. GSK will continue to partner with the PBAC to explore opportunities to expand access to the vaccine.</w:t>
      </w:r>
    </w:p>
    <w:p w14:paraId="79418C8D" w14:textId="360A7394" w:rsidR="00013817" w:rsidRPr="00690177" w:rsidRDefault="00013817" w:rsidP="009A4944">
      <w:pPr>
        <w:pStyle w:val="ListBullet"/>
        <w:numPr>
          <w:ilvl w:val="0"/>
          <w:numId w:val="0"/>
        </w:numPr>
        <w:rPr>
          <w:color w:val="4F81BD" w:themeColor="accent1"/>
        </w:rPr>
      </w:pPr>
    </w:p>
    <w:sectPr w:rsidR="00013817" w:rsidRPr="00690177" w:rsidSect="00D627BD">
      <w:headerReference w:type="default" r:id="rId12"/>
      <w:footerReference w:type="defaul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C5E8" w14:textId="77777777" w:rsidR="006D5715" w:rsidRDefault="006D5715" w:rsidP="00124A51">
      <w:r>
        <w:separator/>
      </w:r>
    </w:p>
    <w:p w14:paraId="444C4B85" w14:textId="77777777" w:rsidR="006D5715" w:rsidRDefault="006D5715"/>
  </w:endnote>
  <w:endnote w:type="continuationSeparator" w:id="0">
    <w:p w14:paraId="39D4F384" w14:textId="77777777" w:rsidR="006D5715" w:rsidRDefault="006D5715" w:rsidP="00124A51">
      <w:r>
        <w:continuationSeparator/>
      </w:r>
    </w:p>
    <w:p w14:paraId="398EEFD6" w14:textId="77777777" w:rsidR="006D5715" w:rsidRDefault="006D5715"/>
  </w:endnote>
  <w:endnote w:type="continuationNotice" w:id="1">
    <w:p w14:paraId="2D3714FC" w14:textId="77777777" w:rsidR="006D5715" w:rsidRDefault="006D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panose1 w:val="00000000000000000000"/>
    <w:charset w:val="80"/>
    <w:family w:val="roman"/>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E628" w14:textId="77777777" w:rsidR="00B25AD4" w:rsidRDefault="00B25AD4" w:rsidP="00753B29">
    <w:pPr>
      <w:pStyle w:val="Footer"/>
      <w:jc w:val="center"/>
    </w:pPr>
  </w:p>
  <w:p w14:paraId="67C96D69" w14:textId="1F1277B7" w:rsidR="00B25AD4" w:rsidRPr="007C1CD9" w:rsidRDefault="007D165B" w:rsidP="00753B29">
    <w:pPr>
      <w:pStyle w:val="Footer"/>
      <w:jc w:val="center"/>
    </w:pPr>
    <w:sdt>
      <w:sdtPr>
        <w:id w:val="760407542"/>
        <w:docPartObj>
          <w:docPartGallery w:val="Page Numbers (Bottom of Page)"/>
          <w:docPartUnique/>
        </w:docPartObj>
      </w:sdtPr>
      <w:sdtEndPr>
        <w:rPr>
          <w:noProof/>
        </w:rPr>
      </w:sdtEndPr>
      <w:sdtContent>
        <w:r w:rsidR="00B25AD4">
          <w:fldChar w:fldCharType="begin"/>
        </w:r>
        <w:r w:rsidR="00B25AD4">
          <w:instrText xml:space="preserve"> PAGE   \* MERGEFORMAT </w:instrText>
        </w:r>
        <w:r w:rsidR="00B25AD4">
          <w:fldChar w:fldCharType="separate"/>
        </w:r>
        <w:r w:rsidR="00B25AD4">
          <w:t>38</w:t>
        </w:r>
        <w:r w:rsidR="00B25AD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B478" w14:textId="77777777" w:rsidR="006D5715" w:rsidRDefault="006D5715" w:rsidP="00124A51">
      <w:r>
        <w:separator/>
      </w:r>
    </w:p>
    <w:p w14:paraId="2D0C5D40" w14:textId="77777777" w:rsidR="006D5715" w:rsidRDefault="006D5715"/>
  </w:footnote>
  <w:footnote w:type="continuationSeparator" w:id="0">
    <w:p w14:paraId="27222FA3" w14:textId="77777777" w:rsidR="006D5715" w:rsidRDefault="006D5715" w:rsidP="00124A51">
      <w:r>
        <w:continuationSeparator/>
      </w:r>
    </w:p>
    <w:p w14:paraId="658A3D94" w14:textId="77777777" w:rsidR="006D5715" w:rsidRDefault="006D5715"/>
  </w:footnote>
  <w:footnote w:type="continuationNotice" w:id="1">
    <w:p w14:paraId="79DE6969" w14:textId="77777777" w:rsidR="006D5715" w:rsidRDefault="006D5715"/>
  </w:footnote>
  <w:footnote w:id="2">
    <w:p w14:paraId="3AC36887" w14:textId="77777777" w:rsidR="00A522DB" w:rsidRPr="00A522DB" w:rsidRDefault="00A522DB" w:rsidP="00A522DB">
      <w:pPr>
        <w:pStyle w:val="FootnoteText"/>
      </w:pPr>
      <w:r>
        <w:rPr>
          <w:rStyle w:val="FootnoteReference"/>
        </w:rPr>
        <w:footnoteRef/>
      </w:r>
      <w:r>
        <w:t xml:space="preserve"> </w:t>
      </w:r>
      <w:hyperlink r:id="rId1" w:history="1">
        <w:r w:rsidRPr="00A522DB">
          <w:rPr>
            <w:rStyle w:val="Hyperlink"/>
          </w:rPr>
          <w:t>https://apps.tga.gov.au/shortages/Search/Tradename//130229</w:t>
        </w:r>
      </w:hyperlink>
    </w:p>
    <w:p w14:paraId="33491632" w14:textId="758DCCC5" w:rsidR="00A522DB" w:rsidRDefault="00A522DB">
      <w:pPr>
        <w:pStyle w:val="FootnoteText"/>
      </w:pPr>
    </w:p>
  </w:footnote>
  <w:footnote w:id="3">
    <w:p w14:paraId="0D728060" w14:textId="120CE0BB" w:rsidR="00881071" w:rsidRPr="00322CDD" w:rsidRDefault="00881071" w:rsidP="00881071">
      <w:pPr>
        <w:pStyle w:val="CommentText"/>
        <w:rPr>
          <w:rFonts w:asciiTheme="minorHAnsi" w:hAnsiTheme="minorHAnsi" w:cstheme="minorHAnsi"/>
          <w:i/>
          <w:iCs/>
        </w:rPr>
      </w:pPr>
      <w:r w:rsidRPr="00322CDD">
        <w:rPr>
          <w:rStyle w:val="FootnoteReference"/>
          <w:rFonts w:asciiTheme="minorHAnsi" w:hAnsiTheme="minorHAnsi" w:cstheme="minorHAnsi"/>
        </w:rPr>
        <w:footnoteRef/>
      </w:r>
      <w:r w:rsidRPr="00322CDD">
        <w:rPr>
          <w:rFonts w:asciiTheme="minorHAnsi" w:hAnsiTheme="minorHAnsi" w:cstheme="minorHAnsi"/>
        </w:rPr>
        <w:t xml:space="preserve"> </w:t>
      </w:r>
      <w:r w:rsidRPr="00322CDD">
        <w:rPr>
          <w:rFonts w:asciiTheme="minorHAnsi" w:hAnsiTheme="minorHAnsi" w:cstheme="minorHAnsi"/>
          <w:i/>
          <w:iCs/>
        </w:rPr>
        <w:t>Analysis of NNDSS notifications of varicella zoster (shingles) cases for people aged 70 years and over</w:t>
      </w:r>
      <w:r w:rsidRPr="00322CDD">
        <w:rPr>
          <w:rFonts w:asciiTheme="minorHAnsi" w:hAnsiTheme="minorHAnsi" w:cstheme="minorHAnsi"/>
          <w:i/>
          <w:iCs/>
        </w:rPr>
        <w:br/>
        <w:t xml:space="preserve">available at </w:t>
      </w:r>
      <w:hyperlink r:id="rId2" w:history="1">
        <w:r w:rsidRPr="00322CDD">
          <w:rPr>
            <w:rStyle w:val="Hyperlink"/>
            <w:rFonts w:asciiTheme="minorHAnsi" w:hAnsiTheme="minorHAnsi" w:cstheme="minorHAnsi"/>
            <w:i/>
            <w:iCs/>
          </w:rPr>
          <w:t>https://www.health.gov.au/resources/apps-and-tools/national-notifiable-diseases-surveillance-system-nndss-data-visualisation-tool</w:t>
        </w:r>
      </w:hyperlink>
      <w:r w:rsidRPr="00322CDD">
        <w:rPr>
          <w:rFonts w:asciiTheme="minorHAnsi" w:hAnsiTheme="minorHAnsi" w:cstheme="minorHAnsi"/>
          <w:i/>
          <w:iCs/>
        </w:rPr>
        <w:t>. Downloaded 29 Jan 2023</w:t>
      </w:r>
    </w:p>
    <w:p w14:paraId="77E8A464" w14:textId="7CB3ACD3" w:rsidR="00881071" w:rsidRPr="00322CDD" w:rsidRDefault="00881071">
      <w:pPr>
        <w:pStyle w:val="FootnoteText"/>
        <w:rPr>
          <w:rFonts w:asciiTheme="minorHAnsi" w:hAnsiTheme="minorHAnsi" w:cstheme="minorHAnsi"/>
        </w:rPr>
      </w:pPr>
    </w:p>
  </w:footnote>
  <w:footnote w:id="4">
    <w:p w14:paraId="09DBE2F6" w14:textId="4F568783" w:rsidR="00DF2B97" w:rsidRDefault="00DF2B97">
      <w:pPr>
        <w:pStyle w:val="FootnoteText"/>
      </w:pPr>
      <w:r>
        <w:rPr>
          <w:rStyle w:val="FootnoteReference"/>
        </w:rPr>
        <w:footnoteRef/>
      </w:r>
      <w:r>
        <w:t xml:space="preserve"> </w:t>
      </w:r>
      <w:hyperlink r:id="rId3" w:history="1">
        <w:r w:rsidRPr="00EF4606">
          <w:rPr>
            <w:rStyle w:val="Hyperlink"/>
          </w:rPr>
          <w:t>https://www.pbs.gov.au/info/industry/listing/elements/pbac-meetings/pbac-outcomes/recommendations-made-by-the-pbac-december-2022-intracycle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2FF4" w14:textId="3C9307BA" w:rsidR="00D54333" w:rsidRPr="00D54333" w:rsidRDefault="00D6559D">
    <w:pPr>
      <w:pStyle w:val="Header"/>
      <w:rPr>
        <w:i/>
        <w:iCs/>
      </w:rPr>
    </w:pPr>
    <w:r>
      <w:rPr>
        <w:i/>
        <w:iCs/>
      </w:rPr>
      <w:t>Public Summary Document</w:t>
    </w:r>
    <w:r w:rsidR="00D54333" w:rsidRPr="00D54333">
      <w:rPr>
        <w:i/>
        <w:iCs/>
      </w:rPr>
      <w:t xml:space="preserve"> – March 2023 PBAC Meeting</w:t>
    </w:r>
  </w:p>
  <w:p w14:paraId="1D6366EB" w14:textId="77777777" w:rsidR="00D54333" w:rsidRDefault="00D5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603178"/>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1A26532"/>
    <w:multiLevelType w:val="hybridMultilevel"/>
    <w:tmpl w:val="23D4C3B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DB6EC1"/>
    <w:multiLevelType w:val="hybridMultilevel"/>
    <w:tmpl w:val="72848EBC"/>
    <w:lvl w:ilvl="0" w:tplc="04090001">
      <w:start w:val="1"/>
      <w:numFmt w:val="bullet"/>
      <w:lvlText w:val=""/>
      <w:lvlJc w:val="left"/>
      <w:pPr>
        <w:ind w:left="720" w:hanging="360"/>
      </w:pPr>
      <w:rPr>
        <w:rFonts w:ascii="Symbol" w:hAnsi="Symbol" w:hint="default"/>
      </w:rPr>
    </w:lvl>
    <w:lvl w:ilvl="1" w:tplc="3246066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496"/>
    <w:multiLevelType w:val="hybridMultilevel"/>
    <w:tmpl w:val="058A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75675"/>
    <w:multiLevelType w:val="hybridMultilevel"/>
    <w:tmpl w:val="6A8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6452B"/>
    <w:multiLevelType w:val="hybridMultilevel"/>
    <w:tmpl w:val="3DCE6C5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53CBC"/>
    <w:multiLevelType w:val="hybridMultilevel"/>
    <w:tmpl w:val="63DC6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93FF3"/>
    <w:multiLevelType w:val="hybridMultilevel"/>
    <w:tmpl w:val="39C823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560095"/>
    <w:multiLevelType w:val="hybridMultilevel"/>
    <w:tmpl w:val="56EC2684"/>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11" w15:restartNumberingAfterBreak="0">
    <w:nsid w:val="2F54586D"/>
    <w:multiLevelType w:val="hybridMultilevel"/>
    <w:tmpl w:val="14ECFE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5C5E12"/>
    <w:multiLevelType w:val="multilevel"/>
    <w:tmpl w:val="45A404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14592"/>
    <w:multiLevelType w:val="hybridMultilevel"/>
    <w:tmpl w:val="4FB2C8A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87F118D"/>
    <w:multiLevelType w:val="multilevel"/>
    <w:tmpl w:val="117C0B3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CE5AEE"/>
    <w:multiLevelType w:val="hybridMultilevel"/>
    <w:tmpl w:val="23C6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22C38"/>
    <w:multiLevelType w:val="hybridMultilevel"/>
    <w:tmpl w:val="85B2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D309E"/>
    <w:multiLevelType w:val="hybridMultilevel"/>
    <w:tmpl w:val="CCE0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4793A"/>
    <w:multiLevelType w:val="hybridMultilevel"/>
    <w:tmpl w:val="AF4ECD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F08F8"/>
    <w:multiLevelType w:val="hybridMultilevel"/>
    <w:tmpl w:val="1E26DD1C"/>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4" w15:restartNumberingAfterBreak="0">
    <w:nsid w:val="5B00478D"/>
    <w:multiLevelType w:val="hybridMultilevel"/>
    <w:tmpl w:val="6830564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5" w15:restartNumberingAfterBreak="0">
    <w:nsid w:val="5C08577F"/>
    <w:multiLevelType w:val="hybridMultilevel"/>
    <w:tmpl w:val="D3E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2549C"/>
    <w:multiLevelType w:val="hybridMultilevel"/>
    <w:tmpl w:val="23D4C3B2"/>
    <w:lvl w:ilvl="0" w:tplc="E2543D8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387CDC"/>
    <w:multiLevelType w:val="hybridMultilevel"/>
    <w:tmpl w:val="9ED4979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D564F8"/>
    <w:multiLevelType w:val="hybridMultilevel"/>
    <w:tmpl w:val="7CDECA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70241B"/>
    <w:multiLevelType w:val="hybridMultilevel"/>
    <w:tmpl w:val="B098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04DAA"/>
    <w:multiLevelType w:val="hybridMultilevel"/>
    <w:tmpl w:val="7FDCA1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6702579"/>
    <w:multiLevelType w:val="hybridMultilevel"/>
    <w:tmpl w:val="B6E864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E13122B"/>
    <w:multiLevelType w:val="hybridMultilevel"/>
    <w:tmpl w:val="442820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03F95"/>
    <w:multiLevelType w:val="hybridMultilevel"/>
    <w:tmpl w:val="D15A0F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206E6A"/>
    <w:multiLevelType w:val="hybridMultilevel"/>
    <w:tmpl w:val="30D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21"/>
  </w:num>
  <w:num w:numId="4">
    <w:abstractNumId w:val="0"/>
  </w:num>
  <w:num w:numId="5">
    <w:abstractNumId w:val="31"/>
  </w:num>
  <w:num w:numId="6">
    <w:abstractNumId w:val="6"/>
  </w:num>
  <w:num w:numId="7">
    <w:abstractNumId w:val="22"/>
  </w:num>
  <w:num w:numId="8">
    <w:abstractNumId w:val="27"/>
  </w:num>
  <w:num w:numId="9">
    <w:abstractNumId w:val="13"/>
  </w:num>
  <w:num w:numId="10">
    <w:abstractNumId w:val="24"/>
  </w:num>
  <w:num w:numId="11">
    <w:abstractNumId w:val="8"/>
  </w:num>
  <w:num w:numId="12">
    <w:abstractNumId w:val="15"/>
  </w:num>
  <w:num w:numId="13">
    <w:abstractNumId w:val="28"/>
  </w:num>
  <w:num w:numId="14">
    <w:abstractNumId w:val="36"/>
  </w:num>
  <w:num w:numId="15">
    <w:abstractNumId w:val="17"/>
  </w:num>
  <w:num w:numId="16">
    <w:abstractNumId w:val="10"/>
  </w:num>
  <w:num w:numId="17">
    <w:abstractNumId w:val="29"/>
  </w:num>
  <w:num w:numId="18">
    <w:abstractNumId w:val="23"/>
  </w:num>
  <w:num w:numId="19">
    <w:abstractNumId w:val="18"/>
  </w:num>
  <w:num w:numId="20">
    <w:abstractNumId w:val="25"/>
  </w:num>
  <w:num w:numId="21">
    <w:abstractNumId w:val="3"/>
  </w:num>
  <w:num w:numId="22">
    <w:abstractNumId w:val="4"/>
  </w:num>
  <w:num w:numId="23">
    <w:abstractNumId w:val="12"/>
  </w:num>
  <w:num w:numId="24">
    <w:abstractNumId w:val="2"/>
  </w:num>
  <w:num w:numId="25">
    <w:abstractNumId w:val="32"/>
  </w:num>
  <w:num w:numId="26">
    <w:abstractNumId w:val="19"/>
  </w:num>
  <w:num w:numId="27">
    <w:abstractNumId w:val="34"/>
  </w:num>
  <w:num w:numId="28">
    <w:abstractNumId w:val="9"/>
  </w:num>
  <w:num w:numId="29">
    <w:abstractNumId w:val="5"/>
  </w:num>
  <w:num w:numId="30">
    <w:abstractNumId w:val="16"/>
  </w:num>
  <w:num w:numId="31">
    <w:abstractNumId w:val="26"/>
  </w:num>
  <w:num w:numId="32">
    <w:abstractNumId w:val="33"/>
  </w:num>
  <w:num w:numId="33">
    <w:abstractNumId w:val="14"/>
  </w:num>
  <w:num w:numId="34">
    <w:abstractNumId w:val="11"/>
  </w:num>
  <w:num w:numId="35">
    <w:abstractNumId w:val="30"/>
  </w:num>
  <w:num w:numId="36">
    <w:abstractNumId w:val="2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354"/>
    <w:rsid w:val="00001759"/>
    <w:rsid w:val="00002D44"/>
    <w:rsid w:val="00003499"/>
    <w:rsid w:val="00003684"/>
    <w:rsid w:val="000039B7"/>
    <w:rsid w:val="00003A89"/>
    <w:rsid w:val="00003FDF"/>
    <w:rsid w:val="00004382"/>
    <w:rsid w:val="00004D62"/>
    <w:rsid w:val="00004D90"/>
    <w:rsid w:val="000056B9"/>
    <w:rsid w:val="00005E5F"/>
    <w:rsid w:val="0000639A"/>
    <w:rsid w:val="00006D71"/>
    <w:rsid w:val="00007578"/>
    <w:rsid w:val="00007E9B"/>
    <w:rsid w:val="00007EE0"/>
    <w:rsid w:val="000104B6"/>
    <w:rsid w:val="00010A0D"/>
    <w:rsid w:val="000116A3"/>
    <w:rsid w:val="00011840"/>
    <w:rsid w:val="00012025"/>
    <w:rsid w:val="00012AA3"/>
    <w:rsid w:val="00013165"/>
    <w:rsid w:val="00013247"/>
    <w:rsid w:val="00013723"/>
    <w:rsid w:val="00013817"/>
    <w:rsid w:val="00013B70"/>
    <w:rsid w:val="0001428C"/>
    <w:rsid w:val="0001518A"/>
    <w:rsid w:val="00015886"/>
    <w:rsid w:val="00015E0C"/>
    <w:rsid w:val="00015E7B"/>
    <w:rsid w:val="00016059"/>
    <w:rsid w:val="000162EF"/>
    <w:rsid w:val="0001676A"/>
    <w:rsid w:val="000167D4"/>
    <w:rsid w:val="000175AF"/>
    <w:rsid w:val="00017804"/>
    <w:rsid w:val="00017871"/>
    <w:rsid w:val="00017A78"/>
    <w:rsid w:val="00017A7E"/>
    <w:rsid w:val="00017B55"/>
    <w:rsid w:val="00017CF1"/>
    <w:rsid w:val="00017F65"/>
    <w:rsid w:val="00020326"/>
    <w:rsid w:val="000207C9"/>
    <w:rsid w:val="00021836"/>
    <w:rsid w:val="00021B91"/>
    <w:rsid w:val="0002225F"/>
    <w:rsid w:val="000225AA"/>
    <w:rsid w:val="00022807"/>
    <w:rsid w:val="0002294A"/>
    <w:rsid w:val="00022BB4"/>
    <w:rsid w:val="00023763"/>
    <w:rsid w:val="00024567"/>
    <w:rsid w:val="00024DE7"/>
    <w:rsid w:val="00024EB5"/>
    <w:rsid w:val="00025BE1"/>
    <w:rsid w:val="00025D26"/>
    <w:rsid w:val="00025D39"/>
    <w:rsid w:val="00025D7B"/>
    <w:rsid w:val="00025E6D"/>
    <w:rsid w:val="0002644C"/>
    <w:rsid w:val="00026A29"/>
    <w:rsid w:val="00026B98"/>
    <w:rsid w:val="00026C69"/>
    <w:rsid w:val="000270F2"/>
    <w:rsid w:val="0002747F"/>
    <w:rsid w:val="000274B8"/>
    <w:rsid w:val="00027FB1"/>
    <w:rsid w:val="00030002"/>
    <w:rsid w:val="000302BF"/>
    <w:rsid w:val="00030672"/>
    <w:rsid w:val="000306A8"/>
    <w:rsid w:val="00030888"/>
    <w:rsid w:val="00030D14"/>
    <w:rsid w:val="00030E9D"/>
    <w:rsid w:val="000314FE"/>
    <w:rsid w:val="00031AE1"/>
    <w:rsid w:val="00032150"/>
    <w:rsid w:val="00032220"/>
    <w:rsid w:val="00032419"/>
    <w:rsid w:val="000324BD"/>
    <w:rsid w:val="000326DC"/>
    <w:rsid w:val="00032744"/>
    <w:rsid w:val="00033430"/>
    <w:rsid w:val="00033863"/>
    <w:rsid w:val="0003459D"/>
    <w:rsid w:val="00034735"/>
    <w:rsid w:val="00034B63"/>
    <w:rsid w:val="00035DC0"/>
    <w:rsid w:val="00036829"/>
    <w:rsid w:val="000372EA"/>
    <w:rsid w:val="000402F2"/>
    <w:rsid w:val="00040860"/>
    <w:rsid w:val="00040895"/>
    <w:rsid w:val="00040C02"/>
    <w:rsid w:val="000410A0"/>
    <w:rsid w:val="000411F8"/>
    <w:rsid w:val="000418A6"/>
    <w:rsid w:val="00041EAC"/>
    <w:rsid w:val="000421EB"/>
    <w:rsid w:val="0004250F"/>
    <w:rsid w:val="00043291"/>
    <w:rsid w:val="000433F0"/>
    <w:rsid w:val="000435EE"/>
    <w:rsid w:val="000438BD"/>
    <w:rsid w:val="00043C37"/>
    <w:rsid w:val="00043F4C"/>
    <w:rsid w:val="000442ED"/>
    <w:rsid w:val="00045017"/>
    <w:rsid w:val="00045031"/>
    <w:rsid w:val="000450F0"/>
    <w:rsid w:val="0004535B"/>
    <w:rsid w:val="00045A2B"/>
    <w:rsid w:val="000463F1"/>
    <w:rsid w:val="0004698F"/>
    <w:rsid w:val="00046D64"/>
    <w:rsid w:val="00046EE7"/>
    <w:rsid w:val="00047A9A"/>
    <w:rsid w:val="00050412"/>
    <w:rsid w:val="000508C2"/>
    <w:rsid w:val="00050A59"/>
    <w:rsid w:val="000517E9"/>
    <w:rsid w:val="00052304"/>
    <w:rsid w:val="0005284C"/>
    <w:rsid w:val="000528EC"/>
    <w:rsid w:val="000539D0"/>
    <w:rsid w:val="00054042"/>
    <w:rsid w:val="00054621"/>
    <w:rsid w:val="000546D7"/>
    <w:rsid w:val="00054A8D"/>
    <w:rsid w:val="00054C9B"/>
    <w:rsid w:val="00055D5D"/>
    <w:rsid w:val="00055F96"/>
    <w:rsid w:val="0005624B"/>
    <w:rsid w:val="00056526"/>
    <w:rsid w:val="000565F2"/>
    <w:rsid w:val="00056C81"/>
    <w:rsid w:val="00056E91"/>
    <w:rsid w:val="00056ECF"/>
    <w:rsid w:val="00057338"/>
    <w:rsid w:val="000574BE"/>
    <w:rsid w:val="0005767A"/>
    <w:rsid w:val="0005783D"/>
    <w:rsid w:val="000604DF"/>
    <w:rsid w:val="00061962"/>
    <w:rsid w:val="00061E11"/>
    <w:rsid w:val="00062324"/>
    <w:rsid w:val="000628A4"/>
    <w:rsid w:val="00062DA0"/>
    <w:rsid w:val="00062EB9"/>
    <w:rsid w:val="00062EDD"/>
    <w:rsid w:val="000653B5"/>
    <w:rsid w:val="000658EE"/>
    <w:rsid w:val="000659AD"/>
    <w:rsid w:val="000660FB"/>
    <w:rsid w:val="0006618D"/>
    <w:rsid w:val="0006634E"/>
    <w:rsid w:val="00066360"/>
    <w:rsid w:val="00066AF8"/>
    <w:rsid w:val="00067A47"/>
    <w:rsid w:val="000701C8"/>
    <w:rsid w:val="00070481"/>
    <w:rsid w:val="00070BC2"/>
    <w:rsid w:val="00071248"/>
    <w:rsid w:val="00071282"/>
    <w:rsid w:val="00071839"/>
    <w:rsid w:val="000719B7"/>
    <w:rsid w:val="000720B9"/>
    <w:rsid w:val="00072413"/>
    <w:rsid w:val="00072E1E"/>
    <w:rsid w:val="000731F4"/>
    <w:rsid w:val="000731F5"/>
    <w:rsid w:val="000737F7"/>
    <w:rsid w:val="00073A45"/>
    <w:rsid w:val="00073B41"/>
    <w:rsid w:val="0007429F"/>
    <w:rsid w:val="0007517B"/>
    <w:rsid w:val="000753EC"/>
    <w:rsid w:val="000755DA"/>
    <w:rsid w:val="00075BBF"/>
    <w:rsid w:val="00076460"/>
    <w:rsid w:val="0007672F"/>
    <w:rsid w:val="000769E6"/>
    <w:rsid w:val="00076B54"/>
    <w:rsid w:val="000774F0"/>
    <w:rsid w:val="00077622"/>
    <w:rsid w:val="000779B4"/>
    <w:rsid w:val="00080909"/>
    <w:rsid w:val="00080F37"/>
    <w:rsid w:val="000812CA"/>
    <w:rsid w:val="00081E63"/>
    <w:rsid w:val="0008258D"/>
    <w:rsid w:val="0008279E"/>
    <w:rsid w:val="000829FC"/>
    <w:rsid w:val="00082B86"/>
    <w:rsid w:val="0008372B"/>
    <w:rsid w:val="00083E99"/>
    <w:rsid w:val="000845B0"/>
    <w:rsid w:val="000848A1"/>
    <w:rsid w:val="000848B9"/>
    <w:rsid w:val="00084FA8"/>
    <w:rsid w:val="00085325"/>
    <w:rsid w:val="000853DF"/>
    <w:rsid w:val="000856C5"/>
    <w:rsid w:val="00085B04"/>
    <w:rsid w:val="00085C31"/>
    <w:rsid w:val="00086842"/>
    <w:rsid w:val="00086E48"/>
    <w:rsid w:val="00086F21"/>
    <w:rsid w:val="00087110"/>
    <w:rsid w:val="00087DAE"/>
    <w:rsid w:val="000902D9"/>
    <w:rsid w:val="00090C7E"/>
    <w:rsid w:val="00090E9E"/>
    <w:rsid w:val="00090EB7"/>
    <w:rsid w:val="000911AC"/>
    <w:rsid w:val="00091867"/>
    <w:rsid w:val="00091871"/>
    <w:rsid w:val="0009199A"/>
    <w:rsid w:val="00092600"/>
    <w:rsid w:val="0009262B"/>
    <w:rsid w:val="00093310"/>
    <w:rsid w:val="00093700"/>
    <w:rsid w:val="00093E04"/>
    <w:rsid w:val="00093F44"/>
    <w:rsid w:val="0009445C"/>
    <w:rsid w:val="00095195"/>
    <w:rsid w:val="00095200"/>
    <w:rsid w:val="00095760"/>
    <w:rsid w:val="00095CB4"/>
    <w:rsid w:val="00095DB7"/>
    <w:rsid w:val="00095FE5"/>
    <w:rsid w:val="00096284"/>
    <w:rsid w:val="0009638E"/>
    <w:rsid w:val="00096DDB"/>
    <w:rsid w:val="0009740A"/>
    <w:rsid w:val="000A1592"/>
    <w:rsid w:val="000A1BC0"/>
    <w:rsid w:val="000A1CC1"/>
    <w:rsid w:val="000A2351"/>
    <w:rsid w:val="000A2751"/>
    <w:rsid w:val="000A2F9E"/>
    <w:rsid w:val="000A3808"/>
    <w:rsid w:val="000A3E47"/>
    <w:rsid w:val="000A4A0A"/>
    <w:rsid w:val="000A522B"/>
    <w:rsid w:val="000A6039"/>
    <w:rsid w:val="000A61FF"/>
    <w:rsid w:val="000A6496"/>
    <w:rsid w:val="000A6636"/>
    <w:rsid w:val="000A6E05"/>
    <w:rsid w:val="000A6FF4"/>
    <w:rsid w:val="000A7453"/>
    <w:rsid w:val="000A78A7"/>
    <w:rsid w:val="000A7CBC"/>
    <w:rsid w:val="000A7D08"/>
    <w:rsid w:val="000B0118"/>
    <w:rsid w:val="000B0121"/>
    <w:rsid w:val="000B014F"/>
    <w:rsid w:val="000B056E"/>
    <w:rsid w:val="000B0670"/>
    <w:rsid w:val="000B0E75"/>
    <w:rsid w:val="000B13A1"/>
    <w:rsid w:val="000B230E"/>
    <w:rsid w:val="000B2AC0"/>
    <w:rsid w:val="000B2DCB"/>
    <w:rsid w:val="000B5332"/>
    <w:rsid w:val="000B5715"/>
    <w:rsid w:val="000B581C"/>
    <w:rsid w:val="000B591E"/>
    <w:rsid w:val="000B5968"/>
    <w:rsid w:val="000B59D8"/>
    <w:rsid w:val="000B5CE0"/>
    <w:rsid w:val="000B6CAC"/>
    <w:rsid w:val="000B6CCB"/>
    <w:rsid w:val="000B6F9D"/>
    <w:rsid w:val="000B6FF8"/>
    <w:rsid w:val="000B7612"/>
    <w:rsid w:val="000B77DF"/>
    <w:rsid w:val="000B78AE"/>
    <w:rsid w:val="000B792E"/>
    <w:rsid w:val="000C0142"/>
    <w:rsid w:val="000C0206"/>
    <w:rsid w:val="000C0B1C"/>
    <w:rsid w:val="000C1621"/>
    <w:rsid w:val="000C3DF9"/>
    <w:rsid w:val="000C4612"/>
    <w:rsid w:val="000C4CF2"/>
    <w:rsid w:val="000C6713"/>
    <w:rsid w:val="000C7BDC"/>
    <w:rsid w:val="000C7E9C"/>
    <w:rsid w:val="000D0219"/>
    <w:rsid w:val="000D1BFC"/>
    <w:rsid w:val="000D1BFF"/>
    <w:rsid w:val="000D1D5D"/>
    <w:rsid w:val="000D1DE7"/>
    <w:rsid w:val="000D20E3"/>
    <w:rsid w:val="000D231E"/>
    <w:rsid w:val="000D23D2"/>
    <w:rsid w:val="000D281A"/>
    <w:rsid w:val="000D2848"/>
    <w:rsid w:val="000D28AC"/>
    <w:rsid w:val="000D2AD0"/>
    <w:rsid w:val="000D2AF0"/>
    <w:rsid w:val="000D326A"/>
    <w:rsid w:val="000D3977"/>
    <w:rsid w:val="000D4C2B"/>
    <w:rsid w:val="000D51FB"/>
    <w:rsid w:val="000D567B"/>
    <w:rsid w:val="000D5D10"/>
    <w:rsid w:val="000D6492"/>
    <w:rsid w:val="000D6860"/>
    <w:rsid w:val="000D7292"/>
    <w:rsid w:val="000D7B10"/>
    <w:rsid w:val="000D7DB4"/>
    <w:rsid w:val="000E03E8"/>
    <w:rsid w:val="000E0640"/>
    <w:rsid w:val="000E135D"/>
    <w:rsid w:val="000E14C2"/>
    <w:rsid w:val="000E15EA"/>
    <w:rsid w:val="000E2427"/>
    <w:rsid w:val="000E3556"/>
    <w:rsid w:val="000E36B7"/>
    <w:rsid w:val="000E4869"/>
    <w:rsid w:val="000E5278"/>
    <w:rsid w:val="000E536E"/>
    <w:rsid w:val="000E5A41"/>
    <w:rsid w:val="000E6C32"/>
    <w:rsid w:val="000E7253"/>
    <w:rsid w:val="000E768F"/>
    <w:rsid w:val="000E78A4"/>
    <w:rsid w:val="000F00BA"/>
    <w:rsid w:val="000F02AB"/>
    <w:rsid w:val="000F0C73"/>
    <w:rsid w:val="000F0ECB"/>
    <w:rsid w:val="000F10EA"/>
    <w:rsid w:val="000F1F86"/>
    <w:rsid w:val="000F202B"/>
    <w:rsid w:val="000F316A"/>
    <w:rsid w:val="000F3C74"/>
    <w:rsid w:val="000F43B5"/>
    <w:rsid w:val="000F48F3"/>
    <w:rsid w:val="000F4BB8"/>
    <w:rsid w:val="000F4FA9"/>
    <w:rsid w:val="000F52CB"/>
    <w:rsid w:val="000F53FB"/>
    <w:rsid w:val="000F56DE"/>
    <w:rsid w:val="000F6C9E"/>
    <w:rsid w:val="000F7127"/>
    <w:rsid w:val="000F7491"/>
    <w:rsid w:val="000F7B54"/>
    <w:rsid w:val="000F7E75"/>
    <w:rsid w:val="001000B3"/>
    <w:rsid w:val="001003A8"/>
    <w:rsid w:val="00100480"/>
    <w:rsid w:val="00100989"/>
    <w:rsid w:val="00100A94"/>
    <w:rsid w:val="00100C22"/>
    <w:rsid w:val="00100D3F"/>
    <w:rsid w:val="00100F8A"/>
    <w:rsid w:val="001012F7"/>
    <w:rsid w:val="00101609"/>
    <w:rsid w:val="00101CE6"/>
    <w:rsid w:val="0010274A"/>
    <w:rsid w:val="0010290B"/>
    <w:rsid w:val="00102C31"/>
    <w:rsid w:val="00102CF8"/>
    <w:rsid w:val="001030E7"/>
    <w:rsid w:val="00103919"/>
    <w:rsid w:val="00103DFB"/>
    <w:rsid w:val="0010405E"/>
    <w:rsid w:val="0010452E"/>
    <w:rsid w:val="001045C6"/>
    <w:rsid w:val="00104793"/>
    <w:rsid w:val="00104A3D"/>
    <w:rsid w:val="00105AE2"/>
    <w:rsid w:val="001060BF"/>
    <w:rsid w:val="001060C6"/>
    <w:rsid w:val="0010681D"/>
    <w:rsid w:val="00106B80"/>
    <w:rsid w:val="00106C1D"/>
    <w:rsid w:val="00107F88"/>
    <w:rsid w:val="0011032E"/>
    <w:rsid w:val="00110B71"/>
    <w:rsid w:val="00110D38"/>
    <w:rsid w:val="00110E71"/>
    <w:rsid w:val="00110E78"/>
    <w:rsid w:val="00110F5B"/>
    <w:rsid w:val="00111165"/>
    <w:rsid w:val="001111F9"/>
    <w:rsid w:val="001118E6"/>
    <w:rsid w:val="0011221C"/>
    <w:rsid w:val="001129EF"/>
    <w:rsid w:val="001130E8"/>
    <w:rsid w:val="001131E8"/>
    <w:rsid w:val="0011348B"/>
    <w:rsid w:val="0011416E"/>
    <w:rsid w:val="00114A07"/>
    <w:rsid w:val="00115911"/>
    <w:rsid w:val="00115982"/>
    <w:rsid w:val="00115E1B"/>
    <w:rsid w:val="00115E28"/>
    <w:rsid w:val="001164AE"/>
    <w:rsid w:val="0011651E"/>
    <w:rsid w:val="0011682E"/>
    <w:rsid w:val="001168B8"/>
    <w:rsid w:val="00116C53"/>
    <w:rsid w:val="00117C16"/>
    <w:rsid w:val="00120B2F"/>
    <w:rsid w:val="00121799"/>
    <w:rsid w:val="00121B3F"/>
    <w:rsid w:val="00121E58"/>
    <w:rsid w:val="001222FC"/>
    <w:rsid w:val="001227DC"/>
    <w:rsid w:val="00123116"/>
    <w:rsid w:val="0012314E"/>
    <w:rsid w:val="00123902"/>
    <w:rsid w:val="00123F94"/>
    <w:rsid w:val="001245FA"/>
    <w:rsid w:val="00124887"/>
    <w:rsid w:val="001248C0"/>
    <w:rsid w:val="00124A51"/>
    <w:rsid w:val="001254CE"/>
    <w:rsid w:val="00125581"/>
    <w:rsid w:val="00125AD5"/>
    <w:rsid w:val="00125B93"/>
    <w:rsid w:val="001265B1"/>
    <w:rsid w:val="00126621"/>
    <w:rsid w:val="001268B8"/>
    <w:rsid w:val="00126B1D"/>
    <w:rsid w:val="0012782D"/>
    <w:rsid w:val="00127C22"/>
    <w:rsid w:val="001301E9"/>
    <w:rsid w:val="00130378"/>
    <w:rsid w:val="00130B4B"/>
    <w:rsid w:val="00130F55"/>
    <w:rsid w:val="00130F71"/>
    <w:rsid w:val="001313E6"/>
    <w:rsid w:val="001315F8"/>
    <w:rsid w:val="00131D82"/>
    <w:rsid w:val="001320EF"/>
    <w:rsid w:val="001323C3"/>
    <w:rsid w:val="0013256D"/>
    <w:rsid w:val="00132978"/>
    <w:rsid w:val="00132B22"/>
    <w:rsid w:val="00132CAD"/>
    <w:rsid w:val="00133559"/>
    <w:rsid w:val="001337A4"/>
    <w:rsid w:val="00133D36"/>
    <w:rsid w:val="00133F94"/>
    <w:rsid w:val="00134386"/>
    <w:rsid w:val="00134BBA"/>
    <w:rsid w:val="00134F0A"/>
    <w:rsid w:val="001360AA"/>
    <w:rsid w:val="0013611C"/>
    <w:rsid w:val="00136F62"/>
    <w:rsid w:val="001373D4"/>
    <w:rsid w:val="00137645"/>
    <w:rsid w:val="0014015A"/>
    <w:rsid w:val="00140354"/>
    <w:rsid w:val="00140E99"/>
    <w:rsid w:val="00140F26"/>
    <w:rsid w:val="0014113D"/>
    <w:rsid w:val="001412D5"/>
    <w:rsid w:val="00141A6A"/>
    <w:rsid w:val="00141AB5"/>
    <w:rsid w:val="00141E84"/>
    <w:rsid w:val="00141F96"/>
    <w:rsid w:val="0014228D"/>
    <w:rsid w:val="00143F67"/>
    <w:rsid w:val="00144983"/>
    <w:rsid w:val="00144ADF"/>
    <w:rsid w:val="00145234"/>
    <w:rsid w:val="00145526"/>
    <w:rsid w:val="00145540"/>
    <w:rsid w:val="001456B0"/>
    <w:rsid w:val="00145A89"/>
    <w:rsid w:val="00147611"/>
    <w:rsid w:val="00151C86"/>
    <w:rsid w:val="001520E4"/>
    <w:rsid w:val="00152706"/>
    <w:rsid w:val="001529CB"/>
    <w:rsid w:val="00152E77"/>
    <w:rsid w:val="001531C5"/>
    <w:rsid w:val="00153375"/>
    <w:rsid w:val="001537AB"/>
    <w:rsid w:val="00153865"/>
    <w:rsid w:val="00153C0C"/>
    <w:rsid w:val="0015461C"/>
    <w:rsid w:val="00154636"/>
    <w:rsid w:val="001547AB"/>
    <w:rsid w:val="00154B8A"/>
    <w:rsid w:val="00154C4D"/>
    <w:rsid w:val="00156571"/>
    <w:rsid w:val="0015682D"/>
    <w:rsid w:val="00156C14"/>
    <w:rsid w:val="00156F8F"/>
    <w:rsid w:val="00157130"/>
    <w:rsid w:val="001576B1"/>
    <w:rsid w:val="001602E5"/>
    <w:rsid w:val="0016047B"/>
    <w:rsid w:val="001608C3"/>
    <w:rsid w:val="00160A4C"/>
    <w:rsid w:val="00160DD6"/>
    <w:rsid w:val="00161355"/>
    <w:rsid w:val="001613E5"/>
    <w:rsid w:val="0016193E"/>
    <w:rsid w:val="00161E97"/>
    <w:rsid w:val="00162146"/>
    <w:rsid w:val="00162913"/>
    <w:rsid w:val="00162F6A"/>
    <w:rsid w:val="001637E5"/>
    <w:rsid w:val="00163C3C"/>
    <w:rsid w:val="00163EFF"/>
    <w:rsid w:val="00163F66"/>
    <w:rsid w:val="00163FD3"/>
    <w:rsid w:val="00164148"/>
    <w:rsid w:val="00164551"/>
    <w:rsid w:val="0016478E"/>
    <w:rsid w:val="00164C4D"/>
    <w:rsid w:val="001653EF"/>
    <w:rsid w:val="00165666"/>
    <w:rsid w:val="001657CC"/>
    <w:rsid w:val="00165DFD"/>
    <w:rsid w:val="00165EC4"/>
    <w:rsid w:val="001661FB"/>
    <w:rsid w:val="001671A0"/>
    <w:rsid w:val="0016767F"/>
    <w:rsid w:val="001679FB"/>
    <w:rsid w:val="00167AF5"/>
    <w:rsid w:val="0017008A"/>
    <w:rsid w:val="00170303"/>
    <w:rsid w:val="00170C45"/>
    <w:rsid w:val="0017102F"/>
    <w:rsid w:val="00171CC9"/>
    <w:rsid w:val="00172CCC"/>
    <w:rsid w:val="00173404"/>
    <w:rsid w:val="00173489"/>
    <w:rsid w:val="00173565"/>
    <w:rsid w:val="00173B07"/>
    <w:rsid w:val="001744DE"/>
    <w:rsid w:val="00174E1E"/>
    <w:rsid w:val="001751FA"/>
    <w:rsid w:val="00175583"/>
    <w:rsid w:val="001759A7"/>
    <w:rsid w:val="00175D65"/>
    <w:rsid w:val="00176165"/>
    <w:rsid w:val="00176425"/>
    <w:rsid w:val="00176D98"/>
    <w:rsid w:val="001772DD"/>
    <w:rsid w:val="00177446"/>
    <w:rsid w:val="001779EC"/>
    <w:rsid w:val="00177CC1"/>
    <w:rsid w:val="00177E91"/>
    <w:rsid w:val="001807EB"/>
    <w:rsid w:val="001811BC"/>
    <w:rsid w:val="00181C10"/>
    <w:rsid w:val="00181D9C"/>
    <w:rsid w:val="0018221B"/>
    <w:rsid w:val="00183636"/>
    <w:rsid w:val="001837DA"/>
    <w:rsid w:val="001837FF"/>
    <w:rsid w:val="00183C36"/>
    <w:rsid w:val="0018438A"/>
    <w:rsid w:val="00184931"/>
    <w:rsid w:val="00184B0E"/>
    <w:rsid w:val="00184F40"/>
    <w:rsid w:val="0018513A"/>
    <w:rsid w:val="0018571F"/>
    <w:rsid w:val="00185AB5"/>
    <w:rsid w:val="00185EB7"/>
    <w:rsid w:val="00186B90"/>
    <w:rsid w:val="00187176"/>
    <w:rsid w:val="0018733D"/>
    <w:rsid w:val="001874C0"/>
    <w:rsid w:val="0018752F"/>
    <w:rsid w:val="00187D55"/>
    <w:rsid w:val="001904DF"/>
    <w:rsid w:val="0019088D"/>
    <w:rsid w:val="001916C2"/>
    <w:rsid w:val="00192274"/>
    <w:rsid w:val="00193004"/>
    <w:rsid w:val="001930A9"/>
    <w:rsid w:val="00193838"/>
    <w:rsid w:val="00193AC3"/>
    <w:rsid w:val="00193D13"/>
    <w:rsid w:val="00194221"/>
    <w:rsid w:val="001949B1"/>
    <w:rsid w:val="00194AD8"/>
    <w:rsid w:val="00195222"/>
    <w:rsid w:val="00195452"/>
    <w:rsid w:val="001959A1"/>
    <w:rsid w:val="00196429"/>
    <w:rsid w:val="001975D8"/>
    <w:rsid w:val="00197E22"/>
    <w:rsid w:val="001A00A8"/>
    <w:rsid w:val="001A0784"/>
    <w:rsid w:val="001A0CF3"/>
    <w:rsid w:val="001A178E"/>
    <w:rsid w:val="001A17A8"/>
    <w:rsid w:val="001A1A6F"/>
    <w:rsid w:val="001A2855"/>
    <w:rsid w:val="001A2A38"/>
    <w:rsid w:val="001A2B47"/>
    <w:rsid w:val="001A323B"/>
    <w:rsid w:val="001A34A3"/>
    <w:rsid w:val="001A426C"/>
    <w:rsid w:val="001A42A4"/>
    <w:rsid w:val="001A43FA"/>
    <w:rsid w:val="001A440C"/>
    <w:rsid w:val="001A4602"/>
    <w:rsid w:val="001A47C5"/>
    <w:rsid w:val="001A502B"/>
    <w:rsid w:val="001A59FB"/>
    <w:rsid w:val="001A5E9E"/>
    <w:rsid w:val="001A611E"/>
    <w:rsid w:val="001A6220"/>
    <w:rsid w:val="001A6354"/>
    <w:rsid w:val="001A6366"/>
    <w:rsid w:val="001A657B"/>
    <w:rsid w:val="001A6787"/>
    <w:rsid w:val="001A6886"/>
    <w:rsid w:val="001A7653"/>
    <w:rsid w:val="001A7AE8"/>
    <w:rsid w:val="001A7F2B"/>
    <w:rsid w:val="001B0A0C"/>
    <w:rsid w:val="001B19B6"/>
    <w:rsid w:val="001B204E"/>
    <w:rsid w:val="001B2372"/>
    <w:rsid w:val="001B2715"/>
    <w:rsid w:val="001B3443"/>
    <w:rsid w:val="001B3880"/>
    <w:rsid w:val="001B4D20"/>
    <w:rsid w:val="001B55C0"/>
    <w:rsid w:val="001B6272"/>
    <w:rsid w:val="001B6579"/>
    <w:rsid w:val="001B68F4"/>
    <w:rsid w:val="001B6B1A"/>
    <w:rsid w:val="001B725C"/>
    <w:rsid w:val="001B7911"/>
    <w:rsid w:val="001B7F84"/>
    <w:rsid w:val="001C089A"/>
    <w:rsid w:val="001C09AD"/>
    <w:rsid w:val="001C14BD"/>
    <w:rsid w:val="001C2211"/>
    <w:rsid w:val="001C2793"/>
    <w:rsid w:val="001C2A9B"/>
    <w:rsid w:val="001C2BAD"/>
    <w:rsid w:val="001C3DD6"/>
    <w:rsid w:val="001C4299"/>
    <w:rsid w:val="001C4754"/>
    <w:rsid w:val="001C477B"/>
    <w:rsid w:val="001C4874"/>
    <w:rsid w:val="001C5F94"/>
    <w:rsid w:val="001C6580"/>
    <w:rsid w:val="001C6E66"/>
    <w:rsid w:val="001D0B99"/>
    <w:rsid w:val="001D1100"/>
    <w:rsid w:val="001D1391"/>
    <w:rsid w:val="001D17ED"/>
    <w:rsid w:val="001D20DC"/>
    <w:rsid w:val="001D2499"/>
    <w:rsid w:val="001D25D7"/>
    <w:rsid w:val="001D3376"/>
    <w:rsid w:val="001D3ABC"/>
    <w:rsid w:val="001D3F77"/>
    <w:rsid w:val="001D4327"/>
    <w:rsid w:val="001D45E7"/>
    <w:rsid w:val="001D50B2"/>
    <w:rsid w:val="001D513B"/>
    <w:rsid w:val="001D572B"/>
    <w:rsid w:val="001D65CD"/>
    <w:rsid w:val="001D6A09"/>
    <w:rsid w:val="001D6EAA"/>
    <w:rsid w:val="001D70DB"/>
    <w:rsid w:val="001D71C3"/>
    <w:rsid w:val="001D71F4"/>
    <w:rsid w:val="001D7645"/>
    <w:rsid w:val="001E0699"/>
    <w:rsid w:val="001E0E76"/>
    <w:rsid w:val="001E119F"/>
    <w:rsid w:val="001E132B"/>
    <w:rsid w:val="001E1678"/>
    <w:rsid w:val="001E1766"/>
    <w:rsid w:val="001E1E86"/>
    <w:rsid w:val="001E2246"/>
    <w:rsid w:val="001E238E"/>
    <w:rsid w:val="001E23DD"/>
    <w:rsid w:val="001E2483"/>
    <w:rsid w:val="001E2B1E"/>
    <w:rsid w:val="001E2CFF"/>
    <w:rsid w:val="001E2F24"/>
    <w:rsid w:val="001E30D4"/>
    <w:rsid w:val="001E34DF"/>
    <w:rsid w:val="001E3816"/>
    <w:rsid w:val="001E40BA"/>
    <w:rsid w:val="001E4E56"/>
    <w:rsid w:val="001E52EB"/>
    <w:rsid w:val="001E5E10"/>
    <w:rsid w:val="001E61D2"/>
    <w:rsid w:val="001E740C"/>
    <w:rsid w:val="001E764B"/>
    <w:rsid w:val="001E77B2"/>
    <w:rsid w:val="001F01F8"/>
    <w:rsid w:val="001F0D12"/>
    <w:rsid w:val="001F1235"/>
    <w:rsid w:val="001F1CB3"/>
    <w:rsid w:val="001F1D91"/>
    <w:rsid w:val="001F2F6C"/>
    <w:rsid w:val="001F3135"/>
    <w:rsid w:val="001F360A"/>
    <w:rsid w:val="001F38B5"/>
    <w:rsid w:val="001F39EF"/>
    <w:rsid w:val="001F4081"/>
    <w:rsid w:val="001F5F58"/>
    <w:rsid w:val="001F61D5"/>
    <w:rsid w:val="001F652E"/>
    <w:rsid w:val="001F6B2B"/>
    <w:rsid w:val="001F6CD4"/>
    <w:rsid w:val="001F7361"/>
    <w:rsid w:val="001F739C"/>
    <w:rsid w:val="001F7D21"/>
    <w:rsid w:val="00200BD5"/>
    <w:rsid w:val="00200FD8"/>
    <w:rsid w:val="002011B0"/>
    <w:rsid w:val="00201552"/>
    <w:rsid w:val="00202E31"/>
    <w:rsid w:val="0020306C"/>
    <w:rsid w:val="00203181"/>
    <w:rsid w:val="0020324E"/>
    <w:rsid w:val="00203783"/>
    <w:rsid w:val="0020385F"/>
    <w:rsid w:val="002041E4"/>
    <w:rsid w:val="00205DF5"/>
    <w:rsid w:val="00205E6B"/>
    <w:rsid w:val="00206598"/>
    <w:rsid w:val="002068A0"/>
    <w:rsid w:val="00207021"/>
    <w:rsid w:val="0020732F"/>
    <w:rsid w:val="00207554"/>
    <w:rsid w:val="002075C7"/>
    <w:rsid w:val="00207D00"/>
    <w:rsid w:val="002101EB"/>
    <w:rsid w:val="002105C1"/>
    <w:rsid w:val="0021078D"/>
    <w:rsid w:val="002109D0"/>
    <w:rsid w:val="00210F73"/>
    <w:rsid w:val="00211188"/>
    <w:rsid w:val="002116FD"/>
    <w:rsid w:val="00212684"/>
    <w:rsid w:val="00212FCE"/>
    <w:rsid w:val="00213395"/>
    <w:rsid w:val="00213554"/>
    <w:rsid w:val="002137B7"/>
    <w:rsid w:val="00213EF5"/>
    <w:rsid w:val="00214A59"/>
    <w:rsid w:val="00214B65"/>
    <w:rsid w:val="00214CCF"/>
    <w:rsid w:val="002155AB"/>
    <w:rsid w:val="00215645"/>
    <w:rsid w:val="0021593A"/>
    <w:rsid w:val="00215E9D"/>
    <w:rsid w:val="0021688C"/>
    <w:rsid w:val="00216BF5"/>
    <w:rsid w:val="00217335"/>
    <w:rsid w:val="0022092B"/>
    <w:rsid w:val="00222B06"/>
    <w:rsid w:val="0022320E"/>
    <w:rsid w:val="0022358F"/>
    <w:rsid w:val="00223B49"/>
    <w:rsid w:val="00223D5A"/>
    <w:rsid w:val="002243B9"/>
    <w:rsid w:val="002246E1"/>
    <w:rsid w:val="002246E4"/>
    <w:rsid w:val="00224DD4"/>
    <w:rsid w:val="00224EC6"/>
    <w:rsid w:val="00225871"/>
    <w:rsid w:val="00225EDF"/>
    <w:rsid w:val="00225FFA"/>
    <w:rsid w:val="00226654"/>
    <w:rsid w:val="00226705"/>
    <w:rsid w:val="00226804"/>
    <w:rsid w:val="00226BCC"/>
    <w:rsid w:val="00227874"/>
    <w:rsid w:val="002278A0"/>
    <w:rsid w:val="00227BB8"/>
    <w:rsid w:val="00227E51"/>
    <w:rsid w:val="00227EE2"/>
    <w:rsid w:val="00230373"/>
    <w:rsid w:val="002303CF"/>
    <w:rsid w:val="00230409"/>
    <w:rsid w:val="002306C3"/>
    <w:rsid w:val="002309CC"/>
    <w:rsid w:val="00230F83"/>
    <w:rsid w:val="00231495"/>
    <w:rsid w:val="002315EF"/>
    <w:rsid w:val="00231A74"/>
    <w:rsid w:val="00231BA9"/>
    <w:rsid w:val="0023209F"/>
    <w:rsid w:val="0023269D"/>
    <w:rsid w:val="0023283B"/>
    <w:rsid w:val="00232EDE"/>
    <w:rsid w:val="00233745"/>
    <w:rsid w:val="002337B8"/>
    <w:rsid w:val="00233C01"/>
    <w:rsid w:val="00233E54"/>
    <w:rsid w:val="0023413C"/>
    <w:rsid w:val="0023451D"/>
    <w:rsid w:val="002346F0"/>
    <w:rsid w:val="00234CF8"/>
    <w:rsid w:val="0023503E"/>
    <w:rsid w:val="002355D6"/>
    <w:rsid w:val="002361AC"/>
    <w:rsid w:val="0023629D"/>
    <w:rsid w:val="0023687D"/>
    <w:rsid w:val="00237255"/>
    <w:rsid w:val="0023732F"/>
    <w:rsid w:val="002375EA"/>
    <w:rsid w:val="002376A2"/>
    <w:rsid w:val="002376F6"/>
    <w:rsid w:val="002409AE"/>
    <w:rsid w:val="00240E04"/>
    <w:rsid w:val="00241338"/>
    <w:rsid w:val="00241461"/>
    <w:rsid w:val="002415F6"/>
    <w:rsid w:val="002419AB"/>
    <w:rsid w:val="00242381"/>
    <w:rsid w:val="002424AF"/>
    <w:rsid w:val="0024310E"/>
    <w:rsid w:val="002439DC"/>
    <w:rsid w:val="00243BFD"/>
    <w:rsid w:val="002441D2"/>
    <w:rsid w:val="0024459B"/>
    <w:rsid w:val="00244678"/>
    <w:rsid w:val="00244DC8"/>
    <w:rsid w:val="00244F01"/>
    <w:rsid w:val="002458BA"/>
    <w:rsid w:val="00245CE9"/>
    <w:rsid w:val="00245E43"/>
    <w:rsid w:val="00245F59"/>
    <w:rsid w:val="00246054"/>
    <w:rsid w:val="00246358"/>
    <w:rsid w:val="0024636C"/>
    <w:rsid w:val="002468F1"/>
    <w:rsid w:val="00246FF7"/>
    <w:rsid w:val="00247925"/>
    <w:rsid w:val="00247BC3"/>
    <w:rsid w:val="00250EF2"/>
    <w:rsid w:val="00250F5A"/>
    <w:rsid w:val="00251006"/>
    <w:rsid w:val="0025125D"/>
    <w:rsid w:val="0025134D"/>
    <w:rsid w:val="00251AAB"/>
    <w:rsid w:val="00251BD0"/>
    <w:rsid w:val="0025234A"/>
    <w:rsid w:val="002524D5"/>
    <w:rsid w:val="0025268D"/>
    <w:rsid w:val="00252B5F"/>
    <w:rsid w:val="00253814"/>
    <w:rsid w:val="00253B1D"/>
    <w:rsid w:val="002546FD"/>
    <w:rsid w:val="0025476C"/>
    <w:rsid w:val="0025488B"/>
    <w:rsid w:val="00254B7D"/>
    <w:rsid w:val="00254DCF"/>
    <w:rsid w:val="0025534B"/>
    <w:rsid w:val="00255B07"/>
    <w:rsid w:val="00255BB7"/>
    <w:rsid w:val="002565FF"/>
    <w:rsid w:val="002573BA"/>
    <w:rsid w:val="00257541"/>
    <w:rsid w:val="00257A39"/>
    <w:rsid w:val="00257AC4"/>
    <w:rsid w:val="00257BBE"/>
    <w:rsid w:val="00260E91"/>
    <w:rsid w:val="002614A4"/>
    <w:rsid w:val="0026168E"/>
    <w:rsid w:val="00261EEF"/>
    <w:rsid w:val="00262156"/>
    <w:rsid w:val="00262222"/>
    <w:rsid w:val="002622A6"/>
    <w:rsid w:val="0026235C"/>
    <w:rsid w:val="00262A1A"/>
    <w:rsid w:val="00262A87"/>
    <w:rsid w:val="00263255"/>
    <w:rsid w:val="00263426"/>
    <w:rsid w:val="00263F7B"/>
    <w:rsid w:val="002645C2"/>
    <w:rsid w:val="00264836"/>
    <w:rsid w:val="00264925"/>
    <w:rsid w:val="0026498E"/>
    <w:rsid w:val="00264D26"/>
    <w:rsid w:val="00265CA8"/>
    <w:rsid w:val="0026647A"/>
    <w:rsid w:val="00266BF9"/>
    <w:rsid w:val="00266D2D"/>
    <w:rsid w:val="002675C9"/>
    <w:rsid w:val="002675FD"/>
    <w:rsid w:val="00267642"/>
    <w:rsid w:val="0026785F"/>
    <w:rsid w:val="00267AEA"/>
    <w:rsid w:val="002700E6"/>
    <w:rsid w:val="002709C8"/>
    <w:rsid w:val="00270BE9"/>
    <w:rsid w:val="002711F3"/>
    <w:rsid w:val="0027124E"/>
    <w:rsid w:val="00271927"/>
    <w:rsid w:val="00271B62"/>
    <w:rsid w:val="00271F42"/>
    <w:rsid w:val="0027252B"/>
    <w:rsid w:val="0027294B"/>
    <w:rsid w:val="00272C60"/>
    <w:rsid w:val="00272F73"/>
    <w:rsid w:val="002736BF"/>
    <w:rsid w:val="00273EB4"/>
    <w:rsid w:val="00274682"/>
    <w:rsid w:val="00274FF4"/>
    <w:rsid w:val="00275158"/>
    <w:rsid w:val="00275C5A"/>
    <w:rsid w:val="00276130"/>
    <w:rsid w:val="002764DD"/>
    <w:rsid w:val="00276657"/>
    <w:rsid w:val="00276C28"/>
    <w:rsid w:val="002776B8"/>
    <w:rsid w:val="00280679"/>
    <w:rsid w:val="0028084B"/>
    <w:rsid w:val="00280F2A"/>
    <w:rsid w:val="00281014"/>
    <w:rsid w:val="002812DC"/>
    <w:rsid w:val="002816FA"/>
    <w:rsid w:val="00281F17"/>
    <w:rsid w:val="00281F60"/>
    <w:rsid w:val="002830D4"/>
    <w:rsid w:val="00283E5D"/>
    <w:rsid w:val="002842CE"/>
    <w:rsid w:val="002844E5"/>
    <w:rsid w:val="00284550"/>
    <w:rsid w:val="00284B51"/>
    <w:rsid w:val="00284CF0"/>
    <w:rsid w:val="0028500B"/>
    <w:rsid w:val="00285114"/>
    <w:rsid w:val="002851E4"/>
    <w:rsid w:val="002852A7"/>
    <w:rsid w:val="00285635"/>
    <w:rsid w:val="00285826"/>
    <w:rsid w:val="00285BCE"/>
    <w:rsid w:val="00285CE5"/>
    <w:rsid w:val="00285E28"/>
    <w:rsid w:val="00285E65"/>
    <w:rsid w:val="00285F90"/>
    <w:rsid w:val="0028665D"/>
    <w:rsid w:val="0028696C"/>
    <w:rsid w:val="00287F79"/>
    <w:rsid w:val="00290511"/>
    <w:rsid w:val="00290F18"/>
    <w:rsid w:val="00291311"/>
    <w:rsid w:val="0029143F"/>
    <w:rsid w:val="00291630"/>
    <w:rsid w:val="00291EB0"/>
    <w:rsid w:val="0029248B"/>
    <w:rsid w:val="002925F5"/>
    <w:rsid w:val="00292AFB"/>
    <w:rsid w:val="0029384B"/>
    <w:rsid w:val="00293A90"/>
    <w:rsid w:val="00293F25"/>
    <w:rsid w:val="00294CDD"/>
    <w:rsid w:val="00294F21"/>
    <w:rsid w:val="0029541E"/>
    <w:rsid w:val="002954B0"/>
    <w:rsid w:val="00295F43"/>
    <w:rsid w:val="00296693"/>
    <w:rsid w:val="00296DF0"/>
    <w:rsid w:val="0029795E"/>
    <w:rsid w:val="00297D0A"/>
    <w:rsid w:val="002A046F"/>
    <w:rsid w:val="002A139E"/>
    <w:rsid w:val="002A14AB"/>
    <w:rsid w:val="002A18DA"/>
    <w:rsid w:val="002A1B3C"/>
    <w:rsid w:val="002A1DAC"/>
    <w:rsid w:val="002A1F5E"/>
    <w:rsid w:val="002A2085"/>
    <w:rsid w:val="002A21F7"/>
    <w:rsid w:val="002A22B5"/>
    <w:rsid w:val="002A2A08"/>
    <w:rsid w:val="002A2ADE"/>
    <w:rsid w:val="002A2F08"/>
    <w:rsid w:val="002A2F50"/>
    <w:rsid w:val="002A32B7"/>
    <w:rsid w:val="002A3310"/>
    <w:rsid w:val="002A44B2"/>
    <w:rsid w:val="002A47D8"/>
    <w:rsid w:val="002A4E10"/>
    <w:rsid w:val="002A5209"/>
    <w:rsid w:val="002A589F"/>
    <w:rsid w:val="002A5A2F"/>
    <w:rsid w:val="002A5C83"/>
    <w:rsid w:val="002A601E"/>
    <w:rsid w:val="002A6134"/>
    <w:rsid w:val="002A66C9"/>
    <w:rsid w:val="002A7943"/>
    <w:rsid w:val="002A79B4"/>
    <w:rsid w:val="002A7CAB"/>
    <w:rsid w:val="002B0010"/>
    <w:rsid w:val="002B047E"/>
    <w:rsid w:val="002B05A1"/>
    <w:rsid w:val="002B09A4"/>
    <w:rsid w:val="002B0A77"/>
    <w:rsid w:val="002B1C1F"/>
    <w:rsid w:val="002B1E50"/>
    <w:rsid w:val="002B2B8E"/>
    <w:rsid w:val="002B33F5"/>
    <w:rsid w:val="002B4110"/>
    <w:rsid w:val="002B432F"/>
    <w:rsid w:val="002B4B67"/>
    <w:rsid w:val="002B4C22"/>
    <w:rsid w:val="002B4D38"/>
    <w:rsid w:val="002B4E17"/>
    <w:rsid w:val="002B4FCD"/>
    <w:rsid w:val="002B5304"/>
    <w:rsid w:val="002B548E"/>
    <w:rsid w:val="002B56F2"/>
    <w:rsid w:val="002B61A5"/>
    <w:rsid w:val="002B6299"/>
    <w:rsid w:val="002B62B3"/>
    <w:rsid w:val="002B661F"/>
    <w:rsid w:val="002B6754"/>
    <w:rsid w:val="002B691A"/>
    <w:rsid w:val="002B6CCE"/>
    <w:rsid w:val="002B70E4"/>
    <w:rsid w:val="002B777E"/>
    <w:rsid w:val="002C080A"/>
    <w:rsid w:val="002C134C"/>
    <w:rsid w:val="002C1704"/>
    <w:rsid w:val="002C2510"/>
    <w:rsid w:val="002C266E"/>
    <w:rsid w:val="002C2775"/>
    <w:rsid w:val="002C2776"/>
    <w:rsid w:val="002C27C1"/>
    <w:rsid w:val="002C286D"/>
    <w:rsid w:val="002C2C3D"/>
    <w:rsid w:val="002C2D95"/>
    <w:rsid w:val="002C36CC"/>
    <w:rsid w:val="002C36E3"/>
    <w:rsid w:val="002C3BF2"/>
    <w:rsid w:val="002C3E93"/>
    <w:rsid w:val="002C4D17"/>
    <w:rsid w:val="002C5099"/>
    <w:rsid w:val="002C532B"/>
    <w:rsid w:val="002C57B6"/>
    <w:rsid w:val="002C5827"/>
    <w:rsid w:val="002C5889"/>
    <w:rsid w:val="002C5DA0"/>
    <w:rsid w:val="002C624B"/>
    <w:rsid w:val="002C674C"/>
    <w:rsid w:val="002C6D5A"/>
    <w:rsid w:val="002C6FE1"/>
    <w:rsid w:val="002C71CE"/>
    <w:rsid w:val="002D01D3"/>
    <w:rsid w:val="002D0265"/>
    <w:rsid w:val="002D0450"/>
    <w:rsid w:val="002D08F8"/>
    <w:rsid w:val="002D1272"/>
    <w:rsid w:val="002D1FF1"/>
    <w:rsid w:val="002D340C"/>
    <w:rsid w:val="002D3635"/>
    <w:rsid w:val="002D38D6"/>
    <w:rsid w:val="002D3A52"/>
    <w:rsid w:val="002D43C4"/>
    <w:rsid w:val="002D55E3"/>
    <w:rsid w:val="002D5745"/>
    <w:rsid w:val="002D577C"/>
    <w:rsid w:val="002D61F3"/>
    <w:rsid w:val="002D6A12"/>
    <w:rsid w:val="002D7046"/>
    <w:rsid w:val="002D704D"/>
    <w:rsid w:val="002D73B8"/>
    <w:rsid w:val="002D767A"/>
    <w:rsid w:val="002D76D8"/>
    <w:rsid w:val="002D7832"/>
    <w:rsid w:val="002E1071"/>
    <w:rsid w:val="002E15B9"/>
    <w:rsid w:val="002E1CD8"/>
    <w:rsid w:val="002E1F8D"/>
    <w:rsid w:val="002E2158"/>
    <w:rsid w:val="002E21E5"/>
    <w:rsid w:val="002E25DE"/>
    <w:rsid w:val="002E29E5"/>
    <w:rsid w:val="002E3B3F"/>
    <w:rsid w:val="002E3DD5"/>
    <w:rsid w:val="002E4991"/>
    <w:rsid w:val="002E4F02"/>
    <w:rsid w:val="002E5370"/>
    <w:rsid w:val="002E5824"/>
    <w:rsid w:val="002E58E9"/>
    <w:rsid w:val="002E59C7"/>
    <w:rsid w:val="002E5D05"/>
    <w:rsid w:val="002E5D1E"/>
    <w:rsid w:val="002E63F7"/>
    <w:rsid w:val="002E6D61"/>
    <w:rsid w:val="002E7146"/>
    <w:rsid w:val="002E7722"/>
    <w:rsid w:val="002E7DAC"/>
    <w:rsid w:val="002F07BA"/>
    <w:rsid w:val="002F0B9D"/>
    <w:rsid w:val="002F0DA9"/>
    <w:rsid w:val="002F0E3B"/>
    <w:rsid w:val="002F1014"/>
    <w:rsid w:val="002F1653"/>
    <w:rsid w:val="002F192C"/>
    <w:rsid w:val="002F1E3B"/>
    <w:rsid w:val="002F1F7F"/>
    <w:rsid w:val="002F37EE"/>
    <w:rsid w:val="002F3F17"/>
    <w:rsid w:val="002F462B"/>
    <w:rsid w:val="002F4816"/>
    <w:rsid w:val="002F4A99"/>
    <w:rsid w:val="002F4F0E"/>
    <w:rsid w:val="002F57CC"/>
    <w:rsid w:val="002F5A8E"/>
    <w:rsid w:val="002F643C"/>
    <w:rsid w:val="002F667C"/>
    <w:rsid w:val="002F71C0"/>
    <w:rsid w:val="002F74F1"/>
    <w:rsid w:val="002F7A3C"/>
    <w:rsid w:val="002F7C23"/>
    <w:rsid w:val="002F7CCD"/>
    <w:rsid w:val="0030088A"/>
    <w:rsid w:val="00301017"/>
    <w:rsid w:val="0030155F"/>
    <w:rsid w:val="00301690"/>
    <w:rsid w:val="00301D7F"/>
    <w:rsid w:val="00302314"/>
    <w:rsid w:val="003025AA"/>
    <w:rsid w:val="003028E6"/>
    <w:rsid w:val="00302DB8"/>
    <w:rsid w:val="00302F17"/>
    <w:rsid w:val="003030D2"/>
    <w:rsid w:val="00303523"/>
    <w:rsid w:val="003035E9"/>
    <w:rsid w:val="003037FD"/>
    <w:rsid w:val="0030386A"/>
    <w:rsid w:val="00303CB9"/>
    <w:rsid w:val="00303E9D"/>
    <w:rsid w:val="00304734"/>
    <w:rsid w:val="00305036"/>
    <w:rsid w:val="0030587B"/>
    <w:rsid w:val="00305F71"/>
    <w:rsid w:val="00306B8F"/>
    <w:rsid w:val="00306D98"/>
    <w:rsid w:val="0030747D"/>
    <w:rsid w:val="00307630"/>
    <w:rsid w:val="0030786C"/>
    <w:rsid w:val="0031031A"/>
    <w:rsid w:val="0031037D"/>
    <w:rsid w:val="00310981"/>
    <w:rsid w:val="00310D3E"/>
    <w:rsid w:val="00311D9B"/>
    <w:rsid w:val="003124D9"/>
    <w:rsid w:val="00312594"/>
    <w:rsid w:val="003137C7"/>
    <w:rsid w:val="00313FA9"/>
    <w:rsid w:val="00313FAD"/>
    <w:rsid w:val="003140D2"/>
    <w:rsid w:val="00314157"/>
    <w:rsid w:val="00315498"/>
    <w:rsid w:val="003154BA"/>
    <w:rsid w:val="003159F2"/>
    <w:rsid w:val="00315BCF"/>
    <w:rsid w:val="0031609C"/>
    <w:rsid w:val="00316474"/>
    <w:rsid w:val="00317439"/>
    <w:rsid w:val="00317995"/>
    <w:rsid w:val="003179F8"/>
    <w:rsid w:val="00320650"/>
    <w:rsid w:val="00320E3A"/>
    <w:rsid w:val="00321A72"/>
    <w:rsid w:val="00321F62"/>
    <w:rsid w:val="00322107"/>
    <w:rsid w:val="00322355"/>
    <w:rsid w:val="00322846"/>
    <w:rsid w:val="003228A3"/>
    <w:rsid w:val="00322CDD"/>
    <w:rsid w:val="00323445"/>
    <w:rsid w:val="0032511B"/>
    <w:rsid w:val="00325222"/>
    <w:rsid w:val="00326DA7"/>
    <w:rsid w:val="00326FCA"/>
    <w:rsid w:val="003270E4"/>
    <w:rsid w:val="003271E0"/>
    <w:rsid w:val="0032769B"/>
    <w:rsid w:val="00330467"/>
    <w:rsid w:val="003304AB"/>
    <w:rsid w:val="00330918"/>
    <w:rsid w:val="00330C0A"/>
    <w:rsid w:val="00330DAA"/>
    <w:rsid w:val="00330F5C"/>
    <w:rsid w:val="00330F9C"/>
    <w:rsid w:val="003316E8"/>
    <w:rsid w:val="003317B7"/>
    <w:rsid w:val="00331A7C"/>
    <w:rsid w:val="00331D7B"/>
    <w:rsid w:val="00331DE3"/>
    <w:rsid w:val="00332626"/>
    <w:rsid w:val="003329C8"/>
    <w:rsid w:val="0033331A"/>
    <w:rsid w:val="00333379"/>
    <w:rsid w:val="00333455"/>
    <w:rsid w:val="00333F3D"/>
    <w:rsid w:val="00334717"/>
    <w:rsid w:val="00334D66"/>
    <w:rsid w:val="00335844"/>
    <w:rsid w:val="00335FFD"/>
    <w:rsid w:val="0033600F"/>
    <w:rsid w:val="003366C9"/>
    <w:rsid w:val="00336BF7"/>
    <w:rsid w:val="003371B0"/>
    <w:rsid w:val="00337E0B"/>
    <w:rsid w:val="00337E83"/>
    <w:rsid w:val="00340C95"/>
    <w:rsid w:val="00340DF1"/>
    <w:rsid w:val="00341015"/>
    <w:rsid w:val="003420EB"/>
    <w:rsid w:val="00342100"/>
    <w:rsid w:val="003436AF"/>
    <w:rsid w:val="00344B92"/>
    <w:rsid w:val="00345189"/>
    <w:rsid w:val="00345831"/>
    <w:rsid w:val="00345837"/>
    <w:rsid w:val="00345A2E"/>
    <w:rsid w:val="00345D3C"/>
    <w:rsid w:val="0034624B"/>
    <w:rsid w:val="00346C8A"/>
    <w:rsid w:val="0034744B"/>
    <w:rsid w:val="00347B6E"/>
    <w:rsid w:val="003504D2"/>
    <w:rsid w:val="003513A2"/>
    <w:rsid w:val="003517F9"/>
    <w:rsid w:val="00351883"/>
    <w:rsid w:val="003518AF"/>
    <w:rsid w:val="00351BA9"/>
    <w:rsid w:val="003521E4"/>
    <w:rsid w:val="00352424"/>
    <w:rsid w:val="00352CDE"/>
    <w:rsid w:val="003531E6"/>
    <w:rsid w:val="003540C1"/>
    <w:rsid w:val="003545D9"/>
    <w:rsid w:val="00354F64"/>
    <w:rsid w:val="003554ED"/>
    <w:rsid w:val="003555A9"/>
    <w:rsid w:val="00355EFA"/>
    <w:rsid w:val="003561F8"/>
    <w:rsid w:val="0035620E"/>
    <w:rsid w:val="00356303"/>
    <w:rsid w:val="003563E7"/>
    <w:rsid w:val="0035695A"/>
    <w:rsid w:val="00356C8D"/>
    <w:rsid w:val="00356EAE"/>
    <w:rsid w:val="00356FA5"/>
    <w:rsid w:val="003575BE"/>
    <w:rsid w:val="003577DA"/>
    <w:rsid w:val="00357AAA"/>
    <w:rsid w:val="00357FC9"/>
    <w:rsid w:val="00357FF7"/>
    <w:rsid w:val="00360345"/>
    <w:rsid w:val="003604F0"/>
    <w:rsid w:val="00361112"/>
    <w:rsid w:val="00361815"/>
    <w:rsid w:val="00361A05"/>
    <w:rsid w:val="00362096"/>
    <w:rsid w:val="003624C4"/>
    <w:rsid w:val="00362D37"/>
    <w:rsid w:val="0036371E"/>
    <w:rsid w:val="0036376B"/>
    <w:rsid w:val="00363B00"/>
    <w:rsid w:val="00363C29"/>
    <w:rsid w:val="003645DA"/>
    <w:rsid w:val="00364A1E"/>
    <w:rsid w:val="003654AC"/>
    <w:rsid w:val="003655ED"/>
    <w:rsid w:val="00365AEC"/>
    <w:rsid w:val="00365D32"/>
    <w:rsid w:val="00366C80"/>
    <w:rsid w:val="003710CF"/>
    <w:rsid w:val="00371D7A"/>
    <w:rsid w:val="00372334"/>
    <w:rsid w:val="00372B93"/>
    <w:rsid w:val="00372E9C"/>
    <w:rsid w:val="00373289"/>
    <w:rsid w:val="0037358A"/>
    <w:rsid w:val="00373921"/>
    <w:rsid w:val="00373CDC"/>
    <w:rsid w:val="003740F7"/>
    <w:rsid w:val="00374729"/>
    <w:rsid w:val="00374A38"/>
    <w:rsid w:val="00374AFA"/>
    <w:rsid w:val="003750F6"/>
    <w:rsid w:val="003759AD"/>
    <w:rsid w:val="00375BA4"/>
    <w:rsid w:val="00375F7F"/>
    <w:rsid w:val="003760FC"/>
    <w:rsid w:val="0037638B"/>
    <w:rsid w:val="003765D8"/>
    <w:rsid w:val="003765DF"/>
    <w:rsid w:val="00376A56"/>
    <w:rsid w:val="00376BFE"/>
    <w:rsid w:val="0037775D"/>
    <w:rsid w:val="003806BC"/>
    <w:rsid w:val="003810FC"/>
    <w:rsid w:val="003814B9"/>
    <w:rsid w:val="00381A4B"/>
    <w:rsid w:val="00381C96"/>
    <w:rsid w:val="00382868"/>
    <w:rsid w:val="003829A8"/>
    <w:rsid w:val="00382B28"/>
    <w:rsid w:val="00382D49"/>
    <w:rsid w:val="00382EAF"/>
    <w:rsid w:val="0038365C"/>
    <w:rsid w:val="0038369B"/>
    <w:rsid w:val="00383B78"/>
    <w:rsid w:val="00383DD1"/>
    <w:rsid w:val="003844A9"/>
    <w:rsid w:val="003856EE"/>
    <w:rsid w:val="00385A9D"/>
    <w:rsid w:val="00386028"/>
    <w:rsid w:val="00386231"/>
    <w:rsid w:val="0038647D"/>
    <w:rsid w:val="00386E19"/>
    <w:rsid w:val="00387121"/>
    <w:rsid w:val="00387252"/>
    <w:rsid w:val="00387283"/>
    <w:rsid w:val="0038740F"/>
    <w:rsid w:val="003876E4"/>
    <w:rsid w:val="00387F6D"/>
    <w:rsid w:val="0039003E"/>
    <w:rsid w:val="003902B1"/>
    <w:rsid w:val="00390FFE"/>
    <w:rsid w:val="0039179C"/>
    <w:rsid w:val="00391F1E"/>
    <w:rsid w:val="00392B43"/>
    <w:rsid w:val="003934F6"/>
    <w:rsid w:val="003937D1"/>
    <w:rsid w:val="00393930"/>
    <w:rsid w:val="00393A48"/>
    <w:rsid w:val="00393E1B"/>
    <w:rsid w:val="00393F53"/>
    <w:rsid w:val="00394688"/>
    <w:rsid w:val="00394E0C"/>
    <w:rsid w:val="0039543C"/>
    <w:rsid w:val="003956CF"/>
    <w:rsid w:val="0039588C"/>
    <w:rsid w:val="003962D8"/>
    <w:rsid w:val="00396363"/>
    <w:rsid w:val="003964E3"/>
    <w:rsid w:val="00396896"/>
    <w:rsid w:val="00396B93"/>
    <w:rsid w:val="00396FD0"/>
    <w:rsid w:val="003970FE"/>
    <w:rsid w:val="00397297"/>
    <w:rsid w:val="003974C3"/>
    <w:rsid w:val="003A0D06"/>
    <w:rsid w:val="003A1A7A"/>
    <w:rsid w:val="003A2392"/>
    <w:rsid w:val="003A2831"/>
    <w:rsid w:val="003A2A0F"/>
    <w:rsid w:val="003A3227"/>
    <w:rsid w:val="003A3ACB"/>
    <w:rsid w:val="003A3BD0"/>
    <w:rsid w:val="003A3CB6"/>
    <w:rsid w:val="003A3ED1"/>
    <w:rsid w:val="003A3F80"/>
    <w:rsid w:val="003A44DB"/>
    <w:rsid w:val="003A4682"/>
    <w:rsid w:val="003A4C14"/>
    <w:rsid w:val="003A6639"/>
    <w:rsid w:val="003A6B4B"/>
    <w:rsid w:val="003B09EA"/>
    <w:rsid w:val="003B0CAB"/>
    <w:rsid w:val="003B0CFF"/>
    <w:rsid w:val="003B1CC2"/>
    <w:rsid w:val="003B1DF5"/>
    <w:rsid w:val="003B31C5"/>
    <w:rsid w:val="003B396C"/>
    <w:rsid w:val="003B3971"/>
    <w:rsid w:val="003B3D5E"/>
    <w:rsid w:val="003B49C6"/>
    <w:rsid w:val="003B4B2D"/>
    <w:rsid w:val="003B4D5C"/>
    <w:rsid w:val="003B54FE"/>
    <w:rsid w:val="003B55D1"/>
    <w:rsid w:val="003B5AA6"/>
    <w:rsid w:val="003B5B61"/>
    <w:rsid w:val="003B6AB0"/>
    <w:rsid w:val="003B72B6"/>
    <w:rsid w:val="003B73D7"/>
    <w:rsid w:val="003B7420"/>
    <w:rsid w:val="003B784C"/>
    <w:rsid w:val="003B79AA"/>
    <w:rsid w:val="003B7A4E"/>
    <w:rsid w:val="003C0915"/>
    <w:rsid w:val="003C0D20"/>
    <w:rsid w:val="003C1218"/>
    <w:rsid w:val="003C12AC"/>
    <w:rsid w:val="003C1654"/>
    <w:rsid w:val="003C165A"/>
    <w:rsid w:val="003C198B"/>
    <w:rsid w:val="003C3225"/>
    <w:rsid w:val="003C34C2"/>
    <w:rsid w:val="003C39F9"/>
    <w:rsid w:val="003C483D"/>
    <w:rsid w:val="003C4AEA"/>
    <w:rsid w:val="003C5542"/>
    <w:rsid w:val="003C590D"/>
    <w:rsid w:val="003C5B0F"/>
    <w:rsid w:val="003C6832"/>
    <w:rsid w:val="003C6D41"/>
    <w:rsid w:val="003C784F"/>
    <w:rsid w:val="003C7C15"/>
    <w:rsid w:val="003C7D19"/>
    <w:rsid w:val="003C7D2F"/>
    <w:rsid w:val="003C7D98"/>
    <w:rsid w:val="003D0C5A"/>
    <w:rsid w:val="003D1828"/>
    <w:rsid w:val="003D1DE4"/>
    <w:rsid w:val="003D1E9A"/>
    <w:rsid w:val="003D2256"/>
    <w:rsid w:val="003D2422"/>
    <w:rsid w:val="003D2A90"/>
    <w:rsid w:val="003D36EA"/>
    <w:rsid w:val="003D3702"/>
    <w:rsid w:val="003D39A1"/>
    <w:rsid w:val="003D3A42"/>
    <w:rsid w:val="003D3AEF"/>
    <w:rsid w:val="003D3CC8"/>
    <w:rsid w:val="003D3CF3"/>
    <w:rsid w:val="003D3FBF"/>
    <w:rsid w:val="003D41E6"/>
    <w:rsid w:val="003D4A06"/>
    <w:rsid w:val="003D4A30"/>
    <w:rsid w:val="003D60A1"/>
    <w:rsid w:val="003D6BE5"/>
    <w:rsid w:val="003D6E4B"/>
    <w:rsid w:val="003D7452"/>
    <w:rsid w:val="003D79BB"/>
    <w:rsid w:val="003D7C98"/>
    <w:rsid w:val="003D7D9D"/>
    <w:rsid w:val="003E0504"/>
    <w:rsid w:val="003E0543"/>
    <w:rsid w:val="003E0C29"/>
    <w:rsid w:val="003E0C6A"/>
    <w:rsid w:val="003E11E2"/>
    <w:rsid w:val="003E151C"/>
    <w:rsid w:val="003E2345"/>
    <w:rsid w:val="003E3556"/>
    <w:rsid w:val="003E3609"/>
    <w:rsid w:val="003E38F1"/>
    <w:rsid w:val="003E3909"/>
    <w:rsid w:val="003E3951"/>
    <w:rsid w:val="003E4207"/>
    <w:rsid w:val="003E431A"/>
    <w:rsid w:val="003E469C"/>
    <w:rsid w:val="003E49DB"/>
    <w:rsid w:val="003E4D2F"/>
    <w:rsid w:val="003E509D"/>
    <w:rsid w:val="003E522A"/>
    <w:rsid w:val="003E5603"/>
    <w:rsid w:val="003E5F69"/>
    <w:rsid w:val="003E63A3"/>
    <w:rsid w:val="003E749E"/>
    <w:rsid w:val="003E74BD"/>
    <w:rsid w:val="003E7501"/>
    <w:rsid w:val="003F1368"/>
    <w:rsid w:val="003F1807"/>
    <w:rsid w:val="003F2882"/>
    <w:rsid w:val="003F2A43"/>
    <w:rsid w:val="003F3C65"/>
    <w:rsid w:val="003F4156"/>
    <w:rsid w:val="003F4488"/>
    <w:rsid w:val="003F4716"/>
    <w:rsid w:val="003F560A"/>
    <w:rsid w:val="003F5ADF"/>
    <w:rsid w:val="003F6512"/>
    <w:rsid w:val="003F6D8F"/>
    <w:rsid w:val="003F6E72"/>
    <w:rsid w:val="003F70A3"/>
    <w:rsid w:val="003F7F02"/>
    <w:rsid w:val="00400963"/>
    <w:rsid w:val="00400B29"/>
    <w:rsid w:val="00400DD4"/>
    <w:rsid w:val="00400DF5"/>
    <w:rsid w:val="00401323"/>
    <w:rsid w:val="00401385"/>
    <w:rsid w:val="0040167A"/>
    <w:rsid w:val="004016A0"/>
    <w:rsid w:val="004016B5"/>
    <w:rsid w:val="00401A9F"/>
    <w:rsid w:val="00402422"/>
    <w:rsid w:val="004024A5"/>
    <w:rsid w:val="00402812"/>
    <w:rsid w:val="004046CA"/>
    <w:rsid w:val="00404957"/>
    <w:rsid w:val="00404CA4"/>
    <w:rsid w:val="0040504B"/>
    <w:rsid w:val="004059F4"/>
    <w:rsid w:val="00405C5F"/>
    <w:rsid w:val="004073EE"/>
    <w:rsid w:val="00407B4B"/>
    <w:rsid w:val="00407FE5"/>
    <w:rsid w:val="004101B0"/>
    <w:rsid w:val="00410326"/>
    <w:rsid w:val="00410708"/>
    <w:rsid w:val="004107D7"/>
    <w:rsid w:val="0041099C"/>
    <w:rsid w:val="00410D16"/>
    <w:rsid w:val="00410EC7"/>
    <w:rsid w:val="00410F2E"/>
    <w:rsid w:val="00411411"/>
    <w:rsid w:val="004114AC"/>
    <w:rsid w:val="004114DF"/>
    <w:rsid w:val="00411B39"/>
    <w:rsid w:val="00411CEC"/>
    <w:rsid w:val="004121C9"/>
    <w:rsid w:val="00412413"/>
    <w:rsid w:val="004127A7"/>
    <w:rsid w:val="00412B02"/>
    <w:rsid w:val="00412F65"/>
    <w:rsid w:val="00413234"/>
    <w:rsid w:val="004133A9"/>
    <w:rsid w:val="004133D9"/>
    <w:rsid w:val="004134E1"/>
    <w:rsid w:val="004136A1"/>
    <w:rsid w:val="004136EC"/>
    <w:rsid w:val="00413784"/>
    <w:rsid w:val="0041380F"/>
    <w:rsid w:val="00413A1E"/>
    <w:rsid w:val="00414476"/>
    <w:rsid w:val="00414C2E"/>
    <w:rsid w:val="004151BB"/>
    <w:rsid w:val="004151CF"/>
    <w:rsid w:val="004152BD"/>
    <w:rsid w:val="00415503"/>
    <w:rsid w:val="00416364"/>
    <w:rsid w:val="00416568"/>
    <w:rsid w:val="00416D4C"/>
    <w:rsid w:val="00416FAD"/>
    <w:rsid w:val="00417306"/>
    <w:rsid w:val="00417F64"/>
    <w:rsid w:val="0042047F"/>
    <w:rsid w:val="00420A79"/>
    <w:rsid w:val="00420AA6"/>
    <w:rsid w:val="00420B9F"/>
    <w:rsid w:val="0042192C"/>
    <w:rsid w:val="00422260"/>
    <w:rsid w:val="00422CA3"/>
    <w:rsid w:val="0042326B"/>
    <w:rsid w:val="0042413F"/>
    <w:rsid w:val="0042421E"/>
    <w:rsid w:val="00424D08"/>
    <w:rsid w:val="004263D1"/>
    <w:rsid w:val="00427A2C"/>
    <w:rsid w:val="004301E9"/>
    <w:rsid w:val="00430350"/>
    <w:rsid w:val="00430DDB"/>
    <w:rsid w:val="004319F8"/>
    <w:rsid w:val="00431E55"/>
    <w:rsid w:val="00432069"/>
    <w:rsid w:val="004321F6"/>
    <w:rsid w:val="00432E34"/>
    <w:rsid w:val="00433044"/>
    <w:rsid w:val="004332D9"/>
    <w:rsid w:val="00433B2F"/>
    <w:rsid w:val="00433D10"/>
    <w:rsid w:val="00433D77"/>
    <w:rsid w:val="00433F57"/>
    <w:rsid w:val="00434023"/>
    <w:rsid w:val="00434088"/>
    <w:rsid w:val="0043426F"/>
    <w:rsid w:val="00434B81"/>
    <w:rsid w:val="00434E99"/>
    <w:rsid w:val="00435CAF"/>
    <w:rsid w:val="0043656C"/>
    <w:rsid w:val="00436AB7"/>
    <w:rsid w:val="00436CA2"/>
    <w:rsid w:val="0043709F"/>
    <w:rsid w:val="004375B9"/>
    <w:rsid w:val="00441842"/>
    <w:rsid w:val="00441995"/>
    <w:rsid w:val="00441F85"/>
    <w:rsid w:val="00441F91"/>
    <w:rsid w:val="0044203D"/>
    <w:rsid w:val="0044214E"/>
    <w:rsid w:val="004427C8"/>
    <w:rsid w:val="004427CC"/>
    <w:rsid w:val="004428D0"/>
    <w:rsid w:val="00442D93"/>
    <w:rsid w:val="004438A0"/>
    <w:rsid w:val="00444185"/>
    <w:rsid w:val="004443A7"/>
    <w:rsid w:val="0044442C"/>
    <w:rsid w:val="0044579A"/>
    <w:rsid w:val="00445941"/>
    <w:rsid w:val="004460B7"/>
    <w:rsid w:val="00446413"/>
    <w:rsid w:val="004464EB"/>
    <w:rsid w:val="00446C01"/>
    <w:rsid w:val="004478A3"/>
    <w:rsid w:val="00447BBE"/>
    <w:rsid w:val="00447D26"/>
    <w:rsid w:val="00447DFC"/>
    <w:rsid w:val="004500F4"/>
    <w:rsid w:val="004509BC"/>
    <w:rsid w:val="00450C95"/>
    <w:rsid w:val="00450D7E"/>
    <w:rsid w:val="00450EB3"/>
    <w:rsid w:val="00451147"/>
    <w:rsid w:val="004516F3"/>
    <w:rsid w:val="00452116"/>
    <w:rsid w:val="004525F7"/>
    <w:rsid w:val="00452BCB"/>
    <w:rsid w:val="00453C31"/>
    <w:rsid w:val="00453E70"/>
    <w:rsid w:val="00453F60"/>
    <w:rsid w:val="004543CD"/>
    <w:rsid w:val="004545F6"/>
    <w:rsid w:val="0045484D"/>
    <w:rsid w:val="0045490A"/>
    <w:rsid w:val="00455099"/>
    <w:rsid w:val="004551A5"/>
    <w:rsid w:val="00455D45"/>
    <w:rsid w:val="00455E15"/>
    <w:rsid w:val="00456929"/>
    <w:rsid w:val="00456DA2"/>
    <w:rsid w:val="004571AB"/>
    <w:rsid w:val="004572CB"/>
    <w:rsid w:val="00457E22"/>
    <w:rsid w:val="00460327"/>
    <w:rsid w:val="00460755"/>
    <w:rsid w:val="004607AD"/>
    <w:rsid w:val="00461B74"/>
    <w:rsid w:val="00461E2E"/>
    <w:rsid w:val="00462E1D"/>
    <w:rsid w:val="0046430D"/>
    <w:rsid w:val="004644D6"/>
    <w:rsid w:val="00464595"/>
    <w:rsid w:val="004658B5"/>
    <w:rsid w:val="00465AFA"/>
    <w:rsid w:val="00466C6D"/>
    <w:rsid w:val="00466D3A"/>
    <w:rsid w:val="00467991"/>
    <w:rsid w:val="0047002E"/>
    <w:rsid w:val="0047056A"/>
    <w:rsid w:val="00470C1E"/>
    <w:rsid w:val="00471EA5"/>
    <w:rsid w:val="00471F78"/>
    <w:rsid w:val="00471FB4"/>
    <w:rsid w:val="00472A79"/>
    <w:rsid w:val="00472D23"/>
    <w:rsid w:val="0047304C"/>
    <w:rsid w:val="00473789"/>
    <w:rsid w:val="004737BF"/>
    <w:rsid w:val="00473B71"/>
    <w:rsid w:val="00473F19"/>
    <w:rsid w:val="00474238"/>
    <w:rsid w:val="0047457C"/>
    <w:rsid w:val="00475047"/>
    <w:rsid w:val="004750ED"/>
    <w:rsid w:val="00475903"/>
    <w:rsid w:val="00475E22"/>
    <w:rsid w:val="00476314"/>
    <w:rsid w:val="004776AC"/>
    <w:rsid w:val="004776B7"/>
    <w:rsid w:val="00480643"/>
    <w:rsid w:val="0048088E"/>
    <w:rsid w:val="00480F2B"/>
    <w:rsid w:val="00481CAA"/>
    <w:rsid w:val="00482194"/>
    <w:rsid w:val="0048223E"/>
    <w:rsid w:val="00482720"/>
    <w:rsid w:val="0048289D"/>
    <w:rsid w:val="00482BC6"/>
    <w:rsid w:val="00482D3D"/>
    <w:rsid w:val="00483263"/>
    <w:rsid w:val="004835E7"/>
    <w:rsid w:val="00484976"/>
    <w:rsid w:val="004859E1"/>
    <w:rsid w:val="00486183"/>
    <w:rsid w:val="00486373"/>
    <w:rsid w:val="004863FD"/>
    <w:rsid w:val="00486790"/>
    <w:rsid w:val="004867E2"/>
    <w:rsid w:val="00487079"/>
    <w:rsid w:val="00487309"/>
    <w:rsid w:val="00490023"/>
    <w:rsid w:val="00490B17"/>
    <w:rsid w:val="00490DF3"/>
    <w:rsid w:val="00491B3A"/>
    <w:rsid w:val="00491CD2"/>
    <w:rsid w:val="00491D25"/>
    <w:rsid w:val="0049276C"/>
    <w:rsid w:val="0049284B"/>
    <w:rsid w:val="00492A8B"/>
    <w:rsid w:val="00492B77"/>
    <w:rsid w:val="00492CFD"/>
    <w:rsid w:val="00492D6E"/>
    <w:rsid w:val="00493629"/>
    <w:rsid w:val="00493A68"/>
    <w:rsid w:val="00494207"/>
    <w:rsid w:val="00494258"/>
    <w:rsid w:val="00494DD5"/>
    <w:rsid w:val="004951BB"/>
    <w:rsid w:val="00495649"/>
    <w:rsid w:val="00495EB6"/>
    <w:rsid w:val="004962D2"/>
    <w:rsid w:val="0049647D"/>
    <w:rsid w:val="0049658A"/>
    <w:rsid w:val="00496A38"/>
    <w:rsid w:val="00497831"/>
    <w:rsid w:val="00497971"/>
    <w:rsid w:val="00497A73"/>
    <w:rsid w:val="004A058E"/>
    <w:rsid w:val="004A0602"/>
    <w:rsid w:val="004A0DA1"/>
    <w:rsid w:val="004A13D6"/>
    <w:rsid w:val="004A208C"/>
    <w:rsid w:val="004A306A"/>
    <w:rsid w:val="004A3AB7"/>
    <w:rsid w:val="004A427B"/>
    <w:rsid w:val="004A52E9"/>
    <w:rsid w:val="004A5969"/>
    <w:rsid w:val="004A59BF"/>
    <w:rsid w:val="004A5F4C"/>
    <w:rsid w:val="004A6040"/>
    <w:rsid w:val="004A6597"/>
    <w:rsid w:val="004A671E"/>
    <w:rsid w:val="004A6BEB"/>
    <w:rsid w:val="004A6F9C"/>
    <w:rsid w:val="004A74E7"/>
    <w:rsid w:val="004A75C8"/>
    <w:rsid w:val="004A77E1"/>
    <w:rsid w:val="004A7848"/>
    <w:rsid w:val="004A793B"/>
    <w:rsid w:val="004B0317"/>
    <w:rsid w:val="004B187B"/>
    <w:rsid w:val="004B1CB4"/>
    <w:rsid w:val="004B281B"/>
    <w:rsid w:val="004B2C37"/>
    <w:rsid w:val="004B2F18"/>
    <w:rsid w:val="004B2FCF"/>
    <w:rsid w:val="004B2FE1"/>
    <w:rsid w:val="004B362C"/>
    <w:rsid w:val="004B3DDB"/>
    <w:rsid w:val="004B44FD"/>
    <w:rsid w:val="004B5577"/>
    <w:rsid w:val="004B5CFC"/>
    <w:rsid w:val="004B62B4"/>
    <w:rsid w:val="004B6326"/>
    <w:rsid w:val="004B660A"/>
    <w:rsid w:val="004B6C40"/>
    <w:rsid w:val="004B6F79"/>
    <w:rsid w:val="004B7306"/>
    <w:rsid w:val="004B774D"/>
    <w:rsid w:val="004C0135"/>
    <w:rsid w:val="004C1099"/>
    <w:rsid w:val="004C10D8"/>
    <w:rsid w:val="004C155D"/>
    <w:rsid w:val="004C1C8E"/>
    <w:rsid w:val="004C2266"/>
    <w:rsid w:val="004C2AC2"/>
    <w:rsid w:val="004C2DBD"/>
    <w:rsid w:val="004C3167"/>
    <w:rsid w:val="004C3425"/>
    <w:rsid w:val="004C3778"/>
    <w:rsid w:val="004C3829"/>
    <w:rsid w:val="004C3A38"/>
    <w:rsid w:val="004C4AED"/>
    <w:rsid w:val="004C4C12"/>
    <w:rsid w:val="004C6225"/>
    <w:rsid w:val="004C6C42"/>
    <w:rsid w:val="004C6C69"/>
    <w:rsid w:val="004C74F0"/>
    <w:rsid w:val="004C799C"/>
    <w:rsid w:val="004D044F"/>
    <w:rsid w:val="004D0BC6"/>
    <w:rsid w:val="004D1709"/>
    <w:rsid w:val="004D1E61"/>
    <w:rsid w:val="004D2035"/>
    <w:rsid w:val="004D20B4"/>
    <w:rsid w:val="004D2583"/>
    <w:rsid w:val="004D267C"/>
    <w:rsid w:val="004D269D"/>
    <w:rsid w:val="004D2AC7"/>
    <w:rsid w:val="004D2C2D"/>
    <w:rsid w:val="004D2CA9"/>
    <w:rsid w:val="004D31A3"/>
    <w:rsid w:val="004D3779"/>
    <w:rsid w:val="004D45BB"/>
    <w:rsid w:val="004D45C7"/>
    <w:rsid w:val="004D46DD"/>
    <w:rsid w:val="004D4707"/>
    <w:rsid w:val="004D5646"/>
    <w:rsid w:val="004D579B"/>
    <w:rsid w:val="004D57EA"/>
    <w:rsid w:val="004D5AE7"/>
    <w:rsid w:val="004D5FC3"/>
    <w:rsid w:val="004D69B5"/>
    <w:rsid w:val="004D6AE4"/>
    <w:rsid w:val="004D6BE4"/>
    <w:rsid w:val="004D7227"/>
    <w:rsid w:val="004D7B5E"/>
    <w:rsid w:val="004E0E7F"/>
    <w:rsid w:val="004E0EB8"/>
    <w:rsid w:val="004E153C"/>
    <w:rsid w:val="004E18E8"/>
    <w:rsid w:val="004E18E9"/>
    <w:rsid w:val="004E1A51"/>
    <w:rsid w:val="004E2586"/>
    <w:rsid w:val="004E274D"/>
    <w:rsid w:val="004E27D3"/>
    <w:rsid w:val="004E2A11"/>
    <w:rsid w:val="004E2ADC"/>
    <w:rsid w:val="004E2F2D"/>
    <w:rsid w:val="004E43B2"/>
    <w:rsid w:val="004E4BE5"/>
    <w:rsid w:val="004E5415"/>
    <w:rsid w:val="004E5763"/>
    <w:rsid w:val="004E5901"/>
    <w:rsid w:val="004E67F7"/>
    <w:rsid w:val="004E6C58"/>
    <w:rsid w:val="004E6D08"/>
    <w:rsid w:val="004E7A29"/>
    <w:rsid w:val="004F01AF"/>
    <w:rsid w:val="004F0389"/>
    <w:rsid w:val="004F0511"/>
    <w:rsid w:val="004F0F2D"/>
    <w:rsid w:val="004F1157"/>
    <w:rsid w:val="004F1289"/>
    <w:rsid w:val="004F147E"/>
    <w:rsid w:val="004F1515"/>
    <w:rsid w:val="004F1BA1"/>
    <w:rsid w:val="004F1D02"/>
    <w:rsid w:val="004F1F3C"/>
    <w:rsid w:val="004F2679"/>
    <w:rsid w:val="004F2F21"/>
    <w:rsid w:val="004F36DB"/>
    <w:rsid w:val="004F3DE5"/>
    <w:rsid w:val="004F3EAB"/>
    <w:rsid w:val="004F45AD"/>
    <w:rsid w:val="004F4B5F"/>
    <w:rsid w:val="004F4DA2"/>
    <w:rsid w:val="004F51E3"/>
    <w:rsid w:val="004F6621"/>
    <w:rsid w:val="004F6913"/>
    <w:rsid w:val="004F7043"/>
    <w:rsid w:val="004F7865"/>
    <w:rsid w:val="005002C9"/>
    <w:rsid w:val="0050047C"/>
    <w:rsid w:val="00500EDE"/>
    <w:rsid w:val="0050174E"/>
    <w:rsid w:val="00501854"/>
    <w:rsid w:val="00501BFF"/>
    <w:rsid w:val="00501FA4"/>
    <w:rsid w:val="0050219B"/>
    <w:rsid w:val="005024F7"/>
    <w:rsid w:val="00502D41"/>
    <w:rsid w:val="00502EA1"/>
    <w:rsid w:val="0050305B"/>
    <w:rsid w:val="00503973"/>
    <w:rsid w:val="00503F17"/>
    <w:rsid w:val="00503F3A"/>
    <w:rsid w:val="005041F1"/>
    <w:rsid w:val="00504314"/>
    <w:rsid w:val="00504F42"/>
    <w:rsid w:val="0050557B"/>
    <w:rsid w:val="00506928"/>
    <w:rsid w:val="00506A36"/>
    <w:rsid w:val="005077EF"/>
    <w:rsid w:val="00507A38"/>
    <w:rsid w:val="00507D36"/>
    <w:rsid w:val="005100E8"/>
    <w:rsid w:val="0051053E"/>
    <w:rsid w:val="00510830"/>
    <w:rsid w:val="005109FE"/>
    <w:rsid w:val="0051180F"/>
    <w:rsid w:val="00511A40"/>
    <w:rsid w:val="00511AD5"/>
    <w:rsid w:val="00511DC7"/>
    <w:rsid w:val="00512330"/>
    <w:rsid w:val="005123B4"/>
    <w:rsid w:val="005123DD"/>
    <w:rsid w:val="00512455"/>
    <w:rsid w:val="005125E3"/>
    <w:rsid w:val="00512AAD"/>
    <w:rsid w:val="00513193"/>
    <w:rsid w:val="005133DB"/>
    <w:rsid w:val="0051378B"/>
    <w:rsid w:val="005138C6"/>
    <w:rsid w:val="00513FEC"/>
    <w:rsid w:val="005142C5"/>
    <w:rsid w:val="00514B3C"/>
    <w:rsid w:val="00514D97"/>
    <w:rsid w:val="0051501B"/>
    <w:rsid w:val="005152B5"/>
    <w:rsid w:val="0051569C"/>
    <w:rsid w:val="00515886"/>
    <w:rsid w:val="005159D7"/>
    <w:rsid w:val="0051762C"/>
    <w:rsid w:val="00520837"/>
    <w:rsid w:val="0052123C"/>
    <w:rsid w:val="00521319"/>
    <w:rsid w:val="0052159C"/>
    <w:rsid w:val="00521B8E"/>
    <w:rsid w:val="00521F76"/>
    <w:rsid w:val="00522BC8"/>
    <w:rsid w:val="00522D84"/>
    <w:rsid w:val="00523C28"/>
    <w:rsid w:val="00523CA7"/>
    <w:rsid w:val="00523F1C"/>
    <w:rsid w:val="005248B0"/>
    <w:rsid w:val="00524980"/>
    <w:rsid w:val="00524E6F"/>
    <w:rsid w:val="005256E0"/>
    <w:rsid w:val="00525C67"/>
    <w:rsid w:val="00525D43"/>
    <w:rsid w:val="00525EBC"/>
    <w:rsid w:val="0052654D"/>
    <w:rsid w:val="0052757F"/>
    <w:rsid w:val="00530200"/>
    <w:rsid w:val="0053099C"/>
    <w:rsid w:val="00530D5E"/>
    <w:rsid w:val="00531345"/>
    <w:rsid w:val="0053150F"/>
    <w:rsid w:val="0053172B"/>
    <w:rsid w:val="0053176B"/>
    <w:rsid w:val="0053220E"/>
    <w:rsid w:val="005328DD"/>
    <w:rsid w:val="00532D5E"/>
    <w:rsid w:val="005333A6"/>
    <w:rsid w:val="005341B3"/>
    <w:rsid w:val="00534750"/>
    <w:rsid w:val="00536F42"/>
    <w:rsid w:val="00537182"/>
    <w:rsid w:val="005374AF"/>
    <w:rsid w:val="00540500"/>
    <w:rsid w:val="00540BBA"/>
    <w:rsid w:val="0054140B"/>
    <w:rsid w:val="0054196D"/>
    <w:rsid w:val="00541CA9"/>
    <w:rsid w:val="00541E2B"/>
    <w:rsid w:val="00541EDD"/>
    <w:rsid w:val="0054272D"/>
    <w:rsid w:val="00542743"/>
    <w:rsid w:val="00542ADE"/>
    <w:rsid w:val="00542C2D"/>
    <w:rsid w:val="00543861"/>
    <w:rsid w:val="00543D84"/>
    <w:rsid w:val="00544DAE"/>
    <w:rsid w:val="0054559F"/>
    <w:rsid w:val="005459B9"/>
    <w:rsid w:val="00546098"/>
    <w:rsid w:val="005478BD"/>
    <w:rsid w:val="005479E3"/>
    <w:rsid w:val="00550391"/>
    <w:rsid w:val="00550A65"/>
    <w:rsid w:val="00551267"/>
    <w:rsid w:val="00551571"/>
    <w:rsid w:val="00551985"/>
    <w:rsid w:val="005527ED"/>
    <w:rsid w:val="00552955"/>
    <w:rsid w:val="00552AD3"/>
    <w:rsid w:val="00552BD3"/>
    <w:rsid w:val="00552CA9"/>
    <w:rsid w:val="00552F07"/>
    <w:rsid w:val="00553064"/>
    <w:rsid w:val="005532A0"/>
    <w:rsid w:val="00553E79"/>
    <w:rsid w:val="00553EB8"/>
    <w:rsid w:val="00553F58"/>
    <w:rsid w:val="0055403B"/>
    <w:rsid w:val="0055426F"/>
    <w:rsid w:val="00554ADF"/>
    <w:rsid w:val="00554ED1"/>
    <w:rsid w:val="00554FA7"/>
    <w:rsid w:val="00555109"/>
    <w:rsid w:val="005552CE"/>
    <w:rsid w:val="00555A49"/>
    <w:rsid w:val="005566C1"/>
    <w:rsid w:val="00556B35"/>
    <w:rsid w:val="00556E38"/>
    <w:rsid w:val="005570F4"/>
    <w:rsid w:val="005571F1"/>
    <w:rsid w:val="0055741A"/>
    <w:rsid w:val="0055780B"/>
    <w:rsid w:val="00557FC8"/>
    <w:rsid w:val="00560235"/>
    <w:rsid w:val="00560979"/>
    <w:rsid w:val="00560F59"/>
    <w:rsid w:val="005611B7"/>
    <w:rsid w:val="00561426"/>
    <w:rsid w:val="00561625"/>
    <w:rsid w:val="005618D4"/>
    <w:rsid w:val="00561B7F"/>
    <w:rsid w:val="00561C05"/>
    <w:rsid w:val="00561EA0"/>
    <w:rsid w:val="00562392"/>
    <w:rsid w:val="0056393F"/>
    <w:rsid w:val="00563999"/>
    <w:rsid w:val="005645D7"/>
    <w:rsid w:val="00564615"/>
    <w:rsid w:val="00564867"/>
    <w:rsid w:val="00565C79"/>
    <w:rsid w:val="00565DF0"/>
    <w:rsid w:val="00566274"/>
    <w:rsid w:val="0056670D"/>
    <w:rsid w:val="0056696F"/>
    <w:rsid w:val="00567647"/>
    <w:rsid w:val="00567710"/>
    <w:rsid w:val="005705A5"/>
    <w:rsid w:val="00570A00"/>
    <w:rsid w:val="00570D72"/>
    <w:rsid w:val="00570E32"/>
    <w:rsid w:val="00571327"/>
    <w:rsid w:val="00571AE3"/>
    <w:rsid w:val="00572125"/>
    <w:rsid w:val="00572269"/>
    <w:rsid w:val="005722CA"/>
    <w:rsid w:val="0057244A"/>
    <w:rsid w:val="0057267E"/>
    <w:rsid w:val="00572F26"/>
    <w:rsid w:val="005738E5"/>
    <w:rsid w:val="00573E94"/>
    <w:rsid w:val="005750C5"/>
    <w:rsid w:val="005752DE"/>
    <w:rsid w:val="005753AF"/>
    <w:rsid w:val="00575D60"/>
    <w:rsid w:val="00575D8D"/>
    <w:rsid w:val="00576972"/>
    <w:rsid w:val="00577029"/>
    <w:rsid w:val="00577248"/>
    <w:rsid w:val="00577442"/>
    <w:rsid w:val="00577594"/>
    <w:rsid w:val="005776E8"/>
    <w:rsid w:val="0057770D"/>
    <w:rsid w:val="00581197"/>
    <w:rsid w:val="005811E1"/>
    <w:rsid w:val="0058127A"/>
    <w:rsid w:val="00582669"/>
    <w:rsid w:val="00582BB3"/>
    <w:rsid w:val="00583699"/>
    <w:rsid w:val="00584448"/>
    <w:rsid w:val="00584A94"/>
    <w:rsid w:val="00584D3A"/>
    <w:rsid w:val="00584E28"/>
    <w:rsid w:val="0058555D"/>
    <w:rsid w:val="00585750"/>
    <w:rsid w:val="0058586C"/>
    <w:rsid w:val="00585B24"/>
    <w:rsid w:val="00585CDD"/>
    <w:rsid w:val="00586135"/>
    <w:rsid w:val="0058645E"/>
    <w:rsid w:val="00586AA3"/>
    <w:rsid w:val="00587058"/>
    <w:rsid w:val="005870CF"/>
    <w:rsid w:val="00587447"/>
    <w:rsid w:val="0059038D"/>
    <w:rsid w:val="00590452"/>
    <w:rsid w:val="00590695"/>
    <w:rsid w:val="005907A4"/>
    <w:rsid w:val="005909E0"/>
    <w:rsid w:val="00590D7E"/>
    <w:rsid w:val="00591957"/>
    <w:rsid w:val="00591EDD"/>
    <w:rsid w:val="00592604"/>
    <w:rsid w:val="00592839"/>
    <w:rsid w:val="00592A87"/>
    <w:rsid w:val="00592E14"/>
    <w:rsid w:val="00592E7A"/>
    <w:rsid w:val="00592F23"/>
    <w:rsid w:val="005940A7"/>
    <w:rsid w:val="00594289"/>
    <w:rsid w:val="00594589"/>
    <w:rsid w:val="005946D5"/>
    <w:rsid w:val="00595451"/>
    <w:rsid w:val="00595A87"/>
    <w:rsid w:val="0059652C"/>
    <w:rsid w:val="005965A8"/>
    <w:rsid w:val="00596897"/>
    <w:rsid w:val="00596C1D"/>
    <w:rsid w:val="0059746E"/>
    <w:rsid w:val="00597647"/>
    <w:rsid w:val="00597BF9"/>
    <w:rsid w:val="00597C79"/>
    <w:rsid w:val="005A0003"/>
    <w:rsid w:val="005A0785"/>
    <w:rsid w:val="005A0AFB"/>
    <w:rsid w:val="005A0C11"/>
    <w:rsid w:val="005A15EB"/>
    <w:rsid w:val="005A1F85"/>
    <w:rsid w:val="005A1FFD"/>
    <w:rsid w:val="005A27CE"/>
    <w:rsid w:val="005A2A96"/>
    <w:rsid w:val="005A2DD5"/>
    <w:rsid w:val="005A2E65"/>
    <w:rsid w:val="005A309A"/>
    <w:rsid w:val="005A33A5"/>
    <w:rsid w:val="005A373D"/>
    <w:rsid w:val="005A3D3E"/>
    <w:rsid w:val="005A40FB"/>
    <w:rsid w:val="005A4CCB"/>
    <w:rsid w:val="005A4FF0"/>
    <w:rsid w:val="005A58B0"/>
    <w:rsid w:val="005A5DE7"/>
    <w:rsid w:val="005A5FAC"/>
    <w:rsid w:val="005A65E4"/>
    <w:rsid w:val="005A7BAB"/>
    <w:rsid w:val="005A7F84"/>
    <w:rsid w:val="005A7FF1"/>
    <w:rsid w:val="005B07CD"/>
    <w:rsid w:val="005B0B58"/>
    <w:rsid w:val="005B1172"/>
    <w:rsid w:val="005B1A7A"/>
    <w:rsid w:val="005B1C93"/>
    <w:rsid w:val="005B2318"/>
    <w:rsid w:val="005B24D0"/>
    <w:rsid w:val="005B276E"/>
    <w:rsid w:val="005B3323"/>
    <w:rsid w:val="005B3CA7"/>
    <w:rsid w:val="005B461D"/>
    <w:rsid w:val="005B4E53"/>
    <w:rsid w:val="005B5742"/>
    <w:rsid w:val="005B5857"/>
    <w:rsid w:val="005B60EF"/>
    <w:rsid w:val="005B652B"/>
    <w:rsid w:val="005B6B55"/>
    <w:rsid w:val="005B6BA0"/>
    <w:rsid w:val="005B7A51"/>
    <w:rsid w:val="005B7B6F"/>
    <w:rsid w:val="005C04E2"/>
    <w:rsid w:val="005C0A1F"/>
    <w:rsid w:val="005C163C"/>
    <w:rsid w:val="005C19C4"/>
    <w:rsid w:val="005C1B83"/>
    <w:rsid w:val="005C20A3"/>
    <w:rsid w:val="005C25FF"/>
    <w:rsid w:val="005C2D55"/>
    <w:rsid w:val="005C2DCE"/>
    <w:rsid w:val="005C302C"/>
    <w:rsid w:val="005C3197"/>
    <w:rsid w:val="005C328B"/>
    <w:rsid w:val="005C342D"/>
    <w:rsid w:val="005C346B"/>
    <w:rsid w:val="005C3CDE"/>
    <w:rsid w:val="005C400F"/>
    <w:rsid w:val="005C40C6"/>
    <w:rsid w:val="005C45C4"/>
    <w:rsid w:val="005C5699"/>
    <w:rsid w:val="005C5930"/>
    <w:rsid w:val="005C5ABC"/>
    <w:rsid w:val="005C70FB"/>
    <w:rsid w:val="005C7AB1"/>
    <w:rsid w:val="005C7BA3"/>
    <w:rsid w:val="005C7E30"/>
    <w:rsid w:val="005D044D"/>
    <w:rsid w:val="005D0ABD"/>
    <w:rsid w:val="005D18AD"/>
    <w:rsid w:val="005D1EFA"/>
    <w:rsid w:val="005D26B4"/>
    <w:rsid w:val="005D296C"/>
    <w:rsid w:val="005D2A9C"/>
    <w:rsid w:val="005D2AEE"/>
    <w:rsid w:val="005D4178"/>
    <w:rsid w:val="005D5CC7"/>
    <w:rsid w:val="005D5E3A"/>
    <w:rsid w:val="005D6172"/>
    <w:rsid w:val="005D6993"/>
    <w:rsid w:val="005D6E23"/>
    <w:rsid w:val="005D6E92"/>
    <w:rsid w:val="005D7B26"/>
    <w:rsid w:val="005E060C"/>
    <w:rsid w:val="005E1270"/>
    <w:rsid w:val="005E136D"/>
    <w:rsid w:val="005E1995"/>
    <w:rsid w:val="005E34EA"/>
    <w:rsid w:val="005E3667"/>
    <w:rsid w:val="005E4365"/>
    <w:rsid w:val="005E4FF9"/>
    <w:rsid w:val="005E52C1"/>
    <w:rsid w:val="005E6CBC"/>
    <w:rsid w:val="005E728E"/>
    <w:rsid w:val="005E72FF"/>
    <w:rsid w:val="005E73C0"/>
    <w:rsid w:val="005E73EF"/>
    <w:rsid w:val="005E75C1"/>
    <w:rsid w:val="005F07ED"/>
    <w:rsid w:val="005F0EE4"/>
    <w:rsid w:val="005F18A5"/>
    <w:rsid w:val="005F19D3"/>
    <w:rsid w:val="005F1E8F"/>
    <w:rsid w:val="005F1F6E"/>
    <w:rsid w:val="005F21A1"/>
    <w:rsid w:val="005F243E"/>
    <w:rsid w:val="005F2706"/>
    <w:rsid w:val="005F32F0"/>
    <w:rsid w:val="005F3607"/>
    <w:rsid w:val="005F4517"/>
    <w:rsid w:val="005F4AD6"/>
    <w:rsid w:val="005F4F35"/>
    <w:rsid w:val="005F6A8F"/>
    <w:rsid w:val="005F6BB7"/>
    <w:rsid w:val="005F7588"/>
    <w:rsid w:val="005F7BB5"/>
    <w:rsid w:val="00600851"/>
    <w:rsid w:val="00601036"/>
    <w:rsid w:val="0060176B"/>
    <w:rsid w:val="00602B19"/>
    <w:rsid w:val="00602E99"/>
    <w:rsid w:val="0060310F"/>
    <w:rsid w:val="00603B22"/>
    <w:rsid w:val="00603DB9"/>
    <w:rsid w:val="00604328"/>
    <w:rsid w:val="00604A7E"/>
    <w:rsid w:val="00604E8D"/>
    <w:rsid w:val="006051A7"/>
    <w:rsid w:val="0060521A"/>
    <w:rsid w:val="00605A18"/>
    <w:rsid w:val="00605EF1"/>
    <w:rsid w:val="0060688F"/>
    <w:rsid w:val="00606C8C"/>
    <w:rsid w:val="00606D45"/>
    <w:rsid w:val="00606FBA"/>
    <w:rsid w:val="00607669"/>
    <w:rsid w:val="006076F4"/>
    <w:rsid w:val="00607AFD"/>
    <w:rsid w:val="006106A7"/>
    <w:rsid w:val="00610972"/>
    <w:rsid w:val="00610E01"/>
    <w:rsid w:val="0061129D"/>
    <w:rsid w:val="00611B12"/>
    <w:rsid w:val="00612001"/>
    <w:rsid w:val="006120F3"/>
    <w:rsid w:val="006123FB"/>
    <w:rsid w:val="0061298E"/>
    <w:rsid w:val="00612E84"/>
    <w:rsid w:val="00612F97"/>
    <w:rsid w:val="0061345D"/>
    <w:rsid w:val="006135CA"/>
    <w:rsid w:val="0061382E"/>
    <w:rsid w:val="00613C6D"/>
    <w:rsid w:val="00614645"/>
    <w:rsid w:val="00614C28"/>
    <w:rsid w:val="0061549B"/>
    <w:rsid w:val="006158BE"/>
    <w:rsid w:val="006158E0"/>
    <w:rsid w:val="00615B0D"/>
    <w:rsid w:val="00615B9D"/>
    <w:rsid w:val="00616802"/>
    <w:rsid w:val="0061788C"/>
    <w:rsid w:val="00617E12"/>
    <w:rsid w:val="00620319"/>
    <w:rsid w:val="006207C1"/>
    <w:rsid w:val="00620C25"/>
    <w:rsid w:val="006211E4"/>
    <w:rsid w:val="00621477"/>
    <w:rsid w:val="00621630"/>
    <w:rsid w:val="00621ADA"/>
    <w:rsid w:val="00621D71"/>
    <w:rsid w:val="00621EE9"/>
    <w:rsid w:val="00622735"/>
    <w:rsid w:val="006231AB"/>
    <w:rsid w:val="006231CE"/>
    <w:rsid w:val="00623585"/>
    <w:rsid w:val="00623F7B"/>
    <w:rsid w:val="0062464A"/>
    <w:rsid w:val="00624A5E"/>
    <w:rsid w:val="00624BD4"/>
    <w:rsid w:val="00624F42"/>
    <w:rsid w:val="006254F4"/>
    <w:rsid w:val="006257EA"/>
    <w:rsid w:val="00625EE1"/>
    <w:rsid w:val="00626621"/>
    <w:rsid w:val="006269F9"/>
    <w:rsid w:val="00626FF0"/>
    <w:rsid w:val="0062791F"/>
    <w:rsid w:val="00627A93"/>
    <w:rsid w:val="00627CFC"/>
    <w:rsid w:val="00630C2B"/>
    <w:rsid w:val="0063115D"/>
    <w:rsid w:val="0063158F"/>
    <w:rsid w:val="0063182D"/>
    <w:rsid w:val="00631D6B"/>
    <w:rsid w:val="00631D75"/>
    <w:rsid w:val="00632183"/>
    <w:rsid w:val="00632702"/>
    <w:rsid w:val="0063271E"/>
    <w:rsid w:val="00632FBC"/>
    <w:rsid w:val="006330A1"/>
    <w:rsid w:val="00633229"/>
    <w:rsid w:val="00633922"/>
    <w:rsid w:val="00634418"/>
    <w:rsid w:val="0063479F"/>
    <w:rsid w:val="006353F0"/>
    <w:rsid w:val="006357B5"/>
    <w:rsid w:val="006364A1"/>
    <w:rsid w:val="006366D2"/>
    <w:rsid w:val="0063678E"/>
    <w:rsid w:val="006368BB"/>
    <w:rsid w:val="0063719D"/>
    <w:rsid w:val="00637A43"/>
    <w:rsid w:val="00637BFD"/>
    <w:rsid w:val="00637C1A"/>
    <w:rsid w:val="00637C5C"/>
    <w:rsid w:val="0064117C"/>
    <w:rsid w:val="00641A23"/>
    <w:rsid w:val="00641C4E"/>
    <w:rsid w:val="00641F0C"/>
    <w:rsid w:val="00641FB3"/>
    <w:rsid w:val="006423DF"/>
    <w:rsid w:val="00642429"/>
    <w:rsid w:val="006424C9"/>
    <w:rsid w:val="00642B30"/>
    <w:rsid w:val="00642FF6"/>
    <w:rsid w:val="0064311B"/>
    <w:rsid w:val="006432B3"/>
    <w:rsid w:val="00643E75"/>
    <w:rsid w:val="006441EB"/>
    <w:rsid w:val="0064434C"/>
    <w:rsid w:val="00644858"/>
    <w:rsid w:val="00644879"/>
    <w:rsid w:val="00644C54"/>
    <w:rsid w:val="00644DA5"/>
    <w:rsid w:val="00645654"/>
    <w:rsid w:val="006458F8"/>
    <w:rsid w:val="00645957"/>
    <w:rsid w:val="00645C1E"/>
    <w:rsid w:val="00646618"/>
    <w:rsid w:val="006471CC"/>
    <w:rsid w:val="006472FE"/>
    <w:rsid w:val="00647A29"/>
    <w:rsid w:val="006502C0"/>
    <w:rsid w:val="0065079F"/>
    <w:rsid w:val="006508AA"/>
    <w:rsid w:val="0065108A"/>
    <w:rsid w:val="0065114A"/>
    <w:rsid w:val="00652A28"/>
    <w:rsid w:val="0065379F"/>
    <w:rsid w:val="00653DFD"/>
    <w:rsid w:val="00654170"/>
    <w:rsid w:val="0065468C"/>
    <w:rsid w:val="0065470B"/>
    <w:rsid w:val="00654C68"/>
    <w:rsid w:val="00654ED7"/>
    <w:rsid w:val="00655181"/>
    <w:rsid w:val="006551E9"/>
    <w:rsid w:val="006552B3"/>
    <w:rsid w:val="00656188"/>
    <w:rsid w:val="006567F6"/>
    <w:rsid w:val="00656E88"/>
    <w:rsid w:val="006570C0"/>
    <w:rsid w:val="0065715A"/>
    <w:rsid w:val="00657553"/>
    <w:rsid w:val="0066036F"/>
    <w:rsid w:val="00660A82"/>
    <w:rsid w:val="00660F6F"/>
    <w:rsid w:val="006610F1"/>
    <w:rsid w:val="00661C6B"/>
    <w:rsid w:val="006623E7"/>
    <w:rsid w:val="006627E6"/>
    <w:rsid w:val="00662CF3"/>
    <w:rsid w:val="00662D31"/>
    <w:rsid w:val="00662D3E"/>
    <w:rsid w:val="00662E73"/>
    <w:rsid w:val="00663AEA"/>
    <w:rsid w:val="00663D1A"/>
    <w:rsid w:val="00664782"/>
    <w:rsid w:val="006649C3"/>
    <w:rsid w:val="00664C1E"/>
    <w:rsid w:val="0066514E"/>
    <w:rsid w:val="00666599"/>
    <w:rsid w:val="00666C52"/>
    <w:rsid w:val="00667633"/>
    <w:rsid w:val="0066794D"/>
    <w:rsid w:val="00667BE3"/>
    <w:rsid w:val="00670A20"/>
    <w:rsid w:val="00671004"/>
    <w:rsid w:val="0067104E"/>
    <w:rsid w:val="006714F9"/>
    <w:rsid w:val="006715D6"/>
    <w:rsid w:val="00671B4D"/>
    <w:rsid w:val="00671EF7"/>
    <w:rsid w:val="006720E8"/>
    <w:rsid w:val="006721AF"/>
    <w:rsid w:val="006721CF"/>
    <w:rsid w:val="00672646"/>
    <w:rsid w:val="00672DC7"/>
    <w:rsid w:val="00674199"/>
    <w:rsid w:val="00674778"/>
    <w:rsid w:val="00674C86"/>
    <w:rsid w:val="00674E42"/>
    <w:rsid w:val="00676563"/>
    <w:rsid w:val="00676CAE"/>
    <w:rsid w:val="00676DD2"/>
    <w:rsid w:val="00676DF1"/>
    <w:rsid w:val="00681242"/>
    <w:rsid w:val="006813F8"/>
    <w:rsid w:val="006817A1"/>
    <w:rsid w:val="00681F3E"/>
    <w:rsid w:val="00682112"/>
    <w:rsid w:val="00682252"/>
    <w:rsid w:val="00682791"/>
    <w:rsid w:val="00682BA6"/>
    <w:rsid w:val="00683178"/>
    <w:rsid w:val="0068359A"/>
    <w:rsid w:val="00684F11"/>
    <w:rsid w:val="00685102"/>
    <w:rsid w:val="0068591D"/>
    <w:rsid w:val="00685CB8"/>
    <w:rsid w:val="00685FFE"/>
    <w:rsid w:val="00686489"/>
    <w:rsid w:val="00686957"/>
    <w:rsid w:val="00686D68"/>
    <w:rsid w:val="00686E6A"/>
    <w:rsid w:val="00686EB3"/>
    <w:rsid w:val="006872BA"/>
    <w:rsid w:val="00687EE0"/>
    <w:rsid w:val="00690173"/>
    <w:rsid w:val="00690177"/>
    <w:rsid w:val="00690795"/>
    <w:rsid w:val="00690FCC"/>
    <w:rsid w:val="0069116B"/>
    <w:rsid w:val="0069121B"/>
    <w:rsid w:val="0069163D"/>
    <w:rsid w:val="00691648"/>
    <w:rsid w:val="006917D7"/>
    <w:rsid w:val="006923B4"/>
    <w:rsid w:val="00692A30"/>
    <w:rsid w:val="00692DD5"/>
    <w:rsid w:val="00693F8A"/>
    <w:rsid w:val="00693F9C"/>
    <w:rsid w:val="00693FCC"/>
    <w:rsid w:val="0069434C"/>
    <w:rsid w:val="0069439E"/>
    <w:rsid w:val="00694757"/>
    <w:rsid w:val="00694AE6"/>
    <w:rsid w:val="00694F44"/>
    <w:rsid w:val="0069522D"/>
    <w:rsid w:val="00696EF9"/>
    <w:rsid w:val="00696F51"/>
    <w:rsid w:val="00697140"/>
    <w:rsid w:val="0069733E"/>
    <w:rsid w:val="006979A5"/>
    <w:rsid w:val="006A0033"/>
    <w:rsid w:val="006A016F"/>
    <w:rsid w:val="006A0267"/>
    <w:rsid w:val="006A03D1"/>
    <w:rsid w:val="006A0C51"/>
    <w:rsid w:val="006A0DF7"/>
    <w:rsid w:val="006A188A"/>
    <w:rsid w:val="006A18BD"/>
    <w:rsid w:val="006A3CF2"/>
    <w:rsid w:val="006A3D26"/>
    <w:rsid w:val="006A4321"/>
    <w:rsid w:val="006A43D9"/>
    <w:rsid w:val="006A446C"/>
    <w:rsid w:val="006A44AC"/>
    <w:rsid w:val="006A5310"/>
    <w:rsid w:val="006A5555"/>
    <w:rsid w:val="006A56BC"/>
    <w:rsid w:val="006A59C9"/>
    <w:rsid w:val="006A5E7A"/>
    <w:rsid w:val="006A62F2"/>
    <w:rsid w:val="006A6B99"/>
    <w:rsid w:val="006A7309"/>
    <w:rsid w:val="006A7B4D"/>
    <w:rsid w:val="006A7E5F"/>
    <w:rsid w:val="006B05EC"/>
    <w:rsid w:val="006B0E0F"/>
    <w:rsid w:val="006B261B"/>
    <w:rsid w:val="006B2C90"/>
    <w:rsid w:val="006B2ECE"/>
    <w:rsid w:val="006B3205"/>
    <w:rsid w:val="006B35E6"/>
    <w:rsid w:val="006B3B65"/>
    <w:rsid w:val="006B3B7F"/>
    <w:rsid w:val="006B3F68"/>
    <w:rsid w:val="006B3F70"/>
    <w:rsid w:val="006B454F"/>
    <w:rsid w:val="006B465A"/>
    <w:rsid w:val="006B490B"/>
    <w:rsid w:val="006B5498"/>
    <w:rsid w:val="006B60A7"/>
    <w:rsid w:val="006B6DD0"/>
    <w:rsid w:val="006B7A83"/>
    <w:rsid w:val="006B7DA2"/>
    <w:rsid w:val="006C0052"/>
    <w:rsid w:val="006C0228"/>
    <w:rsid w:val="006C0399"/>
    <w:rsid w:val="006C0513"/>
    <w:rsid w:val="006C11A4"/>
    <w:rsid w:val="006C11A7"/>
    <w:rsid w:val="006C1F48"/>
    <w:rsid w:val="006C21F1"/>
    <w:rsid w:val="006C2A50"/>
    <w:rsid w:val="006C2A8E"/>
    <w:rsid w:val="006C2C53"/>
    <w:rsid w:val="006C3255"/>
    <w:rsid w:val="006C3F26"/>
    <w:rsid w:val="006C48A0"/>
    <w:rsid w:val="006C5EC6"/>
    <w:rsid w:val="006C658D"/>
    <w:rsid w:val="006C6CBD"/>
    <w:rsid w:val="006C6E9C"/>
    <w:rsid w:val="006C6EB9"/>
    <w:rsid w:val="006C784E"/>
    <w:rsid w:val="006C7C0E"/>
    <w:rsid w:val="006C7FD7"/>
    <w:rsid w:val="006D0D17"/>
    <w:rsid w:val="006D1A83"/>
    <w:rsid w:val="006D1BB0"/>
    <w:rsid w:val="006D257C"/>
    <w:rsid w:val="006D35C3"/>
    <w:rsid w:val="006D3C6D"/>
    <w:rsid w:val="006D3C7D"/>
    <w:rsid w:val="006D418E"/>
    <w:rsid w:val="006D4659"/>
    <w:rsid w:val="006D486C"/>
    <w:rsid w:val="006D4B88"/>
    <w:rsid w:val="006D5715"/>
    <w:rsid w:val="006D5D5F"/>
    <w:rsid w:val="006D68FB"/>
    <w:rsid w:val="006D7299"/>
    <w:rsid w:val="006D746C"/>
    <w:rsid w:val="006D7C9F"/>
    <w:rsid w:val="006E11DE"/>
    <w:rsid w:val="006E133A"/>
    <w:rsid w:val="006E191E"/>
    <w:rsid w:val="006E1B06"/>
    <w:rsid w:val="006E1B2E"/>
    <w:rsid w:val="006E1B2F"/>
    <w:rsid w:val="006E203E"/>
    <w:rsid w:val="006E2413"/>
    <w:rsid w:val="006E2859"/>
    <w:rsid w:val="006E2868"/>
    <w:rsid w:val="006E29FE"/>
    <w:rsid w:val="006E2AAD"/>
    <w:rsid w:val="006E2EAC"/>
    <w:rsid w:val="006E353B"/>
    <w:rsid w:val="006E3913"/>
    <w:rsid w:val="006E3CC9"/>
    <w:rsid w:val="006E3F64"/>
    <w:rsid w:val="006E4802"/>
    <w:rsid w:val="006E5C04"/>
    <w:rsid w:val="006E6351"/>
    <w:rsid w:val="006E68E0"/>
    <w:rsid w:val="006E790F"/>
    <w:rsid w:val="006E7B83"/>
    <w:rsid w:val="006F0103"/>
    <w:rsid w:val="006F04BD"/>
    <w:rsid w:val="006F1196"/>
    <w:rsid w:val="006F1733"/>
    <w:rsid w:val="006F180B"/>
    <w:rsid w:val="006F1ECB"/>
    <w:rsid w:val="006F1EE3"/>
    <w:rsid w:val="006F20B6"/>
    <w:rsid w:val="006F2461"/>
    <w:rsid w:val="006F24B3"/>
    <w:rsid w:val="006F2617"/>
    <w:rsid w:val="006F306C"/>
    <w:rsid w:val="006F31CF"/>
    <w:rsid w:val="006F3CF0"/>
    <w:rsid w:val="006F4B6D"/>
    <w:rsid w:val="006F4E77"/>
    <w:rsid w:val="006F5D88"/>
    <w:rsid w:val="006F635C"/>
    <w:rsid w:val="006F63A5"/>
    <w:rsid w:val="006F643F"/>
    <w:rsid w:val="006F6512"/>
    <w:rsid w:val="006F6D32"/>
    <w:rsid w:val="006F7065"/>
    <w:rsid w:val="006F7135"/>
    <w:rsid w:val="006F72BA"/>
    <w:rsid w:val="006F7A2C"/>
    <w:rsid w:val="006F7F92"/>
    <w:rsid w:val="0070039E"/>
    <w:rsid w:val="00700403"/>
    <w:rsid w:val="00700E13"/>
    <w:rsid w:val="00700ED3"/>
    <w:rsid w:val="00700F63"/>
    <w:rsid w:val="0070142B"/>
    <w:rsid w:val="00701956"/>
    <w:rsid w:val="00701BC5"/>
    <w:rsid w:val="00701C81"/>
    <w:rsid w:val="007024F5"/>
    <w:rsid w:val="0070276E"/>
    <w:rsid w:val="00702A3A"/>
    <w:rsid w:val="00702F8F"/>
    <w:rsid w:val="00705295"/>
    <w:rsid w:val="00705305"/>
    <w:rsid w:val="00705788"/>
    <w:rsid w:val="00706191"/>
    <w:rsid w:val="00706587"/>
    <w:rsid w:val="00706740"/>
    <w:rsid w:val="00706B48"/>
    <w:rsid w:val="00706C7C"/>
    <w:rsid w:val="00707428"/>
    <w:rsid w:val="00707995"/>
    <w:rsid w:val="007079FC"/>
    <w:rsid w:val="00710FEF"/>
    <w:rsid w:val="00711A36"/>
    <w:rsid w:val="00712121"/>
    <w:rsid w:val="007125D3"/>
    <w:rsid w:val="00712D96"/>
    <w:rsid w:val="00712E90"/>
    <w:rsid w:val="00714708"/>
    <w:rsid w:val="00714C26"/>
    <w:rsid w:val="00714D73"/>
    <w:rsid w:val="00714FB3"/>
    <w:rsid w:val="0071529C"/>
    <w:rsid w:val="007152C9"/>
    <w:rsid w:val="0071561D"/>
    <w:rsid w:val="00716517"/>
    <w:rsid w:val="007170DA"/>
    <w:rsid w:val="007170FC"/>
    <w:rsid w:val="007172AD"/>
    <w:rsid w:val="0071731C"/>
    <w:rsid w:val="00717546"/>
    <w:rsid w:val="00717BC1"/>
    <w:rsid w:val="0072068D"/>
    <w:rsid w:val="00720801"/>
    <w:rsid w:val="00720E8D"/>
    <w:rsid w:val="0072123A"/>
    <w:rsid w:val="00721BAA"/>
    <w:rsid w:val="00722423"/>
    <w:rsid w:val="00722B1B"/>
    <w:rsid w:val="00722C36"/>
    <w:rsid w:val="00722E16"/>
    <w:rsid w:val="00723345"/>
    <w:rsid w:val="00723545"/>
    <w:rsid w:val="007238A4"/>
    <w:rsid w:val="0072416F"/>
    <w:rsid w:val="00724BD1"/>
    <w:rsid w:val="00724F9D"/>
    <w:rsid w:val="0072515F"/>
    <w:rsid w:val="0072532C"/>
    <w:rsid w:val="00725B24"/>
    <w:rsid w:val="00725E53"/>
    <w:rsid w:val="0072617E"/>
    <w:rsid w:val="007262B7"/>
    <w:rsid w:val="00726AEF"/>
    <w:rsid w:val="00726E13"/>
    <w:rsid w:val="00727C94"/>
    <w:rsid w:val="00727DEA"/>
    <w:rsid w:val="007304A1"/>
    <w:rsid w:val="00730F5B"/>
    <w:rsid w:val="00731447"/>
    <w:rsid w:val="0073184A"/>
    <w:rsid w:val="00731B0A"/>
    <w:rsid w:val="00731C5B"/>
    <w:rsid w:val="00731EAE"/>
    <w:rsid w:val="007322CA"/>
    <w:rsid w:val="00732B7E"/>
    <w:rsid w:val="00733073"/>
    <w:rsid w:val="007330B3"/>
    <w:rsid w:val="0073349D"/>
    <w:rsid w:val="0073380E"/>
    <w:rsid w:val="00733E12"/>
    <w:rsid w:val="00735033"/>
    <w:rsid w:val="00735239"/>
    <w:rsid w:val="00735328"/>
    <w:rsid w:val="007356D3"/>
    <w:rsid w:val="00735865"/>
    <w:rsid w:val="007359EB"/>
    <w:rsid w:val="00735DC6"/>
    <w:rsid w:val="00736551"/>
    <w:rsid w:val="00736800"/>
    <w:rsid w:val="0073685B"/>
    <w:rsid w:val="00736E79"/>
    <w:rsid w:val="00742061"/>
    <w:rsid w:val="007428CA"/>
    <w:rsid w:val="00742EBB"/>
    <w:rsid w:val="007436BA"/>
    <w:rsid w:val="007449BF"/>
    <w:rsid w:val="007460E2"/>
    <w:rsid w:val="00746390"/>
    <w:rsid w:val="007463FE"/>
    <w:rsid w:val="0074645C"/>
    <w:rsid w:val="00746BC0"/>
    <w:rsid w:val="00747C19"/>
    <w:rsid w:val="00747DF9"/>
    <w:rsid w:val="007509DA"/>
    <w:rsid w:val="007510B4"/>
    <w:rsid w:val="00752142"/>
    <w:rsid w:val="007523F9"/>
    <w:rsid w:val="00752928"/>
    <w:rsid w:val="00752C26"/>
    <w:rsid w:val="00752C46"/>
    <w:rsid w:val="00752D73"/>
    <w:rsid w:val="00753183"/>
    <w:rsid w:val="0075343E"/>
    <w:rsid w:val="007534CA"/>
    <w:rsid w:val="0075357E"/>
    <w:rsid w:val="00753B29"/>
    <w:rsid w:val="0075438D"/>
    <w:rsid w:val="007550E4"/>
    <w:rsid w:val="0075514A"/>
    <w:rsid w:val="0075532B"/>
    <w:rsid w:val="00755A29"/>
    <w:rsid w:val="00755E2D"/>
    <w:rsid w:val="007562FF"/>
    <w:rsid w:val="007563FB"/>
    <w:rsid w:val="00757118"/>
    <w:rsid w:val="00757134"/>
    <w:rsid w:val="007573E8"/>
    <w:rsid w:val="007576CF"/>
    <w:rsid w:val="0075B7B5"/>
    <w:rsid w:val="00760993"/>
    <w:rsid w:val="00760C4E"/>
    <w:rsid w:val="00760E64"/>
    <w:rsid w:val="00760E72"/>
    <w:rsid w:val="00760F53"/>
    <w:rsid w:val="00760F9E"/>
    <w:rsid w:val="0076164F"/>
    <w:rsid w:val="007616E6"/>
    <w:rsid w:val="00761761"/>
    <w:rsid w:val="00761C9A"/>
    <w:rsid w:val="00762528"/>
    <w:rsid w:val="00762681"/>
    <w:rsid w:val="007627BE"/>
    <w:rsid w:val="00763513"/>
    <w:rsid w:val="007635A8"/>
    <w:rsid w:val="00763EC6"/>
    <w:rsid w:val="00764071"/>
    <w:rsid w:val="0076485C"/>
    <w:rsid w:val="00764F03"/>
    <w:rsid w:val="00765B1A"/>
    <w:rsid w:val="00765D21"/>
    <w:rsid w:val="00765DC1"/>
    <w:rsid w:val="007668F0"/>
    <w:rsid w:val="007670F5"/>
    <w:rsid w:val="00767318"/>
    <w:rsid w:val="007674D8"/>
    <w:rsid w:val="00767B3A"/>
    <w:rsid w:val="00767CBB"/>
    <w:rsid w:val="007701F7"/>
    <w:rsid w:val="00771589"/>
    <w:rsid w:val="00771F34"/>
    <w:rsid w:val="00772D4C"/>
    <w:rsid w:val="007748B3"/>
    <w:rsid w:val="00774C3D"/>
    <w:rsid w:val="00774F6C"/>
    <w:rsid w:val="00775084"/>
    <w:rsid w:val="007760A4"/>
    <w:rsid w:val="007760D7"/>
    <w:rsid w:val="007762B2"/>
    <w:rsid w:val="00776950"/>
    <w:rsid w:val="00777335"/>
    <w:rsid w:val="007773C9"/>
    <w:rsid w:val="0077745C"/>
    <w:rsid w:val="00777501"/>
    <w:rsid w:val="00777643"/>
    <w:rsid w:val="00777FE3"/>
    <w:rsid w:val="00780061"/>
    <w:rsid w:val="0078036E"/>
    <w:rsid w:val="007803F9"/>
    <w:rsid w:val="00780531"/>
    <w:rsid w:val="00780836"/>
    <w:rsid w:val="00780DCC"/>
    <w:rsid w:val="00782445"/>
    <w:rsid w:val="00782AC7"/>
    <w:rsid w:val="00782CED"/>
    <w:rsid w:val="00782E3F"/>
    <w:rsid w:val="00782EE2"/>
    <w:rsid w:val="0078438B"/>
    <w:rsid w:val="007843F2"/>
    <w:rsid w:val="007846FA"/>
    <w:rsid w:val="0078544D"/>
    <w:rsid w:val="00785A9F"/>
    <w:rsid w:val="00785D64"/>
    <w:rsid w:val="00786008"/>
    <w:rsid w:val="00786B8E"/>
    <w:rsid w:val="00786E8D"/>
    <w:rsid w:val="007873A7"/>
    <w:rsid w:val="0078782D"/>
    <w:rsid w:val="00787A87"/>
    <w:rsid w:val="0079028D"/>
    <w:rsid w:val="0079084F"/>
    <w:rsid w:val="00790C96"/>
    <w:rsid w:val="0079221D"/>
    <w:rsid w:val="007925DF"/>
    <w:rsid w:val="007932B9"/>
    <w:rsid w:val="00793599"/>
    <w:rsid w:val="0079371E"/>
    <w:rsid w:val="00793A7D"/>
    <w:rsid w:val="00793A8F"/>
    <w:rsid w:val="00794016"/>
    <w:rsid w:val="00794981"/>
    <w:rsid w:val="00795041"/>
    <w:rsid w:val="007954D9"/>
    <w:rsid w:val="00795625"/>
    <w:rsid w:val="00795CB5"/>
    <w:rsid w:val="00796BBA"/>
    <w:rsid w:val="00797020"/>
    <w:rsid w:val="00797299"/>
    <w:rsid w:val="00797BCF"/>
    <w:rsid w:val="007A005D"/>
    <w:rsid w:val="007A01F0"/>
    <w:rsid w:val="007A08AA"/>
    <w:rsid w:val="007A0A12"/>
    <w:rsid w:val="007A132D"/>
    <w:rsid w:val="007A1345"/>
    <w:rsid w:val="007A1BCF"/>
    <w:rsid w:val="007A1D9B"/>
    <w:rsid w:val="007A1E88"/>
    <w:rsid w:val="007A28C7"/>
    <w:rsid w:val="007A2C50"/>
    <w:rsid w:val="007A2DDB"/>
    <w:rsid w:val="007A3135"/>
    <w:rsid w:val="007A32D1"/>
    <w:rsid w:val="007A348F"/>
    <w:rsid w:val="007A35B0"/>
    <w:rsid w:val="007A3F8A"/>
    <w:rsid w:val="007A4A31"/>
    <w:rsid w:val="007A4D21"/>
    <w:rsid w:val="007A4DA4"/>
    <w:rsid w:val="007A595A"/>
    <w:rsid w:val="007A5B65"/>
    <w:rsid w:val="007A670A"/>
    <w:rsid w:val="007A691D"/>
    <w:rsid w:val="007A6962"/>
    <w:rsid w:val="007A70BA"/>
    <w:rsid w:val="007A73AA"/>
    <w:rsid w:val="007A747C"/>
    <w:rsid w:val="007B05DB"/>
    <w:rsid w:val="007B0673"/>
    <w:rsid w:val="007B06CB"/>
    <w:rsid w:val="007B0D68"/>
    <w:rsid w:val="007B0FBC"/>
    <w:rsid w:val="007B2111"/>
    <w:rsid w:val="007B251D"/>
    <w:rsid w:val="007B25CE"/>
    <w:rsid w:val="007B2E52"/>
    <w:rsid w:val="007B30CC"/>
    <w:rsid w:val="007B3533"/>
    <w:rsid w:val="007B4F4B"/>
    <w:rsid w:val="007B4F58"/>
    <w:rsid w:val="007B508C"/>
    <w:rsid w:val="007B528D"/>
    <w:rsid w:val="007B5897"/>
    <w:rsid w:val="007B5C32"/>
    <w:rsid w:val="007B5FA1"/>
    <w:rsid w:val="007B63CA"/>
    <w:rsid w:val="007B6CFF"/>
    <w:rsid w:val="007B6D43"/>
    <w:rsid w:val="007B7364"/>
    <w:rsid w:val="007B7756"/>
    <w:rsid w:val="007B77D1"/>
    <w:rsid w:val="007B798E"/>
    <w:rsid w:val="007B7CA2"/>
    <w:rsid w:val="007B7D2E"/>
    <w:rsid w:val="007C07C7"/>
    <w:rsid w:val="007C1197"/>
    <w:rsid w:val="007C1C53"/>
    <w:rsid w:val="007C1CD9"/>
    <w:rsid w:val="007C1D8B"/>
    <w:rsid w:val="007C1F30"/>
    <w:rsid w:val="007C2533"/>
    <w:rsid w:val="007C27E8"/>
    <w:rsid w:val="007C32EF"/>
    <w:rsid w:val="007C33C3"/>
    <w:rsid w:val="007C361D"/>
    <w:rsid w:val="007C3C8D"/>
    <w:rsid w:val="007C3F85"/>
    <w:rsid w:val="007C4B84"/>
    <w:rsid w:val="007C4DE4"/>
    <w:rsid w:val="007C5882"/>
    <w:rsid w:val="007C5FB7"/>
    <w:rsid w:val="007C6203"/>
    <w:rsid w:val="007C660F"/>
    <w:rsid w:val="007C6A73"/>
    <w:rsid w:val="007C6B80"/>
    <w:rsid w:val="007C70FF"/>
    <w:rsid w:val="007C7C25"/>
    <w:rsid w:val="007D004F"/>
    <w:rsid w:val="007D00A9"/>
    <w:rsid w:val="007D035F"/>
    <w:rsid w:val="007D06B2"/>
    <w:rsid w:val="007D0B38"/>
    <w:rsid w:val="007D0C90"/>
    <w:rsid w:val="007D0F02"/>
    <w:rsid w:val="007D1652"/>
    <w:rsid w:val="007D165B"/>
    <w:rsid w:val="007D31BB"/>
    <w:rsid w:val="007D336C"/>
    <w:rsid w:val="007D38A6"/>
    <w:rsid w:val="007D3DAE"/>
    <w:rsid w:val="007D46E5"/>
    <w:rsid w:val="007D47CE"/>
    <w:rsid w:val="007D5440"/>
    <w:rsid w:val="007D563C"/>
    <w:rsid w:val="007D69EB"/>
    <w:rsid w:val="007D6C1D"/>
    <w:rsid w:val="007D70B7"/>
    <w:rsid w:val="007D7235"/>
    <w:rsid w:val="007D7442"/>
    <w:rsid w:val="007D7697"/>
    <w:rsid w:val="007E0103"/>
    <w:rsid w:val="007E06BA"/>
    <w:rsid w:val="007E0EE9"/>
    <w:rsid w:val="007E128F"/>
    <w:rsid w:val="007E1534"/>
    <w:rsid w:val="007E1F66"/>
    <w:rsid w:val="007E203C"/>
    <w:rsid w:val="007E2421"/>
    <w:rsid w:val="007E2ABF"/>
    <w:rsid w:val="007E409C"/>
    <w:rsid w:val="007E438E"/>
    <w:rsid w:val="007E445D"/>
    <w:rsid w:val="007E5150"/>
    <w:rsid w:val="007E5BFB"/>
    <w:rsid w:val="007E5D99"/>
    <w:rsid w:val="007E6638"/>
    <w:rsid w:val="007E66D4"/>
    <w:rsid w:val="007E6908"/>
    <w:rsid w:val="007E6D3E"/>
    <w:rsid w:val="007E761F"/>
    <w:rsid w:val="007E78AA"/>
    <w:rsid w:val="007F0037"/>
    <w:rsid w:val="007F06C1"/>
    <w:rsid w:val="007F0CA5"/>
    <w:rsid w:val="007F1017"/>
    <w:rsid w:val="007F15C0"/>
    <w:rsid w:val="007F1D43"/>
    <w:rsid w:val="007F1DA8"/>
    <w:rsid w:val="007F1FEA"/>
    <w:rsid w:val="007F24B0"/>
    <w:rsid w:val="007F2FBE"/>
    <w:rsid w:val="007F30DD"/>
    <w:rsid w:val="007F343C"/>
    <w:rsid w:val="007F45D0"/>
    <w:rsid w:val="007F488C"/>
    <w:rsid w:val="007F4A3F"/>
    <w:rsid w:val="007F4A61"/>
    <w:rsid w:val="007F4DEB"/>
    <w:rsid w:val="007F5255"/>
    <w:rsid w:val="007F56CC"/>
    <w:rsid w:val="007F570D"/>
    <w:rsid w:val="007F613B"/>
    <w:rsid w:val="007F61C2"/>
    <w:rsid w:val="007F66C6"/>
    <w:rsid w:val="007F69C5"/>
    <w:rsid w:val="007F74B0"/>
    <w:rsid w:val="007F7B12"/>
    <w:rsid w:val="007F7BD7"/>
    <w:rsid w:val="00800258"/>
    <w:rsid w:val="0080090D"/>
    <w:rsid w:val="008013BD"/>
    <w:rsid w:val="00801529"/>
    <w:rsid w:val="00801F75"/>
    <w:rsid w:val="008022B3"/>
    <w:rsid w:val="00802400"/>
    <w:rsid w:val="008029F7"/>
    <w:rsid w:val="00802C9B"/>
    <w:rsid w:val="00803E5E"/>
    <w:rsid w:val="00805142"/>
    <w:rsid w:val="00805FCE"/>
    <w:rsid w:val="00805FD8"/>
    <w:rsid w:val="008078FD"/>
    <w:rsid w:val="00807A8B"/>
    <w:rsid w:val="00807E73"/>
    <w:rsid w:val="00810CF5"/>
    <w:rsid w:val="00810FF9"/>
    <w:rsid w:val="00811383"/>
    <w:rsid w:val="0081166D"/>
    <w:rsid w:val="00811BEB"/>
    <w:rsid w:val="00811CC4"/>
    <w:rsid w:val="00812149"/>
    <w:rsid w:val="00812C44"/>
    <w:rsid w:val="00812CAC"/>
    <w:rsid w:val="00812D46"/>
    <w:rsid w:val="00813256"/>
    <w:rsid w:val="00814468"/>
    <w:rsid w:val="0081493A"/>
    <w:rsid w:val="00814A1F"/>
    <w:rsid w:val="008152EB"/>
    <w:rsid w:val="0081539E"/>
    <w:rsid w:val="00815D34"/>
    <w:rsid w:val="00815F24"/>
    <w:rsid w:val="00815FA2"/>
    <w:rsid w:val="00815FD9"/>
    <w:rsid w:val="00816361"/>
    <w:rsid w:val="008164C0"/>
    <w:rsid w:val="00816504"/>
    <w:rsid w:val="008165ED"/>
    <w:rsid w:val="008166EF"/>
    <w:rsid w:val="00816FEF"/>
    <w:rsid w:val="008208B6"/>
    <w:rsid w:val="00820A8C"/>
    <w:rsid w:val="008215FB"/>
    <w:rsid w:val="00821853"/>
    <w:rsid w:val="00821D81"/>
    <w:rsid w:val="008220CC"/>
    <w:rsid w:val="008223FA"/>
    <w:rsid w:val="00823174"/>
    <w:rsid w:val="0082382C"/>
    <w:rsid w:val="0082430D"/>
    <w:rsid w:val="0082449D"/>
    <w:rsid w:val="00824BDC"/>
    <w:rsid w:val="00824EE4"/>
    <w:rsid w:val="00825751"/>
    <w:rsid w:val="008264EB"/>
    <w:rsid w:val="00826767"/>
    <w:rsid w:val="008268CE"/>
    <w:rsid w:val="00826B25"/>
    <w:rsid w:val="008270E9"/>
    <w:rsid w:val="0082798F"/>
    <w:rsid w:val="00827C23"/>
    <w:rsid w:val="008300F5"/>
    <w:rsid w:val="0083057D"/>
    <w:rsid w:val="008312A8"/>
    <w:rsid w:val="00831A58"/>
    <w:rsid w:val="0083318B"/>
    <w:rsid w:val="0083333A"/>
    <w:rsid w:val="00833886"/>
    <w:rsid w:val="008338A0"/>
    <w:rsid w:val="008338C7"/>
    <w:rsid w:val="008338CA"/>
    <w:rsid w:val="00833B05"/>
    <w:rsid w:val="00833CF0"/>
    <w:rsid w:val="008348C7"/>
    <w:rsid w:val="00834C5E"/>
    <w:rsid w:val="00834FBD"/>
    <w:rsid w:val="00835148"/>
    <w:rsid w:val="008352EC"/>
    <w:rsid w:val="00835656"/>
    <w:rsid w:val="008362B4"/>
    <w:rsid w:val="00836544"/>
    <w:rsid w:val="00836B71"/>
    <w:rsid w:val="008371FD"/>
    <w:rsid w:val="00837356"/>
    <w:rsid w:val="00840AD2"/>
    <w:rsid w:val="00840CA2"/>
    <w:rsid w:val="00842BBA"/>
    <w:rsid w:val="00842C56"/>
    <w:rsid w:val="00843137"/>
    <w:rsid w:val="008432E5"/>
    <w:rsid w:val="0084374F"/>
    <w:rsid w:val="008439D0"/>
    <w:rsid w:val="00843AFA"/>
    <w:rsid w:val="008446BE"/>
    <w:rsid w:val="00844782"/>
    <w:rsid w:val="00844A22"/>
    <w:rsid w:val="00844A49"/>
    <w:rsid w:val="00844BEF"/>
    <w:rsid w:val="00845B1A"/>
    <w:rsid w:val="00845EBC"/>
    <w:rsid w:val="00846E63"/>
    <w:rsid w:val="008473E3"/>
    <w:rsid w:val="00847703"/>
    <w:rsid w:val="00847DF5"/>
    <w:rsid w:val="00850614"/>
    <w:rsid w:val="00850A7E"/>
    <w:rsid w:val="00850C41"/>
    <w:rsid w:val="00850C9C"/>
    <w:rsid w:val="00850FD5"/>
    <w:rsid w:val="00852DC1"/>
    <w:rsid w:val="00853047"/>
    <w:rsid w:val="00853077"/>
    <w:rsid w:val="0085309D"/>
    <w:rsid w:val="00853A5E"/>
    <w:rsid w:val="00853DC8"/>
    <w:rsid w:val="00855A67"/>
    <w:rsid w:val="00856308"/>
    <w:rsid w:val="00856897"/>
    <w:rsid w:val="00856C83"/>
    <w:rsid w:val="00856E9A"/>
    <w:rsid w:val="00856FF9"/>
    <w:rsid w:val="00857ADA"/>
    <w:rsid w:val="00857B14"/>
    <w:rsid w:val="0086022D"/>
    <w:rsid w:val="00860604"/>
    <w:rsid w:val="0086075D"/>
    <w:rsid w:val="00860A88"/>
    <w:rsid w:val="00860B0D"/>
    <w:rsid w:val="00860C50"/>
    <w:rsid w:val="008610E9"/>
    <w:rsid w:val="008614BC"/>
    <w:rsid w:val="008617EB"/>
    <w:rsid w:val="00862502"/>
    <w:rsid w:val="008625F7"/>
    <w:rsid w:val="00862CC1"/>
    <w:rsid w:val="0086386F"/>
    <w:rsid w:val="008639B7"/>
    <w:rsid w:val="00863A69"/>
    <w:rsid w:val="00863FAE"/>
    <w:rsid w:val="008642A7"/>
    <w:rsid w:val="008646E4"/>
    <w:rsid w:val="00864D0D"/>
    <w:rsid w:val="00864DEF"/>
    <w:rsid w:val="0086501C"/>
    <w:rsid w:val="008654CD"/>
    <w:rsid w:val="00865893"/>
    <w:rsid w:val="008658BB"/>
    <w:rsid w:val="00865947"/>
    <w:rsid w:val="008660D4"/>
    <w:rsid w:val="00866419"/>
    <w:rsid w:val="0086647E"/>
    <w:rsid w:val="0086650F"/>
    <w:rsid w:val="00867938"/>
    <w:rsid w:val="00870157"/>
    <w:rsid w:val="008702E1"/>
    <w:rsid w:val="0087183D"/>
    <w:rsid w:val="00871961"/>
    <w:rsid w:val="00871FA9"/>
    <w:rsid w:val="008723BF"/>
    <w:rsid w:val="00872887"/>
    <w:rsid w:val="008728CE"/>
    <w:rsid w:val="008728E9"/>
    <w:rsid w:val="0087324A"/>
    <w:rsid w:val="0087344D"/>
    <w:rsid w:val="00873A6E"/>
    <w:rsid w:val="00874BFB"/>
    <w:rsid w:val="008759E9"/>
    <w:rsid w:val="00875C12"/>
    <w:rsid w:val="00876213"/>
    <w:rsid w:val="0087657C"/>
    <w:rsid w:val="008766BB"/>
    <w:rsid w:val="0087771F"/>
    <w:rsid w:val="00877A28"/>
    <w:rsid w:val="008801D5"/>
    <w:rsid w:val="00880798"/>
    <w:rsid w:val="00880FC3"/>
    <w:rsid w:val="00881071"/>
    <w:rsid w:val="0088154B"/>
    <w:rsid w:val="00881720"/>
    <w:rsid w:val="008820B9"/>
    <w:rsid w:val="008823E8"/>
    <w:rsid w:val="0088274C"/>
    <w:rsid w:val="00882874"/>
    <w:rsid w:val="00882E3C"/>
    <w:rsid w:val="0088308A"/>
    <w:rsid w:val="008831C7"/>
    <w:rsid w:val="00883206"/>
    <w:rsid w:val="00883585"/>
    <w:rsid w:val="00883787"/>
    <w:rsid w:val="00884A08"/>
    <w:rsid w:val="00884D62"/>
    <w:rsid w:val="008853DA"/>
    <w:rsid w:val="008855E4"/>
    <w:rsid w:val="008859CB"/>
    <w:rsid w:val="00885FF4"/>
    <w:rsid w:val="008864D8"/>
    <w:rsid w:val="008866A2"/>
    <w:rsid w:val="00886CD2"/>
    <w:rsid w:val="008871F2"/>
    <w:rsid w:val="0089010A"/>
    <w:rsid w:val="0089048F"/>
    <w:rsid w:val="00890ADF"/>
    <w:rsid w:val="00890C1A"/>
    <w:rsid w:val="00891919"/>
    <w:rsid w:val="00891E6F"/>
    <w:rsid w:val="00892097"/>
    <w:rsid w:val="0089247C"/>
    <w:rsid w:val="0089275D"/>
    <w:rsid w:val="008927AB"/>
    <w:rsid w:val="00892A35"/>
    <w:rsid w:val="00892A36"/>
    <w:rsid w:val="00892D04"/>
    <w:rsid w:val="00892DBA"/>
    <w:rsid w:val="00892F98"/>
    <w:rsid w:val="00893239"/>
    <w:rsid w:val="008933DD"/>
    <w:rsid w:val="00893CFE"/>
    <w:rsid w:val="00893E1C"/>
    <w:rsid w:val="00893E64"/>
    <w:rsid w:val="00893F7E"/>
    <w:rsid w:val="00894489"/>
    <w:rsid w:val="008948A6"/>
    <w:rsid w:val="00894CD6"/>
    <w:rsid w:val="00895001"/>
    <w:rsid w:val="0089542D"/>
    <w:rsid w:val="008963A5"/>
    <w:rsid w:val="008963C8"/>
    <w:rsid w:val="00896A8E"/>
    <w:rsid w:val="00896BA4"/>
    <w:rsid w:val="00896D5D"/>
    <w:rsid w:val="0089739B"/>
    <w:rsid w:val="00897A83"/>
    <w:rsid w:val="008A0749"/>
    <w:rsid w:val="008A0D32"/>
    <w:rsid w:val="008A102F"/>
    <w:rsid w:val="008A184D"/>
    <w:rsid w:val="008A20E6"/>
    <w:rsid w:val="008A20EC"/>
    <w:rsid w:val="008A2111"/>
    <w:rsid w:val="008A2879"/>
    <w:rsid w:val="008A3158"/>
    <w:rsid w:val="008A3363"/>
    <w:rsid w:val="008A3371"/>
    <w:rsid w:val="008A3C3E"/>
    <w:rsid w:val="008A5C19"/>
    <w:rsid w:val="008A6011"/>
    <w:rsid w:val="008A647E"/>
    <w:rsid w:val="008A75C2"/>
    <w:rsid w:val="008A76D0"/>
    <w:rsid w:val="008A78DB"/>
    <w:rsid w:val="008A79DE"/>
    <w:rsid w:val="008A7F66"/>
    <w:rsid w:val="008B06B7"/>
    <w:rsid w:val="008B091C"/>
    <w:rsid w:val="008B12FC"/>
    <w:rsid w:val="008B1757"/>
    <w:rsid w:val="008B1BDF"/>
    <w:rsid w:val="008B1C33"/>
    <w:rsid w:val="008B1C4E"/>
    <w:rsid w:val="008B244B"/>
    <w:rsid w:val="008B25E9"/>
    <w:rsid w:val="008B278D"/>
    <w:rsid w:val="008B2E57"/>
    <w:rsid w:val="008B3605"/>
    <w:rsid w:val="008B3D30"/>
    <w:rsid w:val="008B438D"/>
    <w:rsid w:val="008B4B6F"/>
    <w:rsid w:val="008B51F3"/>
    <w:rsid w:val="008B5FC1"/>
    <w:rsid w:val="008B7992"/>
    <w:rsid w:val="008B7D7E"/>
    <w:rsid w:val="008C05E1"/>
    <w:rsid w:val="008C0951"/>
    <w:rsid w:val="008C0A04"/>
    <w:rsid w:val="008C0B2D"/>
    <w:rsid w:val="008C0BA5"/>
    <w:rsid w:val="008C20AE"/>
    <w:rsid w:val="008C242E"/>
    <w:rsid w:val="008C2A16"/>
    <w:rsid w:val="008C3688"/>
    <w:rsid w:val="008C3B22"/>
    <w:rsid w:val="008C3B5D"/>
    <w:rsid w:val="008C3C80"/>
    <w:rsid w:val="008C4487"/>
    <w:rsid w:val="008C5610"/>
    <w:rsid w:val="008C5650"/>
    <w:rsid w:val="008C5739"/>
    <w:rsid w:val="008C6181"/>
    <w:rsid w:val="008C6A75"/>
    <w:rsid w:val="008C6D1C"/>
    <w:rsid w:val="008C7282"/>
    <w:rsid w:val="008C7ECB"/>
    <w:rsid w:val="008D0157"/>
    <w:rsid w:val="008D1AF6"/>
    <w:rsid w:val="008D2183"/>
    <w:rsid w:val="008D26E0"/>
    <w:rsid w:val="008D298D"/>
    <w:rsid w:val="008D2AC5"/>
    <w:rsid w:val="008D2FD8"/>
    <w:rsid w:val="008D3367"/>
    <w:rsid w:val="008D3B86"/>
    <w:rsid w:val="008D3FED"/>
    <w:rsid w:val="008D4102"/>
    <w:rsid w:val="008D427F"/>
    <w:rsid w:val="008D43FD"/>
    <w:rsid w:val="008D4471"/>
    <w:rsid w:val="008D4755"/>
    <w:rsid w:val="008D4AE0"/>
    <w:rsid w:val="008D4C3D"/>
    <w:rsid w:val="008D4FE7"/>
    <w:rsid w:val="008D524C"/>
    <w:rsid w:val="008D55C1"/>
    <w:rsid w:val="008D62AB"/>
    <w:rsid w:val="008D6301"/>
    <w:rsid w:val="008D66B0"/>
    <w:rsid w:val="008D6AD8"/>
    <w:rsid w:val="008D70FA"/>
    <w:rsid w:val="008D71FF"/>
    <w:rsid w:val="008D743C"/>
    <w:rsid w:val="008D7689"/>
    <w:rsid w:val="008D7C6E"/>
    <w:rsid w:val="008E0745"/>
    <w:rsid w:val="008E08AA"/>
    <w:rsid w:val="008E0BCA"/>
    <w:rsid w:val="008E0C3D"/>
    <w:rsid w:val="008E0D3C"/>
    <w:rsid w:val="008E16D5"/>
    <w:rsid w:val="008E18C7"/>
    <w:rsid w:val="008E1B9E"/>
    <w:rsid w:val="008E1D73"/>
    <w:rsid w:val="008E1EE3"/>
    <w:rsid w:val="008E3209"/>
    <w:rsid w:val="008E376D"/>
    <w:rsid w:val="008E3F27"/>
    <w:rsid w:val="008E4D40"/>
    <w:rsid w:val="008E5512"/>
    <w:rsid w:val="008E55AB"/>
    <w:rsid w:val="008E6AB6"/>
    <w:rsid w:val="008E6B1C"/>
    <w:rsid w:val="008E6BC7"/>
    <w:rsid w:val="008E70D5"/>
    <w:rsid w:val="008E767F"/>
    <w:rsid w:val="008E7ACB"/>
    <w:rsid w:val="008F02EA"/>
    <w:rsid w:val="008F120A"/>
    <w:rsid w:val="008F15B9"/>
    <w:rsid w:val="008F27E0"/>
    <w:rsid w:val="008F360B"/>
    <w:rsid w:val="008F37B9"/>
    <w:rsid w:val="008F3D1B"/>
    <w:rsid w:val="008F3FEB"/>
    <w:rsid w:val="008F4649"/>
    <w:rsid w:val="008F48EB"/>
    <w:rsid w:val="008F4F0B"/>
    <w:rsid w:val="008F4FD1"/>
    <w:rsid w:val="008F5097"/>
    <w:rsid w:val="008F518C"/>
    <w:rsid w:val="008F591D"/>
    <w:rsid w:val="008F67BE"/>
    <w:rsid w:val="008F6D3C"/>
    <w:rsid w:val="00900B36"/>
    <w:rsid w:val="00901D5F"/>
    <w:rsid w:val="0090214A"/>
    <w:rsid w:val="0090226B"/>
    <w:rsid w:val="00902F99"/>
    <w:rsid w:val="00904297"/>
    <w:rsid w:val="0090458E"/>
    <w:rsid w:val="009046C4"/>
    <w:rsid w:val="009049DB"/>
    <w:rsid w:val="00904A6A"/>
    <w:rsid w:val="00904ABB"/>
    <w:rsid w:val="009062A5"/>
    <w:rsid w:val="0090637E"/>
    <w:rsid w:val="009064E9"/>
    <w:rsid w:val="009070A8"/>
    <w:rsid w:val="009071DC"/>
    <w:rsid w:val="00907699"/>
    <w:rsid w:val="00910A76"/>
    <w:rsid w:val="00910FA7"/>
    <w:rsid w:val="00911272"/>
    <w:rsid w:val="00911339"/>
    <w:rsid w:val="00912038"/>
    <w:rsid w:val="00912A20"/>
    <w:rsid w:val="009135D6"/>
    <w:rsid w:val="009137AE"/>
    <w:rsid w:val="0091392F"/>
    <w:rsid w:val="00914329"/>
    <w:rsid w:val="00914C77"/>
    <w:rsid w:val="00915942"/>
    <w:rsid w:val="00915A5A"/>
    <w:rsid w:val="00915F74"/>
    <w:rsid w:val="0091696B"/>
    <w:rsid w:val="00916B37"/>
    <w:rsid w:val="0091721A"/>
    <w:rsid w:val="009172B8"/>
    <w:rsid w:val="00917452"/>
    <w:rsid w:val="00920A6A"/>
    <w:rsid w:val="00921806"/>
    <w:rsid w:val="00921ACB"/>
    <w:rsid w:val="00921B1C"/>
    <w:rsid w:val="00922048"/>
    <w:rsid w:val="00922BFB"/>
    <w:rsid w:val="00922FFE"/>
    <w:rsid w:val="0092369B"/>
    <w:rsid w:val="009237F8"/>
    <w:rsid w:val="00924210"/>
    <w:rsid w:val="0092472F"/>
    <w:rsid w:val="00924B9B"/>
    <w:rsid w:val="00924DB1"/>
    <w:rsid w:val="0092614A"/>
    <w:rsid w:val="00926317"/>
    <w:rsid w:val="009266E7"/>
    <w:rsid w:val="00926FAD"/>
    <w:rsid w:val="00927A19"/>
    <w:rsid w:val="00927E38"/>
    <w:rsid w:val="009312CD"/>
    <w:rsid w:val="00931DD5"/>
    <w:rsid w:val="00931DF6"/>
    <w:rsid w:val="00931E52"/>
    <w:rsid w:val="00932468"/>
    <w:rsid w:val="0093329A"/>
    <w:rsid w:val="009334E5"/>
    <w:rsid w:val="00933714"/>
    <w:rsid w:val="009342CB"/>
    <w:rsid w:val="0093450F"/>
    <w:rsid w:val="0093496C"/>
    <w:rsid w:val="00934988"/>
    <w:rsid w:val="009351E0"/>
    <w:rsid w:val="00935A86"/>
    <w:rsid w:val="00936039"/>
    <w:rsid w:val="00936BCF"/>
    <w:rsid w:val="00937089"/>
    <w:rsid w:val="0093798F"/>
    <w:rsid w:val="00940317"/>
    <w:rsid w:val="00940E79"/>
    <w:rsid w:val="00941F73"/>
    <w:rsid w:val="00942695"/>
    <w:rsid w:val="00942881"/>
    <w:rsid w:val="00942889"/>
    <w:rsid w:val="00943847"/>
    <w:rsid w:val="00943C1D"/>
    <w:rsid w:val="00943CB5"/>
    <w:rsid w:val="00943F0B"/>
    <w:rsid w:val="00944662"/>
    <w:rsid w:val="00944F8A"/>
    <w:rsid w:val="009450DC"/>
    <w:rsid w:val="00945489"/>
    <w:rsid w:val="00946A5E"/>
    <w:rsid w:val="00947398"/>
    <w:rsid w:val="009473DD"/>
    <w:rsid w:val="00947B5E"/>
    <w:rsid w:val="00947DE8"/>
    <w:rsid w:val="00947E0E"/>
    <w:rsid w:val="009508C2"/>
    <w:rsid w:val="00950CC7"/>
    <w:rsid w:val="00950E6C"/>
    <w:rsid w:val="009510A2"/>
    <w:rsid w:val="00951D8D"/>
    <w:rsid w:val="0095296E"/>
    <w:rsid w:val="00952E13"/>
    <w:rsid w:val="00953257"/>
    <w:rsid w:val="0095378D"/>
    <w:rsid w:val="00953ADD"/>
    <w:rsid w:val="00954542"/>
    <w:rsid w:val="0095474C"/>
    <w:rsid w:val="009578F2"/>
    <w:rsid w:val="00957AAC"/>
    <w:rsid w:val="00957D92"/>
    <w:rsid w:val="00957EFC"/>
    <w:rsid w:val="00957F23"/>
    <w:rsid w:val="009609E4"/>
    <w:rsid w:val="00960B7D"/>
    <w:rsid w:val="00962CB9"/>
    <w:rsid w:val="00962DD6"/>
    <w:rsid w:val="00962ECF"/>
    <w:rsid w:val="00963315"/>
    <w:rsid w:val="00963769"/>
    <w:rsid w:val="00963FD5"/>
    <w:rsid w:val="009640CB"/>
    <w:rsid w:val="00964189"/>
    <w:rsid w:val="00964312"/>
    <w:rsid w:val="0096453C"/>
    <w:rsid w:val="00964591"/>
    <w:rsid w:val="00965B8A"/>
    <w:rsid w:val="00966E49"/>
    <w:rsid w:val="0096703F"/>
    <w:rsid w:val="00967492"/>
    <w:rsid w:val="00967750"/>
    <w:rsid w:val="0097071F"/>
    <w:rsid w:val="00970CF2"/>
    <w:rsid w:val="009717AC"/>
    <w:rsid w:val="00972228"/>
    <w:rsid w:val="009725C7"/>
    <w:rsid w:val="00972718"/>
    <w:rsid w:val="00972739"/>
    <w:rsid w:val="0097343A"/>
    <w:rsid w:val="0097402C"/>
    <w:rsid w:val="009740C5"/>
    <w:rsid w:val="009745A9"/>
    <w:rsid w:val="00974A9A"/>
    <w:rsid w:val="00974BD1"/>
    <w:rsid w:val="00974D87"/>
    <w:rsid w:val="00974E53"/>
    <w:rsid w:val="009751C1"/>
    <w:rsid w:val="0097659D"/>
    <w:rsid w:val="009767BE"/>
    <w:rsid w:val="00976A4C"/>
    <w:rsid w:val="009771FA"/>
    <w:rsid w:val="00977836"/>
    <w:rsid w:val="00977A59"/>
    <w:rsid w:val="00977F4B"/>
    <w:rsid w:val="0098040D"/>
    <w:rsid w:val="009811F1"/>
    <w:rsid w:val="0098168B"/>
    <w:rsid w:val="00981813"/>
    <w:rsid w:val="00981CFF"/>
    <w:rsid w:val="00982595"/>
    <w:rsid w:val="009829A4"/>
    <w:rsid w:val="00983005"/>
    <w:rsid w:val="00983E57"/>
    <w:rsid w:val="00983FE2"/>
    <w:rsid w:val="00984CA4"/>
    <w:rsid w:val="00984F0E"/>
    <w:rsid w:val="0098513C"/>
    <w:rsid w:val="0098550C"/>
    <w:rsid w:val="009856E2"/>
    <w:rsid w:val="00985BAF"/>
    <w:rsid w:val="00985DE2"/>
    <w:rsid w:val="00986093"/>
    <w:rsid w:val="0098651D"/>
    <w:rsid w:val="00986548"/>
    <w:rsid w:val="0098675D"/>
    <w:rsid w:val="00987BA4"/>
    <w:rsid w:val="00987EDA"/>
    <w:rsid w:val="009906AE"/>
    <w:rsid w:val="00990DF9"/>
    <w:rsid w:val="00990ED7"/>
    <w:rsid w:val="009917B8"/>
    <w:rsid w:val="009926E0"/>
    <w:rsid w:val="0099451E"/>
    <w:rsid w:val="00995966"/>
    <w:rsid w:val="00996B1A"/>
    <w:rsid w:val="00996E64"/>
    <w:rsid w:val="0099738F"/>
    <w:rsid w:val="009A01E8"/>
    <w:rsid w:val="009A06FE"/>
    <w:rsid w:val="009A0D8E"/>
    <w:rsid w:val="009A0EEC"/>
    <w:rsid w:val="009A123D"/>
    <w:rsid w:val="009A1579"/>
    <w:rsid w:val="009A157A"/>
    <w:rsid w:val="009A18F6"/>
    <w:rsid w:val="009A1959"/>
    <w:rsid w:val="009A1A4E"/>
    <w:rsid w:val="009A2DCC"/>
    <w:rsid w:val="009A2EF2"/>
    <w:rsid w:val="009A2F01"/>
    <w:rsid w:val="009A47A5"/>
    <w:rsid w:val="009A4944"/>
    <w:rsid w:val="009A4AAF"/>
    <w:rsid w:val="009A57ED"/>
    <w:rsid w:val="009A5ABC"/>
    <w:rsid w:val="009A64EC"/>
    <w:rsid w:val="009A6ED4"/>
    <w:rsid w:val="009A72EB"/>
    <w:rsid w:val="009A7F10"/>
    <w:rsid w:val="009B037C"/>
    <w:rsid w:val="009B08E0"/>
    <w:rsid w:val="009B13EE"/>
    <w:rsid w:val="009B14DB"/>
    <w:rsid w:val="009B17A0"/>
    <w:rsid w:val="009B2913"/>
    <w:rsid w:val="009B32B3"/>
    <w:rsid w:val="009B371C"/>
    <w:rsid w:val="009B3E26"/>
    <w:rsid w:val="009B3FD0"/>
    <w:rsid w:val="009B43DC"/>
    <w:rsid w:val="009B49CB"/>
    <w:rsid w:val="009B54FA"/>
    <w:rsid w:val="009B559B"/>
    <w:rsid w:val="009B5808"/>
    <w:rsid w:val="009B70C1"/>
    <w:rsid w:val="009B75A1"/>
    <w:rsid w:val="009B7839"/>
    <w:rsid w:val="009C0687"/>
    <w:rsid w:val="009C1271"/>
    <w:rsid w:val="009C181F"/>
    <w:rsid w:val="009C1E10"/>
    <w:rsid w:val="009C1F0C"/>
    <w:rsid w:val="009C1FD1"/>
    <w:rsid w:val="009C2B9E"/>
    <w:rsid w:val="009C2E7F"/>
    <w:rsid w:val="009C3067"/>
    <w:rsid w:val="009C3706"/>
    <w:rsid w:val="009C3981"/>
    <w:rsid w:val="009C3A3A"/>
    <w:rsid w:val="009C493F"/>
    <w:rsid w:val="009C4D49"/>
    <w:rsid w:val="009C62BF"/>
    <w:rsid w:val="009C6CB5"/>
    <w:rsid w:val="009C6CEA"/>
    <w:rsid w:val="009C6E2D"/>
    <w:rsid w:val="009C7B85"/>
    <w:rsid w:val="009D0254"/>
    <w:rsid w:val="009D081A"/>
    <w:rsid w:val="009D0C78"/>
    <w:rsid w:val="009D1A64"/>
    <w:rsid w:val="009D1E40"/>
    <w:rsid w:val="009D20F1"/>
    <w:rsid w:val="009D2308"/>
    <w:rsid w:val="009D2B53"/>
    <w:rsid w:val="009D3053"/>
    <w:rsid w:val="009D30A5"/>
    <w:rsid w:val="009D344A"/>
    <w:rsid w:val="009D432A"/>
    <w:rsid w:val="009D49D7"/>
    <w:rsid w:val="009D5246"/>
    <w:rsid w:val="009D5B91"/>
    <w:rsid w:val="009D5E78"/>
    <w:rsid w:val="009D792E"/>
    <w:rsid w:val="009D7C75"/>
    <w:rsid w:val="009E0B79"/>
    <w:rsid w:val="009E0D8E"/>
    <w:rsid w:val="009E0DFE"/>
    <w:rsid w:val="009E0FF2"/>
    <w:rsid w:val="009E1482"/>
    <w:rsid w:val="009E1500"/>
    <w:rsid w:val="009E1841"/>
    <w:rsid w:val="009E1E4C"/>
    <w:rsid w:val="009E2D3B"/>
    <w:rsid w:val="009E31F6"/>
    <w:rsid w:val="009E3504"/>
    <w:rsid w:val="009E3E98"/>
    <w:rsid w:val="009E40C8"/>
    <w:rsid w:val="009E42B9"/>
    <w:rsid w:val="009E4B9E"/>
    <w:rsid w:val="009E4C07"/>
    <w:rsid w:val="009E5786"/>
    <w:rsid w:val="009E6AE9"/>
    <w:rsid w:val="009E76A5"/>
    <w:rsid w:val="009E777F"/>
    <w:rsid w:val="009E7B44"/>
    <w:rsid w:val="009F0743"/>
    <w:rsid w:val="009F1867"/>
    <w:rsid w:val="009F1F23"/>
    <w:rsid w:val="009F2288"/>
    <w:rsid w:val="009F3A0B"/>
    <w:rsid w:val="009F453F"/>
    <w:rsid w:val="009F4693"/>
    <w:rsid w:val="009F4AB2"/>
    <w:rsid w:val="009F5058"/>
    <w:rsid w:val="009F552B"/>
    <w:rsid w:val="009F6120"/>
    <w:rsid w:val="009F74FD"/>
    <w:rsid w:val="009F7589"/>
    <w:rsid w:val="00A00453"/>
    <w:rsid w:val="00A00544"/>
    <w:rsid w:val="00A008B3"/>
    <w:rsid w:val="00A00D76"/>
    <w:rsid w:val="00A00F9A"/>
    <w:rsid w:val="00A01184"/>
    <w:rsid w:val="00A01397"/>
    <w:rsid w:val="00A013F8"/>
    <w:rsid w:val="00A01449"/>
    <w:rsid w:val="00A018B7"/>
    <w:rsid w:val="00A019F3"/>
    <w:rsid w:val="00A022C9"/>
    <w:rsid w:val="00A02E09"/>
    <w:rsid w:val="00A03312"/>
    <w:rsid w:val="00A037C2"/>
    <w:rsid w:val="00A03BA3"/>
    <w:rsid w:val="00A03D43"/>
    <w:rsid w:val="00A0423B"/>
    <w:rsid w:val="00A04380"/>
    <w:rsid w:val="00A04786"/>
    <w:rsid w:val="00A05472"/>
    <w:rsid w:val="00A05803"/>
    <w:rsid w:val="00A05C32"/>
    <w:rsid w:val="00A0653F"/>
    <w:rsid w:val="00A0683B"/>
    <w:rsid w:val="00A07230"/>
    <w:rsid w:val="00A072E1"/>
    <w:rsid w:val="00A107DA"/>
    <w:rsid w:val="00A10FDD"/>
    <w:rsid w:val="00A11239"/>
    <w:rsid w:val="00A11345"/>
    <w:rsid w:val="00A11C96"/>
    <w:rsid w:val="00A11CD0"/>
    <w:rsid w:val="00A11DB6"/>
    <w:rsid w:val="00A11EAA"/>
    <w:rsid w:val="00A1203D"/>
    <w:rsid w:val="00A122AB"/>
    <w:rsid w:val="00A123AA"/>
    <w:rsid w:val="00A129F0"/>
    <w:rsid w:val="00A12AC0"/>
    <w:rsid w:val="00A1304D"/>
    <w:rsid w:val="00A13923"/>
    <w:rsid w:val="00A13948"/>
    <w:rsid w:val="00A14131"/>
    <w:rsid w:val="00A1439D"/>
    <w:rsid w:val="00A147A6"/>
    <w:rsid w:val="00A14AE5"/>
    <w:rsid w:val="00A14B70"/>
    <w:rsid w:val="00A14DB1"/>
    <w:rsid w:val="00A152E1"/>
    <w:rsid w:val="00A1555B"/>
    <w:rsid w:val="00A155C5"/>
    <w:rsid w:val="00A15ED3"/>
    <w:rsid w:val="00A16AD8"/>
    <w:rsid w:val="00A1715E"/>
    <w:rsid w:val="00A171BB"/>
    <w:rsid w:val="00A17205"/>
    <w:rsid w:val="00A1798D"/>
    <w:rsid w:val="00A2021E"/>
    <w:rsid w:val="00A204B5"/>
    <w:rsid w:val="00A206CE"/>
    <w:rsid w:val="00A207C8"/>
    <w:rsid w:val="00A20E22"/>
    <w:rsid w:val="00A213BA"/>
    <w:rsid w:val="00A216D9"/>
    <w:rsid w:val="00A21C95"/>
    <w:rsid w:val="00A21CF3"/>
    <w:rsid w:val="00A21F98"/>
    <w:rsid w:val="00A22B6C"/>
    <w:rsid w:val="00A22EF2"/>
    <w:rsid w:val="00A236CA"/>
    <w:rsid w:val="00A23F40"/>
    <w:rsid w:val="00A245A9"/>
    <w:rsid w:val="00A24813"/>
    <w:rsid w:val="00A253E7"/>
    <w:rsid w:val="00A2636D"/>
    <w:rsid w:val="00A26C70"/>
    <w:rsid w:val="00A27AEC"/>
    <w:rsid w:val="00A27FC2"/>
    <w:rsid w:val="00A3051E"/>
    <w:rsid w:val="00A3098C"/>
    <w:rsid w:val="00A320DB"/>
    <w:rsid w:val="00A329A2"/>
    <w:rsid w:val="00A32A4F"/>
    <w:rsid w:val="00A32AA6"/>
    <w:rsid w:val="00A34206"/>
    <w:rsid w:val="00A348BB"/>
    <w:rsid w:val="00A354D6"/>
    <w:rsid w:val="00A3570C"/>
    <w:rsid w:val="00A35D16"/>
    <w:rsid w:val="00A35EC0"/>
    <w:rsid w:val="00A3644E"/>
    <w:rsid w:val="00A36DB1"/>
    <w:rsid w:val="00A37487"/>
    <w:rsid w:val="00A375B9"/>
    <w:rsid w:val="00A378F2"/>
    <w:rsid w:val="00A37BCD"/>
    <w:rsid w:val="00A40798"/>
    <w:rsid w:val="00A40C17"/>
    <w:rsid w:val="00A40D62"/>
    <w:rsid w:val="00A410C1"/>
    <w:rsid w:val="00A41689"/>
    <w:rsid w:val="00A41E44"/>
    <w:rsid w:val="00A422E7"/>
    <w:rsid w:val="00A42592"/>
    <w:rsid w:val="00A4275B"/>
    <w:rsid w:val="00A43181"/>
    <w:rsid w:val="00A4331D"/>
    <w:rsid w:val="00A43420"/>
    <w:rsid w:val="00A4342C"/>
    <w:rsid w:val="00A43BBC"/>
    <w:rsid w:val="00A43C59"/>
    <w:rsid w:val="00A4455D"/>
    <w:rsid w:val="00A44665"/>
    <w:rsid w:val="00A4596A"/>
    <w:rsid w:val="00A45C38"/>
    <w:rsid w:val="00A45F1C"/>
    <w:rsid w:val="00A461A3"/>
    <w:rsid w:val="00A462FC"/>
    <w:rsid w:val="00A4635C"/>
    <w:rsid w:val="00A466EC"/>
    <w:rsid w:val="00A46CF3"/>
    <w:rsid w:val="00A471D3"/>
    <w:rsid w:val="00A50089"/>
    <w:rsid w:val="00A506A3"/>
    <w:rsid w:val="00A50890"/>
    <w:rsid w:val="00A50894"/>
    <w:rsid w:val="00A50ECD"/>
    <w:rsid w:val="00A50FFE"/>
    <w:rsid w:val="00A512BE"/>
    <w:rsid w:val="00A517F9"/>
    <w:rsid w:val="00A518F3"/>
    <w:rsid w:val="00A521AE"/>
    <w:rsid w:val="00A522DB"/>
    <w:rsid w:val="00A52729"/>
    <w:rsid w:val="00A52A2A"/>
    <w:rsid w:val="00A52DC8"/>
    <w:rsid w:val="00A53675"/>
    <w:rsid w:val="00A53C2A"/>
    <w:rsid w:val="00A53E39"/>
    <w:rsid w:val="00A54353"/>
    <w:rsid w:val="00A551F1"/>
    <w:rsid w:val="00A55613"/>
    <w:rsid w:val="00A564D7"/>
    <w:rsid w:val="00A5696A"/>
    <w:rsid w:val="00A56B6A"/>
    <w:rsid w:val="00A578DC"/>
    <w:rsid w:val="00A57F11"/>
    <w:rsid w:val="00A604DC"/>
    <w:rsid w:val="00A61122"/>
    <w:rsid w:val="00A611C3"/>
    <w:rsid w:val="00A61F31"/>
    <w:rsid w:val="00A62477"/>
    <w:rsid w:val="00A626AC"/>
    <w:rsid w:val="00A626E1"/>
    <w:rsid w:val="00A628B0"/>
    <w:rsid w:val="00A63490"/>
    <w:rsid w:val="00A636C3"/>
    <w:rsid w:val="00A637BA"/>
    <w:rsid w:val="00A6386E"/>
    <w:rsid w:val="00A63E59"/>
    <w:rsid w:val="00A640E2"/>
    <w:rsid w:val="00A64D65"/>
    <w:rsid w:val="00A654BC"/>
    <w:rsid w:val="00A65CBC"/>
    <w:rsid w:val="00A65E17"/>
    <w:rsid w:val="00A66219"/>
    <w:rsid w:val="00A66587"/>
    <w:rsid w:val="00A66F88"/>
    <w:rsid w:val="00A67007"/>
    <w:rsid w:val="00A6725B"/>
    <w:rsid w:val="00A674D4"/>
    <w:rsid w:val="00A679D1"/>
    <w:rsid w:val="00A67A3C"/>
    <w:rsid w:val="00A67DBA"/>
    <w:rsid w:val="00A700B2"/>
    <w:rsid w:val="00A70605"/>
    <w:rsid w:val="00A70841"/>
    <w:rsid w:val="00A708BA"/>
    <w:rsid w:val="00A70E2E"/>
    <w:rsid w:val="00A70F9D"/>
    <w:rsid w:val="00A711AE"/>
    <w:rsid w:val="00A71865"/>
    <w:rsid w:val="00A719F2"/>
    <w:rsid w:val="00A71A62"/>
    <w:rsid w:val="00A72210"/>
    <w:rsid w:val="00A73134"/>
    <w:rsid w:val="00A731F6"/>
    <w:rsid w:val="00A7365A"/>
    <w:rsid w:val="00A7385A"/>
    <w:rsid w:val="00A73906"/>
    <w:rsid w:val="00A73999"/>
    <w:rsid w:val="00A73DBC"/>
    <w:rsid w:val="00A73E9E"/>
    <w:rsid w:val="00A7435F"/>
    <w:rsid w:val="00A74A4A"/>
    <w:rsid w:val="00A7533D"/>
    <w:rsid w:val="00A76001"/>
    <w:rsid w:val="00A761BD"/>
    <w:rsid w:val="00A7623B"/>
    <w:rsid w:val="00A76515"/>
    <w:rsid w:val="00A76761"/>
    <w:rsid w:val="00A772C8"/>
    <w:rsid w:val="00A777B2"/>
    <w:rsid w:val="00A778FD"/>
    <w:rsid w:val="00A77A67"/>
    <w:rsid w:val="00A8066A"/>
    <w:rsid w:val="00A80839"/>
    <w:rsid w:val="00A80AA5"/>
    <w:rsid w:val="00A80F28"/>
    <w:rsid w:val="00A825D4"/>
    <w:rsid w:val="00A828F6"/>
    <w:rsid w:val="00A82B73"/>
    <w:rsid w:val="00A832AC"/>
    <w:rsid w:val="00A83384"/>
    <w:rsid w:val="00A834A7"/>
    <w:rsid w:val="00A83656"/>
    <w:rsid w:val="00A84348"/>
    <w:rsid w:val="00A863B8"/>
    <w:rsid w:val="00A863D9"/>
    <w:rsid w:val="00A86A10"/>
    <w:rsid w:val="00A86E8B"/>
    <w:rsid w:val="00A86F78"/>
    <w:rsid w:val="00A86FEE"/>
    <w:rsid w:val="00A87164"/>
    <w:rsid w:val="00A871A9"/>
    <w:rsid w:val="00A90065"/>
    <w:rsid w:val="00A906EE"/>
    <w:rsid w:val="00A908E1"/>
    <w:rsid w:val="00A90EE2"/>
    <w:rsid w:val="00A91577"/>
    <w:rsid w:val="00A91AFA"/>
    <w:rsid w:val="00A91B54"/>
    <w:rsid w:val="00A91B6E"/>
    <w:rsid w:val="00A92170"/>
    <w:rsid w:val="00A92C35"/>
    <w:rsid w:val="00A93072"/>
    <w:rsid w:val="00A938BD"/>
    <w:rsid w:val="00A93953"/>
    <w:rsid w:val="00A94366"/>
    <w:rsid w:val="00A94460"/>
    <w:rsid w:val="00A948BD"/>
    <w:rsid w:val="00A94D78"/>
    <w:rsid w:val="00A959D8"/>
    <w:rsid w:val="00A9608F"/>
    <w:rsid w:val="00A9758B"/>
    <w:rsid w:val="00A9798E"/>
    <w:rsid w:val="00AA113D"/>
    <w:rsid w:val="00AA26D7"/>
    <w:rsid w:val="00AA2A29"/>
    <w:rsid w:val="00AA410D"/>
    <w:rsid w:val="00AA47B8"/>
    <w:rsid w:val="00AA49D2"/>
    <w:rsid w:val="00AA54C1"/>
    <w:rsid w:val="00AA56CB"/>
    <w:rsid w:val="00AA5896"/>
    <w:rsid w:val="00AA58BB"/>
    <w:rsid w:val="00AA6BD5"/>
    <w:rsid w:val="00AA6BD8"/>
    <w:rsid w:val="00AA6C7D"/>
    <w:rsid w:val="00AA6E62"/>
    <w:rsid w:val="00AA73A3"/>
    <w:rsid w:val="00AA7AFD"/>
    <w:rsid w:val="00AA7FD6"/>
    <w:rsid w:val="00AB03B2"/>
    <w:rsid w:val="00AB042A"/>
    <w:rsid w:val="00AB0627"/>
    <w:rsid w:val="00AB111E"/>
    <w:rsid w:val="00AB11AD"/>
    <w:rsid w:val="00AB19EF"/>
    <w:rsid w:val="00AB2345"/>
    <w:rsid w:val="00AB2495"/>
    <w:rsid w:val="00AB2935"/>
    <w:rsid w:val="00AB2A94"/>
    <w:rsid w:val="00AB2C91"/>
    <w:rsid w:val="00AB2D34"/>
    <w:rsid w:val="00AB2D40"/>
    <w:rsid w:val="00AB2F6E"/>
    <w:rsid w:val="00AB3019"/>
    <w:rsid w:val="00AB3430"/>
    <w:rsid w:val="00AB37B9"/>
    <w:rsid w:val="00AB38BC"/>
    <w:rsid w:val="00AB43C8"/>
    <w:rsid w:val="00AB46F5"/>
    <w:rsid w:val="00AB4785"/>
    <w:rsid w:val="00AB4AD1"/>
    <w:rsid w:val="00AB4B83"/>
    <w:rsid w:val="00AB4BDF"/>
    <w:rsid w:val="00AB4DF1"/>
    <w:rsid w:val="00AB563C"/>
    <w:rsid w:val="00AB5B0B"/>
    <w:rsid w:val="00AB5CBD"/>
    <w:rsid w:val="00AB5E07"/>
    <w:rsid w:val="00AB6310"/>
    <w:rsid w:val="00AB63D1"/>
    <w:rsid w:val="00AB6E71"/>
    <w:rsid w:val="00AB799C"/>
    <w:rsid w:val="00AB7CFA"/>
    <w:rsid w:val="00AC0299"/>
    <w:rsid w:val="00AC0D88"/>
    <w:rsid w:val="00AC14C8"/>
    <w:rsid w:val="00AC16F2"/>
    <w:rsid w:val="00AC1AF6"/>
    <w:rsid w:val="00AC2BA1"/>
    <w:rsid w:val="00AC3E28"/>
    <w:rsid w:val="00AC436D"/>
    <w:rsid w:val="00AC43AB"/>
    <w:rsid w:val="00AC4B28"/>
    <w:rsid w:val="00AC4CF8"/>
    <w:rsid w:val="00AC5B42"/>
    <w:rsid w:val="00AC5B48"/>
    <w:rsid w:val="00AC6B52"/>
    <w:rsid w:val="00AC7AB9"/>
    <w:rsid w:val="00AD0CE0"/>
    <w:rsid w:val="00AD0DF8"/>
    <w:rsid w:val="00AD1191"/>
    <w:rsid w:val="00AD1217"/>
    <w:rsid w:val="00AD1450"/>
    <w:rsid w:val="00AD15E8"/>
    <w:rsid w:val="00AD1CB4"/>
    <w:rsid w:val="00AD215D"/>
    <w:rsid w:val="00AD3312"/>
    <w:rsid w:val="00AD356D"/>
    <w:rsid w:val="00AD38F3"/>
    <w:rsid w:val="00AD3972"/>
    <w:rsid w:val="00AD42F0"/>
    <w:rsid w:val="00AD4F12"/>
    <w:rsid w:val="00AD5399"/>
    <w:rsid w:val="00AD5530"/>
    <w:rsid w:val="00AD6502"/>
    <w:rsid w:val="00AD6BB1"/>
    <w:rsid w:val="00AD7238"/>
    <w:rsid w:val="00AD78D6"/>
    <w:rsid w:val="00AD7D68"/>
    <w:rsid w:val="00AE02EF"/>
    <w:rsid w:val="00AE0695"/>
    <w:rsid w:val="00AE09CD"/>
    <w:rsid w:val="00AE208B"/>
    <w:rsid w:val="00AE25D3"/>
    <w:rsid w:val="00AE3256"/>
    <w:rsid w:val="00AE36C0"/>
    <w:rsid w:val="00AE3CD6"/>
    <w:rsid w:val="00AE3E7E"/>
    <w:rsid w:val="00AE40E5"/>
    <w:rsid w:val="00AE42DB"/>
    <w:rsid w:val="00AE485B"/>
    <w:rsid w:val="00AE4DF9"/>
    <w:rsid w:val="00AE5877"/>
    <w:rsid w:val="00AE5A14"/>
    <w:rsid w:val="00AE7399"/>
    <w:rsid w:val="00AE7867"/>
    <w:rsid w:val="00AE7CDB"/>
    <w:rsid w:val="00AE7E53"/>
    <w:rsid w:val="00AF0983"/>
    <w:rsid w:val="00AF1315"/>
    <w:rsid w:val="00AF196A"/>
    <w:rsid w:val="00AF19BF"/>
    <w:rsid w:val="00AF1AEE"/>
    <w:rsid w:val="00AF1E23"/>
    <w:rsid w:val="00AF2D73"/>
    <w:rsid w:val="00AF2DC3"/>
    <w:rsid w:val="00AF30BD"/>
    <w:rsid w:val="00AF30EE"/>
    <w:rsid w:val="00AF4351"/>
    <w:rsid w:val="00AF48EB"/>
    <w:rsid w:val="00AF49F9"/>
    <w:rsid w:val="00AF505C"/>
    <w:rsid w:val="00AF5546"/>
    <w:rsid w:val="00AF55C6"/>
    <w:rsid w:val="00AF7359"/>
    <w:rsid w:val="00B00053"/>
    <w:rsid w:val="00B00266"/>
    <w:rsid w:val="00B00985"/>
    <w:rsid w:val="00B01036"/>
    <w:rsid w:val="00B015BD"/>
    <w:rsid w:val="00B01D54"/>
    <w:rsid w:val="00B033E5"/>
    <w:rsid w:val="00B03A63"/>
    <w:rsid w:val="00B03B6A"/>
    <w:rsid w:val="00B0479C"/>
    <w:rsid w:val="00B049B3"/>
    <w:rsid w:val="00B05043"/>
    <w:rsid w:val="00B05127"/>
    <w:rsid w:val="00B05BB1"/>
    <w:rsid w:val="00B06538"/>
    <w:rsid w:val="00B07BAF"/>
    <w:rsid w:val="00B1057E"/>
    <w:rsid w:val="00B10DC7"/>
    <w:rsid w:val="00B10E10"/>
    <w:rsid w:val="00B1111E"/>
    <w:rsid w:val="00B112DC"/>
    <w:rsid w:val="00B1143E"/>
    <w:rsid w:val="00B1161C"/>
    <w:rsid w:val="00B11A2B"/>
    <w:rsid w:val="00B11D4F"/>
    <w:rsid w:val="00B12228"/>
    <w:rsid w:val="00B128F3"/>
    <w:rsid w:val="00B129A4"/>
    <w:rsid w:val="00B1359C"/>
    <w:rsid w:val="00B138D3"/>
    <w:rsid w:val="00B144BD"/>
    <w:rsid w:val="00B147F2"/>
    <w:rsid w:val="00B147FF"/>
    <w:rsid w:val="00B15C4F"/>
    <w:rsid w:val="00B1688D"/>
    <w:rsid w:val="00B17673"/>
    <w:rsid w:val="00B179DB"/>
    <w:rsid w:val="00B17B32"/>
    <w:rsid w:val="00B20063"/>
    <w:rsid w:val="00B201A4"/>
    <w:rsid w:val="00B201D1"/>
    <w:rsid w:val="00B20A3C"/>
    <w:rsid w:val="00B20ADD"/>
    <w:rsid w:val="00B213A6"/>
    <w:rsid w:val="00B21441"/>
    <w:rsid w:val="00B2156B"/>
    <w:rsid w:val="00B21616"/>
    <w:rsid w:val="00B2198C"/>
    <w:rsid w:val="00B22071"/>
    <w:rsid w:val="00B220F4"/>
    <w:rsid w:val="00B235B0"/>
    <w:rsid w:val="00B240FD"/>
    <w:rsid w:val="00B24A19"/>
    <w:rsid w:val="00B24DF6"/>
    <w:rsid w:val="00B257AE"/>
    <w:rsid w:val="00B25AD4"/>
    <w:rsid w:val="00B26186"/>
    <w:rsid w:val="00B261F2"/>
    <w:rsid w:val="00B262EE"/>
    <w:rsid w:val="00B26399"/>
    <w:rsid w:val="00B26F25"/>
    <w:rsid w:val="00B2717A"/>
    <w:rsid w:val="00B27A61"/>
    <w:rsid w:val="00B304A3"/>
    <w:rsid w:val="00B31055"/>
    <w:rsid w:val="00B31298"/>
    <w:rsid w:val="00B31E8E"/>
    <w:rsid w:val="00B320E6"/>
    <w:rsid w:val="00B323E0"/>
    <w:rsid w:val="00B32BF3"/>
    <w:rsid w:val="00B332BC"/>
    <w:rsid w:val="00B334F9"/>
    <w:rsid w:val="00B343F0"/>
    <w:rsid w:val="00B346ED"/>
    <w:rsid w:val="00B34812"/>
    <w:rsid w:val="00B348E9"/>
    <w:rsid w:val="00B34FE2"/>
    <w:rsid w:val="00B35166"/>
    <w:rsid w:val="00B354CC"/>
    <w:rsid w:val="00B357D8"/>
    <w:rsid w:val="00B360F4"/>
    <w:rsid w:val="00B3655B"/>
    <w:rsid w:val="00B36995"/>
    <w:rsid w:val="00B36A00"/>
    <w:rsid w:val="00B3792B"/>
    <w:rsid w:val="00B37BFC"/>
    <w:rsid w:val="00B37C65"/>
    <w:rsid w:val="00B37EE4"/>
    <w:rsid w:val="00B37EFA"/>
    <w:rsid w:val="00B4011C"/>
    <w:rsid w:val="00B40358"/>
    <w:rsid w:val="00B40D04"/>
    <w:rsid w:val="00B414F3"/>
    <w:rsid w:val="00B415BF"/>
    <w:rsid w:val="00B41614"/>
    <w:rsid w:val="00B41737"/>
    <w:rsid w:val="00B424A8"/>
    <w:rsid w:val="00B42851"/>
    <w:rsid w:val="00B42F80"/>
    <w:rsid w:val="00B435CB"/>
    <w:rsid w:val="00B43EA2"/>
    <w:rsid w:val="00B440A3"/>
    <w:rsid w:val="00B446CF"/>
    <w:rsid w:val="00B4487D"/>
    <w:rsid w:val="00B448F5"/>
    <w:rsid w:val="00B4500C"/>
    <w:rsid w:val="00B454F8"/>
    <w:rsid w:val="00B459A9"/>
    <w:rsid w:val="00B45DD6"/>
    <w:rsid w:val="00B462BB"/>
    <w:rsid w:val="00B463F6"/>
    <w:rsid w:val="00B465D3"/>
    <w:rsid w:val="00B465EC"/>
    <w:rsid w:val="00B46D13"/>
    <w:rsid w:val="00B471C7"/>
    <w:rsid w:val="00B47736"/>
    <w:rsid w:val="00B479FC"/>
    <w:rsid w:val="00B47B93"/>
    <w:rsid w:val="00B47BB8"/>
    <w:rsid w:val="00B47C9E"/>
    <w:rsid w:val="00B50198"/>
    <w:rsid w:val="00B50509"/>
    <w:rsid w:val="00B505C8"/>
    <w:rsid w:val="00B5095A"/>
    <w:rsid w:val="00B50DB8"/>
    <w:rsid w:val="00B50E04"/>
    <w:rsid w:val="00B5175F"/>
    <w:rsid w:val="00B52A9F"/>
    <w:rsid w:val="00B5331E"/>
    <w:rsid w:val="00B53527"/>
    <w:rsid w:val="00B53654"/>
    <w:rsid w:val="00B53730"/>
    <w:rsid w:val="00B53905"/>
    <w:rsid w:val="00B53C1A"/>
    <w:rsid w:val="00B54517"/>
    <w:rsid w:val="00B546DB"/>
    <w:rsid w:val="00B54B5B"/>
    <w:rsid w:val="00B54F49"/>
    <w:rsid w:val="00B5512C"/>
    <w:rsid w:val="00B55462"/>
    <w:rsid w:val="00B55503"/>
    <w:rsid w:val="00B5562E"/>
    <w:rsid w:val="00B55862"/>
    <w:rsid w:val="00B55D65"/>
    <w:rsid w:val="00B56305"/>
    <w:rsid w:val="00B56FE9"/>
    <w:rsid w:val="00B57000"/>
    <w:rsid w:val="00B60939"/>
    <w:rsid w:val="00B60AFD"/>
    <w:rsid w:val="00B60B6C"/>
    <w:rsid w:val="00B61288"/>
    <w:rsid w:val="00B61592"/>
    <w:rsid w:val="00B626AE"/>
    <w:rsid w:val="00B62715"/>
    <w:rsid w:val="00B62B0E"/>
    <w:rsid w:val="00B6361F"/>
    <w:rsid w:val="00B637A9"/>
    <w:rsid w:val="00B638A9"/>
    <w:rsid w:val="00B64A6C"/>
    <w:rsid w:val="00B64B45"/>
    <w:rsid w:val="00B64C2A"/>
    <w:rsid w:val="00B65219"/>
    <w:rsid w:val="00B653BC"/>
    <w:rsid w:val="00B65611"/>
    <w:rsid w:val="00B67891"/>
    <w:rsid w:val="00B67CBD"/>
    <w:rsid w:val="00B67EE8"/>
    <w:rsid w:val="00B709AE"/>
    <w:rsid w:val="00B709FC"/>
    <w:rsid w:val="00B70A86"/>
    <w:rsid w:val="00B70E8E"/>
    <w:rsid w:val="00B72668"/>
    <w:rsid w:val="00B743D3"/>
    <w:rsid w:val="00B74877"/>
    <w:rsid w:val="00B748B1"/>
    <w:rsid w:val="00B75525"/>
    <w:rsid w:val="00B761A7"/>
    <w:rsid w:val="00B7681A"/>
    <w:rsid w:val="00B76C92"/>
    <w:rsid w:val="00B774D7"/>
    <w:rsid w:val="00B80EF9"/>
    <w:rsid w:val="00B80EFD"/>
    <w:rsid w:val="00B818A4"/>
    <w:rsid w:val="00B8202A"/>
    <w:rsid w:val="00B82064"/>
    <w:rsid w:val="00B825D3"/>
    <w:rsid w:val="00B82F39"/>
    <w:rsid w:val="00B83546"/>
    <w:rsid w:val="00B83739"/>
    <w:rsid w:val="00B8381B"/>
    <w:rsid w:val="00B839C5"/>
    <w:rsid w:val="00B84117"/>
    <w:rsid w:val="00B84D00"/>
    <w:rsid w:val="00B84E09"/>
    <w:rsid w:val="00B84FBF"/>
    <w:rsid w:val="00B8558D"/>
    <w:rsid w:val="00B858F0"/>
    <w:rsid w:val="00B8593C"/>
    <w:rsid w:val="00B85AA2"/>
    <w:rsid w:val="00B85E39"/>
    <w:rsid w:val="00B85EFD"/>
    <w:rsid w:val="00B86416"/>
    <w:rsid w:val="00B8649C"/>
    <w:rsid w:val="00B8695D"/>
    <w:rsid w:val="00B86DA0"/>
    <w:rsid w:val="00B878FE"/>
    <w:rsid w:val="00B87F0A"/>
    <w:rsid w:val="00B9036D"/>
    <w:rsid w:val="00B91624"/>
    <w:rsid w:val="00B91EA2"/>
    <w:rsid w:val="00B920E9"/>
    <w:rsid w:val="00B92D0B"/>
    <w:rsid w:val="00B93034"/>
    <w:rsid w:val="00B930D7"/>
    <w:rsid w:val="00B93347"/>
    <w:rsid w:val="00B94399"/>
    <w:rsid w:val="00B944D8"/>
    <w:rsid w:val="00B946C8"/>
    <w:rsid w:val="00B94945"/>
    <w:rsid w:val="00B94DD6"/>
    <w:rsid w:val="00B94DEB"/>
    <w:rsid w:val="00B95BBA"/>
    <w:rsid w:val="00B96016"/>
    <w:rsid w:val="00B96524"/>
    <w:rsid w:val="00B96FFF"/>
    <w:rsid w:val="00B970CD"/>
    <w:rsid w:val="00B9727C"/>
    <w:rsid w:val="00B97B96"/>
    <w:rsid w:val="00B97F3E"/>
    <w:rsid w:val="00BA039D"/>
    <w:rsid w:val="00BA110C"/>
    <w:rsid w:val="00BA2078"/>
    <w:rsid w:val="00BA27EA"/>
    <w:rsid w:val="00BA322D"/>
    <w:rsid w:val="00BA333D"/>
    <w:rsid w:val="00BA3868"/>
    <w:rsid w:val="00BA526C"/>
    <w:rsid w:val="00BA5A40"/>
    <w:rsid w:val="00BA5A44"/>
    <w:rsid w:val="00BA612E"/>
    <w:rsid w:val="00BA63FA"/>
    <w:rsid w:val="00BA6827"/>
    <w:rsid w:val="00BA6B3B"/>
    <w:rsid w:val="00BA6CA1"/>
    <w:rsid w:val="00BA6F9A"/>
    <w:rsid w:val="00BA7E44"/>
    <w:rsid w:val="00BA7ED1"/>
    <w:rsid w:val="00BB00B3"/>
    <w:rsid w:val="00BB0BDD"/>
    <w:rsid w:val="00BB176C"/>
    <w:rsid w:val="00BB1FFD"/>
    <w:rsid w:val="00BB20D1"/>
    <w:rsid w:val="00BB2817"/>
    <w:rsid w:val="00BB2A73"/>
    <w:rsid w:val="00BB2AF1"/>
    <w:rsid w:val="00BB3A45"/>
    <w:rsid w:val="00BB3DF4"/>
    <w:rsid w:val="00BB3E16"/>
    <w:rsid w:val="00BB3F51"/>
    <w:rsid w:val="00BB4806"/>
    <w:rsid w:val="00BB4ACC"/>
    <w:rsid w:val="00BB52BF"/>
    <w:rsid w:val="00BB559A"/>
    <w:rsid w:val="00BB5D98"/>
    <w:rsid w:val="00BB703E"/>
    <w:rsid w:val="00BB732D"/>
    <w:rsid w:val="00BB7405"/>
    <w:rsid w:val="00BB79EE"/>
    <w:rsid w:val="00BC0798"/>
    <w:rsid w:val="00BC0F06"/>
    <w:rsid w:val="00BC2127"/>
    <w:rsid w:val="00BC2B26"/>
    <w:rsid w:val="00BC2D07"/>
    <w:rsid w:val="00BC2F85"/>
    <w:rsid w:val="00BC3631"/>
    <w:rsid w:val="00BC38FF"/>
    <w:rsid w:val="00BC39AC"/>
    <w:rsid w:val="00BC4A00"/>
    <w:rsid w:val="00BC4D50"/>
    <w:rsid w:val="00BC4ED5"/>
    <w:rsid w:val="00BC591F"/>
    <w:rsid w:val="00BC5D61"/>
    <w:rsid w:val="00BC6828"/>
    <w:rsid w:val="00BC6B10"/>
    <w:rsid w:val="00BC7D6D"/>
    <w:rsid w:val="00BD007A"/>
    <w:rsid w:val="00BD0BBD"/>
    <w:rsid w:val="00BD1145"/>
    <w:rsid w:val="00BD16B8"/>
    <w:rsid w:val="00BD1F9F"/>
    <w:rsid w:val="00BD2108"/>
    <w:rsid w:val="00BD2177"/>
    <w:rsid w:val="00BD2873"/>
    <w:rsid w:val="00BD2E82"/>
    <w:rsid w:val="00BD35EC"/>
    <w:rsid w:val="00BD3C91"/>
    <w:rsid w:val="00BD5493"/>
    <w:rsid w:val="00BD5C0D"/>
    <w:rsid w:val="00BD5EFC"/>
    <w:rsid w:val="00BD68A3"/>
    <w:rsid w:val="00BD6938"/>
    <w:rsid w:val="00BD6CF3"/>
    <w:rsid w:val="00BD7216"/>
    <w:rsid w:val="00BD727A"/>
    <w:rsid w:val="00BD78A5"/>
    <w:rsid w:val="00BD7AF4"/>
    <w:rsid w:val="00BD7C4B"/>
    <w:rsid w:val="00BD7D4A"/>
    <w:rsid w:val="00BD7F72"/>
    <w:rsid w:val="00BE010B"/>
    <w:rsid w:val="00BE02C0"/>
    <w:rsid w:val="00BE045C"/>
    <w:rsid w:val="00BE0BBF"/>
    <w:rsid w:val="00BE0BE4"/>
    <w:rsid w:val="00BE0E24"/>
    <w:rsid w:val="00BE0ECA"/>
    <w:rsid w:val="00BE1567"/>
    <w:rsid w:val="00BE1B78"/>
    <w:rsid w:val="00BE1DD7"/>
    <w:rsid w:val="00BE1E18"/>
    <w:rsid w:val="00BE1E62"/>
    <w:rsid w:val="00BE2180"/>
    <w:rsid w:val="00BE21F2"/>
    <w:rsid w:val="00BE2385"/>
    <w:rsid w:val="00BE4275"/>
    <w:rsid w:val="00BE58CC"/>
    <w:rsid w:val="00BE608C"/>
    <w:rsid w:val="00BF0147"/>
    <w:rsid w:val="00BF06AE"/>
    <w:rsid w:val="00BF0F95"/>
    <w:rsid w:val="00BF2433"/>
    <w:rsid w:val="00BF2AED"/>
    <w:rsid w:val="00BF2E6E"/>
    <w:rsid w:val="00BF305B"/>
    <w:rsid w:val="00BF315F"/>
    <w:rsid w:val="00BF31A9"/>
    <w:rsid w:val="00BF4391"/>
    <w:rsid w:val="00BF5162"/>
    <w:rsid w:val="00BF572E"/>
    <w:rsid w:val="00BF5DD5"/>
    <w:rsid w:val="00BF5E1D"/>
    <w:rsid w:val="00BF61C9"/>
    <w:rsid w:val="00BF6C94"/>
    <w:rsid w:val="00BF75A1"/>
    <w:rsid w:val="00BF7643"/>
    <w:rsid w:val="00BF77B9"/>
    <w:rsid w:val="00BF797A"/>
    <w:rsid w:val="00BF7FE8"/>
    <w:rsid w:val="00C00424"/>
    <w:rsid w:val="00C00971"/>
    <w:rsid w:val="00C00BB0"/>
    <w:rsid w:val="00C00D30"/>
    <w:rsid w:val="00C00DF8"/>
    <w:rsid w:val="00C01F0D"/>
    <w:rsid w:val="00C02889"/>
    <w:rsid w:val="00C02E1C"/>
    <w:rsid w:val="00C03E46"/>
    <w:rsid w:val="00C04A92"/>
    <w:rsid w:val="00C04DDF"/>
    <w:rsid w:val="00C05409"/>
    <w:rsid w:val="00C05F92"/>
    <w:rsid w:val="00C0714A"/>
    <w:rsid w:val="00C07CE7"/>
    <w:rsid w:val="00C07EF9"/>
    <w:rsid w:val="00C10495"/>
    <w:rsid w:val="00C10D0B"/>
    <w:rsid w:val="00C11239"/>
    <w:rsid w:val="00C1179F"/>
    <w:rsid w:val="00C11858"/>
    <w:rsid w:val="00C12409"/>
    <w:rsid w:val="00C127B9"/>
    <w:rsid w:val="00C128FA"/>
    <w:rsid w:val="00C12ACA"/>
    <w:rsid w:val="00C12C14"/>
    <w:rsid w:val="00C15208"/>
    <w:rsid w:val="00C15B53"/>
    <w:rsid w:val="00C15F04"/>
    <w:rsid w:val="00C167B3"/>
    <w:rsid w:val="00C16DCB"/>
    <w:rsid w:val="00C179B3"/>
    <w:rsid w:val="00C17E3F"/>
    <w:rsid w:val="00C200AA"/>
    <w:rsid w:val="00C217F7"/>
    <w:rsid w:val="00C21B72"/>
    <w:rsid w:val="00C21E24"/>
    <w:rsid w:val="00C2247A"/>
    <w:rsid w:val="00C227E1"/>
    <w:rsid w:val="00C22869"/>
    <w:rsid w:val="00C228C0"/>
    <w:rsid w:val="00C22BC6"/>
    <w:rsid w:val="00C23490"/>
    <w:rsid w:val="00C236A5"/>
    <w:rsid w:val="00C237ED"/>
    <w:rsid w:val="00C24632"/>
    <w:rsid w:val="00C24B55"/>
    <w:rsid w:val="00C25418"/>
    <w:rsid w:val="00C25CFD"/>
    <w:rsid w:val="00C25D9C"/>
    <w:rsid w:val="00C262E9"/>
    <w:rsid w:val="00C26607"/>
    <w:rsid w:val="00C26EA7"/>
    <w:rsid w:val="00C27076"/>
    <w:rsid w:val="00C274BD"/>
    <w:rsid w:val="00C2778B"/>
    <w:rsid w:val="00C278AA"/>
    <w:rsid w:val="00C27A10"/>
    <w:rsid w:val="00C27DBA"/>
    <w:rsid w:val="00C30896"/>
    <w:rsid w:val="00C30D2F"/>
    <w:rsid w:val="00C3127A"/>
    <w:rsid w:val="00C312A8"/>
    <w:rsid w:val="00C313A9"/>
    <w:rsid w:val="00C314FA"/>
    <w:rsid w:val="00C31649"/>
    <w:rsid w:val="00C31AC9"/>
    <w:rsid w:val="00C31EAD"/>
    <w:rsid w:val="00C3212E"/>
    <w:rsid w:val="00C32D0A"/>
    <w:rsid w:val="00C3434C"/>
    <w:rsid w:val="00C34821"/>
    <w:rsid w:val="00C34B18"/>
    <w:rsid w:val="00C34E00"/>
    <w:rsid w:val="00C34EBB"/>
    <w:rsid w:val="00C3591F"/>
    <w:rsid w:val="00C36B7E"/>
    <w:rsid w:val="00C36EA3"/>
    <w:rsid w:val="00C36F31"/>
    <w:rsid w:val="00C37134"/>
    <w:rsid w:val="00C375B6"/>
    <w:rsid w:val="00C40261"/>
    <w:rsid w:val="00C40385"/>
    <w:rsid w:val="00C40888"/>
    <w:rsid w:val="00C408D2"/>
    <w:rsid w:val="00C41768"/>
    <w:rsid w:val="00C41DD2"/>
    <w:rsid w:val="00C422AE"/>
    <w:rsid w:val="00C429C6"/>
    <w:rsid w:val="00C42A2C"/>
    <w:rsid w:val="00C439BB"/>
    <w:rsid w:val="00C43C41"/>
    <w:rsid w:val="00C440AD"/>
    <w:rsid w:val="00C44ADF"/>
    <w:rsid w:val="00C44EF2"/>
    <w:rsid w:val="00C470D8"/>
    <w:rsid w:val="00C4734A"/>
    <w:rsid w:val="00C475AA"/>
    <w:rsid w:val="00C477BE"/>
    <w:rsid w:val="00C479BD"/>
    <w:rsid w:val="00C47C65"/>
    <w:rsid w:val="00C505CD"/>
    <w:rsid w:val="00C507B7"/>
    <w:rsid w:val="00C50970"/>
    <w:rsid w:val="00C511A2"/>
    <w:rsid w:val="00C51321"/>
    <w:rsid w:val="00C519A9"/>
    <w:rsid w:val="00C51A68"/>
    <w:rsid w:val="00C51AD6"/>
    <w:rsid w:val="00C522D4"/>
    <w:rsid w:val="00C527C7"/>
    <w:rsid w:val="00C52F54"/>
    <w:rsid w:val="00C532CE"/>
    <w:rsid w:val="00C53A2D"/>
    <w:rsid w:val="00C53C98"/>
    <w:rsid w:val="00C53D68"/>
    <w:rsid w:val="00C55247"/>
    <w:rsid w:val="00C55DCC"/>
    <w:rsid w:val="00C56FCF"/>
    <w:rsid w:val="00C57793"/>
    <w:rsid w:val="00C57B6C"/>
    <w:rsid w:val="00C57BA1"/>
    <w:rsid w:val="00C57C7B"/>
    <w:rsid w:val="00C57EA2"/>
    <w:rsid w:val="00C57EB1"/>
    <w:rsid w:val="00C60351"/>
    <w:rsid w:val="00C60B06"/>
    <w:rsid w:val="00C60DF4"/>
    <w:rsid w:val="00C619A8"/>
    <w:rsid w:val="00C61A59"/>
    <w:rsid w:val="00C61D0A"/>
    <w:rsid w:val="00C628A6"/>
    <w:rsid w:val="00C628AB"/>
    <w:rsid w:val="00C62C63"/>
    <w:rsid w:val="00C62FB9"/>
    <w:rsid w:val="00C633D7"/>
    <w:rsid w:val="00C64344"/>
    <w:rsid w:val="00C64938"/>
    <w:rsid w:val="00C65108"/>
    <w:rsid w:val="00C653F2"/>
    <w:rsid w:val="00C65576"/>
    <w:rsid w:val="00C6571D"/>
    <w:rsid w:val="00C66165"/>
    <w:rsid w:val="00C66422"/>
    <w:rsid w:val="00C66A61"/>
    <w:rsid w:val="00C66B35"/>
    <w:rsid w:val="00C67DB1"/>
    <w:rsid w:val="00C7060A"/>
    <w:rsid w:val="00C70FB1"/>
    <w:rsid w:val="00C7151A"/>
    <w:rsid w:val="00C716CF"/>
    <w:rsid w:val="00C717E3"/>
    <w:rsid w:val="00C71902"/>
    <w:rsid w:val="00C71F60"/>
    <w:rsid w:val="00C72241"/>
    <w:rsid w:val="00C7246D"/>
    <w:rsid w:val="00C72A66"/>
    <w:rsid w:val="00C74547"/>
    <w:rsid w:val="00C750C8"/>
    <w:rsid w:val="00C7560F"/>
    <w:rsid w:val="00C75924"/>
    <w:rsid w:val="00C75D70"/>
    <w:rsid w:val="00C75ED2"/>
    <w:rsid w:val="00C76005"/>
    <w:rsid w:val="00C76C8B"/>
    <w:rsid w:val="00C77A46"/>
    <w:rsid w:val="00C77D56"/>
    <w:rsid w:val="00C800C7"/>
    <w:rsid w:val="00C8060B"/>
    <w:rsid w:val="00C80A0E"/>
    <w:rsid w:val="00C8141B"/>
    <w:rsid w:val="00C81CFC"/>
    <w:rsid w:val="00C81F01"/>
    <w:rsid w:val="00C81F6F"/>
    <w:rsid w:val="00C820AB"/>
    <w:rsid w:val="00C8213F"/>
    <w:rsid w:val="00C82DEC"/>
    <w:rsid w:val="00C82F21"/>
    <w:rsid w:val="00C8303F"/>
    <w:rsid w:val="00C832F3"/>
    <w:rsid w:val="00C834EF"/>
    <w:rsid w:val="00C83DB3"/>
    <w:rsid w:val="00C84A6A"/>
    <w:rsid w:val="00C84B1D"/>
    <w:rsid w:val="00C84C9A"/>
    <w:rsid w:val="00C85154"/>
    <w:rsid w:val="00C85A70"/>
    <w:rsid w:val="00C85AE1"/>
    <w:rsid w:val="00C85D45"/>
    <w:rsid w:val="00C8615D"/>
    <w:rsid w:val="00C86259"/>
    <w:rsid w:val="00C872C0"/>
    <w:rsid w:val="00C876F4"/>
    <w:rsid w:val="00C8797A"/>
    <w:rsid w:val="00C900B8"/>
    <w:rsid w:val="00C90173"/>
    <w:rsid w:val="00C90197"/>
    <w:rsid w:val="00C90C71"/>
    <w:rsid w:val="00C91628"/>
    <w:rsid w:val="00C9170E"/>
    <w:rsid w:val="00C917F8"/>
    <w:rsid w:val="00C91E02"/>
    <w:rsid w:val="00C91E67"/>
    <w:rsid w:val="00C91FD1"/>
    <w:rsid w:val="00C92B7F"/>
    <w:rsid w:val="00C92D85"/>
    <w:rsid w:val="00C931CF"/>
    <w:rsid w:val="00C932AA"/>
    <w:rsid w:val="00C93406"/>
    <w:rsid w:val="00C93680"/>
    <w:rsid w:val="00C938CF"/>
    <w:rsid w:val="00C93B60"/>
    <w:rsid w:val="00C94053"/>
    <w:rsid w:val="00C9410B"/>
    <w:rsid w:val="00C94846"/>
    <w:rsid w:val="00C94C89"/>
    <w:rsid w:val="00C958D1"/>
    <w:rsid w:val="00C9624D"/>
    <w:rsid w:val="00C967B7"/>
    <w:rsid w:val="00C969DA"/>
    <w:rsid w:val="00C96AB8"/>
    <w:rsid w:val="00C97B28"/>
    <w:rsid w:val="00C97BCC"/>
    <w:rsid w:val="00CA0198"/>
    <w:rsid w:val="00CA0BB2"/>
    <w:rsid w:val="00CA226E"/>
    <w:rsid w:val="00CA2883"/>
    <w:rsid w:val="00CA2B33"/>
    <w:rsid w:val="00CA2BFB"/>
    <w:rsid w:val="00CA2C77"/>
    <w:rsid w:val="00CA2DD0"/>
    <w:rsid w:val="00CA2F4D"/>
    <w:rsid w:val="00CA30F6"/>
    <w:rsid w:val="00CA4374"/>
    <w:rsid w:val="00CA444F"/>
    <w:rsid w:val="00CA4604"/>
    <w:rsid w:val="00CA4D1C"/>
    <w:rsid w:val="00CA4F52"/>
    <w:rsid w:val="00CA5245"/>
    <w:rsid w:val="00CA5F1E"/>
    <w:rsid w:val="00CA65BE"/>
    <w:rsid w:val="00CA71F4"/>
    <w:rsid w:val="00CA72F1"/>
    <w:rsid w:val="00CA77CC"/>
    <w:rsid w:val="00CA7A2D"/>
    <w:rsid w:val="00CA7B09"/>
    <w:rsid w:val="00CA7C15"/>
    <w:rsid w:val="00CA7CCC"/>
    <w:rsid w:val="00CB0842"/>
    <w:rsid w:val="00CB09A9"/>
    <w:rsid w:val="00CB0C35"/>
    <w:rsid w:val="00CB12A5"/>
    <w:rsid w:val="00CB16F7"/>
    <w:rsid w:val="00CB1CAC"/>
    <w:rsid w:val="00CB2150"/>
    <w:rsid w:val="00CB22C2"/>
    <w:rsid w:val="00CB25AA"/>
    <w:rsid w:val="00CB2F2A"/>
    <w:rsid w:val="00CB32C9"/>
    <w:rsid w:val="00CB3C9A"/>
    <w:rsid w:val="00CB3C9E"/>
    <w:rsid w:val="00CB4897"/>
    <w:rsid w:val="00CB5048"/>
    <w:rsid w:val="00CB5515"/>
    <w:rsid w:val="00CB5664"/>
    <w:rsid w:val="00CB5880"/>
    <w:rsid w:val="00CB58FA"/>
    <w:rsid w:val="00CB5B1A"/>
    <w:rsid w:val="00CB5E12"/>
    <w:rsid w:val="00CB6A1C"/>
    <w:rsid w:val="00CB6B22"/>
    <w:rsid w:val="00CB7240"/>
    <w:rsid w:val="00CB7F5F"/>
    <w:rsid w:val="00CC007D"/>
    <w:rsid w:val="00CC1B39"/>
    <w:rsid w:val="00CC1BFA"/>
    <w:rsid w:val="00CC1F7C"/>
    <w:rsid w:val="00CC2774"/>
    <w:rsid w:val="00CC2A2D"/>
    <w:rsid w:val="00CC2E9F"/>
    <w:rsid w:val="00CC2F56"/>
    <w:rsid w:val="00CC35EA"/>
    <w:rsid w:val="00CC3848"/>
    <w:rsid w:val="00CC3A23"/>
    <w:rsid w:val="00CC3C2E"/>
    <w:rsid w:val="00CC44B6"/>
    <w:rsid w:val="00CC4AFF"/>
    <w:rsid w:val="00CC4C5A"/>
    <w:rsid w:val="00CC56B6"/>
    <w:rsid w:val="00CC66D0"/>
    <w:rsid w:val="00CC67CF"/>
    <w:rsid w:val="00CC6B2D"/>
    <w:rsid w:val="00CC6D5E"/>
    <w:rsid w:val="00CC7466"/>
    <w:rsid w:val="00CC768C"/>
    <w:rsid w:val="00CC7C07"/>
    <w:rsid w:val="00CD0200"/>
    <w:rsid w:val="00CD03D2"/>
    <w:rsid w:val="00CD0589"/>
    <w:rsid w:val="00CD0FE7"/>
    <w:rsid w:val="00CD1404"/>
    <w:rsid w:val="00CD2645"/>
    <w:rsid w:val="00CD2C1A"/>
    <w:rsid w:val="00CD2D4D"/>
    <w:rsid w:val="00CD364C"/>
    <w:rsid w:val="00CD3F77"/>
    <w:rsid w:val="00CD3FA7"/>
    <w:rsid w:val="00CD5362"/>
    <w:rsid w:val="00CD5D15"/>
    <w:rsid w:val="00CD6804"/>
    <w:rsid w:val="00CD6ADC"/>
    <w:rsid w:val="00CD6D54"/>
    <w:rsid w:val="00CD7193"/>
    <w:rsid w:val="00CD7663"/>
    <w:rsid w:val="00CD7996"/>
    <w:rsid w:val="00CD7CF0"/>
    <w:rsid w:val="00CE09BE"/>
    <w:rsid w:val="00CE1045"/>
    <w:rsid w:val="00CE1926"/>
    <w:rsid w:val="00CE1F03"/>
    <w:rsid w:val="00CE24A3"/>
    <w:rsid w:val="00CE24AA"/>
    <w:rsid w:val="00CE26B8"/>
    <w:rsid w:val="00CE38C8"/>
    <w:rsid w:val="00CE4A24"/>
    <w:rsid w:val="00CE5007"/>
    <w:rsid w:val="00CE524F"/>
    <w:rsid w:val="00CE58CC"/>
    <w:rsid w:val="00CE58D9"/>
    <w:rsid w:val="00CE6274"/>
    <w:rsid w:val="00CE6473"/>
    <w:rsid w:val="00CE7068"/>
    <w:rsid w:val="00CE77B6"/>
    <w:rsid w:val="00CF2B8D"/>
    <w:rsid w:val="00CF3A1B"/>
    <w:rsid w:val="00CF3F7F"/>
    <w:rsid w:val="00CF456B"/>
    <w:rsid w:val="00CF4656"/>
    <w:rsid w:val="00CF4E6B"/>
    <w:rsid w:val="00CF5024"/>
    <w:rsid w:val="00CF521A"/>
    <w:rsid w:val="00CF5A22"/>
    <w:rsid w:val="00CF5AC2"/>
    <w:rsid w:val="00CF5C96"/>
    <w:rsid w:val="00CF6067"/>
    <w:rsid w:val="00CF62C0"/>
    <w:rsid w:val="00CF6896"/>
    <w:rsid w:val="00CF6D67"/>
    <w:rsid w:val="00CF7EBF"/>
    <w:rsid w:val="00D00021"/>
    <w:rsid w:val="00D0160B"/>
    <w:rsid w:val="00D02255"/>
    <w:rsid w:val="00D0262E"/>
    <w:rsid w:val="00D02836"/>
    <w:rsid w:val="00D03679"/>
    <w:rsid w:val="00D036AC"/>
    <w:rsid w:val="00D03D40"/>
    <w:rsid w:val="00D041A0"/>
    <w:rsid w:val="00D04E1E"/>
    <w:rsid w:val="00D05785"/>
    <w:rsid w:val="00D0594C"/>
    <w:rsid w:val="00D05E3D"/>
    <w:rsid w:val="00D06139"/>
    <w:rsid w:val="00D070D4"/>
    <w:rsid w:val="00D070F7"/>
    <w:rsid w:val="00D10986"/>
    <w:rsid w:val="00D110BD"/>
    <w:rsid w:val="00D11688"/>
    <w:rsid w:val="00D122C1"/>
    <w:rsid w:val="00D12EBC"/>
    <w:rsid w:val="00D13675"/>
    <w:rsid w:val="00D141E1"/>
    <w:rsid w:val="00D142B6"/>
    <w:rsid w:val="00D15314"/>
    <w:rsid w:val="00D156DD"/>
    <w:rsid w:val="00D15B48"/>
    <w:rsid w:val="00D15D03"/>
    <w:rsid w:val="00D16057"/>
    <w:rsid w:val="00D163AA"/>
    <w:rsid w:val="00D16F84"/>
    <w:rsid w:val="00D1708D"/>
    <w:rsid w:val="00D17773"/>
    <w:rsid w:val="00D17B85"/>
    <w:rsid w:val="00D17D02"/>
    <w:rsid w:val="00D17D6C"/>
    <w:rsid w:val="00D20577"/>
    <w:rsid w:val="00D2087C"/>
    <w:rsid w:val="00D20D11"/>
    <w:rsid w:val="00D20DC6"/>
    <w:rsid w:val="00D2155B"/>
    <w:rsid w:val="00D215F7"/>
    <w:rsid w:val="00D2170D"/>
    <w:rsid w:val="00D21A36"/>
    <w:rsid w:val="00D2211F"/>
    <w:rsid w:val="00D223AA"/>
    <w:rsid w:val="00D223DB"/>
    <w:rsid w:val="00D22705"/>
    <w:rsid w:val="00D22A33"/>
    <w:rsid w:val="00D22C9D"/>
    <w:rsid w:val="00D23D11"/>
    <w:rsid w:val="00D23EED"/>
    <w:rsid w:val="00D244B6"/>
    <w:rsid w:val="00D248DB"/>
    <w:rsid w:val="00D24BB5"/>
    <w:rsid w:val="00D24D75"/>
    <w:rsid w:val="00D250C4"/>
    <w:rsid w:val="00D26158"/>
    <w:rsid w:val="00D2693B"/>
    <w:rsid w:val="00D26EC4"/>
    <w:rsid w:val="00D2703B"/>
    <w:rsid w:val="00D2754D"/>
    <w:rsid w:val="00D27B27"/>
    <w:rsid w:val="00D3062C"/>
    <w:rsid w:val="00D30ACE"/>
    <w:rsid w:val="00D30CAE"/>
    <w:rsid w:val="00D30CEF"/>
    <w:rsid w:val="00D30D5B"/>
    <w:rsid w:val="00D30E6B"/>
    <w:rsid w:val="00D30E91"/>
    <w:rsid w:val="00D31774"/>
    <w:rsid w:val="00D32442"/>
    <w:rsid w:val="00D32882"/>
    <w:rsid w:val="00D3288A"/>
    <w:rsid w:val="00D32D2A"/>
    <w:rsid w:val="00D33982"/>
    <w:rsid w:val="00D33BE9"/>
    <w:rsid w:val="00D33F93"/>
    <w:rsid w:val="00D34647"/>
    <w:rsid w:val="00D34B87"/>
    <w:rsid w:val="00D354F7"/>
    <w:rsid w:val="00D357FF"/>
    <w:rsid w:val="00D35D9E"/>
    <w:rsid w:val="00D36196"/>
    <w:rsid w:val="00D363DB"/>
    <w:rsid w:val="00D36659"/>
    <w:rsid w:val="00D37346"/>
    <w:rsid w:val="00D374DD"/>
    <w:rsid w:val="00D37BBD"/>
    <w:rsid w:val="00D40F1C"/>
    <w:rsid w:val="00D424C7"/>
    <w:rsid w:val="00D4348E"/>
    <w:rsid w:val="00D436CE"/>
    <w:rsid w:val="00D43B2A"/>
    <w:rsid w:val="00D43CF1"/>
    <w:rsid w:val="00D43D83"/>
    <w:rsid w:val="00D44B54"/>
    <w:rsid w:val="00D44F94"/>
    <w:rsid w:val="00D45149"/>
    <w:rsid w:val="00D45588"/>
    <w:rsid w:val="00D4593F"/>
    <w:rsid w:val="00D45EE6"/>
    <w:rsid w:val="00D4642E"/>
    <w:rsid w:val="00D473A6"/>
    <w:rsid w:val="00D47575"/>
    <w:rsid w:val="00D478CB"/>
    <w:rsid w:val="00D47A83"/>
    <w:rsid w:val="00D47FA4"/>
    <w:rsid w:val="00D507C2"/>
    <w:rsid w:val="00D5100F"/>
    <w:rsid w:val="00D5162A"/>
    <w:rsid w:val="00D51681"/>
    <w:rsid w:val="00D51D2C"/>
    <w:rsid w:val="00D5243B"/>
    <w:rsid w:val="00D524F0"/>
    <w:rsid w:val="00D52EFA"/>
    <w:rsid w:val="00D533EC"/>
    <w:rsid w:val="00D541A5"/>
    <w:rsid w:val="00D54333"/>
    <w:rsid w:val="00D5480B"/>
    <w:rsid w:val="00D54EAD"/>
    <w:rsid w:val="00D5557B"/>
    <w:rsid w:val="00D555BD"/>
    <w:rsid w:val="00D55755"/>
    <w:rsid w:val="00D55B41"/>
    <w:rsid w:val="00D55CE9"/>
    <w:rsid w:val="00D56366"/>
    <w:rsid w:val="00D56449"/>
    <w:rsid w:val="00D568C1"/>
    <w:rsid w:val="00D56967"/>
    <w:rsid w:val="00D56A95"/>
    <w:rsid w:val="00D56D48"/>
    <w:rsid w:val="00D574B0"/>
    <w:rsid w:val="00D5787C"/>
    <w:rsid w:val="00D6076E"/>
    <w:rsid w:val="00D6102D"/>
    <w:rsid w:val="00D62779"/>
    <w:rsid w:val="00D627BD"/>
    <w:rsid w:val="00D64CF7"/>
    <w:rsid w:val="00D64DD6"/>
    <w:rsid w:val="00D6559D"/>
    <w:rsid w:val="00D65C15"/>
    <w:rsid w:val="00D65EF9"/>
    <w:rsid w:val="00D7085F"/>
    <w:rsid w:val="00D70F16"/>
    <w:rsid w:val="00D71D1D"/>
    <w:rsid w:val="00D724EF"/>
    <w:rsid w:val="00D72617"/>
    <w:rsid w:val="00D72F57"/>
    <w:rsid w:val="00D72F77"/>
    <w:rsid w:val="00D73D20"/>
    <w:rsid w:val="00D73FDB"/>
    <w:rsid w:val="00D74042"/>
    <w:rsid w:val="00D740F2"/>
    <w:rsid w:val="00D75129"/>
    <w:rsid w:val="00D766D1"/>
    <w:rsid w:val="00D76A44"/>
    <w:rsid w:val="00D76DC3"/>
    <w:rsid w:val="00D77297"/>
    <w:rsid w:val="00D77708"/>
    <w:rsid w:val="00D8019F"/>
    <w:rsid w:val="00D805C8"/>
    <w:rsid w:val="00D80737"/>
    <w:rsid w:val="00D807C8"/>
    <w:rsid w:val="00D81244"/>
    <w:rsid w:val="00D815EF"/>
    <w:rsid w:val="00D81949"/>
    <w:rsid w:val="00D81F26"/>
    <w:rsid w:val="00D8229A"/>
    <w:rsid w:val="00D822E2"/>
    <w:rsid w:val="00D823F3"/>
    <w:rsid w:val="00D82534"/>
    <w:rsid w:val="00D82E3C"/>
    <w:rsid w:val="00D83020"/>
    <w:rsid w:val="00D8312D"/>
    <w:rsid w:val="00D8319E"/>
    <w:rsid w:val="00D83B80"/>
    <w:rsid w:val="00D843F2"/>
    <w:rsid w:val="00D85613"/>
    <w:rsid w:val="00D85DF1"/>
    <w:rsid w:val="00D86231"/>
    <w:rsid w:val="00D864DE"/>
    <w:rsid w:val="00D87181"/>
    <w:rsid w:val="00D9086E"/>
    <w:rsid w:val="00D90E1B"/>
    <w:rsid w:val="00D912AB"/>
    <w:rsid w:val="00D91923"/>
    <w:rsid w:val="00D929CC"/>
    <w:rsid w:val="00D92F6E"/>
    <w:rsid w:val="00D930E7"/>
    <w:rsid w:val="00D93753"/>
    <w:rsid w:val="00D96091"/>
    <w:rsid w:val="00D9691A"/>
    <w:rsid w:val="00D9692E"/>
    <w:rsid w:val="00D9771C"/>
    <w:rsid w:val="00DA028E"/>
    <w:rsid w:val="00DA054C"/>
    <w:rsid w:val="00DA0E85"/>
    <w:rsid w:val="00DA1086"/>
    <w:rsid w:val="00DA1515"/>
    <w:rsid w:val="00DA1FF7"/>
    <w:rsid w:val="00DA2762"/>
    <w:rsid w:val="00DA3167"/>
    <w:rsid w:val="00DA4388"/>
    <w:rsid w:val="00DA4BF8"/>
    <w:rsid w:val="00DA4DC3"/>
    <w:rsid w:val="00DA4F66"/>
    <w:rsid w:val="00DA51BD"/>
    <w:rsid w:val="00DA574C"/>
    <w:rsid w:val="00DA57E9"/>
    <w:rsid w:val="00DA637D"/>
    <w:rsid w:val="00DA6A10"/>
    <w:rsid w:val="00DA77A5"/>
    <w:rsid w:val="00DAB14C"/>
    <w:rsid w:val="00DB0E36"/>
    <w:rsid w:val="00DB0EB0"/>
    <w:rsid w:val="00DB180D"/>
    <w:rsid w:val="00DB202D"/>
    <w:rsid w:val="00DB2817"/>
    <w:rsid w:val="00DB2C18"/>
    <w:rsid w:val="00DB3A70"/>
    <w:rsid w:val="00DB3CD7"/>
    <w:rsid w:val="00DB3DBF"/>
    <w:rsid w:val="00DB43F6"/>
    <w:rsid w:val="00DB45F3"/>
    <w:rsid w:val="00DB484F"/>
    <w:rsid w:val="00DB4E80"/>
    <w:rsid w:val="00DB4EC7"/>
    <w:rsid w:val="00DB4EED"/>
    <w:rsid w:val="00DB4F6D"/>
    <w:rsid w:val="00DB52C3"/>
    <w:rsid w:val="00DB6CC9"/>
    <w:rsid w:val="00DB7690"/>
    <w:rsid w:val="00DB78BD"/>
    <w:rsid w:val="00DB7AA6"/>
    <w:rsid w:val="00DB7E8C"/>
    <w:rsid w:val="00DC04F6"/>
    <w:rsid w:val="00DC0690"/>
    <w:rsid w:val="00DC0A5E"/>
    <w:rsid w:val="00DC0CB3"/>
    <w:rsid w:val="00DC1775"/>
    <w:rsid w:val="00DC190F"/>
    <w:rsid w:val="00DC1D65"/>
    <w:rsid w:val="00DC2A2E"/>
    <w:rsid w:val="00DC2B22"/>
    <w:rsid w:val="00DC31C5"/>
    <w:rsid w:val="00DC3650"/>
    <w:rsid w:val="00DC3B49"/>
    <w:rsid w:val="00DC3C57"/>
    <w:rsid w:val="00DC44B2"/>
    <w:rsid w:val="00DC464E"/>
    <w:rsid w:val="00DC4A5B"/>
    <w:rsid w:val="00DC4E96"/>
    <w:rsid w:val="00DC5334"/>
    <w:rsid w:val="00DC54E5"/>
    <w:rsid w:val="00DC5501"/>
    <w:rsid w:val="00DC5DE4"/>
    <w:rsid w:val="00DC64AA"/>
    <w:rsid w:val="00DC6DA9"/>
    <w:rsid w:val="00DC7154"/>
    <w:rsid w:val="00DC7AD3"/>
    <w:rsid w:val="00DC7B0E"/>
    <w:rsid w:val="00DC7E56"/>
    <w:rsid w:val="00DC7E8A"/>
    <w:rsid w:val="00DD0332"/>
    <w:rsid w:val="00DD0F78"/>
    <w:rsid w:val="00DD15A9"/>
    <w:rsid w:val="00DD17F4"/>
    <w:rsid w:val="00DD1A33"/>
    <w:rsid w:val="00DD1A8C"/>
    <w:rsid w:val="00DD1BE0"/>
    <w:rsid w:val="00DD1E25"/>
    <w:rsid w:val="00DD1EF9"/>
    <w:rsid w:val="00DD20D2"/>
    <w:rsid w:val="00DD273C"/>
    <w:rsid w:val="00DD2B30"/>
    <w:rsid w:val="00DD2F60"/>
    <w:rsid w:val="00DD3CC9"/>
    <w:rsid w:val="00DD3F28"/>
    <w:rsid w:val="00DD4446"/>
    <w:rsid w:val="00DD44D8"/>
    <w:rsid w:val="00DD4537"/>
    <w:rsid w:val="00DD4D23"/>
    <w:rsid w:val="00DD4E15"/>
    <w:rsid w:val="00DD554B"/>
    <w:rsid w:val="00DD64FC"/>
    <w:rsid w:val="00DE026F"/>
    <w:rsid w:val="00DE0B0B"/>
    <w:rsid w:val="00DE0C22"/>
    <w:rsid w:val="00DE15C1"/>
    <w:rsid w:val="00DE1794"/>
    <w:rsid w:val="00DE1AD0"/>
    <w:rsid w:val="00DE1FFD"/>
    <w:rsid w:val="00DE2304"/>
    <w:rsid w:val="00DE285D"/>
    <w:rsid w:val="00DE2A74"/>
    <w:rsid w:val="00DE3138"/>
    <w:rsid w:val="00DE338A"/>
    <w:rsid w:val="00DE37F8"/>
    <w:rsid w:val="00DE4273"/>
    <w:rsid w:val="00DE4937"/>
    <w:rsid w:val="00DE4AB7"/>
    <w:rsid w:val="00DE4BEA"/>
    <w:rsid w:val="00DE4FCB"/>
    <w:rsid w:val="00DE5BE4"/>
    <w:rsid w:val="00DE5D07"/>
    <w:rsid w:val="00DE602B"/>
    <w:rsid w:val="00DE6173"/>
    <w:rsid w:val="00DE639F"/>
    <w:rsid w:val="00DE6720"/>
    <w:rsid w:val="00DE67AD"/>
    <w:rsid w:val="00DE6B62"/>
    <w:rsid w:val="00DE6C18"/>
    <w:rsid w:val="00DE72A7"/>
    <w:rsid w:val="00DE7832"/>
    <w:rsid w:val="00DF0044"/>
    <w:rsid w:val="00DF07A4"/>
    <w:rsid w:val="00DF09FF"/>
    <w:rsid w:val="00DF0C41"/>
    <w:rsid w:val="00DF122B"/>
    <w:rsid w:val="00DF18E5"/>
    <w:rsid w:val="00DF18FC"/>
    <w:rsid w:val="00DF1D14"/>
    <w:rsid w:val="00DF2918"/>
    <w:rsid w:val="00DF2B97"/>
    <w:rsid w:val="00DF2D71"/>
    <w:rsid w:val="00DF4342"/>
    <w:rsid w:val="00DF5116"/>
    <w:rsid w:val="00DF5D2B"/>
    <w:rsid w:val="00DF5D3D"/>
    <w:rsid w:val="00DF60E7"/>
    <w:rsid w:val="00DF62FC"/>
    <w:rsid w:val="00DF6308"/>
    <w:rsid w:val="00DF6341"/>
    <w:rsid w:val="00DF63E9"/>
    <w:rsid w:val="00DF6D6A"/>
    <w:rsid w:val="00DF730C"/>
    <w:rsid w:val="00DF7378"/>
    <w:rsid w:val="00DF7B0A"/>
    <w:rsid w:val="00E00B9B"/>
    <w:rsid w:val="00E00E8E"/>
    <w:rsid w:val="00E016AF"/>
    <w:rsid w:val="00E01963"/>
    <w:rsid w:val="00E02287"/>
    <w:rsid w:val="00E02D41"/>
    <w:rsid w:val="00E02D53"/>
    <w:rsid w:val="00E02FB8"/>
    <w:rsid w:val="00E04238"/>
    <w:rsid w:val="00E0488B"/>
    <w:rsid w:val="00E049A2"/>
    <w:rsid w:val="00E04B23"/>
    <w:rsid w:val="00E04E6F"/>
    <w:rsid w:val="00E0552F"/>
    <w:rsid w:val="00E05630"/>
    <w:rsid w:val="00E0589F"/>
    <w:rsid w:val="00E05967"/>
    <w:rsid w:val="00E06906"/>
    <w:rsid w:val="00E06910"/>
    <w:rsid w:val="00E06D53"/>
    <w:rsid w:val="00E06DBB"/>
    <w:rsid w:val="00E06E66"/>
    <w:rsid w:val="00E07DC6"/>
    <w:rsid w:val="00E10149"/>
    <w:rsid w:val="00E102D3"/>
    <w:rsid w:val="00E10304"/>
    <w:rsid w:val="00E10D0F"/>
    <w:rsid w:val="00E10DA3"/>
    <w:rsid w:val="00E11340"/>
    <w:rsid w:val="00E118E4"/>
    <w:rsid w:val="00E11B60"/>
    <w:rsid w:val="00E11F0D"/>
    <w:rsid w:val="00E122A1"/>
    <w:rsid w:val="00E124AF"/>
    <w:rsid w:val="00E12E6D"/>
    <w:rsid w:val="00E132B1"/>
    <w:rsid w:val="00E13351"/>
    <w:rsid w:val="00E13636"/>
    <w:rsid w:val="00E1389C"/>
    <w:rsid w:val="00E1390F"/>
    <w:rsid w:val="00E13BA9"/>
    <w:rsid w:val="00E13D5C"/>
    <w:rsid w:val="00E14206"/>
    <w:rsid w:val="00E144EB"/>
    <w:rsid w:val="00E14AD4"/>
    <w:rsid w:val="00E15340"/>
    <w:rsid w:val="00E1568D"/>
    <w:rsid w:val="00E15B30"/>
    <w:rsid w:val="00E15F8D"/>
    <w:rsid w:val="00E16372"/>
    <w:rsid w:val="00E16450"/>
    <w:rsid w:val="00E16A78"/>
    <w:rsid w:val="00E16AD8"/>
    <w:rsid w:val="00E16CD0"/>
    <w:rsid w:val="00E17038"/>
    <w:rsid w:val="00E1751B"/>
    <w:rsid w:val="00E17FFA"/>
    <w:rsid w:val="00E2001C"/>
    <w:rsid w:val="00E203DC"/>
    <w:rsid w:val="00E205C1"/>
    <w:rsid w:val="00E206BA"/>
    <w:rsid w:val="00E20E4D"/>
    <w:rsid w:val="00E20ED6"/>
    <w:rsid w:val="00E20F38"/>
    <w:rsid w:val="00E21358"/>
    <w:rsid w:val="00E21FB3"/>
    <w:rsid w:val="00E2223F"/>
    <w:rsid w:val="00E2249B"/>
    <w:rsid w:val="00E22A0D"/>
    <w:rsid w:val="00E22E92"/>
    <w:rsid w:val="00E233FF"/>
    <w:rsid w:val="00E23A5D"/>
    <w:rsid w:val="00E244F6"/>
    <w:rsid w:val="00E2523B"/>
    <w:rsid w:val="00E25420"/>
    <w:rsid w:val="00E258DB"/>
    <w:rsid w:val="00E26159"/>
    <w:rsid w:val="00E264AE"/>
    <w:rsid w:val="00E26B8B"/>
    <w:rsid w:val="00E27620"/>
    <w:rsid w:val="00E2771E"/>
    <w:rsid w:val="00E306E3"/>
    <w:rsid w:val="00E311EF"/>
    <w:rsid w:val="00E32180"/>
    <w:rsid w:val="00E331BE"/>
    <w:rsid w:val="00E33926"/>
    <w:rsid w:val="00E33F84"/>
    <w:rsid w:val="00E34432"/>
    <w:rsid w:val="00E345DF"/>
    <w:rsid w:val="00E3464D"/>
    <w:rsid w:val="00E34948"/>
    <w:rsid w:val="00E35400"/>
    <w:rsid w:val="00E35825"/>
    <w:rsid w:val="00E363D2"/>
    <w:rsid w:val="00E36700"/>
    <w:rsid w:val="00E3693C"/>
    <w:rsid w:val="00E36DE2"/>
    <w:rsid w:val="00E37033"/>
    <w:rsid w:val="00E3742F"/>
    <w:rsid w:val="00E37569"/>
    <w:rsid w:val="00E3759E"/>
    <w:rsid w:val="00E37693"/>
    <w:rsid w:val="00E37724"/>
    <w:rsid w:val="00E37902"/>
    <w:rsid w:val="00E401B2"/>
    <w:rsid w:val="00E40250"/>
    <w:rsid w:val="00E41183"/>
    <w:rsid w:val="00E41393"/>
    <w:rsid w:val="00E41E30"/>
    <w:rsid w:val="00E4207E"/>
    <w:rsid w:val="00E4215A"/>
    <w:rsid w:val="00E42A6C"/>
    <w:rsid w:val="00E42C0F"/>
    <w:rsid w:val="00E42F52"/>
    <w:rsid w:val="00E42F73"/>
    <w:rsid w:val="00E43273"/>
    <w:rsid w:val="00E4343F"/>
    <w:rsid w:val="00E43483"/>
    <w:rsid w:val="00E43D70"/>
    <w:rsid w:val="00E44E62"/>
    <w:rsid w:val="00E45F99"/>
    <w:rsid w:val="00E466F3"/>
    <w:rsid w:val="00E466F8"/>
    <w:rsid w:val="00E468D6"/>
    <w:rsid w:val="00E47B2C"/>
    <w:rsid w:val="00E47BE4"/>
    <w:rsid w:val="00E50593"/>
    <w:rsid w:val="00E50604"/>
    <w:rsid w:val="00E50A4A"/>
    <w:rsid w:val="00E51560"/>
    <w:rsid w:val="00E51821"/>
    <w:rsid w:val="00E5225A"/>
    <w:rsid w:val="00E526B3"/>
    <w:rsid w:val="00E52CFF"/>
    <w:rsid w:val="00E53791"/>
    <w:rsid w:val="00E5386D"/>
    <w:rsid w:val="00E538B9"/>
    <w:rsid w:val="00E53FC8"/>
    <w:rsid w:val="00E5407C"/>
    <w:rsid w:val="00E54347"/>
    <w:rsid w:val="00E5486C"/>
    <w:rsid w:val="00E55071"/>
    <w:rsid w:val="00E55412"/>
    <w:rsid w:val="00E55424"/>
    <w:rsid w:val="00E55915"/>
    <w:rsid w:val="00E55BB5"/>
    <w:rsid w:val="00E560A4"/>
    <w:rsid w:val="00E561F3"/>
    <w:rsid w:val="00E5760D"/>
    <w:rsid w:val="00E6006B"/>
    <w:rsid w:val="00E602B1"/>
    <w:rsid w:val="00E604D3"/>
    <w:rsid w:val="00E60E3B"/>
    <w:rsid w:val="00E611DF"/>
    <w:rsid w:val="00E61CA9"/>
    <w:rsid w:val="00E61E02"/>
    <w:rsid w:val="00E6210C"/>
    <w:rsid w:val="00E621F9"/>
    <w:rsid w:val="00E6244A"/>
    <w:rsid w:val="00E62BF2"/>
    <w:rsid w:val="00E62D5F"/>
    <w:rsid w:val="00E63D7E"/>
    <w:rsid w:val="00E64877"/>
    <w:rsid w:val="00E64916"/>
    <w:rsid w:val="00E64D6D"/>
    <w:rsid w:val="00E65598"/>
    <w:rsid w:val="00E65E79"/>
    <w:rsid w:val="00E6628A"/>
    <w:rsid w:val="00E66BA2"/>
    <w:rsid w:val="00E66EA0"/>
    <w:rsid w:val="00E67416"/>
    <w:rsid w:val="00E67B92"/>
    <w:rsid w:val="00E70489"/>
    <w:rsid w:val="00E705CC"/>
    <w:rsid w:val="00E711C4"/>
    <w:rsid w:val="00E711E5"/>
    <w:rsid w:val="00E713B9"/>
    <w:rsid w:val="00E718B6"/>
    <w:rsid w:val="00E71C1C"/>
    <w:rsid w:val="00E71DB7"/>
    <w:rsid w:val="00E721A4"/>
    <w:rsid w:val="00E72310"/>
    <w:rsid w:val="00E723BA"/>
    <w:rsid w:val="00E72E15"/>
    <w:rsid w:val="00E72FE9"/>
    <w:rsid w:val="00E7309F"/>
    <w:rsid w:val="00E73518"/>
    <w:rsid w:val="00E73581"/>
    <w:rsid w:val="00E7382A"/>
    <w:rsid w:val="00E7392D"/>
    <w:rsid w:val="00E74794"/>
    <w:rsid w:val="00E74CF8"/>
    <w:rsid w:val="00E7556C"/>
    <w:rsid w:val="00E758E3"/>
    <w:rsid w:val="00E75A3B"/>
    <w:rsid w:val="00E76044"/>
    <w:rsid w:val="00E76A01"/>
    <w:rsid w:val="00E76B76"/>
    <w:rsid w:val="00E771E1"/>
    <w:rsid w:val="00E777FF"/>
    <w:rsid w:val="00E77CA9"/>
    <w:rsid w:val="00E77E0F"/>
    <w:rsid w:val="00E80472"/>
    <w:rsid w:val="00E80C33"/>
    <w:rsid w:val="00E80DF6"/>
    <w:rsid w:val="00E80FB2"/>
    <w:rsid w:val="00E812B9"/>
    <w:rsid w:val="00E818F6"/>
    <w:rsid w:val="00E820A7"/>
    <w:rsid w:val="00E83364"/>
    <w:rsid w:val="00E833F7"/>
    <w:rsid w:val="00E83BDF"/>
    <w:rsid w:val="00E84BA7"/>
    <w:rsid w:val="00E8575D"/>
    <w:rsid w:val="00E85D1D"/>
    <w:rsid w:val="00E86FCC"/>
    <w:rsid w:val="00E872CA"/>
    <w:rsid w:val="00E8783E"/>
    <w:rsid w:val="00E87A0A"/>
    <w:rsid w:val="00E87A1D"/>
    <w:rsid w:val="00E9067D"/>
    <w:rsid w:val="00E9094A"/>
    <w:rsid w:val="00E90D94"/>
    <w:rsid w:val="00E91236"/>
    <w:rsid w:val="00E9145A"/>
    <w:rsid w:val="00E91D35"/>
    <w:rsid w:val="00E926A5"/>
    <w:rsid w:val="00E92AD1"/>
    <w:rsid w:val="00E9324A"/>
    <w:rsid w:val="00E934D8"/>
    <w:rsid w:val="00E93A3D"/>
    <w:rsid w:val="00E93B1A"/>
    <w:rsid w:val="00E93CD6"/>
    <w:rsid w:val="00E94227"/>
    <w:rsid w:val="00E9438E"/>
    <w:rsid w:val="00E946BC"/>
    <w:rsid w:val="00E94717"/>
    <w:rsid w:val="00E94BCD"/>
    <w:rsid w:val="00E94C7E"/>
    <w:rsid w:val="00E94EA1"/>
    <w:rsid w:val="00E95DD2"/>
    <w:rsid w:val="00E95F17"/>
    <w:rsid w:val="00E962CC"/>
    <w:rsid w:val="00E96745"/>
    <w:rsid w:val="00E96F0B"/>
    <w:rsid w:val="00E976B1"/>
    <w:rsid w:val="00E97C4E"/>
    <w:rsid w:val="00E97C66"/>
    <w:rsid w:val="00E97D40"/>
    <w:rsid w:val="00EA0F5E"/>
    <w:rsid w:val="00EA10DE"/>
    <w:rsid w:val="00EA17C3"/>
    <w:rsid w:val="00EA19AE"/>
    <w:rsid w:val="00EA19D0"/>
    <w:rsid w:val="00EA1D34"/>
    <w:rsid w:val="00EA27A6"/>
    <w:rsid w:val="00EA2CAA"/>
    <w:rsid w:val="00EA3864"/>
    <w:rsid w:val="00EA4A67"/>
    <w:rsid w:val="00EA4E7A"/>
    <w:rsid w:val="00EA4F57"/>
    <w:rsid w:val="00EA5EA1"/>
    <w:rsid w:val="00EA5F44"/>
    <w:rsid w:val="00EA644F"/>
    <w:rsid w:val="00EA6F59"/>
    <w:rsid w:val="00EA7F1C"/>
    <w:rsid w:val="00EA7F85"/>
    <w:rsid w:val="00EB07B3"/>
    <w:rsid w:val="00EB086E"/>
    <w:rsid w:val="00EB0EFA"/>
    <w:rsid w:val="00EB15A0"/>
    <w:rsid w:val="00EB15B6"/>
    <w:rsid w:val="00EB1B63"/>
    <w:rsid w:val="00EB20EE"/>
    <w:rsid w:val="00EB27BE"/>
    <w:rsid w:val="00EB2DF4"/>
    <w:rsid w:val="00EB3D06"/>
    <w:rsid w:val="00EB4916"/>
    <w:rsid w:val="00EB5D32"/>
    <w:rsid w:val="00EB6777"/>
    <w:rsid w:val="00EB685A"/>
    <w:rsid w:val="00EB7223"/>
    <w:rsid w:val="00EB76EF"/>
    <w:rsid w:val="00EB7877"/>
    <w:rsid w:val="00EC00C9"/>
    <w:rsid w:val="00EC0DD9"/>
    <w:rsid w:val="00EC0F62"/>
    <w:rsid w:val="00EC2400"/>
    <w:rsid w:val="00EC2649"/>
    <w:rsid w:val="00EC31ED"/>
    <w:rsid w:val="00EC4E51"/>
    <w:rsid w:val="00EC51F8"/>
    <w:rsid w:val="00EC5836"/>
    <w:rsid w:val="00EC5AA8"/>
    <w:rsid w:val="00EC681B"/>
    <w:rsid w:val="00EC688C"/>
    <w:rsid w:val="00EC6A13"/>
    <w:rsid w:val="00ED0775"/>
    <w:rsid w:val="00ED0AFD"/>
    <w:rsid w:val="00ED12E3"/>
    <w:rsid w:val="00ED1A96"/>
    <w:rsid w:val="00ED1BC8"/>
    <w:rsid w:val="00ED2C96"/>
    <w:rsid w:val="00ED3CB4"/>
    <w:rsid w:val="00ED3F13"/>
    <w:rsid w:val="00ED4315"/>
    <w:rsid w:val="00ED43D7"/>
    <w:rsid w:val="00ED487E"/>
    <w:rsid w:val="00ED4B04"/>
    <w:rsid w:val="00ED5127"/>
    <w:rsid w:val="00ED57EA"/>
    <w:rsid w:val="00ED5BD4"/>
    <w:rsid w:val="00ED5E2E"/>
    <w:rsid w:val="00ED6C62"/>
    <w:rsid w:val="00ED73EC"/>
    <w:rsid w:val="00ED76C4"/>
    <w:rsid w:val="00ED789C"/>
    <w:rsid w:val="00EE07D3"/>
    <w:rsid w:val="00EE1594"/>
    <w:rsid w:val="00EE1996"/>
    <w:rsid w:val="00EE1C01"/>
    <w:rsid w:val="00EE1D96"/>
    <w:rsid w:val="00EE22AF"/>
    <w:rsid w:val="00EE2569"/>
    <w:rsid w:val="00EE2CC6"/>
    <w:rsid w:val="00EE4625"/>
    <w:rsid w:val="00EE4911"/>
    <w:rsid w:val="00EE4C00"/>
    <w:rsid w:val="00EE4C53"/>
    <w:rsid w:val="00EE4EA8"/>
    <w:rsid w:val="00EE5794"/>
    <w:rsid w:val="00EE5D08"/>
    <w:rsid w:val="00EE60B4"/>
    <w:rsid w:val="00EE7048"/>
    <w:rsid w:val="00EE7107"/>
    <w:rsid w:val="00EE7D14"/>
    <w:rsid w:val="00EE7FFE"/>
    <w:rsid w:val="00EF0171"/>
    <w:rsid w:val="00EF1B25"/>
    <w:rsid w:val="00EF1DA0"/>
    <w:rsid w:val="00EF1E9E"/>
    <w:rsid w:val="00EF2CDF"/>
    <w:rsid w:val="00EF3B54"/>
    <w:rsid w:val="00EF3DD3"/>
    <w:rsid w:val="00EF4747"/>
    <w:rsid w:val="00EF4BF8"/>
    <w:rsid w:val="00EF4D5C"/>
    <w:rsid w:val="00EF529B"/>
    <w:rsid w:val="00EF5743"/>
    <w:rsid w:val="00EF5C32"/>
    <w:rsid w:val="00EF612F"/>
    <w:rsid w:val="00EF6277"/>
    <w:rsid w:val="00EF6BF5"/>
    <w:rsid w:val="00EF6E8F"/>
    <w:rsid w:val="00EF6FA5"/>
    <w:rsid w:val="00EF7130"/>
    <w:rsid w:val="00EF73B0"/>
    <w:rsid w:val="00EF7B89"/>
    <w:rsid w:val="00EF7EA4"/>
    <w:rsid w:val="00F004C9"/>
    <w:rsid w:val="00F00EA8"/>
    <w:rsid w:val="00F01084"/>
    <w:rsid w:val="00F020ED"/>
    <w:rsid w:val="00F02253"/>
    <w:rsid w:val="00F0248A"/>
    <w:rsid w:val="00F03A44"/>
    <w:rsid w:val="00F03AA6"/>
    <w:rsid w:val="00F03C2E"/>
    <w:rsid w:val="00F04435"/>
    <w:rsid w:val="00F04A66"/>
    <w:rsid w:val="00F04B4B"/>
    <w:rsid w:val="00F0516C"/>
    <w:rsid w:val="00F05D72"/>
    <w:rsid w:val="00F05DBC"/>
    <w:rsid w:val="00F067A2"/>
    <w:rsid w:val="00F06DA4"/>
    <w:rsid w:val="00F06DDD"/>
    <w:rsid w:val="00F075B2"/>
    <w:rsid w:val="00F07B9E"/>
    <w:rsid w:val="00F1058F"/>
    <w:rsid w:val="00F1116F"/>
    <w:rsid w:val="00F1128E"/>
    <w:rsid w:val="00F11CFC"/>
    <w:rsid w:val="00F1263A"/>
    <w:rsid w:val="00F12F79"/>
    <w:rsid w:val="00F139C5"/>
    <w:rsid w:val="00F13FC4"/>
    <w:rsid w:val="00F14480"/>
    <w:rsid w:val="00F14685"/>
    <w:rsid w:val="00F152DD"/>
    <w:rsid w:val="00F15B77"/>
    <w:rsid w:val="00F15D15"/>
    <w:rsid w:val="00F162DD"/>
    <w:rsid w:val="00F16597"/>
    <w:rsid w:val="00F16658"/>
    <w:rsid w:val="00F16B14"/>
    <w:rsid w:val="00F16C1B"/>
    <w:rsid w:val="00F172E6"/>
    <w:rsid w:val="00F17E55"/>
    <w:rsid w:val="00F201B3"/>
    <w:rsid w:val="00F210DA"/>
    <w:rsid w:val="00F21236"/>
    <w:rsid w:val="00F214D4"/>
    <w:rsid w:val="00F21821"/>
    <w:rsid w:val="00F21953"/>
    <w:rsid w:val="00F2266C"/>
    <w:rsid w:val="00F23262"/>
    <w:rsid w:val="00F239DF"/>
    <w:rsid w:val="00F24837"/>
    <w:rsid w:val="00F24B99"/>
    <w:rsid w:val="00F24F31"/>
    <w:rsid w:val="00F2575F"/>
    <w:rsid w:val="00F2591C"/>
    <w:rsid w:val="00F2632D"/>
    <w:rsid w:val="00F26DA8"/>
    <w:rsid w:val="00F27242"/>
    <w:rsid w:val="00F27565"/>
    <w:rsid w:val="00F2759D"/>
    <w:rsid w:val="00F27A0A"/>
    <w:rsid w:val="00F3093D"/>
    <w:rsid w:val="00F30BCA"/>
    <w:rsid w:val="00F310D4"/>
    <w:rsid w:val="00F31AA9"/>
    <w:rsid w:val="00F31CFD"/>
    <w:rsid w:val="00F31D5A"/>
    <w:rsid w:val="00F31E49"/>
    <w:rsid w:val="00F328CE"/>
    <w:rsid w:val="00F3364F"/>
    <w:rsid w:val="00F33855"/>
    <w:rsid w:val="00F33975"/>
    <w:rsid w:val="00F33B06"/>
    <w:rsid w:val="00F33DE9"/>
    <w:rsid w:val="00F33FA4"/>
    <w:rsid w:val="00F3406C"/>
    <w:rsid w:val="00F34593"/>
    <w:rsid w:val="00F345DE"/>
    <w:rsid w:val="00F34791"/>
    <w:rsid w:val="00F34B7E"/>
    <w:rsid w:val="00F34C58"/>
    <w:rsid w:val="00F34E93"/>
    <w:rsid w:val="00F35E6D"/>
    <w:rsid w:val="00F360B1"/>
    <w:rsid w:val="00F3619A"/>
    <w:rsid w:val="00F37616"/>
    <w:rsid w:val="00F404C3"/>
    <w:rsid w:val="00F40635"/>
    <w:rsid w:val="00F40805"/>
    <w:rsid w:val="00F40AAA"/>
    <w:rsid w:val="00F40B55"/>
    <w:rsid w:val="00F40BA7"/>
    <w:rsid w:val="00F40F0D"/>
    <w:rsid w:val="00F40F9D"/>
    <w:rsid w:val="00F410E4"/>
    <w:rsid w:val="00F412CC"/>
    <w:rsid w:val="00F4141F"/>
    <w:rsid w:val="00F418CA"/>
    <w:rsid w:val="00F41ACD"/>
    <w:rsid w:val="00F41C5C"/>
    <w:rsid w:val="00F421E9"/>
    <w:rsid w:val="00F42A43"/>
    <w:rsid w:val="00F42CF1"/>
    <w:rsid w:val="00F434FA"/>
    <w:rsid w:val="00F43DCB"/>
    <w:rsid w:val="00F44270"/>
    <w:rsid w:val="00F44825"/>
    <w:rsid w:val="00F44EE9"/>
    <w:rsid w:val="00F45B85"/>
    <w:rsid w:val="00F46CB6"/>
    <w:rsid w:val="00F47086"/>
    <w:rsid w:val="00F4756D"/>
    <w:rsid w:val="00F477F1"/>
    <w:rsid w:val="00F47DE8"/>
    <w:rsid w:val="00F50B6E"/>
    <w:rsid w:val="00F50CBF"/>
    <w:rsid w:val="00F50DED"/>
    <w:rsid w:val="00F510C3"/>
    <w:rsid w:val="00F515A7"/>
    <w:rsid w:val="00F52B42"/>
    <w:rsid w:val="00F53017"/>
    <w:rsid w:val="00F53C5F"/>
    <w:rsid w:val="00F540EC"/>
    <w:rsid w:val="00F542C1"/>
    <w:rsid w:val="00F545E3"/>
    <w:rsid w:val="00F550A8"/>
    <w:rsid w:val="00F550E3"/>
    <w:rsid w:val="00F55964"/>
    <w:rsid w:val="00F55E73"/>
    <w:rsid w:val="00F55EDA"/>
    <w:rsid w:val="00F56202"/>
    <w:rsid w:val="00F56C80"/>
    <w:rsid w:val="00F57226"/>
    <w:rsid w:val="00F57509"/>
    <w:rsid w:val="00F57F2F"/>
    <w:rsid w:val="00F60092"/>
    <w:rsid w:val="00F607C3"/>
    <w:rsid w:val="00F60A99"/>
    <w:rsid w:val="00F6118C"/>
    <w:rsid w:val="00F61473"/>
    <w:rsid w:val="00F6171E"/>
    <w:rsid w:val="00F61C18"/>
    <w:rsid w:val="00F62606"/>
    <w:rsid w:val="00F641BE"/>
    <w:rsid w:val="00F64B5C"/>
    <w:rsid w:val="00F64C54"/>
    <w:rsid w:val="00F64CD6"/>
    <w:rsid w:val="00F652B3"/>
    <w:rsid w:val="00F65728"/>
    <w:rsid w:val="00F65F4B"/>
    <w:rsid w:val="00F664A5"/>
    <w:rsid w:val="00F66B2A"/>
    <w:rsid w:val="00F67378"/>
    <w:rsid w:val="00F67631"/>
    <w:rsid w:val="00F6785F"/>
    <w:rsid w:val="00F67A69"/>
    <w:rsid w:val="00F67F56"/>
    <w:rsid w:val="00F700FE"/>
    <w:rsid w:val="00F70604"/>
    <w:rsid w:val="00F70A21"/>
    <w:rsid w:val="00F70BFF"/>
    <w:rsid w:val="00F70C9D"/>
    <w:rsid w:val="00F71017"/>
    <w:rsid w:val="00F710BD"/>
    <w:rsid w:val="00F71126"/>
    <w:rsid w:val="00F717EA"/>
    <w:rsid w:val="00F719CC"/>
    <w:rsid w:val="00F71CF5"/>
    <w:rsid w:val="00F7266E"/>
    <w:rsid w:val="00F73422"/>
    <w:rsid w:val="00F7393D"/>
    <w:rsid w:val="00F73E08"/>
    <w:rsid w:val="00F74CD9"/>
    <w:rsid w:val="00F74E30"/>
    <w:rsid w:val="00F754CD"/>
    <w:rsid w:val="00F7560D"/>
    <w:rsid w:val="00F75AB8"/>
    <w:rsid w:val="00F76D01"/>
    <w:rsid w:val="00F772CD"/>
    <w:rsid w:val="00F773DA"/>
    <w:rsid w:val="00F774E7"/>
    <w:rsid w:val="00F77A1E"/>
    <w:rsid w:val="00F80404"/>
    <w:rsid w:val="00F80A7B"/>
    <w:rsid w:val="00F80E5D"/>
    <w:rsid w:val="00F81A76"/>
    <w:rsid w:val="00F81BD6"/>
    <w:rsid w:val="00F81E78"/>
    <w:rsid w:val="00F82BC4"/>
    <w:rsid w:val="00F82E8E"/>
    <w:rsid w:val="00F833FE"/>
    <w:rsid w:val="00F83916"/>
    <w:rsid w:val="00F83F10"/>
    <w:rsid w:val="00F841BE"/>
    <w:rsid w:val="00F851CE"/>
    <w:rsid w:val="00F86809"/>
    <w:rsid w:val="00F86CA5"/>
    <w:rsid w:val="00F86DC8"/>
    <w:rsid w:val="00F87149"/>
    <w:rsid w:val="00F872FA"/>
    <w:rsid w:val="00F87531"/>
    <w:rsid w:val="00F875E5"/>
    <w:rsid w:val="00F877C9"/>
    <w:rsid w:val="00F879E6"/>
    <w:rsid w:val="00F87A13"/>
    <w:rsid w:val="00F87C96"/>
    <w:rsid w:val="00F91219"/>
    <w:rsid w:val="00F91566"/>
    <w:rsid w:val="00F91A32"/>
    <w:rsid w:val="00F92114"/>
    <w:rsid w:val="00F92444"/>
    <w:rsid w:val="00F928E2"/>
    <w:rsid w:val="00F92CB3"/>
    <w:rsid w:val="00F9320E"/>
    <w:rsid w:val="00F9393E"/>
    <w:rsid w:val="00F93B39"/>
    <w:rsid w:val="00F940BA"/>
    <w:rsid w:val="00F947F0"/>
    <w:rsid w:val="00F949D5"/>
    <w:rsid w:val="00F949E5"/>
    <w:rsid w:val="00F96194"/>
    <w:rsid w:val="00F96285"/>
    <w:rsid w:val="00F9649D"/>
    <w:rsid w:val="00F96FD0"/>
    <w:rsid w:val="00F972C4"/>
    <w:rsid w:val="00F97A78"/>
    <w:rsid w:val="00F97BEB"/>
    <w:rsid w:val="00F97D9E"/>
    <w:rsid w:val="00F97F8F"/>
    <w:rsid w:val="00FA07E3"/>
    <w:rsid w:val="00FA0B20"/>
    <w:rsid w:val="00FA0C16"/>
    <w:rsid w:val="00FA1FBB"/>
    <w:rsid w:val="00FA24E7"/>
    <w:rsid w:val="00FA2D60"/>
    <w:rsid w:val="00FA2E2E"/>
    <w:rsid w:val="00FA3721"/>
    <w:rsid w:val="00FA40A7"/>
    <w:rsid w:val="00FA4EF3"/>
    <w:rsid w:val="00FA5497"/>
    <w:rsid w:val="00FA5C7F"/>
    <w:rsid w:val="00FA5EE6"/>
    <w:rsid w:val="00FA6174"/>
    <w:rsid w:val="00FA68AB"/>
    <w:rsid w:val="00FA6A17"/>
    <w:rsid w:val="00FA72FD"/>
    <w:rsid w:val="00FA75D0"/>
    <w:rsid w:val="00FA7956"/>
    <w:rsid w:val="00FA7AC2"/>
    <w:rsid w:val="00FB06E6"/>
    <w:rsid w:val="00FB07B4"/>
    <w:rsid w:val="00FB0824"/>
    <w:rsid w:val="00FB0D9B"/>
    <w:rsid w:val="00FB1FAE"/>
    <w:rsid w:val="00FB2F1E"/>
    <w:rsid w:val="00FB2FCB"/>
    <w:rsid w:val="00FB3B2A"/>
    <w:rsid w:val="00FB3C54"/>
    <w:rsid w:val="00FB4745"/>
    <w:rsid w:val="00FB4C9C"/>
    <w:rsid w:val="00FB594F"/>
    <w:rsid w:val="00FB5BA2"/>
    <w:rsid w:val="00FB6BE6"/>
    <w:rsid w:val="00FB71FA"/>
    <w:rsid w:val="00FB7B9F"/>
    <w:rsid w:val="00FB7C55"/>
    <w:rsid w:val="00FC0FA6"/>
    <w:rsid w:val="00FC1074"/>
    <w:rsid w:val="00FC1263"/>
    <w:rsid w:val="00FC13B6"/>
    <w:rsid w:val="00FC182E"/>
    <w:rsid w:val="00FC1884"/>
    <w:rsid w:val="00FC1895"/>
    <w:rsid w:val="00FC261B"/>
    <w:rsid w:val="00FC32C6"/>
    <w:rsid w:val="00FC371D"/>
    <w:rsid w:val="00FC3816"/>
    <w:rsid w:val="00FC4784"/>
    <w:rsid w:val="00FC4D62"/>
    <w:rsid w:val="00FC50E9"/>
    <w:rsid w:val="00FC5F0B"/>
    <w:rsid w:val="00FC6C56"/>
    <w:rsid w:val="00FC6F06"/>
    <w:rsid w:val="00FC7535"/>
    <w:rsid w:val="00FC7CBD"/>
    <w:rsid w:val="00FC7CE8"/>
    <w:rsid w:val="00FC7F8D"/>
    <w:rsid w:val="00FD02C8"/>
    <w:rsid w:val="00FD090F"/>
    <w:rsid w:val="00FD0A07"/>
    <w:rsid w:val="00FD109A"/>
    <w:rsid w:val="00FD115B"/>
    <w:rsid w:val="00FD1AC5"/>
    <w:rsid w:val="00FD2100"/>
    <w:rsid w:val="00FD29C8"/>
    <w:rsid w:val="00FD2E7B"/>
    <w:rsid w:val="00FD2FF3"/>
    <w:rsid w:val="00FD3578"/>
    <w:rsid w:val="00FD375E"/>
    <w:rsid w:val="00FD38D3"/>
    <w:rsid w:val="00FD3989"/>
    <w:rsid w:val="00FD3EC2"/>
    <w:rsid w:val="00FD4032"/>
    <w:rsid w:val="00FD436C"/>
    <w:rsid w:val="00FD446D"/>
    <w:rsid w:val="00FD4489"/>
    <w:rsid w:val="00FD46B4"/>
    <w:rsid w:val="00FD4EDD"/>
    <w:rsid w:val="00FD4F2C"/>
    <w:rsid w:val="00FD4F5B"/>
    <w:rsid w:val="00FD6394"/>
    <w:rsid w:val="00FD7604"/>
    <w:rsid w:val="00FE07FE"/>
    <w:rsid w:val="00FE0980"/>
    <w:rsid w:val="00FE0E6C"/>
    <w:rsid w:val="00FE1311"/>
    <w:rsid w:val="00FE1CDC"/>
    <w:rsid w:val="00FE1DC9"/>
    <w:rsid w:val="00FE1DDC"/>
    <w:rsid w:val="00FE2671"/>
    <w:rsid w:val="00FE26CB"/>
    <w:rsid w:val="00FE2CFC"/>
    <w:rsid w:val="00FE2E3B"/>
    <w:rsid w:val="00FE354A"/>
    <w:rsid w:val="00FE4294"/>
    <w:rsid w:val="00FE4679"/>
    <w:rsid w:val="00FE53EB"/>
    <w:rsid w:val="00FE6535"/>
    <w:rsid w:val="00FE6582"/>
    <w:rsid w:val="00FE6909"/>
    <w:rsid w:val="00FE70C3"/>
    <w:rsid w:val="00FE7D41"/>
    <w:rsid w:val="00FF0943"/>
    <w:rsid w:val="00FF135C"/>
    <w:rsid w:val="00FF1480"/>
    <w:rsid w:val="00FF16D3"/>
    <w:rsid w:val="00FF1A2C"/>
    <w:rsid w:val="00FF1A8B"/>
    <w:rsid w:val="00FF1E3C"/>
    <w:rsid w:val="00FF228E"/>
    <w:rsid w:val="00FF2AD9"/>
    <w:rsid w:val="00FF2DC4"/>
    <w:rsid w:val="00FF359F"/>
    <w:rsid w:val="00FF36AC"/>
    <w:rsid w:val="00FF37EF"/>
    <w:rsid w:val="00FF3A03"/>
    <w:rsid w:val="00FF3DCF"/>
    <w:rsid w:val="00FF492C"/>
    <w:rsid w:val="00FF4A21"/>
    <w:rsid w:val="00FF5641"/>
    <w:rsid w:val="00FF5AA3"/>
    <w:rsid w:val="00FF5AD8"/>
    <w:rsid w:val="00FF6C54"/>
    <w:rsid w:val="00FF7721"/>
    <w:rsid w:val="00FF7B51"/>
    <w:rsid w:val="017BC7C9"/>
    <w:rsid w:val="03726269"/>
    <w:rsid w:val="03A2FED5"/>
    <w:rsid w:val="03F11B1A"/>
    <w:rsid w:val="042D111A"/>
    <w:rsid w:val="04A844F9"/>
    <w:rsid w:val="04BCEF28"/>
    <w:rsid w:val="05070604"/>
    <w:rsid w:val="055539F6"/>
    <w:rsid w:val="05590946"/>
    <w:rsid w:val="057616AC"/>
    <w:rsid w:val="0647AFEB"/>
    <w:rsid w:val="0663852D"/>
    <w:rsid w:val="067D0AB0"/>
    <w:rsid w:val="0687142F"/>
    <w:rsid w:val="06CBAFEF"/>
    <w:rsid w:val="076715E6"/>
    <w:rsid w:val="076B1033"/>
    <w:rsid w:val="079AFA99"/>
    <w:rsid w:val="07E57AC2"/>
    <w:rsid w:val="08236225"/>
    <w:rsid w:val="08BA38A3"/>
    <w:rsid w:val="0916F89D"/>
    <w:rsid w:val="093E2A11"/>
    <w:rsid w:val="093E878A"/>
    <w:rsid w:val="09AE8454"/>
    <w:rsid w:val="0A4D34DC"/>
    <w:rsid w:val="0A74381A"/>
    <w:rsid w:val="0AD9FA72"/>
    <w:rsid w:val="0BA4E135"/>
    <w:rsid w:val="0BDC47EB"/>
    <w:rsid w:val="0BE2B300"/>
    <w:rsid w:val="0BF681D6"/>
    <w:rsid w:val="0C09C09A"/>
    <w:rsid w:val="0C885E8C"/>
    <w:rsid w:val="0C933396"/>
    <w:rsid w:val="0CB7F8A4"/>
    <w:rsid w:val="0CEAC539"/>
    <w:rsid w:val="0D32D6BA"/>
    <w:rsid w:val="0DB777AD"/>
    <w:rsid w:val="0E0B0661"/>
    <w:rsid w:val="0E14F934"/>
    <w:rsid w:val="0E7CEAC6"/>
    <w:rsid w:val="0EA9D38D"/>
    <w:rsid w:val="0EEB291B"/>
    <w:rsid w:val="0F424A14"/>
    <w:rsid w:val="0F56BB8D"/>
    <w:rsid w:val="0F61FC9B"/>
    <w:rsid w:val="0F953E72"/>
    <w:rsid w:val="0FC13A2C"/>
    <w:rsid w:val="0FE3633F"/>
    <w:rsid w:val="10172F7B"/>
    <w:rsid w:val="101E8FC5"/>
    <w:rsid w:val="10ADDE9D"/>
    <w:rsid w:val="10AE6DD3"/>
    <w:rsid w:val="10E7C5AD"/>
    <w:rsid w:val="10EA7B72"/>
    <w:rsid w:val="1131AC2C"/>
    <w:rsid w:val="11F4C4A9"/>
    <w:rsid w:val="1275C82F"/>
    <w:rsid w:val="12DE2448"/>
    <w:rsid w:val="1341DD1A"/>
    <w:rsid w:val="134BC340"/>
    <w:rsid w:val="136CFB60"/>
    <w:rsid w:val="13D9AAD6"/>
    <w:rsid w:val="13F5B974"/>
    <w:rsid w:val="14250798"/>
    <w:rsid w:val="14259047"/>
    <w:rsid w:val="14615784"/>
    <w:rsid w:val="148B576D"/>
    <w:rsid w:val="14C0B980"/>
    <w:rsid w:val="14DBB9AE"/>
    <w:rsid w:val="15749FAB"/>
    <w:rsid w:val="15D2F4CE"/>
    <w:rsid w:val="15F69A0B"/>
    <w:rsid w:val="172A9889"/>
    <w:rsid w:val="1739B77B"/>
    <w:rsid w:val="1781245E"/>
    <w:rsid w:val="17D35AB4"/>
    <w:rsid w:val="185095AF"/>
    <w:rsid w:val="185DDF0F"/>
    <w:rsid w:val="1873CEE5"/>
    <w:rsid w:val="19547760"/>
    <w:rsid w:val="1A4C7A91"/>
    <w:rsid w:val="1A761851"/>
    <w:rsid w:val="1AAAA437"/>
    <w:rsid w:val="1AD41830"/>
    <w:rsid w:val="1B101E5C"/>
    <w:rsid w:val="1B177180"/>
    <w:rsid w:val="1B633672"/>
    <w:rsid w:val="1BB618EE"/>
    <w:rsid w:val="1C57BC53"/>
    <w:rsid w:val="1C7EC588"/>
    <w:rsid w:val="1D1F2EC8"/>
    <w:rsid w:val="1DA45749"/>
    <w:rsid w:val="1DB366B5"/>
    <w:rsid w:val="1EE9160F"/>
    <w:rsid w:val="1F9B1E71"/>
    <w:rsid w:val="1FF9E469"/>
    <w:rsid w:val="200060FA"/>
    <w:rsid w:val="202E7AAC"/>
    <w:rsid w:val="203B0CDF"/>
    <w:rsid w:val="205E5DE7"/>
    <w:rsid w:val="2088363E"/>
    <w:rsid w:val="20DA8B56"/>
    <w:rsid w:val="213ADE00"/>
    <w:rsid w:val="21B7B33E"/>
    <w:rsid w:val="21BF16A4"/>
    <w:rsid w:val="21F73DD7"/>
    <w:rsid w:val="21FC72AB"/>
    <w:rsid w:val="224552C4"/>
    <w:rsid w:val="22DE424A"/>
    <w:rsid w:val="22FEDD3C"/>
    <w:rsid w:val="2317C116"/>
    <w:rsid w:val="235EA099"/>
    <w:rsid w:val="236A056B"/>
    <w:rsid w:val="236EE948"/>
    <w:rsid w:val="23AA804B"/>
    <w:rsid w:val="23D7B03C"/>
    <w:rsid w:val="23F3EFBC"/>
    <w:rsid w:val="2416D2A5"/>
    <w:rsid w:val="24513A37"/>
    <w:rsid w:val="252312BD"/>
    <w:rsid w:val="2523D22D"/>
    <w:rsid w:val="2534758C"/>
    <w:rsid w:val="258E0B74"/>
    <w:rsid w:val="25A6E0B2"/>
    <w:rsid w:val="25E1F03C"/>
    <w:rsid w:val="266B6943"/>
    <w:rsid w:val="268576D4"/>
    <w:rsid w:val="26878C3B"/>
    <w:rsid w:val="26B0A852"/>
    <w:rsid w:val="26E59F5C"/>
    <w:rsid w:val="271C2D6F"/>
    <w:rsid w:val="2723BDF7"/>
    <w:rsid w:val="272F7688"/>
    <w:rsid w:val="2736C103"/>
    <w:rsid w:val="277FDEC2"/>
    <w:rsid w:val="278CC831"/>
    <w:rsid w:val="27B5C266"/>
    <w:rsid w:val="27CE5AEA"/>
    <w:rsid w:val="287A7254"/>
    <w:rsid w:val="28B6DA4C"/>
    <w:rsid w:val="293ED8D6"/>
    <w:rsid w:val="2976D594"/>
    <w:rsid w:val="297BB768"/>
    <w:rsid w:val="29DF22A5"/>
    <w:rsid w:val="2A962060"/>
    <w:rsid w:val="2AF436EE"/>
    <w:rsid w:val="2B01CF1F"/>
    <w:rsid w:val="2B28A939"/>
    <w:rsid w:val="2B48D91E"/>
    <w:rsid w:val="2B573802"/>
    <w:rsid w:val="2C033F1C"/>
    <w:rsid w:val="2C20652B"/>
    <w:rsid w:val="2C4D79BB"/>
    <w:rsid w:val="2C74DC1C"/>
    <w:rsid w:val="2C76DC13"/>
    <w:rsid w:val="2C8115B7"/>
    <w:rsid w:val="2CD35785"/>
    <w:rsid w:val="2DB4A789"/>
    <w:rsid w:val="2E389886"/>
    <w:rsid w:val="2E4B1806"/>
    <w:rsid w:val="2E70F663"/>
    <w:rsid w:val="2E86903A"/>
    <w:rsid w:val="2F243B4A"/>
    <w:rsid w:val="2F447925"/>
    <w:rsid w:val="2F915C43"/>
    <w:rsid w:val="2FAC6B45"/>
    <w:rsid w:val="2FDBACA0"/>
    <w:rsid w:val="307BB14A"/>
    <w:rsid w:val="311BBF58"/>
    <w:rsid w:val="3134BD9D"/>
    <w:rsid w:val="31680B5A"/>
    <w:rsid w:val="3169578F"/>
    <w:rsid w:val="3190ED68"/>
    <w:rsid w:val="31A4F63C"/>
    <w:rsid w:val="32423D46"/>
    <w:rsid w:val="325F7767"/>
    <w:rsid w:val="3264BBBB"/>
    <w:rsid w:val="32C2755D"/>
    <w:rsid w:val="32C8525C"/>
    <w:rsid w:val="32D5A550"/>
    <w:rsid w:val="338BF14F"/>
    <w:rsid w:val="3395EE6C"/>
    <w:rsid w:val="33A1301E"/>
    <w:rsid w:val="33D283BE"/>
    <w:rsid w:val="3424384F"/>
    <w:rsid w:val="348CABD8"/>
    <w:rsid w:val="353FD9EC"/>
    <w:rsid w:val="354C4D11"/>
    <w:rsid w:val="35D5A40A"/>
    <w:rsid w:val="35E711CA"/>
    <w:rsid w:val="3664809F"/>
    <w:rsid w:val="36B19536"/>
    <w:rsid w:val="36CB5832"/>
    <w:rsid w:val="36DA91CE"/>
    <w:rsid w:val="3799B309"/>
    <w:rsid w:val="37F2C2E2"/>
    <w:rsid w:val="38B7928D"/>
    <w:rsid w:val="38C7D223"/>
    <w:rsid w:val="39ABF2DD"/>
    <w:rsid w:val="3A28CFB6"/>
    <w:rsid w:val="3A3939FB"/>
    <w:rsid w:val="3AB2DFBA"/>
    <w:rsid w:val="3ABC734C"/>
    <w:rsid w:val="3AEAD967"/>
    <w:rsid w:val="3B26EBE8"/>
    <w:rsid w:val="3B81FD6B"/>
    <w:rsid w:val="3B8BE685"/>
    <w:rsid w:val="3BB2D8BC"/>
    <w:rsid w:val="3BD5DDB1"/>
    <w:rsid w:val="3BECCD05"/>
    <w:rsid w:val="3BF0368E"/>
    <w:rsid w:val="3C11AACF"/>
    <w:rsid w:val="3C29E58E"/>
    <w:rsid w:val="3CF17B58"/>
    <w:rsid w:val="3D25BC33"/>
    <w:rsid w:val="3D356371"/>
    <w:rsid w:val="3D5B5011"/>
    <w:rsid w:val="3D813E27"/>
    <w:rsid w:val="3DEE60A6"/>
    <w:rsid w:val="3E190BB7"/>
    <w:rsid w:val="3E8F1EDC"/>
    <w:rsid w:val="3E9D3911"/>
    <w:rsid w:val="3EAEADCB"/>
    <w:rsid w:val="3EB68638"/>
    <w:rsid w:val="3EB6B272"/>
    <w:rsid w:val="3EDA4C78"/>
    <w:rsid w:val="3F7F0043"/>
    <w:rsid w:val="40AAACBD"/>
    <w:rsid w:val="40EC21B5"/>
    <w:rsid w:val="410FF093"/>
    <w:rsid w:val="416376F7"/>
    <w:rsid w:val="41BE998D"/>
    <w:rsid w:val="43BBE086"/>
    <w:rsid w:val="43BE90FA"/>
    <w:rsid w:val="43EF2549"/>
    <w:rsid w:val="43F1CD9B"/>
    <w:rsid w:val="44134FBD"/>
    <w:rsid w:val="449AD824"/>
    <w:rsid w:val="44D535ED"/>
    <w:rsid w:val="4527D353"/>
    <w:rsid w:val="453D69CC"/>
    <w:rsid w:val="45A5F003"/>
    <w:rsid w:val="45B2975C"/>
    <w:rsid w:val="45CB7EE3"/>
    <w:rsid w:val="45DA4412"/>
    <w:rsid w:val="4604E5A7"/>
    <w:rsid w:val="462F5276"/>
    <w:rsid w:val="46522233"/>
    <w:rsid w:val="469397E5"/>
    <w:rsid w:val="4719C71D"/>
    <w:rsid w:val="473C4346"/>
    <w:rsid w:val="475EEFE2"/>
    <w:rsid w:val="47AE587A"/>
    <w:rsid w:val="47B22DA7"/>
    <w:rsid w:val="4811CCB2"/>
    <w:rsid w:val="48206764"/>
    <w:rsid w:val="485CD563"/>
    <w:rsid w:val="48AB203A"/>
    <w:rsid w:val="48BF82AE"/>
    <w:rsid w:val="497E7E54"/>
    <w:rsid w:val="4998D0CB"/>
    <w:rsid w:val="49BDF501"/>
    <w:rsid w:val="49C25CD6"/>
    <w:rsid w:val="4A7B44B0"/>
    <w:rsid w:val="4A8116DB"/>
    <w:rsid w:val="4A85A0B2"/>
    <w:rsid w:val="4ABE7096"/>
    <w:rsid w:val="4B42EED3"/>
    <w:rsid w:val="4B563B2F"/>
    <w:rsid w:val="4B59C9A1"/>
    <w:rsid w:val="4B674C9A"/>
    <w:rsid w:val="4B98244C"/>
    <w:rsid w:val="4BA711E0"/>
    <w:rsid w:val="4BBF6E85"/>
    <w:rsid w:val="4BC28D2A"/>
    <w:rsid w:val="4C00AC97"/>
    <w:rsid w:val="4C3C8E92"/>
    <w:rsid w:val="4C5ADE1A"/>
    <w:rsid w:val="4CF7C035"/>
    <w:rsid w:val="4DFFC578"/>
    <w:rsid w:val="4E98E0E1"/>
    <w:rsid w:val="4EB85E0C"/>
    <w:rsid w:val="4EC3D2F6"/>
    <w:rsid w:val="4EF14FBB"/>
    <w:rsid w:val="4F387382"/>
    <w:rsid w:val="4F727217"/>
    <w:rsid w:val="4FB1B82B"/>
    <w:rsid w:val="50EC13F6"/>
    <w:rsid w:val="50F7C973"/>
    <w:rsid w:val="51372E99"/>
    <w:rsid w:val="51473A42"/>
    <w:rsid w:val="5179760F"/>
    <w:rsid w:val="51A1F758"/>
    <w:rsid w:val="5250936D"/>
    <w:rsid w:val="525AB35C"/>
    <w:rsid w:val="52A5E115"/>
    <w:rsid w:val="52C33C23"/>
    <w:rsid w:val="52D1D1DF"/>
    <w:rsid w:val="52F93BF1"/>
    <w:rsid w:val="52FA6B7B"/>
    <w:rsid w:val="52FC7C8B"/>
    <w:rsid w:val="5313ED69"/>
    <w:rsid w:val="5320D344"/>
    <w:rsid w:val="53884DF2"/>
    <w:rsid w:val="539A3D15"/>
    <w:rsid w:val="541034E9"/>
    <w:rsid w:val="555F164F"/>
    <w:rsid w:val="55954300"/>
    <w:rsid w:val="5618437E"/>
    <w:rsid w:val="564184C9"/>
    <w:rsid w:val="567DCFD8"/>
    <w:rsid w:val="56A0DD9D"/>
    <w:rsid w:val="56C16827"/>
    <w:rsid w:val="56D8EF78"/>
    <w:rsid w:val="571F485B"/>
    <w:rsid w:val="576FCD5E"/>
    <w:rsid w:val="57833A42"/>
    <w:rsid w:val="578E21EB"/>
    <w:rsid w:val="57BC5B19"/>
    <w:rsid w:val="5857AD6A"/>
    <w:rsid w:val="589515C7"/>
    <w:rsid w:val="58C324A3"/>
    <w:rsid w:val="59146A5E"/>
    <w:rsid w:val="5929114D"/>
    <w:rsid w:val="5951D556"/>
    <w:rsid w:val="595B6AFE"/>
    <w:rsid w:val="598BDCD8"/>
    <w:rsid w:val="5A7786F0"/>
    <w:rsid w:val="5B112216"/>
    <w:rsid w:val="5B24C50D"/>
    <w:rsid w:val="5B5444CF"/>
    <w:rsid w:val="5B86DA04"/>
    <w:rsid w:val="5BC4C549"/>
    <w:rsid w:val="5BECCF50"/>
    <w:rsid w:val="5CF1D179"/>
    <w:rsid w:val="5D04205C"/>
    <w:rsid w:val="5D2284CB"/>
    <w:rsid w:val="5D374487"/>
    <w:rsid w:val="5D3C47C2"/>
    <w:rsid w:val="5D8C9AC7"/>
    <w:rsid w:val="5DF57287"/>
    <w:rsid w:val="5DFCE87B"/>
    <w:rsid w:val="5E643B48"/>
    <w:rsid w:val="5EAF16B0"/>
    <w:rsid w:val="5EBF5502"/>
    <w:rsid w:val="5EFAEB63"/>
    <w:rsid w:val="5F5240A3"/>
    <w:rsid w:val="5F545D7A"/>
    <w:rsid w:val="5F8DE350"/>
    <w:rsid w:val="601564ED"/>
    <w:rsid w:val="60492EC4"/>
    <w:rsid w:val="6072E4A9"/>
    <w:rsid w:val="60C92831"/>
    <w:rsid w:val="61C66925"/>
    <w:rsid w:val="61E15272"/>
    <w:rsid w:val="6210AA6C"/>
    <w:rsid w:val="623A29FB"/>
    <w:rsid w:val="6278CFA0"/>
    <w:rsid w:val="62B9CA80"/>
    <w:rsid w:val="62F447FC"/>
    <w:rsid w:val="62FDAF25"/>
    <w:rsid w:val="63EE56BF"/>
    <w:rsid w:val="63F04D64"/>
    <w:rsid w:val="63FF4386"/>
    <w:rsid w:val="6496BAB5"/>
    <w:rsid w:val="65C1BB4F"/>
    <w:rsid w:val="65CF9E41"/>
    <w:rsid w:val="65E97E55"/>
    <w:rsid w:val="66391469"/>
    <w:rsid w:val="66541D1A"/>
    <w:rsid w:val="669CD344"/>
    <w:rsid w:val="678346DE"/>
    <w:rsid w:val="67FF7F2F"/>
    <w:rsid w:val="6806DC54"/>
    <w:rsid w:val="689B2E17"/>
    <w:rsid w:val="696A487B"/>
    <w:rsid w:val="698E6CA9"/>
    <w:rsid w:val="69AD6786"/>
    <w:rsid w:val="69E490C0"/>
    <w:rsid w:val="6A608C02"/>
    <w:rsid w:val="6A8B6969"/>
    <w:rsid w:val="6B2E6912"/>
    <w:rsid w:val="6B383140"/>
    <w:rsid w:val="6B6E4B97"/>
    <w:rsid w:val="6B834FA9"/>
    <w:rsid w:val="6CB09030"/>
    <w:rsid w:val="6CFD69D0"/>
    <w:rsid w:val="6D0AB909"/>
    <w:rsid w:val="6D0E1709"/>
    <w:rsid w:val="6D42408B"/>
    <w:rsid w:val="6DE915B5"/>
    <w:rsid w:val="6E40551F"/>
    <w:rsid w:val="6EA719EF"/>
    <w:rsid w:val="6EF40958"/>
    <w:rsid w:val="6F09DD21"/>
    <w:rsid w:val="6F4C9803"/>
    <w:rsid w:val="6F91739F"/>
    <w:rsid w:val="6FD3BEE1"/>
    <w:rsid w:val="6FEEC846"/>
    <w:rsid w:val="70105290"/>
    <w:rsid w:val="70629E72"/>
    <w:rsid w:val="71149167"/>
    <w:rsid w:val="711F013E"/>
    <w:rsid w:val="71764DF4"/>
    <w:rsid w:val="717904E9"/>
    <w:rsid w:val="717C8A13"/>
    <w:rsid w:val="72013C4E"/>
    <w:rsid w:val="7208684E"/>
    <w:rsid w:val="721F6C9A"/>
    <w:rsid w:val="72220D7A"/>
    <w:rsid w:val="72983494"/>
    <w:rsid w:val="72C1670C"/>
    <w:rsid w:val="72F433B3"/>
    <w:rsid w:val="7387A29C"/>
    <w:rsid w:val="73EC3E02"/>
    <w:rsid w:val="73F82BAF"/>
    <w:rsid w:val="73FAC5FD"/>
    <w:rsid w:val="7464D660"/>
    <w:rsid w:val="752D3F4B"/>
    <w:rsid w:val="75D228AC"/>
    <w:rsid w:val="75E00065"/>
    <w:rsid w:val="75EF5FD0"/>
    <w:rsid w:val="761D8F40"/>
    <w:rsid w:val="765808F3"/>
    <w:rsid w:val="76BE0744"/>
    <w:rsid w:val="76D18E84"/>
    <w:rsid w:val="776D0F26"/>
    <w:rsid w:val="776EF58E"/>
    <w:rsid w:val="778E7169"/>
    <w:rsid w:val="786056DC"/>
    <w:rsid w:val="787BC5EF"/>
    <w:rsid w:val="788B396A"/>
    <w:rsid w:val="7896347D"/>
    <w:rsid w:val="78D1BA2D"/>
    <w:rsid w:val="797C0705"/>
    <w:rsid w:val="79E967EF"/>
    <w:rsid w:val="7AE11D4C"/>
    <w:rsid w:val="7B2B3EB1"/>
    <w:rsid w:val="7B64AA91"/>
    <w:rsid w:val="7B903CD8"/>
    <w:rsid w:val="7BC65A6E"/>
    <w:rsid w:val="7BD1EC79"/>
    <w:rsid w:val="7BFAFAD6"/>
    <w:rsid w:val="7C44B5AB"/>
    <w:rsid w:val="7C562080"/>
    <w:rsid w:val="7C56B34E"/>
    <w:rsid w:val="7CCA2CCB"/>
    <w:rsid w:val="7D369C35"/>
    <w:rsid w:val="7D7A9F6A"/>
    <w:rsid w:val="7DB80456"/>
    <w:rsid w:val="7DFFD456"/>
    <w:rsid w:val="7E90C4BD"/>
    <w:rsid w:val="7E9A2C76"/>
    <w:rsid w:val="7EF11041"/>
    <w:rsid w:val="7F2174DC"/>
    <w:rsid w:val="7F905166"/>
    <w:rsid w:val="7FAD0732"/>
    <w:rsid w:val="7FD31CA7"/>
    <w:rsid w:val="7FF3FDD0"/>
    <w:rsid w:val="7FF587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aliases w:val="h1,MP PARA,Para1,h11,h12,Section Heading,(Chapter Nbr),EOI - Heading 1 (Low),Heading 1 (low)"/>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Figure_name Char,List NUmber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Dossier table,PBAC table,Header Table,Source table_,NICE instruction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ind w:left="720" w:hanging="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styleId="LightShading-Accent3">
    <w:name w:val="Light Shading Accent 3"/>
    <w:basedOn w:val="TableNormal"/>
    <w:uiPriority w:val="60"/>
    <w:rsid w:val="006F4B6D"/>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character" w:styleId="Mention">
    <w:name w:val="Mention"/>
    <w:basedOn w:val="DefaultParagraphFont"/>
    <w:uiPriority w:val="99"/>
    <w:unhideWhenUsed/>
    <w:rsid w:val="006158E0"/>
    <w:rPr>
      <w:color w:val="2B579A"/>
      <w:shd w:val="clear" w:color="auto" w:fill="E1DFDD"/>
    </w:rPr>
  </w:style>
  <w:style w:type="paragraph" w:customStyle="1" w:styleId="TableBullets">
    <w:name w:val="Table Bullets"/>
    <w:basedOn w:val="Normal"/>
    <w:uiPriority w:val="5"/>
    <w:qFormat/>
    <w:rsid w:val="00D82534"/>
    <w:pPr>
      <w:ind w:left="170" w:hanging="170"/>
      <w:jc w:val="left"/>
    </w:pPr>
    <w:rPr>
      <w:rFonts w:ascii="Arial Narrow" w:eastAsiaTheme="majorEastAsia" w:hAnsi="Arial Narrow" w:cstheme="majorBidi"/>
      <w:sz w:val="20"/>
      <w:szCs w:val="22"/>
      <w:lang w:eastAsia="en-US"/>
    </w:rPr>
  </w:style>
  <w:style w:type="paragraph" w:customStyle="1" w:styleId="Table">
    <w:name w:val="Table"/>
    <w:basedOn w:val="Normal"/>
    <w:link w:val="TableChar"/>
    <w:qFormat/>
    <w:rsid w:val="00D82534"/>
    <w:pPr>
      <w:spacing w:after="120"/>
    </w:pPr>
    <w:rPr>
      <w:rFonts w:ascii="Candara" w:eastAsiaTheme="majorEastAsia" w:hAnsi="Candara" w:cs="Times New Roman"/>
      <w:sz w:val="20"/>
      <w:szCs w:val="22"/>
      <w:lang w:eastAsia="en-US"/>
    </w:rPr>
  </w:style>
  <w:style w:type="character" w:customStyle="1" w:styleId="TableChar">
    <w:name w:val="Table Char"/>
    <w:basedOn w:val="DefaultParagraphFont"/>
    <w:link w:val="Table"/>
    <w:locked/>
    <w:rsid w:val="00D82534"/>
    <w:rPr>
      <w:rFonts w:ascii="Candara" w:eastAsiaTheme="majorEastAsia" w:hAnsi="Candara"/>
      <w:szCs w:val="22"/>
      <w:lang w:eastAsia="en-US"/>
    </w:rPr>
  </w:style>
  <w:style w:type="character" w:customStyle="1" w:styleId="SmallBold">
    <w:name w:val="Small Bold"/>
    <w:basedOn w:val="DefaultParagraphFont"/>
    <w:uiPriority w:val="4"/>
    <w:qFormat/>
    <w:rsid w:val="00D82534"/>
    <w:rPr>
      <w:rFonts w:ascii="Candara" w:hAnsi="Candara" w:cs="Times New Roman"/>
      <w:b/>
      <w:sz w:val="20"/>
      <w:lang w:val="en-AU" w:eastAsia="x-none"/>
    </w:rPr>
  </w:style>
  <w:style w:type="character" w:customStyle="1" w:styleId="SmallItalics">
    <w:name w:val="Small Italics"/>
    <w:basedOn w:val="DefaultParagraphFont"/>
    <w:uiPriority w:val="4"/>
    <w:qFormat/>
    <w:rsid w:val="00D82534"/>
    <w:rPr>
      <w:rFonts w:ascii="Candara" w:hAnsi="Candara" w:cs="Times New Roman"/>
      <w:i/>
      <w:sz w:val="20"/>
    </w:rPr>
  </w:style>
  <w:style w:type="paragraph" w:customStyle="1" w:styleId="Bodycopy">
    <w:name w:val="Body copy"/>
    <w:link w:val="BodycopyChar"/>
    <w:qFormat/>
    <w:rsid w:val="00C93B60"/>
    <w:pPr>
      <w:jc w:val="both"/>
    </w:pPr>
    <w:rPr>
      <w:rFonts w:asciiTheme="minorHAnsi" w:eastAsiaTheme="majorEastAsia" w:hAnsiTheme="minorHAnsi" w:cs="Calibri"/>
      <w:color w:val="000000" w:themeColor="text1"/>
      <w:lang w:val="en-GB" w:eastAsia="en-US"/>
    </w:rPr>
  </w:style>
  <w:style w:type="character" w:customStyle="1" w:styleId="BodycopyChar">
    <w:name w:val="Body copy Char"/>
    <w:basedOn w:val="DefaultParagraphFont"/>
    <w:link w:val="Bodycopy"/>
    <w:locked/>
    <w:rsid w:val="00C93B60"/>
    <w:rPr>
      <w:rFonts w:asciiTheme="minorHAnsi" w:eastAsiaTheme="majorEastAsia" w:hAnsiTheme="minorHAnsi" w:cs="Calibri"/>
      <w:color w:val="000000" w:themeColor="text1"/>
      <w:lang w:val="en-GB" w:eastAsia="en-US"/>
    </w:rPr>
  </w:style>
  <w:style w:type="paragraph" w:customStyle="1" w:styleId="PBACTabletext">
    <w:name w:val="PBAC Table text"/>
    <w:uiPriority w:val="99"/>
    <w:qFormat/>
    <w:rsid w:val="00B5512C"/>
    <w:pPr>
      <w:keepNext/>
      <w:keepLines/>
      <w:suppressLineNumbers/>
      <w:spacing w:after="20"/>
      <w:textboxTightWrap w:val="allLines"/>
    </w:pPr>
    <w:rPr>
      <w:rFonts w:asciiTheme="minorHAnsi" w:hAnsiTheme="minorHAnsi" w:cs="Arial"/>
      <w:szCs w:val="24"/>
      <w:lang w:eastAsia="en-GB"/>
    </w:rPr>
  </w:style>
  <w:style w:type="paragraph" w:customStyle="1" w:styleId="paragraph">
    <w:name w:val="paragraph"/>
    <w:basedOn w:val="Normal"/>
    <w:rsid w:val="00967492"/>
    <w:pPr>
      <w:spacing w:before="100" w:beforeAutospacing="1" w:after="100" w:afterAutospacing="1"/>
      <w:jc w:val="left"/>
    </w:pPr>
    <w:rPr>
      <w:rFonts w:ascii="Times New Roman" w:hAnsi="Times New Roman" w:cs="Times New Roman"/>
      <w:lang w:eastAsia="en-GB"/>
    </w:rPr>
  </w:style>
  <w:style w:type="character" w:customStyle="1" w:styleId="findhit">
    <w:name w:val="findhit"/>
    <w:basedOn w:val="DefaultParagraphFont"/>
    <w:rsid w:val="00967492"/>
  </w:style>
  <w:style w:type="character" w:customStyle="1" w:styleId="eop">
    <w:name w:val="eop"/>
    <w:basedOn w:val="DefaultParagraphFont"/>
    <w:rsid w:val="00967492"/>
  </w:style>
  <w:style w:type="character" w:customStyle="1" w:styleId="normaltextrun">
    <w:name w:val="normaltextrun"/>
    <w:basedOn w:val="DefaultParagraphFont"/>
    <w:rsid w:val="00967492"/>
  </w:style>
  <w:style w:type="character" w:customStyle="1" w:styleId="tabchar">
    <w:name w:val="tabchar"/>
    <w:basedOn w:val="DefaultParagraphFont"/>
    <w:rsid w:val="00967492"/>
  </w:style>
  <w:style w:type="table" w:customStyle="1" w:styleId="Submissionstandard">
    <w:name w:val="Submission standard"/>
    <w:basedOn w:val="TableNormal"/>
    <w:uiPriority w:val="99"/>
    <w:qFormat/>
    <w:rsid w:val="0071561D"/>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Symbol" w:hAnsi="Segoe UI Symbol" w:cstheme="majorBidi"/>
        <w:b/>
        <w:sz w:val="20"/>
      </w:rPr>
      <w:tblPr/>
      <w:tcPr>
        <w:shd w:val="clear" w:color="auto" w:fill="BFBFBF" w:themeFill="background1" w:themeFillShade="BF"/>
      </w:tcPr>
    </w:tblStylePr>
  </w:style>
  <w:style w:type="paragraph" w:customStyle="1" w:styleId="TableTextCA">
    <w:name w:val="Table Text CA"/>
    <w:basedOn w:val="Normal"/>
    <w:qFormat/>
    <w:rsid w:val="0071561D"/>
    <w:pPr>
      <w:spacing w:before="40" w:after="40"/>
      <w:jc w:val="center"/>
    </w:pPr>
    <w:rPr>
      <w:rFonts w:ascii="Arial Narrow" w:eastAsiaTheme="minorHAnsi" w:hAnsi="Arial Narrow" w:cstheme="minorBidi"/>
      <w:sz w:val="20"/>
      <w:szCs w:val="22"/>
      <w:lang w:eastAsia="en-US"/>
    </w:rPr>
  </w:style>
  <w:style w:type="paragraph" w:customStyle="1" w:styleId="TableBullet">
    <w:name w:val="Table Bullet"/>
    <w:basedOn w:val="Normal"/>
    <w:qFormat/>
    <w:rsid w:val="0071561D"/>
    <w:pPr>
      <w:numPr>
        <w:numId w:val="6"/>
      </w:numPr>
      <w:spacing w:before="40" w:after="40"/>
      <w:ind w:left="357" w:hanging="357"/>
      <w:jc w:val="left"/>
    </w:pPr>
    <w:rPr>
      <w:rFonts w:ascii="Arial Narrow" w:eastAsiaTheme="minorHAnsi" w:hAnsi="Arial Narrow" w:cstheme="minorBidi"/>
      <w:sz w:val="20"/>
      <w:szCs w:val="22"/>
      <w:lang w:eastAsia="en-US"/>
    </w:rPr>
  </w:style>
  <w:style w:type="table" w:customStyle="1" w:styleId="TableGrid0">
    <w:name w:val="Table Grid0"/>
    <w:basedOn w:val="TableNormal"/>
    <w:uiPriority w:val="39"/>
    <w:rsid w:val="00E4343F"/>
    <w:rPr>
      <w:rFonts w:asciiTheme="minorHAnsi" w:eastAsiaTheme="minorEastAsia"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0">
    <w:name w:val="TableBullet"/>
    <w:basedOn w:val="Normal"/>
    <w:rsid w:val="009C62BF"/>
    <w:pPr>
      <w:keepNext/>
      <w:numPr>
        <w:numId w:val="7"/>
      </w:numPr>
      <w:tabs>
        <w:tab w:val="left" w:pos="216"/>
      </w:tabs>
      <w:spacing w:before="20" w:after="20"/>
      <w:jc w:val="left"/>
    </w:pPr>
    <w:rPr>
      <w:rFonts w:ascii="Arial Narrow" w:hAnsi="Arial Narrow" w:cs="Times New Roman"/>
      <w:color w:val="000000"/>
      <w:sz w:val="20"/>
      <w:szCs w:val="21"/>
    </w:rPr>
  </w:style>
  <w:style w:type="table" w:customStyle="1" w:styleId="TableGrid1">
    <w:name w:val="Table Grid1"/>
    <w:basedOn w:val="TableNormal"/>
    <w:next w:val="TableGrid"/>
    <w:rsid w:val="00552CA9"/>
    <w:pPr>
      <w:spacing w:after="200"/>
      <w:jc w:val="center"/>
    </w:pPr>
    <w:rPr>
      <w:rFonts w:ascii="Arial" w:eastAsia="Cambria"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018B7"/>
    <w:rPr>
      <w:b/>
      <w:smallCaps/>
    </w:rPr>
  </w:style>
  <w:style w:type="character" w:customStyle="1" w:styleId="Heading5Char">
    <w:name w:val="Heading 5 Char"/>
    <w:basedOn w:val="DefaultParagraphFont"/>
    <w:link w:val="Heading5"/>
    <w:rsid w:val="006F3CF0"/>
    <w:rPr>
      <w:rFonts w:ascii="Calibri" w:hAnsi="Calibri" w:cs="Arial"/>
      <w:b/>
      <w:bCs/>
      <w:iCs/>
      <w:sz w:val="26"/>
      <w:szCs w:val="26"/>
    </w:rPr>
  </w:style>
  <w:style w:type="paragraph" w:customStyle="1" w:styleId="Source">
    <w:name w:val="Source"/>
    <w:basedOn w:val="Normal"/>
    <w:rsid w:val="006F3CF0"/>
    <w:pPr>
      <w:ind w:left="720" w:hanging="720"/>
    </w:pPr>
  </w:style>
  <w:style w:type="paragraph" w:styleId="FootnoteText">
    <w:name w:val="footnote text"/>
    <w:basedOn w:val="Normal"/>
    <w:link w:val="FootnoteTextChar"/>
    <w:uiPriority w:val="99"/>
    <w:unhideWhenUsed/>
    <w:rsid w:val="001F2F6C"/>
    <w:rPr>
      <w:sz w:val="20"/>
      <w:szCs w:val="20"/>
    </w:rPr>
  </w:style>
  <w:style w:type="character" w:customStyle="1" w:styleId="FootnoteTextChar">
    <w:name w:val="Footnote Text Char"/>
    <w:basedOn w:val="DefaultParagraphFont"/>
    <w:link w:val="FootnoteText"/>
    <w:uiPriority w:val="99"/>
    <w:rsid w:val="001F2F6C"/>
    <w:rPr>
      <w:rFonts w:ascii="Calibri" w:hAnsi="Calibri" w:cs="Arial"/>
    </w:rPr>
  </w:style>
  <w:style w:type="character" w:styleId="FootnoteReference">
    <w:name w:val="footnote reference"/>
    <w:basedOn w:val="DefaultParagraphFont"/>
    <w:uiPriority w:val="99"/>
    <w:unhideWhenUsed/>
    <w:rsid w:val="001F2F6C"/>
    <w:rPr>
      <w:vertAlign w:val="superscript"/>
    </w:rPr>
  </w:style>
  <w:style w:type="character" w:styleId="PlaceholderText">
    <w:name w:val="Placeholder Text"/>
    <w:basedOn w:val="DefaultParagraphFont"/>
    <w:uiPriority w:val="99"/>
    <w:semiHidden/>
    <w:rsid w:val="003F3C65"/>
    <w:rPr>
      <w:color w:val="808080"/>
    </w:rPr>
  </w:style>
  <w:style w:type="paragraph" w:customStyle="1" w:styleId="TableNotes">
    <w:name w:val="Table Notes"/>
    <w:basedOn w:val="Normal"/>
    <w:link w:val="TableNotesChar"/>
    <w:uiPriority w:val="6"/>
    <w:qFormat/>
    <w:rsid w:val="003F3C65"/>
    <w:pPr>
      <w:spacing w:after="40"/>
      <w:jc w:val="left"/>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3F3C65"/>
    <w:rPr>
      <w:rFonts w:ascii="Arial Narrow" w:eastAsiaTheme="majorEastAsia" w:hAnsi="Arial Narrow" w:cstheme="majorBidi"/>
      <w:sz w:val="16"/>
      <w:szCs w:val="22"/>
      <w:lang w:eastAsia="en-US"/>
    </w:rPr>
  </w:style>
  <w:style w:type="character" w:styleId="UnresolvedMention">
    <w:name w:val="Unresolved Mention"/>
    <w:basedOn w:val="DefaultParagraphFont"/>
    <w:uiPriority w:val="99"/>
    <w:unhideWhenUsed/>
    <w:rsid w:val="00B626AE"/>
    <w:rPr>
      <w:color w:val="605E5C"/>
      <w:shd w:val="clear" w:color="auto" w:fill="E1DFDD"/>
    </w:rPr>
  </w:style>
  <w:style w:type="paragraph" w:customStyle="1" w:styleId="PBACTblFignote">
    <w:name w:val="PBAC Tbl/Fig note"/>
    <w:uiPriority w:val="99"/>
    <w:qFormat/>
    <w:rsid w:val="00B626AE"/>
    <w:pPr>
      <w:keepNext/>
      <w:keepLines/>
      <w:spacing w:after="360"/>
      <w:contextualSpacing/>
      <w:textboxTightWrap w:val="allLines"/>
    </w:pPr>
    <w:rPr>
      <w:rFonts w:asciiTheme="minorHAnsi" w:hAnsiTheme="minorHAnsi" w:cs="Arial"/>
      <w:sz w:val="18"/>
      <w:szCs w:val="24"/>
      <w:lang w:eastAsia="en-GB"/>
    </w:rPr>
  </w:style>
  <w:style w:type="table" w:customStyle="1" w:styleId="TableGrid11">
    <w:name w:val="Table Grid11"/>
    <w:basedOn w:val="TableNormal"/>
    <w:next w:val="TableGrid"/>
    <w:uiPriority w:val="59"/>
    <w:rsid w:val="00B626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39"/>
    <w:rsid w:val="00B626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26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EvideraTable5">
    <w:name w:val="NEW Evidera Table5"/>
    <w:basedOn w:val="TableNormal"/>
    <w:uiPriority w:val="99"/>
    <w:qFormat/>
    <w:rsid w:val="00B626AE"/>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sz w:val="18"/>
      </w:rPr>
      <w:tblPr/>
      <w:tcPr>
        <w:vAlign w:val="center"/>
      </w:tcPr>
    </w:tblStylePr>
  </w:style>
  <w:style w:type="paragraph" w:styleId="TableofFigures">
    <w:name w:val="table of figures"/>
    <w:basedOn w:val="Normal"/>
    <w:next w:val="Normal"/>
    <w:uiPriority w:val="99"/>
    <w:unhideWhenUsed/>
    <w:rsid w:val="00D73D20"/>
  </w:style>
  <w:style w:type="paragraph" w:customStyle="1" w:styleId="TableFigureFooter">
    <w:name w:val="Table/Figure Footer"/>
    <w:basedOn w:val="Normal"/>
    <w:link w:val="TableFigureFooterChar"/>
    <w:qFormat/>
    <w:rsid w:val="00D73D20"/>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73D20"/>
    <w:rPr>
      <w:rFonts w:ascii="Arial Narrow" w:hAnsi="Arial Narrow" w:cs="Arial"/>
      <w:snapToGrid w:val="0"/>
      <w:sz w:val="18"/>
      <w:szCs w:val="22"/>
    </w:rPr>
  </w:style>
  <w:style w:type="character" w:styleId="Emphasis">
    <w:name w:val="Emphasis"/>
    <w:basedOn w:val="DefaultParagraphFont"/>
    <w:uiPriority w:val="20"/>
    <w:qFormat/>
    <w:rsid w:val="0017008A"/>
    <w:rPr>
      <w:i/>
      <w:iCs/>
    </w:rPr>
  </w:style>
  <w:style w:type="character" w:customStyle="1" w:styleId="cf01">
    <w:name w:val="cf01"/>
    <w:basedOn w:val="DefaultParagraphFont"/>
    <w:rsid w:val="00BA7ED1"/>
    <w:rPr>
      <w:rFonts w:ascii="Segoe UI" w:hAnsi="Segoe UI" w:cs="Segoe UI" w:hint="default"/>
      <w:b/>
      <w:bCs/>
      <w:color w:val="222222"/>
      <w:sz w:val="18"/>
      <w:szCs w:val="18"/>
      <w:u w:val="single"/>
    </w:rPr>
  </w:style>
  <w:style w:type="table" w:customStyle="1" w:styleId="IntenseQuote1">
    <w:name w:val="Intense Quote1"/>
    <w:uiPriority w:val="60"/>
    <w:qFormat/>
    <w:rsid w:val="00A072E1"/>
    <w:rPr>
      <w:rFonts w:ascii="Cambria" w:eastAsia="MS Mincho" w:hAnsi="Cambria"/>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TableTextcentred">
    <w:name w:val="Table Text centred"/>
    <w:basedOn w:val="Normal"/>
    <w:link w:val="TableTextcentredChar"/>
    <w:autoRedefine/>
    <w:qFormat/>
    <w:rsid w:val="00FF5641"/>
    <w:pPr>
      <w:jc w:val="center"/>
    </w:pPr>
    <w:rPr>
      <w:rFonts w:cs="Times New Roman"/>
      <w:sz w:val="18"/>
      <w:lang w:eastAsia="en-US"/>
    </w:rPr>
  </w:style>
  <w:style w:type="character" w:customStyle="1" w:styleId="TableTextcentredChar">
    <w:name w:val="Table Text centred Char"/>
    <w:basedOn w:val="DefaultParagraphFont"/>
    <w:link w:val="TableTextcentred"/>
    <w:rsid w:val="00FF5641"/>
    <w:rPr>
      <w:rFonts w:ascii="Calibri" w:hAnsi="Calibri"/>
      <w:sz w:val="18"/>
      <w:szCs w:val="24"/>
      <w:lang w:eastAsia="en-US"/>
    </w:rPr>
  </w:style>
  <w:style w:type="paragraph" w:customStyle="1" w:styleId="PBACheading10">
    <w:name w:val="PBAC heading 1"/>
    <w:qFormat/>
    <w:rsid w:val="00AC14C8"/>
    <w:pPr>
      <w:ind w:left="720" w:hanging="720"/>
    </w:pPr>
    <w:rPr>
      <w:rFonts w:ascii="Arial" w:hAnsi="Arial" w:cs="Arial"/>
      <w:snapToGrid w:val="0"/>
      <w:sz w:val="22"/>
      <w:szCs w:val="22"/>
      <w:lang w:eastAsia="en-US"/>
    </w:rPr>
  </w:style>
  <w:style w:type="paragraph" w:customStyle="1" w:styleId="EndNoteBibliography">
    <w:name w:val="EndNote Bibliography"/>
    <w:basedOn w:val="Normal"/>
    <w:link w:val="EndNoteBibliographyChar"/>
    <w:rsid w:val="005D6172"/>
    <w:pPr>
      <w:spacing w:after="160"/>
      <w:jc w:val="left"/>
    </w:pPr>
    <w:rPr>
      <w:rFonts w:cs="Calibri"/>
      <w:noProof/>
      <w:sz w:val="22"/>
      <w:lang w:eastAsia="en-US"/>
    </w:rPr>
  </w:style>
  <w:style w:type="character" w:customStyle="1" w:styleId="EndNoteBibliographyChar">
    <w:name w:val="EndNote Bibliography Char"/>
    <w:basedOn w:val="DefaultParagraphFont"/>
    <w:link w:val="EndNoteBibliography"/>
    <w:rsid w:val="005D6172"/>
    <w:rPr>
      <w:rFonts w:ascii="Calibri" w:hAnsi="Calibri" w:cs="Calibri"/>
      <w:noProof/>
      <w:sz w:val="22"/>
      <w:szCs w:val="24"/>
      <w:lang w:eastAsia="en-US"/>
    </w:rPr>
  </w:style>
  <w:style w:type="paragraph" w:customStyle="1" w:styleId="3-SubsectionHeading">
    <w:name w:val="3-Subsection Heading"/>
    <w:basedOn w:val="Heading2"/>
    <w:next w:val="Normal"/>
    <w:link w:val="3-SubsectionHeadingChar"/>
    <w:qFormat/>
    <w:rsid w:val="00B1767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17673"/>
    <w:rPr>
      <w:rFonts w:asciiTheme="minorHAnsi" w:eastAsiaTheme="majorEastAsia" w:hAnsiTheme="minorHAnsi" w:cstheme="majorBidi"/>
      <w:b/>
      <w:i/>
      <w:snapToGrid/>
      <w:spacing w:val="5"/>
      <w:kern w:val="28"/>
      <w:sz w:val="28"/>
      <w:szCs w:val="36"/>
      <w:lang w:eastAsia="en-US"/>
    </w:rPr>
  </w:style>
  <w:style w:type="character" w:customStyle="1" w:styleId="ui-provider">
    <w:name w:val="ui-provider"/>
    <w:basedOn w:val="DefaultParagraphFont"/>
    <w:rsid w:val="00E6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245">
      <w:bodyDiv w:val="1"/>
      <w:marLeft w:val="0"/>
      <w:marRight w:val="0"/>
      <w:marTop w:val="0"/>
      <w:marBottom w:val="0"/>
      <w:divBdr>
        <w:top w:val="none" w:sz="0" w:space="0" w:color="auto"/>
        <w:left w:val="none" w:sz="0" w:space="0" w:color="auto"/>
        <w:bottom w:val="none" w:sz="0" w:space="0" w:color="auto"/>
        <w:right w:val="none" w:sz="0" w:space="0" w:color="auto"/>
      </w:divBdr>
      <w:divsChild>
        <w:div w:id="590895427">
          <w:marLeft w:val="0"/>
          <w:marRight w:val="0"/>
          <w:marTop w:val="0"/>
          <w:marBottom w:val="0"/>
          <w:divBdr>
            <w:top w:val="none" w:sz="0" w:space="0" w:color="auto"/>
            <w:left w:val="none" w:sz="0" w:space="0" w:color="auto"/>
            <w:bottom w:val="none" w:sz="0" w:space="0" w:color="auto"/>
            <w:right w:val="none" w:sz="0" w:space="0" w:color="auto"/>
          </w:divBdr>
          <w:divsChild>
            <w:div w:id="674572138">
              <w:marLeft w:val="0"/>
              <w:marRight w:val="0"/>
              <w:marTop w:val="0"/>
              <w:marBottom w:val="0"/>
              <w:divBdr>
                <w:top w:val="none" w:sz="0" w:space="0" w:color="auto"/>
                <w:left w:val="none" w:sz="0" w:space="0" w:color="auto"/>
                <w:bottom w:val="none" w:sz="0" w:space="0" w:color="auto"/>
                <w:right w:val="none" w:sz="0" w:space="0" w:color="auto"/>
              </w:divBdr>
              <w:divsChild>
                <w:div w:id="9216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0809">
      <w:bodyDiv w:val="1"/>
      <w:marLeft w:val="0"/>
      <w:marRight w:val="0"/>
      <w:marTop w:val="0"/>
      <w:marBottom w:val="0"/>
      <w:divBdr>
        <w:top w:val="none" w:sz="0" w:space="0" w:color="auto"/>
        <w:left w:val="none" w:sz="0" w:space="0" w:color="auto"/>
        <w:bottom w:val="none" w:sz="0" w:space="0" w:color="auto"/>
        <w:right w:val="none" w:sz="0" w:space="0" w:color="auto"/>
      </w:divBdr>
      <w:divsChild>
        <w:div w:id="651838562">
          <w:marLeft w:val="0"/>
          <w:marRight w:val="0"/>
          <w:marTop w:val="0"/>
          <w:marBottom w:val="0"/>
          <w:divBdr>
            <w:top w:val="none" w:sz="0" w:space="0" w:color="auto"/>
            <w:left w:val="none" w:sz="0" w:space="0" w:color="auto"/>
            <w:bottom w:val="none" w:sz="0" w:space="0" w:color="auto"/>
            <w:right w:val="none" w:sz="0" w:space="0" w:color="auto"/>
          </w:divBdr>
          <w:divsChild>
            <w:div w:id="798036777">
              <w:marLeft w:val="0"/>
              <w:marRight w:val="0"/>
              <w:marTop w:val="0"/>
              <w:marBottom w:val="0"/>
              <w:divBdr>
                <w:top w:val="none" w:sz="0" w:space="0" w:color="auto"/>
                <w:left w:val="none" w:sz="0" w:space="0" w:color="auto"/>
                <w:bottom w:val="none" w:sz="0" w:space="0" w:color="auto"/>
                <w:right w:val="none" w:sz="0" w:space="0" w:color="auto"/>
              </w:divBdr>
              <w:divsChild>
                <w:div w:id="12461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6113">
      <w:bodyDiv w:val="1"/>
      <w:marLeft w:val="0"/>
      <w:marRight w:val="0"/>
      <w:marTop w:val="0"/>
      <w:marBottom w:val="0"/>
      <w:divBdr>
        <w:top w:val="none" w:sz="0" w:space="0" w:color="auto"/>
        <w:left w:val="none" w:sz="0" w:space="0" w:color="auto"/>
        <w:bottom w:val="none" w:sz="0" w:space="0" w:color="auto"/>
        <w:right w:val="none" w:sz="0" w:space="0" w:color="auto"/>
      </w:divBdr>
      <w:divsChild>
        <w:div w:id="898125496">
          <w:marLeft w:val="0"/>
          <w:marRight w:val="0"/>
          <w:marTop w:val="0"/>
          <w:marBottom w:val="0"/>
          <w:divBdr>
            <w:top w:val="none" w:sz="0" w:space="0" w:color="auto"/>
            <w:left w:val="none" w:sz="0" w:space="0" w:color="auto"/>
            <w:bottom w:val="none" w:sz="0" w:space="0" w:color="auto"/>
            <w:right w:val="none" w:sz="0" w:space="0" w:color="auto"/>
          </w:divBdr>
          <w:divsChild>
            <w:div w:id="1213812056">
              <w:marLeft w:val="0"/>
              <w:marRight w:val="0"/>
              <w:marTop w:val="0"/>
              <w:marBottom w:val="0"/>
              <w:divBdr>
                <w:top w:val="none" w:sz="0" w:space="0" w:color="auto"/>
                <w:left w:val="none" w:sz="0" w:space="0" w:color="auto"/>
                <w:bottom w:val="none" w:sz="0" w:space="0" w:color="auto"/>
                <w:right w:val="none" w:sz="0" w:space="0" w:color="auto"/>
              </w:divBdr>
              <w:divsChild>
                <w:div w:id="2143309144">
                  <w:marLeft w:val="0"/>
                  <w:marRight w:val="0"/>
                  <w:marTop w:val="0"/>
                  <w:marBottom w:val="0"/>
                  <w:divBdr>
                    <w:top w:val="none" w:sz="0" w:space="0" w:color="auto"/>
                    <w:left w:val="none" w:sz="0" w:space="0" w:color="auto"/>
                    <w:bottom w:val="none" w:sz="0" w:space="0" w:color="auto"/>
                    <w:right w:val="none" w:sz="0" w:space="0" w:color="auto"/>
                  </w:divBdr>
                  <w:divsChild>
                    <w:div w:id="16248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899894">
      <w:bodyDiv w:val="1"/>
      <w:marLeft w:val="0"/>
      <w:marRight w:val="0"/>
      <w:marTop w:val="0"/>
      <w:marBottom w:val="0"/>
      <w:divBdr>
        <w:top w:val="none" w:sz="0" w:space="0" w:color="auto"/>
        <w:left w:val="none" w:sz="0" w:space="0" w:color="auto"/>
        <w:bottom w:val="none" w:sz="0" w:space="0" w:color="auto"/>
        <w:right w:val="none" w:sz="0" w:space="0" w:color="auto"/>
      </w:divBdr>
      <w:divsChild>
        <w:div w:id="120076295">
          <w:marLeft w:val="0"/>
          <w:marRight w:val="0"/>
          <w:marTop w:val="0"/>
          <w:marBottom w:val="0"/>
          <w:divBdr>
            <w:top w:val="none" w:sz="0" w:space="0" w:color="auto"/>
            <w:left w:val="none" w:sz="0" w:space="0" w:color="auto"/>
            <w:bottom w:val="none" w:sz="0" w:space="0" w:color="auto"/>
            <w:right w:val="none" w:sz="0" w:space="0" w:color="auto"/>
          </w:divBdr>
          <w:divsChild>
            <w:div w:id="1966277172">
              <w:marLeft w:val="0"/>
              <w:marRight w:val="0"/>
              <w:marTop w:val="0"/>
              <w:marBottom w:val="0"/>
              <w:divBdr>
                <w:top w:val="none" w:sz="0" w:space="0" w:color="auto"/>
                <w:left w:val="none" w:sz="0" w:space="0" w:color="auto"/>
                <w:bottom w:val="none" w:sz="0" w:space="0" w:color="auto"/>
                <w:right w:val="none" w:sz="0" w:space="0" w:color="auto"/>
              </w:divBdr>
              <w:divsChild>
                <w:div w:id="1778866712">
                  <w:marLeft w:val="0"/>
                  <w:marRight w:val="0"/>
                  <w:marTop w:val="0"/>
                  <w:marBottom w:val="0"/>
                  <w:divBdr>
                    <w:top w:val="none" w:sz="0" w:space="0" w:color="auto"/>
                    <w:left w:val="none" w:sz="0" w:space="0" w:color="auto"/>
                    <w:bottom w:val="none" w:sz="0" w:space="0" w:color="auto"/>
                    <w:right w:val="none" w:sz="0" w:space="0" w:color="auto"/>
                  </w:divBdr>
                  <w:divsChild>
                    <w:div w:id="2111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6626349">
      <w:bodyDiv w:val="1"/>
      <w:marLeft w:val="0"/>
      <w:marRight w:val="0"/>
      <w:marTop w:val="0"/>
      <w:marBottom w:val="0"/>
      <w:divBdr>
        <w:top w:val="none" w:sz="0" w:space="0" w:color="auto"/>
        <w:left w:val="none" w:sz="0" w:space="0" w:color="auto"/>
        <w:bottom w:val="none" w:sz="0" w:space="0" w:color="auto"/>
        <w:right w:val="none" w:sz="0" w:space="0" w:color="auto"/>
      </w:divBdr>
    </w:div>
    <w:div w:id="128980721">
      <w:bodyDiv w:val="1"/>
      <w:marLeft w:val="0"/>
      <w:marRight w:val="0"/>
      <w:marTop w:val="0"/>
      <w:marBottom w:val="0"/>
      <w:divBdr>
        <w:top w:val="none" w:sz="0" w:space="0" w:color="auto"/>
        <w:left w:val="none" w:sz="0" w:space="0" w:color="auto"/>
        <w:bottom w:val="none" w:sz="0" w:space="0" w:color="auto"/>
        <w:right w:val="none" w:sz="0" w:space="0" w:color="auto"/>
      </w:divBdr>
    </w:div>
    <w:div w:id="153033932">
      <w:bodyDiv w:val="1"/>
      <w:marLeft w:val="0"/>
      <w:marRight w:val="0"/>
      <w:marTop w:val="0"/>
      <w:marBottom w:val="0"/>
      <w:divBdr>
        <w:top w:val="none" w:sz="0" w:space="0" w:color="auto"/>
        <w:left w:val="none" w:sz="0" w:space="0" w:color="auto"/>
        <w:bottom w:val="none" w:sz="0" w:space="0" w:color="auto"/>
        <w:right w:val="none" w:sz="0" w:space="0" w:color="auto"/>
      </w:divBdr>
      <w:divsChild>
        <w:div w:id="571038189">
          <w:marLeft w:val="0"/>
          <w:marRight w:val="0"/>
          <w:marTop w:val="0"/>
          <w:marBottom w:val="0"/>
          <w:divBdr>
            <w:top w:val="none" w:sz="0" w:space="0" w:color="auto"/>
            <w:left w:val="none" w:sz="0" w:space="0" w:color="auto"/>
            <w:bottom w:val="none" w:sz="0" w:space="0" w:color="auto"/>
            <w:right w:val="none" w:sz="0" w:space="0" w:color="auto"/>
          </w:divBdr>
          <w:divsChild>
            <w:div w:id="2115442040">
              <w:marLeft w:val="0"/>
              <w:marRight w:val="0"/>
              <w:marTop w:val="0"/>
              <w:marBottom w:val="0"/>
              <w:divBdr>
                <w:top w:val="none" w:sz="0" w:space="0" w:color="auto"/>
                <w:left w:val="none" w:sz="0" w:space="0" w:color="auto"/>
                <w:bottom w:val="none" w:sz="0" w:space="0" w:color="auto"/>
                <w:right w:val="none" w:sz="0" w:space="0" w:color="auto"/>
              </w:divBdr>
              <w:divsChild>
                <w:div w:id="9873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7820">
      <w:bodyDiv w:val="1"/>
      <w:marLeft w:val="0"/>
      <w:marRight w:val="0"/>
      <w:marTop w:val="0"/>
      <w:marBottom w:val="0"/>
      <w:divBdr>
        <w:top w:val="none" w:sz="0" w:space="0" w:color="auto"/>
        <w:left w:val="none" w:sz="0" w:space="0" w:color="auto"/>
        <w:bottom w:val="none" w:sz="0" w:space="0" w:color="auto"/>
        <w:right w:val="none" w:sz="0" w:space="0" w:color="auto"/>
      </w:divBdr>
    </w:div>
    <w:div w:id="183175918">
      <w:bodyDiv w:val="1"/>
      <w:marLeft w:val="0"/>
      <w:marRight w:val="0"/>
      <w:marTop w:val="0"/>
      <w:marBottom w:val="0"/>
      <w:divBdr>
        <w:top w:val="none" w:sz="0" w:space="0" w:color="auto"/>
        <w:left w:val="none" w:sz="0" w:space="0" w:color="auto"/>
        <w:bottom w:val="none" w:sz="0" w:space="0" w:color="auto"/>
        <w:right w:val="none" w:sz="0" w:space="0" w:color="auto"/>
      </w:divBdr>
    </w:div>
    <w:div w:id="203830783">
      <w:bodyDiv w:val="1"/>
      <w:marLeft w:val="0"/>
      <w:marRight w:val="0"/>
      <w:marTop w:val="0"/>
      <w:marBottom w:val="0"/>
      <w:divBdr>
        <w:top w:val="none" w:sz="0" w:space="0" w:color="auto"/>
        <w:left w:val="none" w:sz="0" w:space="0" w:color="auto"/>
        <w:bottom w:val="none" w:sz="0" w:space="0" w:color="auto"/>
        <w:right w:val="none" w:sz="0" w:space="0" w:color="auto"/>
      </w:divBdr>
      <w:divsChild>
        <w:div w:id="679771248">
          <w:marLeft w:val="0"/>
          <w:marRight w:val="0"/>
          <w:marTop w:val="0"/>
          <w:marBottom w:val="0"/>
          <w:divBdr>
            <w:top w:val="none" w:sz="0" w:space="0" w:color="auto"/>
            <w:left w:val="none" w:sz="0" w:space="0" w:color="auto"/>
            <w:bottom w:val="none" w:sz="0" w:space="0" w:color="auto"/>
            <w:right w:val="none" w:sz="0" w:space="0" w:color="auto"/>
          </w:divBdr>
          <w:divsChild>
            <w:div w:id="2081706618">
              <w:marLeft w:val="0"/>
              <w:marRight w:val="0"/>
              <w:marTop w:val="0"/>
              <w:marBottom w:val="0"/>
              <w:divBdr>
                <w:top w:val="none" w:sz="0" w:space="0" w:color="auto"/>
                <w:left w:val="none" w:sz="0" w:space="0" w:color="auto"/>
                <w:bottom w:val="none" w:sz="0" w:space="0" w:color="auto"/>
                <w:right w:val="none" w:sz="0" w:space="0" w:color="auto"/>
              </w:divBdr>
              <w:divsChild>
                <w:div w:id="625624589">
                  <w:marLeft w:val="0"/>
                  <w:marRight w:val="0"/>
                  <w:marTop w:val="0"/>
                  <w:marBottom w:val="0"/>
                  <w:divBdr>
                    <w:top w:val="none" w:sz="0" w:space="0" w:color="auto"/>
                    <w:left w:val="none" w:sz="0" w:space="0" w:color="auto"/>
                    <w:bottom w:val="none" w:sz="0" w:space="0" w:color="auto"/>
                    <w:right w:val="none" w:sz="0" w:space="0" w:color="auto"/>
                  </w:divBdr>
                  <w:divsChild>
                    <w:div w:id="14263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6023">
      <w:bodyDiv w:val="1"/>
      <w:marLeft w:val="0"/>
      <w:marRight w:val="0"/>
      <w:marTop w:val="0"/>
      <w:marBottom w:val="0"/>
      <w:divBdr>
        <w:top w:val="none" w:sz="0" w:space="0" w:color="auto"/>
        <w:left w:val="none" w:sz="0" w:space="0" w:color="auto"/>
        <w:bottom w:val="none" w:sz="0" w:space="0" w:color="auto"/>
        <w:right w:val="none" w:sz="0" w:space="0" w:color="auto"/>
      </w:divBdr>
      <w:divsChild>
        <w:div w:id="693918920">
          <w:marLeft w:val="0"/>
          <w:marRight w:val="0"/>
          <w:marTop w:val="0"/>
          <w:marBottom w:val="0"/>
          <w:divBdr>
            <w:top w:val="none" w:sz="0" w:space="0" w:color="auto"/>
            <w:left w:val="none" w:sz="0" w:space="0" w:color="auto"/>
            <w:bottom w:val="none" w:sz="0" w:space="0" w:color="auto"/>
            <w:right w:val="none" w:sz="0" w:space="0" w:color="auto"/>
          </w:divBdr>
          <w:divsChild>
            <w:div w:id="619648546">
              <w:marLeft w:val="0"/>
              <w:marRight w:val="0"/>
              <w:marTop w:val="0"/>
              <w:marBottom w:val="0"/>
              <w:divBdr>
                <w:top w:val="none" w:sz="0" w:space="0" w:color="auto"/>
                <w:left w:val="none" w:sz="0" w:space="0" w:color="auto"/>
                <w:bottom w:val="none" w:sz="0" w:space="0" w:color="auto"/>
                <w:right w:val="none" w:sz="0" w:space="0" w:color="auto"/>
              </w:divBdr>
              <w:divsChild>
                <w:div w:id="798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3676">
      <w:bodyDiv w:val="1"/>
      <w:marLeft w:val="0"/>
      <w:marRight w:val="0"/>
      <w:marTop w:val="0"/>
      <w:marBottom w:val="0"/>
      <w:divBdr>
        <w:top w:val="none" w:sz="0" w:space="0" w:color="auto"/>
        <w:left w:val="none" w:sz="0" w:space="0" w:color="auto"/>
        <w:bottom w:val="none" w:sz="0" w:space="0" w:color="auto"/>
        <w:right w:val="none" w:sz="0" w:space="0" w:color="auto"/>
      </w:divBdr>
      <w:divsChild>
        <w:div w:id="1011026905">
          <w:marLeft w:val="0"/>
          <w:marRight w:val="0"/>
          <w:marTop w:val="0"/>
          <w:marBottom w:val="0"/>
          <w:divBdr>
            <w:top w:val="none" w:sz="0" w:space="0" w:color="auto"/>
            <w:left w:val="none" w:sz="0" w:space="0" w:color="auto"/>
            <w:bottom w:val="none" w:sz="0" w:space="0" w:color="auto"/>
            <w:right w:val="none" w:sz="0" w:space="0" w:color="auto"/>
          </w:divBdr>
          <w:divsChild>
            <w:div w:id="1037312681">
              <w:marLeft w:val="0"/>
              <w:marRight w:val="0"/>
              <w:marTop w:val="0"/>
              <w:marBottom w:val="0"/>
              <w:divBdr>
                <w:top w:val="none" w:sz="0" w:space="0" w:color="auto"/>
                <w:left w:val="none" w:sz="0" w:space="0" w:color="auto"/>
                <w:bottom w:val="none" w:sz="0" w:space="0" w:color="auto"/>
                <w:right w:val="none" w:sz="0" w:space="0" w:color="auto"/>
              </w:divBdr>
              <w:divsChild>
                <w:div w:id="1100028831">
                  <w:marLeft w:val="0"/>
                  <w:marRight w:val="0"/>
                  <w:marTop w:val="0"/>
                  <w:marBottom w:val="0"/>
                  <w:divBdr>
                    <w:top w:val="none" w:sz="0" w:space="0" w:color="auto"/>
                    <w:left w:val="none" w:sz="0" w:space="0" w:color="auto"/>
                    <w:bottom w:val="none" w:sz="0" w:space="0" w:color="auto"/>
                    <w:right w:val="none" w:sz="0" w:space="0" w:color="auto"/>
                  </w:divBdr>
                  <w:divsChild>
                    <w:div w:id="104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068689">
      <w:bodyDiv w:val="1"/>
      <w:marLeft w:val="0"/>
      <w:marRight w:val="0"/>
      <w:marTop w:val="0"/>
      <w:marBottom w:val="0"/>
      <w:divBdr>
        <w:top w:val="none" w:sz="0" w:space="0" w:color="auto"/>
        <w:left w:val="none" w:sz="0" w:space="0" w:color="auto"/>
        <w:bottom w:val="none" w:sz="0" w:space="0" w:color="auto"/>
        <w:right w:val="none" w:sz="0" w:space="0" w:color="auto"/>
      </w:divBdr>
      <w:divsChild>
        <w:div w:id="1347368571">
          <w:marLeft w:val="0"/>
          <w:marRight w:val="0"/>
          <w:marTop w:val="0"/>
          <w:marBottom w:val="0"/>
          <w:divBdr>
            <w:top w:val="none" w:sz="0" w:space="0" w:color="auto"/>
            <w:left w:val="none" w:sz="0" w:space="0" w:color="auto"/>
            <w:bottom w:val="none" w:sz="0" w:space="0" w:color="auto"/>
            <w:right w:val="none" w:sz="0" w:space="0" w:color="auto"/>
          </w:divBdr>
          <w:divsChild>
            <w:div w:id="300156006">
              <w:marLeft w:val="0"/>
              <w:marRight w:val="0"/>
              <w:marTop w:val="0"/>
              <w:marBottom w:val="0"/>
              <w:divBdr>
                <w:top w:val="none" w:sz="0" w:space="0" w:color="auto"/>
                <w:left w:val="none" w:sz="0" w:space="0" w:color="auto"/>
                <w:bottom w:val="none" w:sz="0" w:space="0" w:color="auto"/>
                <w:right w:val="none" w:sz="0" w:space="0" w:color="auto"/>
              </w:divBdr>
              <w:divsChild>
                <w:div w:id="769082530">
                  <w:marLeft w:val="0"/>
                  <w:marRight w:val="0"/>
                  <w:marTop w:val="0"/>
                  <w:marBottom w:val="0"/>
                  <w:divBdr>
                    <w:top w:val="none" w:sz="0" w:space="0" w:color="auto"/>
                    <w:left w:val="none" w:sz="0" w:space="0" w:color="auto"/>
                    <w:bottom w:val="none" w:sz="0" w:space="0" w:color="auto"/>
                    <w:right w:val="none" w:sz="0" w:space="0" w:color="auto"/>
                  </w:divBdr>
                  <w:divsChild>
                    <w:div w:id="15338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159819">
      <w:bodyDiv w:val="1"/>
      <w:marLeft w:val="0"/>
      <w:marRight w:val="0"/>
      <w:marTop w:val="0"/>
      <w:marBottom w:val="0"/>
      <w:divBdr>
        <w:top w:val="none" w:sz="0" w:space="0" w:color="auto"/>
        <w:left w:val="none" w:sz="0" w:space="0" w:color="auto"/>
        <w:bottom w:val="none" w:sz="0" w:space="0" w:color="auto"/>
        <w:right w:val="none" w:sz="0" w:space="0" w:color="auto"/>
      </w:divBdr>
      <w:divsChild>
        <w:div w:id="1627353904">
          <w:marLeft w:val="0"/>
          <w:marRight w:val="0"/>
          <w:marTop w:val="0"/>
          <w:marBottom w:val="0"/>
          <w:divBdr>
            <w:top w:val="none" w:sz="0" w:space="0" w:color="auto"/>
            <w:left w:val="none" w:sz="0" w:space="0" w:color="auto"/>
            <w:bottom w:val="none" w:sz="0" w:space="0" w:color="auto"/>
            <w:right w:val="none" w:sz="0" w:space="0" w:color="auto"/>
          </w:divBdr>
          <w:divsChild>
            <w:div w:id="1700545543">
              <w:marLeft w:val="0"/>
              <w:marRight w:val="0"/>
              <w:marTop w:val="0"/>
              <w:marBottom w:val="0"/>
              <w:divBdr>
                <w:top w:val="none" w:sz="0" w:space="0" w:color="auto"/>
                <w:left w:val="none" w:sz="0" w:space="0" w:color="auto"/>
                <w:bottom w:val="none" w:sz="0" w:space="0" w:color="auto"/>
                <w:right w:val="none" w:sz="0" w:space="0" w:color="auto"/>
              </w:divBdr>
              <w:divsChild>
                <w:div w:id="318966470">
                  <w:marLeft w:val="0"/>
                  <w:marRight w:val="0"/>
                  <w:marTop w:val="0"/>
                  <w:marBottom w:val="0"/>
                  <w:divBdr>
                    <w:top w:val="none" w:sz="0" w:space="0" w:color="auto"/>
                    <w:left w:val="none" w:sz="0" w:space="0" w:color="auto"/>
                    <w:bottom w:val="none" w:sz="0" w:space="0" w:color="auto"/>
                    <w:right w:val="none" w:sz="0" w:space="0" w:color="auto"/>
                  </w:divBdr>
                  <w:divsChild>
                    <w:div w:id="1244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51880">
      <w:bodyDiv w:val="1"/>
      <w:marLeft w:val="0"/>
      <w:marRight w:val="0"/>
      <w:marTop w:val="0"/>
      <w:marBottom w:val="0"/>
      <w:divBdr>
        <w:top w:val="none" w:sz="0" w:space="0" w:color="auto"/>
        <w:left w:val="none" w:sz="0" w:space="0" w:color="auto"/>
        <w:bottom w:val="none" w:sz="0" w:space="0" w:color="auto"/>
        <w:right w:val="none" w:sz="0" w:space="0" w:color="auto"/>
      </w:divBdr>
    </w:div>
    <w:div w:id="338121791">
      <w:bodyDiv w:val="1"/>
      <w:marLeft w:val="0"/>
      <w:marRight w:val="0"/>
      <w:marTop w:val="0"/>
      <w:marBottom w:val="0"/>
      <w:divBdr>
        <w:top w:val="none" w:sz="0" w:space="0" w:color="auto"/>
        <w:left w:val="none" w:sz="0" w:space="0" w:color="auto"/>
        <w:bottom w:val="none" w:sz="0" w:space="0" w:color="auto"/>
        <w:right w:val="none" w:sz="0" w:space="0" w:color="auto"/>
      </w:divBdr>
      <w:divsChild>
        <w:div w:id="73430972">
          <w:marLeft w:val="0"/>
          <w:marRight w:val="0"/>
          <w:marTop w:val="0"/>
          <w:marBottom w:val="0"/>
          <w:divBdr>
            <w:top w:val="none" w:sz="0" w:space="0" w:color="auto"/>
            <w:left w:val="none" w:sz="0" w:space="0" w:color="auto"/>
            <w:bottom w:val="none" w:sz="0" w:space="0" w:color="auto"/>
            <w:right w:val="none" w:sz="0" w:space="0" w:color="auto"/>
          </w:divBdr>
          <w:divsChild>
            <w:div w:id="1595436944">
              <w:marLeft w:val="0"/>
              <w:marRight w:val="0"/>
              <w:marTop w:val="0"/>
              <w:marBottom w:val="0"/>
              <w:divBdr>
                <w:top w:val="none" w:sz="0" w:space="0" w:color="auto"/>
                <w:left w:val="none" w:sz="0" w:space="0" w:color="auto"/>
                <w:bottom w:val="none" w:sz="0" w:space="0" w:color="auto"/>
                <w:right w:val="none" w:sz="0" w:space="0" w:color="auto"/>
              </w:divBdr>
              <w:divsChild>
                <w:div w:id="1478767942">
                  <w:marLeft w:val="0"/>
                  <w:marRight w:val="0"/>
                  <w:marTop w:val="0"/>
                  <w:marBottom w:val="0"/>
                  <w:divBdr>
                    <w:top w:val="none" w:sz="0" w:space="0" w:color="auto"/>
                    <w:left w:val="none" w:sz="0" w:space="0" w:color="auto"/>
                    <w:bottom w:val="none" w:sz="0" w:space="0" w:color="auto"/>
                    <w:right w:val="none" w:sz="0" w:space="0" w:color="auto"/>
                  </w:divBdr>
                  <w:divsChild>
                    <w:div w:id="3148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2409">
      <w:bodyDiv w:val="1"/>
      <w:marLeft w:val="0"/>
      <w:marRight w:val="0"/>
      <w:marTop w:val="0"/>
      <w:marBottom w:val="0"/>
      <w:divBdr>
        <w:top w:val="none" w:sz="0" w:space="0" w:color="auto"/>
        <w:left w:val="none" w:sz="0" w:space="0" w:color="auto"/>
        <w:bottom w:val="none" w:sz="0" w:space="0" w:color="auto"/>
        <w:right w:val="none" w:sz="0" w:space="0" w:color="auto"/>
      </w:divBdr>
      <w:divsChild>
        <w:div w:id="1562445578">
          <w:marLeft w:val="0"/>
          <w:marRight w:val="0"/>
          <w:marTop w:val="0"/>
          <w:marBottom w:val="0"/>
          <w:divBdr>
            <w:top w:val="none" w:sz="0" w:space="0" w:color="auto"/>
            <w:left w:val="none" w:sz="0" w:space="0" w:color="auto"/>
            <w:bottom w:val="none" w:sz="0" w:space="0" w:color="auto"/>
            <w:right w:val="none" w:sz="0" w:space="0" w:color="auto"/>
          </w:divBdr>
          <w:divsChild>
            <w:div w:id="874272977">
              <w:marLeft w:val="0"/>
              <w:marRight w:val="0"/>
              <w:marTop w:val="0"/>
              <w:marBottom w:val="0"/>
              <w:divBdr>
                <w:top w:val="none" w:sz="0" w:space="0" w:color="auto"/>
                <w:left w:val="none" w:sz="0" w:space="0" w:color="auto"/>
                <w:bottom w:val="none" w:sz="0" w:space="0" w:color="auto"/>
                <w:right w:val="none" w:sz="0" w:space="0" w:color="auto"/>
              </w:divBdr>
              <w:divsChild>
                <w:div w:id="1319268198">
                  <w:marLeft w:val="0"/>
                  <w:marRight w:val="0"/>
                  <w:marTop w:val="0"/>
                  <w:marBottom w:val="0"/>
                  <w:divBdr>
                    <w:top w:val="none" w:sz="0" w:space="0" w:color="auto"/>
                    <w:left w:val="none" w:sz="0" w:space="0" w:color="auto"/>
                    <w:bottom w:val="none" w:sz="0" w:space="0" w:color="auto"/>
                    <w:right w:val="none" w:sz="0" w:space="0" w:color="auto"/>
                  </w:divBdr>
                  <w:divsChild>
                    <w:div w:id="2541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4200">
      <w:bodyDiv w:val="1"/>
      <w:marLeft w:val="0"/>
      <w:marRight w:val="0"/>
      <w:marTop w:val="0"/>
      <w:marBottom w:val="0"/>
      <w:divBdr>
        <w:top w:val="none" w:sz="0" w:space="0" w:color="auto"/>
        <w:left w:val="none" w:sz="0" w:space="0" w:color="auto"/>
        <w:bottom w:val="none" w:sz="0" w:space="0" w:color="auto"/>
        <w:right w:val="none" w:sz="0" w:space="0" w:color="auto"/>
      </w:divBdr>
      <w:divsChild>
        <w:div w:id="471875012">
          <w:marLeft w:val="0"/>
          <w:marRight w:val="0"/>
          <w:marTop w:val="0"/>
          <w:marBottom w:val="0"/>
          <w:divBdr>
            <w:top w:val="none" w:sz="0" w:space="0" w:color="auto"/>
            <w:left w:val="none" w:sz="0" w:space="0" w:color="auto"/>
            <w:bottom w:val="none" w:sz="0" w:space="0" w:color="auto"/>
            <w:right w:val="none" w:sz="0" w:space="0" w:color="auto"/>
          </w:divBdr>
          <w:divsChild>
            <w:div w:id="1735397171">
              <w:marLeft w:val="0"/>
              <w:marRight w:val="0"/>
              <w:marTop w:val="0"/>
              <w:marBottom w:val="0"/>
              <w:divBdr>
                <w:top w:val="none" w:sz="0" w:space="0" w:color="auto"/>
                <w:left w:val="none" w:sz="0" w:space="0" w:color="auto"/>
                <w:bottom w:val="none" w:sz="0" w:space="0" w:color="auto"/>
                <w:right w:val="none" w:sz="0" w:space="0" w:color="auto"/>
              </w:divBdr>
              <w:divsChild>
                <w:div w:id="260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2731">
      <w:bodyDiv w:val="1"/>
      <w:marLeft w:val="0"/>
      <w:marRight w:val="0"/>
      <w:marTop w:val="0"/>
      <w:marBottom w:val="0"/>
      <w:divBdr>
        <w:top w:val="none" w:sz="0" w:space="0" w:color="auto"/>
        <w:left w:val="none" w:sz="0" w:space="0" w:color="auto"/>
        <w:bottom w:val="none" w:sz="0" w:space="0" w:color="auto"/>
        <w:right w:val="none" w:sz="0" w:space="0" w:color="auto"/>
      </w:divBdr>
      <w:divsChild>
        <w:div w:id="423192253">
          <w:marLeft w:val="0"/>
          <w:marRight w:val="0"/>
          <w:marTop w:val="0"/>
          <w:marBottom w:val="0"/>
          <w:divBdr>
            <w:top w:val="none" w:sz="0" w:space="0" w:color="auto"/>
            <w:left w:val="none" w:sz="0" w:space="0" w:color="auto"/>
            <w:bottom w:val="none" w:sz="0" w:space="0" w:color="auto"/>
            <w:right w:val="none" w:sz="0" w:space="0" w:color="auto"/>
          </w:divBdr>
          <w:divsChild>
            <w:div w:id="600452854">
              <w:marLeft w:val="0"/>
              <w:marRight w:val="0"/>
              <w:marTop w:val="0"/>
              <w:marBottom w:val="0"/>
              <w:divBdr>
                <w:top w:val="none" w:sz="0" w:space="0" w:color="auto"/>
                <w:left w:val="none" w:sz="0" w:space="0" w:color="auto"/>
                <w:bottom w:val="none" w:sz="0" w:space="0" w:color="auto"/>
                <w:right w:val="none" w:sz="0" w:space="0" w:color="auto"/>
              </w:divBdr>
              <w:divsChild>
                <w:div w:id="1093088911">
                  <w:marLeft w:val="0"/>
                  <w:marRight w:val="0"/>
                  <w:marTop w:val="0"/>
                  <w:marBottom w:val="0"/>
                  <w:divBdr>
                    <w:top w:val="none" w:sz="0" w:space="0" w:color="auto"/>
                    <w:left w:val="none" w:sz="0" w:space="0" w:color="auto"/>
                    <w:bottom w:val="none" w:sz="0" w:space="0" w:color="auto"/>
                    <w:right w:val="none" w:sz="0" w:space="0" w:color="auto"/>
                  </w:divBdr>
                  <w:divsChild>
                    <w:div w:id="13626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50574">
      <w:bodyDiv w:val="1"/>
      <w:marLeft w:val="0"/>
      <w:marRight w:val="0"/>
      <w:marTop w:val="0"/>
      <w:marBottom w:val="0"/>
      <w:divBdr>
        <w:top w:val="none" w:sz="0" w:space="0" w:color="auto"/>
        <w:left w:val="none" w:sz="0" w:space="0" w:color="auto"/>
        <w:bottom w:val="none" w:sz="0" w:space="0" w:color="auto"/>
        <w:right w:val="none" w:sz="0" w:space="0" w:color="auto"/>
      </w:divBdr>
    </w:div>
    <w:div w:id="437650521">
      <w:bodyDiv w:val="1"/>
      <w:marLeft w:val="0"/>
      <w:marRight w:val="0"/>
      <w:marTop w:val="0"/>
      <w:marBottom w:val="0"/>
      <w:divBdr>
        <w:top w:val="none" w:sz="0" w:space="0" w:color="auto"/>
        <w:left w:val="none" w:sz="0" w:space="0" w:color="auto"/>
        <w:bottom w:val="none" w:sz="0" w:space="0" w:color="auto"/>
        <w:right w:val="none" w:sz="0" w:space="0" w:color="auto"/>
      </w:divBdr>
      <w:divsChild>
        <w:div w:id="813570187">
          <w:marLeft w:val="1166"/>
          <w:marRight w:val="0"/>
          <w:marTop w:val="100"/>
          <w:marBottom w:val="0"/>
          <w:divBdr>
            <w:top w:val="none" w:sz="0" w:space="0" w:color="auto"/>
            <w:left w:val="none" w:sz="0" w:space="0" w:color="auto"/>
            <w:bottom w:val="none" w:sz="0" w:space="0" w:color="auto"/>
            <w:right w:val="none" w:sz="0" w:space="0" w:color="auto"/>
          </w:divBdr>
        </w:div>
      </w:divsChild>
    </w:div>
    <w:div w:id="470440678">
      <w:bodyDiv w:val="1"/>
      <w:marLeft w:val="0"/>
      <w:marRight w:val="0"/>
      <w:marTop w:val="0"/>
      <w:marBottom w:val="0"/>
      <w:divBdr>
        <w:top w:val="none" w:sz="0" w:space="0" w:color="auto"/>
        <w:left w:val="none" w:sz="0" w:space="0" w:color="auto"/>
        <w:bottom w:val="none" w:sz="0" w:space="0" w:color="auto"/>
        <w:right w:val="none" w:sz="0" w:space="0" w:color="auto"/>
      </w:divBdr>
      <w:divsChild>
        <w:div w:id="916209953">
          <w:marLeft w:val="0"/>
          <w:marRight w:val="0"/>
          <w:marTop w:val="0"/>
          <w:marBottom w:val="0"/>
          <w:divBdr>
            <w:top w:val="none" w:sz="0" w:space="0" w:color="auto"/>
            <w:left w:val="none" w:sz="0" w:space="0" w:color="auto"/>
            <w:bottom w:val="none" w:sz="0" w:space="0" w:color="auto"/>
            <w:right w:val="none" w:sz="0" w:space="0" w:color="auto"/>
          </w:divBdr>
          <w:divsChild>
            <w:div w:id="572156260">
              <w:marLeft w:val="0"/>
              <w:marRight w:val="0"/>
              <w:marTop w:val="0"/>
              <w:marBottom w:val="0"/>
              <w:divBdr>
                <w:top w:val="none" w:sz="0" w:space="0" w:color="auto"/>
                <w:left w:val="none" w:sz="0" w:space="0" w:color="auto"/>
                <w:bottom w:val="none" w:sz="0" w:space="0" w:color="auto"/>
                <w:right w:val="none" w:sz="0" w:space="0" w:color="auto"/>
              </w:divBdr>
              <w:divsChild>
                <w:div w:id="1352412804">
                  <w:marLeft w:val="0"/>
                  <w:marRight w:val="0"/>
                  <w:marTop w:val="0"/>
                  <w:marBottom w:val="0"/>
                  <w:divBdr>
                    <w:top w:val="none" w:sz="0" w:space="0" w:color="auto"/>
                    <w:left w:val="none" w:sz="0" w:space="0" w:color="auto"/>
                    <w:bottom w:val="none" w:sz="0" w:space="0" w:color="auto"/>
                    <w:right w:val="none" w:sz="0" w:space="0" w:color="auto"/>
                  </w:divBdr>
                  <w:divsChild>
                    <w:div w:id="12452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2217">
      <w:bodyDiv w:val="1"/>
      <w:marLeft w:val="0"/>
      <w:marRight w:val="0"/>
      <w:marTop w:val="0"/>
      <w:marBottom w:val="0"/>
      <w:divBdr>
        <w:top w:val="none" w:sz="0" w:space="0" w:color="auto"/>
        <w:left w:val="none" w:sz="0" w:space="0" w:color="auto"/>
        <w:bottom w:val="none" w:sz="0" w:space="0" w:color="auto"/>
        <w:right w:val="none" w:sz="0" w:space="0" w:color="auto"/>
      </w:divBdr>
      <w:divsChild>
        <w:div w:id="1733576960">
          <w:marLeft w:val="1166"/>
          <w:marRight w:val="0"/>
          <w:marTop w:val="100"/>
          <w:marBottom w:val="0"/>
          <w:divBdr>
            <w:top w:val="none" w:sz="0" w:space="0" w:color="auto"/>
            <w:left w:val="none" w:sz="0" w:space="0" w:color="auto"/>
            <w:bottom w:val="none" w:sz="0" w:space="0" w:color="auto"/>
            <w:right w:val="none" w:sz="0" w:space="0" w:color="auto"/>
          </w:divBdr>
        </w:div>
      </w:divsChild>
    </w:div>
    <w:div w:id="522785361">
      <w:bodyDiv w:val="1"/>
      <w:marLeft w:val="0"/>
      <w:marRight w:val="0"/>
      <w:marTop w:val="0"/>
      <w:marBottom w:val="0"/>
      <w:divBdr>
        <w:top w:val="none" w:sz="0" w:space="0" w:color="auto"/>
        <w:left w:val="none" w:sz="0" w:space="0" w:color="auto"/>
        <w:bottom w:val="none" w:sz="0" w:space="0" w:color="auto"/>
        <w:right w:val="none" w:sz="0" w:space="0" w:color="auto"/>
      </w:divBdr>
      <w:divsChild>
        <w:div w:id="150172537">
          <w:marLeft w:val="0"/>
          <w:marRight w:val="0"/>
          <w:marTop w:val="0"/>
          <w:marBottom w:val="0"/>
          <w:divBdr>
            <w:top w:val="none" w:sz="0" w:space="0" w:color="auto"/>
            <w:left w:val="none" w:sz="0" w:space="0" w:color="auto"/>
            <w:bottom w:val="none" w:sz="0" w:space="0" w:color="auto"/>
            <w:right w:val="none" w:sz="0" w:space="0" w:color="auto"/>
          </w:divBdr>
          <w:divsChild>
            <w:div w:id="529299795">
              <w:marLeft w:val="0"/>
              <w:marRight w:val="0"/>
              <w:marTop w:val="0"/>
              <w:marBottom w:val="0"/>
              <w:divBdr>
                <w:top w:val="none" w:sz="0" w:space="0" w:color="auto"/>
                <w:left w:val="none" w:sz="0" w:space="0" w:color="auto"/>
                <w:bottom w:val="none" w:sz="0" w:space="0" w:color="auto"/>
                <w:right w:val="none" w:sz="0" w:space="0" w:color="auto"/>
              </w:divBdr>
              <w:divsChild>
                <w:div w:id="549389950">
                  <w:marLeft w:val="0"/>
                  <w:marRight w:val="0"/>
                  <w:marTop w:val="0"/>
                  <w:marBottom w:val="0"/>
                  <w:divBdr>
                    <w:top w:val="none" w:sz="0" w:space="0" w:color="auto"/>
                    <w:left w:val="none" w:sz="0" w:space="0" w:color="auto"/>
                    <w:bottom w:val="none" w:sz="0" w:space="0" w:color="auto"/>
                    <w:right w:val="none" w:sz="0" w:space="0" w:color="auto"/>
                  </w:divBdr>
                  <w:divsChild>
                    <w:div w:id="9807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1891">
      <w:bodyDiv w:val="1"/>
      <w:marLeft w:val="0"/>
      <w:marRight w:val="0"/>
      <w:marTop w:val="0"/>
      <w:marBottom w:val="0"/>
      <w:divBdr>
        <w:top w:val="none" w:sz="0" w:space="0" w:color="auto"/>
        <w:left w:val="none" w:sz="0" w:space="0" w:color="auto"/>
        <w:bottom w:val="none" w:sz="0" w:space="0" w:color="auto"/>
        <w:right w:val="none" w:sz="0" w:space="0" w:color="auto"/>
      </w:divBdr>
      <w:divsChild>
        <w:div w:id="1003163483">
          <w:marLeft w:val="0"/>
          <w:marRight w:val="0"/>
          <w:marTop w:val="0"/>
          <w:marBottom w:val="0"/>
          <w:divBdr>
            <w:top w:val="none" w:sz="0" w:space="0" w:color="auto"/>
            <w:left w:val="none" w:sz="0" w:space="0" w:color="auto"/>
            <w:bottom w:val="none" w:sz="0" w:space="0" w:color="auto"/>
            <w:right w:val="none" w:sz="0" w:space="0" w:color="auto"/>
          </w:divBdr>
          <w:divsChild>
            <w:div w:id="760686893">
              <w:marLeft w:val="0"/>
              <w:marRight w:val="0"/>
              <w:marTop w:val="0"/>
              <w:marBottom w:val="0"/>
              <w:divBdr>
                <w:top w:val="none" w:sz="0" w:space="0" w:color="auto"/>
                <w:left w:val="none" w:sz="0" w:space="0" w:color="auto"/>
                <w:bottom w:val="none" w:sz="0" w:space="0" w:color="auto"/>
                <w:right w:val="none" w:sz="0" w:space="0" w:color="auto"/>
              </w:divBdr>
              <w:divsChild>
                <w:div w:id="1322810051">
                  <w:marLeft w:val="0"/>
                  <w:marRight w:val="0"/>
                  <w:marTop w:val="0"/>
                  <w:marBottom w:val="0"/>
                  <w:divBdr>
                    <w:top w:val="none" w:sz="0" w:space="0" w:color="auto"/>
                    <w:left w:val="none" w:sz="0" w:space="0" w:color="auto"/>
                    <w:bottom w:val="none" w:sz="0" w:space="0" w:color="auto"/>
                    <w:right w:val="none" w:sz="0" w:space="0" w:color="auto"/>
                  </w:divBdr>
                  <w:divsChild>
                    <w:div w:id="20442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7360">
      <w:bodyDiv w:val="1"/>
      <w:marLeft w:val="0"/>
      <w:marRight w:val="0"/>
      <w:marTop w:val="0"/>
      <w:marBottom w:val="0"/>
      <w:divBdr>
        <w:top w:val="none" w:sz="0" w:space="0" w:color="auto"/>
        <w:left w:val="none" w:sz="0" w:space="0" w:color="auto"/>
        <w:bottom w:val="none" w:sz="0" w:space="0" w:color="auto"/>
        <w:right w:val="none" w:sz="0" w:space="0" w:color="auto"/>
      </w:divBdr>
    </w:div>
    <w:div w:id="570506835">
      <w:bodyDiv w:val="1"/>
      <w:marLeft w:val="0"/>
      <w:marRight w:val="0"/>
      <w:marTop w:val="0"/>
      <w:marBottom w:val="0"/>
      <w:divBdr>
        <w:top w:val="none" w:sz="0" w:space="0" w:color="auto"/>
        <w:left w:val="none" w:sz="0" w:space="0" w:color="auto"/>
        <w:bottom w:val="none" w:sz="0" w:space="0" w:color="auto"/>
        <w:right w:val="none" w:sz="0" w:space="0" w:color="auto"/>
      </w:divBdr>
      <w:divsChild>
        <w:div w:id="237061556">
          <w:marLeft w:val="1886"/>
          <w:marRight w:val="0"/>
          <w:marTop w:val="100"/>
          <w:marBottom w:val="0"/>
          <w:divBdr>
            <w:top w:val="none" w:sz="0" w:space="0" w:color="auto"/>
            <w:left w:val="none" w:sz="0" w:space="0" w:color="auto"/>
            <w:bottom w:val="none" w:sz="0" w:space="0" w:color="auto"/>
            <w:right w:val="none" w:sz="0" w:space="0" w:color="auto"/>
          </w:divBdr>
        </w:div>
      </w:divsChild>
    </w:div>
    <w:div w:id="605887172">
      <w:bodyDiv w:val="1"/>
      <w:marLeft w:val="0"/>
      <w:marRight w:val="0"/>
      <w:marTop w:val="0"/>
      <w:marBottom w:val="0"/>
      <w:divBdr>
        <w:top w:val="none" w:sz="0" w:space="0" w:color="auto"/>
        <w:left w:val="none" w:sz="0" w:space="0" w:color="auto"/>
        <w:bottom w:val="none" w:sz="0" w:space="0" w:color="auto"/>
        <w:right w:val="none" w:sz="0" w:space="0" w:color="auto"/>
      </w:divBdr>
      <w:divsChild>
        <w:div w:id="838541028">
          <w:marLeft w:val="0"/>
          <w:marRight w:val="0"/>
          <w:marTop w:val="0"/>
          <w:marBottom w:val="0"/>
          <w:divBdr>
            <w:top w:val="none" w:sz="0" w:space="0" w:color="auto"/>
            <w:left w:val="none" w:sz="0" w:space="0" w:color="auto"/>
            <w:bottom w:val="none" w:sz="0" w:space="0" w:color="auto"/>
            <w:right w:val="none" w:sz="0" w:space="0" w:color="auto"/>
          </w:divBdr>
          <w:divsChild>
            <w:div w:id="120735080">
              <w:marLeft w:val="0"/>
              <w:marRight w:val="0"/>
              <w:marTop w:val="0"/>
              <w:marBottom w:val="0"/>
              <w:divBdr>
                <w:top w:val="none" w:sz="0" w:space="0" w:color="auto"/>
                <w:left w:val="none" w:sz="0" w:space="0" w:color="auto"/>
                <w:bottom w:val="none" w:sz="0" w:space="0" w:color="auto"/>
                <w:right w:val="none" w:sz="0" w:space="0" w:color="auto"/>
              </w:divBdr>
              <w:divsChild>
                <w:div w:id="1930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170">
      <w:bodyDiv w:val="1"/>
      <w:marLeft w:val="0"/>
      <w:marRight w:val="0"/>
      <w:marTop w:val="0"/>
      <w:marBottom w:val="0"/>
      <w:divBdr>
        <w:top w:val="none" w:sz="0" w:space="0" w:color="auto"/>
        <w:left w:val="none" w:sz="0" w:space="0" w:color="auto"/>
        <w:bottom w:val="none" w:sz="0" w:space="0" w:color="auto"/>
        <w:right w:val="none" w:sz="0" w:space="0" w:color="auto"/>
      </w:divBdr>
      <w:divsChild>
        <w:div w:id="1687167423">
          <w:marLeft w:val="0"/>
          <w:marRight w:val="0"/>
          <w:marTop w:val="0"/>
          <w:marBottom w:val="0"/>
          <w:divBdr>
            <w:top w:val="none" w:sz="0" w:space="0" w:color="auto"/>
            <w:left w:val="none" w:sz="0" w:space="0" w:color="auto"/>
            <w:bottom w:val="none" w:sz="0" w:space="0" w:color="auto"/>
            <w:right w:val="none" w:sz="0" w:space="0" w:color="auto"/>
          </w:divBdr>
          <w:divsChild>
            <w:div w:id="636645957">
              <w:marLeft w:val="0"/>
              <w:marRight w:val="0"/>
              <w:marTop w:val="0"/>
              <w:marBottom w:val="0"/>
              <w:divBdr>
                <w:top w:val="none" w:sz="0" w:space="0" w:color="auto"/>
                <w:left w:val="none" w:sz="0" w:space="0" w:color="auto"/>
                <w:bottom w:val="none" w:sz="0" w:space="0" w:color="auto"/>
                <w:right w:val="none" w:sz="0" w:space="0" w:color="auto"/>
              </w:divBdr>
              <w:divsChild>
                <w:div w:id="1502424835">
                  <w:marLeft w:val="0"/>
                  <w:marRight w:val="0"/>
                  <w:marTop w:val="0"/>
                  <w:marBottom w:val="0"/>
                  <w:divBdr>
                    <w:top w:val="none" w:sz="0" w:space="0" w:color="auto"/>
                    <w:left w:val="none" w:sz="0" w:space="0" w:color="auto"/>
                    <w:bottom w:val="none" w:sz="0" w:space="0" w:color="auto"/>
                    <w:right w:val="none" w:sz="0" w:space="0" w:color="auto"/>
                  </w:divBdr>
                  <w:divsChild>
                    <w:div w:id="4295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95472">
      <w:bodyDiv w:val="1"/>
      <w:marLeft w:val="0"/>
      <w:marRight w:val="0"/>
      <w:marTop w:val="0"/>
      <w:marBottom w:val="0"/>
      <w:divBdr>
        <w:top w:val="none" w:sz="0" w:space="0" w:color="auto"/>
        <w:left w:val="none" w:sz="0" w:space="0" w:color="auto"/>
        <w:bottom w:val="none" w:sz="0" w:space="0" w:color="auto"/>
        <w:right w:val="none" w:sz="0" w:space="0" w:color="auto"/>
      </w:divBdr>
      <w:divsChild>
        <w:div w:id="887379031">
          <w:marLeft w:val="0"/>
          <w:marRight w:val="0"/>
          <w:marTop w:val="0"/>
          <w:marBottom w:val="0"/>
          <w:divBdr>
            <w:top w:val="none" w:sz="0" w:space="0" w:color="auto"/>
            <w:left w:val="none" w:sz="0" w:space="0" w:color="auto"/>
            <w:bottom w:val="none" w:sz="0" w:space="0" w:color="auto"/>
            <w:right w:val="none" w:sz="0" w:space="0" w:color="auto"/>
          </w:divBdr>
          <w:divsChild>
            <w:div w:id="233206243">
              <w:marLeft w:val="0"/>
              <w:marRight w:val="0"/>
              <w:marTop w:val="0"/>
              <w:marBottom w:val="0"/>
              <w:divBdr>
                <w:top w:val="none" w:sz="0" w:space="0" w:color="auto"/>
                <w:left w:val="none" w:sz="0" w:space="0" w:color="auto"/>
                <w:bottom w:val="none" w:sz="0" w:space="0" w:color="auto"/>
                <w:right w:val="none" w:sz="0" w:space="0" w:color="auto"/>
              </w:divBdr>
              <w:divsChild>
                <w:div w:id="188757903">
                  <w:marLeft w:val="0"/>
                  <w:marRight w:val="0"/>
                  <w:marTop w:val="0"/>
                  <w:marBottom w:val="0"/>
                  <w:divBdr>
                    <w:top w:val="none" w:sz="0" w:space="0" w:color="auto"/>
                    <w:left w:val="none" w:sz="0" w:space="0" w:color="auto"/>
                    <w:bottom w:val="none" w:sz="0" w:space="0" w:color="auto"/>
                    <w:right w:val="none" w:sz="0" w:space="0" w:color="auto"/>
                  </w:divBdr>
                  <w:divsChild>
                    <w:div w:id="9223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46209">
      <w:bodyDiv w:val="1"/>
      <w:marLeft w:val="0"/>
      <w:marRight w:val="0"/>
      <w:marTop w:val="0"/>
      <w:marBottom w:val="0"/>
      <w:divBdr>
        <w:top w:val="none" w:sz="0" w:space="0" w:color="auto"/>
        <w:left w:val="none" w:sz="0" w:space="0" w:color="auto"/>
        <w:bottom w:val="none" w:sz="0" w:space="0" w:color="auto"/>
        <w:right w:val="none" w:sz="0" w:space="0" w:color="auto"/>
      </w:divBdr>
      <w:divsChild>
        <w:div w:id="1191649153">
          <w:marLeft w:val="0"/>
          <w:marRight w:val="0"/>
          <w:marTop w:val="0"/>
          <w:marBottom w:val="0"/>
          <w:divBdr>
            <w:top w:val="none" w:sz="0" w:space="0" w:color="auto"/>
            <w:left w:val="none" w:sz="0" w:space="0" w:color="auto"/>
            <w:bottom w:val="none" w:sz="0" w:space="0" w:color="auto"/>
            <w:right w:val="none" w:sz="0" w:space="0" w:color="auto"/>
          </w:divBdr>
          <w:divsChild>
            <w:div w:id="169416981">
              <w:marLeft w:val="0"/>
              <w:marRight w:val="0"/>
              <w:marTop w:val="0"/>
              <w:marBottom w:val="0"/>
              <w:divBdr>
                <w:top w:val="none" w:sz="0" w:space="0" w:color="auto"/>
                <w:left w:val="none" w:sz="0" w:space="0" w:color="auto"/>
                <w:bottom w:val="none" w:sz="0" w:space="0" w:color="auto"/>
                <w:right w:val="none" w:sz="0" w:space="0" w:color="auto"/>
              </w:divBdr>
              <w:divsChild>
                <w:div w:id="1225068639">
                  <w:marLeft w:val="0"/>
                  <w:marRight w:val="0"/>
                  <w:marTop w:val="0"/>
                  <w:marBottom w:val="0"/>
                  <w:divBdr>
                    <w:top w:val="none" w:sz="0" w:space="0" w:color="auto"/>
                    <w:left w:val="none" w:sz="0" w:space="0" w:color="auto"/>
                    <w:bottom w:val="none" w:sz="0" w:space="0" w:color="auto"/>
                    <w:right w:val="none" w:sz="0" w:space="0" w:color="auto"/>
                  </w:divBdr>
                  <w:divsChild>
                    <w:div w:id="10854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47354">
      <w:bodyDiv w:val="1"/>
      <w:marLeft w:val="0"/>
      <w:marRight w:val="0"/>
      <w:marTop w:val="0"/>
      <w:marBottom w:val="0"/>
      <w:divBdr>
        <w:top w:val="none" w:sz="0" w:space="0" w:color="auto"/>
        <w:left w:val="none" w:sz="0" w:space="0" w:color="auto"/>
        <w:bottom w:val="none" w:sz="0" w:space="0" w:color="auto"/>
        <w:right w:val="none" w:sz="0" w:space="0" w:color="auto"/>
      </w:divBdr>
      <w:divsChild>
        <w:div w:id="1341665961">
          <w:marLeft w:val="0"/>
          <w:marRight w:val="0"/>
          <w:marTop w:val="0"/>
          <w:marBottom w:val="0"/>
          <w:divBdr>
            <w:top w:val="none" w:sz="0" w:space="0" w:color="auto"/>
            <w:left w:val="none" w:sz="0" w:space="0" w:color="auto"/>
            <w:bottom w:val="none" w:sz="0" w:space="0" w:color="auto"/>
            <w:right w:val="none" w:sz="0" w:space="0" w:color="auto"/>
          </w:divBdr>
          <w:divsChild>
            <w:div w:id="1196235420">
              <w:marLeft w:val="0"/>
              <w:marRight w:val="0"/>
              <w:marTop w:val="0"/>
              <w:marBottom w:val="0"/>
              <w:divBdr>
                <w:top w:val="none" w:sz="0" w:space="0" w:color="auto"/>
                <w:left w:val="none" w:sz="0" w:space="0" w:color="auto"/>
                <w:bottom w:val="none" w:sz="0" w:space="0" w:color="auto"/>
                <w:right w:val="none" w:sz="0" w:space="0" w:color="auto"/>
              </w:divBdr>
              <w:divsChild>
                <w:div w:id="131602666">
                  <w:marLeft w:val="0"/>
                  <w:marRight w:val="0"/>
                  <w:marTop w:val="0"/>
                  <w:marBottom w:val="0"/>
                  <w:divBdr>
                    <w:top w:val="none" w:sz="0" w:space="0" w:color="auto"/>
                    <w:left w:val="none" w:sz="0" w:space="0" w:color="auto"/>
                    <w:bottom w:val="none" w:sz="0" w:space="0" w:color="auto"/>
                    <w:right w:val="none" w:sz="0" w:space="0" w:color="auto"/>
                  </w:divBdr>
                  <w:divsChild>
                    <w:div w:id="21412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0356">
      <w:bodyDiv w:val="1"/>
      <w:marLeft w:val="0"/>
      <w:marRight w:val="0"/>
      <w:marTop w:val="0"/>
      <w:marBottom w:val="0"/>
      <w:divBdr>
        <w:top w:val="none" w:sz="0" w:space="0" w:color="auto"/>
        <w:left w:val="none" w:sz="0" w:space="0" w:color="auto"/>
        <w:bottom w:val="none" w:sz="0" w:space="0" w:color="auto"/>
        <w:right w:val="none" w:sz="0" w:space="0" w:color="auto"/>
      </w:divBdr>
    </w:div>
    <w:div w:id="692343262">
      <w:bodyDiv w:val="1"/>
      <w:marLeft w:val="0"/>
      <w:marRight w:val="0"/>
      <w:marTop w:val="0"/>
      <w:marBottom w:val="0"/>
      <w:divBdr>
        <w:top w:val="none" w:sz="0" w:space="0" w:color="auto"/>
        <w:left w:val="none" w:sz="0" w:space="0" w:color="auto"/>
        <w:bottom w:val="none" w:sz="0" w:space="0" w:color="auto"/>
        <w:right w:val="none" w:sz="0" w:space="0" w:color="auto"/>
      </w:divBdr>
    </w:div>
    <w:div w:id="712115826">
      <w:bodyDiv w:val="1"/>
      <w:marLeft w:val="0"/>
      <w:marRight w:val="0"/>
      <w:marTop w:val="0"/>
      <w:marBottom w:val="0"/>
      <w:divBdr>
        <w:top w:val="none" w:sz="0" w:space="0" w:color="auto"/>
        <w:left w:val="none" w:sz="0" w:space="0" w:color="auto"/>
        <w:bottom w:val="none" w:sz="0" w:space="0" w:color="auto"/>
        <w:right w:val="none" w:sz="0" w:space="0" w:color="auto"/>
      </w:divBdr>
      <w:divsChild>
        <w:div w:id="2143040844">
          <w:marLeft w:val="0"/>
          <w:marRight w:val="0"/>
          <w:marTop w:val="0"/>
          <w:marBottom w:val="0"/>
          <w:divBdr>
            <w:top w:val="none" w:sz="0" w:space="0" w:color="auto"/>
            <w:left w:val="none" w:sz="0" w:space="0" w:color="auto"/>
            <w:bottom w:val="none" w:sz="0" w:space="0" w:color="auto"/>
            <w:right w:val="none" w:sz="0" w:space="0" w:color="auto"/>
          </w:divBdr>
          <w:divsChild>
            <w:div w:id="1959993810">
              <w:marLeft w:val="0"/>
              <w:marRight w:val="0"/>
              <w:marTop w:val="0"/>
              <w:marBottom w:val="0"/>
              <w:divBdr>
                <w:top w:val="none" w:sz="0" w:space="0" w:color="auto"/>
                <w:left w:val="none" w:sz="0" w:space="0" w:color="auto"/>
                <w:bottom w:val="none" w:sz="0" w:space="0" w:color="auto"/>
                <w:right w:val="none" w:sz="0" w:space="0" w:color="auto"/>
              </w:divBdr>
              <w:divsChild>
                <w:div w:id="1889758035">
                  <w:marLeft w:val="0"/>
                  <w:marRight w:val="0"/>
                  <w:marTop w:val="0"/>
                  <w:marBottom w:val="0"/>
                  <w:divBdr>
                    <w:top w:val="none" w:sz="0" w:space="0" w:color="auto"/>
                    <w:left w:val="none" w:sz="0" w:space="0" w:color="auto"/>
                    <w:bottom w:val="none" w:sz="0" w:space="0" w:color="auto"/>
                    <w:right w:val="none" w:sz="0" w:space="0" w:color="auto"/>
                  </w:divBdr>
                  <w:divsChild>
                    <w:div w:id="1480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5338">
      <w:bodyDiv w:val="1"/>
      <w:marLeft w:val="0"/>
      <w:marRight w:val="0"/>
      <w:marTop w:val="0"/>
      <w:marBottom w:val="0"/>
      <w:divBdr>
        <w:top w:val="none" w:sz="0" w:space="0" w:color="auto"/>
        <w:left w:val="none" w:sz="0" w:space="0" w:color="auto"/>
        <w:bottom w:val="none" w:sz="0" w:space="0" w:color="auto"/>
        <w:right w:val="none" w:sz="0" w:space="0" w:color="auto"/>
      </w:divBdr>
      <w:divsChild>
        <w:div w:id="1294171800">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sChild>
                <w:div w:id="1770153266">
                  <w:marLeft w:val="0"/>
                  <w:marRight w:val="0"/>
                  <w:marTop w:val="0"/>
                  <w:marBottom w:val="0"/>
                  <w:divBdr>
                    <w:top w:val="none" w:sz="0" w:space="0" w:color="auto"/>
                    <w:left w:val="none" w:sz="0" w:space="0" w:color="auto"/>
                    <w:bottom w:val="none" w:sz="0" w:space="0" w:color="auto"/>
                    <w:right w:val="none" w:sz="0" w:space="0" w:color="auto"/>
                  </w:divBdr>
                  <w:divsChild>
                    <w:div w:id="3440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437621">
      <w:bodyDiv w:val="1"/>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490099728">
              <w:marLeft w:val="0"/>
              <w:marRight w:val="0"/>
              <w:marTop w:val="0"/>
              <w:marBottom w:val="0"/>
              <w:divBdr>
                <w:top w:val="none" w:sz="0" w:space="0" w:color="auto"/>
                <w:left w:val="none" w:sz="0" w:space="0" w:color="auto"/>
                <w:bottom w:val="none" w:sz="0" w:space="0" w:color="auto"/>
                <w:right w:val="none" w:sz="0" w:space="0" w:color="auto"/>
              </w:divBdr>
              <w:divsChild>
                <w:div w:id="281301572">
                  <w:marLeft w:val="0"/>
                  <w:marRight w:val="0"/>
                  <w:marTop w:val="0"/>
                  <w:marBottom w:val="0"/>
                  <w:divBdr>
                    <w:top w:val="none" w:sz="0" w:space="0" w:color="auto"/>
                    <w:left w:val="none" w:sz="0" w:space="0" w:color="auto"/>
                    <w:bottom w:val="none" w:sz="0" w:space="0" w:color="auto"/>
                    <w:right w:val="none" w:sz="0" w:space="0" w:color="auto"/>
                  </w:divBdr>
                  <w:divsChild>
                    <w:div w:id="2033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4768">
      <w:bodyDiv w:val="1"/>
      <w:marLeft w:val="0"/>
      <w:marRight w:val="0"/>
      <w:marTop w:val="0"/>
      <w:marBottom w:val="0"/>
      <w:divBdr>
        <w:top w:val="none" w:sz="0" w:space="0" w:color="auto"/>
        <w:left w:val="none" w:sz="0" w:space="0" w:color="auto"/>
        <w:bottom w:val="none" w:sz="0" w:space="0" w:color="auto"/>
        <w:right w:val="none" w:sz="0" w:space="0" w:color="auto"/>
      </w:divBdr>
      <w:divsChild>
        <w:div w:id="366805644">
          <w:marLeft w:val="0"/>
          <w:marRight w:val="0"/>
          <w:marTop w:val="0"/>
          <w:marBottom w:val="0"/>
          <w:divBdr>
            <w:top w:val="none" w:sz="0" w:space="0" w:color="auto"/>
            <w:left w:val="none" w:sz="0" w:space="0" w:color="auto"/>
            <w:bottom w:val="none" w:sz="0" w:space="0" w:color="auto"/>
            <w:right w:val="none" w:sz="0" w:space="0" w:color="auto"/>
          </w:divBdr>
          <w:divsChild>
            <w:div w:id="2129010157">
              <w:marLeft w:val="0"/>
              <w:marRight w:val="0"/>
              <w:marTop w:val="0"/>
              <w:marBottom w:val="0"/>
              <w:divBdr>
                <w:top w:val="none" w:sz="0" w:space="0" w:color="auto"/>
                <w:left w:val="none" w:sz="0" w:space="0" w:color="auto"/>
                <w:bottom w:val="none" w:sz="0" w:space="0" w:color="auto"/>
                <w:right w:val="none" w:sz="0" w:space="0" w:color="auto"/>
              </w:divBdr>
              <w:divsChild>
                <w:div w:id="681663815">
                  <w:marLeft w:val="0"/>
                  <w:marRight w:val="0"/>
                  <w:marTop w:val="0"/>
                  <w:marBottom w:val="0"/>
                  <w:divBdr>
                    <w:top w:val="none" w:sz="0" w:space="0" w:color="auto"/>
                    <w:left w:val="none" w:sz="0" w:space="0" w:color="auto"/>
                    <w:bottom w:val="none" w:sz="0" w:space="0" w:color="auto"/>
                    <w:right w:val="none" w:sz="0" w:space="0" w:color="auto"/>
                  </w:divBdr>
                  <w:divsChild>
                    <w:div w:id="19665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5512191">
      <w:bodyDiv w:val="1"/>
      <w:marLeft w:val="0"/>
      <w:marRight w:val="0"/>
      <w:marTop w:val="0"/>
      <w:marBottom w:val="0"/>
      <w:divBdr>
        <w:top w:val="none" w:sz="0" w:space="0" w:color="auto"/>
        <w:left w:val="none" w:sz="0" w:space="0" w:color="auto"/>
        <w:bottom w:val="none" w:sz="0" w:space="0" w:color="auto"/>
        <w:right w:val="none" w:sz="0" w:space="0" w:color="auto"/>
      </w:divBdr>
      <w:divsChild>
        <w:div w:id="608775239">
          <w:marLeft w:val="0"/>
          <w:marRight w:val="0"/>
          <w:marTop w:val="0"/>
          <w:marBottom w:val="0"/>
          <w:divBdr>
            <w:top w:val="none" w:sz="0" w:space="0" w:color="auto"/>
            <w:left w:val="none" w:sz="0" w:space="0" w:color="auto"/>
            <w:bottom w:val="none" w:sz="0" w:space="0" w:color="auto"/>
            <w:right w:val="none" w:sz="0" w:space="0" w:color="auto"/>
          </w:divBdr>
          <w:divsChild>
            <w:div w:id="1463427092">
              <w:marLeft w:val="0"/>
              <w:marRight w:val="0"/>
              <w:marTop w:val="0"/>
              <w:marBottom w:val="0"/>
              <w:divBdr>
                <w:top w:val="none" w:sz="0" w:space="0" w:color="auto"/>
                <w:left w:val="none" w:sz="0" w:space="0" w:color="auto"/>
                <w:bottom w:val="none" w:sz="0" w:space="0" w:color="auto"/>
                <w:right w:val="none" w:sz="0" w:space="0" w:color="auto"/>
              </w:divBdr>
              <w:divsChild>
                <w:div w:id="1381630601">
                  <w:marLeft w:val="0"/>
                  <w:marRight w:val="0"/>
                  <w:marTop w:val="0"/>
                  <w:marBottom w:val="0"/>
                  <w:divBdr>
                    <w:top w:val="none" w:sz="0" w:space="0" w:color="auto"/>
                    <w:left w:val="none" w:sz="0" w:space="0" w:color="auto"/>
                    <w:bottom w:val="none" w:sz="0" w:space="0" w:color="auto"/>
                    <w:right w:val="none" w:sz="0" w:space="0" w:color="auto"/>
                  </w:divBdr>
                  <w:divsChild>
                    <w:div w:id="18416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52457">
      <w:bodyDiv w:val="1"/>
      <w:marLeft w:val="0"/>
      <w:marRight w:val="0"/>
      <w:marTop w:val="0"/>
      <w:marBottom w:val="0"/>
      <w:divBdr>
        <w:top w:val="none" w:sz="0" w:space="0" w:color="auto"/>
        <w:left w:val="none" w:sz="0" w:space="0" w:color="auto"/>
        <w:bottom w:val="none" w:sz="0" w:space="0" w:color="auto"/>
        <w:right w:val="none" w:sz="0" w:space="0" w:color="auto"/>
      </w:divBdr>
      <w:divsChild>
        <w:div w:id="235165107">
          <w:marLeft w:val="1166"/>
          <w:marRight w:val="0"/>
          <w:marTop w:val="0"/>
          <w:marBottom w:val="0"/>
          <w:divBdr>
            <w:top w:val="none" w:sz="0" w:space="0" w:color="auto"/>
            <w:left w:val="none" w:sz="0" w:space="0" w:color="auto"/>
            <w:bottom w:val="none" w:sz="0" w:space="0" w:color="auto"/>
            <w:right w:val="none" w:sz="0" w:space="0" w:color="auto"/>
          </w:divBdr>
        </w:div>
        <w:div w:id="427653767">
          <w:marLeft w:val="446"/>
          <w:marRight w:val="0"/>
          <w:marTop w:val="0"/>
          <w:marBottom w:val="0"/>
          <w:divBdr>
            <w:top w:val="none" w:sz="0" w:space="0" w:color="auto"/>
            <w:left w:val="none" w:sz="0" w:space="0" w:color="auto"/>
            <w:bottom w:val="none" w:sz="0" w:space="0" w:color="auto"/>
            <w:right w:val="none" w:sz="0" w:space="0" w:color="auto"/>
          </w:divBdr>
        </w:div>
        <w:div w:id="741562983">
          <w:marLeft w:val="1166"/>
          <w:marRight w:val="0"/>
          <w:marTop w:val="0"/>
          <w:marBottom w:val="0"/>
          <w:divBdr>
            <w:top w:val="none" w:sz="0" w:space="0" w:color="auto"/>
            <w:left w:val="none" w:sz="0" w:space="0" w:color="auto"/>
            <w:bottom w:val="none" w:sz="0" w:space="0" w:color="auto"/>
            <w:right w:val="none" w:sz="0" w:space="0" w:color="auto"/>
          </w:divBdr>
        </w:div>
        <w:div w:id="1742828400">
          <w:marLeft w:val="1166"/>
          <w:marRight w:val="0"/>
          <w:marTop w:val="0"/>
          <w:marBottom w:val="0"/>
          <w:divBdr>
            <w:top w:val="none" w:sz="0" w:space="0" w:color="auto"/>
            <w:left w:val="none" w:sz="0" w:space="0" w:color="auto"/>
            <w:bottom w:val="none" w:sz="0" w:space="0" w:color="auto"/>
            <w:right w:val="none" w:sz="0" w:space="0" w:color="auto"/>
          </w:divBdr>
        </w:div>
      </w:divsChild>
    </w:div>
    <w:div w:id="936407469">
      <w:bodyDiv w:val="1"/>
      <w:marLeft w:val="0"/>
      <w:marRight w:val="0"/>
      <w:marTop w:val="0"/>
      <w:marBottom w:val="0"/>
      <w:divBdr>
        <w:top w:val="none" w:sz="0" w:space="0" w:color="auto"/>
        <w:left w:val="none" w:sz="0" w:space="0" w:color="auto"/>
        <w:bottom w:val="none" w:sz="0" w:space="0" w:color="auto"/>
        <w:right w:val="none" w:sz="0" w:space="0" w:color="auto"/>
      </w:divBdr>
      <w:divsChild>
        <w:div w:id="902911083">
          <w:marLeft w:val="0"/>
          <w:marRight w:val="0"/>
          <w:marTop w:val="0"/>
          <w:marBottom w:val="0"/>
          <w:divBdr>
            <w:top w:val="none" w:sz="0" w:space="0" w:color="auto"/>
            <w:left w:val="none" w:sz="0" w:space="0" w:color="auto"/>
            <w:bottom w:val="none" w:sz="0" w:space="0" w:color="auto"/>
            <w:right w:val="none" w:sz="0" w:space="0" w:color="auto"/>
          </w:divBdr>
          <w:divsChild>
            <w:div w:id="734857191">
              <w:marLeft w:val="0"/>
              <w:marRight w:val="0"/>
              <w:marTop w:val="0"/>
              <w:marBottom w:val="0"/>
              <w:divBdr>
                <w:top w:val="none" w:sz="0" w:space="0" w:color="auto"/>
                <w:left w:val="none" w:sz="0" w:space="0" w:color="auto"/>
                <w:bottom w:val="none" w:sz="0" w:space="0" w:color="auto"/>
                <w:right w:val="none" w:sz="0" w:space="0" w:color="auto"/>
              </w:divBdr>
              <w:divsChild>
                <w:div w:id="4600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3613">
      <w:bodyDiv w:val="1"/>
      <w:marLeft w:val="0"/>
      <w:marRight w:val="0"/>
      <w:marTop w:val="0"/>
      <w:marBottom w:val="0"/>
      <w:divBdr>
        <w:top w:val="none" w:sz="0" w:space="0" w:color="auto"/>
        <w:left w:val="none" w:sz="0" w:space="0" w:color="auto"/>
        <w:bottom w:val="none" w:sz="0" w:space="0" w:color="auto"/>
        <w:right w:val="none" w:sz="0" w:space="0" w:color="auto"/>
      </w:divBdr>
      <w:divsChild>
        <w:div w:id="426580612">
          <w:marLeft w:val="0"/>
          <w:marRight w:val="0"/>
          <w:marTop w:val="0"/>
          <w:marBottom w:val="0"/>
          <w:divBdr>
            <w:top w:val="none" w:sz="0" w:space="0" w:color="auto"/>
            <w:left w:val="none" w:sz="0" w:space="0" w:color="auto"/>
            <w:bottom w:val="none" w:sz="0" w:space="0" w:color="auto"/>
            <w:right w:val="none" w:sz="0" w:space="0" w:color="auto"/>
          </w:divBdr>
          <w:divsChild>
            <w:div w:id="1343628311">
              <w:marLeft w:val="0"/>
              <w:marRight w:val="0"/>
              <w:marTop w:val="0"/>
              <w:marBottom w:val="0"/>
              <w:divBdr>
                <w:top w:val="none" w:sz="0" w:space="0" w:color="auto"/>
                <w:left w:val="none" w:sz="0" w:space="0" w:color="auto"/>
                <w:bottom w:val="none" w:sz="0" w:space="0" w:color="auto"/>
                <w:right w:val="none" w:sz="0" w:space="0" w:color="auto"/>
              </w:divBdr>
              <w:divsChild>
                <w:div w:id="731659711">
                  <w:marLeft w:val="0"/>
                  <w:marRight w:val="0"/>
                  <w:marTop w:val="0"/>
                  <w:marBottom w:val="0"/>
                  <w:divBdr>
                    <w:top w:val="none" w:sz="0" w:space="0" w:color="auto"/>
                    <w:left w:val="none" w:sz="0" w:space="0" w:color="auto"/>
                    <w:bottom w:val="none" w:sz="0" w:space="0" w:color="auto"/>
                    <w:right w:val="none" w:sz="0" w:space="0" w:color="auto"/>
                  </w:divBdr>
                  <w:divsChild>
                    <w:div w:id="9679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3409">
      <w:bodyDiv w:val="1"/>
      <w:marLeft w:val="0"/>
      <w:marRight w:val="0"/>
      <w:marTop w:val="0"/>
      <w:marBottom w:val="0"/>
      <w:divBdr>
        <w:top w:val="none" w:sz="0" w:space="0" w:color="auto"/>
        <w:left w:val="none" w:sz="0" w:space="0" w:color="auto"/>
        <w:bottom w:val="none" w:sz="0" w:space="0" w:color="auto"/>
        <w:right w:val="none" w:sz="0" w:space="0" w:color="auto"/>
      </w:divBdr>
      <w:divsChild>
        <w:div w:id="870611000">
          <w:marLeft w:val="0"/>
          <w:marRight w:val="0"/>
          <w:marTop w:val="0"/>
          <w:marBottom w:val="0"/>
          <w:divBdr>
            <w:top w:val="none" w:sz="0" w:space="0" w:color="auto"/>
            <w:left w:val="none" w:sz="0" w:space="0" w:color="auto"/>
            <w:bottom w:val="none" w:sz="0" w:space="0" w:color="auto"/>
            <w:right w:val="none" w:sz="0" w:space="0" w:color="auto"/>
          </w:divBdr>
          <w:divsChild>
            <w:div w:id="19555483">
              <w:marLeft w:val="0"/>
              <w:marRight w:val="0"/>
              <w:marTop w:val="0"/>
              <w:marBottom w:val="0"/>
              <w:divBdr>
                <w:top w:val="none" w:sz="0" w:space="0" w:color="auto"/>
                <w:left w:val="none" w:sz="0" w:space="0" w:color="auto"/>
                <w:bottom w:val="none" w:sz="0" w:space="0" w:color="auto"/>
                <w:right w:val="none" w:sz="0" w:space="0" w:color="auto"/>
              </w:divBdr>
              <w:divsChild>
                <w:div w:id="54547488">
                  <w:marLeft w:val="0"/>
                  <w:marRight w:val="0"/>
                  <w:marTop w:val="0"/>
                  <w:marBottom w:val="0"/>
                  <w:divBdr>
                    <w:top w:val="none" w:sz="0" w:space="0" w:color="auto"/>
                    <w:left w:val="none" w:sz="0" w:space="0" w:color="auto"/>
                    <w:bottom w:val="none" w:sz="0" w:space="0" w:color="auto"/>
                    <w:right w:val="none" w:sz="0" w:space="0" w:color="auto"/>
                  </w:divBdr>
                  <w:divsChild>
                    <w:div w:id="16965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99129">
      <w:bodyDiv w:val="1"/>
      <w:marLeft w:val="0"/>
      <w:marRight w:val="0"/>
      <w:marTop w:val="0"/>
      <w:marBottom w:val="0"/>
      <w:divBdr>
        <w:top w:val="none" w:sz="0" w:space="0" w:color="auto"/>
        <w:left w:val="none" w:sz="0" w:space="0" w:color="auto"/>
        <w:bottom w:val="none" w:sz="0" w:space="0" w:color="auto"/>
        <w:right w:val="none" w:sz="0" w:space="0" w:color="auto"/>
      </w:divBdr>
    </w:div>
    <w:div w:id="1034891648">
      <w:bodyDiv w:val="1"/>
      <w:marLeft w:val="0"/>
      <w:marRight w:val="0"/>
      <w:marTop w:val="0"/>
      <w:marBottom w:val="0"/>
      <w:divBdr>
        <w:top w:val="none" w:sz="0" w:space="0" w:color="auto"/>
        <w:left w:val="none" w:sz="0" w:space="0" w:color="auto"/>
        <w:bottom w:val="none" w:sz="0" w:space="0" w:color="auto"/>
        <w:right w:val="none" w:sz="0" w:space="0" w:color="auto"/>
      </w:divBdr>
    </w:div>
    <w:div w:id="1046442571">
      <w:bodyDiv w:val="1"/>
      <w:marLeft w:val="0"/>
      <w:marRight w:val="0"/>
      <w:marTop w:val="0"/>
      <w:marBottom w:val="0"/>
      <w:divBdr>
        <w:top w:val="none" w:sz="0" w:space="0" w:color="auto"/>
        <w:left w:val="none" w:sz="0" w:space="0" w:color="auto"/>
        <w:bottom w:val="none" w:sz="0" w:space="0" w:color="auto"/>
        <w:right w:val="none" w:sz="0" w:space="0" w:color="auto"/>
      </w:divBdr>
      <w:divsChild>
        <w:div w:id="763232791">
          <w:marLeft w:val="0"/>
          <w:marRight w:val="0"/>
          <w:marTop w:val="0"/>
          <w:marBottom w:val="0"/>
          <w:divBdr>
            <w:top w:val="none" w:sz="0" w:space="0" w:color="auto"/>
            <w:left w:val="none" w:sz="0" w:space="0" w:color="auto"/>
            <w:bottom w:val="none" w:sz="0" w:space="0" w:color="auto"/>
            <w:right w:val="none" w:sz="0" w:space="0" w:color="auto"/>
          </w:divBdr>
          <w:divsChild>
            <w:div w:id="685837000">
              <w:marLeft w:val="0"/>
              <w:marRight w:val="0"/>
              <w:marTop w:val="0"/>
              <w:marBottom w:val="0"/>
              <w:divBdr>
                <w:top w:val="none" w:sz="0" w:space="0" w:color="auto"/>
                <w:left w:val="none" w:sz="0" w:space="0" w:color="auto"/>
                <w:bottom w:val="none" w:sz="0" w:space="0" w:color="auto"/>
                <w:right w:val="none" w:sz="0" w:space="0" w:color="auto"/>
              </w:divBdr>
              <w:divsChild>
                <w:div w:id="7395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61804">
      <w:bodyDiv w:val="1"/>
      <w:marLeft w:val="0"/>
      <w:marRight w:val="0"/>
      <w:marTop w:val="0"/>
      <w:marBottom w:val="0"/>
      <w:divBdr>
        <w:top w:val="none" w:sz="0" w:space="0" w:color="auto"/>
        <w:left w:val="none" w:sz="0" w:space="0" w:color="auto"/>
        <w:bottom w:val="none" w:sz="0" w:space="0" w:color="auto"/>
        <w:right w:val="none" w:sz="0" w:space="0" w:color="auto"/>
      </w:divBdr>
    </w:div>
    <w:div w:id="1075543789">
      <w:bodyDiv w:val="1"/>
      <w:marLeft w:val="0"/>
      <w:marRight w:val="0"/>
      <w:marTop w:val="0"/>
      <w:marBottom w:val="0"/>
      <w:divBdr>
        <w:top w:val="none" w:sz="0" w:space="0" w:color="auto"/>
        <w:left w:val="none" w:sz="0" w:space="0" w:color="auto"/>
        <w:bottom w:val="none" w:sz="0" w:space="0" w:color="auto"/>
        <w:right w:val="none" w:sz="0" w:space="0" w:color="auto"/>
      </w:divBdr>
      <w:divsChild>
        <w:div w:id="411508139">
          <w:marLeft w:val="0"/>
          <w:marRight w:val="0"/>
          <w:marTop w:val="0"/>
          <w:marBottom w:val="0"/>
          <w:divBdr>
            <w:top w:val="none" w:sz="0" w:space="0" w:color="auto"/>
            <w:left w:val="none" w:sz="0" w:space="0" w:color="auto"/>
            <w:bottom w:val="none" w:sz="0" w:space="0" w:color="auto"/>
            <w:right w:val="none" w:sz="0" w:space="0" w:color="auto"/>
          </w:divBdr>
          <w:divsChild>
            <w:div w:id="1827937089">
              <w:marLeft w:val="0"/>
              <w:marRight w:val="0"/>
              <w:marTop w:val="0"/>
              <w:marBottom w:val="0"/>
              <w:divBdr>
                <w:top w:val="none" w:sz="0" w:space="0" w:color="auto"/>
                <w:left w:val="none" w:sz="0" w:space="0" w:color="auto"/>
                <w:bottom w:val="none" w:sz="0" w:space="0" w:color="auto"/>
                <w:right w:val="none" w:sz="0" w:space="0" w:color="auto"/>
              </w:divBdr>
              <w:divsChild>
                <w:div w:id="2031058048">
                  <w:marLeft w:val="0"/>
                  <w:marRight w:val="0"/>
                  <w:marTop w:val="0"/>
                  <w:marBottom w:val="0"/>
                  <w:divBdr>
                    <w:top w:val="none" w:sz="0" w:space="0" w:color="auto"/>
                    <w:left w:val="none" w:sz="0" w:space="0" w:color="auto"/>
                    <w:bottom w:val="none" w:sz="0" w:space="0" w:color="auto"/>
                    <w:right w:val="none" w:sz="0" w:space="0" w:color="auto"/>
                  </w:divBdr>
                  <w:divsChild>
                    <w:div w:id="4014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67109">
      <w:bodyDiv w:val="1"/>
      <w:marLeft w:val="0"/>
      <w:marRight w:val="0"/>
      <w:marTop w:val="0"/>
      <w:marBottom w:val="0"/>
      <w:divBdr>
        <w:top w:val="none" w:sz="0" w:space="0" w:color="auto"/>
        <w:left w:val="none" w:sz="0" w:space="0" w:color="auto"/>
        <w:bottom w:val="none" w:sz="0" w:space="0" w:color="auto"/>
        <w:right w:val="none" w:sz="0" w:space="0" w:color="auto"/>
      </w:divBdr>
      <w:divsChild>
        <w:div w:id="1287662510">
          <w:marLeft w:val="0"/>
          <w:marRight w:val="0"/>
          <w:marTop w:val="0"/>
          <w:marBottom w:val="0"/>
          <w:divBdr>
            <w:top w:val="none" w:sz="0" w:space="0" w:color="auto"/>
            <w:left w:val="none" w:sz="0" w:space="0" w:color="auto"/>
            <w:bottom w:val="none" w:sz="0" w:space="0" w:color="auto"/>
            <w:right w:val="none" w:sz="0" w:space="0" w:color="auto"/>
          </w:divBdr>
          <w:divsChild>
            <w:div w:id="2118746056">
              <w:marLeft w:val="0"/>
              <w:marRight w:val="0"/>
              <w:marTop w:val="0"/>
              <w:marBottom w:val="0"/>
              <w:divBdr>
                <w:top w:val="none" w:sz="0" w:space="0" w:color="auto"/>
                <w:left w:val="none" w:sz="0" w:space="0" w:color="auto"/>
                <w:bottom w:val="none" w:sz="0" w:space="0" w:color="auto"/>
                <w:right w:val="none" w:sz="0" w:space="0" w:color="auto"/>
              </w:divBdr>
              <w:divsChild>
                <w:div w:id="735127121">
                  <w:marLeft w:val="0"/>
                  <w:marRight w:val="0"/>
                  <w:marTop w:val="0"/>
                  <w:marBottom w:val="0"/>
                  <w:divBdr>
                    <w:top w:val="none" w:sz="0" w:space="0" w:color="auto"/>
                    <w:left w:val="none" w:sz="0" w:space="0" w:color="auto"/>
                    <w:bottom w:val="none" w:sz="0" w:space="0" w:color="auto"/>
                    <w:right w:val="none" w:sz="0" w:space="0" w:color="auto"/>
                  </w:divBdr>
                  <w:divsChild>
                    <w:div w:id="10498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1960">
      <w:bodyDiv w:val="1"/>
      <w:marLeft w:val="0"/>
      <w:marRight w:val="0"/>
      <w:marTop w:val="0"/>
      <w:marBottom w:val="0"/>
      <w:divBdr>
        <w:top w:val="none" w:sz="0" w:space="0" w:color="auto"/>
        <w:left w:val="none" w:sz="0" w:space="0" w:color="auto"/>
        <w:bottom w:val="none" w:sz="0" w:space="0" w:color="auto"/>
        <w:right w:val="none" w:sz="0" w:space="0" w:color="auto"/>
      </w:divBdr>
      <w:divsChild>
        <w:div w:id="1784498426">
          <w:marLeft w:val="0"/>
          <w:marRight w:val="0"/>
          <w:marTop w:val="0"/>
          <w:marBottom w:val="0"/>
          <w:divBdr>
            <w:top w:val="none" w:sz="0" w:space="0" w:color="auto"/>
            <w:left w:val="none" w:sz="0" w:space="0" w:color="auto"/>
            <w:bottom w:val="none" w:sz="0" w:space="0" w:color="auto"/>
            <w:right w:val="none" w:sz="0" w:space="0" w:color="auto"/>
          </w:divBdr>
          <w:divsChild>
            <w:div w:id="686912116">
              <w:marLeft w:val="0"/>
              <w:marRight w:val="0"/>
              <w:marTop w:val="0"/>
              <w:marBottom w:val="0"/>
              <w:divBdr>
                <w:top w:val="none" w:sz="0" w:space="0" w:color="auto"/>
                <w:left w:val="none" w:sz="0" w:space="0" w:color="auto"/>
                <w:bottom w:val="none" w:sz="0" w:space="0" w:color="auto"/>
                <w:right w:val="none" w:sz="0" w:space="0" w:color="auto"/>
              </w:divBdr>
              <w:divsChild>
                <w:div w:id="13064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0557658">
      <w:bodyDiv w:val="1"/>
      <w:marLeft w:val="0"/>
      <w:marRight w:val="0"/>
      <w:marTop w:val="0"/>
      <w:marBottom w:val="0"/>
      <w:divBdr>
        <w:top w:val="none" w:sz="0" w:space="0" w:color="auto"/>
        <w:left w:val="none" w:sz="0" w:space="0" w:color="auto"/>
        <w:bottom w:val="none" w:sz="0" w:space="0" w:color="auto"/>
        <w:right w:val="none" w:sz="0" w:space="0" w:color="auto"/>
      </w:divBdr>
      <w:divsChild>
        <w:div w:id="1552375499">
          <w:marLeft w:val="0"/>
          <w:marRight w:val="0"/>
          <w:marTop w:val="0"/>
          <w:marBottom w:val="0"/>
          <w:divBdr>
            <w:top w:val="none" w:sz="0" w:space="0" w:color="auto"/>
            <w:left w:val="none" w:sz="0" w:space="0" w:color="auto"/>
            <w:bottom w:val="none" w:sz="0" w:space="0" w:color="auto"/>
            <w:right w:val="none" w:sz="0" w:space="0" w:color="auto"/>
          </w:divBdr>
          <w:divsChild>
            <w:div w:id="1216502756">
              <w:marLeft w:val="0"/>
              <w:marRight w:val="0"/>
              <w:marTop w:val="0"/>
              <w:marBottom w:val="0"/>
              <w:divBdr>
                <w:top w:val="none" w:sz="0" w:space="0" w:color="auto"/>
                <w:left w:val="none" w:sz="0" w:space="0" w:color="auto"/>
                <w:bottom w:val="none" w:sz="0" w:space="0" w:color="auto"/>
                <w:right w:val="none" w:sz="0" w:space="0" w:color="auto"/>
              </w:divBdr>
              <w:divsChild>
                <w:div w:id="6282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6781">
      <w:bodyDiv w:val="1"/>
      <w:marLeft w:val="0"/>
      <w:marRight w:val="0"/>
      <w:marTop w:val="0"/>
      <w:marBottom w:val="0"/>
      <w:divBdr>
        <w:top w:val="none" w:sz="0" w:space="0" w:color="auto"/>
        <w:left w:val="none" w:sz="0" w:space="0" w:color="auto"/>
        <w:bottom w:val="none" w:sz="0" w:space="0" w:color="auto"/>
        <w:right w:val="none" w:sz="0" w:space="0" w:color="auto"/>
      </w:divBdr>
      <w:divsChild>
        <w:div w:id="321736471">
          <w:marLeft w:val="1080"/>
          <w:marRight w:val="0"/>
          <w:marTop w:val="1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7679748">
      <w:bodyDiv w:val="1"/>
      <w:marLeft w:val="0"/>
      <w:marRight w:val="0"/>
      <w:marTop w:val="0"/>
      <w:marBottom w:val="0"/>
      <w:divBdr>
        <w:top w:val="none" w:sz="0" w:space="0" w:color="auto"/>
        <w:left w:val="none" w:sz="0" w:space="0" w:color="auto"/>
        <w:bottom w:val="none" w:sz="0" w:space="0" w:color="auto"/>
        <w:right w:val="none" w:sz="0" w:space="0" w:color="auto"/>
      </w:divBdr>
      <w:divsChild>
        <w:div w:id="1111630045">
          <w:marLeft w:val="547"/>
          <w:marRight w:val="0"/>
          <w:marTop w:val="0"/>
          <w:marBottom w:val="0"/>
          <w:divBdr>
            <w:top w:val="none" w:sz="0" w:space="0" w:color="auto"/>
            <w:left w:val="none" w:sz="0" w:space="0" w:color="auto"/>
            <w:bottom w:val="none" w:sz="0" w:space="0" w:color="auto"/>
            <w:right w:val="none" w:sz="0" w:space="0" w:color="auto"/>
          </w:divBdr>
        </w:div>
      </w:divsChild>
    </w:div>
    <w:div w:id="1403985263">
      <w:bodyDiv w:val="1"/>
      <w:marLeft w:val="0"/>
      <w:marRight w:val="0"/>
      <w:marTop w:val="0"/>
      <w:marBottom w:val="0"/>
      <w:divBdr>
        <w:top w:val="none" w:sz="0" w:space="0" w:color="auto"/>
        <w:left w:val="none" w:sz="0" w:space="0" w:color="auto"/>
        <w:bottom w:val="none" w:sz="0" w:space="0" w:color="auto"/>
        <w:right w:val="none" w:sz="0" w:space="0" w:color="auto"/>
      </w:divBdr>
      <w:divsChild>
        <w:div w:id="1352603548">
          <w:marLeft w:val="0"/>
          <w:marRight w:val="0"/>
          <w:marTop w:val="0"/>
          <w:marBottom w:val="0"/>
          <w:divBdr>
            <w:top w:val="none" w:sz="0" w:space="0" w:color="auto"/>
            <w:left w:val="none" w:sz="0" w:space="0" w:color="auto"/>
            <w:bottom w:val="none" w:sz="0" w:space="0" w:color="auto"/>
            <w:right w:val="none" w:sz="0" w:space="0" w:color="auto"/>
          </w:divBdr>
          <w:divsChild>
            <w:div w:id="571083579">
              <w:marLeft w:val="0"/>
              <w:marRight w:val="0"/>
              <w:marTop w:val="0"/>
              <w:marBottom w:val="0"/>
              <w:divBdr>
                <w:top w:val="none" w:sz="0" w:space="0" w:color="auto"/>
                <w:left w:val="none" w:sz="0" w:space="0" w:color="auto"/>
                <w:bottom w:val="none" w:sz="0" w:space="0" w:color="auto"/>
                <w:right w:val="none" w:sz="0" w:space="0" w:color="auto"/>
              </w:divBdr>
              <w:divsChild>
                <w:div w:id="675380690">
                  <w:marLeft w:val="0"/>
                  <w:marRight w:val="0"/>
                  <w:marTop w:val="0"/>
                  <w:marBottom w:val="0"/>
                  <w:divBdr>
                    <w:top w:val="none" w:sz="0" w:space="0" w:color="auto"/>
                    <w:left w:val="none" w:sz="0" w:space="0" w:color="auto"/>
                    <w:bottom w:val="none" w:sz="0" w:space="0" w:color="auto"/>
                    <w:right w:val="none" w:sz="0" w:space="0" w:color="auto"/>
                  </w:divBdr>
                  <w:divsChild>
                    <w:div w:id="16235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28842">
      <w:bodyDiv w:val="1"/>
      <w:marLeft w:val="0"/>
      <w:marRight w:val="0"/>
      <w:marTop w:val="0"/>
      <w:marBottom w:val="0"/>
      <w:divBdr>
        <w:top w:val="none" w:sz="0" w:space="0" w:color="auto"/>
        <w:left w:val="none" w:sz="0" w:space="0" w:color="auto"/>
        <w:bottom w:val="none" w:sz="0" w:space="0" w:color="auto"/>
        <w:right w:val="none" w:sz="0" w:space="0" w:color="auto"/>
      </w:divBdr>
      <w:divsChild>
        <w:div w:id="172182283">
          <w:marLeft w:val="0"/>
          <w:marRight w:val="0"/>
          <w:marTop w:val="0"/>
          <w:marBottom w:val="0"/>
          <w:divBdr>
            <w:top w:val="none" w:sz="0" w:space="0" w:color="auto"/>
            <w:left w:val="none" w:sz="0" w:space="0" w:color="auto"/>
            <w:bottom w:val="none" w:sz="0" w:space="0" w:color="auto"/>
            <w:right w:val="none" w:sz="0" w:space="0" w:color="auto"/>
          </w:divBdr>
        </w:div>
        <w:div w:id="355351762">
          <w:marLeft w:val="0"/>
          <w:marRight w:val="0"/>
          <w:marTop w:val="0"/>
          <w:marBottom w:val="0"/>
          <w:divBdr>
            <w:top w:val="none" w:sz="0" w:space="0" w:color="auto"/>
            <w:left w:val="none" w:sz="0" w:space="0" w:color="auto"/>
            <w:bottom w:val="none" w:sz="0" w:space="0" w:color="auto"/>
            <w:right w:val="none" w:sz="0" w:space="0" w:color="auto"/>
          </w:divBdr>
        </w:div>
        <w:div w:id="1320574269">
          <w:marLeft w:val="0"/>
          <w:marRight w:val="0"/>
          <w:marTop w:val="0"/>
          <w:marBottom w:val="0"/>
          <w:divBdr>
            <w:top w:val="none" w:sz="0" w:space="0" w:color="auto"/>
            <w:left w:val="none" w:sz="0" w:space="0" w:color="auto"/>
            <w:bottom w:val="none" w:sz="0" w:space="0" w:color="auto"/>
            <w:right w:val="none" w:sz="0" w:space="0" w:color="auto"/>
          </w:divBdr>
        </w:div>
      </w:divsChild>
    </w:div>
    <w:div w:id="1445079306">
      <w:bodyDiv w:val="1"/>
      <w:marLeft w:val="0"/>
      <w:marRight w:val="0"/>
      <w:marTop w:val="0"/>
      <w:marBottom w:val="0"/>
      <w:divBdr>
        <w:top w:val="none" w:sz="0" w:space="0" w:color="auto"/>
        <w:left w:val="none" w:sz="0" w:space="0" w:color="auto"/>
        <w:bottom w:val="none" w:sz="0" w:space="0" w:color="auto"/>
        <w:right w:val="none" w:sz="0" w:space="0" w:color="auto"/>
      </w:divBdr>
      <w:divsChild>
        <w:div w:id="802389680">
          <w:marLeft w:val="0"/>
          <w:marRight w:val="0"/>
          <w:marTop w:val="0"/>
          <w:marBottom w:val="0"/>
          <w:divBdr>
            <w:top w:val="none" w:sz="0" w:space="0" w:color="auto"/>
            <w:left w:val="none" w:sz="0" w:space="0" w:color="auto"/>
            <w:bottom w:val="none" w:sz="0" w:space="0" w:color="auto"/>
            <w:right w:val="none" w:sz="0" w:space="0" w:color="auto"/>
          </w:divBdr>
          <w:divsChild>
            <w:div w:id="2088722253">
              <w:marLeft w:val="0"/>
              <w:marRight w:val="0"/>
              <w:marTop w:val="0"/>
              <w:marBottom w:val="0"/>
              <w:divBdr>
                <w:top w:val="none" w:sz="0" w:space="0" w:color="auto"/>
                <w:left w:val="none" w:sz="0" w:space="0" w:color="auto"/>
                <w:bottom w:val="none" w:sz="0" w:space="0" w:color="auto"/>
                <w:right w:val="none" w:sz="0" w:space="0" w:color="auto"/>
              </w:divBdr>
              <w:divsChild>
                <w:div w:id="2098355380">
                  <w:marLeft w:val="0"/>
                  <w:marRight w:val="0"/>
                  <w:marTop w:val="0"/>
                  <w:marBottom w:val="0"/>
                  <w:divBdr>
                    <w:top w:val="none" w:sz="0" w:space="0" w:color="auto"/>
                    <w:left w:val="none" w:sz="0" w:space="0" w:color="auto"/>
                    <w:bottom w:val="none" w:sz="0" w:space="0" w:color="auto"/>
                    <w:right w:val="none" w:sz="0" w:space="0" w:color="auto"/>
                  </w:divBdr>
                  <w:divsChild>
                    <w:div w:id="12235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132520">
      <w:bodyDiv w:val="1"/>
      <w:marLeft w:val="0"/>
      <w:marRight w:val="0"/>
      <w:marTop w:val="0"/>
      <w:marBottom w:val="0"/>
      <w:divBdr>
        <w:top w:val="none" w:sz="0" w:space="0" w:color="auto"/>
        <w:left w:val="none" w:sz="0" w:space="0" w:color="auto"/>
        <w:bottom w:val="none" w:sz="0" w:space="0" w:color="auto"/>
        <w:right w:val="none" w:sz="0" w:space="0" w:color="auto"/>
      </w:divBdr>
      <w:divsChild>
        <w:div w:id="1863665394">
          <w:marLeft w:val="0"/>
          <w:marRight w:val="0"/>
          <w:marTop w:val="0"/>
          <w:marBottom w:val="0"/>
          <w:divBdr>
            <w:top w:val="none" w:sz="0" w:space="0" w:color="auto"/>
            <w:left w:val="none" w:sz="0" w:space="0" w:color="auto"/>
            <w:bottom w:val="none" w:sz="0" w:space="0" w:color="auto"/>
            <w:right w:val="none" w:sz="0" w:space="0" w:color="auto"/>
          </w:divBdr>
          <w:divsChild>
            <w:div w:id="1433086018">
              <w:marLeft w:val="0"/>
              <w:marRight w:val="0"/>
              <w:marTop w:val="0"/>
              <w:marBottom w:val="0"/>
              <w:divBdr>
                <w:top w:val="none" w:sz="0" w:space="0" w:color="auto"/>
                <w:left w:val="none" w:sz="0" w:space="0" w:color="auto"/>
                <w:bottom w:val="none" w:sz="0" w:space="0" w:color="auto"/>
                <w:right w:val="none" w:sz="0" w:space="0" w:color="auto"/>
              </w:divBdr>
              <w:divsChild>
                <w:div w:id="210306658">
                  <w:marLeft w:val="0"/>
                  <w:marRight w:val="0"/>
                  <w:marTop w:val="0"/>
                  <w:marBottom w:val="0"/>
                  <w:divBdr>
                    <w:top w:val="none" w:sz="0" w:space="0" w:color="auto"/>
                    <w:left w:val="none" w:sz="0" w:space="0" w:color="auto"/>
                    <w:bottom w:val="none" w:sz="0" w:space="0" w:color="auto"/>
                    <w:right w:val="none" w:sz="0" w:space="0" w:color="auto"/>
                  </w:divBdr>
                  <w:divsChild>
                    <w:div w:id="14793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6392">
      <w:bodyDiv w:val="1"/>
      <w:marLeft w:val="0"/>
      <w:marRight w:val="0"/>
      <w:marTop w:val="0"/>
      <w:marBottom w:val="0"/>
      <w:divBdr>
        <w:top w:val="none" w:sz="0" w:space="0" w:color="auto"/>
        <w:left w:val="none" w:sz="0" w:space="0" w:color="auto"/>
        <w:bottom w:val="none" w:sz="0" w:space="0" w:color="auto"/>
        <w:right w:val="none" w:sz="0" w:space="0" w:color="auto"/>
      </w:divBdr>
      <w:divsChild>
        <w:div w:id="295645406">
          <w:marLeft w:val="0"/>
          <w:marRight w:val="0"/>
          <w:marTop w:val="0"/>
          <w:marBottom w:val="0"/>
          <w:divBdr>
            <w:top w:val="none" w:sz="0" w:space="0" w:color="auto"/>
            <w:left w:val="none" w:sz="0" w:space="0" w:color="auto"/>
            <w:bottom w:val="none" w:sz="0" w:space="0" w:color="auto"/>
            <w:right w:val="none" w:sz="0" w:space="0" w:color="auto"/>
          </w:divBdr>
          <w:divsChild>
            <w:div w:id="1207984676">
              <w:marLeft w:val="0"/>
              <w:marRight w:val="0"/>
              <w:marTop w:val="0"/>
              <w:marBottom w:val="0"/>
              <w:divBdr>
                <w:top w:val="none" w:sz="0" w:space="0" w:color="auto"/>
                <w:left w:val="none" w:sz="0" w:space="0" w:color="auto"/>
                <w:bottom w:val="none" w:sz="0" w:space="0" w:color="auto"/>
                <w:right w:val="none" w:sz="0" w:space="0" w:color="auto"/>
              </w:divBdr>
              <w:divsChild>
                <w:div w:id="296955482">
                  <w:marLeft w:val="0"/>
                  <w:marRight w:val="0"/>
                  <w:marTop w:val="0"/>
                  <w:marBottom w:val="0"/>
                  <w:divBdr>
                    <w:top w:val="none" w:sz="0" w:space="0" w:color="auto"/>
                    <w:left w:val="none" w:sz="0" w:space="0" w:color="auto"/>
                    <w:bottom w:val="none" w:sz="0" w:space="0" w:color="auto"/>
                    <w:right w:val="none" w:sz="0" w:space="0" w:color="auto"/>
                  </w:divBdr>
                  <w:divsChild>
                    <w:div w:id="5404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345276">
      <w:bodyDiv w:val="1"/>
      <w:marLeft w:val="0"/>
      <w:marRight w:val="0"/>
      <w:marTop w:val="0"/>
      <w:marBottom w:val="0"/>
      <w:divBdr>
        <w:top w:val="none" w:sz="0" w:space="0" w:color="auto"/>
        <w:left w:val="none" w:sz="0" w:space="0" w:color="auto"/>
        <w:bottom w:val="none" w:sz="0" w:space="0" w:color="auto"/>
        <w:right w:val="none" w:sz="0" w:space="0" w:color="auto"/>
      </w:divBdr>
    </w:div>
    <w:div w:id="1566259118">
      <w:bodyDiv w:val="1"/>
      <w:marLeft w:val="0"/>
      <w:marRight w:val="0"/>
      <w:marTop w:val="0"/>
      <w:marBottom w:val="0"/>
      <w:divBdr>
        <w:top w:val="none" w:sz="0" w:space="0" w:color="auto"/>
        <w:left w:val="none" w:sz="0" w:space="0" w:color="auto"/>
        <w:bottom w:val="none" w:sz="0" w:space="0" w:color="auto"/>
        <w:right w:val="none" w:sz="0" w:space="0" w:color="auto"/>
      </w:divBdr>
      <w:divsChild>
        <w:div w:id="791291916">
          <w:marLeft w:val="0"/>
          <w:marRight w:val="0"/>
          <w:marTop w:val="0"/>
          <w:marBottom w:val="0"/>
          <w:divBdr>
            <w:top w:val="none" w:sz="0" w:space="0" w:color="auto"/>
            <w:left w:val="none" w:sz="0" w:space="0" w:color="auto"/>
            <w:bottom w:val="none" w:sz="0" w:space="0" w:color="auto"/>
            <w:right w:val="none" w:sz="0" w:space="0" w:color="auto"/>
          </w:divBdr>
          <w:divsChild>
            <w:div w:id="653140458">
              <w:marLeft w:val="0"/>
              <w:marRight w:val="0"/>
              <w:marTop w:val="0"/>
              <w:marBottom w:val="0"/>
              <w:divBdr>
                <w:top w:val="none" w:sz="0" w:space="0" w:color="auto"/>
                <w:left w:val="none" w:sz="0" w:space="0" w:color="auto"/>
                <w:bottom w:val="none" w:sz="0" w:space="0" w:color="auto"/>
                <w:right w:val="none" w:sz="0" w:space="0" w:color="auto"/>
              </w:divBdr>
              <w:divsChild>
                <w:div w:id="2103136286">
                  <w:marLeft w:val="0"/>
                  <w:marRight w:val="0"/>
                  <w:marTop w:val="0"/>
                  <w:marBottom w:val="0"/>
                  <w:divBdr>
                    <w:top w:val="none" w:sz="0" w:space="0" w:color="auto"/>
                    <w:left w:val="none" w:sz="0" w:space="0" w:color="auto"/>
                    <w:bottom w:val="none" w:sz="0" w:space="0" w:color="auto"/>
                    <w:right w:val="none" w:sz="0" w:space="0" w:color="auto"/>
                  </w:divBdr>
                  <w:divsChild>
                    <w:div w:id="12136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27301">
      <w:bodyDiv w:val="1"/>
      <w:marLeft w:val="0"/>
      <w:marRight w:val="0"/>
      <w:marTop w:val="0"/>
      <w:marBottom w:val="0"/>
      <w:divBdr>
        <w:top w:val="none" w:sz="0" w:space="0" w:color="auto"/>
        <w:left w:val="none" w:sz="0" w:space="0" w:color="auto"/>
        <w:bottom w:val="none" w:sz="0" w:space="0" w:color="auto"/>
        <w:right w:val="none" w:sz="0" w:space="0" w:color="auto"/>
      </w:divBdr>
      <w:divsChild>
        <w:div w:id="26372116">
          <w:marLeft w:val="0"/>
          <w:marRight w:val="0"/>
          <w:marTop w:val="0"/>
          <w:marBottom w:val="0"/>
          <w:divBdr>
            <w:top w:val="none" w:sz="0" w:space="0" w:color="auto"/>
            <w:left w:val="none" w:sz="0" w:space="0" w:color="auto"/>
            <w:bottom w:val="none" w:sz="0" w:space="0" w:color="auto"/>
            <w:right w:val="none" w:sz="0" w:space="0" w:color="auto"/>
          </w:divBdr>
          <w:divsChild>
            <w:div w:id="1475219801">
              <w:marLeft w:val="0"/>
              <w:marRight w:val="0"/>
              <w:marTop w:val="0"/>
              <w:marBottom w:val="0"/>
              <w:divBdr>
                <w:top w:val="none" w:sz="0" w:space="0" w:color="auto"/>
                <w:left w:val="none" w:sz="0" w:space="0" w:color="auto"/>
                <w:bottom w:val="none" w:sz="0" w:space="0" w:color="auto"/>
                <w:right w:val="none" w:sz="0" w:space="0" w:color="auto"/>
              </w:divBdr>
              <w:divsChild>
                <w:div w:id="1302346371">
                  <w:marLeft w:val="0"/>
                  <w:marRight w:val="0"/>
                  <w:marTop w:val="0"/>
                  <w:marBottom w:val="0"/>
                  <w:divBdr>
                    <w:top w:val="none" w:sz="0" w:space="0" w:color="auto"/>
                    <w:left w:val="none" w:sz="0" w:space="0" w:color="auto"/>
                    <w:bottom w:val="none" w:sz="0" w:space="0" w:color="auto"/>
                    <w:right w:val="none" w:sz="0" w:space="0" w:color="auto"/>
                  </w:divBdr>
                  <w:divsChild>
                    <w:div w:id="5228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8733">
      <w:bodyDiv w:val="1"/>
      <w:marLeft w:val="0"/>
      <w:marRight w:val="0"/>
      <w:marTop w:val="0"/>
      <w:marBottom w:val="0"/>
      <w:divBdr>
        <w:top w:val="none" w:sz="0" w:space="0" w:color="auto"/>
        <w:left w:val="none" w:sz="0" w:space="0" w:color="auto"/>
        <w:bottom w:val="none" w:sz="0" w:space="0" w:color="auto"/>
        <w:right w:val="none" w:sz="0" w:space="0" w:color="auto"/>
      </w:divBdr>
    </w:div>
    <w:div w:id="1608200344">
      <w:bodyDiv w:val="1"/>
      <w:marLeft w:val="0"/>
      <w:marRight w:val="0"/>
      <w:marTop w:val="0"/>
      <w:marBottom w:val="0"/>
      <w:divBdr>
        <w:top w:val="none" w:sz="0" w:space="0" w:color="auto"/>
        <w:left w:val="none" w:sz="0" w:space="0" w:color="auto"/>
        <w:bottom w:val="none" w:sz="0" w:space="0" w:color="auto"/>
        <w:right w:val="none" w:sz="0" w:space="0" w:color="auto"/>
      </w:divBdr>
      <w:divsChild>
        <w:div w:id="638801949">
          <w:marLeft w:val="0"/>
          <w:marRight w:val="0"/>
          <w:marTop w:val="0"/>
          <w:marBottom w:val="0"/>
          <w:divBdr>
            <w:top w:val="none" w:sz="0" w:space="0" w:color="auto"/>
            <w:left w:val="none" w:sz="0" w:space="0" w:color="auto"/>
            <w:bottom w:val="none" w:sz="0" w:space="0" w:color="auto"/>
            <w:right w:val="none" w:sz="0" w:space="0" w:color="auto"/>
          </w:divBdr>
          <w:divsChild>
            <w:div w:id="46144658">
              <w:marLeft w:val="0"/>
              <w:marRight w:val="0"/>
              <w:marTop w:val="0"/>
              <w:marBottom w:val="0"/>
              <w:divBdr>
                <w:top w:val="none" w:sz="0" w:space="0" w:color="auto"/>
                <w:left w:val="none" w:sz="0" w:space="0" w:color="auto"/>
                <w:bottom w:val="none" w:sz="0" w:space="0" w:color="auto"/>
                <w:right w:val="none" w:sz="0" w:space="0" w:color="auto"/>
              </w:divBdr>
              <w:divsChild>
                <w:div w:id="1617715033">
                  <w:marLeft w:val="0"/>
                  <w:marRight w:val="0"/>
                  <w:marTop w:val="0"/>
                  <w:marBottom w:val="0"/>
                  <w:divBdr>
                    <w:top w:val="none" w:sz="0" w:space="0" w:color="auto"/>
                    <w:left w:val="none" w:sz="0" w:space="0" w:color="auto"/>
                    <w:bottom w:val="none" w:sz="0" w:space="0" w:color="auto"/>
                    <w:right w:val="none" w:sz="0" w:space="0" w:color="auto"/>
                  </w:divBdr>
                  <w:divsChild>
                    <w:div w:id="4431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7573">
      <w:bodyDiv w:val="1"/>
      <w:marLeft w:val="0"/>
      <w:marRight w:val="0"/>
      <w:marTop w:val="0"/>
      <w:marBottom w:val="0"/>
      <w:divBdr>
        <w:top w:val="none" w:sz="0" w:space="0" w:color="auto"/>
        <w:left w:val="none" w:sz="0" w:space="0" w:color="auto"/>
        <w:bottom w:val="none" w:sz="0" w:space="0" w:color="auto"/>
        <w:right w:val="none" w:sz="0" w:space="0" w:color="auto"/>
      </w:divBdr>
      <w:divsChild>
        <w:div w:id="1612979404">
          <w:marLeft w:val="0"/>
          <w:marRight w:val="0"/>
          <w:marTop w:val="0"/>
          <w:marBottom w:val="0"/>
          <w:divBdr>
            <w:top w:val="none" w:sz="0" w:space="0" w:color="auto"/>
            <w:left w:val="none" w:sz="0" w:space="0" w:color="auto"/>
            <w:bottom w:val="none" w:sz="0" w:space="0" w:color="auto"/>
            <w:right w:val="none" w:sz="0" w:space="0" w:color="auto"/>
          </w:divBdr>
          <w:divsChild>
            <w:div w:id="629898021">
              <w:marLeft w:val="0"/>
              <w:marRight w:val="0"/>
              <w:marTop w:val="0"/>
              <w:marBottom w:val="0"/>
              <w:divBdr>
                <w:top w:val="none" w:sz="0" w:space="0" w:color="auto"/>
                <w:left w:val="none" w:sz="0" w:space="0" w:color="auto"/>
                <w:bottom w:val="none" w:sz="0" w:space="0" w:color="auto"/>
                <w:right w:val="none" w:sz="0" w:space="0" w:color="auto"/>
              </w:divBdr>
              <w:divsChild>
                <w:div w:id="1173766613">
                  <w:marLeft w:val="0"/>
                  <w:marRight w:val="0"/>
                  <w:marTop w:val="0"/>
                  <w:marBottom w:val="0"/>
                  <w:divBdr>
                    <w:top w:val="none" w:sz="0" w:space="0" w:color="auto"/>
                    <w:left w:val="none" w:sz="0" w:space="0" w:color="auto"/>
                    <w:bottom w:val="none" w:sz="0" w:space="0" w:color="auto"/>
                    <w:right w:val="none" w:sz="0" w:space="0" w:color="auto"/>
                  </w:divBdr>
                  <w:divsChild>
                    <w:div w:id="15561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2773">
      <w:bodyDiv w:val="1"/>
      <w:marLeft w:val="0"/>
      <w:marRight w:val="0"/>
      <w:marTop w:val="0"/>
      <w:marBottom w:val="0"/>
      <w:divBdr>
        <w:top w:val="none" w:sz="0" w:space="0" w:color="auto"/>
        <w:left w:val="none" w:sz="0" w:space="0" w:color="auto"/>
        <w:bottom w:val="none" w:sz="0" w:space="0" w:color="auto"/>
        <w:right w:val="none" w:sz="0" w:space="0" w:color="auto"/>
      </w:divBdr>
      <w:divsChild>
        <w:div w:id="46033146">
          <w:marLeft w:val="0"/>
          <w:marRight w:val="0"/>
          <w:marTop w:val="0"/>
          <w:marBottom w:val="0"/>
          <w:divBdr>
            <w:top w:val="none" w:sz="0" w:space="0" w:color="auto"/>
            <w:left w:val="none" w:sz="0" w:space="0" w:color="auto"/>
            <w:bottom w:val="none" w:sz="0" w:space="0" w:color="auto"/>
            <w:right w:val="none" w:sz="0" w:space="0" w:color="auto"/>
          </w:divBdr>
          <w:divsChild>
            <w:div w:id="1669940996">
              <w:marLeft w:val="0"/>
              <w:marRight w:val="0"/>
              <w:marTop w:val="0"/>
              <w:marBottom w:val="0"/>
              <w:divBdr>
                <w:top w:val="none" w:sz="0" w:space="0" w:color="auto"/>
                <w:left w:val="none" w:sz="0" w:space="0" w:color="auto"/>
                <w:bottom w:val="none" w:sz="0" w:space="0" w:color="auto"/>
                <w:right w:val="none" w:sz="0" w:space="0" w:color="auto"/>
              </w:divBdr>
              <w:divsChild>
                <w:div w:id="420759046">
                  <w:marLeft w:val="0"/>
                  <w:marRight w:val="0"/>
                  <w:marTop w:val="0"/>
                  <w:marBottom w:val="0"/>
                  <w:divBdr>
                    <w:top w:val="none" w:sz="0" w:space="0" w:color="auto"/>
                    <w:left w:val="none" w:sz="0" w:space="0" w:color="auto"/>
                    <w:bottom w:val="none" w:sz="0" w:space="0" w:color="auto"/>
                    <w:right w:val="none" w:sz="0" w:space="0" w:color="auto"/>
                  </w:divBdr>
                  <w:divsChild>
                    <w:div w:id="8677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64970">
      <w:bodyDiv w:val="1"/>
      <w:marLeft w:val="0"/>
      <w:marRight w:val="0"/>
      <w:marTop w:val="0"/>
      <w:marBottom w:val="0"/>
      <w:divBdr>
        <w:top w:val="none" w:sz="0" w:space="0" w:color="auto"/>
        <w:left w:val="none" w:sz="0" w:space="0" w:color="auto"/>
        <w:bottom w:val="none" w:sz="0" w:space="0" w:color="auto"/>
        <w:right w:val="none" w:sz="0" w:space="0" w:color="auto"/>
      </w:divBdr>
      <w:divsChild>
        <w:div w:id="1652517694">
          <w:marLeft w:val="446"/>
          <w:marRight w:val="0"/>
          <w:marTop w:val="0"/>
          <w:marBottom w:val="0"/>
          <w:divBdr>
            <w:top w:val="none" w:sz="0" w:space="0" w:color="auto"/>
            <w:left w:val="none" w:sz="0" w:space="0" w:color="auto"/>
            <w:bottom w:val="none" w:sz="0" w:space="0" w:color="auto"/>
            <w:right w:val="none" w:sz="0" w:space="0" w:color="auto"/>
          </w:divBdr>
        </w:div>
      </w:divsChild>
    </w:div>
    <w:div w:id="1636527474">
      <w:bodyDiv w:val="1"/>
      <w:marLeft w:val="0"/>
      <w:marRight w:val="0"/>
      <w:marTop w:val="0"/>
      <w:marBottom w:val="0"/>
      <w:divBdr>
        <w:top w:val="none" w:sz="0" w:space="0" w:color="auto"/>
        <w:left w:val="none" w:sz="0" w:space="0" w:color="auto"/>
        <w:bottom w:val="none" w:sz="0" w:space="0" w:color="auto"/>
        <w:right w:val="none" w:sz="0" w:space="0" w:color="auto"/>
      </w:divBdr>
      <w:divsChild>
        <w:div w:id="1082028559">
          <w:marLeft w:val="0"/>
          <w:marRight w:val="0"/>
          <w:marTop w:val="0"/>
          <w:marBottom w:val="0"/>
          <w:divBdr>
            <w:top w:val="none" w:sz="0" w:space="0" w:color="auto"/>
            <w:left w:val="none" w:sz="0" w:space="0" w:color="auto"/>
            <w:bottom w:val="none" w:sz="0" w:space="0" w:color="auto"/>
            <w:right w:val="none" w:sz="0" w:space="0" w:color="auto"/>
          </w:divBdr>
          <w:divsChild>
            <w:div w:id="877006504">
              <w:marLeft w:val="0"/>
              <w:marRight w:val="0"/>
              <w:marTop w:val="0"/>
              <w:marBottom w:val="0"/>
              <w:divBdr>
                <w:top w:val="none" w:sz="0" w:space="0" w:color="auto"/>
                <w:left w:val="none" w:sz="0" w:space="0" w:color="auto"/>
                <w:bottom w:val="none" w:sz="0" w:space="0" w:color="auto"/>
                <w:right w:val="none" w:sz="0" w:space="0" w:color="auto"/>
              </w:divBdr>
              <w:divsChild>
                <w:div w:id="1050807945">
                  <w:marLeft w:val="0"/>
                  <w:marRight w:val="0"/>
                  <w:marTop w:val="0"/>
                  <w:marBottom w:val="0"/>
                  <w:divBdr>
                    <w:top w:val="none" w:sz="0" w:space="0" w:color="auto"/>
                    <w:left w:val="none" w:sz="0" w:space="0" w:color="auto"/>
                    <w:bottom w:val="none" w:sz="0" w:space="0" w:color="auto"/>
                    <w:right w:val="none" w:sz="0" w:space="0" w:color="auto"/>
                  </w:divBdr>
                  <w:divsChild>
                    <w:div w:id="17102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48314">
      <w:bodyDiv w:val="1"/>
      <w:marLeft w:val="0"/>
      <w:marRight w:val="0"/>
      <w:marTop w:val="0"/>
      <w:marBottom w:val="0"/>
      <w:divBdr>
        <w:top w:val="none" w:sz="0" w:space="0" w:color="auto"/>
        <w:left w:val="none" w:sz="0" w:space="0" w:color="auto"/>
        <w:bottom w:val="none" w:sz="0" w:space="0" w:color="auto"/>
        <w:right w:val="none" w:sz="0" w:space="0" w:color="auto"/>
      </w:divBdr>
    </w:div>
    <w:div w:id="1656689317">
      <w:bodyDiv w:val="1"/>
      <w:marLeft w:val="0"/>
      <w:marRight w:val="0"/>
      <w:marTop w:val="0"/>
      <w:marBottom w:val="0"/>
      <w:divBdr>
        <w:top w:val="none" w:sz="0" w:space="0" w:color="auto"/>
        <w:left w:val="none" w:sz="0" w:space="0" w:color="auto"/>
        <w:bottom w:val="none" w:sz="0" w:space="0" w:color="auto"/>
        <w:right w:val="none" w:sz="0" w:space="0" w:color="auto"/>
      </w:divBdr>
    </w:div>
    <w:div w:id="1663896784">
      <w:bodyDiv w:val="1"/>
      <w:marLeft w:val="0"/>
      <w:marRight w:val="0"/>
      <w:marTop w:val="0"/>
      <w:marBottom w:val="0"/>
      <w:divBdr>
        <w:top w:val="none" w:sz="0" w:space="0" w:color="auto"/>
        <w:left w:val="none" w:sz="0" w:space="0" w:color="auto"/>
        <w:bottom w:val="none" w:sz="0" w:space="0" w:color="auto"/>
        <w:right w:val="none" w:sz="0" w:space="0" w:color="auto"/>
      </w:divBdr>
    </w:div>
    <w:div w:id="1672566370">
      <w:bodyDiv w:val="1"/>
      <w:marLeft w:val="0"/>
      <w:marRight w:val="0"/>
      <w:marTop w:val="0"/>
      <w:marBottom w:val="0"/>
      <w:divBdr>
        <w:top w:val="none" w:sz="0" w:space="0" w:color="auto"/>
        <w:left w:val="none" w:sz="0" w:space="0" w:color="auto"/>
        <w:bottom w:val="none" w:sz="0" w:space="0" w:color="auto"/>
        <w:right w:val="none" w:sz="0" w:space="0" w:color="auto"/>
      </w:divBdr>
    </w:div>
    <w:div w:id="1680615462">
      <w:bodyDiv w:val="1"/>
      <w:marLeft w:val="0"/>
      <w:marRight w:val="0"/>
      <w:marTop w:val="0"/>
      <w:marBottom w:val="0"/>
      <w:divBdr>
        <w:top w:val="none" w:sz="0" w:space="0" w:color="auto"/>
        <w:left w:val="none" w:sz="0" w:space="0" w:color="auto"/>
        <w:bottom w:val="none" w:sz="0" w:space="0" w:color="auto"/>
        <w:right w:val="none" w:sz="0" w:space="0" w:color="auto"/>
      </w:divBdr>
      <w:divsChild>
        <w:div w:id="728070729">
          <w:marLeft w:val="0"/>
          <w:marRight w:val="0"/>
          <w:marTop w:val="0"/>
          <w:marBottom w:val="0"/>
          <w:divBdr>
            <w:top w:val="none" w:sz="0" w:space="0" w:color="auto"/>
            <w:left w:val="none" w:sz="0" w:space="0" w:color="auto"/>
            <w:bottom w:val="none" w:sz="0" w:space="0" w:color="auto"/>
            <w:right w:val="none" w:sz="0" w:space="0" w:color="auto"/>
          </w:divBdr>
          <w:divsChild>
            <w:div w:id="1459690055">
              <w:marLeft w:val="0"/>
              <w:marRight w:val="0"/>
              <w:marTop w:val="0"/>
              <w:marBottom w:val="0"/>
              <w:divBdr>
                <w:top w:val="none" w:sz="0" w:space="0" w:color="auto"/>
                <w:left w:val="none" w:sz="0" w:space="0" w:color="auto"/>
                <w:bottom w:val="none" w:sz="0" w:space="0" w:color="auto"/>
                <w:right w:val="none" w:sz="0" w:space="0" w:color="auto"/>
              </w:divBdr>
              <w:divsChild>
                <w:div w:id="4538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6375">
      <w:bodyDiv w:val="1"/>
      <w:marLeft w:val="0"/>
      <w:marRight w:val="0"/>
      <w:marTop w:val="0"/>
      <w:marBottom w:val="0"/>
      <w:divBdr>
        <w:top w:val="none" w:sz="0" w:space="0" w:color="auto"/>
        <w:left w:val="none" w:sz="0" w:space="0" w:color="auto"/>
        <w:bottom w:val="none" w:sz="0" w:space="0" w:color="auto"/>
        <w:right w:val="none" w:sz="0" w:space="0" w:color="auto"/>
      </w:divBdr>
      <w:divsChild>
        <w:div w:id="1501968761">
          <w:marLeft w:val="0"/>
          <w:marRight w:val="0"/>
          <w:marTop w:val="0"/>
          <w:marBottom w:val="0"/>
          <w:divBdr>
            <w:top w:val="none" w:sz="0" w:space="0" w:color="auto"/>
            <w:left w:val="none" w:sz="0" w:space="0" w:color="auto"/>
            <w:bottom w:val="none" w:sz="0" w:space="0" w:color="auto"/>
            <w:right w:val="none" w:sz="0" w:space="0" w:color="auto"/>
          </w:divBdr>
          <w:divsChild>
            <w:div w:id="1196427654">
              <w:marLeft w:val="0"/>
              <w:marRight w:val="0"/>
              <w:marTop w:val="0"/>
              <w:marBottom w:val="0"/>
              <w:divBdr>
                <w:top w:val="none" w:sz="0" w:space="0" w:color="auto"/>
                <w:left w:val="none" w:sz="0" w:space="0" w:color="auto"/>
                <w:bottom w:val="none" w:sz="0" w:space="0" w:color="auto"/>
                <w:right w:val="none" w:sz="0" w:space="0" w:color="auto"/>
              </w:divBdr>
              <w:divsChild>
                <w:div w:id="1663192478">
                  <w:marLeft w:val="0"/>
                  <w:marRight w:val="0"/>
                  <w:marTop w:val="0"/>
                  <w:marBottom w:val="0"/>
                  <w:divBdr>
                    <w:top w:val="none" w:sz="0" w:space="0" w:color="auto"/>
                    <w:left w:val="none" w:sz="0" w:space="0" w:color="auto"/>
                    <w:bottom w:val="none" w:sz="0" w:space="0" w:color="auto"/>
                    <w:right w:val="none" w:sz="0" w:space="0" w:color="auto"/>
                  </w:divBdr>
                  <w:divsChild>
                    <w:div w:id="10831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71012">
      <w:bodyDiv w:val="1"/>
      <w:marLeft w:val="0"/>
      <w:marRight w:val="0"/>
      <w:marTop w:val="0"/>
      <w:marBottom w:val="0"/>
      <w:divBdr>
        <w:top w:val="none" w:sz="0" w:space="0" w:color="auto"/>
        <w:left w:val="none" w:sz="0" w:space="0" w:color="auto"/>
        <w:bottom w:val="none" w:sz="0" w:space="0" w:color="auto"/>
        <w:right w:val="none" w:sz="0" w:space="0" w:color="auto"/>
      </w:divBdr>
      <w:divsChild>
        <w:div w:id="1577398368">
          <w:marLeft w:val="0"/>
          <w:marRight w:val="0"/>
          <w:marTop w:val="0"/>
          <w:marBottom w:val="0"/>
          <w:divBdr>
            <w:top w:val="none" w:sz="0" w:space="0" w:color="auto"/>
            <w:left w:val="none" w:sz="0" w:space="0" w:color="auto"/>
            <w:bottom w:val="none" w:sz="0" w:space="0" w:color="auto"/>
            <w:right w:val="none" w:sz="0" w:space="0" w:color="auto"/>
          </w:divBdr>
          <w:divsChild>
            <w:div w:id="3017097">
              <w:marLeft w:val="0"/>
              <w:marRight w:val="0"/>
              <w:marTop w:val="0"/>
              <w:marBottom w:val="0"/>
              <w:divBdr>
                <w:top w:val="none" w:sz="0" w:space="0" w:color="auto"/>
                <w:left w:val="none" w:sz="0" w:space="0" w:color="auto"/>
                <w:bottom w:val="none" w:sz="0" w:space="0" w:color="auto"/>
                <w:right w:val="none" w:sz="0" w:space="0" w:color="auto"/>
              </w:divBdr>
              <w:divsChild>
                <w:div w:id="17397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5946">
      <w:bodyDiv w:val="1"/>
      <w:marLeft w:val="0"/>
      <w:marRight w:val="0"/>
      <w:marTop w:val="0"/>
      <w:marBottom w:val="0"/>
      <w:divBdr>
        <w:top w:val="none" w:sz="0" w:space="0" w:color="auto"/>
        <w:left w:val="none" w:sz="0" w:space="0" w:color="auto"/>
        <w:bottom w:val="none" w:sz="0" w:space="0" w:color="auto"/>
        <w:right w:val="none" w:sz="0" w:space="0" w:color="auto"/>
      </w:divBdr>
      <w:divsChild>
        <w:div w:id="1207907034">
          <w:marLeft w:val="0"/>
          <w:marRight w:val="0"/>
          <w:marTop w:val="0"/>
          <w:marBottom w:val="0"/>
          <w:divBdr>
            <w:top w:val="none" w:sz="0" w:space="0" w:color="auto"/>
            <w:left w:val="none" w:sz="0" w:space="0" w:color="auto"/>
            <w:bottom w:val="none" w:sz="0" w:space="0" w:color="auto"/>
            <w:right w:val="none" w:sz="0" w:space="0" w:color="auto"/>
          </w:divBdr>
          <w:divsChild>
            <w:div w:id="1428307233">
              <w:marLeft w:val="0"/>
              <w:marRight w:val="0"/>
              <w:marTop w:val="0"/>
              <w:marBottom w:val="0"/>
              <w:divBdr>
                <w:top w:val="none" w:sz="0" w:space="0" w:color="auto"/>
                <w:left w:val="none" w:sz="0" w:space="0" w:color="auto"/>
                <w:bottom w:val="none" w:sz="0" w:space="0" w:color="auto"/>
                <w:right w:val="none" w:sz="0" w:space="0" w:color="auto"/>
              </w:divBdr>
              <w:divsChild>
                <w:div w:id="1636791149">
                  <w:marLeft w:val="0"/>
                  <w:marRight w:val="0"/>
                  <w:marTop w:val="0"/>
                  <w:marBottom w:val="0"/>
                  <w:divBdr>
                    <w:top w:val="none" w:sz="0" w:space="0" w:color="auto"/>
                    <w:left w:val="none" w:sz="0" w:space="0" w:color="auto"/>
                    <w:bottom w:val="none" w:sz="0" w:space="0" w:color="auto"/>
                    <w:right w:val="none" w:sz="0" w:space="0" w:color="auto"/>
                  </w:divBdr>
                  <w:divsChild>
                    <w:div w:id="7483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5880">
      <w:bodyDiv w:val="1"/>
      <w:marLeft w:val="0"/>
      <w:marRight w:val="0"/>
      <w:marTop w:val="0"/>
      <w:marBottom w:val="0"/>
      <w:divBdr>
        <w:top w:val="none" w:sz="0" w:space="0" w:color="auto"/>
        <w:left w:val="none" w:sz="0" w:space="0" w:color="auto"/>
        <w:bottom w:val="none" w:sz="0" w:space="0" w:color="auto"/>
        <w:right w:val="none" w:sz="0" w:space="0" w:color="auto"/>
      </w:divBdr>
    </w:div>
    <w:div w:id="1812361652">
      <w:bodyDiv w:val="1"/>
      <w:marLeft w:val="0"/>
      <w:marRight w:val="0"/>
      <w:marTop w:val="0"/>
      <w:marBottom w:val="0"/>
      <w:divBdr>
        <w:top w:val="none" w:sz="0" w:space="0" w:color="auto"/>
        <w:left w:val="none" w:sz="0" w:space="0" w:color="auto"/>
        <w:bottom w:val="none" w:sz="0" w:space="0" w:color="auto"/>
        <w:right w:val="none" w:sz="0" w:space="0" w:color="auto"/>
      </w:divBdr>
      <w:divsChild>
        <w:div w:id="956713802">
          <w:marLeft w:val="0"/>
          <w:marRight w:val="0"/>
          <w:marTop w:val="0"/>
          <w:marBottom w:val="0"/>
          <w:divBdr>
            <w:top w:val="none" w:sz="0" w:space="0" w:color="auto"/>
            <w:left w:val="none" w:sz="0" w:space="0" w:color="auto"/>
            <w:bottom w:val="none" w:sz="0" w:space="0" w:color="auto"/>
            <w:right w:val="none" w:sz="0" w:space="0" w:color="auto"/>
          </w:divBdr>
          <w:divsChild>
            <w:div w:id="589892934">
              <w:marLeft w:val="0"/>
              <w:marRight w:val="0"/>
              <w:marTop w:val="0"/>
              <w:marBottom w:val="0"/>
              <w:divBdr>
                <w:top w:val="none" w:sz="0" w:space="0" w:color="auto"/>
                <w:left w:val="none" w:sz="0" w:space="0" w:color="auto"/>
                <w:bottom w:val="none" w:sz="0" w:space="0" w:color="auto"/>
                <w:right w:val="none" w:sz="0" w:space="0" w:color="auto"/>
              </w:divBdr>
              <w:divsChild>
                <w:div w:id="20813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83216">
      <w:bodyDiv w:val="1"/>
      <w:marLeft w:val="0"/>
      <w:marRight w:val="0"/>
      <w:marTop w:val="0"/>
      <w:marBottom w:val="0"/>
      <w:divBdr>
        <w:top w:val="none" w:sz="0" w:space="0" w:color="auto"/>
        <w:left w:val="none" w:sz="0" w:space="0" w:color="auto"/>
        <w:bottom w:val="none" w:sz="0" w:space="0" w:color="auto"/>
        <w:right w:val="none" w:sz="0" w:space="0" w:color="auto"/>
      </w:divBdr>
      <w:divsChild>
        <w:div w:id="1262254688">
          <w:marLeft w:val="0"/>
          <w:marRight w:val="0"/>
          <w:marTop w:val="0"/>
          <w:marBottom w:val="0"/>
          <w:divBdr>
            <w:top w:val="none" w:sz="0" w:space="0" w:color="auto"/>
            <w:left w:val="none" w:sz="0" w:space="0" w:color="auto"/>
            <w:bottom w:val="none" w:sz="0" w:space="0" w:color="auto"/>
            <w:right w:val="none" w:sz="0" w:space="0" w:color="auto"/>
          </w:divBdr>
          <w:divsChild>
            <w:div w:id="1299721828">
              <w:marLeft w:val="0"/>
              <w:marRight w:val="0"/>
              <w:marTop w:val="0"/>
              <w:marBottom w:val="0"/>
              <w:divBdr>
                <w:top w:val="none" w:sz="0" w:space="0" w:color="auto"/>
                <w:left w:val="none" w:sz="0" w:space="0" w:color="auto"/>
                <w:bottom w:val="none" w:sz="0" w:space="0" w:color="auto"/>
                <w:right w:val="none" w:sz="0" w:space="0" w:color="auto"/>
              </w:divBdr>
              <w:divsChild>
                <w:div w:id="464354051">
                  <w:marLeft w:val="0"/>
                  <w:marRight w:val="0"/>
                  <w:marTop w:val="0"/>
                  <w:marBottom w:val="0"/>
                  <w:divBdr>
                    <w:top w:val="none" w:sz="0" w:space="0" w:color="auto"/>
                    <w:left w:val="none" w:sz="0" w:space="0" w:color="auto"/>
                    <w:bottom w:val="none" w:sz="0" w:space="0" w:color="auto"/>
                    <w:right w:val="none" w:sz="0" w:space="0" w:color="auto"/>
                  </w:divBdr>
                  <w:divsChild>
                    <w:div w:id="1923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102394">
      <w:bodyDiv w:val="1"/>
      <w:marLeft w:val="0"/>
      <w:marRight w:val="0"/>
      <w:marTop w:val="0"/>
      <w:marBottom w:val="0"/>
      <w:divBdr>
        <w:top w:val="none" w:sz="0" w:space="0" w:color="auto"/>
        <w:left w:val="none" w:sz="0" w:space="0" w:color="auto"/>
        <w:bottom w:val="none" w:sz="0" w:space="0" w:color="auto"/>
        <w:right w:val="none" w:sz="0" w:space="0" w:color="auto"/>
      </w:divBdr>
    </w:div>
    <w:div w:id="1850440005">
      <w:bodyDiv w:val="1"/>
      <w:marLeft w:val="0"/>
      <w:marRight w:val="0"/>
      <w:marTop w:val="0"/>
      <w:marBottom w:val="0"/>
      <w:divBdr>
        <w:top w:val="none" w:sz="0" w:space="0" w:color="auto"/>
        <w:left w:val="none" w:sz="0" w:space="0" w:color="auto"/>
        <w:bottom w:val="none" w:sz="0" w:space="0" w:color="auto"/>
        <w:right w:val="none" w:sz="0" w:space="0" w:color="auto"/>
      </w:divBdr>
      <w:divsChild>
        <w:div w:id="9336780">
          <w:marLeft w:val="0"/>
          <w:marRight w:val="0"/>
          <w:marTop w:val="0"/>
          <w:marBottom w:val="0"/>
          <w:divBdr>
            <w:top w:val="none" w:sz="0" w:space="0" w:color="auto"/>
            <w:left w:val="none" w:sz="0" w:space="0" w:color="auto"/>
            <w:bottom w:val="none" w:sz="0" w:space="0" w:color="auto"/>
            <w:right w:val="none" w:sz="0" w:space="0" w:color="auto"/>
          </w:divBdr>
        </w:div>
        <w:div w:id="105471819">
          <w:marLeft w:val="0"/>
          <w:marRight w:val="0"/>
          <w:marTop w:val="0"/>
          <w:marBottom w:val="0"/>
          <w:divBdr>
            <w:top w:val="none" w:sz="0" w:space="0" w:color="auto"/>
            <w:left w:val="none" w:sz="0" w:space="0" w:color="auto"/>
            <w:bottom w:val="none" w:sz="0" w:space="0" w:color="auto"/>
            <w:right w:val="none" w:sz="0" w:space="0" w:color="auto"/>
          </w:divBdr>
        </w:div>
        <w:div w:id="1769228813">
          <w:marLeft w:val="0"/>
          <w:marRight w:val="0"/>
          <w:marTop w:val="0"/>
          <w:marBottom w:val="0"/>
          <w:divBdr>
            <w:top w:val="none" w:sz="0" w:space="0" w:color="auto"/>
            <w:left w:val="none" w:sz="0" w:space="0" w:color="auto"/>
            <w:bottom w:val="none" w:sz="0" w:space="0" w:color="auto"/>
            <w:right w:val="none" w:sz="0" w:space="0" w:color="auto"/>
          </w:divBdr>
        </w:div>
      </w:divsChild>
    </w:div>
    <w:div w:id="1851792939">
      <w:bodyDiv w:val="1"/>
      <w:marLeft w:val="0"/>
      <w:marRight w:val="0"/>
      <w:marTop w:val="0"/>
      <w:marBottom w:val="0"/>
      <w:divBdr>
        <w:top w:val="none" w:sz="0" w:space="0" w:color="auto"/>
        <w:left w:val="none" w:sz="0" w:space="0" w:color="auto"/>
        <w:bottom w:val="none" w:sz="0" w:space="0" w:color="auto"/>
        <w:right w:val="none" w:sz="0" w:space="0" w:color="auto"/>
      </w:divBdr>
    </w:div>
    <w:div w:id="1852644799">
      <w:bodyDiv w:val="1"/>
      <w:marLeft w:val="0"/>
      <w:marRight w:val="0"/>
      <w:marTop w:val="0"/>
      <w:marBottom w:val="0"/>
      <w:divBdr>
        <w:top w:val="none" w:sz="0" w:space="0" w:color="auto"/>
        <w:left w:val="none" w:sz="0" w:space="0" w:color="auto"/>
        <w:bottom w:val="none" w:sz="0" w:space="0" w:color="auto"/>
        <w:right w:val="none" w:sz="0" w:space="0" w:color="auto"/>
      </w:divBdr>
      <w:divsChild>
        <w:div w:id="984238768">
          <w:marLeft w:val="0"/>
          <w:marRight w:val="0"/>
          <w:marTop w:val="0"/>
          <w:marBottom w:val="0"/>
          <w:divBdr>
            <w:top w:val="none" w:sz="0" w:space="0" w:color="auto"/>
            <w:left w:val="none" w:sz="0" w:space="0" w:color="auto"/>
            <w:bottom w:val="none" w:sz="0" w:space="0" w:color="auto"/>
            <w:right w:val="none" w:sz="0" w:space="0" w:color="auto"/>
          </w:divBdr>
          <w:divsChild>
            <w:div w:id="356661967">
              <w:marLeft w:val="0"/>
              <w:marRight w:val="0"/>
              <w:marTop w:val="0"/>
              <w:marBottom w:val="0"/>
              <w:divBdr>
                <w:top w:val="none" w:sz="0" w:space="0" w:color="auto"/>
                <w:left w:val="none" w:sz="0" w:space="0" w:color="auto"/>
                <w:bottom w:val="none" w:sz="0" w:space="0" w:color="auto"/>
                <w:right w:val="none" w:sz="0" w:space="0" w:color="auto"/>
              </w:divBdr>
              <w:divsChild>
                <w:div w:id="2094162331">
                  <w:marLeft w:val="0"/>
                  <w:marRight w:val="0"/>
                  <w:marTop w:val="0"/>
                  <w:marBottom w:val="0"/>
                  <w:divBdr>
                    <w:top w:val="none" w:sz="0" w:space="0" w:color="auto"/>
                    <w:left w:val="none" w:sz="0" w:space="0" w:color="auto"/>
                    <w:bottom w:val="none" w:sz="0" w:space="0" w:color="auto"/>
                    <w:right w:val="none" w:sz="0" w:space="0" w:color="auto"/>
                  </w:divBdr>
                  <w:divsChild>
                    <w:div w:id="16047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36853">
      <w:bodyDiv w:val="1"/>
      <w:marLeft w:val="0"/>
      <w:marRight w:val="0"/>
      <w:marTop w:val="0"/>
      <w:marBottom w:val="0"/>
      <w:divBdr>
        <w:top w:val="none" w:sz="0" w:space="0" w:color="auto"/>
        <w:left w:val="none" w:sz="0" w:space="0" w:color="auto"/>
        <w:bottom w:val="none" w:sz="0" w:space="0" w:color="auto"/>
        <w:right w:val="none" w:sz="0" w:space="0" w:color="auto"/>
      </w:divBdr>
      <w:divsChild>
        <w:div w:id="331031801">
          <w:marLeft w:val="0"/>
          <w:marRight w:val="0"/>
          <w:marTop w:val="0"/>
          <w:marBottom w:val="0"/>
          <w:divBdr>
            <w:top w:val="none" w:sz="0" w:space="0" w:color="auto"/>
            <w:left w:val="none" w:sz="0" w:space="0" w:color="auto"/>
            <w:bottom w:val="none" w:sz="0" w:space="0" w:color="auto"/>
            <w:right w:val="none" w:sz="0" w:space="0" w:color="auto"/>
          </w:divBdr>
          <w:divsChild>
            <w:div w:id="1529097897">
              <w:marLeft w:val="0"/>
              <w:marRight w:val="0"/>
              <w:marTop w:val="0"/>
              <w:marBottom w:val="0"/>
              <w:divBdr>
                <w:top w:val="none" w:sz="0" w:space="0" w:color="auto"/>
                <w:left w:val="none" w:sz="0" w:space="0" w:color="auto"/>
                <w:bottom w:val="none" w:sz="0" w:space="0" w:color="auto"/>
                <w:right w:val="none" w:sz="0" w:space="0" w:color="auto"/>
              </w:divBdr>
              <w:divsChild>
                <w:div w:id="20686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1187">
      <w:bodyDiv w:val="1"/>
      <w:marLeft w:val="0"/>
      <w:marRight w:val="0"/>
      <w:marTop w:val="0"/>
      <w:marBottom w:val="0"/>
      <w:divBdr>
        <w:top w:val="none" w:sz="0" w:space="0" w:color="auto"/>
        <w:left w:val="none" w:sz="0" w:space="0" w:color="auto"/>
        <w:bottom w:val="none" w:sz="0" w:space="0" w:color="auto"/>
        <w:right w:val="none" w:sz="0" w:space="0" w:color="auto"/>
      </w:divBdr>
      <w:divsChild>
        <w:div w:id="2096826051">
          <w:marLeft w:val="0"/>
          <w:marRight w:val="0"/>
          <w:marTop w:val="0"/>
          <w:marBottom w:val="0"/>
          <w:divBdr>
            <w:top w:val="none" w:sz="0" w:space="0" w:color="auto"/>
            <w:left w:val="none" w:sz="0" w:space="0" w:color="auto"/>
            <w:bottom w:val="none" w:sz="0" w:space="0" w:color="auto"/>
            <w:right w:val="none" w:sz="0" w:space="0" w:color="auto"/>
          </w:divBdr>
          <w:divsChild>
            <w:div w:id="986277121">
              <w:marLeft w:val="0"/>
              <w:marRight w:val="0"/>
              <w:marTop w:val="0"/>
              <w:marBottom w:val="0"/>
              <w:divBdr>
                <w:top w:val="none" w:sz="0" w:space="0" w:color="auto"/>
                <w:left w:val="none" w:sz="0" w:space="0" w:color="auto"/>
                <w:bottom w:val="none" w:sz="0" w:space="0" w:color="auto"/>
                <w:right w:val="none" w:sz="0" w:space="0" w:color="auto"/>
              </w:divBdr>
              <w:divsChild>
                <w:div w:id="1569415233">
                  <w:marLeft w:val="0"/>
                  <w:marRight w:val="0"/>
                  <w:marTop w:val="0"/>
                  <w:marBottom w:val="0"/>
                  <w:divBdr>
                    <w:top w:val="none" w:sz="0" w:space="0" w:color="auto"/>
                    <w:left w:val="none" w:sz="0" w:space="0" w:color="auto"/>
                    <w:bottom w:val="none" w:sz="0" w:space="0" w:color="auto"/>
                    <w:right w:val="none" w:sz="0" w:space="0" w:color="auto"/>
                  </w:divBdr>
                  <w:divsChild>
                    <w:div w:id="15527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09851">
      <w:bodyDiv w:val="1"/>
      <w:marLeft w:val="0"/>
      <w:marRight w:val="0"/>
      <w:marTop w:val="0"/>
      <w:marBottom w:val="0"/>
      <w:divBdr>
        <w:top w:val="none" w:sz="0" w:space="0" w:color="auto"/>
        <w:left w:val="none" w:sz="0" w:space="0" w:color="auto"/>
        <w:bottom w:val="none" w:sz="0" w:space="0" w:color="auto"/>
        <w:right w:val="none" w:sz="0" w:space="0" w:color="auto"/>
      </w:divBdr>
    </w:div>
    <w:div w:id="1911961783">
      <w:bodyDiv w:val="1"/>
      <w:marLeft w:val="0"/>
      <w:marRight w:val="0"/>
      <w:marTop w:val="0"/>
      <w:marBottom w:val="0"/>
      <w:divBdr>
        <w:top w:val="none" w:sz="0" w:space="0" w:color="auto"/>
        <w:left w:val="none" w:sz="0" w:space="0" w:color="auto"/>
        <w:bottom w:val="none" w:sz="0" w:space="0" w:color="auto"/>
        <w:right w:val="none" w:sz="0" w:space="0" w:color="auto"/>
      </w:divBdr>
      <w:divsChild>
        <w:div w:id="1043217395">
          <w:marLeft w:val="360"/>
          <w:marRight w:val="0"/>
          <w:marTop w:val="200"/>
          <w:marBottom w:val="0"/>
          <w:divBdr>
            <w:top w:val="none" w:sz="0" w:space="0" w:color="auto"/>
            <w:left w:val="none" w:sz="0" w:space="0" w:color="auto"/>
            <w:bottom w:val="none" w:sz="0" w:space="0" w:color="auto"/>
            <w:right w:val="none" w:sz="0" w:space="0" w:color="auto"/>
          </w:divBdr>
        </w:div>
      </w:divsChild>
    </w:div>
    <w:div w:id="1942494095">
      <w:bodyDiv w:val="1"/>
      <w:marLeft w:val="0"/>
      <w:marRight w:val="0"/>
      <w:marTop w:val="0"/>
      <w:marBottom w:val="0"/>
      <w:divBdr>
        <w:top w:val="none" w:sz="0" w:space="0" w:color="auto"/>
        <w:left w:val="none" w:sz="0" w:space="0" w:color="auto"/>
        <w:bottom w:val="none" w:sz="0" w:space="0" w:color="auto"/>
        <w:right w:val="none" w:sz="0" w:space="0" w:color="auto"/>
      </w:divBdr>
      <w:divsChild>
        <w:div w:id="142047253">
          <w:marLeft w:val="0"/>
          <w:marRight w:val="0"/>
          <w:marTop w:val="0"/>
          <w:marBottom w:val="0"/>
          <w:divBdr>
            <w:top w:val="none" w:sz="0" w:space="0" w:color="auto"/>
            <w:left w:val="none" w:sz="0" w:space="0" w:color="auto"/>
            <w:bottom w:val="none" w:sz="0" w:space="0" w:color="auto"/>
            <w:right w:val="none" w:sz="0" w:space="0" w:color="auto"/>
          </w:divBdr>
          <w:divsChild>
            <w:div w:id="998725752">
              <w:marLeft w:val="0"/>
              <w:marRight w:val="0"/>
              <w:marTop w:val="0"/>
              <w:marBottom w:val="0"/>
              <w:divBdr>
                <w:top w:val="none" w:sz="0" w:space="0" w:color="auto"/>
                <w:left w:val="none" w:sz="0" w:space="0" w:color="auto"/>
                <w:bottom w:val="none" w:sz="0" w:space="0" w:color="auto"/>
                <w:right w:val="none" w:sz="0" w:space="0" w:color="auto"/>
              </w:divBdr>
              <w:divsChild>
                <w:div w:id="251593906">
                  <w:marLeft w:val="0"/>
                  <w:marRight w:val="0"/>
                  <w:marTop w:val="0"/>
                  <w:marBottom w:val="0"/>
                  <w:divBdr>
                    <w:top w:val="none" w:sz="0" w:space="0" w:color="auto"/>
                    <w:left w:val="none" w:sz="0" w:space="0" w:color="auto"/>
                    <w:bottom w:val="none" w:sz="0" w:space="0" w:color="auto"/>
                    <w:right w:val="none" w:sz="0" w:space="0" w:color="auto"/>
                  </w:divBdr>
                  <w:divsChild>
                    <w:div w:id="12109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4265552">
      <w:bodyDiv w:val="1"/>
      <w:marLeft w:val="0"/>
      <w:marRight w:val="0"/>
      <w:marTop w:val="0"/>
      <w:marBottom w:val="0"/>
      <w:divBdr>
        <w:top w:val="none" w:sz="0" w:space="0" w:color="auto"/>
        <w:left w:val="none" w:sz="0" w:space="0" w:color="auto"/>
        <w:bottom w:val="none" w:sz="0" w:space="0" w:color="auto"/>
        <w:right w:val="none" w:sz="0" w:space="0" w:color="auto"/>
      </w:divBdr>
      <w:divsChild>
        <w:div w:id="1603147897">
          <w:marLeft w:val="0"/>
          <w:marRight w:val="0"/>
          <w:marTop w:val="0"/>
          <w:marBottom w:val="0"/>
          <w:divBdr>
            <w:top w:val="none" w:sz="0" w:space="0" w:color="auto"/>
            <w:left w:val="none" w:sz="0" w:space="0" w:color="auto"/>
            <w:bottom w:val="none" w:sz="0" w:space="0" w:color="auto"/>
            <w:right w:val="none" w:sz="0" w:space="0" w:color="auto"/>
          </w:divBdr>
          <w:divsChild>
            <w:div w:id="1951468644">
              <w:marLeft w:val="0"/>
              <w:marRight w:val="0"/>
              <w:marTop w:val="0"/>
              <w:marBottom w:val="0"/>
              <w:divBdr>
                <w:top w:val="none" w:sz="0" w:space="0" w:color="auto"/>
                <w:left w:val="none" w:sz="0" w:space="0" w:color="auto"/>
                <w:bottom w:val="none" w:sz="0" w:space="0" w:color="auto"/>
                <w:right w:val="none" w:sz="0" w:space="0" w:color="auto"/>
              </w:divBdr>
              <w:divsChild>
                <w:div w:id="16243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5433">
      <w:bodyDiv w:val="1"/>
      <w:marLeft w:val="0"/>
      <w:marRight w:val="0"/>
      <w:marTop w:val="0"/>
      <w:marBottom w:val="0"/>
      <w:divBdr>
        <w:top w:val="none" w:sz="0" w:space="0" w:color="auto"/>
        <w:left w:val="none" w:sz="0" w:space="0" w:color="auto"/>
        <w:bottom w:val="none" w:sz="0" w:space="0" w:color="auto"/>
        <w:right w:val="none" w:sz="0" w:space="0" w:color="auto"/>
      </w:divBdr>
      <w:divsChild>
        <w:div w:id="233124697">
          <w:marLeft w:val="360"/>
          <w:marRight w:val="0"/>
          <w:marTop w:val="200"/>
          <w:marBottom w:val="0"/>
          <w:divBdr>
            <w:top w:val="none" w:sz="0" w:space="0" w:color="auto"/>
            <w:left w:val="none" w:sz="0" w:space="0" w:color="auto"/>
            <w:bottom w:val="none" w:sz="0" w:space="0" w:color="auto"/>
            <w:right w:val="none" w:sz="0" w:space="0" w:color="auto"/>
          </w:divBdr>
        </w:div>
      </w:divsChild>
    </w:div>
    <w:div w:id="1985353563">
      <w:bodyDiv w:val="1"/>
      <w:marLeft w:val="0"/>
      <w:marRight w:val="0"/>
      <w:marTop w:val="0"/>
      <w:marBottom w:val="0"/>
      <w:divBdr>
        <w:top w:val="none" w:sz="0" w:space="0" w:color="auto"/>
        <w:left w:val="none" w:sz="0" w:space="0" w:color="auto"/>
        <w:bottom w:val="none" w:sz="0" w:space="0" w:color="auto"/>
        <w:right w:val="none" w:sz="0" w:space="0" w:color="auto"/>
      </w:divBdr>
    </w:div>
    <w:div w:id="1994481318">
      <w:bodyDiv w:val="1"/>
      <w:marLeft w:val="0"/>
      <w:marRight w:val="0"/>
      <w:marTop w:val="0"/>
      <w:marBottom w:val="0"/>
      <w:divBdr>
        <w:top w:val="none" w:sz="0" w:space="0" w:color="auto"/>
        <w:left w:val="none" w:sz="0" w:space="0" w:color="auto"/>
        <w:bottom w:val="none" w:sz="0" w:space="0" w:color="auto"/>
        <w:right w:val="none" w:sz="0" w:space="0" w:color="auto"/>
      </w:divBdr>
    </w:div>
    <w:div w:id="2004430063">
      <w:bodyDiv w:val="1"/>
      <w:marLeft w:val="0"/>
      <w:marRight w:val="0"/>
      <w:marTop w:val="0"/>
      <w:marBottom w:val="0"/>
      <w:divBdr>
        <w:top w:val="none" w:sz="0" w:space="0" w:color="auto"/>
        <w:left w:val="none" w:sz="0" w:space="0" w:color="auto"/>
        <w:bottom w:val="none" w:sz="0" w:space="0" w:color="auto"/>
        <w:right w:val="none" w:sz="0" w:space="0" w:color="auto"/>
      </w:divBdr>
      <w:divsChild>
        <w:div w:id="1254317669">
          <w:marLeft w:val="0"/>
          <w:marRight w:val="0"/>
          <w:marTop w:val="0"/>
          <w:marBottom w:val="0"/>
          <w:divBdr>
            <w:top w:val="none" w:sz="0" w:space="0" w:color="auto"/>
            <w:left w:val="none" w:sz="0" w:space="0" w:color="auto"/>
            <w:bottom w:val="none" w:sz="0" w:space="0" w:color="auto"/>
            <w:right w:val="none" w:sz="0" w:space="0" w:color="auto"/>
          </w:divBdr>
          <w:divsChild>
            <w:div w:id="1211189969">
              <w:marLeft w:val="0"/>
              <w:marRight w:val="0"/>
              <w:marTop w:val="0"/>
              <w:marBottom w:val="0"/>
              <w:divBdr>
                <w:top w:val="none" w:sz="0" w:space="0" w:color="auto"/>
                <w:left w:val="none" w:sz="0" w:space="0" w:color="auto"/>
                <w:bottom w:val="none" w:sz="0" w:space="0" w:color="auto"/>
                <w:right w:val="none" w:sz="0" w:space="0" w:color="auto"/>
              </w:divBdr>
              <w:divsChild>
                <w:div w:id="378433546">
                  <w:marLeft w:val="0"/>
                  <w:marRight w:val="0"/>
                  <w:marTop w:val="0"/>
                  <w:marBottom w:val="0"/>
                  <w:divBdr>
                    <w:top w:val="none" w:sz="0" w:space="0" w:color="auto"/>
                    <w:left w:val="none" w:sz="0" w:space="0" w:color="auto"/>
                    <w:bottom w:val="none" w:sz="0" w:space="0" w:color="auto"/>
                    <w:right w:val="none" w:sz="0" w:space="0" w:color="auto"/>
                  </w:divBdr>
                  <w:divsChild>
                    <w:div w:id="2093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69917732">
      <w:bodyDiv w:val="1"/>
      <w:marLeft w:val="0"/>
      <w:marRight w:val="0"/>
      <w:marTop w:val="0"/>
      <w:marBottom w:val="0"/>
      <w:divBdr>
        <w:top w:val="none" w:sz="0" w:space="0" w:color="auto"/>
        <w:left w:val="none" w:sz="0" w:space="0" w:color="auto"/>
        <w:bottom w:val="none" w:sz="0" w:space="0" w:color="auto"/>
        <w:right w:val="none" w:sz="0" w:space="0" w:color="auto"/>
      </w:divBdr>
      <w:divsChild>
        <w:div w:id="1948392470">
          <w:marLeft w:val="0"/>
          <w:marRight w:val="0"/>
          <w:marTop w:val="0"/>
          <w:marBottom w:val="0"/>
          <w:divBdr>
            <w:top w:val="none" w:sz="0" w:space="0" w:color="auto"/>
            <w:left w:val="none" w:sz="0" w:space="0" w:color="auto"/>
            <w:bottom w:val="none" w:sz="0" w:space="0" w:color="auto"/>
            <w:right w:val="none" w:sz="0" w:space="0" w:color="auto"/>
          </w:divBdr>
          <w:divsChild>
            <w:div w:id="1470048989">
              <w:marLeft w:val="0"/>
              <w:marRight w:val="0"/>
              <w:marTop w:val="0"/>
              <w:marBottom w:val="0"/>
              <w:divBdr>
                <w:top w:val="none" w:sz="0" w:space="0" w:color="auto"/>
                <w:left w:val="none" w:sz="0" w:space="0" w:color="auto"/>
                <w:bottom w:val="none" w:sz="0" w:space="0" w:color="auto"/>
                <w:right w:val="none" w:sz="0" w:space="0" w:color="auto"/>
              </w:divBdr>
              <w:divsChild>
                <w:div w:id="1168011364">
                  <w:marLeft w:val="0"/>
                  <w:marRight w:val="0"/>
                  <w:marTop w:val="0"/>
                  <w:marBottom w:val="0"/>
                  <w:divBdr>
                    <w:top w:val="none" w:sz="0" w:space="0" w:color="auto"/>
                    <w:left w:val="none" w:sz="0" w:space="0" w:color="auto"/>
                    <w:bottom w:val="none" w:sz="0" w:space="0" w:color="auto"/>
                    <w:right w:val="none" w:sz="0" w:space="0" w:color="auto"/>
                  </w:divBdr>
                  <w:divsChild>
                    <w:div w:id="1596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581">
      <w:bodyDiv w:val="1"/>
      <w:marLeft w:val="0"/>
      <w:marRight w:val="0"/>
      <w:marTop w:val="0"/>
      <w:marBottom w:val="0"/>
      <w:divBdr>
        <w:top w:val="none" w:sz="0" w:space="0" w:color="auto"/>
        <w:left w:val="none" w:sz="0" w:space="0" w:color="auto"/>
        <w:bottom w:val="none" w:sz="0" w:space="0" w:color="auto"/>
        <w:right w:val="none" w:sz="0" w:space="0" w:color="auto"/>
      </w:divBdr>
      <w:divsChild>
        <w:div w:id="983244145">
          <w:marLeft w:val="0"/>
          <w:marRight w:val="0"/>
          <w:marTop w:val="0"/>
          <w:marBottom w:val="0"/>
          <w:divBdr>
            <w:top w:val="none" w:sz="0" w:space="0" w:color="auto"/>
            <w:left w:val="none" w:sz="0" w:space="0" w:color="auto"/>
            <w:bottom w:val="none" w:sz="0" w:space="0" w:color="auto"/>
            <w:right w:val="none" w:sz="0" w:space="0" w:color="auto"/>
          </w:divBdr>
          <w:divsChild>
            <w:div w:id="1684936804">
              <w:marLeft w:val="0"/>
              <w:marRight w:val="0"/>
              <w:marTop w:val="0"/>
              <w:marBottom w:val="0"/>
              <w:divBdr>
                <w:top w:val="none" w:sz="0" w:space="0" w:color="auto"/>
                <w:left w:val="none" w:sz="0" w:space="0" w:color="auto"/>
                <w:bottom w:val="none" w:sz="0" w:space="0" w:color="auto"/>
                <w:right w:val="none" w:sz="0" w:space="0" w:color="auto"/>
              </w:divBdr>
              <w:divsChild>
                <w:div w:id="10705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4576">
      <w:bodyDiv w:val="1"/>
      <w:marLeft w:val="0"/>
      <w:marRight w:val="0"/>
      <w:marTop w:val="0"/>
      <w:marBottom w:val="0"/>
      <w:divBdr>
        <w:top w:val="none" w:sz="0" w:space="0" w:color="auto"/>
        <w:left w:val="none" w:sz="0" w:space="0" w:color="auto"/>
        <w:bottom w:val="none" w:sz="0" w:space="0" w:color="auto"/>
        <w:right w:val="none" w:sz="0" w:space="0" w:color="auto"/>
      </w:divBdr>
      <w:divsChild>
        <w:div w:id="213784441">
          <w:marLeft w:val="0"/>
          <w:marRight w:val="0"/>
          <w:marTop w:val="0"/>
          <w:marBottom w:val="0"/>
          <w:divBdr>
            <w:top w:val="none" w:sz="0" w:space="0" w:color="auto"/>
            <w:left w:val="none" w:sz="0" w:space="0" w:color="auto"/>
            <w:bottom w:val="none" w:sz="0" w:space="0" w:color="auto"/>
            <w:right w:val="none" w:sz="0" w:space="0" w:color="auto"/>
          </w:divBdr>
          <w:divsChild>
            <w:div w:id="1479879296">
              <w:marLeft w:val="0"/>
              <w:marRight w:val="0"/>
              <w:marTop w:val="0"/>
              <w:marBottom w:val="0"/>
              <w:divBdr>
                <w:top w:val="none" w:sz="0" w:space="0" w:color="auto"/>
                <w:left w:val="none" w:sz="0" w:space="0" w:color="auto"/>
                <w:bottom w:val="none" w:sz="0" w:space="0" w:color="auto"/>
                <w:right w:val="none" w:sz="0" w:space="0" w:color="auto"/>
              </w:divBdr>
              <w:divsChild>
                <w:div w:id="532614614">
                  <w:marLeft w:val="0"/>
                  <w:marRight w:val="0"/>
                  <w:marTop w:val="0"/>
                  <w:marBottom w:val="0"/>
                  <w:divBdr>
                    <w:top w:val="none" w:sz="0" w:space="0" w:color="auto"/>
                    <w:left w:val="none" w:sz="0" w:space="0" w:color="auto"/>
                    <w:bottom w:val="none" w:sz="0" w:space="0" w:color="auto"/>
                    <w:right w:val="none" w:sz="0" w:space="0" w:color="auto"/>
                  </w:divBdr>
                  <w:divsChild>
                    <w:div w:id="15744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98902">
      <w:bodyDiv w:val="1"/>
      <w:marLeft w:val="0"/>
      <w:marRight w:val="0"/>
      <w:marTop w:val="0"/>
      <w:marBottom w:val="0"/>
      <w:divBdr>
        <w:top w:val="none" w:sz="0" w:space="0" w:color="auto"/>
        <w:left w:val="none" w:sz="0" w:space="0" w:color="auto"/>
        <w:bottom w:val="none" w:sz="0" w:space="0" w:color="auto"/>
        <w:right w:val="none" w:sz="0" w:space="0" w:color="auto"/>
      </w:divBdr>
    </w:div>
    <w:div w:id="2100710641">
      <w:bodyDiv w:val="1"/>
      <w:marLeft w:val="0"/>
      <w:marRight w:val="0"/>
      <w:marTop w:val="0"/>
      <w:marBottom w:val="0"/>
      <w:divBdr>
        <w:top w:val="none" w:sz="0" w:space="0" w:color="auto"/>
        <w:left w:val="none" w:sz="0" w:space="0" w:color="auto"/>
        <w:bottom w:val="none" w:sz="0" w:space="0" w:color="auto"/>
        <w:right w:val="none" w:sz="0" w:space="0" w:color="auto"/>
      </w:divBdr>
      <w:divsChild>
        <w:div w:id="616714599">
          <w:marLeft w:val="0"/>
          <w:marRight w:val="0"/>
          <w:marTop w:val="0"/>
          <w:marBottom w:val="0"/>
          <w:divBdr>
            <w:top w:val="none" w:sz="0" w:space="0" w:color="auto"/>
            <w:left w:val="none" w:sz="0" w:space="0" w:color="auto"/>
            <w:bottom w:val="none" w:sz="0" w:space="0" w:color="auto"/>
            <w:right w:val="none" w:sz="0" w:space="0" w:color="auto"/>
          </w:divBdr>
          <w:divsChild>
            <w:div w:id="821123753">
              <w:marLeft w:val="0"/>
              <w:marRight w:val="0"/>
              <w:marTop w:val="0"/>
              <w:marBottom w:val="0"/>
              <w:divBdr>
                <w:top w:val="none" w:sz="0" w:space="0" w:color="auto"/>
                <w:left w:val="none" w:sz="0" w:space="0" w:color="auto"/>
                <w:bottom w:val="none" w:sz="0" w:space="0" w:color="auto"/>
                <w:right w:val="none" w:sz="0" w:space="0" w:color="auto"/>
              </w:divBdr>
              <w:divsChild>
                <w:div w:id="118232223">
                  <w:marLeft w:val="0"/>
                  <w:marRight w:val="0"/>
                  <w:marTop w:val="0"/>
                  <w:marBottom w:val="0"/>
                  <w:divBdr>
                    <w:top w:val="none" w:sz="0" w:space="0" w:color="auto"/>
                    <w:left w:val="none" w:sz="0" w:space="0" w:color="auto"/>
                    <w:bottom w:val="none" w:sz="0" w:space="0" w:color="auto"/>
                    <w:right w:val="none" w:sz="0" w:space="0" w:color="auto"/>
                  </w:divBdr>
                  <w:divsChild>
                    <w:div w:id="12465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0523">
      <w:bodyDiv w:val="1"/>
      <w:marLeft w:val="0"/>
      <w:marRight w:val="0"/>
      <w:marTop w:val="0"/>
      <w:marBottom w:val="0"/>
      <w:divBdr>
        <w:top w:val="none" w:sz="0" w:space="0" w:color="auto"/>
        <w:left w:val="none" w:sz="0" w:space="0" w:color="auto"/>
        <w:bottom w:val="none" w:sz="0" w:space="0" w:color="auto"/>
        <w:right w:val="none" w:sz="0" w:space="0" w:color="auto"/>
      </w:divBdr>
      <w:divsChild>
        <w:div w:id="768113289">
          <w:marLeft w:val="547"/>
          <w:marRight w:val="202"/>
          <w:marTop w:val="0"/>
          <w:marBottom w:val="120"/>
          <w:divBdr>
            <w:top w:val="none" w:sz="0" w:space="0" w:color="auto"/>
            <w:left w:val="none" w:sz="0" w:space="0" w:color="auto"/>
            <w:bottom w:val="none" w:sz="0" w:space="0" w:color="auto"/>
            <w:right w:val="none" w:sz="0" w:space="0" w:color="auto"/>
          </w:divBdr>
        </w:div>
      </w:divsChild>
    </w:div>
    <w:div w:id="21303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fo/industry/listing/elements/pbac-meetings/pbac-outcomes/recommendations-made-by-the-pbac-december-2022-intracycle" TargetMode="External"/><Relationship Id="rId2" Type="http://schemas.openxmlformats.org/officeDocument/2006/relationships/hyperlink" Target="https://www.health.gov.au/resources/apps-and-tools/national-notifiable-diseases-surveillance-system-nndss-data-visualisation-tool" TargetMode="External"/><Relationship Id="rId1" Type="http://schemas.openxmlformats.org/officeDocument/2006/relationships/hyperlink" Target="https://aus01.safelinks.protection.outlook.com/?url=https%3A%2F%2Fapps.tga.gov.au%2Fshortages%2FSearch%2FTradename%2F130229&amp;data=05%7C01%7CKathleen.O%27Brien%40anu.edu.au%7C0d14ca2155b740f881a708db02590983%7Ce37d725cab5c46249ae5f0533e486437%7C0%7C0%7C638106353672583348%7CUnknown%7CTWFpbGZsb3d8eyJWIjoiMC4wLjAwMDAiLCJQIjoiV2luMzIiLCJBTiI6Ik1haWwiLCJXVCI6Mn0%3D%7C3000%7C%7C%7C&amp;sdata=QqtJkEsPV%2BC9LRWdu6XAMN3wZjUZJ%2BU9pnC6b16mh%2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18350</Words>
  <Characters>98151</Characters>
  <Application>Microsoft Office Word</Application>
  <DocSecurity>0</DocSecurity>
  <Lines>817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116269</CharactersWithSpaces>
  <SharedDoc>false</SharedDoc>
  <HLinks>
    <vt:vector size="18" baseType="variant">
      <vt:variant>
        <vt:i4>3801150</vt:i4>
      </vt:variant>
      <vt:variant>
        <vt:i4>6</vt:i4>
      </vt:variant>
      <vt:variant>
        <vt:i4>0</vt:i4>
      </vt:variant>
      <vt:variant>
        <vt:i4>5</vt:i4>
      </vt:variant>
      <vt:variant>
        <vt:lpwstr>https://www.pbs.gov.au/info/industry/listing/elements/pbac-meetings/pbac-outcomes/recommendations-made-by-the-pbac-december-2022-intracycle</vt:lpwstr>
      </vt:variant>
      <vt:variant>
        <vt:lpwstr/>
      </vt:variant>
      <vt:variant>
        <vt:i4>4194323</vt:i4>
      </vt:variant>
      <vt:variant>
        <vt:i4>3</vt:i4>
      </vt:variant>
      <vt:variant>
        <vt:i4>0</vt:i4>
      </vt:variant>
      <vt:variant>
        <vt:i4>5</vt:i4>
      </vt:variant>
      <vt:variant>
        <vt:lpwstr>https://www.health.gov.au/resources/apps-and-tools/national-notifiable-diseases-surveillance-system-nndss-data-visualisation-tool</vt:lpwstr>
      </vt:variant>
      <vt:variant>
        <vt:lpwstr/>
      </vt:variant>
      <vt:variant>
        <vt:i4>3145832</vt:i4>
      </vt:variant>
      <vt:variant>
        <vt:i4>0</vt:i4>
      </vt:variant>
      <vt:variant>
        <vt:i4>0</vt:i4>
      </vt:variant>
      <vt:variant>
        <vt:i4>5</vt:i4>
      </vt:variant>
      <vt:variant>
        <vt:lpwstr>https://aus01.safelinks.protection.outlook.com/?url=https%3A%2F%2Fapps.tga.gov.au%2Fshortages%2FSearch%2FTradename%2F130229&amp;data=05%7C01%7CKathleen.O%27Brien%40anu.edu.au%7C0d14ca2155b740f881a708db02590983%7Ce37d725cab5c46249ae5f0533e486437%7C0%7C0%7C638106353672583348%7CUnknown%7CTWFpbGZsb3d8eyJWIjoiMC4wLjAwMDAiLCJQIjoiV2luMzIiLCJBTiI6Ik1haWwiLCJXVCI6Mn0%3D%7C3000%7C%7C%7C&amp;sdata=QqtJkEsPV%2BC9LRWdu6XAMN3wZjUZJ%2BU9pnC6b16mh%2B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2023-06-27T01:13:00Z</dcterms:created>
  <dcterms:modified xsi:type="dcterms:W3CDTF">2023-06-27T01:22:00Z</dcterms:modified>
</cp:coreProperties>
</file>