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2BABA" w14:textId="77777777" w:rsidR="005A777F" w:rsidRDefault="005A777F" w:rsidP="005A777F">
      <w:pPr>
        <w:pStyle w:val="1MainTitle"/>
        <w:jc w:val="left"/>
      </w:pPr>
      <w:r>
        <w:t>6.22</w:t>
      </w:r>
      <w:r>
        <w:tab/>
        <w:t xml:space="preserve">URSODEOXYCHOLIC ACID </w:t>
      </w:r>
      <w:r>
        <w:br/>
        <w:t xml:space="preserve">Capsule 250 mg </w:t>
      </w:r>
    </w:p>
    <w:p w14:paraId="7E522318" w14:textId="77777777" w:rsidR="005A777F" w:rsidRDefault="005A777F" w:rsidP="00D86D37">
      <w:pPr>
        <w:pStyle w:val="1MainTitle"/>
        <w:ind w:firstLine="0"/>
        <w:jc w:val="left"/>
        <w:outlineLvl w:val="9"/>
      </w:pPr>
      <w:r>
        <w:t xml:space="preserve">Tablet 500 mg </w:t>
      </w:r>
    </w:p>
    <w:p w14:paraId="30195265" w14:textId="77777777" w:rsidR="005A777F" w:rsidRDefault="005A777F" w:rsidP="00D86D37">
      <w:pPr>
        <w:pStyle w:val="1MainTitle"/>
        <w:ind w:firstLine="0"/>
        <w:jc w:val="left"/>
        <w:outlineLvl w:val="9"/>
      </w:pPr>
      <w:r>
        <w:t>Ursofalk®</w:t>
      </w:r>
    </w:p>
    <w:p w14:paraId="567ABE23" w14:textId="77777777" w:rsidR="005A777F" w:rsidRPr="007A5C88" w:rsidRDefault="005A777F" w:rsidP="00D86D37">
      <w:pPr>
        <w:pStyle w:val="1MainTitle"/>
        <w:ind w:firstLine="0"/>
        <w:jc w:val="left"/>
        <w:outlineLvl w:val="9"/>
      </w:pPr>
      <w:r>
        <w:t>Dr Falk Pharma Australia Pty Ltd</w:t>
      </w:r>
    </w:p>
    <w:p w14:paraId="26F3595C" w14:textId="77777777" w:rsidR="005A777F" w:rsidRPr="00E11F44" w:rsidRDefault="005A777F" w:rsidP="000F62FC">
      <w:pPr>
        <w:pStyle w:val="2-SectionHeading"/>
        <w:jc w:val="both"/>
        <w:rPr>
          <w:rFonts w:cstheme="minorHAnsi"/>
          <w:color w:val="FF0000"/>
        </w:rPr>
      </w:pPr>
      <w:r w:rsidRPr="0033263D">
        <w:t xml:space="preserve">Purpose of </w:t>
      </w:r>
      <w:r>
        <w:t xml:space="preserve">Submission </w:t>
      </w:r>
    </w:p>
    <w:p w14:paraId="60B7ED78" w14:textId="6871B149" w:rsidR="005A777F" w:rsidRPr="001E7E99" w:rsidRDefault="005A777F" w:rsidP="000F62FC">
      <w:pPr>
        <w:pStyle w:val="3Bodytext"/>
        <w:jc w:val="both"/>
      </w:pPr>
      <w:r w:rsidRPr="001E7E99">
        <w:t xml:space="preserve">The Category 4 submission requested to change the maximum number of repeats for the PBS listings of ursodeoxycholic acid (Ursofalk®) 250 mg capsule and 500 mg tablet forms </w:t>
      </w:r>
      <w:r w:rsidR="007953FA">
        <w:t xml:space="preserve">from </w:t>
      </w:r>
      <w:r w:rsidR="004E0C4B">
        <w:t xml:space="preserve">2 </w:t>
      </w:r>
      <w:r w:rsidR="007953FA">
        <w:t xml:space="preserve">repeats to </w:t>
      </w:r>
      <w:r w:rsidR="004E0C4B">
        <w:t>4</w:t>
      </w:r>
      <w:r w:rsidR="007953FA">
        <w:t xml:space="preserve"> repeats.</w:t>
      </w:r>
      <w:r w:rsidRPr="001E7E99">
        <w:t xml:space="preserve"> </w:t>
      </w:r>
    </w:p>
    <w:p w14:paraId="0B1E06A3" w14:textId="77777777" w:rsidR="005A777F" w:rsidRPr="00FD6D8E" w:rsidRDefault="005A777F" w:rsidP="000F62FC">
      <w:pPr>
        <w:pStyle w:val="2-SectionHeading"/>
        <w:jc w:val="both"/>
      </w:pPr>
      <w:r w:rsidRPr="009E2E8E">
        <w:t>Background</w:t>
      </w:r>
      <w:r>
        <w:t xml:space="preserve"> </w:t>
      </w:r>
    </w:p>
    <w:p w14:paraId="3AF0A9F3" w14:textId="21DCC6E5" w:rsidR="007953FA" w:rsidRPr="00344309" w:rsidRDefault="007953FA" w:rsidP="000F62FC">
      <w:pPr>
        <w:pStyle w:val="3Bodytext"/>
        <w:jc w:val="both"/>
        <w:rPr>
          <w:rFonts w:eastAsiaTheme="minorEastAsia"/>
        </w:rPr>
      </w:pPr>
      <w:bookmarkStart w:id="0" w:name="_Hlk124528586"/>
      <w:r w:rsidRPr="00344309">
        <w:t xml:space="preserve">The submission requested an increase to the </w:t>
      </w:r>
      <w:r>
        <w:t xml:space="preserve">maximum </w:t>
      </w:r>
      <w:r w:rsidRPr="00344309">
        <w:t xml:space="preserve">number of repeats from </w:t>
      </w:r>
      <w:r w:rsidR="004E0C4B">
        <w:t>2</w:t>
      </w:r>
      <w:r w:rsidR="004E0C4B" w:rsidRPr="00344309">
        <w:t xml:space="preserve"> </w:t>
      </w:r>
      <w:r w:rsidRPr="00344309">
        <w:t xml:space="preserve">to </w:t>
      </w:r>
      <w:r w:rsidR="004E0C4B">
        <w:t>4</w:t>
      </w:r>
      <w:r>
        <w:t xml:space="preserve">, </w:t>
      </w:r>
      <w:r w:rsidRPr="00344309">
        <w:t xml:space="preserve">which it claimed would </w:t>
      </w:r>
      <w:r>
        <w:t>provide for at least 6-months</w:t>
      </w:r>
      <w:r w:rsidR="004E0C4B">
        <w:t>’</w:t>
      </w:r>
      <w:r>
        <w:t xml:space="preserve"> supply for most patients </w:t>
      </w:r>
      <w:r w:rsidRPr="007953FA">
        <w:t>based on standard dosing and the average male and female body weights of Australian patients.</w:t>
      </w:r>
      <w:r>
        <w:t xml:space="preserve"> The submission claimed this would </w:t>
      </w:r>
      <w:r w:rsidRPr="00344309">
        <w:t xml:space="preserve">reduce the administrative burden on prescribers and the frequency of obtaining a prescription for patients. </w:t>
      </w:r>
    </w:p>
    <w:p w14:paraId="19F1603A" w14:textId="77777777" w:rsidR="005A777F" w:rsidRPr="002B3698" w:rsidRDefault="005A777F" w:rsidP="000F62FC">
      <w:pPr>
        <w:pStyle w:val="3Bodytext"/>
        <w:jc w:val="both"/>
        <w:rPr>
          <w:i/>
          <w:iCs/>
          <w:color w:val="000000" w:themeColor="text1"/>
        </w:rPr>
      </w:pPr>
      <w:r>
        <w:rPr>
          <w:color w:val="000000" w:themeColor="text1"/>
        </w:rPr>
        <w:t>U</w:t>
      </w:r>
      <w:r w:rsidRPr="006E5166">
        <w:rPr>
          <w:rFonts w:cstheme="minorHAnsi"/>
          <w:color w:val="000000" w:themeColor="text1"/>
        </w:rPr>
        <w:t xml:space="preserve">rsodeoxycholic </w:t>
      </w:r>
      <w:r>
        <w:rPr>
          <w:rFonts w:cstheme="minorHAnsi"/>
          <w:color w:val="000000" w:themeColor="text1"/>
        </w:rPr>
        <w:t>a</w:t>
      </w:r>
      <w:r w:rsidRPr="006E5166">
        <w:rPr>
          <w:rFonts w:cstheme="minorHAnsi"/>
          <w:color w:val="000000" w:themeColor="text1"/>
        </w:rPr>
        <w:t>cid</w:t>
      </w:r>
      <w:r>
        <w:rPr>
          <w:rFonts w:cstheme="minorHAnsi"/>
          <w:color w:val="000000" w:themeColor="text1"/>
        </w:rPr>
        <w:t xml:space="preserve"> </w:t>
      </w:r>
      <w:r w:rsidRPr="00860AB7">
        <w:rPr>
          <w:color w:val="000000" w:themeColor="text1"/>
        </w:rPr>
        <w:t>is available on the PBS</w:t>
      </w:r>
      <w:r>
        <w:rPr>
          <w:color w:val="000000" w:themeColor="text1"/>
        </w:rPr>
        <w:t xml:space="preserve"> </w:t>
      </w:r>
      <w:r w:rsidRPr="002B3698">
        <w:rPr>
          <w:color w:val="000000" w:themeColor="text1"/>
        </w:rPr>
        <w:t>for the treatment of primary biliary cholangitis (PBC</w:t>
      </w:r>
      <w:r>
        <w:rPr>
          <w:color w:val="000000" w:themeColor="text1"/>
        </w:rPr>
        <w:t>), which was</w:t>
      </w:r>
      <w:r w:rsidRPr="002B3698">
        <w:rPr>
          <w:color w:val="000000" w:themeColor="text1"/>
        </w:rPr>
        <w:t xml:space="preserve"> previously referred to as primary biliary </w:t>
      </w:r>
      <w:r w:rsidRPr="002B3698">
        <w:rPr>
          <w:rFonts w:cstheme="minorHAnsi"/>
          <w:color w:val="000000" w:themeColor="text1"/>
        </w:rPr>
        <w:t>cirrhosis</w:t>
      </w:r>
      <w:r>
        <w:rPr>
          <w:rFonts w:cstheme="minorHAnsi"/>
          <w:color w:val="000000" w:themeColor="text1"/>
        </w:rPr>
        <w:t>,</w:t>
      </w:r>
      <w:r>
        <w:rPr>
          <w:color w:val="000000" w:themeColor="text1"/>
        </w:rPr>
        <w:t xml:space="preserve"> as Authority Required STREAMLINED listings in the following forms and strengths:</w:t>
      </w:r>
      <w:r w:rsidRPr="00860AB7">
        <w:rPr>
          <w:color w:val="000000" w:themeColor="text1"/>
        </w:rPr>
        <w:t xml:space="preserve"> </w:t>
      </w:r>
    </w:p>
    <w:p w14:paraId="5C054FB5" w14:textId="2DC6FF42" w:rsidR="005A777F" w:rsidRPr="002B3698" w:rsidRDefault="005A777F" w:rsidP="000F62FC">
      <w:pPr>
        <w:pStyle w:val="3Bodytext"/>
        <w:numPr>
          <w:ilvl w:val="0"/>
          <w:numId w:val="31"/>
        </w:numPr>
        <w:jc w:val="both"/>
        <w:rPr>
          <w:i/>
          <w:iCs/>
          <w:color w:val="000000" w:themeColor="text1"/>
        </w:rPr>
      </w:pPr>
      <w:r w:rsidRPr="00860AB7">
        <w:rPr>
          <w:color w:val="000000" w:themeColor="text1"/>
        </w:rPr>
        <w:t xml:space="preserve">250 mg </w:t>
      </w:r>
      <w:r>
        <w:rPr>
          <w:color w:val="000000" w:themeColor="text1"/>
        </w:rPr>
        <w:t xml:space="preserve">capsule (100 pack) with a </w:t>
      </w:r>
      <w:r w:rsidRPr="00860AB7">
        <w:rPr>
          <w:color w:val="000000" w:themeColor="text1"/>
        </w:rPr>
        <w:t xml:space="preserve">maximum quantity of 200 capsules </w:t>
      </w:r>
      <w:r>
        <w:rPr>
          <w:color w:val="000000" w:themeColor="text1"/>
        </w:rPr>
        <w:t xml:space="preserve">and maximum of </w:t>
      </w:r>
      <w:r w:rsidR="004E0C4B">
        <w:rPr>
          <w:color w:val="000000" w:themeColor="text1"/>
        </w:rPr>
        <w:t xml:space="preserve">2 </w:t>
      </w:r>
      <w:r>
        <w:rPr>
          <w:color w:val="000000" w:themeColor="text1"/>
        </w:rPr>
        <w:t>repeats (multiple brands including Ursofalk)</w:t>
      </w:r>
    </w:p>
    <w:p w14:paraId="391E994E" w14:textId="463B4611" w:rsidR="00F84CD3" w:rsidRDefault="005A777F" w:rsidP="000F62FC">
      <w:pPr>
        <w:pStyle w:val="3Bodytext"/>
        <w:numPr>
          <w:ilvl w:val="0"/>
          <w:numId w:val="31"/>
        </w:numPr>
        <w:jc w:val="both"/>
        <w:rPr>
          <w:color w:val="000000" w:themeColor="text1"/>
        </w:rPr>
      </w:pPr>
      <w:r w:rsidRPr="00860AB7">
        <w:rPr>
          <w:color w:val="000000" w:themeColor="text1"/>
        </w:rPr>
        <w:t xml:space="preserve">500 mg </w:t>
      </w:r>
      <w:r>
        <w:rPr>
          <w:color w:val="000000" w:themeColor="text1"/>
        </w:rPr>
        <w:t xml:space="preserve">tablet (100 pack) with a </w:t>
      </w:r>
      <w:r w:rsidRPr="00860AB7">
        <w:rPr>
          <w:color w:val="000000" w:themeColor="text1"/>
        </w:rPr>
        <w:t>maximum quantity of 100 tablets</w:t>
      </w:r>
      <w:r>
        <w:rPr>
          <w:color w:val="000000" w:themeColor="text1"/>
        </w:rPr>
        <w:t xml:space="preserve"> and maximum of </w:t>
      </w:r>
      <w:r w:rsidR="004E0C4B">
        <w:rPr>
          <w:color w:val="000000" w:themeColor="text1"/>
        </w:rPr>
        <w:t>2</w:t>
      </w:r>
      <w:r>
        <w:rPr>
          <w:color w:val="000000" w:themeColor="text1"/>
        </w:rPr>
        <w:t xml:space="preserve"> repeats (</w:t>
      </w:r>
      <w:r w:rsidR="00F84CD3">
        <w:rPr>
          <w:color w:val="000000" w:themeColor="text1"/>
        </w:rPr>
        <w:t>one brand only,</w:t>
      </w:r>
      <w:r>
        <w:rPr>
          <w:color w:val="000000" w:themeColor="text1"/>
        </w:rPr>
        <w:t xml:space="preserve"> Ursofalk).</w:t>
      </w:r>
      <w:r w:rsidRPr="00860AB7">
        <w:rPr>
          <w:color w:val="000000" w:themeColor="text1"/>
        </w:rPr>
        <w:t xml:space="preserve"> </w:t>
      </w:r>
    </w:p>
    <w:bookmarkEnd w:id="0"/>
    <w:p w14:paraId="09025C82" w14:textId="5EB4C4D0" w:rsidR="005A777F" w:rsidRDefault="005A777F" w:rsidP="000F62FC">
      <w:pPr>
        <w:pStyle w:val="3Bodytext"/>
        <w:jc w:val="both"/>
        <w:rPr>
          <w:color w:val="000000" w:themeColor="text1"/>
        </w:rPr>
      </w:pPr>
      <w:r>
        <w:rPr>
          <w:color w:val="000000" w:themeColor="text1"/>
        </w:rPr>
        <w:t xml:space="preserve">The submission noted </w:t>
      </w:r>
      <w:r w:rsidRPr="005164C6">
        <w:rPr>
          <w:color w:val="000000" w:themeColor="text1"/>
        </w:rPr>
        <w:t>PBC</w:t>
      </w:r>
      <w:r>
        <w:rPr>
          <w:color w:val="000000" w:themeColor="text1"/>
        </w:rPr>
        <w:t xml:space="preserve"> </w:t>
      </w:r>
      <w:r w:rsidRPr="005164C6">
        <w:rPr>
          <w:color w:val="000000" w:themeColor="text1"/>
        </w:rPr>
        <w:t>is an autoimmune disease of the liver marked by the gradual destruction and eventual loss of the epithelial cells lining the small intrahepatic bile ducts</w:t>
      </w:r>
      <w:r w:rsidR="00F84CD3">
        <w:rPr>
          <w:color w:val="000000" w:themeColor="text1"/>
        </w:rPr>
        <w:t xml:space="preserve"> requiring chronic, long-term treatment.</w:t>
      </w:r>
      <w:r w:rsidRPr="005164C6">
        <w:rPr>
          <w:color w:val="000000" w:themeColor="text1"/>
        </w:rPr>
        <w:t xml:space="preserve"> </w:t>
      </w:r>
    </w:p>
    <w:p w14:paraId="3AA3A08C" w14:textId="59AB3301" w:rsidR="005A777F" w:rsidRPr="001F2311" w:rsidRDefault="005A777F" w:rsidP="000F62FC">
      <w:pPr>
        <w:pStyle w:val="3Bodytext"/>
        <w:jc w:val="both"/>
        <w:rPr>
          <w:color w:val="FF0000"/>
        </w:rPr>
      </w:pPr>
      <w:r>
        <w:rPr>
          <w:color w:val="000000" w:themeColor="text1"/>
        </w:rPr>
        <w:t>The submission claimed u</w:t>
      </w:r>
      <w:r w:rsidRPr="005164C6">
        <w:rPr>
          <w:color w:val="000000" w:themeColor="text1"/>
        </w:rPr>
        <w:t>rso</w:t>
      </w:r>
      <w:r>
        <w:rPr>
          <w:color w:val="000000" w:themeColor="text1"/>
        </w:rPr>
        <w:t xml:space="preserve">deoxycholic acid </w:t>
      </w:r>
      <w:r w:rsidRPr="005164C6">
        <w:rPr>
          <w:color w:val="000000" w:themeColor="text1"/>
        </w:rPr>
        <w:t>is the first-line treatment of choice for patients with PBC</w:t>
      </w:r>
      <w:r>
        <w:rPr>
          <w:color w:val="000000" w:themeColor="text1"/>
        </w:rPr>
        <w:t>.</w:t>
      </w:r>
    </w:p>
    <w:p w14:paraId="3252F2FA" w14:textId="77777777" w:rsidR="005A777F" w:rsidRDefault="005A777F" w:rsidP="000F62FC">
      <w:pPr>
        <w:pStyle w:val="4-SubsectionHeading"/>
      </w:pPr>
      <w:r>
        <w:t>Registration</w:t>
      </w:r>
      <w:r w:rsidRPr="009324A6">
        <w:t xml:space="preserve"> status</w:t>
      </w:r>
    </w:p>
    <w:p w14:paraId="33402BAD" w14:textId="17D08F4C" w:rsidR="005A777F" w:rsidRPr="00860AB7" w:rsidRDefault="005A777F" w:rsidP="000F62FC">
      <w:pPr>
        <w:pStyle w:val="3Bodytext"/>
        <w:jc w:val="both"/>
        <w:rPr>
          <w:color w:val="000000" w:themeColor="text1"/>
        </w:rPr>
      </w:pPr>
      <w:r w:rsidRPr="00860AB7">
        <w:rPr>
          <w:color w:val="000000" w:themeColor="text1"/>
        </w:rPr>
        <w:t>Ursofalk 250</w:t>
      </w:r>
      <w:r w:rsidR="004E0C4B">
        <w:rPr>
          <w:color w:val="000000" w:themeColor="text1"/>
        </w:rPr>
        <w:t> </w:t>
      </w:r>
      <w:r w:rsidRPr="00860AB7">
        <w:rPr>
          <w:color w:val="000000" w:themeColor="text1"/>
        </w:rPr>
        <w:t xml:space="preserve">mg capsule blister pack was registered </w:t>
      </w:r>
      <w:r>
        <w:rPr>
          <w:color w:val="000000" w:themeColor="text1"/>
        </w:rPr>
        <w:t>i</w:t>
      </w:r>
      <w:r w:rsidRPr="00860AB7">
        <w:rPr>
          <w:color w:val="000000" w:themeColor="text1"/>
        </w:rPr>
        <w:t xml:space="preserve">n the Australian Register of Therapeutic Goods (ARTG) </w:t>
      </w:r>
      <w:r w:rsidR="00F84CD3">
        <w:rPr>
          <w:color w:val="000000" w:themeColor="text1"/>
        </w:rPr>
        <w:t xml:space="preserve">by the Therapeutic Goods Administration (TGA) </w:t>
      </w:r>
      <w:r w:rsidRPr="00860AB7">
        <w:rPr>
          <w:color w:val="000000" w:themeColor="text1"/>
        </w:rPr>
        <w:t>on 24</w:t>
      </w:r>
      <w:r w:rsidR="004E0C4B">
        <w:rPr>
          <w:color w:val="000000" w:themeColor="text1"/>
        </w:rPr>
        <w:t> </w:t>
      </w:r>
      <w:r w:rsidRPr="00860AB7">
        <w:rPr>
          <w:color w:val="000000" w:themeColor="text1"/>
        </w:rPr>
        <w:t>May 1999</w:t>
      </w:r>
      <w:r w:rsidR="00C9106E">
        <w:rPr>
          <w:color w:val="000000" w:themeColor="text1"/>
        </w:rPr>
        <w:t xml:space="preserve"> for the </w:t>
      </w:r>
      <w:r w:rsidR="00C9106E" w:rsidRPr="00C9106E">
        <w:rPr>
          <w:color w:val="000000" w:themeColor="text1"/>
        </w:rPr>
        <w:t>treatment of chronic cholestatic liver diseases</w:t>
      </w:r>
      <w:r>
        <w:rPr>
          <w:color w:val="000000" w:themeColor="text1"/>
        </w:rPr>
        <w:t>.</w:t>
      </w:r>
    </w:p>
    <w:p w14:paraId="3FD850EF" w14:textId="1CDFA2AF" w:rsidR="005A777F" w:rsidRPr="00C9106E" w:rsidRDefault="005A777F" w:rsidP="000F62FC">
      <w:pPr>
        <w:pStyle w:val="3Bodytext"/>
        <w:jc w:val="both"/>
        <w:rPr>
          <w:color w:val="000000" w:themeColor="text1"/>
        </w:rPr>
      </w:pPr>
      <w:r w:rsidRPr="00C9106E">
        <w:rPr>
          <w:color w:val="000000" w:themeColor="text1"/>
        </w:rPr>
        <w:t xml:space="preserve">Ursofalk 500 mg tablet blister pack was registered </w:t>
      </w:r>
      <w:r w:rsidR="00C9106E">
        <w:rPr>
          <w:color w:val="000000" w:themeColor="text1"/>
        </w:rPr>
        <w:t>i</w:t>
      </w:r>
      <w:r w:rsidRPr="00C9106E">
        <w:rPr>
          <w:color w:val="000000" w:themeColor="text1"/>
        </w:rPr>
        <w:t xml:space="preserve">n the ARTG on 6 October 2016 for the </w:t>
      </w:r>
      <w:r w:rsidR="00C9106E" w:rsidRPr="00C9106E">
        <w:rPr>
          <w:color w:val="000000" w:themeColor="text1"/>
        </w:rPr>
        <w:t>treatment of chronic cholestatic liver diseases</w:t>
      </w:r>
      <w:r w:rsidRPr="00C9106E">
        <w:rPr>
          <w:color w:val="000000" w:themeColor="text1"/>
        </w:rPr>
        <w:t xml:space="preserve">. </w:t>
      </w:r>
    </w:p>
    <w:p w14:paraId="68A5A66E" w14:textId="77777777" w:rsidR="005A777F" w:rsidRDefault="005A777F" w:rsidP="000F62FC">
      <w:pPr>
        <w:pStyle w:val="4-SubsectionHeading"/>
      </w:pPr>
      <w:r w:rsidRPr="0012749D">
        <w:lastRenderedPageBreak/>
        <w:t xml:space="preserve">Previous PBAC consideration </w:t>
      </w:r>
    </w:p>
    <w:p w14:paraId="35EEC059" w14:textId="2B32BE53" w:rsidR="005A777F" w:rsidRDefault="005A777F" w:rsidP="000F62FC">
      <w:pPr>
        <w:pStyle w:val="3Bodytext"/>
        <w:jc w:val="both"/>
      </w:pPr>
      <w:bookmarkStart w:id="1" w:name="_Hlk122592868"/>
      <w:r>
        <w:t>The PBAC recommended t</w:t>
      </w:r>
      <w:r w:rsidRPr="005B25CC">
        <w:t xml:space="preserve">he 250 mg strength capsules </w:t>
      </w:r>
      <w:r>
        <w:t xml:space="preserve">for PBS listing </w:t>
      </w:r>
      <w:r w:rsidRPr="005B25CC">
        <w:t xml:space="preserve">at </w:t>
      </w:r>
      <w:r>
        <w:t>its</w:t>
      </w:r>
      <w:r w:rsidRPr="005B25CC">
        <w:t xml:space="preserve"> June</w:t>
      </w:r>
      <w:r w:rsidR="004E0C4B">
        <w:t> </w:t>
      </w:r>
      <w:r w:rsidRPr="005B25CC">
        <w:t xml:space="preserve">2000 meeting </w:t>
      </w:r>
      <w:r>
        <w:t>(</w:t>
      </w:r>
      <w:r w:rsidR="00D10C20">
        <w:t>p</w:t>
      </w:r>
      <w:r>
        <w:t xml:space="preserve">aragraph 6.1, </w:t>
      </w:r>
      <w:r w:rsidRPr="005B25CC">
        <w:t>Ursofalk</w:t>
      </w:r>
      <w:r>
        <w:t>,</w:t>
      </w:r>
      <w:r w:rsidRPr="005B25CC">
        <w:t xml:space="preserve"> P</w:t>
      </w:r>
      <w:r w:rsidR="00D86D37">
        <w:t>ublic Summary Document (P</w:t>
      </w:r>
      <w:r w:rsidRPr="005B25CC">
        <w:t>SD</w:t>
      </w:r>
      <w:r w:rsidR="00D86D37">
        <w:t>)</w:t>
      </w:r>
      <w:r w:rsidRPr="005B25CC">
        <w:t>, March 2017</w:t>
      </w:r>
      <w:r>
        <w:t xml:space="preserve"> PBAC meeting</w:t>
      </w:r>
      <w:r w:rsidRPr="005B25CC">
        <w:t>).</w:t>
      </w:r>
    </w:p>
    <w:p w14:paraId="32E01A2D" w14:textId="5516AECF" w:rsidR="005A777F" w:rsidRDefault="005A777F" w:rsidP="000F62FC">
      <w:pPr>
        <w:pStyle w:val="3Bodytext"/>
        <w:jc w:val="both"/>
      </w:pPr>
      <w:r>
        <w:t>In March 2017 the PBAC recommended the Authority Required (STREAMLINED) listing of ursodeoxycholic acid 500 mg tablets for the treatment of primary biliary cirrhosis (</w:t>
      </w:r>
      <w:r w:rsidR="00D10C20">
        <w:t>p</w:t>
      </w:r>
      <w:r>
        <w:t>aragraph 6.1, Ursofalk, PSD, March 2017</w:t>
      </w:r>
      <w:r w:rsidR="00D86D37">
        <w:t xml:space="preserve"> </w:t>
      </w:r>
      <w:r>
        <w:t>PBAC Meeting).</w:t>
      </w:r>
    </w:p>
    <w:p w14:paraId="51523385" w14:textId="252450C9" w:rsidR="00DC2305" w:rsidRDefault="00DC2305" w:rsidP="00DC2305">
      <w:pPr>
        <w:pStyle w:val="3Bodytext"/>
        <w:numPr>
          <w:ilvl w:val="0"/>
          <w:numId w:val="0"/>
        </w:numPr>
        <w:ind w:left="720"/>
        <w:jc w:val="both"/>
      </w:pPr>
      <w:r w:rsidRPr="00C33D30">
        <w:rPr>
          <w:i/>
        </w:rPr>
        <w:t xml:space="preserve">For more detail on PBAC’s view, see section </w:t>
      </w:r>
      <w:r w:rsidR="00D10C20">
        <w:rPr>
          <w:i/>
        </w:rPr>
        <w:t>6</w:t>
      </w:r>
      <w:r w:rsidRPr="00C33D30">
        <w:rPr>
          <w:i/>
        </w:rPr>
        <w:t xml:space="preserve"> PBAC outcome</w:t>
      </w:r>
    </w:p>
    <w:bookmarkEnd w:id="1"/>
    <w:p w14:paraId="5A58F3DB" w14:textId="77777777" w:rsidR="005A777F" w:rsidRDefault="005A777F" w:rsidP="000F62FC">
      <w:pPr>
        <w:pStyle w:val="2-SectionHeading"/>
        <w:jc w:val="both"/>
      </w:pPr>
      <w:r w:rsidRPr="009D507A">
        <w:t xml:space="preserve">Requested listing </w:t>
      </w:r>
    </w:p>
    <w:p w14:paraId="3FFF9451" w14:textId="3C6AB96F" w:rsidR="00C86CB8" w:rsidRPr="00C86CB8" w:rsidRDefault="005A777F" w:rsidP="000F62FC">
      <w:pPr>
        <w:pStyle w:val="3Bodytext"/>
        <w:jc w:val="both"/>
        <w:rPr>
          <w:bCs/>
          <w:szCs w:val="24"/>
        </w:rPr>
      </w:pPr>
      <w:r w:rsidRPr="00813303">
        <w:rPr>
          <w:szCs w:val="24"/>
        </w:rPr>
        <w:t>The requested listing is shown in the table below.</w:t>
      </w:r>
      <w:bookmarkStart w:id="2" w:name="_Hlk124529053"/>
      <w:r w:rsidR="00C86CB8">
        <w:rPr>
          <w:szCs w:val="24"/>
        </w:rPr>
        <w:t xml:space="preserve"> </w:t>
      </w:r>
      <w:r w:rsidR="00C86CB8" w:rsidRPr="00C86CB8">
        <w:rPr>
          <w:szCs w:val="24"/>
        </w:rPr>
        <w:t xml:space="preserve">Suggested additions are in </w:t>
      </w:r>
      <w:r w:rsidR="00C86CB8" w:rsidRPr="00C86CB8">
        <w:rPr>
          <w:iCs/>
          <w:szCs w:val="24"/>
        </w:rPr>
        <w:t>italics</w:t>
      </w:r>
      <w:r w:rsidR="00C86CB8" w:rsidRPr="00C86CB8">
        <w:rPr>
          <w:szCs w:val="24"/>
        </w:rPr>
        <w:t xml:space="preserve"> and deletions are in strikethrough</w:t>
      </w:r>
      <w:r w:rsidR="00C86CB8">
        <w:rPr>
          <w:szCs w:val="24"/>
        </w:rPr>
        <w:t>.</w:t>
      </w:r>
    </w:p>
    <w:bookmarkEnd w:id="2"/>
    <w:p w14:paraId="789A921C" w14:textId="77777777" w:rsidR="005A777F" w:rsidRPr="002B3698" w:rsidRDefault="005A777F" w:rsidP="00800A41">
      <w:pPr>
        <w:pStyle w:val="3Bodytext"/>
        <w:keepNext/>
        <w:numPr>
          <w:ilvl w:val="0"/>
          <w:numId w:val="0"/>
        </w:numPr>
        <w:spacing w:after="0"/>
        <w:rPr>
          <w:rFonts w:ascii="Arial Narrow" w:hAnsi="Arial Narrow"/>
          <w:b/>
          <w:bCs/>
          <w:color w:val="000000" w:themeColor="text1"/>
          <w:sz w:val="20"/>
          <w:szCs w:val="20"/>
        </w:rPr>
      </w:pPr>
      <w:r w:rsidRPr="002B3698">
        <w:rPr>
          <w:rFonts w:ascii="Arial Narrow" w:hAnsi="Arial Narrow"/>
          <w:b/>
          <w:bCs/>
          <w:color w:val="000000" w:themeColor="text1"/>
          <w:sz w:val="20"/>
          <w:szCs w:val="20"/>
        </w:rPr>
        <w:t>Table 1</w:t>
      </w:r>
      <w:r>
        <w:rPr>
          <w:rFonts w:ascii="Arial Narrow" w:hAnsi="Arial Narrow"/>
          <w:b/>
          <w:bCs/>
          <w:color w:val="000000" w:themeColor="text1"/>
          <w:sz w:val="20"/>
          <w:szCs w:val="20"/>
        </w:rPr>
        <w:t xml:space="preserve">: </w:t>
      </w:r>
      <w:r w:rsidRPr="002B3698">
        <w:rPr>
          <w:rFonts w:ascii="Arial Narrow" w:hAnsi="Arial Narrow"/>
          <w:b/>
          <w:bCs/>
          <w:color w:val="000000" w:themeColor="text1"/>
          <w:sz w:val="20"/>
          <w:szCs w:val="20"/>
        </w:rPr>
        <w:t>Requested PBS listing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Table 1: Requested PBS listing"/>
      </w:tblPr>
      <w:tblGrid>
        <w:gridCol w:w="421"/>
        <w:gridCol w:w="850"/>
        <w:gridCol w:w="2668"/>
        <w:gridCol w:w="811"/>
        <w:gridCol w:w="812"/>
        <w:gridCol w:w="811"/>
        <w:gridCol w:w="812"/>
        <w:gridCol w:w="1831"/>
      </w:tblGrid>
      <w:tr w:rsidR="005A777F" w:rsidRPr="001428E9" w14:paraId="42C80703" w14:textId="77777777" w:rsidTr="009874D9">
        <w:trPr>
          <w:cantSplit/>
          <w:trHeight w:val="20"/>
        </w:trPr>
        <w:tc>
          <w:tcPr>
            <w:tcW w:w="3939" w:type="dxa"/>
            <w:gridSpan w:val="3"/>
            <w:vAlign w:val="center"/>
          </w:tcPr>
          <w:p w14:paraId="5CE43BEC" w14:textId="77777777" w:rsidR="005A777F" w:rsidRPr="00D86D37" w:rsidRDefault="005A777F" w:rsidP="00800A41">
            <w:pPr>
              <w:keepNext/>
              <w:keepLines/>
              <w:rPr>
                <w:rFonts w:ascii="Arial Narrow" w:hAnsi="Arial Narrow" w:cs="Arial"/>
                <w:b/>
                <w:bCs/>
                <w:sz w:val="20"/>
                <w:szCs w:val="20"/>
              </w:rPr>
            </w:pPr>
            <w:r w:rsidRPr="00D86D37">
              <w:rPr>
                <w:rFonts w:ascii="Arial Narrow" w:hAnsi="Arial Narrow" w:cs="Arial"/>
                <w:b/>
                <w:bCs/>
                <w:sz w:val="20"/>
                <w:szCs w:val="20"/>
              </w:rPr>
              <w:t>MEDICINAL PRODUCT</w:t>
            </w:r>
          </w:p>
          <w:p w14:paraId="3ADBC166" w14:textId="77777777" w:rsidR="005A777F" w:rsidRPr="00D86D37" w:rsidRDefault="005A777F" w:rsidP="00800A41">
            <w:pPr>
              <w:keepNext/>
              <w:keepLines/>
              <w:rPr>
                <w:rFonts w:ascii="Arial Narrow" w:hAnsi="Arial Narrow" w:cs="Arial"/>
                <w:b/>
                <w:sz w:val="20"/>
                <w:szCs w:val="20"/>
              </w:rPr>
            </w:pPr>
            <w:r w:rsidRPr="00D86D37">
              <w:rPr>
                <w:rFonts w:ascii="Arial Narrow" w:hAnsi="Arial Narrow" w:cs="Arial"/>
                <w:b/>
                <w:bCs/>
                <w:sz w:val="20"/>
                <w:szCs w:val="20"/>
              </w:rPr>
              <w:t>medicinal product pack</w:t>
            </w:r>
          </w:p>
        </w:tc>
        <w:tc>
          <w:tcPr>
            <w:tcW w:w="811" w:type="dxa"/>
            <w:vAlign w:val="center"/>
          </w:tcPr>
          <w:p w14:paraId="1B9738C7" w14:textId="77777777" w:rsidR="005A777F" w:rsidRPr="00D86D37" w:rsidRDefault="005A777F" w:rsidP="00800A41">
            <w:pPr>
              <w:keepNext/>
              <w:keepLines/>
              <w:jc w:val="center"/>
              <w:rPr>
                <w:rFonts w:ascii="Arial Narrow" w:hAnsi="Arial Narrow" w:cs="Arial"/>
                <w:b/>
                <w:sz w:val="20"/>
                <w:szCs w:val="20"/>
              </w:rPr>
            </w:pPr>
            <w:r w:rsidRPr="00D86D37">
              <w:rPr>
                <w:rFonts w:ascii="Arial Narrow" w:hAnsi="Arial Narrow" w:cs="Arial"/>
                <w:b/>
                <w:sz w:val="20"/>
                <w:szCs w:val="20"/>
              </w:rPr>
              <w:t>PBS item code</w:t>
            </w:r>
          </w:p>
        </w:tc>
        <w:tc>
          <w:tcPr>
            <w:tcW w:w="812" w:type="dxa"/>
            <w:vAlign w:val="center"/>
          </w:tcPr>
          <w:p w14:paraId="1369F227" w14:textId="77777777" w:rsidR="005A777F" w:rsidRPr="00D86D37" w:rsidRDefault="005A777F" w:rsidP="00800A41">
            <w:pPr>
              <w:keepNext/>
              <w:keepLines/>
              <w:jc w:val="center"/>
              <w:rPr>
                <w:rFonts w:ascii="Arial Narrow" w:hAnsi="Arial Narrow" w:cs="Arial"/>
                <w:b/>
                <w:sz w:val="20"/>
                <w:szCs w:val="20"/>
              </w:rPr>
            </w:pPr>
            <w:r w:rsidRPr="00D86D37">
              <w:rPr>
                <w:rFonts w:ascii="Arial Narrow" w:hAnsi="Arial Narrow" w:cs="Arial"/>
                <w:b/>
                <w:sz w:val="20"/>
                <w:szCs w:val="20"/>
              </w:rPr>
              <w:t>Max. qty packs</w:t>
            </w:r>
          </w:p>
        </w:tc>
        <w:tc>
          <w:tcPr>
            <w:tcW w:w="811" w:type="dxa"/>
            <w:vAlign w:val="center"/>
          </w:tcPr>
          <w:p w14:paraId="627B7D0F" w14:textId="77777777" w:rsidR="005A777F" w:rsidRPr="00D86D37" w:rsidRDefault="005A777F" w:rsidP="00800A41">
            <w:pPr>
              <w:keepNext/>
              <w:keepLines/>
              <w:jc w:val="center"/>
              <w:rPr>
                <w:rFonts w:ascii="Arial Narrow" w:hAnsi="Arial Narrow" w:cs="Arial"/>
                <w:b/>
                <w:sz w:val="20"/>
                <w:szCs w:val="20"/>
              </w:rPr>
            </w:pPr>
            <w:r w:rsidRPr="00D86D37">
              <w:rPr>
                <w:rFonts w:ascii="Arial Narrow" w:hAnsi="Arial Narrow" w:cs="Arial"/>
                <w:b/>
                <w:sz w:val="20"/>
                <w:szCs w:val="20"/>
              </w:rPr>
              <w:t>Max. qty units</w:t>
            </w:r>
          </w:p>
        </w:tc>
        <w:tc>
          <w:tcPr>
            <w:tcW w:w="812" w:type="dxa"/>
            <w:vAlign w:val="center"/>
          </w:tcPr>
          <w:p w14:paraId="36799FD0" w14:textId="77777777" w:rsidR="005A777F" w:rsidRPr="00D86D37" w:rsidRDefault="005A777F" w:rsidP="00800A41">
            <w:pPr>
              <w:keepNext/>
              <w:keepLines/>
              <w:jc w:val="center"/>
              <w:rPr>
                <w:rFonts w:ascii="Arial Narrow" w:hAnsi="Arial Narrow" w:cs="Arial"/>
                <w:b/>
                <w:sz w:val="20"/>
                <w:szCs w:val="20"/>
              </w:rPr>
            </w:pPr>
            <w:r w:rsidRPr="00D86D37">
              <w:rPr>
                <w:rFonts w:ascii="Arial Narrow" w:hAnsi="Arial Narrow" w:cs="Arial"/>
                <w:b/>
                <w:sz w:val="20"/>
                <w:szCs w:val="20"/>
              </w:rPr>
              <w:t>№. of</w:t>
            </w:r>
          </w:p>
          <w:p w14:paraId="72F4AF99" w14:textId="77777777" w:rsidR="005A777F" w:rsidRPr="00D86D37" w:rsidRDefault="005A777F" w:rsidP="00800A41">
            <w:pPr>
              <w:keepNext/>
              <w:keepLines/>
              <w:jc w:val="center"/>
              <w:rPr>
                <w:rFonts w:ascii="Arial Narrow" w:hAnsi="Arial Narrow" w:cs="Arial"/>
                <w:b/>
                <w:sz w:val="20"/>
                <w:szCs w:val="20"/>
              </w:rPr>
            </w:pPr>
            <w:r w:rsidRPr="00D86D37">
              <w:rPr>
                <w:rFonts w:ascii="Arial Narrow" w:hAnsi="Arial Narrow" w:cs="Arial"/>
                <w:b/>
                <w:sz w:val="20"/>
                <w:szCs w:val="20"/>
              </w:rPr>
              <w:t>Rpts</w:t>
            </w:r>
          </w:p>
        </w:tc>
        <w:tc>
          <w:tcPr>
            <w:tcW w:w="1831" w:type="dxa"/>
            <w:vAlign w:val="center"/>
          </w:tcPr>
          <w:p w14:paraId="300173E6" w14:textId="77777777" w:rsidR="005A777F" w:rsidRPr="00D86D37" w:rsidRDefault="005A777F" w:rsidP="00800A41">
            <w:pPr>
              <w:keepNext/>
              <w:keepLines/>
              <w:rPr>
                <w:rFonts w:ascii="Arial Narrow" w:hAnsi="Arial Narrow" w:cs="Arial"/>
                <w:b/>
                <w:sz w:val="20"/>
                <w:szCs w:val="20"/>
                <w:lang w:val="fr-FR"/>
              </w:rPr>
            </w:pPr>
            <w:r w:rsidRPr="00D86D37">
              <w:rPr>
                <w:rFonts w:ascii="Arial Narrow" w:hAnsi="Arial Narrow" w:cs="Arial"/>
                <w:b/>
                <w:sz w:val="20"/>
                <w:szCs w:val="20"/>
              </w:rPr>
              <w:t>Available brands</w:t>
            </w:r>
          </w:p>
        </w:tc>
      </w:tr>
      <w:tr w:rsidR="005A777F" w:rsidRPr="001428E9" w14:paraId="3B7D4E8B" w14:textId="77777777" w:rsidTr="009874D9">
        <w:trPr>
          <w:cantSplit/>
          <w:trHeight w:val="20"/>
        </w:trPr>
        <w:tc>
          <w:tcPr>
            <w:tcW w:w="9016" w:type="dxa"/>
            <w:gridSpan w:val="8"/>
            <w:vAlign w:val="center"/>
          </w:tcPr>
          <w:p w14:paraId="0EC1CA5F" w14:textId="77777777" w:rsidR="005A777F" w:rsidRPr="00D86D37" w:rsidRDefault="005A777F" w:rsidP="00800A41">
            <w:pPr>
              <w:keepNext/>
              <w:keepLines/>
              <w:rPr>
                <w:rFonts w:ascii="Arial Narrow" w:hAnsi="Arial Narrow" w:cs="Arial"/>
                <w:sz w:val="20"/>
                <w:szCs w:val="20"/>
              </w:rPr>
            </w:pPr>
            <w:r w:rsidRPr="00D86D37">
              <w:rPr>
                <w:rFonts w:ascii="Arial Narrow" w:hAnsi="Arial Narrow" w:cs="Arial"/>
                <w:sz w:val="20"/>
                <w:szCs w:val="20"/>
              </w:rPr>
              <w:t xml:space="preserve">URSODEOXYCHOLIC ACID </w:t>
            </w:r>
          </w:p>
        </w:tc>
      </w:tr>
      <w:tr w:rsidR="005A777F" w:rsidRPr="001428E9" w14:paraId="584F61B5" w14:textId="77777777" w:rsidTr="009874D9">
        <w:trPr>
          <w:cantSplit/>
          <w:trHeight w:val="20"/>
        </w:trPr>
        <w:tc>
          <w:tcPr>
            <w:tcW w:w="3939" w:type="dxa"/>
            <w:gridSpan w:val="3"/>
            <w:vAlign w:val="center"/>
          </w:tcPr>
          <w:p w14:paraId="513AEE88" w14:textId="77777777" w:rsidR="005A777F" w:rsidRPr="00D86D37" w:rsidRDefault="005A777F" w:rsidP="00800A41">
            <w:pPr>
              <w:keepNext/>
              <w:keepLines/>
              <w:rPr>
                <w:rFonts w:ascii="Arial Narrow" w:hAnsi="Arial Narrow" w:cs="Arial"/>
                <w:sz w:val="20"/>
                <w:szCs w:val="20"/>
              </w:rPr>
            </w:pPr>
            <w:r w:rsidRPr="00D86D37">
              <w:rPr>
                <w:rFonts w:ascii="Arial Narrow" w:hAnsi="Arial Narrow" w:cs="Arial"/>
                <w:sz w:val="20"/>
                <w:szCs w:val="20"/>
              </w:rPr>
              <w:t>ursodeoxycholic acid capsule, 250 mg, 100</w:t>
            </w:r>
          </w:p>
        </w:tc>
        <w:tc>
          <w:tcPr>
            <w:tcW w:w="811" w:type="dxa"/>
            <w:vAlign w:val="center"/>
          </w:tcPr>
          <w:p w14:paraId="5CDDAE8C" w14:textId="77777777" w:rsidR="005A777F" w:rsidRPr="00D86D37" w:rsidRDefault="005A777F" w:rsidP="00800A41">
            <w:pPr>
              <w:keepNext/>
              <w:keepLines/>
              <w:jc w:val="center"/>
              <w:rPr>
                <w:rFonts w:ascii="Arial Narrow" w:hAnsi="Arial Narrow" w:cs="Arial"/>
                <w:sz w:val="20"/>
                <w:szCs w:val="20"/>
              </w:rPr>
            </w:pPr>
            <w:r w:rsidRPr="00D86D37">
              <w:rPr>
                <w:rFonts w:ascii="Arial Narrow" w:hAnsi="Arial Narrow" w:cs="Arial"/>
                <w:sz w:val="20"/>
                <w:szCs w:val="20"/>
              </w:rPr>
              <w:t>8448P</w:t>
            </w:r>
          </w:p>
        </w:tc>
        <w:tc>
          <w:tcPr>
            <w:tcW w:w="812" w:type="dxa"/>
            <w:vAlign w:val="center"/>
          </w:tcPr>
          <w:p w14:paraId="3F7E1437" w14:textId="77777777" w:rsidR="005A777F" w:rsidRPr="00D86D37" w:rsidRDefault="005A777F" w:rsidP="00800A41">
            <w:pPr>
              <w:keepNext/>
              <w:keepLines/>
              <w:jc w:val="center"/>
              <w:rPr>
                <w:rFonts w:ascii="Arial Narrow" w:hAnsi="Arial Narrow" w:cs="Arial"/>
                <w:sz w:val="20"/>
                <w:szCs w:val="20"/>
              </w:rPr>
            </w:pPr>
            <w:r w:rsidRPr="00D86D37">
              <w:rPr>
                <w:rFonts w:ascii="Arial Narrow" w:hAnsi="Arial Narrow" w:cs="Arial"/>
                <w:sz w:val="20"/>
                <w:szCs w:val="20"/>
              </w:rPr>
              <w:t>2</w:t>
            </w:r>
          </w:p>
        </w:tc>
        <w:tc>
          <w:tcPr>
            <w:tcW w:w="811" w:type="dxa"/>
            <w:vAlign w:val="center"/>
          </w:tcPr>
          <w:p w14:paraId="62DA5646" w14:textId="77777777" w:rsidR="005A777F" w:rsidRPr="00D86D37" w:rsidRDefault="005A777F" w:rsidP="00800A41">
            <w:pPr>
              <w:keepNext/>
              <w:keepLines/>
              <w:jc w:val="center"/>
              <w:rPr>
                <w:rFonts w:ascii="Arial Narrow" w:hAnsi="Arial Narrow" w:cs="Arial"/>
                <w:sz w:val="20"/>
                <w:szCs w:val="20"/>
              </w:rPr>
            </w:pPr>
            <w:r w:rsidRPr="00D86D37">
              <w:rPr>
                <w:rFonts w:ascii="Arial Narrow" w:hAnsi="Arial Narrow" w:cs="Arial"/>
                <w:sz w:val="20"/>
                <w:szCs w:val="20"/>
              </w:rPr>
              <w:t>200</w:t>
            </w:r>
          </w:p>
        </w:tc>
        <w:tc>
          <w:tcPr>
            <w:tcW w:w="812" w:type="dxa"/>
            <w:vAlign w:val="center"/>
          </w:tcPr>
          <w:p w14:paraId="6D2CA287" w14:textId="77777777" w:rsidR="005A777F" w:rsidRPr="00D86D37" w:rsidRDefault="005A777F" w:rsidP="00800A41">
            <w:pPr>
              <w:keepNext/>
              <w:keepLines/>
              <w:jc w:val="center"/>
              <w:rPr>
                <w:rFonts w:ascii="Arial Narrow" w:hAnsi="Arial Narrow" w:cs="Arial"/>
                <w:sz w:val="20"/>
                <w:szCs w:val="20"/>
              </w:rPr>
            </w:pPr>
            <w:r w:rsidRPr="00D86D37">
              <w:rPr>
                <w:rFonts w:ascii="Arial Narrow" w:hAnsi="Arial Narrow" w:cs="Arial"/>
                <w:strike/>
                <w:sz w:val="20"/>
                <w:szCs w:val="20"/>
              </w:rPr>
              <w:t>2</w:t>
            </w:r>
            <w:r w:rsidRPr="00D86D37">
              <w:rPr>
                <w:rFonts w:ascii="Arial Narrow" w:hAnsi="Arial Narrow" w:cs="Arial"/>
                <w:sz w:val="20"/>
                <w:szCs w:val="20"/>
              </w:rPr>
              <w:t xml:space="preserve"> </w:t>
            </w:r>
            <w:r w:rsidRPr="00D86D37">
              <w:rPr>
                <w:rFonts w:ascii="Arial Narrow" w:hAnsi="Arial Narrow" w:cs="Arial"/>
                <w:i/>
                <w:iCs/>
                <w:sz w:val="20"/>
                <w:szCs w:val="20"/>
              </w:rPr>
              <w:t>4</w:t>
            </w:r>
          </w:p>
        </w:tc>
        <w:tc>
          <w:tcPr>
            <w:tcW w:w="1831" w:type="dxa"/>
            <w:vMerge w:val="restart"/>
            <w:vAlign w:val="center"/>
          </w:tcPr>
          <w:p w14:paraId="646412D8" w14:textId="77777777" w:rsidR="005A777F" w:rsidRPr="00D86D37" w:rsidRDefault="005A777F" w:rsidP="00800A41">
            <w:pPr>
              <w:keepNext/>
              <w:keepLines/>
              <w:jc w:val="left"/>
              <w:rPr>
                <w:rFonts w:ascii="Arial Narrow" w:hAnsi="Arial Narrow" w:cs="Arial"/>
                <w:sz w:val="20"/>
                <w:szCs w:val="20"/>
              </w:rPr>
            </w:pPr>
            <w:r w:rsidRPr="00D86D37">
              <w:rPr>
                <w:rFonts w:ascii="Arial Narrow" w:hAnsi="Arial Narrow" w:cs="Arial"/>
                <w:sz w:val="20"/>
                <w:szCs w:val="20"/>
              </w:rPr>
              <w:t>Ursofalk</w:t>
            </w:r>
          </w:p>
          <w:p w14:paraId="6E33E7C5" w14:textId="0BF43591" w:rsidR="005A777F" w:rsidRPr="00D86D37" w:rsidRDefault="005A777F" w:rsidP="00800A41">
            <w:pPr>
              <w:keepNext/>
              <w:keepLines/>
              <w:jc w:val="left"/>
              <w:rPr>
                <w:rFonts w:ascii="Arial Narrow" w:hAnsi="Arial Narrow" w:cs="Arial"/>
                <w:sz w:val="20"/>
                <w:szCs w:val="20"/>
              </w:rPr>
            </w:pPr>
          </w:p>
        </w:tc>
      </w:tr>
      <w:tr w:rsidR="005A777F" w:rsidRPr="001428E9" w14:paraId="1FE081F1" w14:textId="77777777" w:rsidTr="009874D9">
        <w:trPr>
          <w:cantSplit/>
          <w:trHeight w:val="20"/>
        </w:trPr>
        <w:tc>
          <w:tcPr>
            <w:tcW w:w="3939" w:type="dxa"/>
            <w:gridSpan w:val="3"/>
            <w:vAlign w:val="center"/>
          </w:tcPr>
          <w:p w14:paraId="78644161" w14:textId="77777777" w:rsidR="005A777F" w:rsidRPr="00D86D37" w:rsidRDefault="005A777F" w:rsidP="00800A41">
            <w:pPr>
              <w:keepNext/>
              <w:keepLines/>
              <w:rPr>
                <w:rFonts w:ascii="Arial Narrow" w:hAnsi="Arial Narrow" w:cs="Arial"/>
                <w:sz w:val="20"/>
                <w:szCs w:val="20"/>
              </w:rPr>
            </w:pPr>
            <w:r w:rsidRPr="00D86D37">
              <w:rPr>
                <w:rFonts w:ascii="Arial Narrow" w:hAnsi="Arial Narrow" w:cs="Arial"/>
                <w:sz w:val="20"/>
                <w:szCs w:val="20"/>
              </w:rPr>
              <w:t>ursodeoxycholic acid tablet, 500mg, 100</w:t>
            </w:r>
          </w:p>
        </w:tc>
        <w:tc>
          <w:tcPr>
            <w:tcW w:w="811" w:type="dxa"/>
            <w:vAlign w:val="center"/>
          </w:tcPr>
          <w:p w14:paraId="392D2445" w14:textId="77777777" w:rsidR="005A777F" w:rsidRPr="00D86D37" w:rsidRDefault="005A777F" w:rsidP="00800A41">
            <w:pPr>
              <w:keepNext/>
              <w:keepLines/>
              <w:jc w:val="center"/>
              <w:rPr>
                <w:rFonts w:ascii="Arial Narrow" w:hAnsi="Arial Narrow" w:cs="Arial"/>
                <w:sz w:val="20"/>
                <w:szCs w:val="20"/>
              </w:rPr>
            </w:pPr>
            <w:r w:rsidRPr="00D86D37">
              <w:rPr>
                <w:rFonts w:ascii="Arial Narrow" w:hAnsi="Arial Narrow" w:cs="Arial"/>
                <w:sz w:val="20"/>
                <w:szCs w:val="20"/>
              </w:rPr>
              <w:t>11180K</w:t>
            </w:r>
          </w:p>
        </w:tc>
        <w:tc>
          <w:tcPr>
            <w:tcW w:w="812" w:type="dxa"/>
            <w:vAlign w:val="center"/>
          </w:tcPr>
          <w:p w14:paraId="13D532A0" w14:textId="77777777" w:rsidR="005A777F" w:rsidRPr="00D86D37" w:rsidRDefault="005A777F" w:rsidP="00800A41">
            <w:pPr>
              <w:keepNext/>
              <w:keepLines/>
              <w:jc w:val="center"/>
              <w:rPr>
                <w:rFonts w:ascii="Arial Narrow" w:hAnsi="Arial Narrow" w:cs="Arial"/>
                <w:sz w:val="20"/>
                <w:szCs w:val="20"/>
              </w:rPr>
            </w:pPr>
            <w:r w:rsidRPr="00D86D37">
              <w:rPr>
                <w:rFonts w:ascii="Arial Narrow" w:hAnsi="Arial Narrow" w:cs="Arial"/>
                <w:sz w:val="20"/>
                <w:szCs w:val="20"/>
              </w:rPr>
              <w:t>1</w:t>
            </w:r>
          </w:p>
        </w:tc>
        <w:tc>
          <w:tcPr>
            <w:tcW w:w="811" w:type="dxa"/>
            <w:vAlign w:val="center"/>
          </w:tcPr>
          <w:p w14:paraId="7503E981" w14:textId="77777777" w:rsidR="005A777F" w:rsidRPr="00D86D37" w:rsidRDefault="005A777F" w:rsidP="00800A41">
            <w:pPr>
              <w:keepNext/>
              <w:keepLines/>
              <w:jc w:val="center"/>
              <w:rPr>
                <w:rFonts w:ascii="Arial Narrow" w:hAnsi="Arial Narrow" w:cs="Arial"/>
                <w:sz w:val="20"/>
                <w:szCs w:val="20"/>
              </w:rPr>
            </w:pPr>
            <w:r w:rsidRPr="00D86D37">
              <w:rPr>
                <w:rFonts w:ascii="Arial Narrow" w:hAnsi="Arial Narrow" w:cs="Arial"/>
                <w:sz w:val="20"/>
                <w:szCs w:val="20"/>
              </w:rPr>
              <w:t>100</w:t>
            </w:r>
          </w:p>
        </w:tc>
        <w:tc>
          <w:tcPr>
            <w:tcW w:w="812" w:type="dxa"/>
            <w:vAlign w:val="center"/>
          </w:tcPr>
          <w:p w14:paraId="322201B6" w14:textId="77777777" w:rsidR="005A777F" w:rsidRPr="00D86D37" w:rsidRDefault="005A777F" w:rsidP="00800A41">
            <w:pPr>
              <w:keepNext/>
              <w:keepLines/>
              <w:jc w:val="center"/>
              <w:rPr>
                <w:rFonts w:ascii="Arial Narrow" w:hAnsi="Arial Narrow" w:cs="Arial"/>
                <w:sz w:val="20"/>
                <w:szCs w:val="20"/>
              </w:rPr>
            </w:pPr>
            <w:r w:rsidRPr="00D86D37">
              <w:rPr>
                <w:rFonts w:ascii="Arial Narrow" w:hAnsi="Arial Narrow" w:cs="Arial"/>
                <w:strike/>
                <w:sz w:val="20"/>
                <w:szCs w:val="20"/>
              </w:rPr>
              <w:t>2</w:t>
            </w:r>
            <w:r w:rsidRPr="00D86D37">
              <w:rPr>
                <w:rFonts w:ascii="Arial Narrow" w:hAnsi="Arial Narrow" w:cs="Arial"/>
                <w:sz w:val="20"/>
                <w:szCs w:val="20"/>
              </w:rPr>
              <w:t xml:space="preserve"> </w:t>
            </w:r>
            <w:r w:rsidRPr="00D86D37">
              <w:rPr>
                <w:rFonts w:ascii="Arial Narrow" w:hAnsi="Arial Narrow" w:cs="Arial"/>
                <w:i/>
                <w:iCs/>
                <w:sz w:val="20"/>
                <w:szCs w:val="20"/>
              </w:rPr>
              <w:t>4</w:t>
            </w:r>
          </w:p>
        </w:tc>
        <w:tc>
          <w:tcPr>
            <w:tcW w:w="1831" w:type="dxa"/>
            <w:vMerge/>
            <w:vAlign w:val="center"/>
          </w:tcPr>
          <w:p w14:paraId="5DA862BB" w14:textId="77777777" w:rsidR="005A777F" w:rsidRPr="00D86D37" w:rsidRDefault="005A777F" w:rsidP="00800A41">
            <w:pPr>
              <w:keepNext/>
              <w:keepLines/>
              <w:rPr>
                <w:rFonts w:ascii="Arial Narrow" w:hAnsi="Arial Narrow" w:cs="Arial"/>
                <w:sz w:val="20"/>
                <w:szCs w:val="20"/>
              </w:rPr>
            </w:pPr>
          </w:p>
        </w:tc>
      </w:tr>
      <w:tr w:rsidR="005A777F" w:rsidRPr="001428E9" w14:paraId="43B06D6B" w14:textId="77777777" w:rsidTr="009874D9">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02E5C482" w14:textId="77777777" w:rsidR="005A777F" w:rsidRPr="00D86D37" w:rsidRDefault="005A777F" w:rsidP="00800A41">
            <w:pPr>
              <w:keepNext/>
              <w:rPr>
                <w:rFonts w:ascii="Arial Narrow" w:hAnsi="Arial Narrow" w:cs="Arial"/>
                <w:sz w:val="20"/>
                <w:szCs w:val="20"/>
              </w:rPr>
            </w:pPr>
          </w:p>
        </w:tc>
      </w:tr>
      <w:tr w:rsidR="005A777F" w:rsidRPr="001428E9" w14:paraId="75D22D91" w14:textId="77777777" w:rsidTr="009874D9">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62627292" w14:textId="35826F73" w:rsidR="005A777F" w:rsidRPr="00D86D37" w:rsidRDefault="005A777F" w:rsidP="00800A41">
            <w:pPr>
              <w:keepNext/>
              <w:keepLines/>
              <w:rPr>
                <w:rFonts w:ascii="Arial Narrow" w:hAnsi="Arial Narrow" w:cs="Arial"/>
                <w:b/>
                <w:sz w:val="20"/>
                <w:szCs w:val="20"/>
              </w:rPr>
            </w:pPr>
            <w:r w:rsidRPr="00D86D37">
              <w:rPr>
                <w:rFonts w:ascii="Arial Narrow" w:hAnsi="Arial Narrow"/>
                <w:b/>
                <w:sz w:val="20"/>
                <w:szCs w:val="20"/>
              </w:rPr>
              <w:t xml:space="preserve">Restriction Summary  / Treatment of Concept: </w:t>
            </w:r>
          </w:p>
        </w:tc>
      </w:tr>
      <w:tr w:rsidR="005A777F" w:rsidRPr="001428E9" w14:paraId="4024D342" w14:textId="77777777" w:rsidTr="009874D9">
        <w:tblPrEx>
          <w:tblCellMar>
            <w:top w:w="15" w:type="dxa"/>
            <w:bottom w:w="15" w:type="dxa"/>
          </w:tblCellMar>
        </w:tblPrEx>
        <w:trPr>
          <w:trHeight w:val="232"/>
        </w:trPr>
        <w:tc>
          <w:tcPr>
            <w:tcW w:w="1271" w:type="dxa"/>
            <w:gridSpan w:val="2"/>
            <w:vMerge w:val="restart"/>
            <w:tcBorders>
              <w:top w:val="single" w:sz="4" w:space="0" w:color="auto"/>
              <w:left w:val="single" w:sz="4" w:space="0" w:color="auto"/>
              <w:right w:val="single" w:sz="4" w:space="0" w:color="auto"/>
            </w:tcBorders>
          </w:tcPr>
          <w:p w14:paraId="1B2B0E69" w14:textId="77777777" w:rsidR="005A777F" w:rsidRPr="001428E9" w:rsidRDefault="005A777F" w:rsidP="00800A41">
            <w:pPr>
              <w:keepNext/>
              <w:jc w:val="center"/>
              <w:rPr>
                <w:rFonts w:ascii="Arial Narrow" w:hAnsi="Arial Narrow" w:cs="Arial"/>
                <w:b/>
                <w:sz w:val="20"/>
                <w:szCs w:val="20"/>
              </w:rPr>
            </w:pPr>
            <w:r w:rsidRPr="001428E9">
              <w:rPr>
                <w:rFonts w:ascii="Arial Narrow" w:hAnsi="Arial Narrow" w:cs="Arial"/>
                <w:b/>
                <w:sz w:val="20"/>
                <w:szCs w:val="20"/>
              </w:rPr>
              <w:t>Concept ID</w:t>
            </w:r>
            <w:r>
              <w:rPr>
                <w:rFonts w:ascii="Arial Narrow" w:hAnsi="Arial Narrow" w:cs="Arial"/>
                <w:b/>
                <w:sz w:val="20"/>
                <w:szCs w:val="20"/>
              </w:rPr>
              <w:t xml:space="preserve"> </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DD49A00" w14:textId="77777777" w:rsidR="005A777F" w:rsidRPr="00D86D37" w:rsidRDefault="005A777F" w:rsidP="00800A41">
            <w:pPr>
              <w:keepNext/>
              <w:keepLines/>
              <w:rPr>
                <w:rFonts w:ascii="Arial Narrow" w:hAnsi="Arial Narrow" w:cs="Arial"/>
                <w:sz w:val="20"/>
                <w:szCs w:val="20"/>
              </w:rPr>
            </w:pPr>
            <w:r w:rsidRPr="00D86D37">
              <w:rPr>
                <w:rFonts w:ascii="Arial Narrow" w:hAnsi="Arial Narrow" w:cs="Arial"/>
                <w:b/>
                <w:sz w:val="20"/>
                <w:szCs w:val="20"/>
              </w:rPr>
              <w:t xml:space="preserve">Category / Program: </w:t>
            </w:r>
            <w:r w:rsidRPr="00D86D37">
              <w:rPr>
                <w:rFonts w:ascii="Arial Narrow" w:hAnsi="Arial Narrow" w:cs="Arial"/>
                <w:sz w:val="20"/>
                <w:szCs w:val="20"/>
              </w:rPr>
              <w:t>GENERAL – General Schedule (GE)</w:t>
            </w:r>
          </w:p>
        </w:tc>
      </w:tr>
      <w:tr w:rsidR="005A777F" w:rsidRPr="001428E9" w14:paraId="32DD32E0" w14:textId="77777777" w:rsidTr="009874D9">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5FC95BF9" w14:textId="77777777" w:rsidR="005A777F" w:rsidRPr="001428E9" w:rsidRDefault="005A777F" w:rsidP="00800A41">
            <w:pPr>
              <w:keepNext/>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4ADA46DC" w14:textId="77777777" w:rsidR="005A777F" w:rsidRPr="00D86D37" w:rsidRDefault="005A777F" w:rsidP="00800A41">
            <w:pPr>
              <w:keepNext/>
              <w:keepLines/>
              <w:rPr>
                <w:rFonts w:ascii="Arial Narrow" w:hAnsi="Arial Narrow" w:cs="Arial"/>
                <w:b/>
                <w:sz w:val="20"/>
                <w:szCs w:val="20"/>
              </w:rPr>
            </w:pPr>
            <w:r w:rsidRPr="00D86D37">
              <w:rPr>
                <w:rFonts w:ascii="Arial Narrow" w:hAnsi="Arial Narrow" w:cs="Arial"/>
                <w:b/>
                <w:sz w:val="20"/>
                <w:szCs w:val="20"/>
              </w:rPr>
              <w:t xml:space="preserve">Prescriber type: </w:t>
            </w:r>
            <w:r w:rsidRPr="00D86D37">
              <w:rPr>
                <w:rFonts w:ascii="Arial Narrow" w:hAnsi="Arial Narrow" w:cs="Arial"/>
                <w:sz w:val="20"/>
                <w:szCs w:val="20"/>
              </w:rPr>
              <w:fldChar w:fldCharType="begin">
                <w:ffData>
                  <w:name w:val=""/>
                  <w:enabled/>
                  <w:calcOnExit w:val="0"/>
                  <w:checkBox>
                    <w:sizeAuto/>
                    <w:default w:val="1"/>
                  </w:checkBox>
                </w:ffData>
              </w:fldChar>
            </w:r>
            <w:r w:rsidRPr="00D86D37">
              <w:rPr>
                <w:rFonts w:ascii="Arial Narrow" w:hAnsi="Arial Narrow" w:cs="Arial"/>
                <w:sz w:val="20"/>
                <w:szCs w:val="20"/>
              </w:rPr>
              <w:instrText xml:space="preserve"> FORMCHECKBOX </w:instrText>
            </w:r>
            <w:r w:rsidR="0042063E">
              <w:rPr>
                <w:rFonts w:ascii="Arial Narrow" w:hAnsi="Arial Narrow" w:cs="Arial"/>
                <w:sz w:val="20"/>
                <w:szCs w:val="20"/>
              </w:rPr>
            </w:r>
            <w:r w:rsidR="0042063E">
              <w:rPr>
                <w:rFonts w:ascii="Arial Narrow" w:hAnsi="Arial Narrow" w:cs="Arial"/>
                <w:sz w:val="20"/>
                <w:szCs w:val="20"/>
              </w:rPr>
              <w:fldChar w:fldCharType="separate"/>
            </w:r>
            <w:r w:rsidRPr="00D86D37">
              <w:rPr>
                <w:rFonts w:ascii="Arial Narrow" w:hAnsi="Arial Narrow" w:cs="Arial"/>
                <w:sz w:val="20"/>
                <w:szCs w:val="20"/>
              </w:rPr>
              <w:fldChar w:fldCharType="end"/>
            </w:r>
            <w:r w:rsidRPr="00D86D37">
              <w:rPr>
                <w:rFonts w:ascii="Arial Narrow" w:hAnsi="Arial Narrow" w:cs="Arial"/>
                <w:sz w:val="20"/>
                <w:szCs w:val="20"/>
              </w:rPr>
              <w:t xml:space="preserve">Medical Practitioners </w:t>
            </w:r>
            <w:r w:rsidRPr="00D86D37">
              <w:rPr>
                <w:rFonts w:ascii="Arial Narrow" w:hAnsi="Arial Narrow" w:cs="Arial"/>
                <w:sz w:val="20"/>
                <w:szCs w:val="20"/>
              </w:rPr>
              <w:fldChar w:fldCharType="begin">
                <w:ffData>
                  <w:name w:val=""/>
                  <w:enabled/>
                  <w:calcOnExit w:val="0"/>
                  <w:checkBox>
                    <w:sizeAuto/>
                    <w:default w:val="1"/>
                  </w:checkBox>
                </w:ffData>
              </w:fldChar>
            </w:r>
            <w:r w:rsidRPr="00D86D37">
              <w:rPr>
                <w:rFonts w:ascii="Arial Narrow" w:hAnsi="Arial Narrow" w:cs="Arial"/>
                <w:sz w:val="20"/>
                <w:szCs w:val="20"/>
              </w:rPr>
              <w:instrText xml:space="preserve"> FORMCHECKBOX </w:instrText>
            </w:r>
            <w:r w:rsidR="0042063E">
              <w:rPr>
                <w:rFonts w:ascii="Arial Narrow" w:hAnsi="Arial Narrow" w:cs="Arial"/>
                <w:sz w:val="20"/>
                <w:szCs w:val="20"/>
              </w:rPr>
            </w:r>
            <w:r w:rsidR="0042063E">
              <w:rPr>
                <w:rFonts w:ascii="Arial Narrow" w:hAnsi="Arial Narrow" w:cs="Arial"/>
                <w:sz w:val="20"/>
                <w:szCs w:val="20"/>
              </w:rPr>
              <w:fldChar w:fldCharType="separate"/>
            </w:r>
            <w:r w:rsidRPr="00D86D37">
              <w:rPr>
                <w:rFonts w:ascii="Arial Narrow" w:hAnsi="Arial Narrow" w:cs="Arial"/>
                <w:sz w:val="20"/>
                <w:szCs w:val="20"/>
              </w:rPr>
              <w:fldChar w:fldCharType="end"/>
            </w:r>
            <w:r w:rsidRPr="00D86D37">
              <w:rPr>
                <w:rFonts w:ascii="Arial Narrow" w:hAnsi="Arial Narrow" w:cs="Arial"/>
                <w:sz w:val="20"/>
                <w:szCs w:val="20"/>
              </w:rPr>
              <w:t xml:space="preserve">Nurse practitioners </w:t>
            </w:r>
          </w:p>
        </w:tc>
      </w:tr>
      <w:tr w:rsidR="005A777F" w:rsidRPr="00D56F94" w14:paraId="28C2EF9C" w14:textId="77777777" w:rsidTr="009874D9">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bottom w:val="single" w:sz="4" w:space="0" w:color="auto"/>
              <w:right w:val="single" w:sz="4" w:space="0" w:color="auto"/>
            </w:tcBorders>
          </w:tcPr>
          <w:p w14:paraId="6AF583C1" w14:textId="77777777" w:rsidR="005A777F" w:rsidRPr="001428E9" w:rsidRDefault="005A777F" w:rsidP="00800A41">
            <w:pPr>
              <w:keepNext/>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67CC6EC8" w14:textId="77777777" w:rsidR="005A777F" w:rsidRPr="00D86D37" w:rsidRDefault="005A777F" w:rsidP="00800A41">
            <w:pPr>
              <w:keepNext/>
              <w:keepLines/>
              <w:rPr>
                <w:rFonts w:ascii="Arial Narrow" w:hAnsi="Arial Narrow" w:cs="Arial"/>
                <w:b/>
                <w:sz w:val="20"/>
                <w:szCs w:val="20"/>
              </w:rPr>
            </w:pPr>
            <w:r w:rsidRPr="00D86D37">
              <w:rPr>
                <w:rFonts w:ascii="Arial Narrow" w:hAnsi="Arial Narrow" w:cs="Arial"/>
                <w:b/>
                <w:sz w:val="20"/>
                <w:szCs w:val="20"/>
              </w:rPr>
              <w:t xml:space="preserve">Restriction type: </w:t>
            </w:r>
            <w:r w:rsidRPr="00D86D37">
              <w:rPr>
                <w:rFonts w:ascii="Arial Narrow" w:eastAsia="Calibri" w:hAnsi="Arial Narrow" w:cs="Arial"/>
                <w:sz w:val="20"/>
                <w:szCs w:val="20"/>
              </w:rPr>
              <w:fldChar w:fldCharType="begin">
                <w:ffData>
                  <w:name w:val=""/>
                  <w:enabled/>
                  <w:calcOnExit w:val="0"/>
                  <w:checkBox>
                    <w:sizeAuto/>
                    <w:default w:val="1"/>
                  </w:checkBox>
                </w:ffData>
              </w:fldChar>
            </w:r>
            <w:r w:rsidRPr="00D86D37">
              <w:rPr>
                <w:rFonts w:ascii="Arial Narrow" w:eastAsia="Calibri" w:hAnsi="Arial Narrow" w:cs="Arial"/>
                <w:sz w:val="20"/>
                <w:szCs w:val="20"/>
              </w:rPr>
              <w:instrText xml:space="preserve"> FORMCHECKBOX </w:instrText>
            </w:r>
            <w:r w:rsidR="0042063E">
              <w:rPr>
                <w:rFonts w:ascii="Arial Narrow" w:eastAsia="Calibri" w:hAnsi="Arial Narrow" w:cs="Arial"/>
                <w:sz w:val="20"/>
                <w:szCs w:val="20"/>
              </w:rPr>
            </w:r>
            <w:r w:rsidR="0042063E">
              <w:rPr>
                <w:rFonts w:ascii="Arial Narrow" w:eastAsia="Calibri" w:hAnsi="Arial Narrow" w:cs="Arial"/>
                <w:sz w:val="20"/>
                <w:szCs w:val="20"/>
              </w:rPr>
              <w:fldChar w:fldCharType="separate"/>
            </w:r>
            <w:r w:rsidRPr="00D86D37">
              <w:rPr>
                <w:rFonts w:ascii="Arial Narrow" w:eastAsia="Calibri" w:hAnsi="Arial Narrow" w:cs="Arial"/>
                <w:sz w:val="20"/>
                <w:szCs w:val="20"/>
              </w:rPr>
              <w:fldChar w:fldCharType="end"/>
            </w:r>
            <w:r w:rsidRPr="00D86D37">
              <w:rPr>
                <w:rFonts w:ascii="Arial Narrow" w:eastAsia="Calibri" w:hAnsi="Arial Narrow" w:cs="Arial"/>
                <w:sz w:val="20"/>
                <w:szCs w:val="20"/>
              </w:rPr>
              <w:t xml:space="preserve">Authority Required (Streamlined) </w:t>
            </w:r>
          </w:p>
        </w:tc>
      </w:tr>
      <w:tr w:rsidR="005A777F" w:rsidRPr="001428E9" w14:paraId="2E0162FA" w14:textId="77777777" w:rsidTr="000F62FC">
        <w:tblPrEx>
          <w:tblCellMar>
            <w:top w:w="15" w:type="dxa"/>
            <w:bottom w:w="15" w:type="dxa"/>
          </w:tblCellMar>
        </w:tblPrEx>
        <w:trPr>
          <w:trHeight w:val="20"/>
        </w:trPr>
        <w:tc>
          <w:tcPr>
            <w:tcW w:w="421" w:type="dxa"/>
            <w:vMerge w:val="restart"/>
            <w:tcBorders>
              <w:left w:val="single" w:sz="4" w:space="0" w:color="auto"/>
              <w:right w:val="single" w:sz="4" w:space="0" w:color="auto"/>
            </w:tcBorders>
            <w:textDirection w:val="btLr"/>
            <w:vAlign w:val="center"/>
          </w:tcPr>
          <w:p w14:paraId="596EFE4D" w14:textId="77777777" w:rsidR="005A777F" w:rsidRPr="001428E9" w:rsidRDefault="005A777F" w:rsidP="00800A41">
            <w:pPr>
              <w:keepNext/>
              <w:jc w:val="center"/>
              <w:rPr>
                <w:rFonts w:ascii="Arial Narrow" w:hAnsi="Arial Narrow" w:cs="Arial"/>
                <w:sz w:val="20"/>
                <w:szCs w:val="20"/>
              </w:rPr>
            </w:pPr>
            <w:r w:rsidRPr="001428E9">
              <w:rPr>
                <w:rFonts w:ascii="Arial Narrow" w:hAnsi="Arial Narrow" w:cs="Arial"/>
                <w:sz w:val="20"/>
                <w:szCs w:val="20"/>
              </w:rPr>
              <w:t>Prescribing rule level</w:t>
            </w:r>
          </w:p>
        </w:tc>
        <w:tc>
          <w:tcPr>
            <w:tcW w:w="850" w:type="dxa"/>
            <w:vAlign w:val="center"/>
          </w:tcPr>
          <w:p w14:paraId="3CE6E7ED" w14:textId="1607F302" w:rsidR="005A777F" w:rsidRPr="001428E9" w:rsidRDefault="005A777F" w:rsidP="00800A41">
            <w:pPr>
              <w:keepNext/>
              <w:jc w:val="center"/>
              <w:rPr>
                <w:rFonts w:ascii="Arial Narrow" w:hAnsi="Arial Narrow"/>
                <w:color w:val="333333"/>
                <w:sz w:val="20"/>
                <w:szCs w:val="20"/>
              </w:rPr>
            </w:pPr>
          </w:p>
        </w:tc>
        <w:tc>
          <w:tcPr>
            <w:tcW w:w="7745" w:type="dxa"/>
            <w:gridSpan w:val="6"/>
            <w:vAlign w:val="center"/>
          </w:tcPr>
          <w:p w14:paraId="015C3E00" w14:textId="77777777" w:rsidR="005A777F" w:rsidRPr="00D86D37" w:rsidRDefault="005A777F" w:rsidP="00800A41">
            <w:pPr>
              <w:keepNext/>
              <w:rPr>
                <w:rFonts w:ascii="Arial Narrow" w:hAnsi="Arial Narrow"/>
                <w:sz w:val="20"/>
                <w:szCs w:val="20"/>
              </w:rPr>
            </w:pPr>
            <w:r w:rsidRPr="00D86D37">
              <w:rPr>
                <w:rFonts w:ascii="Arial Narrow" w:hAnsi="Arial Narrow"/>
                <w:b/>
                <w:bCs/>
                <w:sz w:val="20"/>
                <w:szCs w:val="20"/>
              </w:rPr>
              <w:t>Administrative Advice:</w:t>
            </w:r>
          </w:p>
          <w:p w14:paraId="400A9D47" w14:textId="6D14C05C" w:rsidR="005A777F" w:rsidRPr="00D86D37" w:rsidRDefault="005A777F" w:rsidP="00800A41">
            <w:pPr>
              <w:keepNext/>
              <w:rPr>
                <w:rFonts w:ascii="Arial Narrow" w:hAnsi="Arial Narrow"/>
                <w:sz w:val="20"/>
                <w:szCs w:val="20"/>
              </w:rPr>
            </w:pPr>
            <w:r w:rsidRPr="00D86D37">
              <w:rPr>
                <w:rFonts w:ascii="Arial Narrow" w:hAnsi="Arial Narrow"/>
                <w:sz w:val="20"/>
                <w:szCs w:val="20"/>
              </w:rPr>
              <w:t>Continuing Therapy Only:</w:t>
            </w:r>
          </w:p>
          <w:p w14:paraId="72407625" w14:textId="77777777" w:rsidR="005A777F" w:rsidRPr="00D86D37" w:rsidRDefault="005A777F" w:rsidP="00800A41">
            <w:pPr>
              <w:keepNext/>
              <w:rPr>
                <w:rFonts w:ascii="Arial Narrow" w:hAnsi="Arial Narrow"/>
                <w:sz w:val="20"/>
                <w:szCs w:val="20"/>
              </w:rPr>
            </w:pPr>
            <w:r w:rsidRPr="00D86D37">
              <w:rPr>
                <w:rFonts w:ascii="Arial Narrow" w:hAnsi="Arial Narrow"/>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5A777F" w:rsidRPr="001428E9" w14:paraId="2CE104F7" w14:textId="77777777" w:rsidTr="000F62FC">
        <w:tblPrEx>
          <w:tblCellMar>
            <w:top w:w="15" w:type="dxa"/>
            <w:bottom w:w="15" w:type="dxa"/>
          </w:tblCellMar>
        </w:tblPrEx>
        <w:trPr>
          <w:trHeight w:val="20"/>
        </w:trPr>
        <w:tc>
          <w:tcPr>
            <w:tcW w:w="421" w:type="dxa"/>
            <w:vMerge/>
            <w:tcBorders>
              <w:left w:val="single" w:sz="4" w:space="0" w:color="auto"/>
              <w:right w:val="single" w:sz="4" w:space="0" w:color="auto"/>
            </w:tcBorders>
          </w:tcPr>
          <w:p w14:paraId="063EDC47" w14:textId="77777777" w:rsidR="005A777F" w:rsidRPr="001428E9" w:rsidRDefault="005A777F" w:rsidP="00800A41">
            <w:pPr>
              <w:keepNext/>
              <w:rPr>
                <w:rFonts w:ascii="Arial Narrow" w:hAnsi="Arial Narrow" w:cs="Arial"/>
                <w:sz w:val="20"/>
                <w:szCs w:val="20"/>
              </w:rPr>
            </w:pPr>
          </w:p>
        </w:tc>
        <w:tc>
          <w:tcPr>
            <w:tcW w:w="850" w:type="dxa"/>
            <w:vAlign w:val="center"/>
          </w:tcPr>
          <w:p w14:paraId="5CC1258E" w14:textId="4A0252F7" w:rsidR="005A777F" w:rsidRPr="001428E9" w:rsidRDefault="005A777F" w:rsidP="00800A41">
            <w:pPr>
              <w:keepNext/>
              <w:rPr>
                <w:rFonts w:ascii="Arial Narrow" w:hAnsi="Arial Narrow"/>
                <w:color w:val="333333"/>
                <w:sz w:val="20"/>
                <w:szCs w:val="20"/>
              </w:rPr>
            </w:pPr>
          </w:p>
        </w:tc>
        <w:tc>
          <w:tcPr>
            <w:tcW w:w="7745" w:type="dxa"/>
            <w:gridSpan w:val="6"/>
            <w:vAlign w:val="center"/>
          </w:tcPr>
          <w:p w14:paraId="78CAB1F7" w14:textId="77777777" w:rsidR="005A777F" w:rsidRPr="00D86D37" w:rsidRDefault="005A777F" w:rsidP="00800A41">
            <w:pPr>
              <w:keepNext/>
              <w:rPr>
                <w:rFonts w:ascii="Arial Narrow" w:hAnsi="Arial Narrow"/>
                <w:b/>
                <w:bCs/>
                <w:sz w:val="20"/>
                <w:szCs w:val="20"/>
              </w:rPr>
            </w:pPr>
            <w:r w:rsidRPr="00D86D37">
              <w:rPr>
                <w:rFonts w:ascii="Arial Narrow" w:hAnsi="Arial Narrow"/>
                <w:b/>
                <w:bCs/>
                <w:sz w:val="20"/>
                <w:szCs w:val="20"/>
              </w:rPr>
              <w:t>Administrative Advice:</w:t>
            </w:r>
          </w:p>
          <w:p w14:paraId="751B217F" w14:textId="41B56C42" w:rsidR="005A777F" w:rsidRPr="00D86D37" w:rsidRDefault="005A777F" w:rsidP="00800A41">
            <w:pPr>
              <w:keepNext/>
              <w:rPr>
                <w:rFonts w:ascii="Arial Narrow" w:hAnsi="Arial Narrow"/>
                <w:sz w:val="20"/>
                <w:szCs w:val="20"/>
              </w:rPr>
            </w:pPr>
            <w:r w:rsidRPr="00D86D37">
              <w:rPr>
                <w:rFonts w:ascii="Arial Narrow" w:hAnsi="Arial Narrow"/>
                <w:sz w:val="20"/>
                <w:szCs w:val="20"/>
              </w:rPr>
              <w:t>Not for use in the treatment of sclerosing cholangitis or cholelithiasis.</w:t>
            </w:r>
          </w:p>
        </w:tc>
      </w:tr>
      <w:tr w:rsidR="005A777F" w:rsidRPr="001428E9" w14:paraId="7C8284B9" w14:textId="77777777" w:rsidTr="00E6366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DA17959" w14:textId="5635B342" w:rsidR="005A777F" w:rsidRPr="001428E9" w:rsidRDefault="005A777F" w:rsidP="00800A41">
            <w:pPr>
              <w:keepNext/>
              <w:jc w:val="center"/>
              <w:rPr>
                <w:rFonts w:ascii="Arial Narrow" w:hAnsi="Arial Narrow"/>
                <w:color w:val="333333"/>
                <w:sz w:val="20"/>
                <w:szCs w:val="20"/>
              </w:rPr>
            </w:pPr>
          </w:p>
        </w:tc>
        <w:tc>
          <w:tcPr>
            <w:tcW w:w="7745" w:type="dxa"/>
            <w:gridSpan w:val="6"/>
            <w:vAlign w:val="center"/>
            <w:hideMark/>
          </w:tcPr>
          <w:p w14:paraId="36B9446B" w14:textId="77777777" w:rsidR="005A777F" w:rsidRPr="00D86D37" w:rsidRDefault="005A777F" w:rsidP="00800A41">
            <w:pPr>
              <w:keepNext/>
              <w:keepLines/>
              <w:rPr>
                <w:rFonts w:ascii="Arial Narrow" w:hAnsi="Arial Narrow"/>
                <w:sz w:val="20"/>
                <w:szCs w:val="20"/>
              </w:rPr>
            </w:pPr>
            <w:r w:rsidRPr="00D86D37">
              <w:rPr>
                <w:rFonts w:ascii="Arial Narrow" w:hAnsi="Arial Narrow"/>
                <w:b/>
                <w:bCs/>
                <w:sz w:val="20"/>
                <w:szCs w:val="20"/>
              </w:rPr>
              <w:t>Indication:</w:t>
            </w:r>
            <w:r w:rsidRPr="00D86D37">
              <w:rPr>
                <w:rFonts w:ascii="Arial Narrow" w:hAnsi="Arial Narrow"/>
                <w:sz w:val="20"/>
                <w:szCs w:val="20"/>
              </w:rPr>
              <w:t xml:space="preserve"> Primary biliary cholangitis (previously known as Primary biliary cirrhosis)</w:t>
            </w:r>
          </w:p>
        </w:tc>
      </w:tr>
    </w:tbl>
    <w:p w14:paraId="673045DD" w14:textId="77777777" w:rsidR="00D10C20" w:rsidRDefault="00D10C20" w:rsidP="00800A41">
      <w:pPr>
        <w:pStyle w:val="3Bodytext"/>
        <w:keepNext/>
        <w:numPr>
          <w:ilvl w:val="0"/>
          <w:numId w:val="0"/>
        </w:numPr>
        <w:spacing w:after="0"/>
        <w:ind w:left="720"/>
        <w:jc w:val="both"/>
        <w:rPr>
          <w:i/>
        </w:rPr>
      </w:pPr>
    </w:p>
    <w:p w14:paraId="0F76B80D" w14:textId="7D3BFE71" w:rsidR="00DC2305" w:rsidRPr="00DC2305" w:rsidRDefault="00DC2305" w:rsidP="00DC2305">
      <w:pPr>
        <w:pStyle w:val="3Bodytext"/>
        <w:numPr>
          <w:ilvl w:val="0"/>
          <w:numId w:val="0"/>
        </w:numPr>
        <w:ind w:left="720"/>
        <w:jc w:val="both"/>
        <w:rPr>
          <w:b/>
          <w:bCs/>
          <w:color w:val="FF0000"/>
        </w:rPr>
      </w:pPr>
      <w:r w:rsidRPr="00C33D30">
        <w:rPr>
          <w:i/>
        </w:rPr>
        <w:t xml:space="preserve">For more detail on PBAC’s view, see section </w:t>
      </w:r>
      <w:r w:rsidR="00D10C20">
        <w:rPr>
          <w:i/>
        </w:rPr>
        <w:t>6</w:t>
      </w:r>
      <w:r w:rsidRPr="00C33D30">
        <w:rPr>
          <w:i/>
        </w:rPr>
        <w:t xml:space="preserve"> PBAC outcome</w:t>
      </w:r>
    </w:p>
    <w:p w14:paraId="025CCFF0" w14:textId="3320E179" w:rsidR="005A777F" w:rsidRPr="002B3698" w:rsidRDefault="005A777F" w:rsidP="000F62FC">
      <w:pPr>
        <w:pStyle w:val="2-SectionHeading"/>
        <w:jc w:val="both"/>
        <w:rPr>
          <w:color w:val="FF0000"/>
        </w:rPr>
      </w:pPr>
      <w:r w:rsidRPr="003C2FB5">
        <w:t>Comparator</w:t>
      </w:r>
      <w:r>
        <w:t xml:space="preserve"> </w:t>
      </w:r>
    </w:p>
    <w:p w14:paraId="763BEF49" w14:textId="70AD0B98" w:rsidR="00E67556" w:rsidRDefault="00350129" w:rsidP="000F62FC">
      <w:pPr>
        <w:pStyle w:val="3Bodytext"/>
        <w:jc w:val="both"/>
      </w:pPr>
      <w:bookmarkStart w:id="3" w:name="_Hlk124530127"/>
      <w:r w:rsidRPr="000F3275">
        <w:t>T</w:t>
      </w:r>
      <w:r w:rsidR="005A777F" w:rsidRPr="000F3275">
        <w:t xml:space="preserve">he submission did not nominate a comparator. This was appropriate as the request was for an increase in number of repeats </w:t>
      </w:r>
      <w:r w:rsidR="00F84CD3" w:rsidRPr="000F3275">
        <w:t>of the existing listings only</w:t>
      </w:r>
      <w:bookmarkEnd w:id="3"/>
      <w:r w:rsidR="00F84CD3" w:rsidRPr="000F3275">
        <w:t>.</w:t>
      </w:r>
      <w:r w:rsidR="00E67556" w:rsidRPr="000F3275">
        <w:t xml:space="preserve"> </w:t>
      </w:r>
    </w:p>
    <w:p w14:paraId="39A2C8D2" w14:textId="019D2393" w:rsidR="00DC2305" w:rsidRPr="000F3275" w:rsidRDefault="00DC2305" w:rsidP="00DC2305">
      <w:pPr>
        <w:pStyle w:val="3Bodytext"/>
        <w:numPr>
          <w:ilvl w:val="0"/>
          <w:numId w:val="0"/>
        </w:numPr>
        <w:ind w:left="720"/>
        <w:jc w:val="both"/>
      </w:pPr>
      <w:r w:rsidRPr="00C33D30">
        <w:rPr>
          <w:i/>
        </w:rPr>
        <w:t xml:space="preserve">For more detail on PBAC’s view, see section </w:t>
      </w:r>
      <w:r w:rsidR="00D10C20">
        <w:rPr>
          <w:i/>
        </w:rPr>
        <w:t>6</w:t>
      </w:r>
      <w:r w:rsidRPr="00C33D30">
        <w:rPr>
          <w:i/>
        </w:rPr>
        <w:t xml:space="preserve"> PBAC outcome</w:t>
      </w:r>
    </w:p>
    <w:p w14:paraId="042C46AC" w14:textId="733FEB8A" w:rsidR="005A777F" w:rsidRPr="00532652" w:rsidRDefault="005A777F" w:rsidP="000F62FC">
      <w:pPr>
        <w:pStyle w:val="2-SectionHeading"/>
        <w:jc w:val="both"/>
      </w:pPr>
      <w:r w:rsidRPr="003C2FB5">
        <w:lastRenderedPageBreak/>
        <w:t>Consideration of the evidence</w:t>
      </w:r>
    </w:p>
    <w:p w14:paraId="2306E2AC" w14:textId="77777777" w:rsidR="00127F16" w:rsidRPr="00127F16" w:rsidRDefault="00127F16" w:rsidP="00127F16">
      <w:pPr>
        <w:pStyle w:val="2-SectionHeading"/>
        <w:numPr>
          <w:ilvl w:val="0"/>
          <w:numId w:val="0"/>
        </w:numPr>
        <w:ind w:left="720" w:hanging="720"/>
        <w:jc w:val="both"/>
        <w:outlineLvl w:val="1"/>
        <w:rPr>
          <w:i/>
          <w:iCs/>
          <w:color w:val="000000" w:themeColor="text1"/>
          <w:sz w:val="28"/>
          <w:szCs w:val="28"/>
        </w:rPr>
      </w:pPr>
      <w:bookmarkStart w:id="4" w:name="_Hlk76375935"/>
      <w:r w:rsidRPr="00127F16">
        <w:rPr>
          <w:i/>
          <w:iCs/>
          <w:color w:val="000000" w:themeColor="text1"/>
          <w:sz w:val="28"/>
          <w:szCs w:val="28"/>
        </w:rPr>
        <w:t>Sponsor hearing</w:t>
      </w:r>
    </w:p>
    <w:p w14:paraId="351F1F27" w14:textId="67F573FA" w:rsidR="00127F16" w:rsidRPr="00F91542" w:rsidRDefault="00127F16" w:rsidP="00127F16">
      <w:pPr>
        <w:widowControl w:val="0"/>
        <w:numPr>
          <w:ilvl w:val="1"/>
          <w:numId w:val="2"/>
        </w:numPr>
        <w:spacing w:after="120"/>
        <w:rPr>
          <w:rFonts w:cs="Calibri"/>
          <w:bCs/>
          <w:snapToGrid w:val="0"/>
        </w:rPr>
      </w:pPr>
      <w:r w:rsidRPr="00F91542">
        <w:rPr>
          <w:rFonts w:cs="Calibri"/>
          <w:bCs/>
          <w:snapToGrid w:val="0"/>
        </w:rPr>
        <w:t xml:space="preserve"> </w:t>
      </w:r>
      <w:r w:rsidRPr="006D4BC6">
        <w:rPr>
          <w:rFonts w:cs="Calibri"/>
          <w:bCs/>
          <w:snapToGrid w:val="0"/>
        </w:rPr>
        <w:t>There was no hearing for this item.</w:t>
      </w:r>
    </w:p>
    <w:p w14:paraId="05FADE02" w14:textId="77777777" w:rsidR="00127F16" w:rsidRPr="00127F16" w:rsidRDefault="00127F16" w:rsidP="00127F16">
      <w:pPr>
        <w:pStyle w:val="2-SectionHeading"/>
        <w:numPr>
          <w:ilvl w:val="0"/>
          <w:numId w:val="0"/>
        </w:numPr>
        <w:ind w:left="720" w:hanging="720"/>
        <w:jc w:val="both"/>
        <w:outlineLvl w:val="1"/>
        <w:rPr>
          <w:i/>
          <w:iCs/>
          <w:color w:val="000000" w:themeColor="text1"/>
          <w:sz w:val="28"/>
          <w:szCs w:val="28"/>
        </w:rPr>
      </w:pPr>
      <w:r w:rsidRPr="00127F16">
        <w:rPr>
          <w:i/>
          <w:iCs/>
          <w:color w:val="000000" w:themeColor="text1"/>
          <w:sz w:val="28"/>
          <w:szCs w:val="28"/>
        </w:rPr>
        <w:t>Consumer comments</w:t>
      </w:r>
    </w:p>
    <w:p w14:paraId="0423A71B" w14:textId="61654C75" w:rsidR="00127F16" w:rsidRPr="006D4BC6" w:rsidRDefault="00127F16" w:rsidP="00127F16">
      <w:pPr>
        <w:widowControl w:val="0"/>
        <w:numPr>
          <w:ilvl w:val="1"/>
          <w:numId w:val="2"/>
        </w:numPr>
        <w:spacing w:after="120"/>
        <w:rPr>
          <w:rFonts w:asciiTheme="minorHAnsi" w:hAnsiTheme="minorHAnsi" w:cs="Arial"/>
          <w:bCs/>
          <w:snapToGrid w:val="0"/>
        </w:rPr>
      </w:pPr>
      <w:bookmarkStart w:id="5" w:name="_Hlk76382618"/>
      <w:r w:rsidRPr="006D4BC6">
        <w:rPr>
          <w:rFonts w:asciiTheme="minorHAnsi" w:hAnsiTheme="minorHAnsi" w:cs="Arial"/>
          <w:bCs/>
          <w:snapToGrid w:val="0"/>
        </w:rPr>
        <w:t>The PBAC noted and welcomed the input from health care professionals (</w:t>
      </w:r>
      <w:r w:rsidR="00943B6A" w:rsidRPr="006D4BC6">
        <w:rPr>
          <w:rFonts w:asciiTheme="minorHAnsi" w:hAnsiTheme="minorHAnsi" w:cs="Arial"/>
          <w:bCs/>
          <w:snapToGrid w:val="0"/>
        </w:rPr>
        <w:t>3</w:t>
      </w:r>
      <w:r w:rsidRPr="006D4BC6">
        <w:rPr>
          <w:rFonts w:asciiTheme="minorHAnsi" w:hAnsiTheme="minorHAnsi" w:cs="Arial"/>
          <w:bCs/>
          <w:snapToGrid w:val="0"/>
        </w:rPr>
        <w:t>) via the Consumer Comments facility on the PBS website.</w:t>
      </w:r>
      <w:r w:rsidR="00D10C20">
        <w:rPr>
          <w:rFonts w:asciiTheme="minorHAnsi" w:hAnsiTheme="minorHAnsi" w:cs="Arial"/>
          <w:bCs/>
          <w:snapToGrid w:val="0"/>
        </w:rPr>
        <w:t xml:space="preserve"> </w:t>
      </w:r>
      <w:r w:rsidRPr="006D4BC6">
        <w:rPr>
          <w:rFonts w:asciiTheme="minorHAnsi" w:hAnsiTheme="minorHAnsi" w:cs="Arial"/>
          <w:bCs/>
          <w:snapToGrid w:val="0"/>
        </w:rPr>
        <w:t xml:space="preserve">The comments described </w:t>
      </w:r>
      <w:r w:rsidR="00282BA8" w:rsidRPr="006D4BC6">
        <w:rPr>
          <w:rFonts w:asciiTheme="minorHAnsi" w:hAnsiTheme="minorHAnsi" w:cs="Arial"/>
          <w:bCs/>
          <w:snapToGrid w:val="0"/>
        </w:rPr>
        <w:t>that increasing the number of repeats of ursodeoxycholic acid prescriptions will reduce specialist visits</w:t>
      </w:r>
      <w:r w:rsidR="00D10C20">
        <w:rPr>
          <w:rFonts w:asciiTheme="minorHAnsi" w:hAnsiTheme="minorHAnsi" w:cs="Arial"/>
          <w:bCs/>
          <w:snapToGrid w:val="0"/>
        </w:rPr>
        <w:t xml:space="preserve"> and increase the capacity of relevant specialists and clinics. The input also</w:t>
      </w:r>
      <w:r w:rsidR="00282BA8" w:rsidRPr="006D4BC6">
        <w:rPr>
          <w:rFonts w:asciiTheme="minorHAnsi" w:hAnsiTheme="minorHAnsi" w:cs="Arial"/>
          <w:bCs/>
          <w:snapToGrid w:val="0"/>
        </w:rPr>
        <w:t xml:space="preserve"> </w:t>
      </w:r>
      <w:r w:rsidR="00D10C20">
        <w:rPr>
          <w:rFonts w:asciiTheme="minorHAnsi" w:hAnsiTheme="minorHAnsi" w:cs="Arial"/>
          <w:bCs/>
          <w:snapToGrid w:val="0"/>
        </w:rPr>
        <w:t xml:space="preserve">noted </w:t>
      </w:r>
      <w:r w:rsidR="00282BA8" w:rsidRPr="006D4BC6">
        <w:rPr>
          <w:rFonts w:asciiTheme="minorHAnsi" w:hAnsiTheme="minorHAnsi" w:cs="Arial"/>
          <w:bCs/>
          <w:snapToGrid w:val="0"/>
        </w:rPr>
        <w:t xml:space="preserve">that the treatment does not require regular safety assessments and </w:t>
      </w:r>
      <w:r w:rsidR="00703C43">
        <w:rPr>
          <w:rFonts w:asciiTheme="minorHAnsi" w:hAnsiTheme="minorHAnsi" w:cs="Arial"/>
          <w:bCs/>
          <w:snapToGrid w:val="0"/>
        </w:rPr>
        <w:t>considered that</w:t>
      </w:r>
      <w:r w:rsidR="00703C43" w:rsidRPr="006D4BC6">
        <w:rPr>
          <w:rFonts w:asciiTheme="minorHAnsi" w:hAnsiTheme="minorHAnsi" w:cs="Arial"/>
          <w:bCs/>
          <w:snapToGrid w:val="0"/>
        </w:rPr>
        <w:t xml:space="preserve"> </w:t>
      </w:r>
      <w:r w:rsidR="00282BA8" w:rsidRPr="006D4BC6">
        <w:rPr>
          <w:rFonts w:asciiTheme="minorHAnsi" w:hAnsiTheme="minorHAnsi" w:cs="Arial"/>
          <w:bCs/>
          <w:snapToGrid w:val="0"/>
        </w:rPr>
        <w:t xml:space="preserve">patients will contact their health professionals if their disease progresses. </w:t>
      </w:r>
    </w:p>
    <w:bookmarkEnd w:id="4"/>
    <w:bookmarkEnd w:id="5"/>
    <w:p w14:paraId="319FDDC5" w14:textId="77777777" w:rsidR="005A777F" w:rsidRPr="009B50DF" w:rsidRDefault="005A777F" w:rsidP="000F62FC">
      <w:pPr>
        <w:pStyle w:val="2-SectionHeading"/>
        <w:numPr>
          <w:ilvl w:val="0"/>
          <w:numId w:val="0"/>
        </w:numPr>
        <w:ind w:left="720" w:hanging="720"/>
        <w:jc w:val="both"/>
        <w:outlineLvl w:val="1"/>
        <w:rPr>
          <w:i/>
          <w:iCs/>
          <w:color w:val="000000" w:themeColor="text1"/>
          <w:sz w:val="28"/>
          <w:szCs w:val="28"/>
        </w:rPr>
      </w:pPr>
      <w:r w:rsidRPr="009B50DF">
        <w:rPr>
          <w:i/>
          <w:iCs/>
          <w:color w:val="000000" w:themeColor="text1"/>
          <w:sz w:val="28"/>
          <w:szCs w:val="28"/>
        </w:rPr>
        <w:t>Clinical trials</w:t>
      </w:r>
    </w:p>
    <w:p w14:paraId="5D0BABA0" w14:textId="24537801" w:rsidR="005A777F" w:rsidRPr="004F6044" w:rsidRDefault="005A777F" w:rsidP="000F62FC">
      <w:pPr>
        <w:pStyle w:val="3Bodytext"/>
        <w:jc w:val="both"/>
        <w:rPr>
          <w:b/>
        </w:rPr>
      </w:pPr>
      <w:r w:rsidRPr="002B3698">
        <w:t>The submission did not present any clinical trial</w:t>
      </w:r>
      <w:r>
        <w:t>s</w:t>
      </w:r>
      <w:r w:rsidRPr="002B3698">
        <w:t xml:space="preserve"> to support the application. The submission analysed the</w:t>
      </w:r>
      <w:r w:rsidR="00F84CD3">
        <w:t xml:space="preserve"> quantities of medicine required for treatment based on</w:t>
      </w:r>
      <w:r w:rsidRPr="002B3698">
        <w:t xml:space="preserve"> the mg/kg dosing regimen</w:t>
      </w:r>
      <w:r w:rsidR="00F84CD3">
        <w:t xml:space="preserve"> approved by the TGA</w:t>
      </w:r>
      <w:r w:rsidRPr="002B3698">
        <w:t xml:space="preserve"> and the </w:t>
      </w:r>
      <w:r w:rsidR="00F84CD3">
        <w:t>average body weight of each sex based on A</w:t>
      </w:r>
      <w:r w:rsidR="00AB6BD4">
        <w:t xml:space="preserve">ustralian Institute of </w:t>
      </w:r>
      <w:r w:rsidR="00F84CD3">
        <w:t>H</w:t>
      </w:r>
      <w:r w:rsidR="00AB6BD4">
        <w:t xml:space="preserve">ealth and </w:t>
      </w:r>
      <w:r w:rsidR="00F84CD3">
        <w:t>W</w:t>
      </w:r>
      <w:r w:rsidR="00AB6BD4">
        <w:t>elfare</w:t>
      </w:r>
      <w:r w:rsidR="00F84CD3">
        <w:t xml:space="preserve"> data</w:t>
      </w:r>
      <w:r w:rsidR="00231A74">
        <w:t xml:space="preserve"> (71.8 kg females and 87</w:t>
      </w:r>
      <w:r w:rsidR="00C373D8">
        <w:t> </w:t>
      </w:r>
      <w:r w:rsidR="00231A74">
        <w:t>kg males)</w:t>
      </w:r>
      <w:r w:rsidRPr="002B3698">
        <w:t xml:space="preserve">, the analysis presented in Tables 2 &amp; 3 </w:t>
      </w:r>
      <w:r w:rsidR="004F6044">
        <w:t>show the days of supply for both the existing and proposed listings for females and males respectively.</w:t>
      </w:r>
      <w:r w:rsidR="00F84CD3">
        <w:t xml:space="preserve"> </w:t>
      </w:r>
    </w:p>
    <w:p w14:paraId="32F1885F" w14:textId="4BC45CF8" w:rsidR="004F6044" w:rsidRPr="00D10C20" w:rsidRDefault="004F6044" w:rsidP="000F62FC">
      <w:pPr>
        <w:pStyle w:val="3Bodytext"/>
        <w:jc w:val="both"/>
        <w:rPr>
          <w:b/>
        </w:rPr>
      </w:pPr>
      <w:r>
        <w:t>The existing listings for the 250 mg form provide for between 120 and 150 days’ supply at the upper and lower ends of the dose range for females, while the proposed listing would provide 200 to 250 days’ supply. The 500 mg form listing provides for the same amounts (Table 2).</w:t>
      </w:r>
      <w:r w:rsidR="00231A74">
        <w:t xml:space="preserve"> </w:t>
      </w:r>
      <w:r w:rsidR="00231A74" w:rsidRPr="00E03121">
        <w:t>The Secretariat note</w:t>
      </w:r>
      <w:r w:rsidR="00D86D37" w:rsidRPr="00E03121">
        <w:t>d</w:t>
      </w:r>
      <w:r w:rsidR="00231A74" w:rsidRPr="00E03121">
        <w:t xml:space="preserve"> the approach of rounding calculations up, such as estimating use of 2.5 x 500 mg (1250 mg total) tablets for males where the intended dose is 1044 mg, may not reflect use in practice</w:t>
      </w:r>
      <w:r w:rsidR="00C373D8" w:rsidRPr="00E03121">
        <w:t>,</w:t>
      </w:r>
      <w:r w:rsidR="00231A74" w:rsidRPr="00E03121">
        <w:t xml:space="preserve"> where rounding down may also be considered by clinicians. </w:t>
      </w:r>
    </w:p>
    <w:p w14:paraId="25B19C02" w14:textId="1ACEF2C8" w:rsidR="004F6044" w:rsidRPr="000C59F7" w:rsidRDefault="004F6044" w:rsidP="000F62FC">
      <w:pPr>
        <w:pStyle w:val="3Bodytext"/>
        <w:jc w:val="both"/>
        <w:rPr>
          <w:b/>
        </w:rPr>
      </w:pPr>
      <w:r>
        <w:t xml:space="preserve">The existing listings for 250 mg form </w:t>
      </w:r>
      <w:r w:rsidR="00231A74">
        <w:t>provide</w:t>
      </w:r>
      <w:r>
        <w:t xml:space="preserve"> for 100 to 120 days’ supply </w:t>
      </w:r>
      <w:r w:rsidRPr="004F6044">
        <w:t xml:space="preserve">for males </w:t>
      </w:r>
      <w:r>
        <w:t>at the upper and lower ends of the dose range, while the proposed listing would provide 166 to 200 days’ supply. The 500 mg form listing provides for the same amounts (Table</w:t>
      </w:r>
      <w:r w:rsidR="008416C6">
        <w:t> </w:t>
      </w:r>
      <w:r>
        <w:t>3).</w:t>
      </w:r>
    </w:p>
    <w:p w14:paraId="32BC57D4" w14:textId="77777777" w:rsidR="005A777F" w:rsidRPr="009B50DF" w:rsidRDefault="005A777F" w:rsidP="000F62FC">
      <w:pPr>
        <w:pStyle w:val="4-SubsectionHeading"/>
        <w:rPr>
          <w:szCs w:val="28"/>
          <w:lang w:eastAsia="en-US"/>
        </w:rPr>
      </w:pPr>
      <w:r w:rsidRPr="009B50DF">
        <w:rPr>
          <w:szCs w:val="28"/>
          <w:lang w:eastAsia="en-US"/>
        </w:rPr>
        <w:t>Clinical claim</w:t>
      </w:r>
    </w:p>
    <w:p w14:paraId="6443CB49" w14:textId="5E593371" w:rsidR="00C86CB8" w:rsidRPr="007B708C" w:rsidRDefault="00C86CB8" w:rsidP="000F62FC">
      <w:pPr>
        <w:pStyle w:val="3Bodytext"/>
        <w:jc w:val="both"/>
        <w:rPr>
          <w:bCs/>
          <w:szCs w:val="24"/>
        </w:rPr>
      </w:pPr>
      <w:r w:rsidRPr="00195715">
        <w:rPr>
          <w:bCs/>
          <w:szCs w:val="24"/>
        </w:rPr>
        <w:t xml:space="preserve">Based on recommended weight-based dosage ranges, the </w:t>
      </w:r>
      <w:r>
        <w:rPr>
          <w:bCs/>
          <w:szCs w:val="24"/>
        </w:rPr>
        <w:t xml:space="preserve">current listings for ursodeoxycholic acid </w:t>
      </w:r>
      <w:r w:rsidRPr="00195715">
        <w:rPr>
          <w:bCs/>
          <w:szCs w:val="24"/>
        </w:rPr>
        <w:t>provides PBC patients with only 3 to 5 months</w:t>
      </w:r>
      <w:r w:rsidR="00C373D8">
        <w:rPr>
          <w:bCs/>
          <w:szCs w:val="24"/>
        </w:rPr>
        <w:t>’</w:t>
      </w:r>
      <w:r w:rsidRPr="00195715">
        <w:rPr>
          <w:bCs/>
          <w:szCs w:val="24"/>
        </w:rPr>
        <w:t xml:space="preserve"> treatment </w:t>
      </w:r>
      <w:r w:rsidR="00F84CD3">
        <w:rPr>
          <w:bCs/>
          <w:szCs w:val="24"/>
        </w:rPr>
        <w:t xml:space="preserve">per prescription at maximum quantity and repeats </w:t>
      </w:r>
      <w:r w:rsidRPr="00195715">
        <w:rPr>
          <w:bCs/>
          <w:szCs w:val="24"/>
        </w:rPr>
        <w:t>(depending on dose and weight of the individual).</w:t>
      </w:r>
    </w:p>
    <w:p w14:paraId="16901907" w14:textId="312F8A1E" w:rsidR="00FA58BB" w:rsidRPr="000F3275" w:rsidRDefault="00C86CB8" w:rsidP="000F62FC">
      <w:pPr>
        <w:pStyle w:val="3Bodytext"/>
        <w:jc w:val="both"/>
        <w:rPr>
          <w:snapToGrid w:val="0"/>
        </w:rPr>
      </w:pPr>
      <w:r w:rsidRPr="000F3275">
        <w:rPr>
          <w:snapToGrid w:val="0"/>
        </w:rPr>
        <w:t xml:space="preserve">Increasing the number of repeats would allow </w:t>
      </w:r>
      <w:r w:rsidR="00231A74" w:rsidRPr="000F3275">
        <w:rPr>
          <w:snapToGrid w:val="0"/>
        </w:rPr>
        <w:t xml:space="preserve">female </w:t>
      </w:r>
      <w:r w:rsidRPr="000F3275">
        <w:rPr>
          <w:snapToGrid w:val="0"/>
        </w:rPr>
        <w:t xml:space="preserve">patients </w:t>
      </w:r>
      <w:r w:rsidR="00231A74" w:rsidRPr="000F3275">
        <w:rPr>
          <w:snapToGrid w:val="0"/>
        </w:rPr>
        <w:t xml:space="preserve">on the upper and lower dose range and male patients </w:t>
      </w:r>
      <w:r w:rsidRPr="000F3275">
        <w:rPr>
          <w:snapToGrid w:val="0"/>
        </w:rPr>
        <w:t>on the</w:t>
      </w:r>
      <w:r w:rsidR="00231A74" w:rsidRPr="000F3275">
        <w:rPr>
          <w:snapToGrid w:val="0"/>
        </w:rPr>
        <w:t xml:space="preserve"> lower dose</w:t>
      </w:r>
      <w:r w:rsidRPr="000F3275">
        <w:rPr>
          <w:snapToGrid w:val="0"/>
        </w:rPr>
        <w:t xml:space="preserve"> range to have access to over 6</w:t>
      </w:r>
      <w:r w:rsidR="00C373D8" w:rsidRPr="000F3275">
        <w:rPr>
          <w:snapToGrid w:val="0"/>
        </w:rPr>
        <w:t> </w:t>
      </w:r>
      <w:r w:rsidRPr="000F3275">
        <w:rPr>
          <w:snapToGrid w:val="0"/>
        </w:rPr>
        <w:t xml:space="preserve">months of supply </w:t>
      </w:r>
      <w:r w:rsidR="00231A74" w:rsidRPr="000F3275">
        <w:rPr>
          <w:snapToGrid w:val="0"/>
        </w:rPr>
        <w:t>per prescription.</w:t>
      </w:r>
      <w:r w:rsidRPr="000F3275">
        <w:rPr>
          <w:snapToGrid w:val="0"/>
        </w:rPr>
        <w:t xml:space="preserve"> </w:t>
      </w:r>
      <w:bookmarkStart w:id="6" w:name="_Ref113658473"/>
      <w:r w:rsidR="00231A74" w:rsidRPr="000F3275">
        <w:rPr>
          <w:snapToGrid w:val="0"/>
        </w:rPr>
        <w:t>The PBAC is asked to advise if this is appropriate.</w:t>
      </w:r>
    </w:p>
    <w:p w14:paraId="36419B2E" w14:textId="429A8B04" w:rsidR="00C86CB8" w:rsidRDefault="00C86CB8" w:rsidP="004D6151">
      <w:pPr>
        <w:pStyle w:val="2-SectionHeading"/>
        <w:numPr>
          <w:ilvl w:val="0"/>
          <w:numId w:val="0"/>
        </w:numPr>
        <w:spacing w:after="0"/>
        <w:outlineLvl w:val="9"/>
        <w:rPr>
          <w:rFonts w:ascii="Arial Narrow" w:eastAsiaTheme="majorEastAsia" w:hAnsi="Arial Narrow" w:cstheme="majorBidi"/>
          <w:snapToGrid/>
          <w:sz w:val="20"/>
          <w:szCs w:val="20"/>
        </w:rPr>
      </w:pPr>
      <w:r w:rsidRPr="000C59F7">
        <w:rPr>
          <w:rFonts w:ascii="Arial Narrow" w:eastAsiaTheme="majorEastAsia" w:hAnsi="Arial Narrow" w:cstheme="majorBidi"/>
          <w:snapToGrid/>
          <w:sz w:val="20"/>
          <w:szCs w:val="20"/>
        </w:rPr>
        <w:lastRenderedPageBreak/>
        <w:t xml:space="preserve">Table </w:t>
      </w:r>
      <w:r w:rsidRPr="000C59F7">
        <w:rPr>
          <w:rFonts w:ascii="Arial Narrow" w:eastAsiaTheme="majorEastAsia" w:hAnsi="Arial Narrow" w:cstheme="majorBidi"/>
          <w:snapToGrid/>
          <w:sz w:val="20"/>
          <w:szCs w:val="20"/>
        </w:rPr>
        <w:fldChar w:fldCharType="begin"/>
      </w:r>
      <w:r w:rsidRPr="000C59F7">
        <w:rPr>
          <w:rFonts w:ascii="Arial Narrow" w:eastAsiaTheme="majorEastAsia" w:hAnsi="Arial Narrow" w:cstheme="majorBidi"/>
          <w:snapToGrid/>
          <w:sz w:val="20"/>
          <w:szCs w:val="20"/>
        </w:rPr>
        <w:instrText xml:space="preserve"> SEQ Table \* ARABIC </w:instrText>
      </w:r>
      <w:r w:rsidRPr="000C59F7">
        <w:rPr>
          <w:rFonts w:ascii="Arial Narrow" w:eastAsiaTheme="majorEastAsia" w:hAnsi="Arial Narrow" w:cstheme="majorBidi"/>
          <w:snapToGrid/>
          <w:sz w:val="20"/>
          <w:szCs w:val="20"/>
        </w:rPr>
        <w:fldChar w:fldCharType="separate"/>
      </w:r>
      <w:r w:rsidR="0042063E">
        <w:rPr>
          <w:rFonts w:ascii="Arial Narrow" w:eastAsiaTheme="majorEastAsia" w:hAnsi="Arial Narrow" w:cstheme="majorBidi"/>
          <w:noProof/>
          <w:snapToGrid/>
          <w:sz w:val="20"/>
          <w:szCs w:val="20"/>
        </w:rPr>
        <w:t>1</w:t>
      </w:r>
      <w:r w:rsidRPr="000C59F7">
        <w:rPr>
          <w:rFonts w:ascii="Arial Narrow" w:eastAsiaTheme="majorEastAsia" w:hAnsi="Arial Narrow" w:cstheme="majorBidi"/>
          <w:snapToGrid/>
          <w:sz w:val="20"/>
          <w:szCs w:val="20"/>
        </w:rPr>
        <w:fldChar w:fldCharType="end"/>
      </w:r>
      <w:bookmarkEnd w:id="6"/>
      <w:r w:rsidRPr="000C59F7">
        <w:rPr>
          <w:rFonts w:ascii="Arial Narrow" w:eastAsiaTheme="majorEastAsia" w:hAnsi="Arial Narrow" w:cstheme="majorBidi"/>
          <w:snapToGrid/>
          <w:sz w:val="20"/>
          <w:szCs w:val="20"/>
        </w:rPr>
        <w:t>:</w:t>
      </w:r>
      <w:r w:rsidRPr="002B3698">
        <w:rPr>
          <w:rFonts w:ascii="Arial Narrow" w:eastAsiaTheme="majorEastAsia" w:hAnsi="Arial Narrow" w:cstheme="majorBidi"/>
          <w:b w:val="0"/>
          <w:snapToGrid/>
          <w:sz w:val="20"/>
          <w:szCs w:val="20"/>
        </w:rPr>
        <w:t xml:space="preserve"> </w:t>
      </w:r>
      <w:r w:rsidRPr="002B3698">
        <w:rPr>
          <w:rFonts w:ascii="Arial Narrow" w:eastAsiaTheme="majorEastAsia" w:hAnsi="Arial Narrow" w:cstheme="majorBidi"/>
          <w:snapToGrid/>
          <w:sz w:val="20"/>
          <w:szCs w:val="20"/>
        </w:rPr>
        <w:t xml:space="preserve">Ursofalk </w:t>
      </w:r>
      <w:r w:rsidR="004F18BA">
        <w:rPr>
          <w:rFonts w:ascii="Arial Narrow" w:eastAsiaTheme="majorEastAsia" w:hAnsi="Arial Narrow" w:cstheme="majorBidi"/>
          <w:snapToGrid/>
          <w:sz w:val="20"/>
          <w:szCs w:val="20"/>
        </w:rPr>
        <w:t>PBS quantities of existing and proposed PBS listings</w:t>
      </w:r>
      <w:r w:rsidRPr="002B3698">
        <w:rPr>
          <w:rFonts w:ascii="Arial Narrow" w:eastAsiaTheme="majorEastAsia" w:hAnsi="Arial Narrow" w:cstheme="majorBidi"/>
          <w:snapToGrid/>
          <w:sz w:val="20"/>
          <w:szCs w:val="20"/>
        </w:rPr>
        <w:t xml:space="preserve"> for </w:t>
      </w:r>
      <w:r w:rsidR="004F18BA">
        <w:rPr>
          <w:rFonts w:ascii="Arial Narrow" w:eastAsiaTheme="majorEastAsia" w:hAnsi="Arial Narrow" w:cstheme="majorBidi"/>
          <w:snapToGrid/>
          <w:sz w:val="20"/>
          <w:szCs w:val="20"/>
        </w:rPr>
        <w:t>females based on average body weight</w:t>
      </w:r>
    </w:p>
    <w:tbl>
      <w:tblPr>
        <w:tblW w:w="0" w:type="auto"/>
        <w:tblLayout w:type="fixed"/>
        <w:tblLook w:val="04A0" w:firstRow="1" w:lastRow="0" w:firstColumn="1" w:lastColumn="0" w:noHBand="0" w:noVBand="1"/>
        <w:tblCaption w:val="Table 2: Ursofalk PBS quantities of existing and proposed PBS listings for females based on average body weight"/>
      </w:tblPr>
      <w:tblGrid>
        <w:gridCol w:w="3468"/>
        <w:gridCol w:w="1347"/>
        <w:gridCol w:w="1314"/>
        <w:gridCol w:w="1459"/>
        <w:gridCol w:w="1428"/>
      </w:tblGrid>
      <w:tr w:rsidR="004F18BA" w:rsidRPr="004F18BA" w14:paraId="30735853" w14:textId="77777777" w:rsidTr="00A91F37">
        <w:trPr>
          <w:trHeight w:val="283"/>
        </w:trPr>
        <w:tc>
          <w:tcPr>
            <w:tcW w:w="3468"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2B65087F" w14:textId="77777777" w:rsidR="004F18BA" w:rsidRPr="004F18BA" w:rsidRDefault="004F18BA" w:rsidP="004D6151">
            <w:pPr>
              <w:keepNext/>
              <w:jc w:val="left"/>
              <w:rPr>
                <w:rFonts w:ascii="Times New Roman" w:hAnsi="Times New Roman"/>
                <w:color w:val="000000"/>
                <w:sz w:val="20"/>
                <w:szCs w:val="20"/>
              </w:rPr>
            </w:pPr>
            <w:r w:rsidRPr="004F18BA">
              <w:rPr>
                <w:rFonts w:ascii="Times New Roman" w:hAnsi="Times New Roman"/>
                <w:color w:val="000000"/>
                <w:sz w:val="20"/>
                <w:szCs w:val="20"/>
              </w:rPr>
              <w:t> </w:t>
            </w:r>
          </w:p>
        </w:tc>
        <w:tc>
          <w:tcPr>
            <w:tcW w:w="2661" w:type="dxa"/>
            <w:gridSpan w:val="2"/>
            <w:tcBorders>
              <w:top w:val="single" w:sz="4" w:space="0" w:color="auto"/>
              <w:left w:val="nil"/>
              <w:bottom w:val="single" w:sz="4" w:space="0" w:color="auto"/>
              <w:right w:val="single" w:sz="4" w:space="0" w:color="000000"/>
            </w:tcBorders>
            <w:shd w:val="clear" w:color="000000" w:fill="D9D9D9"/>
            <w:vAlign w:val="center"/>
            <w:hideMark/>
          </w:tcPr>
          <w:p w14:paraId="5E03AFD3" w14:textId="77777777" w:rsidR="004F18BA" w:rsidRPr="004F18BA" w:rsidRDefault="004F18BA" w:rsidP="004D6151">
            <w:pPr>
              <w:keepNext/>
              <w:jc w:val="left"/>
              <w:rPr>
                <w:rFonts w:ascii="Arial Narrow" w:hAnsi="Arial Narrow" w:cs="Calibri"/>
                <w:b/>
                <w:bCs/>
                <w:color w:val="000000"/>
                <w:sz w:val="20"/>
                <w:szCs w:val="20"/>
              </w:rPr>
            </w:pPr>
            <w:r w:rsidRPr="004F18BA">
              <w:rPr>
                <w:rFonts w:ascii="Arial Narrow" w:hAnsi="Arial Narrow" w:cs="Calibri"/>
                <w:b/>
                <w:bCs/>
                <w:color w:val="000000"/>
                <w:sz w:val="20"/>
                <w:szCs w:val="20"/>
              </w:rPr>
              <w:t>Existing PBS Listings</w:t>
            </w:r>
          </w:p>
        </w:tc>
        <w:tc>
          <w:tcPr>
            <w:tcW w:w="2887" w:type="dxa"/>
            <w:gridSpan w:val="2"/>
            <w:tcBorders>
              <w:top w:val="single" w:sz="4" w:space="0" w:color="auto"/>
              <w:left w:val="nil"/>
              <w:bottom w:val="single" w:sz="4" w:space="0" w:color="auto"/>
              <w:right w:val="single" w:sz="4" w:space="0" w:color="000000"/>
            </w:tcBorders>
            <w:shd w:val="clear" w:color="000000" w:fill="D9D9D9"/>
            <w:vAlign w:val="center"/>
            <w:hideMark/>
          </w:tcPr>
          <w:p w14:paraId="4E7D1AA0" w14:textId="77777777" w:rsidR="004F18BA" w:rsidRPr="004F18BA" w:rsidRDefault="004F18BA" w:rsidP="004D6151">
            <w:pPr>
              <w:keepNext/>
              <w:jc w:val="left"/>
              <w:rPr>
                <w:rFonts w:ascii="Arial Narrow" w:hAnsi="Arial Narrow" w:cs="Calibri"/>
                <w:b/>
                <w:bCs/>
                <w:color w:val="000000"/>
                <w:sz w:val="20"/>
                <w:szCs w:val="20"/>
              </w:rPr>
            </w:pPr>
            <w:r w:rsidRPr="004F18BA">
              <w:rPr>
                <w:rFonts w:ascii="Arial Narrow" w:hAnsi="Arial Narrow" w:cs="Calibri"/>
                <w:b/>
                <w:bCs/>
                <w:color w:val="000000"/>
                <w:sz w:val="20"/>
                <w:szCs w:val="20"/>
              </w:rPr>
              <w:t>Proposed PBS Listings</w:t>
            </w:r>
          </w:p>
        </w:tc>
      </w:tr>
      <w:tr w:rsidR="004F18BA" w:rsidRPr="004F18BA" w14:paraId="081C7336" w14:textId="77777777" w:rsidTr="00A91F37">
        <w:trPr>
          <w:trHeight w:val="454"/>
        </w:trPr>
        <w:tc>
          <w:tcPr>
            <w:tcW w:w="3468" w:type="dxa"/>
            <w:tcBorders>
              <w:top w:val="nil"/>
              <w:left w:val="single" w:sz="4" w:space="0" w:color="auto"/>
              <w:bottom w:val="single" w:sz="4" w:space="0" w:color="auto"/>
              <w:right w:val="single" w:sz="4" w:space="0" w:color="auto"/>
            </w:tcBorders>
            <w:shd w:val="clear" w:color="000000" w:fill="D9D9D9"/>
            <w:vAlign w:val="bottom"/>
            <w:hideMark/>
          </w:tcPr>
          <w:p w14:paraId="541026B7" w14:textId="77777777" w:rsidR="004F18BA" w:rsidRPr="004F18BA" w:rsidRDefault="004F18BA" w:rsidP="004D6151">
            <w:pPr>
              <w:keepNext/>
              <w:jc w:val="left"/>
              <w:rPr>
                <w:rFonts w:ascii="Times New Roman" w:hAnsi="Times New Roman"/>
                <w:color w:val="000000"/>
                <w:sz w:val="20"/>
                <w:szCs w:val="20"/>
              </w:rPr>
            </w:pPr>
            <w:r w:rsidRPr="004F18BA">
              <w:rPr>
                <w:rFonts w:ascii="Times New Roman" w:hAnsi="Times New Roman"/>
                <w:color w:val="000000"/>
                <w:sz w:val="20"/>
                <w:szCs w:val="20"/>
              </w:rPr>
              <w:t> </w:t>
            </w:r>
          </w:p>
        </w:tc>
        <w:tc>
          <w:tcPr>
            <w:tcW w:w="1347" w:type="dxa"/>
            <w:tcBorders>
              <w:top w:val="nil"/>
              <w:left w:val="nil"/>
              <w:bottom w:val="single" w:sz="4" w:space="0" w:color="auto"/>
              <w:right w:val="single" w:sz="4" w:space="0" w:color="auto"/>
            </w:tcBorders>
            <w:shd w:val="clear" w:color="000000" w:fill="D9D9D9"/>
            <w:vAlign w:val="center"/>
            <w:hideMark/>
          </w:tcPr>
          <w:p w14:paraId="0AAA2E06" w14:textId="77777777" w:rsidR="004F18BA" w:rsidRPr="004F18BA" w:rsidRDefault="004F18BA" w:rsidP="004D6151">
            <w:pPr>
              <w:keepNext/>
              <w:jc w:val="left"/>
              <w:rPr>
                <w:rFonts w:ascii="Arial Narrow" w:hAnsi="Arial Narrow" w:cs="Calibri"/>
                <w:b/>
                <w:bCs/>
                <w:color w:val="000000"/>
                <w:sz w:val="20"/>
                <w:szCs w:val="20"/>
              </w:rPr>
            </w:pPr>
            <w:r w:rsidRPr="004F18BA">
              <w:rPr>
                <w:rFonts w:ascii="Arial Narrow" w:hAnsi="Arial Narrow" w:cs="Calibri"/>
                <w:b/>
                <w:bCs/>
                <w:color w:val="000000"/>
                <w:sz w:val="20"/>
                <w:szCs w:val="20"/>
              </w:rPr>
              <w:t>Upper range</w:t>
            </w:r>
          </w:p>
        </w:tc>
        <w:tc>
          <w:tcPr>
            <w:tcW w:w="1314" w:type="dxa"/>
            <w:tcBorders>
              <w:top w:val="nil"/>
              <w:left w:val="nil"/>
              <w:bottom w:val="single" w:sz="4" w:space="0" w:color="auto"/>
              <w:right w:val="single" w:sz="4" w:space="0" w:color="auto"/>
            </w:tcBorders>
            <w:shd w:val="clear" w:color="000000" w:fill="D9D9D9"/>
            <w:vAlign w:val="center"/>
            <w:hideMark/>
          </w:tcPr>
          <w:p w14:paraId="3DB4531A" w14:textId="77777777" w:rsidR="004F18BA" w:rsidRPr="004F18BA" w:rsidRDefault="004F18BA" w:rsidP="004D6151">
            <w:pPr>
              <w:keepNext/>
              <w:jc w:val="left"/>
              <w:rPr>
                <w:rFonts w:ascii="Arial Narrow" w:hAnsi="Arial Narrow" w:cs="Calibri"/>
                <w:b/>
                <w:bCs/>
                <w:color w:val="000000"/>
                <w:sz w:val="20"/>
                <w:szCs w:val="20"/>
              </w:rPr>
            </w:pPr>
            <w:r w:rsidRPr="004F18BA">
              <w:rPr>
                <w:rFonts w:ascii="Arial Narrow" w:hAnsi="Arial Narrow" w:cs="Calibri"/>
                <w:b/>
                <w:bCs/>
                <w:color w:val="000000"/>
                <w:sz w:val="20"/>
                <w:szCs w:val="20"/>
              </w:rPr>
              <w:t>Lower range</w:t>
            </w:r>
          </w:p>
        </w:tc>
        <w:tc>
          <w:tcPr>
            <w:tcW w:w="1459" w:type="dxa"/>
            <w:tcBorders>
              <w:top w:val="nil"/>
              <w:left w:val="nil"/>
              <w:bottom w:val="single" w:sz="4" w:space="0" w:color="auto"/>
              <w:right w:val="single" w:sz="4" w:space="0" w:color="auto"/>
            </w:tcBorders>
            <w:shd w:val="clear" w:color="000000" w:fill="D9D9D9"/>
            <w:vAlign w:val="center"/>
            <w:hideMark/>
          </w:tcPr>
          <w:p w14:paraId="49E4EBC1" w14:textId="77777777" w:rsidR="004F18BA" w:rsidRPr="004F18BA" w:rsidRDefault="004F18BA" w:rsidP="004D6151">
            <w:pPr>
              <w:keepNext/>
              <w:jc w:val="left"/>
              <w:rPr>
                <w:rFonts w:ascii="Arial Narrow" w:hAnsi="Arial Narrow" w:cs="Calibri"/>
                <w:b/>
                <w:bCs/>
                <w:color w:val="000000"/>
                <w:sz w:val="20"/>
                <w:szCs w:val="20"/>
              </w:rPr>
            </w:pPr>
            <w:r w:rsidRPr="004F18BA">
              <w:rPr>
                <w:rFonts w:ascii="Arial Narrow" w:hAnsi="Arial Narrow" w:cs="Calibri"/>
                <w:b/>
                <w:bCs/>
                <w:color w:val="000000"/>
                <w:sz w:val="20"/>
                <w:szCs w:val="20"/>
              </w:rPr>
              <w:t>Upper range</w:t>
            </w:r>
          </w:p>
        </w:tc>
        <w:tc>
          <w:tcPr>
            <w:tcW w:w="1428" w:type="dxa"/>
            <w:tcBorders>
              <w:top w:val="nil"/>
              <w:left w:val="nil"/>
              <w:bottom w:val="single" w:sz="4" w:space="0" w:color="auto"/>
              <w:right w:val="single" w:sz="4" w:space="0" w:color="auto"/>
            </w:tcBorders>
            <w:shd w:val="clear" w:color="000000" w:fill="D9D9D9"/>
            <w:vAlign w:val="center"/>
            <w:hideMark/>
          </w:tcPr>
          <w:p w14:paraId="6E3526C0" w14:textId="77777777" w:rsidR="004F18BA" w:rsidRPr="004F18BA" w:rsidRDefault="004F18BA" w:rsidP="004D6151">
            <w:pPr>
              <w:keepNext/>
              <w:jc w:val="left"/>
              <w:rPr>
                <w:rFonts w:ascii="Arial Narrow" w:hAnsi="Arial Narrow" w:cs="Calibri"/>
                <w:b/>
                <w:bCs/>
                <w:color w:val="000000"/>
                <w:sz w:val="20"/>
                <w:szCs w:val="20"/>
              </w:rPr>
            </w:pPr>
            <w:r w:rsidRPr="004F18BA">
              <w:rPr>
                <w:rFonts w:ascii="Arial Narrow" w:hAnsi="Arial Narrow" w:cs="Calibri"/>
                <w:b/>
                <w:bCs/>
                <w:color w:val="000000"/>
                <w:sz w:val="20"/>
                <w:szCs w:val="20"/>
              </w:rPr>
              <w:t>Lower range</w:t>
            </w:r>
          </w:p>
        </w:tc>
      </w:tr>
      <w:tr w:rsidR="004F6044" w:rsidRPr="004F18BA" w14:paraId="72F83D63" w14:textId="77777777" w:rsidTr="00A91F37">
        <w:trPr>
          <w:trHeight w:val="312"/>
        </w:trPr>
        <w:tc>
          <w:tcPr>
            <w:tcW w:w="3468" w:type="dxa"/>
            <w:tcBorders>
              <w:top w:val="nil"/>
              <w:left w:val="single" w:sz="4" w:space="0" w:color="auto"/>
              <w:bottom w:val="single" w:sz="4" w:space="0" w:color="auto"/>
              <w:right w:val="single" w:sz="4" w:space="0" w:color="auto"/>
            </w:tcBorders>
            <w:shd w:val="clear" w:color="auto" w:fill="auto"/>
            <w:vAlign w:val="center"/>
            <w:hideMark/>
          </w:tcPr>
          <w:p w14:paraId="467CA1FA" w14:textId="77777777" w:rsidR="004F18BA" w:rsidRPr="004F18BA" w:rsidRDefault="004F18BA" w:rsidP="004D6151">
            <w:pPr>
              <w:keepNext/>
              <w:jc w:val="left"/>
              <w:rPr>
                <w:rFonts w:ascii="Arial Narrow" w:hAnsi="Arial Narrow" w:cs="Calibri"/>
                <w:color w:val="000000"/>
                <w:sz w:val="20"/>
                <w:szCs w:val="20"/>
              </w:rPr>
            </w:pPr>
            <w:r w:rsidRPr="004F18BA">
              <w:rPr>
                <w:rFonts w:ascii="Arial Narrow" w:hAnsi="Arial Narrow" w:cs="Calibri"/>
                <w:color w:val="000000"/>
                <w:sz w:val="20"/>
                <w:szCs w:val="20"/>
              </w:rPr>
              <w:t>UDCA dose (mg/kg per day)</w:t>
            </w:r>
          </w:p>
        </w:tc>
        <w:tc>
          <w:tcPr>
            <w:tcW w:w="1347" w:type="dxa"/>
            <w:tcBorders>
              <w:top w:val="nil"/>
              <w:left w:val="nil"/>
              <w:bottom w:val="single" w:sz="4" w:space="0" w:color="auto"/>
              <w:right w:val="single" w:sz="4" w:space="0" w:color="auto"/>
            </w:tcBorders>
            <w:shd w:val="clear" w:color="auto" w:fill="auto"/>
            <w:vAlign w:val="center"/>
            <w:hideMark/>
          </w:tcPr>
          <w:p w14:paraId="365ED8F9" w14:textId="77777777" w:rsidR="004F18BA" w:rsidRPr="004F18BA" w:rsidRDefault="004F18BA" w:rsidP="004D6151">
            <w:pPr>
              <w:keepNext/>
              <w:jc w:val="right"/>
              <w:rPr>
                <w:rFonts w:ascii="Arial Narrow" w:hAnsi="Arial Narrow" w:cs="Calibri"/>
                <w:color w:val="000000"/>
                <w:sz w:val="20"/>
                <w:szCs w:val="20"/>
              </w:rPr>
            </w:pPr>
            <w:r w:rsidRPr="004F18BA">
              <w:rPr>
                <w:rFonts w:ascii="Arial Narrow" w:hAnsi="Arial Narrow" w:cs="Calibri"/>
                <w:color w:val="000000"/>
                <w:sz w:val="20"/>
                <w:szCs w:val="20"/>
              </w:rPr>
              <w:t>16</w:t>
            </w:r>
          </w:p>
        </w:tc>
        <w:tc>
          <w:tcPr>
            <w:tcW w:w="1314" w:type="dxa"/>
            <w:tcBorders>
              <w:top w:val="nil"/>
              <w:left w:val="nil"/>
              <w:bottom w:val="single" w:sz="4" w:space="0" w:color="auto"/>
              <w:right w:val="single" w:sz="4" w:space="0" w:color="auto"/>
            </w:tcBorders>
            <w:shd w:val="clear" w:color="auto" w:fill="auto"/>
            <w:vAlign w:val="center"/>
            <w:hideMark/>
          </w:tcPr>
          <w:p w14:paraId="6FB6AA89" w14:textId="77777777" w:rsidR="004F18BA" w:rsidRPr="004F18BA" w:rsidRDefault="004F18BA" w:rsidP="004D6151">
            <w:pPr>
              <w:keepNext/>
              <w:jc w:val="right"/>
              <w:rPr>
                <w:rFonts w:ascii="Arial Narrow" w:hAnsi="Arial Narrow" w:cs="Calibri"/>
                <w:color w:val="000000"/>
                <w:sz w:val="20"/>
                <w:szCs w:val="20"/>
              </w:rPr>
            </w:pPr>
            <w:r w:rsidRPr="004F18BA">
              <w:rPr>
                <w:rFonts w:ascii="Arial Narrow" w:hAnsi="Arial Narrow" w:cs="Calibri"/>
                <w:color w:val="000000"/>
                <w:sz w:val="20"/>
                <w:szCs w:val="20"/>
              </w:rPr>
              <w:t>12</w:t>
            </w:r>
          </w:p>
        </w:tc>
        <w:tc>
          <w:tcPr>
            <w:tcW w:w="1459" w:type="dxa"/>
            <w:tcBorders>
              <w:top w:val="nil"/>
              <w:left w:val="nil"/>
              <w:bottom w:val="single" w:sz="4" w:space="0" w:color="auto"/>
              <w:right w:val="single" w:sz="4" w:space="0" w:color="auto"/>
            </w:tcBorders>
            <w:shd w:val="clear" w:color="auto" w:fill="auto"/>
            <w:vAlign w:val="center"/>
            <w:hideMark/>
          </w:tcPr>
          <w:p w14:paraId="4DB9410E" w14:textId="77777777" w:rsidR="004F18BA" w:rsidRPr="004F18BA" w:rsidRDefault="004F18BA" w:rsidP="004D6151">
            <w:pPr>
              <w:keepNext/>
              <w:jc w:val="right"/>
              <w:rPr>
                <w:rFonts w:ascii="Arial Narrow" w:hAnsi="Arial Narrow" w:cs="Calibri"/>
                <w:color w:val="000000"/>
                <w:sz w:val="20"/>
                <w:szCs w:val="20"/>
              </w:rPr>
            </w:pPr>
            <w:r w:rsidRPr="004F18BA">
              <w:rPr>
                <w:rFonts w:ascii="Arial Narrow" w:hAnsi="Arial Narrow" w:cs="Calibri"/>
                <w:color w:val="000000"/>
                <w:sz w:val="20"/>
                <w:szCs w:val="20"/>
              </w:rPr>
              <w:t>16</w:t>
            </w:r>
          </w:p>
        </w:tc>
        <w:tc>
          <w:tcPr>
            <w:tcW w:w="1428" w:type="dxa"/>
            <w:tcBorders>
              <w:top w:val="nil"/>
              <w:left w:val="nil"/>
              <w:bottom w:val="single" w:sz="4" w:space="0" w:color="auto"/>
              <w:right w:val="single" w:sz="4" w:space="0" w:color="auto"/>
            </w:tcBorders>
            <w:shd w:val="clear" w:color="auto" w:fill="auto"/>
            <w:vAlign w:val="center"/>
            <w:hideMark/>
          </w:tcPr>
          <w:p w14:paraId="57019684" w14:textId="77777777" w:rsidR="004F18BA" w:rsidRPr="004F18BA" w:rsidRDefault="004F18BA" w:rsidP="004D6151">
            <w:pPr>
              <w:keepNext/>
              <w:jc w:val="right"/>
              <w:rPr>
                <w:rFonts w:ascii="Arial Narrow" w:hAnsi="Arial Narrow" w:cs="Calibri"/>
                <w:color w:val="000000"/>
                <w:sz w:val="20"/>
                <w:szCs w:val="20"/>
              </w:rPr>
            </w:pPr>
            <w:r w:rsidRPr="004F18BA">
              <w:rPr>
                <w:rFonts w:ascii="Arial Narrow" w:hAnsi="Arial Narrow" w:cs="Calibri"/>
                <w:color w:val="000000"/>
                <w:sz w:val="20"/>
                <w:szCs w:val="20"/>
              </w:rPr>
              <w:t>12</w:t>
            </w:r>
          </w:p>
        </w:tc>
      </w:tr>
      <w:tr w:rsidR="004F6044" w:rsidRPr="004F18BA" w14:paraId="37FF6773" w14:textId="77777777" w:rsidTr="00A91F37">
        <w:trPr>
          <w:trHeight w:val="532"/>
        </w:trPr>
        <w:tc>
          <w:tcPr>
            <w:tcW w:w="3468" w:type="dxa"/>
            <w:tcBorders>
              <w:top w:val="nil"/>
              <w:left w:val="single" w:sz="4" w:space="0" w:color="auto"/>
              <w:bottom w:val="single" w:sz="4" w:space="0" w:color="auto"/>
              <w:right w:val="single" w:sz="4" w:space="0" w:color="auto"/>
            </w:tcBorders>
            <w:shd w:val="clear" w:color="auto" w:fill="auto"/>
            <w:vAlign w:val="center"/>
            <w:hideMark/>
          </w:tcPr>
          <w:p w14:paraId="3857ED56" w14:textId="07D26CE1" w:rsidR="004F18BA" w:rsidRPr="004F18BA" w:rsidRDefault="004F18BA" w:rsidP="004D6151">
            <w:pPr>
              <w:keepNext/>
              <w:jc w:val="left"/>
              <w:rPr>
                <w:rFonts w:ascii="Arial Narrow" w:hAnsi="Arial Narrow" w:cs="Calibri"/>
                <w:color w:val="000000"/>
                <w:sz w:val="20"/>
                <w:szCs w:val="20"/>
              </w:rPr>
            </w:pPr>
            <w:r w:rsidRPr="004F18BA">
              <w:rPr>
                <w:rFonts w:ascii="Arial Narrow" w:hAnsi="Arial Narrow" w:cs="Calibri"/>
                <w:color w:val="000000"/>
                <w:sz w:val="20"/>
                <w:szCs w:val="20"/>
              </w:rPr>
              <w:t>Dose per day (mg per day) based on 71.8</w:t>
            </w:r>
            <w:r w:rsidR="00C373D8">
              <w:rPr>
                <w:rFonts w:ascii="Arial Narrow" w:hAnsi="Arial Narrow" w:cs="Calibri"/>
                <w:color w:val="000000"/>
                <w:sz w:val="20"/>
                <w:szCs w:val="20"/>
              </w:rPr>
              <w:t> </w:t>
            </w:r>
            <w:r w:rsidRPr="004F18BA">
              <w:rPr>
                <w:rFonts w:ascii="Arial Narrow" w:hAnsi="Arial Narrow" w:cs="Calibri"/>
                <w:color w:val="000000"/>
                <w:sz w:val="20"/>
                <w:szCs w:val="20"/>
              </w:rPr>
              <w:t>kg average body weight</w:t>
            </w:r>
          </w:p>
        </w:tc>
        <w:tc>
          <w:tcPr>
            <w:tcW w:w="1347" w:type="dxa"/>
            <w:tcBorders>
              <w:top w:val="nil"/>
              <w:left w:val="nil"/>
              <w:bottom w:val="single" w:sz="4" w:space="0" w:color="auto"/>
              <w:right w:val="single" w:sz="4" w:space="0" w:color="auto"/>
            </w:tcBorders>
            <w:shd w:val="clear" w:color="auto" w:fill="auto"/>
            <w:vAlign w:val="center"/>
            <w:hideMark/>
          </w:tcPr>
          <w:p w14:paraId="2038C526" w14:textId="77777777" w:rsidR="004F18BA" w:rsidRPr="004F18BA" w:rsidRDefault="004F18BA" w:rsidP="004D6151">
            <w:pPr>
              <w:keepNext/>
              <w:jc w:val="right"/>
              <w:rPr>
                <w:rFonts w:ascii="Arial Narrow" w:hAnsi="Arial Narrow" w:cs="Calibri"/>
                <w:color w:val="000000"/>
                <w:sz w:val="20"/>
                <w:szCs w:val="20"/>
              </w:rPr>
            </w:pPr>
            <w:r w:rsidRPr="004F18BA">
              <w:rPr>
                <w:rFonts w:ascii="Arial Narrow" w:hAnsi="Arial Narrow" w:cs="Calibri"/>
                <w:color w:val="000000"/>
                <w:sz w:val="20"/>
                <w:szCs w:val="20"/>
              </w:rPr>
              <w:t>1148.8</w:t>
            </w:r>
          </w:p>
        </w:tc>
        <w:tc>
          <w:tcPr>
            <w:tcW w:w="1314" w:type="dxa"/>
            <w:tcBorders>
              <w:top w:val="nil"/>
              <w:left w:val="nil"/>
              <w:bottom w:val="single" w:sz="4" w:space="0" w:color="auto"/>
              <w:right w:val="single" w:sz="4" w:space="0" w:color="auto"/>
            </w:tcBorders>
            <w:shd w:val="clear" w:color="auto" w:fill="auto"/>
            <w:vAlign w:val="center"/>
            <w:hideMark/>
          </w:tcPr>
          <w:p w14:paraId="3CF01287" w14:textId="77777777" w:rsidR="004F18BA" w:rsidRPr="004F18BA" w:rsidRDefault="004F18BA" w:rsidP="004D6151">
            <w:pPr>
              <w:keepNext/>
              <w:jc w:val="right"/>
              <w:rPr>
                <w:rFonts w:ascii="Arial Narrow" w:hAnsi="Arial Narrow" w:cs="Calibri"/>
                <w:color w:val="000000"/>
                <w:sz w:val="20"/>
                <w:szCs w:val="20"/>
              </w:rPr>
            </w:pPr>
            <w:r w:rsidRPr="004F18BA">
              <w:rPr>
                <w:rFonts w:ascii="Arial Narrow" w:hAnsi="Arial Narrow" w:cs="Calibri"/>
                <w:color w:val="000000"/>
                <w:sz w:val="20"/>
                <w:szCs w:val="20"/>
              </w:rPr>
              <w:t>861.6</w:t>
            </w:r>
          </w:p>
        </w:tc>
        <w:tc>
          <w:tcPr>
            <w:tcW w:w="1459" w:type="dxa"/>
            <w:tcBorders>
              <w:top w:val="nil"/>
              <w:left w:val="nil"/>
              <w:bottom w:val="single" w:sz="4" w:space="0" w:color="auto"/>
              <w:right w:val="single" w:sz="4" w:space="0" w:color="auto"/>
            </w:tcBorders>
            <w:shd w:val="clear" w:color="auto" w:fill="auto"/>
            <w:vAlign w:val="center"/>
            <w:hideMark/>
          </w:tcPr>
          <w:p w14:paraId="6103A912" w14:textId="77777777" w:rsidR="004F18BA" w:rsidRPr="004F18BA" w:rsidRDefault="004F18BA" w:rsidP="004D6151">
            <w:pPr>
              <w:keepNext/>
              <w:jc w:val="right"/>
              <w:rPr>
                <w:rFonts w:ascii="Arial Narrow" w:hAnsi="Arial Narrow" w:cs="Calibri"/>
                <w:color w:val="000000"/>
                <w:sz w:val="20"/>
                <w:szCs w:val="20"/>
              </w:rPr>
            </w:pPr>
            <w:r w:rsidRPr="004F18BA">
              <w:rPr>
                <w:rFonts w:ascii="Arial Narrow" w:hAnsi="Arial Narrow" w:cs="Calibri"/>
                <w:color w:val="000000"/>
                <w:sz w:val="20"/>
                <w:szCs w:val="20"/>
              </w:rPr>
              <w:t>1148.8</w:t>
            </w:r>
          </w:p>
        </w:tc>
        <w:tc>
          <w:tcPr>
            <w:tcW w:w="1428" w:type="dxa"/>
            <w:tcBorders>
              <w:top w:val="nil"/>
              <w:left w:val="nil"/>
              <w:bottom w:val="single" w:sz="4" w:space="0" w:color="auto"/>
              <w:right w:val="single" w:sz="4" w:space="0" w:color="auto"/>
            </w:tcBorders>
            <w:shd w:val="clear" w:color="auto" w:fill="auto"/>
            <w:vAlign w:val="center"/>
            <w:hideMark/>
          </w:tcPr>
          <w:p w14:paraId="647A042F" w14:textId="77777777" w:rsidR="004F18BA" w:rsidRPr="004F18BA" w:rsidRDefault="004F18BA" w:rsidP="004D6151">
            <w:pPr>
              <w:keepNext/>
              <w:jc w:val="right"/>
              <w:rPr>
                <w:rFonts w:ascii="Arial Narrow" w:hAnsi="Arial Narrow" w:cs="Calibri"/>
                <w:color w:val="000000"/>
                <w:sz w:val="20"/>
                <w:szCs w:val="20"/>
              </w:rPr>
            </w:pPr>
            <w:r w:rsidRPr="004F18BA">
              <w:rPr>
                <w:rFonts w:ascii="Arial Narrow" w:hAnsi="Arial Narrow" w:cs="Calibri"/>
                <w:color w:val="000000"/>
                <w:sz w:val="20"/>
                <w:szCs w:val="20"/>
              </w:rPr>
              <w:t>861.6</w:t>
            </w:r>
          </w:p>
        </w:tc>
      </w:tr>
      <w:tr w:rsidR="004F6044" w:rsidRPr="004F18BA" w14:paraId="0B4C7511" w14:textId="77777777" w:rsidTr="00A91F37">
        <w:trPr>
          <w:trHeight w:val="532"/>
        </w:trPr>
        <w:tc>
          <w:tcPr>
            <w:tcW w:w="3468" w:type="dxa"/>
            <w:tcBorders>
              <w:top w:val="nil"/>
              <w:left w:val="single" w:sz="4" w:space="0" w:color="auto"/>
              <w:bottom w:val="single" w:sz="4" w:space="0" w:color="auto"/>
              <w:right w:val="single" w:sz="4" w:space="0" w:color="auto"/>
            </w:tcBorders>
            <w:shd w:val="clear" w:color="auto" w:fill="auto"/>
            <w:vAlign w:val="center"/>
            <w:hideMark/>
          </w:tcPr>
          <w:p w14:paraId="5C308197" w14:textId="77777777" w:rsidR="004F18BA" w:rsidRPr="004F18BA" w:rsidRDefault="004F18BA" w:rsidP="004D6151">
            <w:pPr>
              <w:keepNext/>
              <w:jc w:val="left"/>
              <w:rPr>
                <w:rFonts w:ascii="Arial Narrow" w:hAnsi="Arial Narrow" w:cs="Calibri"/>
                <w:color w:val="000000"/>
                <w:sz w:val="20"/>
                <w:szCs w:val="20"/>
              </w:rPr>
            </w:pPr>
            <w:r w:rsidRPr="004F18BA">
              <w:rPr>
                <w:rFonts w:ascii="Arial Narrow" w:hAnsi="Arial Narrow" w:cs="Calibri"/>
                <w:color w:val="000000"/>
                <w:sz w:val="20"/>
                <w:szCs w:val="20"/>
              </w:rPr>
              <w:t>No. of 500 mg tablets per day (rounded to nearest 0.5)</w:t>
            </w:r>
          </w:p>
        </w:tc>
        <w:tc>
          <w:tcPr>
            <w:tcW w:w="1347" w:type="dxa"/>
            <w:tcBorders>
              <w:top w:val="nil"/>
              <w:left w:val="nil"/>
              <w:bottom w:val="single" w:sz="4" w:space="0" w:color="auto"/>
              <w:right w:val="single" w:sz="4" w:space="0" w:color="auto"/>
            </w:tcBorders>
            <w:shd w:val="clear" w:color="auto" w:fill="auto"/>
            <w:vAlign w:val="center"/>
            <w:hideMark/>
          </w:tcPr>
          <w:p w14:paraId="4BE85D63" w14:textId="77777777" w:rsidR="004F18BA" w:rsidRPr="004F18BA" w:rsidRDefault="004F18BA" w:rsidP="004D6151">
            <w:pPr>
              <w:keepNext/>
              <w:jc w:val="right"/>
              <w:rPr>
                <w:rFonts w:ascii="Arial Narrow" w:hAnsi="Arial Narrow" w:cs="Calibri"/>
                <w:color w:val="000000"/>
                <w:sz w:val="20"/>
                <w:szCs w:val="20"/>
              </w:rPr>
            </w:pPr>
            <w:r w:rsidRPr="004F18BA">
              <w:rPr>
                <w:rFonts w:ascii="Arial Narrow" w:hAnsi="Arial Narrow" w:cs="Calibri"/>
                <w:color w:val="000000"/>
                <w:sz w:val="20"/>
                <w:szCs w:val="20"/>
              </w:rPr>
              <w:t>2.5</w:t>
            </w:r>
          </w:p>
        </w:tc>
        <w:tc>
          <w:tcPr>
            <w:tcW w:w="1314" w:type="dxa"/>
            <w:tcBorders>
              <w:top w:val="nil"/>
              <w:left w:val="nil"/>
              <w:bottom w:val="single" w:sz="4" w:space="0" w:color="auto"/>
              <w:right w:val="single" w:sz="4" w:space="0" w:color="auto"/>
            </w:tcBorders>
            <w:shd w:val="clear" w:color="auto" w:fill="auto"/>
            <w:vAlign w:val="center"/>
            <w:hideMark/>
          </w:tcPr>
          <w:p w14:paraId="2C538F82" w14:textId="77777777" w:rsidR="004F18BA" w:rsidRPr="004F18BA" w:rsidRDefault="004F18BA" w:rsidP="004D6151">
            <w:pPr>
              <w:keepNext/>
              <w:jc w:val="right"/>
              <w:rPr>
                <w:rFonts w:ascii="Arial Narrow" w:hAnsi="Arial Narrow" w:cs="Calibri"/>
                <w:color w:val="000000"/>
                <w:sz w:val="20"/>
                <w:szCs w:val="20"/>
              </w:rPr>
            </w:pPr>
            <w:r w:rsidRPr="004F18BA">
              <w:rPr>
                <w:rFonts w:ascii="Arial Narrow" w:hAnsi="Arial Narrow" w:cs="Calibri"/>
                <w:color w:val="000000"/>
                <w:sz w:val="20"/>
                <w:szCs w:val="20"/>
              </w:rPr>
              <w:t>2</w:t>
            </w:r>
          </w:p>
        </w:tc>
        <w:tc>
          <w:tcPr>
            <w:tcW w:w="1459" w:type="dxa"/>
            <w:tcBorders>
              <w:top w:val="nil"/>
              <w:left w:val="nil"/>
              <w:bottom w:val="single" w:sz="4" w:space="0" w:color="auto"/>
              <w:right w:val="single" w:sz="4" w:space="0" w:color="auto"/>
            </w:tcBorders>
            <w:shd w:val="clear" w:color="auto" w:fill="auto"/>
            <w:vAlign w:val="center"/>
            <w:hideMark/>
          </w:tcPr>
          <w:p w14:paraId="1CB54153" w14:textId="77777777" w:rsidR="004F18BA" w:rsidRPr="004F18BA" w:rsidRDefault="004F18BA" w:rsidP="004D6151">
            <w:pPr>
              <w:keepNext/>
              <w:jc w:val="right"/>
              <w:rPr>
                <w:rFonts w:ascii="Arial Narrow" w:hAnsi="Arial Narrow" w:cs="Calibri"/>
                <w:color w:val="000000"/>
                <w:sz w:val="20"/>
                <w:szCs w:val="20"/>
              </w:rPr>
            </w:pPr>
            <w:r w:rsidRPr="004F18BA">
              <w:rPr>
                <w:rFonts w:ascii="Arial Narrow" w:hAnsi="Arial Narrow" w:cs="Calibri"/>
                <w:color w:val="000000"/>
                <w:sz w:val="20"/>
                <w:szCs w:val="20"/>
              </w:rPr>
              <w:t>2.5</w:t>
            </w:r>
          </w:p>
        </w:tc>
        <w:tc>
          <w:tcPr>
            <w:tcW w:w="1428" w:type="dxa"/>
            <w:tcBorders>
              <w:top w:val="nil"/>
              <w:left w:val="nil"/>
              <w:bottom w:val="single" w:sz="4" w:space="0" w:color="auto"/>
              <w:right w:val="single" w:sz="4" w:space="0" w:color="auto"/>
            </w:tcBorders>
            <w:shd w:val="clear" w:color="auto" w:fill="auto"/>
            <w:vAlign w:val="center"/>
            <w:hideMark/>
          </w:tcPr>
          <w:p w14:paraId="7097D17C" w14:textId="77777777" w:rsidR="004F18BA" w:rsidRPr="004F18BA" w:rsidRDefault="004F18BA" w:rsidP="004D6151">
            <w:pPr>
              <w:keepNext/>
              <w:jc w:val="right"/>
              <w:rPr>
                <w:rFonts w:ascii="Arial Narrow" w:hAnsi="Arial Narrow" w:cs="Calibri"/>
                <w:color w:val="000000"/>
                <w:sz w:val="20"/>
                <w:szCs w:val="20"/>
              </w:rPr>
            </w:pPr>
            <w:r w:rsidRPr="004F18BA">
              <w:rPr>
                <w:rFonts w:ascii="Arial Narrow" w:hAnsi="Arial Narrow" w:cs="Calibri"/>
                <w:color w:val="000000"/>
                <w:sz w:val="20"/>
                <w:szCs w:val="20"/>
              </w:rPr>
              <w:t>2</w:t>
            </w:r>
          </w:p>
        </w:tc>
      </w:tr>
      <w:tr w:rsidR="004F6044" w:rsidRPr="004F18BA" w14:paraId="4581E84B" w14:textId="77777777" w:rsidTr="00A91F37">
        <w:trPr>
          <w:trHeight w:val="658"/>
        </w:trPr>
        <w:tc>
          <w:tcPr>
            <w:tcW w:w="3468" w:type="dxa"/>
            <w:tcBorders>
              <w:top w:val="nil"/>
              <w:left w:val="single" w:sz="4" w:space="0" w:color="auto"/>
              <w:bottom w:val="single" w:sz="4" w:space="0" w:color="auto"/>
              <w:right w:val="single" w:sz="4" w:space="0" w:color="auto"/>
            </w:tcBorders>
            <w:shd w:val="clear" w:color="auto" w:fill="auto"/>
            <w:vAlign w:val="center"/>
            <w:hideMark/>
          </w:tcPr>
          <w:p w14:paraId="0F33B9C3" w14:textId="77777777" w:rsidR="004F18BA" w:rsidRPr="004F18BA" w:rsidRDefault="004F18BA" w:rsidP="004D6151">
            <w:pPr>
              <w:keepNext/>
              <w:jc w:val="left"/>
              <w:rPr>
                <w:rFonts w:ascii="Arial Narrow" w:hAnsi="Arial Narrow" w:cs="Calibri"/>
                <w:color w:val="000000"/>
                <w:sz w:val="20"/>
                <w:szCs w:val="20"/>
              </w:rPr>
            </w:pPr>
            <w:r w:rsidRPr="004F18BA">
              <w:rPr>
                <w:rFonts w:ascii="Arial Narrow" w:hAnsi="Arial Narrow" w:cs="Calibri"/>
                <w:color w:val="000000"/>
                <w:sz w:val="20"/>
                <w:szCs w:val="20"/>
              </w:rPr>
              <w:t>No. of 250 mg capsules per day (rounded to nearest whole number)</w:t>
            </w:r>
          </w:p>
        </w:tc>
        <w:tc>
          <w:tcPr>
            <w:tcW w:w="1347" w:type="dxa"/>
            <w:tcBorders>
              <w:top w:val="nil"/>
              <w:left w:val="nil"/>
              <w:bottom w:val="single" w:sz="4" w:space="0" w:color="auto"/>
              <w:right w:val="single" w:sz="4" w:space="0" w:color="auto"/>
            </w:tcBorders>
            <w:shd w:val="clear" w:color="auto" w:fill="auto"/>
            <w:vAlign w:val="center"/>
            <w:hideMark/>
          </w:tcPr>
          <w:p w14:paraId="4E6A243D" w14:textId="77777777" w:rsidR="004F18BA" w:rsidRPr="004F18BA" w:rsidRDefault="004F18BA" w:rsidP="004D6151">
            <w:pPr>
              <w:keepNext/>
              <w:jc w:val="right"/>
              <w:rPr>
                <w:rFonts w:ascii="Arial Narrow" w:hAnsi="Arial Narrow" w:cs="Calibri"/>
                <w:color w:val="000000"/>
                <w:sz w:val="20"/>
                <w:szCs w:val="20"/>
              </w:rPr>
            </w:pPr>
            <w:r w:rsidRPr="004F18BA">
              <w:rPr>
                <w:rFonts w:ascii="Arial Narrow" w:hAnsi="Arial Narrow" w:cs="Calibri"/>
                <w:color w:val="000000"/>
                <w:sz w:val="20"/>
                <w:szCs w:val="20"/>
              </w:rPr>
              <w:t>5</w:t>
            </w:r>
          </w:p>
        </w:tc>
        <w:tc>
          <w:tcPr>
            <w:tcW w:w="1314" w:type="dxa"/>
            <w:tcBorders>
              <w:top w:val="nil"/>
              <w:left w:val="nil"/>
              <w:bottom w:val="single" w:sz="4" w:space="0" w:color="auto"/>
              <w:right w:val="single" w:sz="4" w:space="0" w:color="auto"/>
            </w:tcBorders>
            <w:shd w:val="clear" w:color="auto" w:fill="auto"/>
            <w:vAlign w:val="center"/>
            <w:hideMark/>
          </w:tcPr>
          <w:p w14:paraId="58FD0D0D" w14:textId="77777777" w:rsidR="004F18BA" w:rsidRPr="004F18BA" w:rsidRDefault="004F18BA" w:rsidP="004D6151">
            <w:pPr>
              <w:keepNext/>
              <w:jc w:val="right"/>
              <w:rPr>
                <w:rFonts w:ascii="Arial Narrow" w:hAnsi="Arial Narrow" w:cs="Calibri"/>
                <w:color w:val="000000"/>
                <w:sz w:val="20"/>
                <w:szCs w:val="20"/>
              </w:rPr>
            </w:pPr>
            <w:r w:rsidRPr="004F18BA">
              <w:rPr>
                <w:rFonts w:ascii="Arial Narrow" w:hAnsi="Arial Narrow" w:cs="Calibri"/>
                <w:color w:val="000000"/>
                <w:sz w:val="20"/>
                <w:szCs w:val="20"/>
              </w:rPr>
              <w:t>4</w:t>
            </w:r>
          </w:p>
        </w:tc>
        <w:tc>
          <w:tcPr>
            <w:tcW w:w="1459" w:type="dxa"/>
            <w:tcBorders>
              <w:top w:val="nil"/>
              <w:left w:val="nil"/>
              <w:bottom w:val="single" w:sz="4" w:space="0" w:color="auto"/>
              <w:right w:val="single" w:sz="4" w:space="0" w:color="auto"/>
            </w:tcBorders>
            <w:shd w:val="clear" w:color="auto" w:fill="auto"/>
            <w:vAlign w:val="center"/>
            <w:hideMark/>
          </w:tcPr>
          <w:p w14:paraId="7EEAA434" w14:textId="77777777" w:rsidR="004F18BA" w:rsidRPr="004F18BA" w:rsidRDefault="004F18BA" w:rsidP="004D6151">
            <w:pPr>
              <w:keepNext/>
              <w:jc w:val="right"/>
              <w:rPr>
                <w:rFonts w:ascii="Arial Narrow" w:hAnsi="Arial Narrow" w:cs="Calibri"/>
                <w:color w:val="000000"/>
                <w:sz w:val="20"/>
                <w:szCs w:val="20"/>
              </w:rPr>
            </w:pPr>
            <w:r w:rsidRPr="004F18BA">
              <w:rPr>
                <w:rFonts w:ascii="Arial Narrow" w:hAnsi="Arial Narrow" w:cs="Calibri"/>
                <w:color w:val="000000"/>
                <w:sz w:val="20"/>
                <w:szCs w:val="20"/>
              </w:rPr>
              <w:t>5</w:t>
            </w:r>
          </w:p>
        </w:tc>
        <w:tc>
          <w:tcPr>
            <w:tcW w:w="1428" w:type="dxa"/>
            <w:tcBorders>
              <w:top w:val="nil"/>
              <w:left w:val="nil"/>
              <w:bottom w:val="single" w:sz="4" w:space="0" w:color="auto"/>
              <w:right w:val="single" w:sz="4" w:space="0" w:color="auto"/>
            </w:tcBorders>
            <w:shd w:val="clear" w:color="auto" w:fill="auto"/>
            <w:vAlign w:val="center"/>
            <w:hideMark/>
          </w:tcPr>
          <w:p w14:paraId="0AAA6218" w14:textId="77777777" w:rsidR="004F18BA" w:rsidRPr="004F18BA" w:rsidRDefault="004F18BA" w:rsidP="004D6151">
            <w:pPr>
              <w:keepNext/>
              <w:jc w:val="right"/>
              <w:rPr>
                <w:rFonts w:ascii="Arial Narrow" w:hAnsi="Arial Narrow" w:cs="Calibri"/>
                <w:color w:val="000000"/>
                <w:sz w:val="20"/>
                <w:szCs w:val="20"/>
              </w:rPr>
            </w:pPr>
            <w:r w:rsidRPr="004F18BA">
              <w:rPr>
                <w:rFonts w:ascii="Arial Narrow" w:hAnsi="Arial Narrow" w:cs="Calibri"/>
                <w:color w:val="000000"/>
                <w:sz w:val="20"/>
                <w:szCs w:val="20"/>
              </w:rPr>
              <w:t>4</w:t>
            </w:r>
          </w:p>
        </w:tc>
      </w:tr>
      <w:tr w:rsidR="004F18BA" w:rsidRPr="004F18BA" w14:paraId="18C6C913" w14:textId="77777777" w:rsidTr="00A91F37">
        <w:trPr>
          <w:trHeight w:val="283"/>
        </w:trPr>
        <w:tc>
          <w:tcPr>
            <w:tcW w:w="9016"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23B95A38" w14:textId="77777777" w:rsidR="004F18BA" w:rsidRPr="004F18BA" w:rsidRDefault="004F18BA" w:rsidP="004D6151">
            <w:pPr>
              <w:keepNext/>
              <w:jc w:val="left"/>
              <w:rPr>
                <w:rFonts w:ascii="Arial Narrow" w:hAnsi="Arial Narrow" w:cs="Calibri"/>
                <w:b/>
                <w:bCs/>
                <w:color w:val="000000"/>
                <w:sz w:val="20"/>
                <w:szCs w:val="20"/>
              </w:rPr>
            </w:pPr>
            <w:r w:rsidRPr="004F18BA">
              <w:rPr>
                <w:rFonts w:ascii="Arial Narrow" w:hAnsi="Arial Narrow" w:cs="Calibri"/>
                <w:b/>
                <w:bCs/>
                <w:color w:val="000000"/>
                <w:sz w:val="20"/>
                <w:szCs w:val="20"/>
              </w:rPr>
              <w:t>PBS item 11180K (UDCA 500 mg tablets)</w:t>
            </w:r>
          </w:p>
        </w:tc>
      </w:tr>
      <w:tr w:rsidR="004F18BA" w:rsidRPr="004F18BA" w14:paraId="66CA279A" w14:textId="77777777" w:rsidTr="00D10C20">
        <w:trPr>
          <w:trHeight w:val="312"/>
        </w:trPr>
        <w:tc>
          <w:tcPr>
            <w:tcW w:w="3468" w:type="dxa"/>
            <w:tcBorders>
              <w:top w:val="nil"/>
              <w:left w:val="single" w:sz="4" w:space="0" w:color="auto"/>
              <w:bottom w:val="single" w:sz="4" w:space="0" w:color="auto"/>
              <w:right w:val="single" w:sz="4" w:space="0" w:color="auto"/>
            </w:tcBorders>
            <w:shd w:val="clear" w:color="auto" w:fill="auto"/>
            <w:vAlign w:val="center"/>
            <w:hideMark/>
          </w:tcPr>
          <w:p w14:paraId="1D1C9042" w14:textId="77777777" w:rsidR="004F18BA" w:rsidRPr="004F18BA" w:rsidRDefault="004F18BA" w:rsidP="004D6151">
            <w:pPr>
              <w:keepNext/>
              <w:jc w:val="left"/>
              <w:rPr>
                <w:rFonts w:ascii="Arial Narrow" w:hAnsi="Arial Narrow" w:cs="Calibri"/>
                <w:color w:val="000000"/>
                <w:sz w:val="20"/>
                <w:szCs w:val="20"/>
              </w:rPr>
            </w:pPr>
            <w:r w:rsidRPr="004F18BA">
              <w:rPr>
                <w:rFonts w:ascii="Arial Narrow" w:hAnsi="Arial Narrow" w:cs="Calibri"/>
                <w:color w:val="000000"/>
                <w:sz w:val="20"/>
                <w:szCs w:val="20"/>
              </w:rPr>
              <w:t xml:space="preserve">Max qty units per dispensing  </w:t>
            </w:r>
          </w:p>
        </w:tc>
        <w:tc>
          <w:tcPr>
            <w:tcW w:w="2661" w:type="dxa"/>
            <w:gridSpan w:val="2"/>
            <w:tcBorders>
              <w:top w:val="single" w:sz="4" w:space="0" w:color="auto"/>
              <w:left w:val="nil"/>
              <w:bottom w:val="single" w:sz="4" w:space="0" w:color="auto"/>
              <w:right w:val="single" w:sz="4" w:space="0" w:color="auto"/>
            </w:tcBorders>
            <w:shd w:val="clear" w:color="auto" w:fill="auto"/>
            <w:vAlign w:val="center"/>
            <w:hideMark/>
          </w:tcPr>
          <w:p w14:paraId="6BD6E9D9" w14:textId="77777777" w:rsidR="004F18BA" w:rsidRPr="004F18BA" w:rsidRDefault="004F18BA" w:rsidP="004D6151">
            <w:pPr>
              <w:keepNext/>
              <w:jc w:val="right"/>
              <w:rPr>
                <w:rFonts w:ascii="Arial Narrow" w:hAnsi="Arial Narrow" w:cs="Calibri"/>
                <w:color w:val="000000"/>
                <w:sz w:val="20"/>
                <w:szCs w:val="20"/>
              </w:rPr>
            </w:pPr>
            <w:r w:rsidRPr="004F18BA">
              <w:rPr>
                <w:rFonts w:ascii="Arial Narrow" w:hAnsi="Arial Narrow" w:cs="Calibri"/>
                <w:color w:val="000000"/>
                <w:sz w:val="20"/>
                <w:szCs w:val="20"/>
              </w:rPr>
              <w:t>100</w:t>
            </w:r>
          </w:p>
        </w:tc>
        <w:tc>
          <w:tcPr>
            <w:tcW w:w="2887" w:type="dxa"/>
            <w:gridSpan w:val="2"/>
            <w:tcBorders>
              <w:top w:val="single" w:sz="4" w:space="0" w:color="auto"/>
              <w:left w:val="nil"/>
              <w:bottom w:val="single" w:sz="4" w:space="0" w:color="auto"/>
              <w:right w:val="single" w:sz="4" w:space="0" w:color="auto"/>
            </w:tcBorders>
            <w:shd w:val="clear" w:color="auto" w:fill="auto"/>
            <w:vAlign w:val="center"/>
            <w:hideMark/>
          </w:tcPr>
          <w:p w14:paraId="2ED61AAD" w14:textId="77777777" w:rsidR="004F18BA" w:rsidRPr="004F18BA" w:rsidRDefault="004F18BA" w:rsidP="004D6151">
            <w:pPr>
              <w:keepNext/>
              <w:jc w:val="right"/>
              <w:rPr>
                <w:rFonts w:ascii="Arial Narrow" w:hAnsi="Arial Narrow" w:cs="Calibri"/>
                <w:color w:val="000000"/>
                <w:sz w:val="20"/>
                <w:szCs w:val="20"/>
              </w:rPr>
            </w:pPr>
            <w:r w:rsidRPr="004F18BA">
              <w:rPr>
                <w:rFonts w:ascii="Arial Narrow" w:hAnsi="Arial Narrow" w:cs="Calibri"/>
                <w:color w:val="000000"/>
                <w:sz w:val="20"/>
                <w:szCs w:val="20"/>
              </w:rPr>
              <w:t>100</w:t>
            </w:r>
          </w:p>
        </w:tc>
      </w:tr>
      <w:tr w:rsidR="004F18BA" w:rsidRPr="004F18BA" w14:paraId="6EFE761F" w14:textId="77777777" w:rsidTr="00D10C20">
        <w:trPr>
          <w:trHeight w:val="312"/>
        </w:trPr>
        <w:tc>
          <w:tcPr>
            <w:tcW w:w="3468" w:type="dxa"/>
            <w:tcBorders>
              <w:top w:val="nil"/>
              <w:left w:val="single" w:sz="4" w:space="0" w:color="auto"/>
              <w:bottom w:val="single" w:sz="4" w:space="0" w:color="auto"/>
              <w:right w:val="single" w:sz="4" w:space="0" w:color="auto"/>
            </w:tcBorders>
            <w:shd w:val="clear" w:color="auto" w:fill="auto"/>
            <w:vAlign w:val="center"/>
            <w:hideMark/>
          </w:tcPr>
          <w:p w14:paraId="745E2718" w14:textId="77777777" w:rsidR="004F18BA" w:rsidRPr="004F18BA" w:rsidRDefault="004F18BA" w:rsidP="004D6151">
            <w:pPr>
              <w:keepNext/>
              <w:jc w:val="left"/>
              <w:rPr>
                <w:rFonts w:ascii="Arial Narrow" w:hAnsi="Arial Narrow" w:cs="Calibri"/>
                <w:color w:val="000000"/>
                <w:sz w:val="20"/>
                <w:szCs w:val="20"/>
              </w:rPr>
            </w:pPr>
            <w:r w:rsidRPr="004F18BA">
              <w:rPr>
                <w:rFonts w:ascii="Arial Narrow" w:hAnsi="Arial Narrow" w:cs="Calibri"/>
                <w:color w:val="000000"/>
                <w:sz w:val="20"/>
                <w:szCs w:val="20"/>
              </w:rPr>
              <w:t>Max repeats</w:t>
            </w:r>
          </w:p>
        </w:tc>
        <w:tc>
          <w:tcPr>
            <w:tcW w:w="2661" w:type="dxa"/>
            <w:gridSpan w:val="2"/>
            <w:tcBorders>
              <w:top w:val="single" w:sz="4" w:space="0" w:color="auto"/>
              <w:left w:val="nil"/>
              <w:bottom w:val="single" w:sz="4" w:space="0" w:color="auto"/>
              <w:right w:val="single" w:sz="4" w:space="0" w:color="auto"/>
            </w:tcBorders>
            <w:shd w:val="clear" w:color="auto" w:fill="auto"/>
            <w:vAlign w:val="center"/>
            <w:hideMark/>
          </w:tcPr>
          <w:p w14:paraId="5B0EAFFD" w14:textId="77777777" w:rsidR="004F18BA" w:rsidRPr="004F18BA" w:rsidRDefault="004F18BA" w:rsidP="004D6151">
            <w:pPr>
              <w:keepNext/>
              <w:jc w:val="right"/>
              <w:rPr>
                <w:rFonts w:ascii="Arial Narrow" w:hAnsi="Arial Narrow" w:cs="Calibri"/>
                <w:color w:val="000000"/>
                <w:sz w:val="20"/>
                <w:szCs w:val="20"/>
              </w:rPr>
            </w:pPr>
            <w:r w:rsidRPr="004F18BA">
              <w:rPr>
                <w:rFonts w:ascii="Arial Narrow" w:hAnsi="Arial Narrow" w:cs="Calibri"/>
                <w:color w:val="000000"/>
                <w:sz w:val="20"/>
                <w:szCs w:val="20"/>
              </w:rPr>
              <w:t>2</w:t>
            </w:r>
          </w:p>
        </w:tc>
        <w:tc>
          <w:tcPr>
            <w:tcW w:w="2887" w:type="dxa"/>
            <w:gridSpan w:val="2"/>
            <w:tcBorders>
              <w:top w:val="single" w:sz="4" w:space="0" w:color="auto"/>
              <w:left w:val="nil"/>
              <w:bottom w:val="single" w:sz="4" w:space="0" w:color="auto"/>
              <w:right w:val="single" w:sz="4" w:space="0" w:color="auto"/>
            </w:tcBorders>
            <w:shd w:val="clear" w:color="auto" w:fill="auto"/>
            <w:vAlign w:val="center"/>
            <w:hideMark/>
          </w:tcPr>
          <w:p w14:paraId="5D8268E1" w14:textId="77777777" w:rsidR="004F18BA" w:rsidRPr="00943EFA" w:rsidRDefault="004F18BA" w:rsidP="004D6151">
            <w:pPr>
              <w:keepNext/>
              <w:jc w:val="right"/>
              <w:rPr>
                <w:rFonts w:ascii="Arial Narrow" w:hAnsi="Arial Narrow" w:cs="Calibri"/>
                <w:sz w:val="20"/>
                <w:szCs w:val="20"/>
              </w:rPr>
            </w:pPr>
            <w:r w:rsidRPr="00943EFA">
              <w:rPr>
                <w:rFonts w:ascii="Arial Narrow" w:hAnsi="Arial Narrow" w:cs="Calibri"/>
                <w:sz w:val="20"/>
                <w:szCs w:val="20"/>
              </w:rPr>
              <w:t>4</w:t>
            </w:r>
          </w:p>
        </w:tc>
      </w:tr>
      <w:tr w:rsidR="004F18BA" w:rsidRPr="004F18BA" w14:paraId="3C2CEE01" w14:textId="77777777" w:rsidTr="00D10C20">
        <w:trPr>
          <w:trHeight w:val="312"/>
        </w:trPr>
        <w:tc>
          <w:tcPr>
            <w:tcW w:w="3468" w:type="dxa"/>
            <w:tcBorders>
              <w:top w:val="nil"/>
              <w:left w:val="single" w:sz="4" w:space="0" w:color="auto"/>
              <w:bottom w:val="single" w:sz="4" w:space="0" w:color="auto"/>
              <w:right w:val="single" w:sz="4" w:space="0" w:color="auto"/>
            </w:tcBorders>
            <w:shd w:val="clear" w:color="auto" w:fill="auto"/>
            <w:vAlign w:val="center"/>
            <w:hideMark/>
          </w:tcPr>
          <w:p w14:paraId="3306832A" w14:textId="77777777" w:rsidR="004F18BA" w:rsidRPr="004F18BA" w:rsidRDefault="004F18BA" w:rsidP="004D6151">
            <w:pPr>
              <w:keepNext/>
              <w:jc w:val="left"/>
              <w:rPr>
                <w:rFonts w:ascii="Arial Narrow" w:hAnsi="Arial Narrow" w:cs="Calibri"/>
                <w:color w:val="000000"/>
                <w:sz w:val="20"/>
                <w:szCs w:val="20"/>
              </w:rPr>
            </w:pPr>
            <w:r w:rsidRPr="004F18BA">
              <w:rPr>
                <w:rFonts w:ascii="Arial Narrow" w:hAnsi="Arial Narrow" w:cs="Calibri"/>
                <w:color w:val="000000"/>
                <w:sz w:val="20"/>
                <w:szCs w:val="20"/>
              </w:rPr>
              <w:t>Total qty units</w:t>
            </w:r>
          </w:p>
        </w:tc>
        <w:tc>
          <w:tcPr>
            <w:tcW w:w="2661" w:type="dxa"/>
            <w:gridSpan w:val="2"/>
            <w:tcBorders>
              <w:top w:val="single" w:sz="4" w:space="0" w:color="auto"/>
              <w:left w:val="nil"/>
              <w:bottom w:val="single" w:sz="4" w:space="0" w:color="auto"/>
              <w:right w:val="single" w:sz="4" w:space="0" w:color="auto"/>
            </w:tcBorders>
            <w:shd w:val="clear" w:color="auto" w:fill="auto"/>
            <w:vAlign w:val="center"/>
            <w:hideMark/>
          </w:tcPr>
          <w:p w14:paraId="1BE2BE7F" w14:textId="77777777" w:rsidR="004F18BA" w:rsidRPr="004F18BA" w:rsidRDefault="004F18BA" w:rsidP="004D6151">
            <w:pPr>
              <w:keepNext/>
              <w:jc w:val="right"/>
              <w:rPr>
                <w:rFonts w:ascii="Arial Narrow" w:hAnsi="Arial Narrow" w:cs="Calibri"/>
                <w:color w:val="000000"/>
                <w:sz w:val="20"/>
                <w:szCs w:val="20"/>
              </w:rPr>
            </w:pPr>
            <w:r w:rsidRPr="004F18BA">
              <w:rPr>
                <w:rFonts w:ascii="Arial Narrow" w:hAnsi="Arial Narrow" w:cs="Calibri"/>
                <w:color w:val="000000"/>
                <w:sz w:val="20"/>
                <w:szCs w:val="20"/>
              </w:rPr>
              <w:t>300</w:t>
            </w:r>
          </w:p>
        </w:tc>
        <w:tc>
          <w:tcPr>
            <w:tcW w:w="2887" w:type="dxa"/>
            <w:gridSpan w:val="2"/>
            <w:tcBorders>
              <w:top w:val="single" w:sz="4" w:space="0" w:color="auto"/>
              <w:left w:val="nil"/>
              <w:bottom w:val="single" w:sz="4" w:space="0" w:color="auto"/>
              <w:right w:val="single" w:sz="4" w:space="0" w:color="auto"/>
            </w:tcBorders>
            <w:shd w:val="clear" w:color="auto" w:fill="auto"/>
            <w:vAlign w:val="center"/>
            <w:hideMark/>
          </w:tcPr>
          <w:p w14:paraId="64B2D89D" w14:textId="77777777" w:rsidR="004F18BA" w:rsidRPr="00943EFA" w:rsidRDefault="004F18BA" w:rsidP="004D6151">
            <w:pPr>
              <w:keepNext/>
              <w:jc w:val="right"/>
              <w:rPr>
                <w:rFonts w:ascii="Arial Narrow" w:hAnsi="Arial Narrow" w:cs="Calibri"/>
                <w:sz w:val="20"/>
                <w:szCs w:val="20"/>
              </w:rPr>
            </w:pPr>
            <w:r w:rsidRPr="00943EFA">
              <w:rPr>
                <w:rFonts w:ascii="Arial Narrow" w:hAnsi="Arial Narrow" w:cs="Calibri"/>
                <w:sz w:val="20"/>
                <w:szCs w:val="20"/>
              </w:rPr>
              <w:t>500</w:t>
            </w:r>
          </w:p>
        </w:tc>
      </w:tr>
      <w:tr w:rsidR="004F6044" w:rsidRPr="004F18BA" w14:paraId="3DA8C18C" w14:textId="77777777" w:rsidTr="00A91F37">
        <w:trPr>
          <w:trHeight w:val="312"/>
        </w:trPr>
        <w:tc>
          <w:tcPr>
            <w:tcW w:w="3468" w:type="dxa"/>
            <w:tcBorders>
              <w:top w:val="nil"/>
              <w:left w:val="single" w:sz="4" w:space="0" w:color="auto"/>
              <w:bottom w:val="single" w:sz="4" w:space="0" w:color="auto"/>
              <w:right w:val="single" w:sz="4" w:space="0" w:color="auto"/>
            </w:tcBorders>
            <w:shd w:val="clear" w:color="auto" w:fill="auto"/>
            <w:vAlign w:val="center"/>
            <w:hideMark/>
          </w:tcPr>
          <w:p w14:paraId="22B37694" w14:textId="77777777" w:rsidR="004F18BA" w:rsidRPr="004F18BA" w:rsidRDefault="004F18BA" w:rsidP="004D6151">
            <w:pPr>
              <w:keepNext/>
              <w:jc w:val="left"/>
              <w:rPr>
                <w:rFonts w:ascii="Arial Narrow" w:hAnsi="Arial Narrow" w:cs="Calibri"/>
                <w:color w:val="000000"/>
                <w:sz w:val="20"/>
                <w:szCs w:val="20"/>
              </w:rPr>
            </w:pPr>
            <w:r w:rsidRPr="004F18BA">
              <w:rPr>
                <w:rFonts w:ascii="Arial Narrow" w:hAnsi="Arial Narrow" w:cs="Calibri"/>
                <w:color w:val="000000"/>
                <w:sz w:val="20"/>
                <w:szCs w:val="20"/>
              </w:rPr>
              <w:t>Days per dispensing</w:t>
            </w:r>
          </w:p>
        </w:tc>
        <w:tc>
          <w:tcPr>
            <w:tcW w:w="1347" w:type="dxa"/>
            <w:tcBorders>
              <w:top w:val="nil"/>
              <w:left w:val="nil"/>
              <w:bottom w:val="single" w:sz="4" w:space="0" w:color="auto"/>
              <w:right w:val="single" w:sz="4" w:space="0" w:color="auto"/>
            </w:tcBorders>
            <w:shd w:val="clear" w:color="auto" w:fill="auto"/>
            <w:vAlign w:val="center"/>
            <w:hideMark/>
          </w:tcPr>
          <w:p w14:paraId="59D8D9EA" w14:textId="77777777" w:rsidR="004F18BA" w:rsidRPr="004F18BA" w:rsidRDefault="004F18BA" w:rsidP="004D6151">
            <w:pPr>
              <w:keepNext/>
              <w:jc w:val="right"/>
              <w:rPr>
                <w:rFonts w:ascii="Arial Narrow" w:hAnsi="Arial Narrow" w:cs="Calibri"/>
                <w:color w:val="000000"/>
                <w:sz w:val="20"/>
                <w:szCs w:val="20"/>
              </w:rPr>
            </w:pPr>
            <w:r w:rsidRPr="004F18BA">
              <w:rPr>
                <w:rFonts w:ascii="Arial Narrow" w:hAnsi="Arial Narrow" w:cs="Calibri"/>
                <w:color w:val="000000"/>
                <w:sz w:val="20"/>
                <w:szCs w:val="20"/>
              </w:rPr>
              <w:t>40</w:t>
            </w:r>
          </w:p>
        </w:tc>
        <w:tc>
          <w:tcPr>
            <w:tcW w:w="1314" w:type="dxa"/>
            <w:tcBorders>
              <w:top w:val="nil"/>
              <w:left w:val="nil"/>
              <w:bottom w:val="single" w:sz="4" w:space="0" w:color="auto"/>
              <w:right w:val="single" w:sz="4" w:space="0" w:color="auto"/>
            </w:tcBorders>
            <w:shd w:val="clear" w:color="auto" w:fill="auto"/>
            <w:vAlign w:val="center"/>
            <w:hideMark/>
          </w:tcPr>
          <w:p w14:paraId="6F2CD127" w14:textId="77777777" w:rsidR="004F18BA" w:rsidRPr="004F18BA" w:rsidRDefault="004F18BA" w:rsidP="004D6151">
            <w:pPr>
              <w:keepNext/>
              <w:jc w:val="right"/>
              <w:rPr>
                <w:rFonts w:ascii="Arial Narrow" w:hAnsi="Arial Narrow" w:cs="Calibri"/>
                <w:color w:val="000000"/>
                <w:sz w:val="20"/>
                <w:szCs w:val="20"/>
              </w:rPr>
            </w:pPr>
            <w:r w:rsidRPr="004F18BA">
              <w:rPr>
                <w:rFonts w:ascii="Arial Narrow" w:hAnsi="Arial Narrow" w:cs="Calibri"/>
                <w:color w:val="000000"/>
                <w:sz w:val="20"/>
                <w:szCs w:val="20"/>
              </w:rPr>
              <w:t>50</w:t>
            </w:r>
          </w:p>
        </w:tc>
        <w:tc>
          <w:tcPr>
            <w:tcW w:w="1459" w:type="dxa"/>
            <w:tcBorders>
              <w:top w:val="nil"/>
              <w:left w:val="nil"/>
              <w:bottom w:val="single" w:sz="4" w:space="0" w:color="auto"/>
              <w:right w:val="single" w:sz="4" w:space="0" w:color="auto"/>
            </w:tcBorders>
            <w:shd w:val="clear" w:color="auto" w:fill="auto"/>
            <w:vAlign w:val="center"/>
            <w:hideMark/>
          </w:tcPr>
          <w:p w14:paraId="2560BBA2" w14:textId="77777777" w:rsidR="004F18BA" w:rsidRPr="00943EFA" w:rsidRDefault="004F18BA" w:rsidP="004D6151">
            <w:pPr>
              <w:keepNext/>
              <w:jc w:val="right"/>
              <w:rPr>
                <w:rFonts w:ascii="Arial Narrow" w:hAnsi="Arial Narrow" w:cs="Calibri"/>
                <w:sz w:val="20"/>
                <w:szCs w:val="20"/>
              </w:rPr>
            </w:pPr>
            <w:r w:rsidRPr="00943EFA">
              <w:rPr>
                <w:rFonts w:ascii="Arial Narrow" w:hAnsi="Arial Narrow" w:cs="Calibri"/>
                <w:sz w:val="20"/>
                <w:szCs w:val="20"/>
              </w:rPr>
              <w:t>40</w:t>
            </w:r>
          </w:p>
        </w:tc>
        <w:tc>
          <w:tcPr>
            <w:tcW w:w="1428" w:type="dxa"/>
            <w:tcBorders>
              <w:top w:val="nil"/>
              <w:left w:val="nil"/>
              <w:bottom w:val="single" w:sz="4" w:space="0" w:color="auto"/>
              <w:right w:val="single" w:sz="4" w:space="0" w:color="auto"/>
            </w:tcBorders>
            <w:shd w:val="clear" w:color="auto" w:fill="auto"/>
            <w:vAlign w:val="center"/>
            <w:hideMark/>
          </w:tcPr>
          <w:p w14:paraId="0B0AF013" w14:textId="77777777" w:rsidR="004F18BA" w:rsidRPr="00943EFA" w:rsidRDefault="004F18BA" w:rsidP="004D6151">
            <w:pPr>
              <w:keepNext/>
              <w:jc w:val="right"/>
              <w:rPr>
                <w:rFonts w:ascii="Arial Narrow" w:hAnsi="Arial Narrow" w:cs="Calibri"/>
                <w:sz w:val="20"/>
                <w:szCs w:val="20"/>
              </w:rPr>
            </w:pPr>
            <w:r w:rsidRPr="00943EFA">
              <w:rPr>
                <w:rFonts w:ascii="Arial Narrow" w:hAnsi="Arial Narrow" w:cs="Calibri"/>
                <w:sz w:val="20"/>
                <w:szCs w:val="20"/>
              </w:rPr>
              <w:t>50</w:t>
            </w:r>
          </w:p>
        </w:tc>
      </w:tr>
      <w:tr w:rsidR="004F6044" w:rsidRPr="004F18BA" w14:paraId="0F9F7245" w14:textId="77777777" w:rsidTr="00A91F37">
        <w:trPr>
          <w:trHeight w:val="329"/>
        </w:trPr>
        <w:tc>
          <w:tcPr>
            <w:tcW w:w="3468" w:type="dxa"/>
            <w:tcBorders>
              <w:top w:val="nil"/>
              <w:left w:val="single" w:sz="4" w:space="0" w:color="auto"/>
              <w:bottom w:val="single" w:sz="4" w:space="0" w:color="auto"/>
              <w:right w:val="single" w:sz="4" w:space="0" w:color="auto"/>
            </w:tcBorders>
            <w:shd w:val="clear" w:color="auto" w:fill="auto"/>
            <w:vAlign w:val="center"/>
            <w:hideMark/>
          </w:tcPr>
          <w:p w14:paraId="0E15FDFD" w14:textId="77777777" w:rsidR="004F18BA" w:rsidRPr="004F18BA" w:rsidRDefault="004F18BA" w:rsidP="004D6151">
            <w:pPr>
              <w:keepNext/>
              <w:jc w:val="left"/>
              <w:rPr>
                <w:rFonts w:ascii="Arial Narrow" w:hAnsi="Arial Narrow" w:cs="Calibri"/>
                <w:color w:val="000000"/>
                <w:sz w:val="20"/>
                <w:szCs w:val="20"/>
              </w:rPr>
            </w:pPr>
            <w:r w:rsidRPr="004F18BA">
              <w:rPr>
                <w:rFonts w:ascii="Arial Narrow" w:hAnsi="Arial Narrow" w:cs="Calibri"/>
                <w:color w:val="000000"/>
                <w:sz w:val="20"/>
                <w:szCs w:val="20"/>
              </w:rPr>
              <w:t>Days per prescription (incl. repeats)</w:t>
            </w:r>
          </w:p>
        </w:tc>
        <w:tc>
          <w:tcPr>
            <w:tcW w:w="1347" w:type="dxa"/>
            <w:tcBorders>
              <w:top w:val="nil"/>
              <w:left w:val="nil"/>
              <w:bottom w:val="single" w:sz="4" w:space="0" w:color="auto"/>
              <w:right w:val="single" w:sz="4" w:space="0" w:color="auto"/>
            </w:tcBorders>
            <w:shd w:val="clear" w:color="auto" w:fill="auto"/>
            <w:vAlign w:val="center"/>
            <w:hideMark/>
          </w:tcPr>
          <w:p w14:paraId="7CBD9C7D" w14:textId="77777777" w:rsidR="004F18BA" w:rsidRPr="004F18BA" w:rsidRDefault="004F18BA" w:rsidP="004D6151">
            <w:pPr>
              <w:keepNext/>
              <w:jc w:val="right"/>
              <w:rPr>
                <w:rFonts w:ascii="Arial Narrow" w:hAnsi="Arial Narrow" w:cs="Calibri"/>
                <w:color w:val="000000"/>
                <w:sz w:val="20"/>
                <w:szCs w:val="20"/>
              </w:rPr>
            </w:pPr>
            <w:r w:rsidRPr="004F18BA">
              <w:rPr>
                <w:rFonts w:ascii="Arial Narrow" w:hAnsi="Arial Narrow" w:cs="Calibri"/>
                <w:color w:val="000000"/>
                <w:sz w:val="20"/>
                <w:szCs w:val="20"/>
              </w:rPr>
              <w:t>120</w:t>
            </w:r>
          </w:p>
        </w:tc>
        <w:tc>
          <w:tcPr>
            <w:tcW w:w="1314" w:type="dxa"/>
            <w:tcBorders>
              <w:top w:val="nil"/>
              <w:left w:val="nil"/>
              <w:bottom w:val="single" w:sz="4" w:space="0" w:color="auto"/>
              <w:right w:val="single" w:sz="4" w:space="0" w:color="auto"/>
            </w:tcBorders>
            <w:shd w:val="clear" w:color="auto" w:fill="auto"/>
            <w:vAlign w:val="center"/>
            <w:hideMark/>
          </w:tcPr>
          <w:p w14:paraId="11294F7D" w14:textId="77777777" w:rsidR="004F18BA" w:rsidRPr="004F18BA" w:rsidRDefault="004F18BA" w:rsidP="004D6151">
            <w:pPr>
              <w:keepNext/>
              <w:jc w:val="right"/>
              <w:rPr>
                <w:rFonts w:ascii="Arial Narrow" w:hAnsi="Arial Narrow" w:cs="Calibri"/>
                <w:color w:val="000000"/>
                <w:sz w:val="20"/>
                <w:szCs w:val="20"/>
              </w:rPr>
            </w:pPr>
            <w:r w:rsidRPr="004F18BA">
              <w:rPr>
                <w:rFonts w:ascii="Arial Narrow" w:hAnsi="Arial Narrow" w:cs="Calibri"/>
                <w:color w:val="000000"/>
                <w:sz w:val="20"/>
                <w:szCs w:val="20"/>
              </w:rPr>
              <w:t>150</w:t>
            </w:r>
          </w:p>
        </w:tc>
        <w:tc>
          <w:tcPr>
            <w:tcW w:w="1459" w:type="dxa"/>
            <w:tcBorders>
              <w:top w:val="nil"/>
              <w:left w:val="nil"/>
              <w:bottom w:val="single" w:sz="4" w:space="0" w:color="auto"/>
              <w:right w:val="single" w:sz="4" w:space="0" w:color="auto"/>
            </w:tcBorders>
            <w:shd w:val="clear" w:color="auto" w:fill="auto"/>
            <w:vAlign w:val="center"/>
            <w:hideMark/>
          </w:tcPr>
          <w:p w14:paraId="78DB2D6C" w14:textId="77777777" w:rsidR="004F18BA" w:rsidRPr="00943EFA" w:rsidRDefault="004F18BA" w:rsidP="004D6151">
            <w:pPr>
              <w:keepNext/>
              <w:jc w:val="right"/>
              <w:rPr>
                <w:rFonts w:ascii="Arial Narrow" w:hAnsi="Arial Narrow" w:cs="Calibri"/>
                <w:sz w:val="20"/>
                <w:szCs w:val="20"/>
              </w:rPr>
            </w:pPr>
            <w:r w:rsidRPr="00943EFA">
              <w:rPr>
                <w:rFonts w:ascii="Arial Narrow" w:hAnsi="Arial Narrow" w:cs="Calibri"/>
                <w:sz w:val="20"/>
                <w:szCs w:val="20"/>
              </w:rPr>
              <w:t>200</w:t>
            </w:r>
          </w:p>
        </w:tc>
        <w:tc>
          <w:tcPr>
            <w:tcW w:w="1428" w:type="dxa"/>
            <w:tcBorders>
              <w:top w:val="nil"/>
              <w:left w:val="nil"/>
              <w:bottom w:val="single" w:sz="4" w:space="0" w:color="auto"/>
              <w:right w:val="single" w:sz="4" w:space="0" w:color="auto"/>
            </w:tcBorders>
            <w:shd w:val="clear" w:color="auto" w:fill="auto"/>
            <w:vAlign w:val="center"/>
            <w:hideMark/>
          </w:tcPr>
          <w:p w14:paraId="0B6A7F39" w14:textId="77777777" w:rsidR="004F18BA" w:rsidRPr="00943EFA" w:rsidRDefault="004F18BA" w:rsidP="004D6151">
            <w:pPr>
              <w:keepNext/>
              <w:jc w:val="right"/>
              <w:rPr>
                <w:rFonts w:ascii="Arial Narrow" w:hAnsi="Arial Narrow" w:cs="Calibri"/>
                <w:sz w:val="20"/>
                <w:szCs w:val="20"/>
              </w:rPr>
            </w:pPr>
            <w:r w:rsidRPr="00943EFA">
              <w:rPr>
                <w:rFonts w:ascii="Arial Narrow" w:hAnsi="Arial Narrow" w:cs="Calibri"/>
                <w:sz w:val="20"/>
                <w:szCs w:val="20"/>
              </w:rPr>
              <w:t>250</w:t>
            </w:r>
          </w:p>
        </w:tc>
      </w:tr>
      <w:tr w:rsidR="004F18BA" w:rsidRPr="004F18BA" w14:paraId="687EDCD8" w14:textId="77777777" w:rsidTr="00A91F37">
        <w:trPr>
          <w:trHeight w:val="283"/>
        </w:trPr>
        <w:tc>
          <w:tcPr>
            <w:tcW w:w="9016"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72EF7C42" w14:textId="77777777" w:rsidR="004F18BA" w:rsidRPr="004F18BA" w:rsidRDefault="004F18BA" w:rsidP="004D6151">
            <w:pPr>
              <w:keepNext/>
              <w:jc w:val="left"/>
              <w:rPr>
                <w:rFonts w:ascii="Arial Narrow" w:hAnsi="Arial Narrow" w:cs="Calibri"/>
                <w:b/>
                <w:bCs/>
                <w:color w:val="000000"/>
                <w:sz w:val="20"/>
                <w:szCs w:val="20"/>
              </w:rPr>
            </w:pPr>
            <w:r w:rsidRPr="004F18BA">
              <w:rPr>
                <w:rFonts w:ascii="Arial Narrow" w:hAnsi="Arial Narrow" w:cs="Calibri"/>
                <w:b/>
                <w:bCs/>
                <w:sz w:val="20"/>
                <w:szCs w:val="20"/>
              </w:rPr>
              <w:t>PBS item 8448P (UDCA 250 mg capsules)</w:t>
            </w:r>
          </w:p>
        </w:tc>
      </w:tr>
      <w:tr w:rsidR="004F18BA" w:rsidRPr="004F18BA" w14:paraId="448C2941" w14:textId="77777777" w:rsidTr="00D10C20">
        <w:trPr>
          <w:trHeight w:val="312"/>
        </w:trPr>
        <w:tc>
          <w:tcPr>
            <w:tcW w:w="3468" w:type="dxa"/>
            <w:tcBorders>
              <w:top w:val="nil"/>
              <w:left w:val="single" w:sz="4" w:space="0" w:color="auto"/>
              <w:bottom w:val="single" w:sz="4" w:space="0" w:color="auto"/>
              <w:right w:val="single" w:sz="4" w:space="0" w:color="auto"/>
            </w:tcBorders>
            <w:shd w:val="clear" w:color="auto" w:fill="auto"/>
            <w:vAlign w:val="center"/>
            <w:hideMark/>
          </w:tcPr>
          <w:p w14:paraId="65EB47D2" w14:textId="77777777" w:rsidR="004F18BA" w:rsidRPr="004F18BA" w:rsidRDefault="004F18BA" w:rsidP="004D6151">
            <w:pPr>
              <w:keepNext/>
              <w:jc w:val="left"/>
              <w:rPr>
                <w:rFonts w:ascii="Arial Narrow" w:hAnsi="Arial Narrow" w:cs="Calibri"/>
                <w:color w:val="000000"/>
                <w:sz w:val="20"/>
                <w:szCs w:val="20"/>
              </w:rPr>
            </w:pPr>
            <w:r w:rsidRPr="004F18BA">
              <w:rPr>
                <w:rFonts w:ascii="Arial Narrow" w:hAnsi="Arial Narrow" w:cs="Calibri"/>
                <w:color w:val="000000"/>
                <w:sz w:val="20"/>
                <w:szCs w:val="20"/>
              </w:rPr>
              <w:t xml:space="preserve">Max qty units per dispensing  </w:t>
            </w:r>
          </w:p>
        </w:tc>
        <w:tc>
          <w:tcPr>
            <w:tcW w:w="2661" w:type="dxa"/>
            <w:gridSpan w:val="2"/>
            <w:tcBorders>
              <w:top w:val="single" w:sz="4" w:space="0" w:color="auto"/>
              <w:left w:val="nil"/>
              <w:bottom w:val="single" w:sz="4" w:space="0" w:color="auto"/>
              <w:right w:val="single" w:sz="4" w:space="0" w:color="auto"/>
            </w:tcBorders>
            <w:shd w:val="clear" w:color="auto" w:fill="auto"/>
            <w:vAlign w:val="center"/>
            <w:hideMark/>
          </w:tcPr>
          <w:p w14:paraId="0E2F3F13" w14:textId="77777777" w:rsidR="004F18BA" w:rsidRPr="004F18BA" w:rsidRDefault="004F18BA" w:rsidP="004D6151">
            <w:pPr>
              <w:keepNext/>
              <w:jc w:val="right"/>
              <w:rPr>
                <w:rFonts w:ascii="Arial Narrow" w:hAnsi="Arial Narrow" w:cs="Calibri"/>
                <w:color w:val="000000"/>
                <w:sz w:val="20"/>
                <w:szCs w:val="20"/>
              </w:rPr>
            </w:pPr>
            <w:r w:rsidRPr="004F18BA">
              <w:rPr>
                <w:rFonts w:ascii="Arial Narrow" w:hAnsi="Arial Narrow" w:cs="Calibri"/>
                <w:color w:val="000000"/>
                <w:sz w:val="20"/>
                <w:szCs w:val="20"/>
              </w:rPr>
              <w:t>200</w:t>
            </w:r>
          </w:p>
        </w:tc>
        <w:tc>
          <w:tcPr>
            <w:tcW w:w="2887" w:type="dxa"/>
            <w:gridSpan w:val="2"/>
            <w:tcBorders>
              <w:top w:val="single" w:sz="4" w:space="0" w:color="auto"/>
              <w:left w:val="nil"/>
              <w:bottom w:val="single" w:sz="4" w:space="0" w:color="auto"/>
              <w:right w:val="single" w:sz="4" w:space="0" w:color="auto"/>
            </w:tcBorders>
            <w:shd w:val="clear" w:color="auto" w:fill="auto"/>
            <w:vAlign w:val="center"/>
            <w:hideMark/>
          </w:tcPr>
          <w:p w14:paraId="45937213" w14:textId="77777777" w:rsidR="004F18BA" w:rsidRPr="004F18BA" w:rsidRDefault="004F18BA" w:rsidP="004D6151">
            <w:pPr>
              <w:keepNext/>
              <w:jc w:val="right"/>
              <w:rPr>
                <w:rFonts w:ascii="Arial Narrow" w:hAnsi="Arial Narrow" w:cs="Calibri"/>
                <w:color w:val="000000"/>
                <w:sz w:val="20"/>
                <w:szCs w:val="20"/>
              </w:rPr>
            </w:pPr>
            <w:r w:rsidRPr="004F18BA">
              <w:rPr>
                <w:rFonts w:ascii="Arial Narrow" w:hAnsi="Arial Narrow" w:cs="Calibri"/>
                <w:color w:val="000000"/>
                <w:sz w:val="20"/>
                <w:szCs w:val="20"/>
              </w:rPr>
              <w:t>200</w:t>
            </w:r>
          </w:p>
        </w:tc>
      </w:tr>
      <w:tr w:rsidR="004F18BA" w:rsidRPr="004F18BA" w14:paraId="0FF4B671" w14:textId="77777777" w:rsidTr="00D10C20">
        <w:trPr>
          <w:trHeight w:val="312"/>
        </w:trPr>
        <w:tc>
          <w:tcPr>
            <w:tcW w:w="3468" w:type="dxa"/>
            <w:tcBorders>
              <w:top w:val="nil"/>
              <w:left w:val="single" w:sz="4" w:space="0" w:color="auto"/>
              <w:bottom w:val="single" w:sz="4" w:space="0" w:color="auto"/>
              <w:right w:val="single" w:sz="4" w:space="0" w:color="auto"/>
            </w:tcBorders>
            <w:shd w:val="clear" w:color="auto" w:fill="auto"/>
            <w:vAlign w:val="center"/>
            <w:hideMark/>
          </w:tcPr>
          <w:p w14:paraId="50178119" w14:textId="77777777" w:rsidR="004F18BA" w:rsidRPr="004F18BA" w:rsidRDefault="004F18BA" w:rsidP="004D6151">
            <w:pPr>
              <w:keepNext/>
              <w:jc w:val="left"/>
              <w:rPr>
                <w:rFonts w:ascii="Arial Narrow" w:hAnsi="Arial Narrow" w:cs="Calibri"/>
                <w:color w:val="000000"/>
                <w:sz w:val="20"/>
                <w:szCs w:val="20"/>
              </w:rPr>
            </w:pPr>
            <w:r w:rsidRPr="004F18BA">
              <w:rPr>
                <w:rFonts w:ascii="Arial Narrow" w:hAnsi="Arial Narrow" w:cs="Calibri"/>
                <w:color w:val="000000"/>
                <w:sz w:val="20"/>
                <w:szCs w:val="20"/>
              </w:rPr>
              <w:t>Max repeats</w:t>
            </w:r>
          </w:p>
        </w:tc>
        <w:tc>
          <w:tcPr>
            <w:tcW w:w="2661" w:type="dxa"/>
            <w:gridSpan w:val="2"/>
            <w:tcBorders>
              <w:top w:val="single" w:sz="4" w:space="0" w:color="auto"/>
              <w:left w:val="nil"/>
              <w:bottom w:val="single" w:sz="4" w:space="0" w:color="auto"/>
              <w:right w:val="single" w:sz="4" w:space="0" w:color="auto"/>
            </w:tcBorders>
            <w:shd w:val="clear" w:color="auto" w:fill="auto"/>
            <w:vAlign w:val="center"/>
            <w:hideMark/>
          </w:tcPr>
          <w:p w14:paraId="30C077CC" w14:textId="77777777" w:rsidR="004F18BA" w:rsidRPr="004F18BA" w:rsidRDefault="004F18BA" w:rsidP="004D6151">
            <w:pPr>
              <w:keepNext/>
              <w:jc w:val="right"/>
              <w:rPr>
                <w:rFonts w:ascii="Arial Narrow" w:hAnsi="Arial Narrow" w:cs="Calibri"/>
                <w:color w:val="000000"/>
                <w:sz w:val="20"/>
                <w:szCs w:val="20"/>
              </w:rPr>
            </w:pPr>
            <w:r w:rsidRPr="004F18BA">
              <w:rPr>
                <w:rFonts w:ascii="Arial Narrow" w:hAnsi="Arial Narrow" w:cs="Calibri"/>
                <w:color w:val="000000"/>
                <w:sz w:val="20"/>
                <w:szCs w:val="20"/>
              </w:rPr>
              <w:t>2</w:t>
            </w:r>
          </w:p>
        </w:tc>
        <w:tc>
          <w:tcPr>
            <w:tcW w:w="2887" w:type="dxa"/>
            <w:gridSpan w:val="2"/>
            <w:tcBorders>
              <w:top w:val="single" w:sz="4" w:space="0" w:color="auto"/>
              <w:left w:val="nil"/>
              <w:bottom w:val="single" w:sz="4" w:space="0" w:color="auto"/>
              <w:right w:val="single" w:sz="4" w:space="0" w:color="auto"/>
            </w:tcBorders>
            <w:shd w:val="clear" w:color="auto" w:fill="auto"/>
            <w:vAlign w:val="center"/>
            <w:hideMark/>
          </w:tcPr>
          <w:p w14:paraId="62C08D2C" w14:textId="77777777" w:rsidR="004F18BA" w:rsidRPr="00943EFA" w:rsidRDefault="004F18BA" w:rsidP="004D6151">
            <w:pPr>
              <w:keepNext/>
              <w:jc w:val="right"/>
              <w:rPr>
                <w:rFonts w:ascii="Arial Narrow" w:hAnsi="Arial Narrow" w:cs="Calibri"/>
                <w:sz w:val="20"/>
                <w:szCs w:val="20"/>
              </w:rPr>
            </w:pPr>
            <w:r w:rsidRPr="00943EFA">
              <w:rPr>
                <w:rFonts w:ascii="Arial Narrow" w:hAnsi="Arial Narrow" w:cs="Calibri"/>
                <w:sz w:val="20"/>
                <w:szCs w:val="20"/>
              </w:rPr>
              <w:t>4</w:t>
            </w:r>
          </w:p>
        </w:tc>
      </w:tr>
      <w:tr w:rsidR="004F18BA" w:rsidRPr="004F18BA" w14:paraId="27111028" w14:textId="77777777" w:rsidTr="00D10C20">
        <w:trPr>
          <w:trHeight w:val="312"/>
        </w:trPr>
        <w:tc>
          <w:tcPr>
            <w:tcW w:w="3468" w:type="dxa"/>
            <w:tcBorders>
              <w:top w:val="nil"/>
              <w:left w:val="single" w:sz="4" w:space="0" w:color="auto"/>
              <w:bottom w:val="single" w:sz="4" w:space="0" w:color="auto"/>
              <w:right w:val="single" w:sz="4" w:space="0" w:color="auto"/>
            </w:tcBorders>
            <w:shd w:val="clear" w:color="auto" w:fill="auto"/>
            <w:vAlign w:val="center"/>
            <w:hideMark/>
          </w:tcPr>
          <w:p w14:paraId="3A07BE48" w14:textId="77777777" w:rsidR="004F18BA" w:rsidRPr="004F18BA" w:rsidRDefault="004F18BA" w:rsidP="004D6151">
            <w:pPr>
              <w:keepNext/>
              <w:jc w:val="left"/>
              <w:rPr>
                <w:rFonts w:ascii="Arial Narrow" w:hAnsi="Arial Narrow" w:cs="Calibri"/>
                <w:color w:val="000000"/>
                <w:sz w:val="20"/>
                <w:szCs w:val="20"/>
              </w:rPr>
            </w:pPr>
            <w:r w:rsidRPr="004F18BA">
              <w:rPr>
                <w:rFonts w:ascii="Arial Narrow" w:hAnsi="Arial Narrow" w:cs="Calibri"/>
                <w:color w:val="000000"/>
                <w:sz w:val="20"/>
                <w:szCs w:val="20"/>
              </w:rPr>
              <w:t>Total qty units</w:t>
            </w:r>
          </w:p>
        </w:tc>
        <w:tc>
          <w:tcPr>
            <w:tcW w:w="2661" w:type="dxa"/>
            <w:gridSpan w:val="2"/>
            <w:tcBorders>
              <w:top w:val="single" w:sz="4" w:space="0" w:color="auto"/>
              <w:left w:val="nil"/>
              <w:bottom w:val="single" w:sz="4" w:space="0" w:color="auto"/>
              <w:right w:val="single" w:sz="4" w:space="0" w:color="auto"/>
            </w:tcBorders>
            <w:shd w:val="clear" w:color="auto" w:fill="auto"/>
            <w:vAlign w:val="center"/>
            <w:hideMark/>
          </w:tcPr>
          <w:p w14:paraId="561B9098" w14:textId="77777777" w:rsidR="004F18BA" w:rsidRPr="004F18BA" w:rsidRDefault="004F18BA" w:rsidP="004D6151">
            <w:pPr>
              <w:keepNext/>
              <w:jc w:val="right"/>
              <w:rPr>
                <w:rFonts w:ascii="Arial Narrow" w:hAnsi="Arial Narrow" w:cs="Calibri"/>
                <w:color w:val="000000"/>
                <w:sz w:val="20"/>
                <w:szCs w:val="20"/>
              </w:rPr>
            </w:pPr>
            <w:r w:rsidRPr="004F18BA">
              <w:rPr>
                <w:rFonts w:ascii="Arial Narrow" w:hAnsi="Arial Narrow" w:cs="Calibri"/>
                <w:color w:val="000000"/>
                <w:sz w:val="20"/>
                <w:szCs w:val="20"/>
              </w:rPr>
              <w:t>600</w:t>
            </w:r>
          </w:p>
        </w:tc>
        <w:tc>
          <w:tcPr>
            <w:tcW w:w="2887" w:type="dxa"/>
            <w:gridSpan w:val="2"/>
            <w:tcBorders>
              <w:top w:val="single" w:sz="4" w:space="0" w:color="auto"/>
              <w:left w:val="nil"/>
              <w:bottom w:val="single" w:sz="4" w:space="0" w:color="auto"/>
              <w:right w:val="single" w:sz="4" w:space="0" w:color="auto"/>
            </w:tcBorders>
            <w:shd w:val="clear" w:color="auto" w:fill="auto"/>
            <w:vAlign w:val="center"/>
            <w:hideMark/>
          </w:tcPr>
          <w:p w14:paraId="7A86F926" w14:textId="77777777" w:rsidR="004F18BA" w:rsidRPr="00943EFA" w:rsidRDefault="004F18BA" w:rsidP="004D6151">
            <w:pPr>
              <w:keepNext/>
              <w:jc w:val="right"/>
              <w:rPr>
                <w:rFonts w:ascii="Arial Narrow" w:hAnsi="Arial Narrow" w:cs="Calibri"/>
                <w:sz w:val="20"/>
                <w:szCs w:val="20"/>
              </w:rPr>
            </w:pPr>
            <w:r w:rsidRPr="00943EFA">
              <w:rPr>
                <w:rFonts w:ascii="Arial Narrow" w:hAnsi="Arial Narrow" w:cs="Calibri"/>
                <w:sz w:val="20"/>
                <w:szCs w:val="20"/>
              </w:rPr>
              <w:t>1000</w:t>
            </w:r>
          </w:p>
        </w:tc>
      </w:tr>
      <w:tr w:rsidR="004F6044" w:rsidRPr="004F18BA" w14:paraId="23957809" w14:textId="77777777" w:rsidTr="00A91F37">
        <w:trPr>
          <w:trHeight w:val="312"/>
        </w:trPr>
        <w:tc>
          <w:tcPr>
            <w:tcW w:w="3468" w:type="dxa"/>
            <w:tcBorders>
              <w:top w:val="nil"/>
              <w:left w:val="single" w:sz="4" w:space="0" w:color="auto"/>
              <w:bottom w:val="single" w:sz="4" w:space="0" w:color="auto"/>
              <w:right w:val="single" w:sz="4" w:space="0" w:color="auto"/>
            </w:tcBorders>
            <w:shd w:val="clear" w:color="auto" w:fill="auto"/>
            <w:vAlign w:val="center"/>
            <w:hideMark/>
          </w:tcPr>
          <w:p w14:paraId="54A590FE" w14:textId="77777777" w:rsidR="004F18BA" w:rsidRPr="004F18BA" w:rsidRDefault="004F18BA" w:rsidP="004D6151">
            <w:pPr>
              <w:keepNext/>
              <w:jc w:val="left"/>
              <w:rPr>
                <w:rFonts w:ascii="Arial Narrow" w:hAnsi="Arial Narrow" w:cs="Calibri"/>
                <w:color w:val="000000"/>
                <w:sz w:val="20"/>
                <w:szCs w:val="20"/>
              </w:rPr>
            </w:pPr>
            <w:r w:rsidRPr="004F18BA">
              <w:rPr>
                <w:rFonts w:ascii="Arial Narrow" w:hAnsi="Arial Narrow" w:cs="Calibri"/>
                <w:color w:val="000000"/>
                <w:sz w:val="20"/>
                <w:szCs w:val="20"/>
              </w:rPr>
              <w:t>Days per dispensing</w:t>
            </w:r>
          </w:p>
        </w:tc>
        <w:tc>
          <w:tcPr>
            <w:tcW w:w="1347" w:type="dxa"/>
            <w:tcBorders>
              <w:top w:val="nil"/>
              <w:left w:val="nil"/>
              <w:bottom w:val="single" w:sz="4" w:space="0" w:color="auto"/>
              <w:right w:val="single" w:sz="4" w:space="0" w:color="auto"/>
            </w:tcBorders>
            <w:shd w:val="clear" w:color="auto" w:fill="auto"/>
            <w:vAlign w:val="center"/>
            <w:hideMark/>
          </w:tcPr>
          <w:p w14:paraId="6EB83E88" w14:textId="77777777" w:rsidR="004F18BA" w:rsidRPr="004F18BA" w:rsidRDefault="004F18BA" w:rsidP="004D6151">
            <w:pPr>
              <w:keepNext/>
              <w:jc w:val="right"/>
              <w:rPr>
                <w:rFonts w:ascii="Arial Narrow" w:hAnsi="Arial Narrow" w:cs="Calibri"/>
                <w:color w:val="000000"/>
                <w:sz w:val="20"/>
                <w:szCs w:val="20"/>
              </w:rPr>
            </w:pPr>
            <w:r w:rsidRPr="004F18BA">
              <w:rPr>
                <w:rFonts w:ascii="Arial Narrow" w:hAnsi="Arial Narrow" w:cs="Calibri"/>
                <w:color w:val="000000"/>
                <w:sz w:val="20"/>
                <w:szCs w:val="20"/>
              </w:rPr>
              <w:t>40</w:t>
            </w:r>
          </w:p>
        </w:tc>
        <w:tc>
          <w:tcPr>
            <w:tcW w:w="1314" w:type="dxa"/>
            <w:tcBorders>
              <w:top w:val="nil"/>
              <w:left w:val="nil"/>
              <w:bottom w:val="single" w:sz="4" w:space="0" w:color="auto"/>
              <w:right w:val="single" w:sz="4" w:space="0" w:color="auto"/>
            </w:tcBorders>
            <w:shd w:val="clear" w:color="auto" w:fill="auto"/>
            <w:vAlign w:val="center"/>
            <w:hideMark/>
          </w:tcPr>
          <w:p w14:paraId="2D43D494" w14:textId="77777777" w:rsidR="004F18BA" w:rsidRPr="004F18BA" w:rsidRDefault="004F18BA" w:rsidP="004D6151">
            <w:pPr>
              <w:keepNext/>
              <w:jc w:val="right"/>
              <w:rPr>
                <w:rFonts w:ascii="Arial Narrow" w:hAnsi="Arial Narrow" w:cs="Calibri"/>
                <w:color w:val="000000"/>
                <w:sz w:val="20"/>
                <w:szCs w:val="20"/>
              </w:rPr>
            </w:pPr>
            <w:r w:rsidRPr="004F18BA">
              <w:rPr>
                <w:rFonts w:ascii="Arial Narrow" w:hAnsi="Arial Narrow" w:cs="Calibri"/>
                <w:color w:val="000000"/>
                <w:sz w:val="20"/>
                <w:szCs w:val="20"/>
              </w:rPr>
              <w:t>50</w:t>
            </w:r>
          </w:p>
        </w:tc>
        <w:tc>
          <w:tcPr>
            <w:tcW w:w="1459" w:type="dxa"/>
            <w:tcBorders>
              <w:top w:val="nil"/>
              <w:left w:val="nil"/>
              <w:bottom w:val="single" w:sz="4" w:space="0" w:color="auto"/>
              <w:right w:val="single" w:sz="4" w:space="0" w:color="auto"/>
            </w:tcBorders>
            <w:shd w:val="clear" w:color="auto" w:fill="auto"/>
            <w:vAlign w:val="center"/>
            <w:hideMark/>
          </w:tcPr>
          <w:p w14:paraId="1E3EFE45" w14:textId="77777777" w:rsidR="004F18BA" w:rsidRPr="00943EFA" w:rsidRDefault="004F18BA" w:rsidP="004D6151">
            <w:pPr>
              <w:keepNext/>
              <w:jc w:val="right"/>
              <w:rPr>
                <w:rFonts w:ascii="Arial Narrow" w:hAnsi="Arial Narrow" w:cs="Calibri"/>
                <w:sz w:val="20"/>
                <w:szCs w:val="20"/>
              </w:rPr>
            </w:pPr>
            <w:r w:rsidRPr="00943EFA">
              <w:rPr>
                <w:rFonts w:ascii="Arial Narrow" w:hAnsi="Arial Narrow" w:cs="Calibri"/>
                <w:sz w:val="20"/>
                <w:szCs w:val="20"/>
              </w:rPr>
              <w:t>40</w:t>
            </w:r>
          </w:p>
        </w:tc>
        <w:tc>
          <w:tcPr>
            <w:tcW w:w="1428" w:type="dxa"/>
            <w:tcBorders>
              <w:top w:val="nil"/>
              <w:left w:val="nil"/>
              <w:bottom w:val="single" w:sz="4" w:space="0" w:color="auto"/>
              <w:right w:val="single" w:sz="4" w:space="0" w:color="auto"/>
            </w:tcBorders>
            <w:shd w:val="clear" w:color="auto" w:fill="auto"/>
            <w:vAlign w:val="center"/>
            <w:hideMark/>
          </w:tcPr>
          <w:p w14:paraId="71AD61FF" w14:textId="77777777" w:rsidR="004F18BA" w:rsidRPr="00943EFA" w:rsidRDefault="004F18BA" w:rsidP="004D6151">
            <w:pPr>
              <w:keepNext/>
              <w:jc w:val="right"/>
              <w:rPr>
                <w:rFonts w:ascii="Arial Narrow" w:hAnsi="Arial Narrow" w:cs="Calibri"/>
                <w:sz w:val="20"/>
                <w:szCs w:val="20"/>
              </w:rPr>
            </w:pPr>
            <w:r w:rsidRPr="00943EFA">
              <w:rPr>
                <w:rFonts w:ascii="Arial Narrow" w:hAnsi="Arial Narrow" w:cs="Calibri"/>
                <w:sz w:val="20"/>
                <w:szCs w:val="20"/>
              </w:rPr>
              <w:t>50</w:t>
            </w:r>
          </w:p>
        </w:tc>
      </w:tr>
      <w:tr w:rsidR="004F6044" w:rsidRPr="004F18BA" w14:paraId="4B2D53CC" w14:textId="77777777" w:rsidTr="00A91F37">
        <w:trPr>
          <w:trHeight w:val="312"/>
        </w:trPr>
        <w:tc>
          <w:tcPr>
            <w:tcW w:w="3468" w:type="dxa"/>
            <w:tcBorders>
              <w:top w:val="nil"/>
              <w:left w:val="single" w:sz="4" w:space="0" w:color="auto"/>
              <w:bottom w:val="single" w:sz="4" w:space="0" w:color="auto"/>
              <w:right w:val="single" w:sz="4" w:space="0" w:color="auto"/>
            </w:tcBorders>
            <w:shd w:val="clear" w:color="auto" w:fill="auto"/>
            <w:vAlign w:val="center"/>
            <w:hideMark/>
          </w:tcPr>
          <w:p w14:paraId="382AC99C" w14:textId="77777777" w:rsidR="004F18BA" w:rsidRPr="004F18BA" w:rsidRDefault="004F18BA" w:rsidP="00E63662">
            <w:pPr>
              <w:jc w:val="left"/>
              <w:rPr>
                <w:rFonts w:ascii="Arial Narrow" w:hAnsi="Arial Narrow" w:cs="Calibri"/>
                <w:color w:val="000000"/>
                <w:sz w:val="20"/>
                <w:szCs w:val="20"/>
              </w:rPr>
            </w:pPr>
            <w:r w:rsidRPr="004F18BA">
              <w:rPr>
                <w:rFonts w:ascii="Arial Narrow" w:hAnsi="Arial Narrow" w:cs="Calibri"/>
                <w:color w:val="000000"/>
                <w:sz w:val="20"/>
                <w:szCs w:val="20"/>
              </w:rPr>
              <w:t>Days per prescription (incl. repeats)</w:t>
            </w:r>
          </w:p>
        </w:tc>
        <w:tc>
          <w:tcPr>
            <w:tcW w:w="1347" w:type="dxa"/>
            <w:tcBorders>
              <w:top w:val="nil"/>
              <w:left w:val="nil"/>
              <w:bottom w:val="single" w:sz="4" w:space="0" w:color="auto"/>
              <w:right w:val="single" w:sz="4" w:space="0" w:color="auto"/>
            </w:tcBorders>
            <w:shd w:val="clear" w:color="auto" w:fill="auto"/>
            <w:vAlign w:val="center"/>
            <w:hideMark/>
          </w:tcPr>
          <w:p w14:paraId="5C85456E" w14:textId="77777777" w:rsidR="004F18BA" w:rsidRPr="004F18BA" w:rsidRDefault="004F18BA" w:rsidP="00E63662">
            <w:pPr>
              <w:jc w:val="right"/>
              <w:rPr>
                <w:rFonts w:ascii="Arial Narrow" w:hAnsi="Arial Narrow" w:cs="Calibri"/>
                <w:color w:val="000000"/>
                <w:sz w:val="20"/>
                <w:szCs w:val="20"/>
              </w:rPr>
            </w:pPr>
            <w:r w:rsidRPr="004F18BA">
              <w:rPr>
                <w:rFonts w:ascii="Arial Narrow" w:hAnsi="Arial Narrow" w:cs="Calibri"/>
                <w:color w:val="000000"/>
                <w:sz w:val="20"/>
                <w:szCs w:val="20"/>
              </w:rPr>
              <w:t>120</w:t>
            </w:r>
          </w:p>
        </w:tc>
        <w:tc>
          <w:tcPr>
            <w:tcW w:w="1314" w:type="dxa"/>
            <w:tcBorders>
              <w:top w:val="nil"/>
              <w:left w:val="nil"/>
              <w:bottom w:val="single" w:sz="4" w:space="0" w:color="auto"/>
              <w:right w:val="single" w:sz="4" w:space="0" w:color="auto"/>
            </w:tcBorders>
            <w:shd w:val="clear" w:color="auto" w:fill="auto"/>
            <w:vAlign w:val="center"/>
            <w:hideMark/>
          </w:tcPr>
          <w:p w14:paraId="7FC56C0B" w14:textId="77777777" w:rsidR="004F18BA" w:rsidRPr="004F18BA" w:rsidRDefault="004F18BA" w:rsidP="00E63662">
            <w:pPr>
              <w:jc w:val="right"/>
              <w:rPr>
                <w:rFonts w:ascii="Arial Narrow" w:hAnsi="Arial Narrow" w:cs="Calibri"/>
                <w:color w:val="000000"/>
                <w:sz w:val="20"/>
                <w:szCs w:val="20"/>
              </w:rPr>
            </w:pPr>
            <w:r w:rsidRPr="004F18BA">
              <w:rPr>
                <w:rFonts w:ascii="Arial Narrow" w:hAnsi="Arial Narrow" w:cs="Calibri"/>
                <w:color w:val="000000"/>
                <w:sz w:val="20"/>
                <w:szCs w:val="20"/>
              </w:rPr>
              <w:t>150</w:t>
            </w:r>
          </w:p>
        </w:tc>
        <w:tc>
          <w:tcPr>
            <w:tcW w:w="1459" w:type="dxa"/>
            <w:tcBorders>
              <w:top w:val="nil"/>
              <w:left w:val="nil"/>
              <w:bottom w:val="single" w:sz="4" w:space="0" w:color="auto"/>
              <w:right w:val="single" w:sz="4" w:space="0" w:color="auto"/>
            </w:tcBorders>
            <w:shd w:val="clear" w:color="auto" w:fill="auto"/>
            <w:vAlign w:val="center"/>
            <w:hideMark/>
          </w:tcPr>
          <w:p w14:paraId="53CECF17" w14:textId="77777777" w:rsidR="004F18BA" w:rsidRPr="00943EFA" w:rsidRDefault="004F18BA" w:rsidP="00E63662">
            <w:pPr>
              <w:jc w:val="right"/>
              <w:rPr>
                <w:rFonts w:ascii="Arial Narrow" w:hAnsi="Arial Narrow" w:cs="Calibri"/>
                <w:sz w:val="20"/>
                <w:szCs w:val="20"/>
              </w:rPr>
            </w:pPr>
            <w:r w:rsidRPr="00943EFA">
              <w:rPr>
                <w:rFonts w:ascii="Arial Narrow" w:hAnsi="Arial Narrow" w:cs="Calibri"/>
                <w:sz w:val="20"/>
                <w:szCs w:val="20"/>
              </w:rPr>
              <w:t>200</w:t>
            </w:r>
          </w:p>
        </w:tc>
        <w:tc>
          <w:tcPr>
            <w:tcW w:w="1428" w:type="dxa"/>
            <w:tcBorders>
              <w:top w:val="nil"/>
              <w:left w:val="nil"/>
              <w:bottom w:val="single" w:sz="4" w:space="0" w:color="auto"/>
              <w:right w:val="single" w:sz="4" w:space="0" w:color="auto"/>
            </w:tcBorders>
            <w:shd w:val="clear" w:color="auto" w:fill="auto"/>
            <w:vAlign w:val="center"/>
            <w:hideMark/>
          </w:tcPr>
          <w:p w14:paraId="3FEB912D" w14:textId="77777777" w:rsidR="004F18BA" w:rsidRPr="00943EFA" w:rsidRDefault="004F18BA" w:rsidP="00E63662">
            <w:pPr>
              <w:jc w:val="right"/>
              <w:rPr>
                <w:rFonts w:ascii="Arial Narrow" w:hAnsi="Arial Narrow" w:cs="Calibri"/>
                <w:sz w:val="20"/>
                <w:szCs w:val="20"/>
              </w:rPr>
            </w:pPr>
            <w:r w:rsidRPr="00943EFA">
              <w:rPr>
                <w:rFonts w:ascii="Arial Narrow" w:hAnsi="Arial Narrow" w:cs="Calibri"/>
                <w:sz w:val="20"/>
                <w:szCs w:val="20"/>
              </w:rPr>
              <w:t>250</w:t>
            </w:r>
          </w:p>
        </w:tc>
      </w:tr>
    </w:tbl>
    <w:p w14:paraId="14E2AE99" w14:textId="6A7DBF38" w:rsidR="00C86CB8" w:rsidRDefault="00C86CB8" w:rsidP="00E63662">
      <w:pPr>
        <w:pStyle w:val="TableFigureFooter"/>
      </w:pPr>
      <w:r w:rsidRPr="0098567B">
        <w:t xml:space="preserve">Source: </w:t>
      </w:r>
      <w:r w:rsidRPr="002E01DC">
        <w:t>“</w:t>
      </w:r>
      <w:proofErr w:type="spellStart"/>
      <w:r w:rsidRPr="002E01DC">
        <w:t>Ursofalk</w:t>
      </w:r>
      <w:proofErr w:type="spellEnd"/>
      <w:r w:rsidRPr="002E01DC">
        <w:t xml:space="preserve"> dosing_Nov22.xls” spreadsheet (Attachment 2) for calculations</w:t>
      </w:r>
      <w:r>
        <w:t>; Table 2</w:t>
      </w:r>
      <w:r w:rsidR="0011741B">
        <w:t xml:space="preserve"> and 3</w:t>
      </w:r>
      <w:r>
        <w:t xml:space="preserve"> of main submission</w:t>
      </w:r>
    </w:p>
    <w:p w14:paraId="51B0D355" w14:textId="41F4D41C" w:rsidR="00F05A17" w:rsidRDefault="00C86CB8" w:rsidP="00E63662">
      <w:pPr>
        <w:pStyle w:val="TableFigureFooter"/>
        <w:rPr>
          <w:rFonts w:cs="Calibri"/>
          <w:color w:val="000000"/>
        </w:rPr>
      </w:pPr>
      <w:r w:rsidRPr="00FE2042">
        <w:rPr>
          <w:rFonts w:cs="Calibri"/>
          <w:color w:val="000000"/>
        </w:rPr>
        <w:t>UDCA</w:t>
      </w:r>
      <w:r>
        <w:rPr>
          <w:rFonts w:cs="Calibri"/>
          <w:color w:val="000000"/>
        </w:rPr>
        <w:t xml:space="preserve"> = u</w:t>
      </w:r>
      <w:r w:rsidRPr="00C3235C">
        <w:rPr>
          <w:rFonts w:cs="Calibri"/>
          <w:color w:val="000000"/>
        </w:rPr>
        <w:t>rsodeoxycholic acid</w:t>
      </w:r>
    </w:p>
    <w:p w14:paraId="38D0372E" w14:textId="10829A70" w:rsidR="00C86CB8" w:rsidRPr="00F05A17" w:rsidRDefault="00F05A17" w:rsidP="00E63662">
      <w:pPr>
        <w:pStyle w:val="2-SectionHeading"/>
        <w:numPr>
          <w:ilvl w:val="0"/>
          <w:numId w:val="0"/>
        </w:numPr>
        <w:spacing w:before="0" w:after="0"/>
        <w:outlineLvl w:val="9"/>
        <w:rPr>
          <w:rFonts w:ascii="Arial Narrow" w:eastAsiaTheme="majorEastAsia" w:hAnsi="Arial Narrow" w:cstheme="majorBidi"/>
          <w:bCs/>
          <w:snapToGrid/>
          <w:sz w:val="20"/>
          <w:szCs w:val="20"/>
        </w:rPr>
      </w:pPr>
      <w:r w:rsidRPr="000C59F7">
        <w:rPr>
          <w:rFonts w:ascii="Arial Narrow" w:eastAsiaTheme="majorEastAsia" w:hAnsi="Arial Narrow" w:cstheme="majorBidi"/>
          <w:snapToGrid/>
          <w:sz w:val="20"/>
          <w:szCs w:val="20"/>
        </w:rPr>
        <w:lastRenderedPageBreak/>
        <w:t>Table</w:t>
      </w:r>
      <w:r>
        <w:rPr>
          <w:rFonts w:ascii="Arial Narrow" w:eastAsiaTheme="majorEastAsia" w:hAnsi="Arial Narrow" w:cstheme="majorBidi"/>
          <w:snapToGrid/>
          <w:sz w:val="20"/>
          <w:szCs w:val="20"/>
        </w:rPr>
        <w:t xml:space="preserve"> 3</w:t>
      </w:r>
      <w:r w:rsidRPr="000C59F7">
        <w:rPr>
          <w:rFonts w:ascii="Arial Narrow" w:eastAsiaTheme="majorEastAsia" w:hAnsi="Arial Narrow" w:cstheme="majorBidi"/>
          <w:snapToGrid/>
          <w:sz w:val="20"/>
          <w:szCs w:val="20"/>
        </w:rPr>
        <w:t>:</w:t>
      </w:r>
      <w:r w:rsidRPr="002B3698">
        <w:rPr>
          <w:rFonts w:ascii="Arial Narrow" w:eastAsiaTheme="majorEastAsia" w:hAnsi="Arial Narrow" w:cstheme="majorBidi"/>
          <w:b w:val="0"/>
          <w:snapToGrid/>
          <w:sz w:val="20"/>
          <w:szCs w:val="20"/>
        </w:rPr>
        <w:t xml:space="preserve"> </w:t>
      </w:r>
      <w:r w:rsidRPr="00F05A17">
        <w:rPr>
          <w:rFonts w:ascii="Arial Narrow" w:eastAsiaTheme="majorEastAsia" w:hAnsi="Arial Narrow" w:cstheme="majorBidi"/>
          <w:bCs/>
          <w:snapToGrid/>
          <w:sz w:val="20"/>
          <w:szCs w:val="24"/>
        </w:rPr>
        <w:t>Ursofalk PBS quantities of existing and proposed PBS listings for males based on average boy weight</w:t>
      </w:r>
    </w:p>
    <w:tbl>
      <w:tblPr>
        <w:tblW w:w="0" w:type="auto"/>
        <w:tblLayout w:type="fixed"/>
        <w:tblLook w:val="04A0" w:firstRow="1" w:lastRow="0" w:firstColumn="1" w:lastColumn="0" w:noHBand="0" w:noVBand="1"/>
        <w:tblCaption w:val="Table 3: Ursofalk PBS quantities of existing and proposed PBS listings for males based on average boy weight"/>
      </w:tblPr>
      <w:tblGrid>
        <w:gridCol w:w="3488"/>
        <w:gridCol w:w="1309"/>
        <w:gridCol w:w="1311"/>
        <w:gridCol w:w="1455"/>
        <w:gridCol w:w="1453"/>
      </w:tblGrid>
      <w:tr w:rsidR="004F18BA" w:rsidRPr="004F18BA" w14:paraId="35484130" w14:textId="77777777" w:rsidTr="00D10C20">
        <w:trPr>
          <w:trHeight w:val="323"/>
        </w:trPr>
        <w:tc>
          <w:tcPr>
            <w:tcW w:w="3488" w:type="dxa"/>
            <w:tcBorders>
              <w:top w:val="single" w:sz="4" w:space="0" w:color="auto"/>
              <w:left w:val="single" w:sz="4" w:space="0" w:color="auto"/>
              <w:bottom w:val="single" w:sz="4" w:space="0" w:color="auto"/>
              <w:right w:val="single" w:sz="4" w:space="0" w:color="auto"/>
            </w:tcBorders>
            <w:shd w:val="clear" w:color="000000" w:fill="D9D9D9"/>
            <w:vAlign w:val="bottom"/>
            <w:hideMark/>
          </w:tcPr>
          <w:p w14:paraId="0B366870" w14:textId="77777777" w:rsidR="004F18BA" w:rsidRPr="004F18BA" w:rsidRDefault="004F18BA" w:rsidP="00E63662">
            <w:pPr>
              <w:keepNext/>
              <w:jc w:val="left"/>
              <w:rPr>
                <w:rFonts w:ascii="Times New Roman" w:hAnsi="Times New Roman"/>
                <w:color w:val="000000"/>
                <w:sz w:val="20"/>
                <w:szCs w:val="20"/>
              </w:rPr>
            </w:pPr>
            <w:r w:rsidRPr="004F18BA">
              <w:rPr>
                <w:rFonts w:ascii="Times New Roman" w:hAnsi="Times New Roman"/>
                <w:color w:val="000000"/>
                <w:sz w:val="20"/>
                <w:szCs w:val="20"/>
              </w:rPr>
              <w:t> </w:t>
            </w:r>
          </w:p>
        </w:tc>
        <w:tc>
          <w:tcPr>
            <w:tcW w:w="2620" w:type="dxa"/>
            <w:gridSpan w:val="2"/>
            <w:tcBorders>
              <w:top w:val="single" w:sz="4" w:space="0" w:color="auto"/>
              <w:left w:val="nil"/>
              <w:bottom w:val="single" w:sz="4" w:space="0" w:color="auto"/>
              <w:right w:val="single" w:sz="4" w:space="0" w:color="000000"/>
            </w:tcBorders>
            <w:shd w:val="clear" w:color="000000" w:fill="D9D9D9"/>
            <w:vAlign w:val="center"/>
            <w:hideMark/>
          </w:tcPr>
          <w:p w14:paraId="41515253" w14:textId="77777777" w:rsidR="004F18BA" w:rsidRPr="004F18BA" w:rsidRDefault="004F18BA" w:rsidP="00E63662">
            <w:pPr>
              <w:keepNext/>
              <w:jc w:val="left"/>
              <w:rPr>
                <w:rFonts w:ascii="Arial Narrow" w:hAnsi="Arial Narrow" w:cs="Calibri"/>
                <w:b/>
                <w:bCs/>
                <w:color w:val="000000"/>
                <w:sz w:val="20"/>
                <w:szCs w:val="20"/>
              </w:rPr>
            </w:pPr>
            <w:r w:rsidRPr="004F18BA">
              <w:rPr>
                <w:rFonts w:ascii="Arial Narrow" w:hAnsi="Arial Narrow" w:cs="Calibri"/>
                <w:b/>
                <w:bCs/>
                <w:color w:val="000000"/>
                <w:sz w:val="20"/>
                <w:szCs w:val="20"/>
              </w:rPr>
              <w:t>Existing PBS Listings</w:t>
            </w:r>
          </w:p>
        </w:tc>
        <w:tc>
          <w:tcPr>
            <w:tcW w:w="2908" w:type="dxa"/>
            <w:gridSpan w:val="2"/>
            <w:tcBorders>
              <w:top w:val="single" w:sz="4" w:space="0" w:color="auto"/>
              <w:left w:val="nil"/>
              <w:bottom w:val="single" w:sz="4" w:space="0" w:color="auto"/>
              <w:right w:val="single" w:sz="4" w:space="0" w:color="000000"/>
            </w:tcBorders>
            <w:shd w:val="clear" w:color="000000" w:fill="D9D9D9"/>
            <w:vAlign w:val="center"/>
            <w:hideMark/>
          </w:tcPr>
          <w:p w14:paraId="67D0187C" w14:textId="77777777" w:rsidR="004F18BA" w:rsidRPr="004F18BA" w:rsidRDefault="004F18BA" w:rsidP="00E63662">
            <w:pPr>
              <w:keepNext/>
              <w:jc w:val="left"/>
              <w:rPr>
                <w:rFonts w:ascii="Arial Narrow" w:hAnsi="Arial Narrow" w:cs="Calibri"/>
                <w:b/>
                <w:bCs/>
                <w:color w:val="000000"/>
                <w:sz w:val="20"/>
                <w:szCs w:val="20"/>
              </w:rPr>
            </w:pPr>
            <w:r w:rsidRPr="004F18BA">
              <w:rPr>
                <w:rFonts w:ascii="Arial Narrow" w:hAnsi="Arial Narrow" w:cs="Calibri"/>
                <w:b/>
                <w:bCs/>
                <w:color w:val="000000"/>
                <w:sz w:val="20"/>
                <w:szCs w:val="20"/>
              </w:rPr>
              <w:t>Proposed PBS Listings</w:t>
            </w:r>
          </w:p>
        </w:tc>
      </w:tr>
      <w:tr w:rsidR="004F18BA" w:rsidRPr="004F18BA" w14:paraId="58DF7A5E" w14:textId="77777777" w:rsidTr="00A91F37">
        <w:trPr>
          <w:trHeight w:val="454"/>
        </w:trPr>
        <w:tc>
          <w:tcPr>
            <w:tcW w:w="3488" w:type="dxa"/>
            <w:tcBorders>
              <w:top w:val="nil"/>
              <w:left w:val="single" w:sz="4" w:space="0" w:color="auto"/>
              <w:bottom w:val="single" w:sz="4" w:space="0" w:color="auto"/>
              <w:right w:val="single" w:sz="4" w:space="0" w:color="auto"/>
            </w:tcBorders>
            <w:shd w:val="clear" w:color="000000" w:fill="D9D9D9"/>
            <w:vAlign w:val="bottom"/>
            <w:hideMark/>
          </w:tcPr>
          <w:p w14:paraId="2FF996BF" w14:textId="77777777" w:rsidR="004F18BA" w:rsidRPr="004F18BA" w:rsidRDefault="004F18BA" w:rsidP="00E63662">
            <w:pPr>
              <w:keepNext/>
              <w:jc w:val="left"/>
              <w:rPr>
                <w:rFonts w:ascii="Times New Roman" w:hAnsi="Times New Roman"/>
                <w:color w:val="000000"/>
                <w:sz w:val="20"/>
                <w:szCs w:val="20"/>
              </w:rPr>
            </w:pPr>
            <w:r w:rsidRPr="004F18BA">
              <w:rPr>
                <w:rFonts w:ascii="Times New Roman" w:hAnsi="Times New Roman"/>
                <w:color w:val="000000"/>
                <w:sz w:val="20"/>
                <w:szCs w:val="20"/>
              </w:rPr>
              <w:t> </w:t>
            </w:r>
          </w:p>
        </w:tc>
        <w:tc>
          <w:tcPr>
            <w:tcW w:w="1309" w:type="dxa"/>
            <w:tcBorders>
              <w:top w:val="nil"/>
              <w:left w:val="nil"/>
              <w:bottom w:val="single" w:sz="4" w:space="0" w:color="auto"/>
              <w:right w:val="single" w:sz="4" w:space="0" w:color="auto"/>
            </w:tcBorders>
            <w:shd w:val="clear" w:color="000000" w:fill="D9D9D9"/>
            <w:vAlign w:val="center"/>
            <w:hideMark/>
          </w:tcPr>
          <w:p w14:paraId="1518DBBB" w14:textId="77777777" w:rsidR="004F18BA" w:rsidRPr="004F18BA" w:rsidRDefault="004F18BA" w:rsidP="00E63662">
            <w:pPr>
              <w:keepNext/>
              <w:jc w:val="left"/>
              <w:rPr>
                <w:rFonts w:ascii="Arial Narrow" w:hAnsi="Arial Narrow" w:cs="Calibri"/>
                <w:b/>
                <w:bCs/>
                <w:color w:val="000000"/>
                <w:sz w:val="20"/>
                <w:szCs w:val="20"/>
              </w:rPr>
            </w:pPr>
            <w:r w:rsidRPr="004F18BA">
              <w:rPr>
                <w:rFonts w:ascii="Arial Narrow" w:hAnsi="Arial Narrow" w:cs="Calibri"/>
                <w:b/>
                <w:bCs/>
                <w:color w:val="000000"/>
                <w:sz w:val="20"/>
                <w:szCs w:val="20"/>
              </w:rPr>
              <w:t>Upper range</w:t>
            </w:r>
          </w:p>
        </w:tc>
        <w:tc>
          <w:tcPr>
            <w:tcW w:w="1311" w:type="dxa"/>
            <w:tcBorders>
              <w:top w:val="nil"/>
              <w:left w:val="nil"/>
              <w:bottom w:val="single" w:sz="4" w:space="0" w:color="auto"/>
              <w:right w:val="single" w:sz="4" w:space="0" w:color="auto"/>
            </w:tcBorders>
            <w:shd w:val="clear" w:color="000000" w:fill="D9D9D9"/>
            <w:vAlign w:val="center"/>
            <w:hideMark/>
          </w:tcPr>
          <w:p w14:paraId="75B24D34" w14:textId="77777777" w:rsidR="004F18BA" w:rsidRPr="004F18BA" w:rsidRDefault="004F18BA" w:rsidP="00E63662">
            <w:pPr>
              <w:keepNext/>
              <w:jc w:val="left"/>
              <w:rPr>
                <w:rFonts w:ascii="Arial Narrow" w:hAnsi="Arial Narrow" w:cs="Calibri"/>
                <w:b/>
                <w:bCs/>
                <w:color w:val="000000"/>
                <w:sz w:val="20"/>
                <w:szCs w:val="20"/>
              </w:rPr>
            </w:pPr>
            <w:r w:rsidRPr="004F18BA">
              <w:rPr>
                <w:rFonts w:ascii="Arial Narrow" w:hAnsi="Arial Narrow" w:cs="Calibri"/>
                <w:b/>
                <w:bCs/>
                <w:color w:val="000000"/>
                <w:sz w:val="20"/>
                <w:szCs w:val="20"/>
              </w:rPr>
              <w:t>Lower range</w:t>
            </w:r>
          </w:p>
        </w:tc>
        <w:tc>
          <w:tcPr>
            <w:tcW w:w="1455" w:type="dxa"/>
            <w:tcBorders>
              <w:top w:val="nil"/>
              <w:left w:val="nil"/>
              <w:bottom w:val="single" w:sz="4" w:space="0" w:color="auto"/>
              <w:right w:val="single" w:sz="4" w:space="0" w:color="auto"/>
            </w:tcBorders>
            <w:shd w:val="clear" w:color="000000" w:fill="D9D9D9"/>
            <w:vAlign w:val="center"/>
            <w:hideMark/>
          </w:tcPr>
          <w:p w14:paraId="5448AD8A" w14:textId="77777777" w:rsidR="004F18BA" w:rsidRPr="004F18BA" w:rsidRDefault="004F18BA" w:rsidP="00E63662">
            <w:pPr>
              <w:keepNext/>
              <w:jc w:val="left"/>
              <w:rPr>
                <w:rFonts w:ascii="Arial Narrow" w:hAnsi="Arial Narrow" w:cs="Calibri"/>
                <w:b/>
                <w:bCs/>
                <w:color w:val="000000"/>
                <w:sz w:val="20"/>
                <w:szCs w:val="20"/>
              </w:rPr>
            </w:pPr>
            <w:r w:rsidRPr="004F18BA">
              <w:rPr>
                <w:rFonts w:ascii="Arial Narrow" w:hAnsi="Arial Narrow" w:cs="Calibri"/>
                <w:b/>
                <w:bCs/>
                <w:color w:val="000000"/>
                <w:sz w:val="20"/>
                <w:szCs w:val="20"/>
              </w:rPr>
              <w:t>Upper range</w:t>
            </w:r>
          </w:p>
        </w:tc>
        <w:tc>
          <w:tcPr>
            <w:tcW w:w="1453" w:type="dxa"/>
            <w:tcBorders>
              <w:top w:val="nil"/>
              <w:left w:val="nil"/>
              <w:bottom w:val="single" w:sz="4" w:space="0" w:color="auto"/>
              <w:right w:val="single" w:sz="4" w:space="0" w:color="auto"/>
            </w:tcBorders>
            <w:shd w:val="clear" w:color="000000" w:fill="D9D9D9"/>
            <w:vAlign w:val="center"/>
            <w:hideMark/>
          </w:tcPr>
          <w:p w14:paraId="03366579" w14:textId="77777777" w:rsidR="004F18BA" w:rsidRPr="004F18BA" w:rsidRDefault="004F18BA" w:rsidP="00E63662">
            <w:pPr>
              <w:keepNext/>
              <w:jc w:val="left"/>
              <w:rPr>
                <w:rFonts w:ascii="Arial Narrow" w:hAnsi="Arial Narrow" w:cs="Calibri"/>
                <w:b/>
                <w:bCs/>
                <w:color w:val="000000"/>
                <w:sz w:val="20"/>
                <w:szCs w:val="20"/>
              </w:rPr>
            </w:pPr>
            <w:r w:rsidRPr="004F18BA">
              <w:rPr>
                <w:rFonts w:ascii="Arial Narrow" w:hAnsi="Arial Narrow" w:cs="Calibri"/>
                <w:b/>
                <w:bCs/>
                <w:color w:val="000000"/>
                <w:sz w:val="20"/>
                <w:szCs w:val="20"/>
              </w:rPr>
              <w:t>Lower range</w:t>
            </w:r>
          </w:p>
        </w:tc>
      </w:tr>
      <w:tr w:rsidR="004F18BA" w:rsidRPr="004F18BA" w14:paraId="4D61C680" w14:textId="77777777" w:rsidTr="00D10C20">
        <w:trPr>
          <w:trHeight w:val="323"/>
        </w:trPr>
        <w:tc>
          <w:tcPr>
            <w:tcW w:w="3488" w:type="dxa"/>
            <w:tcBorders>
              <w:top w:val="nil"/>
              <w:left w:val="single" w:sz="4" w:space="0" w:color="auto"/>
              <w:bottom w:val="single" w:sz="4" w:space="0" w:color="auto"/>
              <w:right w:val="single" w:sz="4" w:space="0" w:color="auto"/>
            </w:tcBorders>
            <w:shd w:val="clear" w:color="auto" w:fill="auto"/>
            <w:vAlign w:val="center"/>
            <w:hideMark/>
          </w:tcPr>
          <w:p w14:paraId="106656D3" w14:textId="77777777" w:rsidR="004F18BA" w:rsidRPr="004F18BA" w:rsidRDefault="004F18BA" w:rsidP="00E63662">
            <w:pPr>
              <w:keepNext/>
              <w:jc w:val="left"/>
              <w:rPr>
                <w:rFonts w:ascii="Arial Narrow" w:hAnsi="Arial Narrow" w:cs="Calibri"/>
                <w:color w:val="000000"/>
                <w:sz w:val="20"/>
                <w:szCs w:val="20"/>
              </w:rPr>
            </w:pPr>
            <w:r w:rsidRPr="004F18BA">
              <w:rPr>
                <w:rFonts w:ascii="Arial Narrow" w:hAnsi="Arial Narrow" w:cs="Calibri"/>
                <w:color w:val="000000"/>
                <w:sz w:val="20"/>
                <w:szCs w:val="20"/>
              </w:rPr>
              <w:t>UDCA dose (mg/kg per day)</w:t>
            </w:r>
          </w:p>
        </w:tc>
        <w:tc>
          <w:tcPr>
            <w:tcW w:w="1309" w:type="dxa"/>
            <w:tcBorders>
              <w:top w:val="nil"/>
              <w:left w:val="nil"/>
              <w:bottom w:val="single" w:sz="4" w:space="0" w:color="auto"/>
              <w:right w:val="single" w:sz="4" w:space="0" w:color="auto"/>
            </w:tcBorders>
            <w:shd w:val="clear" w:color="auto" w:fill="auto"/>
            <w:vAlign w:val="center"/>
            <w:hideMark/>
          </w:tcPr>
          <w:p w14:paraId="411D8BA2" w14:textId="77777777" w:rsidR="004F18BA" w:rsidRPr="004F18BA" w:rsidRDefault="004F18BA" w:rsidP="00E63662">
            <w:pPr>
              <w:keepNext/>
              <w:jc w:val="right"/>
              <w:rPr>
                <w:rFonts w:ascii="Arial Narrow" w:hAnsi="Arial Narrow" w:cs="Calibri"/>
                <w:color w:val="000000"/>
                <w:sz w:val="20"/>
                <w:szCs w:val="20"/>
              </w:rPr>
            </w:pPr>
            <w:r w:rsidRPr="004F18BA">
              <w:rPr>
                <w:rFonts w:ascii="Arial Narrow" w:hAnsi="Arial Narrow" w:cs="Calibri"/>
                <w:color w:val="000000"/>
                <w:sz w:val="20"/>
                <w:szCs w:val="20"/>
              </w:rPr>
              <w:t>16</w:t>
            </w:r>
          </w:p>
        </w:tc>
        <w:tc>
          <w:tcPr>
            <w:tcW w:w="1311" w:type="dxa"/>
            <w:tcBorders>
              <w:top w:val="nil"/>
              <w:left w:val="nil"/>
              <w:bottom w:val="single" w:sz="4" w:space="0" w:color="auto"/>
              <w:right w:val="single" w:sz="4" w:space="0" w:color="auto"/>
            </w:tcBorders>
            <w:shd w:val="clear" w:color="auto" w:fill="auto"/>
            <w:vAlign w:val="center"/>
            <w:hideMark/>
          </w:tcPr>
          <w:p w14:paraId="25829B6C" w14:textId="77777777" w:rsidR="004F18BA" w:rsidRPr="004F18BA" w:rsidRDefault="004F18BA" w:rsidP="00E63662">
            <w:pPr>
              <w:keepNext/>
              <w:jc w:val="right"/>
              <w:rPr>
                <w:rFonts w:ascii="Arial Narrow" w:hAnsi="Arial Narrow" w:cs="Calibri"/>
                <w:color w:val="000000"/>
                <w:sz w:val="20"/>
                <w:szCs w:val="20"/>
              </w:rPr>
            </w:pPr>
            <w:r w:rsidRPr="004F18BA">
              <w:rPr>
                <w:rFonts w:ascii="Arial Narrow" w:hAnsi="Arial Narrow" w:cs="Calibri"/>
                <w:color w:val="000000"/>
                <w:sz w:val="20"/>
                <w:szCs w:val="20"/>
              </w:rPr>
              <w:t>12</w:t>
            </w:r>
          </w:p>
        </w:tc>
        <w:tc>
          <w:tcPr>
            <w:tcW w:w="1455" w:type="dxa"/>
            <w:tcBorders>
              <w:top w:val="nil"/>
              <w:left w:val="nil"/>
              <w:bottom w:val="single" w:sz="4" w:space="0" w:color="auto"/>
              <w:right w:val="single" w:sz="4" w:space="0" w:color="auto"/>
            </w:tcBorders>
            <w:shd w:val="clear" w:color="auto" w:fill="auto"/>
            <w:vAlign w:val="center"/>
            <w:hideMark/>
          </w:tcPr>
          <w:p w14:paraId="1E914259" w14:textId="77777777" w:rsidR="004F18BA" w:rsidRPr="004F18BA" w:rsidRDefault="004F18BA" w:rsidP="00E63662">
            <w:pPr>
              <w:keepNext/>
              <w:jc w:val="right"/>
              <w:rPr>
                <w:rFonts w:ascii="Arial Narrow" w:hAnsi="Arial Narrow" w:cs="Calibri"/>
                <w:color w:val="000000"/>
                <w:sz w:val="20"/>
                <w:szCs w:val="20"/>
              </w:rPr>
            </w:pPr>
            <w:r w:rsidRPr="004F18BA">
              <w:rPr>
                <w:rFonts w:ascii="Arial Narrow" w:hAnsi="Arial Narrow" w:cs="Calibri"/>
                <w:color w:val="000000"/>
                <w:sz w:val="20"/>
                <w:szCs w:val="20"/>
              </w:rPr>
              <w:t>16</w:t>
            </w:r>
          </w:p>
        </w:tc>
        <w:tc>
          <w:tcPr>
            <w:tcW w:w="1453" w:type="dxa"/>
            <w:tcBorders>
              <w:top w:val="nil"/>
              <w:left w:val="nil"/>
              <w:bottom w:val="single" w:sz="4" w:space="0" w:color="auto"/>
              <w:right w:val="single" w:sz="4" w:space="0" w:color="auto"/>
            </w:tcBorders>
            <w:shd w:val="clear" w:color="auto" w:fill="auto"/>
            <w:vAlign w:val="center"/>
            <w:hideMark/>
          </w:tcPr>
          <w:p w14:paraId="45AB0814" w14:textId="77777777" w:rsidR="004F18BA" w:rsidRPr="004F18BA" w:rsidRDefault="004F18BA" w:rsidP="00E63662">
            <w:pPr>
              <w:keepNext/>
              <w:jc w:val="right"/>
              <w:rPr>
                <w:rFonts w:ascii="Arial Narrow" w:hAnsi="Arial Narrow" w:cs="Calibri"/>
                <w:color w:val="000000"/>
                <w:sz w:val="20"/>
                <w:szCs w:val="20"/>
              </w:rPr>
            </w:pPr>
            <w:r w:rsidRPr="004F18BA">
              <w:rPr>
                <w:rFonts w:ascii="Arial Narrow" w:hAnsi="Arial Narrow" w:cs="Calibri"/>
                <w:color w:val="000000"/>
                <w:sz w:val="20"/>
                <w:szCs w:val="20"/>
              </w:rPr>
              <w:t>12</w:t>
            </w:r>
          </w:p>
        </w:tc>
      </w:tr>
      <w:tr w:rsidR="00231A74" w:rsidRPr="004F18BA" w14:paraId="1C21DF01" w14:textId="77777777" w:rsidTr="00D10C20">
        <w:trPr>
          <w:trHeight w:val="549"/>
        </w:trPr>
        <w:tc>
          <w:tcPr>
            <w:tcW w:w="3488" w:type="dxa"/>
            <w:tcBorders>
              <w:top w:val="nil"/>
              <w:left w:val="single" w:sz="4" w:space="0" w:color="auto"/>
              <w:bottom w:val="single" w:sz="4" w:space="0" w:color="auto"/>
              <w:right w:val="single" w:sz="4" w:space="0" w:color="auto"/>
            </w:tcBorders>
            <w:shd w:val="clear" w:color="auto" w:fill="auto"/>
            <w:vAlign w:val="center"/>
            <w:hideMark/>
          </w:tcPr>
          <w:p w14:paraId="3B08F12B" w14:textId="77777777" w:rsidR="00231A74" w:rsidRPr="004F18BA" w:rsidRDefault="00231A74" w:rsidP="00E63662">
            <w:pPr>
              <w:keepNext/>
              <w:jc w:val="left"/>
              <w:rPr>
                <w:rFonts w:ascii="Arial Narrow" w:hAnsi="Arial Narrow" w:cs="Calibri"/>
                <w:color w:val="000000"/>
                <w:sz w:val="20"/>
                <w:szCs w:val="20"/>
              </w:rPr>
            </w:pPr>
            <w:r w:rsidRPr="004F18BA">
              <w:rPr>
                <w:rFonts w:ascii="Arial Narrow" w:hAnsi="Arial Narrow" w:cs="Calibri"/>
                <w:color w:val="000000"/>
                <w:sz w:val="20"/>
                <w:szCs w:val="20"/>
              </w:rPr>
              <w:t>Dose per day (mg per day) based on 87 kg average body weight</w:t>
            </w:r>
          </w:p>
        </w:tc>
        <w:tc>
          <w:tcPr>
            <w:tcW w:w="1309" w:type="dxa"/>
            <w:tcBorders>
              <w:top w:val="nil"/>
              <w:left w:val="nil"/>
              <w:bottom w:val="single" w:sz="4" w:space="0" w:color="auto"/>
              <w:right w:val="single" w:sz="4" w:space="0" w:color="auto"/>
            </w:tcBorders>
            <w:shd w:val="clear" w:color="auto" w:fill="auto"/>
            <w:vAlign w:val="center"/>
            <w:hideMark/>
          </w:tcPr>
          <w:p w14:paraId="6118E233" w14:textId="77777777" w:rsidR="00231A74" w:rsidRPr="004F18BA" w:rsidRDefault="00231A74" w:rsidP="00E63662">
            <w:pPr>
              <w:keepNext/>
              <w:jc w:val="right"/>
              <w:rPr>
                <w:rFonts w:ascii="Arial Narrow" w:hAnsi="Arial Narrow" w:cs="Calibri"/>
                <w:color w:val="000000"/>
                <w:sz w:val="20"/>
                <w:szCs w:val="20"/>
              </w:rPr>
            </w:pPr>
            <w:r w:rsidRPr="004F18BA">
              <w:rPr>
                <w:rFonts w:ascii="Arial Narrow" w:hAnsi="Arial Narrow" w:cs="Calibri"/>
                <w:color w:val="000000"/>
                <w:sz w:val="20"/>
                <w:szCs w:val="20"/>
              </w:rPr>
              <w:t>1392</w:t>
            </w:r>
          </w:p>
        </w:tc>
        <w:tc>
          <w:tcPr>
            <w:tcW w:w="1311" w:type="dxa"/>
            <w:tcBorders>
              <w:top w:val="nil"/>
              <w:left w:val="nil"/>
              <w:bottom w:val="single" w:sz="4" w:space="0" w:color="auto"/>
              <w:right w:val="single" w:sz="4" w:space="0" w:color="auto"/>
            </w:tcBorders>
            <w:shd w:val="clear" w:color="auto" w:fill="auto"/>
            <w:vAlign w:val="center"/>
            <w:hideMark/>
          </w:tcPr>
          <w:p w14:paraId="12AAA7BB" w14:textId="77777777" w:rsidR="00231A74" w:rsidRPr="004F18BA" w:rsidRDefault="00231A74" w:rsidP="00E63662">
            <w:pPr>
              <w:keepNext/>
              <w:jc w:val="right"/>
              <w:rPr>
                <w:rFonts w:ascii="Arial Narrow" w:hAnsi="Arial Narrow" w:cs="Calibri"/>
                <w:color w:val="000000"/>
                <w:sz w:val="20"/>
                <w:szCs w:val="20"/>
              </w:rPr>
            </w:pPr>
            <w:r w:rsidRPr="004F18BA">
              <w:rPr>
                <w:rFonts w:ascii="Arial Narrow" w:hAnsi="Arial Narrow" w:cs="Calibri"/>
                <w:color w:val="000000"/>
                <w:sz w:val="20"/>
                <w:szCs w:val="20"/>
              </w:rPr>
              <w:t>1044</w:t>
            </w:r>
          </w:p>
        </w:tc>
        <w:tc>
          <w:tcPr>
            <w:tcW w:w="1455" w:type="dxa"/>
            <w:tcBorders>
              <w:top w:val="nil"/>
              <w:left w:val="nil"/>
              <w:bottom w:val="single" w:sz="4" w:space="0" w:color="auto"/>
              <w:right w:val="single" w:sz="4" w:space="0" w:color="auto"/>
            </w:tcBorders>
            <w:shd w:val="clear" w:color="auto" w:fill="auto"/>
            <w:vAlign w:val="center"/>
            <w:hideMark/>
          </w:tcPr>
          <w:p w14:paraId="37F1654F" w14:textId="761B133E" w:rsidR="00231A74" w:rsidRPr="004F18BA" w:rsidRDefault="00231A74" w:rsidP="00E63662">
            <w:pPr>
              <w:keepNext/>
              <w:jc w:val="right"/>
              <w:rPr>
                <w:rFonts w:ascii="Arial Narrow" w:hAnsi="Arial Narrow" w:cs="Calibri"/>
                <w:color w:val="000000"/>
                <w:sz w:val="20"/>
                <w:szCs w:val="20"/>
              </w:rPr>
            </w:pPr>
            <w:r w:rsidRPr="004F18BA">
              <w:rPr>
                <w:rFonts w:ascii="Arial Narrow" w:hAnsi="Arial Narrow" w:cs="Calibri"/>
                <w:color w:val="000000"/>
                <w:sz w:val="20"/>
                <w:szCs w:val="20"/>
              </w:rPr>
              <w:t>1392</w:t>
            </w:r>
          </w:p>
        </w:tc>
        <w:tc>
          <w:tcPr>
            <w:tcW w:w="1453" w:type="dxa"/>
            <w:tcBorders>
              <w:top w:val="nil"/>
              <w:left w:val="nil"/>
              <w:bottom w:val="single" w:sz="4" w:space="0" w:color="auto"/>
              <w:right w:val="single" w:sz="4" w:space="0" w:color="auto"/>
            </w:tcBorders>
            <w:shd w:val="clear" w:color="auto" w:fill="auto"/>
            <w:vAlign w:val="center"/>
            <w:hideMark/>
          </w:tcPr>
          <w:p w14:paraId="42C86044" w14:textId="25EE2540" w:rsidR="00231A74" w:rsidRPr="004F18BA" w:rsidRDefault="00231A74" w:rsidP="00E63662">
            <w:pPr>
              <w:keepNext/>
              <w:jc w:val="right"/>
              <w:rPr>
                <w:rFonts w:ascii="Arial Narrow" w:hAnsi="Arial Narrow" w:cs="Calibri"/>
                <w:color w:val="000000"/>
                <w:sz w:val="20"/>
                <w:szCs w:val="20"/>
              </w:rPr>
            </w:pPr>
            <w:r w:rsidRPr="004F18BA">
              <w:rPr>
                <w:rFonts w:ascii="Arial Narrow" w:hAnsi="Arial Narrow" w:cs="Calibri"/>
                <w:color w:val="000000"/>
                <w:sz w:val="20"/>
                <w:szCs w:val="20"/>
              </w:rPr>
              <w:t>1044</w:t>
            </w:r>
          </w:p>
        </w:tc>
      </w:tr>
      <w:tr w:rsidR="00231A74" w:rsidRPr="004F18BA" w14:paraId="0D6F4809" w14:textId="77777777" w:rsidTr="00D10C20">
        <w:trPr>
          <w:trHeight w:val="549"/>
        </w:trPr>
        <w:tc>
          <w:tcPr>
            <w:tcW w:w="3488" w:type="dxa"/>
            <w:tcBorders>
              <w:top w:val="nil"/>
              <w:left w:val="single" w:sz="4" w:space="0" w:color="auto"/>
              <w:bottom w:val="single" w:sz="4" w:space="0" w:color="auto"/>
              <w:right w:val="single" w:sz="4" w:space="0" w:color="auto"/>
            </w:tcBorders>
            <w:shd w:val="clear" w:color="auto" w:fill="auto"/>
            <w:vAlign w:val="center"/>
            <w:hideMark/>
          </w:tcPr>
          <w:p w14:paraId="5A74FC15" w14:textId="77777777" w:rsidR="00231A74" w:rsidRPr="004F18BA" w:rsidRDefault="00231A74" w:rsidP="00E63662">
            <w:pPr>
              <w:keepNext/>
              <w:jc w:val="left"/>
              <w:rPr>
                <w:rFonts w:ascii="Arial Narrow" w:hAnsi="Arial Narrow" w:cs="Calibri"/>
                <w:color w:val="000000"/>
                <w:sz w:val="20"/>
                <w:szCs w:val="20"/>
              </w:rPr>
            </w:pPr>
            <w:r w:rsidRPr="004F18BA">
              <w:rPr>
                <w:rFonts w:ascii="Arial Narrow" w:hAnsi="Arial Narrow" w:cs="Calibri"/>
                <w:color w:val="000000"/>
                <w:sz w:val="20"/>
                <w:szCs w:val="20"/>
              </w:rPr>
              <w:t>No. of 500 mg tablets per day (rounded to nearest 0.5)</w:t>
            </w:r>
          </w:p>
        </w:tc>
        <w:tc>
          <w:tcPr>
            <w:tcW w:w="1309" w:type="dxa"/>
            <w:tcBorders>
              <w:top w:val="nil"/>
              <w:left w:val="nil"/>
              <w:bottom w:val="single" w:sz="4" w:space="0" w:color="auto"/>
              <w:right w:val="single" w:sz="4" w:space="0" w:color="auto"/>
            </w:tcBorders>
            <w:shd w:val="clear" w:color="auto" w:fill="auto"/>
            <w:vAlign w:val="center"/>
            <w:hideMark/>
          </w:tcPr>
          <w:p w14:paraId="54F79FD9" w14:textId="4EDEAFCC" w:rsidR="00231A74" w:rsidRPr="004F18BA" w:rsidRDefault="00231A74" w:rsidP="00E63662">
            <w:pPr>
              <w:keepNext/>
              <w:jc w:val="right"/>
              <w:rPr>
                <w:rFonts w:ascii="Arial Narrow" w:hAnsi="Arial Narrow" w:cs="Calibri"/>
                <w:color w:val="000000"/>
                <w:sz w:val="20"/>
                <w:szCs w:val="20"/>
              </w:rPr>
            </w:pPr>
            <w:r>
              <w:rPr>
                <w:rFonts w:ascii="Arial Narrow" w:hAnsi="Arial Narrow" w:cs="Calibri"/>
                <w:color w:val="000000"/>
                <w:sz w:val="20"/>
                <w:szCs w:val="20"/>
              </w:rPr>
              <w:t>3</w:t>
            </w:r>
          </w:p>
        </w:tc>
        <w:tc>
          <w:tcPr>
            <w:tcW w:w="1311" w:type="dxa"/>
            <w:tcBorders>
              <w:top w:val="nil"/>
              <w:left w:val="nil"/>
              <w:bottom w:val="single" w:sz="4" w:space="0" w:color="auto"/>
              <w:right w:val="single" w:sz="4" w:space="0" w:color="auto"/>
            </w:tcBorders>
            <w:shd w:val="clear" w:color="auto" w:fill="auto"/>
            <w:vAlign w:val="center"/>
            <w:hideMark/>
          </w:tcPr>
          <w:p w14:paraId="3ABC2917" w14:textId="009B0454" w:rsidR="00231A74" w:rsidRPr="004F18BA" w:rsidRDefault="00231A74" w:rsidP="00E63662">
            <w:pPr>
              <w:keepNext/>
              <w:jc w:val="right"/>
              <w:rPr>
                <w:rFonts w:ascii="Arial Narrow" w:hAnsi="Arial Narrow" w:cs="Calibri"/>
                <w:color w:val="000000"/>
                <w:sz w:val="20"/>
                <w:szCs w:val="20"/>
              </w:rPr>
            </w:pPr>
            <w:r>
              <w:rPr>
                <w:rFonts w:ascii="Arial Narrow" w:hAnsi="Arial Narrow" w:cs="Calibri"/>
                <w:color w:val="000000"/>
                <w:sz w:val="20"/>
                <w:szCs w:val="20"/>
              </w:rPr>
              <w:t>2.5</w:t>
            </w:r>
          </w:p>
        </w:tc>
        <w:tc>
          <w:tcPr>
            <w:tcW w:w="1455" w:type="dxa"/>
            <w:tcBorders>
              <w:top w:val="nil"/>
              <w:left w:val="nil"/>
              <w:bottom w:val="single" w:sz="4" w:space="0" w:color="auto"/>
              <w:right w:val="single" w:sz="4" w:space="0" w:color="auto"/>
            </w:tcBorders>
            <w:shd w:val="clear" w:color="auto" w:fill="auto"/>
            <w:vAlign w:val="center"/>
            <w:hideMark/>
          </w:tcPr>
          <w:p w14:paraId="5F81285A" w14:textId="0E363DA4" w:rsidR="00231A74" w:rsidRPr="004F18BA" w:rsidRDefault="00231A74" w:rsidP="00E63662">
            <w:pPr>
              <w:keepNext/>
              <w:jc w:val="right"/>
              <w:rPr>
                <w:rFonts w:ascii="Arial Narrow" w:hAnsi="Arial Narrow" w:cs="Calibri"/>
                <w:color w:val="000000"/>
                <w:sz w:val="20"/>
                <w:szCs w:val="20"/>
              </w:rPr>
            </w:pPr>
            <w:r>
              <w:rPr>
                <w:rFonts w:ascii="Arial Narrow" w:hAnsi="Arial Narrow" w:cs="Calibri"/>
                <w:color w:val="000000"/>
                <w:sz w:val="20"/>
                <w:szCs w:val="20"/>
              </w:rPr>
              <w:t>3</w:t>
            </w:r>
          </w:p>
        </w:tc>
        <w:tc>
          <w:tcPr>
            <w:tcW w:w="1453" w:type="dxa"/>
            <w:tcBorders>
              <w:top w:val="nil"/>
              <w:left w:val="nil"/>
              <w:bottom w:val="single" w:sz="4" w:space="0" w:color="auto"/>
              <w:right w:val="single" w:sz="4" w:space="0" w:color="auto"/>
            </w:tcBorders>
            <w:shd w:val="clear" w:color="auto" w:fill="auto"/>
            <w:vAlign w:val="center"/>
            <w:hideMark/>
          </w:tcPr>
          <w:p w14:paraId="78F5EC18" w14:textId="38AB44C6" w:rsidR="00231A74" w:rsidRPr="004F18BA" w:rsidRDefault="00231A74" w:rsidP="00E63662">
            <w:pPr>
              <w:keepNext/>
              <w:jc w:val="right"/>
              <w:rPr>
                <w:rFonts w:ascii="Arial Narrow" w:hAnsi="Arial Narrow" w:cs="Calibri"/>
                <w:color w:val="000000"/>
                <w:sz w:val="20"/>
                <w:szCs w:val="20"/>
              </w:rPr>
            </w:pPr>
            <w:r>
              <w:rPr>
                <w:rFonts w:ascii="Arial Narrow" w:hAnsi="Arial Narrow" w:cs="Calibri"/>
                <w:color w:val="000000"/>
                <w:sz w:val="20"/>
                <w:szCs w:val="20"/>
              </w:rPr>
              <w:t>2.5</w:t>
            </w:r>
          </w:p>
        </w:tc>
      </w:tr>
      <w:tr w:rsidR="00231A74" w:rsidRPr="004F18BA" w14:paraId="7A6558AF" w14:textId="77777777" w:rsidTr="00D10C20">
        <w:trPr>
          <w:trHeight w:val="549"/>
        </w:trPr>
        <w:tc>
          <w:tcPr>
            <w:tcW w:w="3488" w:type="dxa"/>
            <w:tcBorders>
              <w:top w:val="nil"/>
              <w:left w:val="single" w:sz="4" w:space="0" w:color="auto"/>
              <w:bottom w:val="single" w:sz="4" w:space="0" w:color="auto"/>
              <w:right w:val="single" w:sz="4" w:space="0" w:color="auto"/>
            </w:tcBorders>
            <w:shd w:val="clear" w:color="auto" w:fill="auto"/>
            <w:vAlign w:val="center"/>
            <w:hideMark/>
          </w:tcPr>
          <w:p w14:paraId="012B49BB" w14:textId="77777777" w:rsidR="00231A74" w:rsidRPr="004F18BA" w:rsidRDefault="00231A74" w:rsidP="00E63662">
            <w:pPr>
              <w:keepNext/>
              <w:jc w:val="left"/>
              <w:rPr>
                <w:rFonts w:ascii="Arial Narrow" w:hAnsi="Arial Narrow" w:cs="Calibri"/>
                <w:color w:val="000000"/>
                <w:sz w:val="20"/>
                <w:szCs w:val="20"/>
              </w:rPr>
            </w:pPr>
            <w:r w:rsidRPr="004F18BA">
              <w:rPr>
                <w:rFonts w:ascii="Arial Narrow" w:hAnsi="Arial Narrow" w:cs="Calibri"/>
                <w:color w:val="000000"/>
                <w:sz w:val="20"/>
                <w:szCs w:val="20"/>
              </w:rPr>
              <w:t>No. of 250 mg capsules per day (rounded to nearest whole number)</w:t>
            </w:r>
          </w:p>
        </w:tc>
        <w:tc>
          <w:tcPr>
            <w:tcW w:w="1309" w:type="dxa"/>
            <w:tcBorders>
              <w:top w:val="nil"/>
              <w:left w:val="nil"/>
              <w:bottom w:val="single" w:sz="4" w:space="0" w:color="auto"/>
              <w:right w:val="single" w:sz="4" w:space="0" w:color="auto"/>
            </w:tcBorders>
            <w:shd w:val="clear" w:color="auto" w:fill="auto"/>
            <w:vAlign w:val="center"/>
            <w:hideMark/>
          </w:tcPr>
          <w:p w14:paraId="74B830D8" w14:textId="2AC20EBC" w:rsidR="00231A74" w:rsidRPr="004F18BA" w:rsidRDefault="00231A74" w:rsidP="00E63662">
            <w:pPr>
              <w:keepNext/>
              <w:jc w:val="right"/>
              <w:rPr>
                <w:rFonts w:ascii="Arial Narrow" w:hAnsi="Arial Narrow" w:cs="Calibri"/>
                <w:color w:val="000000"/>
                <w:sz w:val="20"/>
                <w:szCs w:val="20"/>
              </w:rPr>
            </w:pPr>
            <w:r>
              <w:rPr>
                <w:rFonts w:ascii="Arial Narrow" w:hAnsi="Arial Narrow" w:cs="Calibri"/>
                <w:color w:val="000000"/>
                <w:sz w:val="20"/>
                <w:szCs w:val="20"/>
              </w:rPr>
              <w:t>6</w:t>
            </w:r>
          </w:p>
        </w:tc>
        <w:tc>
          <w:tcPr>
            <w:tcW w:w="1311" w:type="dxa"/>
            <w:tcBorders>
              <w:top w:val="nil"/>
              <w:left w:val="nil"/>
              <w:bottom w:val="single" w:sz="4" w:space="0" w:color="auto"/>
              <w:right w:val="single" w:sz="4" w:space="0" w:color="auto"/>
            </w:tcBorders>
            <w:shd w:val="clear" w:color="auto" w:fill="auto"/>
            <w:vAlign w:val="center"/>
            <w:hideMark/>
          </w:tcPr>
          <w:p w14:paraId="5936CB39" w14:textId="4BF977F7" w:rsidR="00231A74" w:rsidRPr="004F18BA" w:rsidRDefault="00231A74" w:rsidP="00E63662">
            <w:pPr>
              <w:keepNext/>
              <w:jc w:val="right"/>
              <w:rPr>
                <w:rFonts w:ascii="Arial Narrow" w:hAnsi="Arial Narrow" w:cs="Calibri"/>
                <w:color w:val="000000"/>
                <w:sz w:val="20"/>
                <w:szCs w:val="20"/>
              </w:rPr>
            </w:pPr>
            <w:r w:rsidRPr="004F18BA">
              <w:rPr>
                <w:rFonts w:ascii="Arial Narrow" w:hAnsi="Arial Narrow" w:cs="Calibri"/>
                <w:color w:val="000000"/>
                <w:sz w:val="20"/>
                <w:szCs w:val="20"/>
              </w:rPr>
              <w:t>5</w:t>
            </w:r>
          </w:p>
        </w:tc>
        <w:tc>
          <w:tcPr>
            <w:tcW w:w="1455" w:type="dxa"/>
            <w:tcBorders>
              <w:top w:val="nil"/>
              <w:left w:val="nil"/>
              <w:bottom w:val="single" w:sz="4" w:space="0" w:color="auto"/>
              <w:right w:val="single" w:sz="4" w:space="0" w:color="auto"/>
            </w:tcBorders>
            <w:shd w:val="clear" w:color="auto" w:fill="auto"/>
            <w:vAlign w:val="center"/>
            <w:hideMark/>
          </w:tcPr>
          <w:p w14:paraId="261F3FB9" w14:textId="73749E57" w:rsidR="00231A74" w:rsidRPr="004F18BA" w:rsidRDefault="00231A74" w:rsidP="00E63662">
            <w:pPr>
              <w:keepNext/>
              <w:jc w:val="right"/>
              <w:rPr>
                <w:rFonts w:ascii="Arial Narrow" w:hAnsi="Arial Narrow" w:cs="Calibri"/>
                <w:color w:val="000000"/>
                <w:sz w:val="20"/>
                <w:szCs w:val="20"/>
              </w:rPr>
            </w:pPr>
            <w:r>
              <w:rPr>
                <w:rFonts w:ascii="Arial Narrow" w:hAnsi="Arial Narrow" w:cs="Calibri"/>
                <w:color w:val="000000"/>
                <w:sz w:val="20"/>
                <w:szCs w:val="20"/>
              </w:rPr>
              <w:t>6</w:t>
            </w:r>
          </w:p>
        </w:tc>
        <w:tc>
          <w:tcPr>
            <w:tcW w:w="1453" w:type="dxa"/>
            <w:tcBorders>
              <w:top w:val="nil"/>
              <w:left w:val="nil"/>
              <w:bottom w:val="single" w:sz="4" w:space="0" w:color="auto"/>
              <w:right w:val="single" w:sz="4" w:space="0" w:color="auto"/>
            </w:tcBorders>
            <w:shd w:val="clear" w:color="auto" w:fill="auto"/>
            <w:vAlign w:val="center"/>
            <w:hideMark/>
          </w:tcPr>
          <w:p w14:paraId="17DC52E8" w14:textId="72556822" w:rsidR="00231A74" w:rsidRPr="004F18BA" w:rsidRDefault="00231A74" w:rsidP="00E63662">
            <w:pPr>
              <w:keepNext/>
              <w:jc w:val="right"/>
              <w:rPr>
                <w:rFonts w:ascii="Arial Narrow" w:hAnsi="Arial Narrow" w:cs="Calibri"/>
                <w:color w:val="000000"/>
                <w:sz w:val="20"/>
                <w:szCs w:val="20"/>
              </w:rPr>
            </w:pPr>
            <w:r w:rsidRPr="004F18BA">
              <w:rPr>
                <w:rFonts w:ascii="Arial Narrow" w:hAnsi="Arial Narrow" w:cs="Calibri"/>
                <w:color w:val="000000"/>
                <w:sz w:val="20"/>
                <w:szCs w:val="20"/>
              </w:rPr>
              <w:t>5</w:t>
            </w:r>
          </w:p>
        </w:tc>
      </w:tr>
      <w:tr w:rsidR="004F18BA" w:rsidRPr="004F18BA" w14:paraId="5AC9FABC" w14:textId="77777777" w:rsidTr="00D10C20">
        <w:trPr>
          <w:trHeight w:val="323"/>
        </w:trPr>
        <w:tc>
          <w:tcPr>
            <w:tcW w:w="9016"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1D081994" w14:textId="77777777" w:rsidR="004F18BA" w:rsidRPr="004F18BA" w:rsidRDefault="004F18BA" w:rsidP="00E63662">
            <w:pPr>
              <w:keepNext/>
              <w:jc w:val="left"/>
              <w:rPr>
                <w:rFonts w:ascii="Arial Narrow" w:hAnsi="Arial Narrow" w:cs="Calibri"/>
                <w:b/>
                <w:bCs/>
                <w:color w:val="000000"/>
                <w:sz w:val="20"/>
                <w:szCs w:val="20"/>
              </w:rPr>
            </w:pPr>
            <w:r w:rsidRPr="004F18BA">
              <w:rPr>
                <w:rFonts w:ascii="Arial Narrow" w:hAnsi="Arial Narrow" w:cs="Calibri"/>
                <w:b/>
                <w:bCs/>
                <w:color w:val="000000"/>
                <w:sz w:val="20"/>
                <w:szCs w:val="20"/>
              </w:rPr>
              <w:t>PBS item 11180K (UDCA 500 mg tablets)</w:t>
            </w:r>
          </w:p>
        </w:tc>
      </w:tr>
      <w:tr w:rsidR="004F18BA" w:rsidRPr="004F18BA" w14:paraId="45BBC374" w14:textId="77777777" w:rsidTr="00D10C20">
        <w:trPr>
          <w:trHeight w:val="323"/>
        </w:trPr>
        <w:tc>
          <w:tcPr>
            <w:tcW w:w="3488" w:type="dxa"/>
            <w:tcBorders>
              <w:top w:val="nil"/>
              <w:left w:val="single" w:sz="4" w:space="0" w:color="auto"/>
              <w:bottom w:val="single" w:sz="4" w:space="0" w:color="auto"/>
              <w:right w:val="single" w:sz="4" w:space="0" w:color="auto"/>
            </w:tcBorders>
            <w:shd w:val="clear" w:color="auto" w:fill="auto"/>
            <w:vAlign w:val="center"/>
            <w:hideMark/>
          </w:tcPr>
          <w:p w14:paraId="11A4F270" w14:textId="77777777" w:rsidR="004F18BA" w:rsidRPr="004F18BA" w:rsidRDefault="004F18BA" w:rsidP="00E63662">
            <w:pPr>
              <w:keepNext/>
              <w:jc w:val="left"/>
              <w:rPr>
                <w:rFonts w:ascii="Arial Narrow" w:hAnsi="Arial Narrow" w:cs="Calibri"/>
                <w:color w:val="000000"/>
                <w:sz w:val="20"/>
                <w:szCs w:val="20"/>
              </w:rPr>
            </w:pPr>
            <w:r w:rsidRPr="004F18BA">
              <w:rPr>
                <w:rFonts w:ascii="Arial Narrow" w:hAnsi="Arial Narrow" w:cs="Calibri"/>
                <w:color w:val="000000"/>
                <w:sz w:val="20"/>
                <w:szCs w:val="20"/>
              </w:rPr>
              <w:t xml:space="preserve">Max qty units per dispensing  </w:t>
            </w:r>
          </w:p>
        </w:tc>
        <w:tc>
          <w:tcPr>
            <w:tcW w:w="2620" w:type="dxa"/>
            <w:gridSpan w:val="2"/>
            <w:tcBorders>
              <w:top w:val="single" w:sz="4" w:space="0" w:color="auto"/>
              <w:left w:val="nil"/>
              <w:bottom w:val="single" w:sz="4" w:space="0" w:color="auto"/>
              <w:right w:val="single" w:sz="4" w:space="0" w:color="000000"/>
            </w:tcBorders>
            <w:shd w:val="clear" w:color="auto" w:fill="auto"/>
            <w:vAlign w:val="center"/>
            <w:hideMark/>
          </w:tcPr>
          <w:p w14:paraId="7FF57AFD" w14:textId="77777777" w:rsidR="004F18BA" w:rsidRPr="004F18BA" w:rsidRDefault="004F18BA" w:rsidP="00E63662">
            <w:pPr>
              <w:keepNext/>
              <w:jc w:val="right"/>
              <w:rPr>
                <w:rFonts w:ascii="Arial Narrow" w:hAnsi="Arial Narrow" w:cs="Calibri"/>
                <w:color w:val="000000"/>
                <w:sz w:val="20"/>
                <w:szCs w:val="20"/>
              </w:rPr>
            </w:pPr>
            <w:r w:rsidRPr="004F18BA">
              <w:rPr>
                <w:rFonts w:ascii="Arial Narrow" w:hAnsi="Arial Narrow" w:cs="Calibri"/>
                <w:color w:val="000000"/>
                <w:sz w:val="20"/>
                <w:szCs w:val="20"/>
              </w:rPr>
              <w:t>100</w:t>
            </w:r>
          </w:p>
        </w:tc>
        <w:tc>
          <w:tcPr>
            <w:tcW w:w="2908" w:type="dxa"/>
            <w:gridSpan w:val="2"/>
            <w:tcBorders>
              <w:top w:val="single" w:sz="4" w:space="0" w:color="auto"/>
              <w:left w:val="nil"/>
              <w:bottom w:val="single" w:sz="4" w:space="0" w:color="auto"/>
              <w:right w:val="single" w:sz="4" w:space="0" w:color="auto"/>
            </w:tcBorders>
            <w:shd w:val="clear" w:color="auto" w:fill="auto"/>
            <w:vAlign w:val="center"/>
            <w:hideMark/>
          </w:tcPr>
          <w:p w14:paraId="077C46FB" w14:textId="77777777" w:rsidR="004F18BA" w:rsidRPr="004F18BA" w:rsidRDefault="004F18BA" w:rsidP="00E63662">
            <w:pPr>
              <w:keepNext/>
              <w:jc w:val="right"/>
              <w:rPr>
                <w:rFonts w:ascii="Arial Narrow" w:hAnsi="Arial Narrow" w:cs="Calibri"/>
                <w:color w:val="000000"/>
                <w:sz w:val="20"/>
                <w:szCs w:val="20"/>
              </w:rPr>
            </w:pPr>
            <w:r w:rsidRPr="004F18BA">
              <w:rPr>
                <w:rFonts w:ascii="Arial Narrow" w:hAnsi="Arial Narrow" w:cs="Calibri"/>
                <w:color w:val="000000"/>
                <w:sz w:val="20"/>
                <w:szCs w:val="20"/>
              </w:rPr>
              <w:t>100</w:t>
            </w:r>
          </w:p>
        </w:tc>
      </w:tr>
      <w:tr w:rsidR="004F18BA" w:rsidRPr="004F18BA" w14:paraId="4226CD49" w14:textId="77777777" w:rsidTr="00D10C20">
        <w:trPr>
          <w:trHeight w:val="323"/>
        </w:trPr>
        <w:tc>
          <w:tcPr>
            <w:tcW w:w="3488" w:type="dxa"/>
            <w:tcBorders>
              <w:top w:val="nil"/>
              <w:left w:val="single" w:sz="4" w:space="0" w:color="auto"/>
              <w:bottom w:val="single" w:sz="4" w:space="0" w:color="auto"/>
              <w:right w:val="single" w:sz="4" w:space="0" w:color="auto"/>
            </w:tcBorders>
            <w:shd w:val="clear" w:color="auto" w:fill="auto"/>
            <w:vAlign w:val="center"/>
            <w:hideMark/>
          </w:tcPr>
          <w:p w14:paraId="4F4622CA" w14:textId="77777777" w:rsidR="004F18BA" w:rsidRPr="004F18BA" w:rsidRDefault="004F18BA" w:rsidP="00E63662">
            <w:pPr>
              <w:keepNext/>
              <w:jc w:val="left"/>
              <w:rPr>
                <w:rFonts w:ascii="Arial Narrow" w:hAnsi="Arial Narrow" w:cs="Calibri"/>
                <w:color w:val="000000"/>
                <w:sz w:val="20"/>
                <w:szCs w:val="20"/>
              </w:rPr>
            </w:pPr>
            <w:r w:rsidRPr="004F18BA">
              <w:rPr>
                <w:rFonts w:ascii="Arial Narrow" w:hAnsi="Arial Narrow" w:cs="Calibri"/>
                <w:color w:val="000000"/>
                <w:sz w:val="20"/>
                <w:szCs w:val="20"/>
              </w:rPr>
              <w:t>Max repeats</w:t>
            </w:r>
          </w:p>
        </w:tc>
        <w:tc>
          <w:tcPr>
            <w:tcW w:w="2620" w:type="dxa"/>
            <w:gridSpan w:val="2"/>
            <w:tcBorders>
              <w:top w:val="single" w:sz="4" w:space="0" w:color="auto"/>
              <w:left w:val="nil"/>
              <w:bottom w:val="single" w:sz="4" w:space="0" w:color="auto"/>
              <w:right w:val="single" w:sz="4" w:space="0" w:color="000000"/>
            </w:tcBorders>
            <w:shd w:val="clear" w:color="auto" w:fill="auto"/>
            <w:vAlign w:val="center"/>
            <w:hideMark/>
          </w:tcPr>
          <w:p w14:paraId="50B17D91" w14:textId="77777777" w:rsidR="004F18BA" w:rsidRPr="004F18BA" w:rsidRDefault="004F18BA" w:rsidP="00E63662">
            <w:pPr>
              <w:keepNext/>
              <w:jc w:val="right"/>
              <w:rPr>
                <w:rFonts w:ascii="Arial Narrow" w:hAnsi="Arial Narrow" w:cs="Calibri"/>
                <w:color w:val="000000"/>
                <w:sz w:val="20"/>
                <w:szCs w:val="20"/>
              </w:rPr>
            </w:pPr>
            <w:r w:rsidRPr="004F18BA">
              <w:rPr>
                <w:rFonts w:ascii="Arial Narrow" w:hAnsi="Arial Narrow" w:cs="Calibri"/>
                <w:color w:val="000000"/>
                <w:sz w:val="20"/>
                <w:szCs w:val="20"/>
              </w:rPr>
              <w:t>2</w:t>
            </w:r>
          </w:p>
        </w:tc>
        <w:tc>
          <w:tcPr>
            <w:tcW w:w="2908" w:type="dxa"/>
            <w:gridSpan w:val="2"/>
            <w:tcBorders>
              <w:top w:val="single" w:sz="4" w:space="0" w:color="auto"/>
              <w:left w:val="nil"/>
              <w:bottom w:val="single" w:sz="4" w:space="0" w:color="auto"/>
              <w:right w:val="single" w:sz="4" w:space="0" w:color="auto"/>
            </w:tcBorders>
            <w:shd w:val="clear" w:color="auto" w:fill="auto"/>
            <w:vAlign w:val="center"/>
            <w:hideMark/>
          </w:tcPr>
          <w:p w14:paraId="442B09E1" w14:textId="77777777" w:rsidR="004F18BA" w:rsidRPr="00943EFA" w:rsidRDefault="004F18BA" w:rsidP="00E63662">
            <w:pPr>
              <w:keepNext/>
              <w:jc w:val="right"/>
              <w:rPr>
                <w:rFonts w:ascii="Arial Narrow" w:hAnsi="Arial Narrow" w:cs="Calibri"/>
                <w:sz w:val="20"/>
                <w:szCs w:val="20"/>
              </w:rPr>
            </w:pPr>
            <w:r w:rsidRPr="00943EFA">
              <w:rPr>
                <w:rFonts w:ascii="Arial Narrow" w:hAnsi="Arial Narrow" w:cs="Calibri"/>
                <w:sz w:val="20"/>
                <w:szCs w:val="20"/>
              </w:rPr>
              <w:t>4</w:t>
            </w:r>
          </w:p>
        </w:tc>
      </w:tr>
      <w:tr w:rsidR="004F18BA" w:rsidRPr="004F18BA" w14:paraId="08F6B7C6" w14:textId="77777777" w:rsidTr="00D10C20">
        <w:trPr>
          <w:trHeight w:val="323"/>
        </w:trPr>
        <w:tc>
          <w:tcPr>
            <w:tcW w:w="3488" w:type="dxa"/>
            <w:tcBorders>
              <w:top w:val="nil"/>
              <w:left w:val="single" w:sz="4" w:space="0" w:color="auto"/>
              <w:bottom w:val="single" w:sz="4" w:space="0" w:color="auto"/>
              <w:right w:val="single" w:sz="4" w:space="0" w:color="auto"/>
            </w:tcBorders>
            <w:shd w:val="clear" w:color="auto" w:fill="auto"/>
            <w:vAlign w:val="center"/>
            <w:hideMark/>
          </w:tcPr>
          <w:p w14:paraId="659E4D79" w14:textId="77777777" w:rsidR="004F18BA" w:rsidRPr="004F18BA" w:rsidRDefault="004F18BA" w:rsidP="00E63662">
            <w:pPr>
              <w:keepNext/>
              <w:jc w:val="left"/>
              <w:rPr>
                <w:rFonts w:ascii="Arial Narrow" w:hAnsi="Arial Narrow" w:cs="Calibri"/>
                <w:color w:val="000000"/>
                <w:sz w:val="20"/>
                <w:szCs w:val="20"/>
              </w:rPr>
            </w:pPr>
            <w:r w:rsidRPr="004F18BA">
              <w:rPr>
                <w:rFonts w:ascii="Arial Narrow" w:hAnsi="Arial Narrow" w:cs="Calibri"/>
                <w:color w:val="000000"/>
                <w:sz w:val="20"/>
                <w:szCs w:val="20"/>
              </w:rPr>
              <w:t>Total qty units</w:t>
            </w:r>
          </w:p>
        </w:tc>
        <w:tc>
          <w:tcPr>
            <w:tcW w:w="2620" w:type="dxa"/>
            <w:gridSpan w:val="2"/>
            <w:tcBorders>
              <w:top w:val="single" w:sz="4" w:space="0" w:color="auto"/>
              <w:left w:val="nil"/>
              <w:bottom w:val="single" w:sz="4" w:space="0" w:color="auto"/>
              <w:right w:val="single" w:sz="4" w:space="0" w:color="000000"/>
            </w:tcBorders>
            <w:shd w:val="clear" w:color="auto" w:fill="auto"/>
            <w:vAlign w:val="center"/>
            <w:hideMark/>
          </w:tcPr>
          <w:p w14:paraId="050F00A3" w14:textId="77777777" w:rsidR="004F18BA" w:rsidRPr="004F18BA" w:rsidRDefault="004F18BA" w:rsidP="00E63662">
            <w:pPr>
              <w:keepNext/>
              <w:jc w:val="right"/>
              <w:rPr>
                <w:rFonts w:ascii="Arial Narrow" w:hAnsi="Arial Narrow" w:cs="Calibri"/>
                <w:color w:val="000000"/>
                <w:sz w:val="20"/>
                <w:szCs w:val="20"/>
              </w:rPr>
            </w:pPr>
            <w:r w:rsidRPr="004F18BA">
              <w:rPr>
                <w:rFonts w:ascii="Arial Narrow" w:hAnsi="Arial Narrow" w:cs="Calibri"/>
                <w:color w:val="000000"/>
                <w:sz w:val="20"/>
                <w:szCs w:val="20"/>
              </w:rPr>
              <w:t>300</w:t>
            </w:r>
          </w:p>
        </w:tc>
        <w:tc>
          <w:tcPr>
            <w:tcW w:w="2908" w:type="dxa"/>
            <w:gridSpan w:val="2"/>
            <w:tcBorders>
              <w:top w:val="single" w:sz="4" w:space="0" w:color="auto"/>
              <w:left w:val="nil"/>
              <w:bottom w:val="single" w:sz="4" w:space="0" w:color="auto"/>
              <w:right w:val="single" w:sz="4" w:space="0" w:color="auto"/>
            </w:tcBorders>
            <w:shd w:val="clear" w:color="auto" w:fill="auto"/>
            <w:vAlign w:val="center"/>
            <w:hideMark/>
          </w:tcPr>
          <w:p w14:paraId="2B983359" w14:textId="77777777" w:rsidR="004F18BA" w:rsidRPr="00943EFA" w:rsidRDefault="004F18BA" w:rsidP="00E63662">
            <w:pPr>
              <w:keepNext/>
              <w:jc w:val="right"/>
              <w:rPr>
                <w:rFonts w:ascii="Arial Narrow" w:hAnsi="Arial Narrow" w:cs="Calibri"/>
                <w:sz w:val="20"/>
                <w:szCs w:val="20"/>
              </w:rPr>
            </w:pPr>
            <w:r w:rsidRPr="00943EFA">
              <w:rPr>
                <w:rFonts w:ascii="Arial Narrow" w:hAnsi="Arial Narrow" w:cs="Calibri"/>
                <w:sz w:val="20"/>
                <w:szCs w:val="20"/>
              </w:rPr>
              <w:t>500</w:t>
            </w:r>
          </w:p>
        </w:tc>
      </w:tr>
      <w:tr w:rsidR="004F18BA" w:rsidRPr="004F18BA" w14:paraId="04D366E0" w14:textId="77777777" w:rsidTr="00D10C20">
        <w:trPr>
          <w:trHeight w:val="323"/>
        </w:trPr>
        <w:tc>
          <w:tcPr>
            <w:tcW w:w="3488" w:type="dxa"/>
            <w:tcBorders>
              <w:top w:val="nil"/>
              <w:left w:val="single" w:sz="4" w:space="0" w:color="auto"/>
              <w:bottom w:val="single" w:sz="4" w:space="0" w:color="auto"/>
              <w:right w:val="single" w:sz="4" w:space="0" w:color="auto"/>
            </w:tcBorders>
            <w:shd w:val="clear" w:color="auto" w:fill="auto"/>
            <w:vAlign w:val="center"/>
            <w:hideMark/>
          </w:tcPr>
          <w:p w14:paraId="7BF4E39E" w14:textId="77777777" w:rsidR="004F18BA" w:rsidRPr="004F18BA" w:rsidRDefault="004F18BA" w:rsidP="00E63662">
            <w:pPr>
              <w:keepNext/>
              <w:jc w:val="left"/>
              <w:rPr>
                <w:rFonts w:ascii="Arial Narrow" w:hAnsi="Arial Narrow" w:cs="Calibri"/>
                <w:color w:val="000000"/>
                <w:sz w:val="20"/>
                <w:szCs w:val="20"/>
              </w:rPr>
            </w:pPr>
            <w:r w:rsidRPr="004F18BA">
              <w:rPr>
                <w:rFonts w:ascii="Arial Narrow" w:hAnsi="Arial Narrow" w:cs="Calibri"/>
                <w:color w:val="000000"/>
                <w:sz w:val="20"/>
                <w:szCs w:val="20"/>
              </w:rPr>
              <w:t>Days per dispensing</w:t>
            </w:r>
          </w:p>
        </w:tc>
        <w:tc>
          <w:tcPr>
            <w:tcW w:w="1309" w:type="dxa"/>
            <w:tcBorders>
              <w:top w:val="nil"/>
              <w:left w:val="nil"/>
              <w:bottom w:val="single" w:sz="4" w:space="0" w:color="auto"/>
              <w:right w:val="single" w:sz="4" w:space="0" w:color="auto"/>
            </w:tcBorders>
            <w:shd w:val="clear" w:color="auto" w:fill="auto"/>
            <w:vAlign w:val="center"/>
            <w:hideMark/>
          </w:tcPr>
          <w:p w14:paraId="7CCD298B" w14:textId="77777777" w:rsidR="004F18BA" w:rsidRPr="004F18BA" w:rsidRDefault="004F18BA" w:rsidP="00E63662">
            <w:pPr>
              <w:keepNext/>
              <w:jc w:val="right"/>
              <w:rPr>
                <w:rFonts w:ascii="Arial Narrow" w:hAnsi="Arial Narrow" w:cs="Calibri"/>
                <w:color w:val="000000"/>
                <w:sz w:val="20"/>
                <w:szCs w:val="20"/>
              </w:rPr>
            </w:pPr>
            <w:r w:rsidRPr="004F18BA">
              <w:rPr>
                <w:rFonts w:ascii="Arial Narrow" w:hAnsi="Arial Narrow" w:cs="Calibri"/>
                <w:color w:val="000000"/>
                <w:sz w:val="20"/>
                <w:szCs w:val="20"/>
              </w:rPr>
              <w:t>33.33</w:t>
            </w:r>
          </w:p>
        </w:tc>
        <w:tc>
          <w:tcPr>
            <w:tcW w:w="1311" w:type="dxa"/>
            <w:tcBorders>
              <w:top w:val="nil"/>
              <w:left w:val="nil"/>
              <w:bottom w:val="single" w:sz="4" w:space="0" w:color="auto"/>
              <w:right w:val="single" w:sz="4" w:space="0" w:color="auto"/>
            </w:tcBorders>
            <w:shd w:val="clear" w:color="auto" w:fill="auto"/>
            <w:vAlign w:val="center"/>
            <w:hideMark/>
          </w:tcPr>
          <w:p w14:paraId="65BFB128" w14:textId="77777777" w:rsidR="004F18BA" w:rsidRPr="004F18BA" w:rsidRDefault="004F18BA" w:rsidP="00E63662">
            <w:pPr>
              <w:keepNext/>
              <w:jc w:val="right"/>
              <w:rPr>
                <w:rFonts w:ascii="Arial Narrow" w:hAnsi="Arial Narrow" w:cs="Calibri"/>
                <w:color w:val="000000"/>
                <w:sz w:val="20"/>
                <w:szCs w:val="20"/>
              </w:rPr>
            </w:pPr>
            <w:r w:rsidRPr="004F18BA">
              <w:rPr>
                <w:rFonts w:ascii="Arial Narrow" w:hAnsi="Arial Narrow" w:cs="Calibri"/>
                <w:color w:val="000000"/>
                <w:sz w:val="20"/>
                <w:szCs w:val="20"/>
              </w:rPr>
              <w:t>40</w:t>
            </w:r>
          </w:p>
        </w:tc>
        <w:tc>
          <w:tcPr>
            <w:tcW w:w="1455" w:type="dxa"/>
            <w:tcBorders>
              <w:top w:val="nil"/>
              <w:left w:val="nil"/>
              <w:bottom w:val="single" w:sz="4" w:space="0" w:color="auto"/>
              <w:right w:val="single" w:sz="4" w:space="0" w:color="auto"/>
            </w:tcBorders>
            <w:shd w:val="clear" w:color="auto" w:fill="auto"/>
            <w:vAlign w:val="center"/>
            <w:hideMark/>
          </w:tcPr>
          <w:p w14:paraId="05FC2885" w14:textId="77777777" w:rsidR="004F18BA" w:rsidRPr="00943EFA" w:rsidRDefault="004F18BA" w:rsidP="00E63662">
            <w:pPr>
              <w:keepNext/>
              <w:jc w:val="right"/>
              <w:rPr>
                <w:rFonts w:ascii="Arial Narrow" w:hAnsi="Arial Narrow" w:cs="Calibri"/>
                <w:sz w:val="20"/>
                <w:szCs w:val="20"/>
              </w:rPr>
            </w:pPr>
            <w:r w:rsidRPr="00943EFA">
              <w:rPr>
                <w:rFonts w:ascii="Arial Narrow" w:hAnsi="Arial Narrow" w:cs="Calibri"/>
                <w:sz w:val="20"/>
                <w:szCs w:val="20"/>
              </w:rPr>
              <w:t>33.33</w:t>
            </w:r>
          </w:p>
        </w:tc>
        <w:tc>
          <w:tcPr>
            <w:tcW w:w="1453" w:type="dxa"/>
            <w:tcBorders>
              <w:top w:val="nil"/>
              <w:left w:val="nil"/>
              <w:bottom w:val="single" w:sz="4" w:space="0" w:color="auto"/>
              <w:right w:val="single" w:sz="4" w:space="0" w:color="auto"/>
            </w:tcBorders>
            <w:shd w:val="clear" w:color="auto" w:fill="auto"/>
            <w:vAlign w:val="center"/>
            <w:hideMark/>
          </w:tcPr>
          <w:p w14:paraId="35AB39C1" w14:textId="77777777" w:rsidR="004F18BA" w:rsidRPr="00943EFA" w:rsidRDefault="004F18BA" w:rsidP="00E63662">
            <w:pPr>
              <w:keepNext/>
              <w:jc w:val="right"/>
              <w:rPr>
                <w:rFonts w:ascii="Arial Narrow" w:hAnsi="Arial Narrow" w:cs="Calibri"/>
                <w:sz w:val="20"/>
                <w:szCs w:val="20"/>
              </w:rPr>
            </w:pPr>
            <w:r w:rsidRPr="00943EFA">
              <w:rPr>
                <w:rFonts w:ascii="Arial Narrow" w:hAnsi="Arial Narrow" w:cs="Calibri"/>
                <w:sz w:val="20"/>
                <w:szCs w:val="20"/>
              </w:rPr>
              <w:t>40</w:t>
            </w:r>
          </w:p>
        </w:tc>
      </w:tr>
      <w:tr w:rsidR="004F18BA" w:rsidRPr="004F18BA" w14:paraId="6F6E009F" w14:textId="77777777" w:rsidTr="00D10C20">
        <w:trPr>
          <w:trHeight w:val="323"/>
        </w:trPr>
        <w:tc>
          <w:tcPr>
            <w:tcW w:w="3488" w:type="dxa"/>
            <w:tcBorders>
              <w:top w:val="nil"/>
              <w:left w:val="single" w:sz="4" w:space="0" w:color="auto"/>
              <w:bottom w:val="single" w:sz="4" w:space="0" w:color="auto"/>
              <w:right w:val="single" w:sz="4" w:space="0" w:color="auto"/>
            </w:tcBorders>
            <w:shd w:val="clear" w:color="auto" w:fill="auto"/>
            <w:vAlign w:val="center"/>
            <w:hideMark/>
          </w:tcPr>
          <w:p w14:paraId="3D1E56F9" w14:textId="77777777" w:rsidR="004F18BA" w:rsidRPr="004F18BA" w:rsidRDefault="004F18BA" w:rsidP="00E63662">
            <w:pPr>
              <w:keepNext/>
              <w:jc w:val="left"/>
              <w:rPr>
                <w:rFonts w:ascii="Arial Narrow" w:hAnsi="Arial Narrow" w:cs="Calibri"/>
                <w:color w:val="000000"/>
                <w:sz w:val="20"/>
                <w:szCs w:val="20"/>
              </w:rPr>
            </w:pPr>
            <w:r w:rsidRPr="004F18BA">
              <w:rPr>
                <w:rFonts w:ascii="Arial Narrow" w:hAnsi="Arial Narrow" w:cs="Calibri"/>
                <w:color w:val="000000"/>
                <w:sz w:val="20"/>
                <w:szCs w:val="20"/>
              </w:rPr>
              <w:t>Days per prescription (incl. repeats)</w:t>
            </w:r>
          </w:p>
        </w:tc>
        <w:tc>
          <w:tcPr>
            <w:tcW w:w="1309" w:type="dxa"/>
            <w:tcBorders>
              <w:top w:val="nil"/>
              <w:left w:val="nil"/>
              <w:bottom w:val="single" w:sz="4" w:space="0" w:color="auto"/>
              <w:right w:val="single" w:sz="4" w:space="0" w:color="auto"/>
            </w:tcBorders>
            <w:shd w:val="clear" w:color="auto" w:fill="auto"/>
            <w:vAlign w:val="center"/>
            <w:hideMark/>
          </w:tcPr>
          <w:p w14:paraId="4FFB5FC1" w14:textId="77777777" w:rsidR="004F18BA" w:rsidRPr="004F18BA" w:rsidRDefault="004F18BA" w:rsidP="00E63662">
            <w:pPr>
              <w:keepNext/>
              <w:jc w:val="right"/>
              <w:rPr>
                <w:rFonts w:ascii="Arial Narrow" w:hAnsi="Arial Narrow" w:cs="Calibri"/>
                <w:color w:val="000000"/>
                <w:sz w:val="20"/>
                <w:szCs w:val="20"/>
              </w:rPr>
            </w:pPr>
            <w:r w:rsidRPr="004F18BA">
              <w:rPr>
                <w:rFonts w:ascii="Arial Narrow" w:hAnsi="Arial Narrow" w:cs="Calibri"/>
                <w:color w:val="000000"/>
                <w:sz w:val="20"/>
                <w:szCs w:val="20"/>
              </w:rPr>
              <w:t>100</w:t>
            </w:r>
          </w:p>
        </w:tc>
        <w:tc>
          <w:tcPr>
            <w:tcW w:w="1311" w:type="dxa"/>
            <w:tcBorders>
              <w:top w:val="nil"/>
              <w:left w:val="nil"/>
              <w:bottom w:val="single" w:sz="4" w:space="0" w:color="auto"/>
              <w:right w:val="single" w:sz="4" w:space="0" w:color="auto"/>
            </w:tcBorders>
            <w:shd w:val="clear" w:color="auto" w:fill="auto"/>
            <w:vAlign w:val="center"/>
            <w:hideMark/>
          </w:tcPr>
          <w:p w14:paraId="79954C05" w14:textId="77777777" w:rsidR="004F18BA" w:rsidRPr="004F18BA" w:rsidRDefault="004F18BA" w:rsidP="00E63662">
            <w:pPr>
              <w:keepNext/>
              <w:jc w:val="right"/>
              <w:rPr>
                <w:rFonts w:ascii="Arial Narrow" w:hAnsi="Arial Narrow" w:cs="Calibri"/>
                <w:color w:val="000000"/>
                <w:sz w:val="20"/>
                <w:szCs w:val="20"/>
              </w:rPr>
            </w:pPr>
            <w:r w:rsidRPr="004F18BA">
              <w:rPr>
                <w:rFonts w:ascii="Arial Narrow" w:hAnsi="Arial Narrow" w:cs="Calibri"/>
                <w:color w:val="000000"/>
                <w:sz w:val="20"/>
                <w:szCs w:val="20"/>
              </w:rPr>
              <w:t>120</w:t>
            </w:r>
          </w:p>
        </w:tc>
        <w:tc>
          <w:tcPr>
            <w:tcW w:w="1455" w:type="dxa"/>
            <w:tcBorders>
              <w:top w:val="nil"/>
              <w:left w:val="nil"/>
              <w:bottom w:val="single" w:sz="4" w:space="0" w:color="auto"/>
              <w:right w:val="single" w:sz="4" w:space="0" w:color="auto"/>
            </w:tcBorders>
            <w:shd w:val="clear" w:color="auto" w:fill="auto"/>
            <w:vAlign w:val="center"/>
            <w:hideMark/>
          </w:tcPr>
          <w:p w14:paraId="6F926502" w14:textId="77777777" w:rsidR="004F18BA" w:rsidRPr="00943EFA" w:rsidRDefault="004F18BA" w:rsidP="00E63662">
            <w:pPr>
              <w:keepNext/>
              <w:jc w:val="right"/>
              <w:rPr>
                <w:rFonts w:ascii="Arial Narrow" w:hAnsi="Arial Narrow" w:cs="Calibri"/>
                <w:sz w:val="20"/>
                <w:szCs w:val="20"/>
              </w:rPr>
            </w:pPr>
            <w:r w:rsidRPr="00943EFA">
              <w:rPr>
                <w:rFonts w:ascii="Arial Narrow" w:hAnsi="Arial Narrow" w:cs="Calibri"/>
                <w:sz w:val="20"/>
                <w:szCs w:val="20"/>
              </w:rPr>
              <w:t>166</w:t>
            </w:r>
          </w:p>
        </w:tc>
        <w:tc>
          <w:tcPr>
            <w:tcW w:w="1453" w:type="dxa"/>
            <w:tcBorders>
              <w:top w:val="nil"/>
              <w:left w:val="nil"/>
              <w:bottom w:val="single" w:sz="4" w:space="0" w:color="auto"/>
              <w:right w:val="single" w:sz="4" w:space="0" w:color="auto"/>
            </w:tcBorders>
            <w:shd w:val="clear" w:color="auto" w:fill="auto"/>
            <w:vAlign w:val="center"/>
            <w:hideMark/>
          </w:tcPr>
          <w:p w14:paraId="5E39EE0B" w14:textId="77777777" w:rsidR="004F18BA" w:rsidRPr="00943EFA" w:rsidRDefault="004F18BA" w:rsidP="00E63662">
            <w:pPr>
              <w:keepNext/>
              <w:jc w:val="right"/>
              <w:rPr>
                <w:rFonts w:ascii="Arial Narrow" w:hAnsi="Arial Narrow" w:cs="Calibri"/>
                <w:sz w:val="20"/>
                <w:szCs w:val="20"/>
              </w:rPr>
            </w:pPr>
            <w:r w:rsidRPr="00943EFA">
              <w:rPr>
                <w:rFonts w:ascii="Arial Narrow" w:hAnsi="Arial Narrow" w:cs="Calibri"/>
                <w:sz w:val="20"/>
                <w:szCs w:val="20"/>
              </w:rPr>
              <w:t>200</w:t>
            </w:r>
          </w:p>
        </w:tc>
      </w:tr>
      <w:tr w:rsidR="004F18BA" w:rsidRPr="004F18BA" w14:paraId="21EF204E" w14:textId="77777777" w:rsidTr="00D10C20">
        <w:trPr>
          <w:trHeight w:val="323"/>
        </w:trPr>
        <w:tc>
          <w:tcPr>
            <w:tcW w:w="9016" w:type="dxa"/>
            <w:gridSpan w:val="5"/>
            <w:tcBorders>
              <w:top w:val="single" w:sz="4" w:space="0" w:color="auto"/>
              <w:left w:val="single" w:sz="4" w:space="0" w:color="auto"/>
              <w:bottom w:val="single" w:sz="4" w:space="0" w:color="auto"/>
              <w:right w:val="single" w:sz="4" w:space="0" w:color="auto"/>
            </w:tcBorders>
            <w:shd w:val="clear" w:color="000000" w:fill="D9D9D9"/>
            <w:vAlign w:val="center"/>
            <w:hideMark/>
          </w:tcPr>
          <w:p w14:paraId="6A1AD1CA" w14:textId="77777777" w:rsidR="004F18BA" w:rsidRPr="004F18BA" w:rsidRDefault="004F18BA" w:rsidP="00E63662">
            <w:pPr>
              <w:keepNext/>
              <w:jc w:val="left"/>
              <w:rPr>
                <w:rFonts w:ascii="Arial Narrow" w:hAnsi="Arial Narrow" w:cs="Calibri"/>
                <w:b/>
                <w:bCs/>
                <w:color w:val="000000"/>
                <w:sz w:val="20"/>
                <w:szCs w:val="20"/>
              </w:rPr>
            </w:pPr>
            <w:r w:rsidRPr="004F18BA">
              <w:rPr>
                <w:rFonts w:ascii="Arial Narrow" w:hAnsi="Arial Narrow" w:cs="Calibri"/>
                <w:b/>
                <w:bCs/>
                <w:sz w:val="20"/>
                <w:szCs w:val="20"/>
              </w:rPr>
              <w:t>PBS item 8448P (UDCA 250 mg capsules)</w:t>
            </w:r>
          </w:p>
        </w:tc>
      </w:tr>
      <w:tr w:rsidR="004F18BA" w:rsidRPr="004F18BA" w14:paraId="6E6C8EFE" w14:textId="77777777" w:rsidTr="00D10C20">
        <w:trPr>
          <w:trHeight w:val="323"/>
        </w:trPr>
        <w:tc>
          <w:tcPr>
            <w:tcW w:w="3488" w:type="dxa"/>
            <w:tcBorders>
              <w:top w:val="nil"/>
              <w:left w:val="single" w:sz="4" w:space="0" w:color="auto"/>
              <w:bottom w:val="single" w:sz="4" w:space="0" w:color="auto"/>
              <w:right w:val="single" w:sz="4" w:space="0" w:color="auto"/>
            </w:tcBorders>
            <w:shd w:val="clear" w:color="auto" w:fill="auto"/>
            <w:vAlign w:val="center"/>
            <w:hideMark/>
          </w:tcPr>
          <w:p w14:paraId="6DB715B8" w14:textId="77777777" w:rsidR="004F18BA" w:rsidRPr="004F18BA" w:rsidRDefault="004F18BA" w:rsidP="00E63662">
            <w:pPr>
              <w:keepNext/>
              <w:jc w:val="left"/>
              <w:rPr>
                <w:rFonts w:ascii="Arial Narrow" w:hAnsi="Arial Narrow" w:cs="Calibri"/>
                <w:color w:val="000000"/>
                <w:sz w:val="20"/>
                <w:szCs w:val="20"/>
              </w:rPr>
            </w:pPr>
            <w:r w:rsidRPr="004F18BA">
              <w:rPr>
                <w:rFonts w:ascii="Arial Narrow" w:hAnsi="Arial Narrow" w:cs="Calibri"/>
                <w:color w:val="000000"/>
                <w:sz w:val="20"/>
                <w:szCs w:val="20"/>
              </w:rPr>
              <w:t xml:space="preserve">Max qty units per dispensing  </w:t>
            </w:r>
          </w:p>
        </w:tc>
        <w:tc>
          <w:tcPr>
            <w:tcW w:w="2620" w:type="dxa"/>
            <w:gridSpan w:val="2"/>
            <w:tcBorders>
              <w:top w:val="single" w:sz="4" w:space="0" w:color="auto"/>
              <w:left w:val="nil"/>
              <w:bottom w:val="single" w:sz="4" w:space="0" w:color="auto"/>
              <w:right w:val="single" w:sz="4" w:space="0" w:color="auto"/>
            </w:tcBorders>
            <w:shd w:val="clear" w:color="auto" w:fill="auto"/>
            <w:vAlign w:val="center"/>
            <w:hideMark/>
          </w:tcPr>
          <w:p w14:paraId="23C91554" w14:textId="77777777" w:rsidR="004F18BA" w:rsidRPr="004F18BA" w:rsidRDefault="004F18BA" w:rsidP="00E63662">
            <w:pPr>
              <w:keepNext/>
              <w:jc w:val="right"/>
              <w:rPr>
                <w:rFonts w:ascii="Arial Narrow" w:hAnsi="Arial Narrow" w:cs="Calibri"/>
                <w:color w:val="000000"/>
                <w:sz w:val="20"/>
                <w:szCs w:val="20"/>
              </w:rPr>
            </w:pPr>
            <w:r w:rsidRPr="004F18BA">
              <w:rPr>
                <w:rFonts w:ascii="Arial Narrow" w:hAnsi="Arial Narrow" w:cs="Calibri"/>
                <w:color w:val="000000"/>
                <w:sz w:val="20"/>
                <w:szCs w:val="20"/>
              </w:rPr>
              <w:t>200</w:t>
            </w:r>
          </w:p>
        </w:tc>
        <w:tc>
          <w:tcPr>
            <w:tcW w:w="2908" w:type="dxa"/>
            <w:gridSpan w:val="2"/>
            <w:tcBorders>
              <w:top w:val="single" w:sz="4" w:space="0" w:color="auto"/>
              <w:left w:val="nil"/>
              <w:bottom w:val="single" w:sz="4" w:space="0" w:color="auto"/>
              <w:right w:val="single" w:sz="4" w:space="0" w:color="auto"/>
            </w:tcBorders>
            <w:shd w:val="clear" w:color="auto" w:fill="auto"/>
            <w:vAlign w:val="center"/>
            <w:hideMark/>
          </w:tcPr>
          <w:p w14:paraId="7443F720" w14:textId="77777777" w:rsidR="004F18BA" w:rsidRPr="004F18BA" w:rsidRDefault="004F18BA" w:rsidP="00E63662">
            <w:pPr>
              <w:keepNext/>
              <w:jc w:val="right"/>
              <w:rPr>
                <w:rFonts w:ascii="Arial Narrow" w:hAnsi="Arial Narrow" w:cs="Calibri"/>
                <w:color w:val="000000"/>
                <w:sz w:val="20"/>
                <w:szCs w:val="20"/>
              </w:rPr>
            </w:pPr>
            <w:r w:rsidRPr="004F18BA">
              <w:rPr>
                <w:rFonts w:ascii="Arial Narrow" w:hAnsi="Arial Narrow" w:cs="Calibri"/>
                <w:color w:val="000000"/>
                <w:sz w:val="20"/>
                <w:szCs w:val="20"/>
              </w:rPr>
              <w:t>200</w:t>
            </w:r>
          </w:p>
        </w:tc>
      </w:tr>
      <w:tr w:rsidR="004F18BA" w:rsidRPr="004F18BA" w14:paraId="566FCAE3" w14:textId="77777777" w:rsidTr="00D10C20">
        <w:trPr>
          <w:trHeight w:val="323"/>
        </w:trPr>
        <w:tc>
          <w:tcPr>
            <w:tcW w:w="3488" w:type="dxa"/>
            <w:tcBorders>
              <w:top w:val="nil"/>
              <w:left w:val="single" w:sz="4" w:space="0" w:color="auto"/>
              <w:bottom w:val="single" w:sz="4" w:space="0" w:color="auto"/>
              <w:right w:val="single" w:sz="4" w:space="0" w:color="auto"/>
            </w:tcBorders>
            <w:shd w:val="clear" w:color="auto" w:fill="auto"/>
            <w:vAlign w:val="center"/>
            <w:hideMark/>
          </w:tcPr>
          <w:p w14:paraId="55B69697" w14:textId="77777777" w:rsidR="004F18BA" w:rsidRPr="004F18BA" w:rsidRDefault="004F18BA" w:rsidP="00E63662">
            <w:pPr>
              <w:keepNext/>
              <w:jc w:val="left"/>
              <w:rPr>
                <w:rFonts w:ascii="Arial Narrow" w:hAnsi="Arial Narrow" w:cs="Calibri"/>
                <w:color w:val="000000"/>
                <w:sz w:val="20"/>
                <w:szCs w:val="20"/>
              </w:rPr>
            </w:pPr>
            <w:r w:rsidRPr="004F18BA">
              <w:rPr>
                <w:rFonts w:ascii="Arial Narrow" w:hAnsi="Arial Narrow" w:cs="Calibri"/>
                <w:color w:val="000000"/>
                <w:sz w:val="20"/>
                <w:szCs w:val="20"/>
              </w:rPr>
              <w:t>Max repeats</w:t>
            </w:r>
          </w:p>
        </w:tc>
        <w:tc>
          <w:tcPr>
            <w:tcW w:w="2620" w:type="dxa"/>
            <w:gridSpan w:val="2"/>
            <w:tcBorders>
              <w:top w:val="single" w:sz="4" w:space="0" w:color="auto"/>
              <w:left w:val="nil"/>
              <w:bottom w:val="single" w:sz="4" w:space="0" w:color="auto"/>
              <w:right w:val="single" w:sz="4" w:space="0" w:color="auto"/>
            </w:tcBorders>
            <w:shd w:val="clear" w:color="auto" w:fill="auto"/>
            <w:vAlign w:val="center"/>
            <w:hideMark/>
          </w:tcPr>
          <w:p w14:paraId="58BC037C" w14:textId="77777777" w:rsidR="004F18BA" w:rsidRPr="004F18BA" w:rsidRDefault="004F18BA" w:rsidP="00E63662">
            <w:pPr>
              <w:keepNext/>
              <w:jc w:val="right"/>
              <w:rPr>
                <w:rFonts w:ascii="Arial Narrow" w:hAnsi="Arial Narrow" w:cs="Calibri"/>
                <w:color w:val="000000"/>
                <w:sz w:val="20"/>
                <w:szCs w:val="20"/>
              </w:rPr>
            </w:pPr>
            <w:r w:rsidRPr="004F18BA">
              <w:rPr>
                <w:rFonts w:ascii="Arial Narrow" w:hAnsi="Arial Narrow" w:cs="Calibri"/>
                <w:color w:val="000000"/>
                <w:sz w:val="20"/>
                <w:szCs w:val="20"/>
              </w:rPr>
              <w:t>2</w:t>
            </w:r>
          </w:p>
        </w:tc>
        <w:tc>
          <w:tcPr>
            <w:tcW w:w="2908" w:type="dxa"/>
            <w:gridSpan w:val="2"/>
            <w:tcBorders>
              <w:top w:val="single" w:sz="4" w:space="0" w:color="auto"/>
              <w:left w:val="nil"/>
              <w:bottom w:val="single" w:sz="4" w:space="0" w:color="auto"/>
              <w:right w:val="single" w:sz="4" w:space="0" w:color="auto"/>
            </w:tcBorders>
            <w:shd w:val="clear" w:color="auto" w:fill="auto"/>
            <w:vAlign w:val="center"/>
            <w:hideMark/>
          </w:tcPr>
          <w:p w14:paraId="3FDE83B7" w14:textId="77777777" w:rsidR="004F18BA" w:rsidRPr="00943EFA" w:rsidRDefault="004F18BA" w:rsidP="00E63662">
            <w:pPr>
              <w:keepNext/>
              <w:jc w:val="right"/>
              <w:rPr>
                <w:rFonts w:ascii="Arial Narrow" w:hAnsi="Arial Narrow" w:cs="Calibri"/>
                <w:sz w:val="20"/>
                <w:szCs w:val="20"/>
              </w:rPr>
            </w:pPr>
            <w:r w:rsidRPr="00943EFA">
              <w:rPr>
                <w:rFonts w:ascii="Arial Narrow" w:hAnsi="Arial Narrow" w:cs="Calibri"/>
                <w:sz w:val="20"/>
                <w:szCs w:val="20"/>
              </w:rPr>
              <w:t>4</w:t>
            </w:r>
          </w:p>
        </w:tc>
      </w:tr>
      <w:tr w:rsidR="004F18BA" w:rsidRPr="004F18BA" w14:paraId="586507DE" w14:textId="77777777" w:rsidTr="00D10C20">
        <w:trPr>
          <w:trHeight w:val="323"/>
        </w:trPr>
        <w:tc>
          <w:tcPr>
            <w:tcW w:w="3488" w:type="dxa"/>
            <w:tcBorders>
              <w:top w:val="nil"/>
              <w:left w:val="single" w:sz="4" w:space="0" w:color="auto"/>
              <w:bottom w:val="single" w:sz="4" w:space="0" w:color="auto"/>
              <w:right w:val="single" w:sz="4" w:space="0" w:color="auto"/>
            </w:tcBorders>
            <w:shd w:val="clear" w:color="auto" w:fill="auto"/>
            <w:vAlign w:val="center"/>
            <w:hideMark/>
          </w:tcPr>
          <w:p w14:paraId="19C74447" w14:textId="77777777" w:rsidR="004F18BA" w:rsidRPr="004F18BA" w:rsidRDefault="004F18BA" w:rsidP="00E63662">
            <w:pPr>
              <w:keepNext/>
              <w:jc w:val="left"/>
              <w:rPr>
                <w:rFonts w:ascii="Arial Narrow" w:hAnsi="Arial Narrow" w:cs="Calibri"/>
                <w:color w:val="000000"/>
                <w:sz w:val="20"/>
                <w:szCs w:val="20"/>
              </w:rPr>
            </w:pPr>
            <w:r w:rsidRPr="004F18BA">
              <w:rPr>
                <w:rFonts w:ascii="Arial Narrow" w:hAnsi="Arial Narrow" w:cs="Calibri"/>
                <w:color w:val="000000"/>
                <w:sz w:val="20"/>
                <w:szCs w:val="20"/>
              </w:rPr>
              <w:t>Total qty units</w:t>
            </w:r>
          </w:p>
        </w:tc>
        <w:tc>
          <w:tcPr>
            <w:tcW w:w="2620" w:type="dxa"/>
            <w:gridSpan w:val="2"/>
            <w:tcBorders>
              <w:top w:val="single" w:sz="4" w:space="0" w:color="auto"/>
              <w:left w:val="nil"/>
              <w:bottom w:val="single" w:sz="4" w:space="0" w:color="auto"/>
              <w:right w:val="single" w:sz="4" w:space="0" w:color="auto"/>
            </w:tcBorders>
            <w:shd w:val="clear" w:color="auto" w:fill="auto"/>
            <w:vAlign w:val="center"/>
            <w:hideMark/>
          </w:tcPr>
          <w:p w14:paraId="0C931B28" w14:textId="77777777" w:rsidR="004F18BA" w:rsidRPr="004F18BA" w:rsidRDefault="004F18BA" w:rsidP="00E63662">
            <w:pPr>
              <w:keepNext/>
              <w:jc w:val="right"/>
              <w:rPr>
                <w:rFonts w:ascii="Arial Narrow" w:hAnsi="Arial Narrow" w:cs="Calibri"/>
                <w:color w:val="000000"/>
                <w:sz w:val="20"/>
                <w:szCs w:val="20"/>
              </w:rPr>
            </w:pPr>
            <w:r w:rsidRPr="004F18BA">
              <w:rPr>
                <w:rFonts w:ascii="Arial Narrow" w:hAnsi="Arial Narrow" w:cs="Calibri"/>
                <w:color w:val="000000"/>
                <w:sz w:val="20"/>
                <w:szCs w:val="20"/>
              </w:rPr>
              <w:t>600</w:t>
            </w:r>
          </w:p>
        </w:tc>
        <w:tc>
          <w:tcPr>
            <w:tcW w:w="2908" w:type="dxa"/>
            <w:gridSpan w:val="2"/>
            <w:tcBorders>
              <w:top w:val="single" w:sz="4" w:space="0" w:color="auto"/>
              <w:left w:val="nil"/>
              <w:bottom w:val="single" w:sz="4" w:space="0" w:color="auto"/>
              <w:right w:val="single" w:sz="4" w:space="0" w:color="auto"/>
            </w:tcBorders>
            <w:shd w:val="clear" w:color="auto" w:fill="auto"/>
            <w:vAlign w:val="center"/>
            <w:hideMark/>
          </w:tcPr>
          <w:p w14:paraId="02858C53" w14:textId="77777777" w:rsidR="004F18BA" w:rsidRPr="00943EFA" w:rsidRDefault="004F18BA" w:rsidP="00E63662">
            <w:pPr>
              <w:keepNext/>
              <w:jc w:val="right"/>
              <w:rPr>
                <w:rFonts w:ascii="Arial Narrow" w:hAnsi="Arial Narrow" w:cs="Calibri"/>
                <w:sz w:val="20"/>
                <w:szCs w:val="20"/>
              </w:rPr>
            </w:pPr>
            <w:r w:rsidRPr="00943EFA">
              <w:rPr>
                <w:rFonts w:ascii="Arial Narrow" w:hAnsi="Arial Narrow" w:cs="Calibri"/>
                <w:sz w:val="20"/>
                <w:szCs w:val="20"/>
              </w:rPr>
              <w:t>1000</w:t>
            </w:r>
          </w:p>
        </w:tc>
      </w:tr>
      <w:tr w:rsidR="004F18BA" w:rsidRPr="004F18BA" w14:paraId="4DD4A63D" w14:textId="77777777" w:rsidTr="00D10C20">
        <w:trPr>
          <w:trHeight w:val="323"/>
        </w:trPr>
        <w:tc>
          <w:tcPr>
            <w:tcW w:w="3488" w:type="dxa"/>
            <w:tcBorders>
              <w:top w:val="nil"/>
              <w:left w:val="single" w:sz="4" w:space="0" w:color="auto"/>
              <w:bottom w:val="single" w:sz="4" w:space="0" w:color="auto"/>
              <w:right w:val="single" w:sz="4" w:space="0" w:color="auto"/>
            </w:tcBorders>
            <w:shd w:val="clear" w:color="auto" w:fill="auto"/>
            <w:vAlign w:val="center"/>
            <w:hideMark/>
          </w:tcPr>
          <w:p w14:paraId="36EBC6F0" w14:textId="77777777" w:rsidR="004F18BA" w:rsidRPr="004F18BA" w:rsidRDefault="004F18BA" w:rsidP="00E63662">
            <w:pPr>
              <w:keepNext/>
              <w:jc w:val="left"/>
              <w:rPr>
                <w:rFonts w:ascii="Arial Narrow" w:hAnsi="Arial Narrow" w:cs="Calibri"/>
                <w:color w:val="000000"/>
                <w:sz w:val="20"/>
                <w:szCs w:val="20"/>
              </w:rPr>
            </w:pPr>
            <w:r w:rsidRPr="004F18BA">
              <w:rPr>
                <w:rFonts w:ascii="Arial Narrow" w:hAnsi="Arial Narrow" w:cs="Calibri"/>
                <w:color w:val="000000"/>
                <w:sz w:val="20"/>
                <w:szCs w:val="20"/>
              </w:rPr>
              <w:t>Days per dispensing</w:t>
            </w:r>
          </w:p>
        </w:tc>
        <w:tc>
          <w:tcPr>
            <w:tcW w:w="1309" w:type="dxa"/>
            <w:tcBorders>
              <w:top w:val="nil"/>
              <w:left w:val="nil"/>
              <w:bottom w:val="single" w:sz="4" w:space="0" w:color="auto"/>
              <w:right w:val="single" w:sz="4" w:space="0" w:color="auto"/>
            </w:tcBorders>
            <w:shd w:val="clear" w:color="auto" w:fill="auto"/>
            <w:vAlign w:val="center"/>
            <w:hideMark/>
          </w:tcPr>
          <w:p w14:paraId="0E3BB643" w14:textId="77777777" w:rsidR="004F18BA" w:rsidRPr="004F18BA" w:rsidRDefault="004F18BA" w:rsidP="00E63662">
            <w:pPr>
              <w:keepNext/>
              <w:jc w:val="right"/>
              <w:rPr>
                <w:rFonts w:ascii="Arial Narrow" w:hAnsi="Arial Narrow" w:cs="Calibri"/>
                <w:color w:val="000000"/>
                <w:sz w:val="20"/>
                <w:szCs w:val="20"/>
              </w:rPr>
            </w:pPr>
            <w:r w:rsidRPr="004F18BA">
              <w:rPr>
                <w:rFonts w:ascii="Arial Narrow" w:hAnsi="Arial Narrow" w:cs="Calibri"/>
                <w:color w:val="000000"/>
                <w:sz w:val="20"/>
                <w:szCs w:val="20"/>
              </w:rPr>
              <w:t>33.33</w:t>
            </w:r>
          </w:p>
        </w:tc>
        <w:tc>
          <w:tcPr>
            <w:tcW w:w="1311" w:type="dxa"/>
            <w:tcBorders>
              <w:top w:val="nil"/>
              <w:left w:val="nil"/>
              <w:bottom w:val="single" w:sz="4" w:space="0" w:color="auto"/>
              <w:right w:val="single" w:sz="4" w:space="0" w:color="auto"/>
            </w:tcBorders>
            <w:shd w:val="clear" w:color="auto" w:fill="auto"/>
            <w:vAlign w:val="center"/>
            <w:hideMark/>
          </w:tcPr>
          <w:p w14:paraId="23CBF059" w14:textId="77777777" w:rsidR="004F18BA" w:rsidRPr="004F18BA" w:rsidRDefault="004F18BA" w:rsidP="00E63662">
            <w:pPr>
              <w:keepNext/>
              <w:jc w:val="right"/>
              <w:rPr>
                <w:rFonts w:ascii="Arial Narrow" w:hAnsi="Arial Narrow" w:cs="Calibri"/>
                <w:color w:val="000000"/>
                <w:sz w:val="20"/>
                <w:szCs w:val="20"/>
              </w:rPr>
            </w:pPr>
            <w:r w:rsidRPr="004F18BA">
              <w:rPr>
                <w:rFonts w:ascii="Arial Narrow" w:hAnsi="Arial Narrow" w:cs="Calibri"/>
                <w:color w:val="000000"/>
                <w:sz w:val="20"/>
                <w:szCs w:val="20"/>
              </w:rPr>
              <w:t>40</w:t>
            </w:r>
          </w:p>
        </w:tc>
        <w:tc>
          <w:tcPr>
            <w:tcW w:w="1455" w:type="dxa"/>
            <w:tcBorders>
              <w:top w:val="nil"/>
              <w:left w:val="nil"/>
              <w:bottom w:val="single" w:sz="4" w:space="0" w:color="auto"/>
              <w:right w:val="single" w:sz="4" w:space="0" w:color="auto"/>
            </w:tcBorders>
            <w:shd w:val="clear" w:color="auto" w:fill="auto"/>
            <w:vAlign w:val="center"/>
            <w:hideMark/>
          </w:tcPr>
          <w:p w14:paraId="61D04F29" w14:textId="77777777" w:rsidR="004F18BA" w:rsidRPr="00943EFA" w:rsidRDefault="004F18BA" w:rsidP="00E63662">
            <w:pPr>
              <w:keepNext/>
              <w:jc w:val="right"/>
              <w:rPr>
                <w:rFonts w:ascii="Arial Narrow" w:hAnsi="Arial Narrow" w:cs="Calibri"/>
                <w:sz w:val="20"/>
                <w:szCs w:val="20"/>
              </w:rPr>
            </w:pPr>
            <w:r w:rsidRPr="00943EFA">
              <w:rPr>
                <w:rFonts w:ascii="Arial Narrow" w:hAnsi="Arial Narrow" w:cs="Calibri"/>
                <w:sz w:val="20"/>
                <w:szCs w:val="20"/>
              </w:rPr>
              <w:t>33.33</w:t>
            </w:r>
          </w:p>
        </w:tc>
        <w:tc>
          <w:tcPr>
            <w:tcW w:w="1453" w:type="dxa"/>
            <w:tcBorders>
              <w:top w:val="nil"/>
              <w:left w:val="nil"/>
              <w:bottom w:val="single" w:sz="4" w:space="0" w:color="auto"/>
              <w:right w:val="single" w:sz="4" w:space="0" w:color="auto"/>
            </w:tcBorders>
            <w:shd w:val="clear" w:color="auto" w:fill="auto"/>
            <w:vAlign w:val="center"/>
            <w:hideMark/>
          </w:tcPr>
          <w:p w14:paraId="0F79C704" w14:textId="77777777" w:rsidR="004F18BA" w:rsidRPr="00943EFA" w:rsidRDefault="004F18BA" w:rsidP="00E63662">
            <w:pPr>
              <w:keepNext/>
              <w:jc w:val="right"/>
              <w:rPr>
                <w:rFonts w:ascii="Arial Narrow" w:hAnsi="Arial Narrow" w:cs="Calibri"/>
                <w:sz w:val="20"/>
                <w:szCs w:val="20"/>
              </w:rPr>
            </w:pPr>
            <w:r w:rsidRPr="00943EFA">
              <w:rPr>
                <w:rFonts w:ascii="Arial Narrow" w:hAnsi="Arial Narrow" w:cs="Calibri"/>
                <w:sz w:val="20"/>
                <w:szCs w:val="20"/>
              </w:rPr>
              <w:t>40</w:t>
            </w:r>
          </w:p>
        </w:tc>
      </w:tr>
      <w:tr w:rsidR="004F18BA" w:rsidRPr="004F18BA" w14:paraId="6C289C10" w14:textId="77777777" w:rsidTr="00D10C20">
        <w:trPr>
          <w:trHeight w:val="323"/>
        </w:trPr>
        <w:tc>
          <w:tcPr>
            <w:tcW w:w="3488" w:type="dxa"/>
            <w:tcBorders>
              <w:top w:val="nil"/>
              <w:left w:val="single" w:sz="4" w:space="0" w:color="auto"/>
              <w:bottom w:val="single" w:sz="4" w:space="0" w:color="auto"/>
              <w:right w:val="single" w:sz="4" w:space="0" w:color="auto"/>
            </w:tcBorders>
            <w:shd w:val="clear" w:color="auto" w:fill="auto"/>
            <w:vAlign w:val="center"/>
            <w:hideMark/>
          </w:tcPr>
          <w:p w14:paraId="71FA5E6E" w14:textId="77777777" w:rsidR="004F18BA" w:rsidRPr="004F18BA" w:rsidRDefault="004F18BA" w:rsidP="00E63662">
            <w:pPr>
              <w:keepNext/>
              <w:jc w:val="left"/>
              <w:rPr>
                <w:rFonts w:ascii="Arial Narrow" w:hAnsi="Arial Narrow" w:cs="Calibri"/>
                <w:color w:val="000000"/>
                <w:sz w:val="20"/>
                <w:szCs w:val="20"/>
              </w:rPr>
            </w:pPr>
            <w:r w:rsidRPr="004F18BA">
              <w:rPr>
                <w:rFonts w:ascii="Arial Narrow" w:hAnsi="Arial Narrow" w:cs="Calibri"/>
                <w:color w:val="000000"/>
                <w:sz w:val="20"/>
                <w:szCs w:val="20"/>
              </w:rPr>
              <w:t>Days per prescription (incl. repeats)</w:t>
            </w:r>
          </w:p>
        </w:tc>
        <w:tc>
          <w:tcPr>
            <w:tcW w:w="1309" w:type="dxa"/>
            <w:tcBorders>
              <w:top w:val="nil"/>
              <w:left w:val="nil"/>
              <w:bottom w:val="single" w:sz="4" w:space="0" w:color="auto"/>
              <w:right w:val="single" w:sz="4" w:space="0" w:color="auto"/>
            </w:tcBorders>
            <w:shd w:val="clear" w:color="auto" w:fill="auto"/>
            <w:vAlign w:val="center"/>
            <w:hideMark/>
          </w:tcPr>
          <w:p w14:paraId="2D058DDC" w14:textId="77777777" w:rsidR="004F18BA" w:rsidRPr="004F18BA" w:rsidRDefault="004F18BA" w:rsidP="00E63662">
            <w:pPr>
              <w:keepNext/>
              <w:jc w:val="right"/>
              <w:rPr>
                <w:rFonts w:ascii="Arial Narrow" w:hAnsi="Arial Narrow" w:cs="Calibri"/>
                <w:color w:val="000000"/>
                <w:sz w:val="20"/>
                <w:szCs w:val="20"/>
              </w:rPr>
            </w:pPr>
            <w:r w:rsidRPr="004F18BA">
              <w:rPr>
                <w:rFonts w:ascii="Arial Narrow" w:hAnsi="Arial Narrow" w:cs="Calibri"/>
                <w:color w:val="000000"/>
                <w:sz w:val="20"/>
                <w:szCs w:val="20"/>
              </w:rPr>
              <w:t>100</w:t>
            </w:r>
          </w:p>
        </w:tc>
        <w:tc>
          <w:tcPr>
            <w:tcW w:w="1311" w:type="dxa"/>
            <w:tcBorders>
              <w:top w:val="nil"/>
              <w:left w:val="nil"/>
              <w:bottom w:val="single" w:sz="4" w:space="0" w:color="auto"/>
              <w:right w:val="single" w:sz="4" w:space="0" w:color="auto"/>
            </w:tcBorders>
            <w:shd w:val="clear" w:color="auto" w:fill="auto"/>
            <w:vAlign w:val="center"/>
            <w:hideMark/>
          </w:tcPr>
          <w:p w14:paraId="491FF9FA" w14:textId="77777777" w:rsidR="004F18BA" w:rsidRPr="004F18BA" w:rsidRDefault="004F18BA" w:rsidP="00E63662">
            <w:pPr>
              <w:keepNext/>
              <w:jc w:val="right"/>
              <w:rPr>
                <w:rFonts w:ascii="Arial Narrow" w:hAnsi="Arial Narrow" w:cs="Calibri"/>
                <w:color w:val="000000"/>
                <w:sz w:val="20"/>
                <w:szCs w:val="20"/>
              </w:rPr>
            </w:pPr>
            <w:r w:rsidRPr="004F18BA">
              <w:rPr>
                <w:rFonts w:ascii="Arial Narrow" w:hAnsi="Arial Narrow" w:cs="Calibri"/>
                <w:color w:val="000000"/>
                <w:sz w:val="20"/>
                <w:szCs w:val="20"/>
              </w:rPr>
              <w:t>120</w:t>
            </w:r>
          </w:p>
        </w:tc>
        <w:tc>
          <w:tcPr>
            <w:tcW w:w="1455" w:type="dxa"/>
            <w:tcBorders>
              <w:top w:val="nil"/>
              <w:left w:val="nil"/>
              <w:bottom w:val="single" w:sz="4" w:space="0" w:color="auto"/>
              <w:right w:val="single" w:sz="4" w:space="0" w:color="auto"/>
            </w:tcBorders>
            <w:shd w:val="clear" w:color="auto" w:fill="auto"/>
            <w:vAlign w:val="center"/>
            <w:hideMark/>
          </w:tcPr>
          <w:p w14:paraId="6AC5C97A" w14:textId="77777777" w:rsidR="004F18BA" w:rsidRPr="00943EFA" w:rsidRDefault="004F18BA" w:rsidP="00E63662">
            <w:pPr>
              <w:keepNext/>
              <w:jc w:val="right"/>
              <w:rPr>
                <w:rFonts w:ascii="Arial Narrow" w:hAnsi="Arial Narrow" w:cs="Calibri"/>
                <w:sz w:val="20"/>
                <w:szCs w:val="20"/>
              </w:rPr>
            </w:pPr>
            <w:r w:rsidRPr="00943EFA">
              <w:rPr>
                <w:rFonts w:ascii="Arial Narrow" w:hAnsi="Arial Narrow" w:cs="Calibri"/>
                <w:sz w:val="20"/>
                <w:szCs w:val="20"/>
              </w:rPr>
              <w:t>166</w:t>
            </w:r>
          </w:p>
        </w:tc>
        <w:tc>
          <w:tcPr>
            <w:tcW w:w="1453" w:type="dxa"/>
            <w:tcBorders>
              <w:top w:val="nil"/>
              <w:left w:val="nil"/>
              <w:bottom w:val="single" w:sz="4" w:space="0" w:color="auto"/>
              <w:right w:val="single" w:sz="4" w:space="0" w:color="auto"/>
            </w:tcBorders>
            <w:shd w:val="clear" w:color="auto" w:fill="auto"/>
            <w:vAlign w:val="center"/>
            <w:hideMark/>
          </w:tcPr>
          <w:p w14:paraId="40CF4F79" w14:textId="77777777" w:rsidR="004F18BA" w:rsidRPr="00943EFA" w:rsidRDefault="004F18BA" w:rsidP="00E63662">
            <w:pPr>
              <w:keepNext/>
              <w:jc w:val="right"/>
              <w:rPr>
                <w:rFonts w:ascii="Arial Narrow" w:hAnsi="Arial Narrow" w:cs="Calibri"/>
                <w:sz w:val="20"/>
                <w:szCs w:val="20"/>
              </w:rPr>
            </w:pPr>
            <w:r w:rsidRPr="00943EFA">
              <w:rPr>
                <w:rFonts w:ascii="Arial Narrow" w:hAnsi="Arial Narrow" w:cs="Calibri"/>
                <w:sz w:val="20"/>
                <w:szCs w:val="20"/>
              </w:rPr>
              <w:t>200</w:t>
            </w:r>
          </w:p>
        </w:tc>
      </w:tr>
    </w:tbl>
    <w:p w14:paraId="46DD0894" w14:textId="77655C5C" w:rsidR="00C86CB8" w:rsidRDefault="00C86CB8" w:rsidP="00E63662">
      <w:pPr>
        <w:pStyle w:val="TableFigureFooter"/>
        <w:keepNext/>
      </w:pPr>
      <w:r w:rsidRPr="0098567B">
        <w:t xml:space="preserve">Source: </w:t>
      </w:r>
      <w:r>
        <w:t>“Ursofalk dosing_Nov22.xls” spreadsheet (Attachment 2) for calculations</w:t>
      </w:r>
    </w:p>
    <w:p w14:paraId="289EF227" w14:textId="77777777" w:rsidR="00C86CB8" w:rsidRPr="0098567B" w:rsidRDefault="00C86CB8" w:rsidP="00E63662">
      <w:pPr>
        <w:pStyle w:val="TableFigureFooter"/>
        <w:keepNext/>
      </w:pPr>
      <w:r w:rsidRPr="00FE2042">
        <w:rPr>
          <w:rFonts w:cs="Calibri"/>
          <w:color w:val="000000"/>
        </w:rPr>
        <w:t>UDCA</w:t>
      </w:r>
      <w:r>
        <w:rPr>
          <w:rFonts w:cs="Calibri"/>
          <w:color w:val="000000"/>
        </w:rPr>
        <w:t xml:space="preserve"> = u</w:t>
      </w:r>
      <w:r w:rsidRPr="00C3235C">
        <w:rPr>
          <w:rFonts w:cs="Calibri"/>
          <w:color w:val="000000"/>
        </w:rPr>
        <w:t>rsodeoxycholic acid</w:t>
      </w:r>
    </w:p>
    <w:p w14:paraId="5A838D83" w14:textId="75CF180E" w:rsidR="0011741B" w:rsidRPr="00E63662" w:rsidRDefault="00BB623D" w:rsidP="00E63662">
      <w:pPr>
        <w:pStyle w:val="3Bodytext"/>
        <w:jc w:val="both"/>
      </w:pPr>
      <w:r w:rsidRPr="00AD2EC1">
        <w:t>The</w:t>
      </w:r>
      <w:r>
        <w:t xml:space="preserve"> submission claimed the</w:t>
      </w:r>
      <w:r w:rsidRPr="00AD2EC1">
        <w:t xml:space="preserve"> number of PBS/RPBS services for the 250 mg strength capsules has plateaued since availability of the 500 mg strength tablets in 2017</w:t>
      </w:r>
      <w:r>
        <w:t xml:space="preserve"> </w:t>
      </w:r>
      <w:r w:rsidRPr="00AD2EC1">
        <w:t>(Figure</w:t>
      </w:r>
      <w:r w:rsidR="008416C6">
        <w:t> </w:t>
      </w:r>
      <w:r w:rsidRPr="00AD2EC1">
        <w:t>1).</w:t>
      </w:r>
    </w:p>
    <w:p w14:paraId="704B4691" w14:textId="3384E4EE" w:rsidR="00BB623D" w:rsidRPr="003619A6" w:rsidRDefault="00BB623D" w:rsidP="00E63662">
      <w:pPr>
        <w:pStyle w:val="Tabletitles"/>
        <w:keepNext/>
        <w:spacing w:after="0"/>
        <w:rPr>
          <w:snapToGrid w:val="0"/>
          <w:lang w:eastAsia="en-US"/>
        </w:rPr>
      </w:pPr>
      <w:bookmarkStart w:id="7" w:name="_Ref113656328"/>
      <w:bookmarkStart w:id="8" w:name="_Toc118124172"/>
      <w:r w:rsidRPr="003619A6">
        <w:rPr>
          <w:snapToGrid w:val="0"/>
          <w:lang w:eastAsia="en-US"/>
        </w:rPr>
        <w:lastRenderedPageBreak/>
        <w:t xml:space="preserve">Figure </w:t>
      </w:r>
      <w:r w:rsidRPr="003619A6">
        <w:rPr>
          <w:snapToGrid w:val="0"/>
          <w:lang w:eastAsia="en-US"/>
        </w:rPr>
        <w:fldChar w:fldCharType="begin"/>
      </w:r>
      <w:r w:rsidRPr="003619A6">
        <w:rPr>
          <w:snapToGrid w:val="0"/>
          <w:lang w:eastAsia="en-US"/>
        </w:rPr>
        <w:instrText xml:space="preserve"> SEQ Figure \* ARABIC </w:instrText>
      </w:r>
      <w:r w:rsidRPr="003619A6">
        <w:rPr>
          <w:snapToGrid w:val="0"/>
          <w:lang w:eastAsia="en-US"/>
        </w:rPr>
        <w:fldChar w:fldCharType="separate"/>
      </w:r>
      <w:r w:rsidR="0042063E">
        <w:rPr>
          <w:noProof/>
          <w:snapToGrid w:val="0"/>
          <w:lang w:eastAsia="en-US"/>
        </w:rPr>
        <w:t>1</w:t>
      </w:r>
      <w:r w:rsidRPr="003619A6">
        <w:rPr>
          <w:snapToGrid w:val="0"/>
          <w:lang w:eastAsia="en-US"/>
        </w:rPr>
        <w:fldChar w:fldCharType="end"/>
      </w:r>
      <w:bookmarkEnd w:id="7"/>
      <w:r w:rsidR="008416C6">
        <w:rPr>
          <w:snapToGrid w:val="0"/>
          <w:lang w:eastAsia="en-US"/>
        </w:rPr>
        <w:t>:</w:t>
      </w:r>
      <w:r w:rsidRPr="003619A6">
        <w:rPr>
          <w:snapToGrid w:val="0"/>
          <w:lang w:eastAsia="en-US"/>
        </w:rPr>
        <w:tab/>
        <w:t>PBS &amp; RPBS Items processed for Ursofalk by financial year</w:t>
      </w:r>
      <w:bookmarkEnd w:id="8"/>
      <w:r w:rsidRPr="003619A6">
        <w:rPr>
          <w:snapToGrid w:val="0"/>
          <w:lang w:eastAsia="en-US"/>
        </w:rPr>
        <w:t xml:space="preserve"> </w:t>
      </w:r>
    </w:p>
    <w:p w14:paraId="1170281E" w14:textId="77777777" w:rsidR="00BB623D" w:rsidRDefault="00BB623D" w:rsidP="00E63662">
      <w:pPr>
        <w:keepNext/>
        <w:jc w:val="left"/>
        <w:rPr>
          <w:rFonts w:cs="Arial"/>
          <w:bCs/>
          <w:snapToGrid w:val="0"/>
          <w:lang w:eastAsia="en-US"/>
        </w:rPr>
      </w:pPr>
      <w:r w:rsidRPr="00D619C0">
        <w:rPr>
          <w:rFonts w:ascii="Arial Narrow" w:hAnsi="Arial Narrow"/>
          <w:noProof/>
          <w:sz w:val="20"/>
          <w:szCs w:val="20"/>
        </w:rPr>
        <w:drawing>
          <wp:inline distT="0" distB="0" distL="0" distR="0" wp14:anchorId="56D34A39" wp14:editId="28FD1AC8">
            <wp:extent cx="4572000" cy="2752725"/>
            <wp:effectExtent l="0" t="0" r="0" b="9525"/>
            <wp:docPr id="3" name="Picture 1" descr="Figure 1 PBS &amp; RPBS Items processed for Ursofalk by financial ye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Figure 1 PBS &amp; RPBS Items processed for Ursofalk by financial year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2752725"/>
                    </a:xfrm>
                    <a:prstGeom prst="rect">
                      <a:avLst/>
                    </a:prstGeom>
                    <a:noFill/>
                    <a:ln>
                      <a:noFill/>
                    </a:ln>
                  </pic:spPr>
                </pic:pic>
              </a:graphicData>
            </a:graphic>
          </wp:inline>
        </w:drawing>
      </w:r>
    </w:p>
    <w:p w14:paraId="589F35A6" w14:textId="6CEF7DE0" w:rsidR="00BB623D" w:rsidRPr="00FC7793" w:rsidRDefault="00BB623D" w:rsidP="00A91F37">
      <w:pPr>
        <w:pStyle w:val="TableText0"/>
        <w:keepNext w:val="0"/>
        <w:spacing w:after="120"/>
        <w:rPr>
          <w:snapToGrid w:val="0"/>
          <w:sz w:val="18"/>
          <w:szCs w:val="22"/>
          <w:lang w:eastAsia="en-US"/>
        </w:rPr>
      </w:pPr>
      <w:r w:rsidRPr="00E03121">
        <w:rPr>
          <w:snapToGrid w:val="0"/>
          <w:sz w:val="18"/>
          <w:szCs w:val="22"/>
          <w:lang w:eastAsia="en-US"/>
        </w:rPr>
        <w:t>Source: submission main body</w:t>
      </w:r>
    </w:p>
    <w:p w14:paraId="659ED078" w14:textId="1363A7D6" w:rsidR="005A777F" w:rsidRDefault="005A777F" w:rsidP="000F62FC">
      <w:pPr>
        <w:pStyle w:val="3Bodytext"/>
        <w:jc w:val="both"/>
        <w:rPr>
          <w:lang w:eastAsia="en-US"/>
        </w:rPr>
      </w:pPr>
      <w:r w:rsidRPr="002B3698">
        <w:t>The submission</w:t>
      </w:r>
      <w:r>
        <w:t xml:space="preserve"> claimed</w:t>
      </w:r>
      <w:r w:rsidRPr="002B3698">
        <w:t xml:space="preserve"> that </w:t>
      </w:r>
      <w:r>
        <w:t>the implementation of the proposed increase in maximum repeats for these listings</w:t>
      </w:r>
      <w:r w:rsidRPr="002B3698">
        <w:t xml:space="preserve"> could reduce</w:t>
      </w:r>
      <w:r>
        <w:t xml:space="preserve"> the</w:t>
      </w:r>
      <w:r w:rsidRPr="002B3698">
        <w:t xml:space="preserve"> risk </w:t>
      </w:r>
      <w:r>
        <w:t>of</w:t>
      </w:r>
      <w:r w:rsidRPr="002B3698">
        <w:t xml:space="preserve"> an interruption in supply </w:t>
      </w:r>
      <w:r>
        <w:t xml:space="preserve">of the </w:t>
      </w:r>
      <w:r w:rsidRPr="002B3698">
        <w:t>medicine to patients</w:t>
      </w:r>
      <w:r w:rsidR="00BB623D">
        <w:t xml:space="preserve"> and reduce the number of consultation visits required to obtain prescriptions</w:t>
      </w:r>
      <w:r w:rsidRPr="002B3698">
        <w:t>.</w:t>
      </w:r>
    </w:p>
    <w:p w14:paraId="0DD5E820" w14:textId="65D0D52B" w:rsidR="00127F16" w:rsidRPr="00CE42B4" w:rsidRDefault="00127F16" w:rsidP="00127F16">
      <w:pPr>
        <w:widowControl w:val="0"/>
        <w:numPr>
          <w:ilvl w:val="1"/>
          <w:numId w:val="2"/>
        </w:numPr>
        <w:spacing w:after="120"/>
        <w:rPr>
          <w:rFonts w:asciiTheme="minorHAnsi" w:hAnsiTheme="minorHAnsi" w:cs="Arial"/>
          <w:snapToGrid w:val="0"/>
          <w:szCs w:val="20"/>
        </w:rPr>
      </w:pPr>
      <w:bookmarkStart w:id="9" w:name="_Hlk76376200"/>
      <w:r w:rsidRPr="00CE42B4">
        <w:rPr>
          <w:rFonts w:asciiTheme="minorHAnsi" w:hAnsiTheme="minorHAnsi" w:cs="Arial"/>
          <w:iCs/>
          <w:snapToGrid w:val="0"/>
        </w:rPr>
        <w:t>The</w:t>
      </w:r>
      <w:r w:rsidRPr="00CE42B4">
        <w:rPr>
          <w:rFonts w:asciiTheme="minorHAnsi" w:hAnsiTheme="minorHAnsi" w:cs="Arial"/>
          <w:snapToGrid w:val="0"/>
          <w:szCs w:val="20"/>
        </w:rPr>
        <w:t xml:space="preserve"> PBAC considered that the claim of non-inferior comparative effectiveness was reasonable.</w:t>
      </w:r>
    </w:p>
    <w:bookmarkEnd w:id="9"/>
    <w:p w14:paraId="18B07A6A" w14:textId="7F748A90" w:rsidR="005A777F" w:rsidRPr="00D86D37" w:rsidRDefault="005A777F" w:rsidP="000F62FC">
      <w:pPr>
        <w:pStyle w:val="4-SubsectionHeading"/>
        <w:rPr>
          <w:szCs w:val="28"/>
          <w:lang w:eastAsia="en-US"/>
        </w:rPr>
      </w:pPr>
      <w:r w:rsidRPr="00D86D37">
        <w:rPr>
          <w:szCs w:val="28"/>
          <w:lang w:eastAsia="en-US"/>
        </w:rPr>
        <w:t xml:space="preserve">Economic analysis </w:t>
      </w:r>
    </w:p>
    <w:p w14:paraId="45BF0A4F" w14:textId="71D4EE7E" w:rsidR="00714102" w:rsidRDefault="00350129" w:rsidP="000F62FC">
      <w:pPr>
        <w:pStyle w:val="3Bodytext"/>
        <w:jc w:val="both"/>
        <w:rPr>
          <w:b/>
        </w:rPr>
      </w:pPr>
      <w:r>
        <w:t>T</w:t>
      </w:r>
      <w:r w:rsidR="005A777F" w:rsidRPr="002B3698">
        <w:t>he submission did not include</w:t>
      </w:r>
      <w:r w:rsidR="00C373D8">
        <w:t xml:space="preserve"> an economic</w:t>
      </w:r>
      <w:r w:rsidR="00BB623D">
        <w:t xml:space="preserve"> analysis</w:t>
      </w:r>
      <w:r w:rsidR="005A777F">
        <w:t xml:space="preserve">. </w:t>
      </w:r>
      <w:r w:rsidR="00C373D8">
        <w:t xml:space="preserve">The submission asserted that the proposed change will not impact the cost-effectiveness. </w:t>
      </w:r>
    </w:p>
    <w:p w14:paraId="690BF569" w14:textId="77777777" w:rsidR="005A777F" w:rsidRPr="00D86D37" w:rsidRDefault="005A777F" w:rsidP="000F62FC">
      <w:pPr>
        <w:pStyle w:val="4-SubsectionHeading"/>
        <w:rPr>
          <w:szCs w:val="28"/>
          <w:lang w:eastAsia="en-US"/>
        </w:rPr>
      </w:pPr>
      <w:r w:rsidRPr="00D86D37">
        <w:rPr>
          <w:szCs w:val="28"/>
          <w:lang w:eastAsia="en-US"/>
        </w:rPr>
        <w:t>Estimated PBS usage and financial implications</w:t>
      </w:r>
    </w:p>
    <w:p w14:paraId="37A65BD9" w14:textId="2A3EBA60" w:rsidR="00BB623D" w:rsidRDefault="00BB623D" w:rsidP="000F62FC">
      <w:pPr>
        <w:pStyle w:val="3Bodytext"/>
        <w:jc w:val="both"/>
        <w:rPr>
          <w:b/>
        </w:rPr>
      </w:pPr>
      <w:r w:rsidRPr="0043741B">
        <w:t>The submission asserted that the proposed change will not impact the population</w:t>
      </w:r>
      <w:r>
        <w:t xml:space="preserve"> </w:t>
      </w:r>
      <w:r w:rsidR="003B4A99">
        <w:t xml:space="preserve">or utilisation </w:t>
      </w:r>
      <w:r w:rsidRPr="0043741B">
        <w:t>of the medicine and</w:t>
      </w:r>
      <w:r>
        <w:t xml:space="preserve"> therefore</w:t>
      </w:r>
      <w:r w:rsidRPr="0043741B">
        <w:t xml:space="preserve"> will not have</w:t>
      </w:r>
      <w:r>
        <w:t xml:space="preserve"> a</w:t>
      </w:r>
      <w:r w:rsidRPr="0043741B">
        <w:t xml:space="preserve"> financial </w:t>
      </w:r>
      <w:r>
        <w:t>impact on</w:t>
      </w:r>
      <w:r w:rsidRPr="0043741B">
        <w:t xml:space="preserve"> the PBS.</w:t>
      </w:r>
      <w:r>
        <w:t xml:space="preserve"> </w:t>
      </w:r>
      <w:r w:rsidRPr="00E03121">
        <w:t>The PBAC advi</w:t>
      </w:r>
      <w:r w:rsidR="00C373D8" w:rsidRPr="00E03121">
        <w:t>s</w:t>
      </w:r>
      <w:r w:rsidRPr="00E03121">
        <w:t>e</w:t>
      </w:r>
      <w:r w:rsidR="00351CE5">
        <w:t>d</w:t>
      </w:r>
      <w:r w:rsidRPr="00E03121">
        <w:t xml:space="preserve"> this </w:t>
      </w:r>
      <w:r w:rsidR="00351CE5" w:rsidRPr="00E03121">
        <w:t>was</w:t>
      </w:r>
      <w:r w:rsidRPr="00E03121">
        <w:t xml:space="preserve"> appropriate.</w:t>
      </w:r>
    </w:p>
    <w:p w14:paraId="77B6BFB3" w14:textId="61B71D8B" w:rsidR="003619A6" w:rsidRPr="000F3275" w:rsidRDefault="00BB623D" w:rsidP="000F62FC">
      <w:pPr>
        <w:pStyle w:val="3Bodytext"/>
        <w:jc w:val="both"/>
        <w:rPr>
          <w:b/>
        </w:rPr>
      </w:pPr>
      <w:r w:rsidRPr="000F3275">
        <w:t>As a Category 4 submission neither the economic analysis nor the financial estimates analysis have been independently evaluated.</w:t>
      </w:r>
    </w:p>
    <w:p w14:paraId="727C6BEB" w14:textId="4380BB15" w:rsidR="000F62FC" w:rsidRPr="004D6151" w:rsidRDefault="00DC2305" w:rsidP="00DC2305">
      <w:pPr>
        <w:pStyle w:val="3Bodytext"/>
        <w:numPr>
          <w:ilvl w:val="0"/>
          <w:numId w:val="0"/>
        </w:numPr>
        <w:ind w:firstLine="720"/>
        <w:jc w:val="both"/>
        <w:rPr>
          <w:b/>
        </w:rPr>
      </w:pPr>
      <w:r w:rsidRPr="00C33D30">
        <w:rPr>
          <w:i/>
        </w:rPr>
        <w:t xml:space="preserve">For more detail on PBAC’s view, see section </w:t>
      </w:r>
      <w:r w:rsidR="00023157">
        <w:rPr>
          <w:i/>
        </w:rPr>
        <w:t>6</w:t>
      </w:r>
      <w:r w:rsidRPr="00C33D30">
        <w:rPr>
          <w:i/>
        </w:rPr>
        <w:t xml:space="preserve"> PBAC outcome</w:t>
      </w:r>
    </w:p>
    <w:p w14:paraId="2D437A0A" w14:textId="77777777" w:rsidR="00127F16" w:rsidRPr="0090150D" w:rsidRDefault="00127F16" w:rsidP="00127F16">
      <w:pPr>
        <w:pStyle w:val="2-SectionHeading"/>
        <w:jc w:val="both"/>
      </w:pPr>
      <w:r w:rsidRPr="0090150D">
        <w:t>PBAC Outcome</w:t>
      </w:r>
    </w:p>
    <w:p w14:paraId="236233B5" w14:textId="56796D64" w:rsidR="00DC37C9" w:rsidRPr="001E7E99" w:rsidRDefault="000F342D" w:rsidP="00DC37C9">
      <w:pPr>
        <w:pStyle w:val="3Bodytext"/>
        <w:jc w:val="both"/>
      </w:pPr>
      <w:bookmarkStart w:id="10" w:name="_Hlk111543188"/>
      <w:r>
        <w:rPr>
          <w:rFonts w:cs="Arial"/>
          <w:snapToGrid w:val="0"/>
          <w:lang w:val="en-GB"/>
        </w:rPr>
        <w:t>The PBAC recommend</w:t>
      </w:r>
      <w:r w:rsidR="00913348">
        <w:rPr>
          <w:rFonts w:cs="Arial"/>
          <w:snapToGrid w:val="0"/>
          <w:lang w:val="en-GB"/>
        </w:rPr>
        <w:t>ed</w:t>
      </w:r>
      <w:r w:rsidR="00DC37C9" w:rsidRPr="001E7E99">
        <w:t xml:space="preserve"> </w:t>
      </w:r>
      <w:r w:rsidR="000D6332">
        <w:t xml:space="preserve">a change to the </w:t>
      </w:r>
      <w:r w:rsidR="00703C43">
        <w:t>listings of</w:t>
      </w:r>
      <w:r w:rsidR="000D6332">
        <w:t xml:space="preserve"> </w:t>
      </w:r>
      <w:r w:rsidR="000D6332" w:rsidRPr="000D6332">
        <w:t xml:space="preserve">ursodeoxycholic acid (Ursofalk®) 250 mg capsule and 500 mg tablet forms </w:t>
      </w:r>
      <w:r w:rsidR="000D6332">
        <w:t>on the PBS to</w:t>
      </w:r>
      <w:r w:rsidR="00D016CA">
        <w:t xml:space="preserve"> </w:t>
      </w:r>
      <w:bookmarkStart w:id="11" w:name="_Hlk130379500"/>
      <w:r w:rsidR="00D016CA">
        <w:t>increase</w:t>
      </w:r>
      <w:r w:rsidR="00DC37C9">
        <w:t xml:space="preserve"> </w:t>
      </w:r>
      <w:r w:rsidR="00DC37C9" w:rsidRPr="001E7E99">
        <w:t xml:space="preserve">the maximum number of repeats for the PBS listings </w:t>
      </w:r>
      <w:r w:rsidR="00DC37C9">
        <w:t>from 2 repeats to 4 repeats.</w:t>
      </w:r>
    </w:p>
    <w:bookmarkEnd w:id="11"/>
    <w:p w14:paraId="430DD4A4" w14:textId="2C991667" w:rsidR="005225A2" w:rsidRDefault="005225A2" w:rsidP="00127F16">
      <w:pPr>
        <w:widowControl w:val="0"/>
        <w:numPr>
          <w:ilvl w:val="1"/>
          <w:numId w:val="2"/>
        </w:numPr>
        <w:spacing w:after="120"/>
        <w:rPr>
          <w:rFonts w:asciiTheme="minorHAnsi" w:hAnsiTheme="minorHAnsi" w:cs="Arial"/>
          <w:snapToGrid w:val="0"/>
          <w:lang w:val="en-GB"/>
        </w:rPr>
      </w:pPr>
      <w:r>
        <w:rPr>
          <w:rFonts w:asciiTheme="minorHAnsi" w:hAnsiTheme="minorHAnsi" w:cs="Arial"/>
          <w:snapToGrid w:val="0"/>
          <w:lang w:val="en-GB"/>
        </w:rPr>
        <w:t xml:space="preserve">The </w:t>
      </w:r>
      <w:r w:rsidR="00127F16" w:rsidRPr="00493D42">
        <w:rPr>
          <w:rFonts w:asciiTheme="minorHAnsi" w:hAnsiTheme="minorHAnsi" w:cs="Arial"/>
          <w:snapToGrid w:val="0"/>
          <w:lang w:val="en-GB"/>
        </w:rPr>
        <w:t xml:space="preserve">PBAC </w:t>
      </w:r>
      <w:r>
        <w:rPr>
          <w:rFonts w:asciiTheme="minorHAnsi" w:hAnsiTheme="minorHAnsi" w:cs="Arial"/>
          <w:snapToGrid w:val="0"/>
          <w:lang w:val="en-GB"/>
        </w:rPr>
        <w:t xml:space="preserve">noted the </w:t>
      </w:r>
      <w:r w:rsidR="00913348">
        <w:rPr>
          <w:rFonts w:asciiTheme="minorHAnsi" w:hAnsiTheme="minorHAnsi" w:cs="Arial"/>
          <w:snapToGrid w:val="0"/>
          <w:lang w:val="en-GB"/>
        </w:rPr>
        <w:t xml:space="preserve">change would provide most patients on standard dosing at least </w:t>
      </w:r>
      <w:r>
        <w:rPr>
          <w:rFonts w:asciiTheme="minorHAnsi" w:hAnsiTheme="minorHAnsi" w:cs="Arial"/>
          <w:snapToGrid w:val="0"/>
          <w:lang w:val="en-GB"/>
        </w:rPr>
        <w:lastRenderedPageBreak/>
        <w:t>6 months</w:t>
      </w:r>
      <w:r w:rsidR="00913348">
        <w:rPr>
          <w:rFonts w:asciiTheme="minorHAnsi" w:hAnsiTheme="minorHAnsi" w:cs="Arial"/>
          <w:snapToGrid w:val="0"/>
          <w:lang w:val="en-GB"/>
        </w:rPr>
        <w:t xml:space="preserve">’ supply per prescription, improving patient access and reducing administrative burden for patients and </w:t>
      </w:r>
      <w:r w:rsidR="000D6332">
        <w:rPr>
          <w:rFonts w:asciiTheme="minorHAnsi" w:hAnsiTheme="minorHAnsi" w:cs="Arial"/>
          <w:snapToGrid w:val="0"/>
          <w:lang w:val="en-GB"/>
        </w:rPr>
        <w:t>prescribers</w:t>
      </w:r>
      <w:r>
        <w:rPr>
          <w:rFonts w:asciiTheme="minorHAnsi" w:hAnsiTheme="minorHAnsi" w:cs="Arial"/>
          <w:snapToGrid w:val="0"/>
          <w:lang w:val="en-GB"/>
        </w:rPr>
        <w:t>.</w:t>
      </w:r>
    </w:p>
    <w:p w14:paraId="10ADA927" w14:textId="0B6669C7" w:rsidR="00127F16" w:rsidRPr="00FC7793" w:rsidRDefault="005225A2" w:rsidP="00FC7793">
      <w:pPr>
        <w:widowControl w:val="0"/>
        <w:numPr>
          <w:ilvl w:val="1"/>
          <w:numId w:val="2"/>
        </w:numPr>
        <w:spacing w:after="120"/>
        <w:rPr>
          <w:rFonts w:asciiTheme="minorHAnsi" w:hAnsiTheme="minorHAnsi" w:cs="Arial"/>
          <w:snapToGrid w:val="0"/>
          <w:lang w:val="en-GB"/>
        </w:rPr>
      </w:pPr>
      <w:bookmarkStart w:id="12" w:name="_Hlk130379819"/>
      <w:r w:rsidRPr="00FC7793">
        <w:rPr>
          <w:rFonts w:asciiTheme="minorHAnsi" w:hAnsiTheme="minorHAnsi" w:cs="Arial"/>
          <w:snapToGrid w:val="0"/>
          <w:lang w:val="en-GB"/>
        </w:rPr>
        <w:t>The PBAC note</w:t>
      </w:r>
      <w:r w:rsidR="00FD1E9F" w:rsidRPr="00FC7793">
        <w:rPr>
          <w:rFonts w:asciiTheme="minorHAnsi" w:hAnsiTheme="minorHAnsi" w:cs="Arial"/>
          <w:snapToGrid w:val="0"/>
          <w:lang w:val="en-GB"/>
        </w:rPr>
        <w:t>d</w:t>
      </w:r>
      <w:r w:rsidRPr="00FC7793">
        <w:rPr>
          <w:rFonts w:asciiTheme="minorHAnsi" w:hAnsiTheme="minorHAnsi" w:cs="Arial"/>
          <w:snapToGrid w:val="0"/>
          <w:lang w:val="en-GB"/>
        </w:rPr>
        <w:t xml:space="preserve"> that the increase of repeats for certain patients </w:t>
      </w:r>
      <w:r w:rsidR="000D6332">
        <w:rPr>
          <w:rFonts w:asciiTheme="minorHAnsi" w:hAnsiTheme="minorHAnsi" w:cs="Arial"/>
          <w:snapToGrid w:val="0"/>
          <w:lang w:val="en-GB"/>
        </w:rPr>
        <w:t xml:space="preserve">may </w:t>
      </w:r>
      <w:r w:rsidRPr="00FC7793">
        <w:rPr>
          <w:rFonts w:asciiTheme="minorHAnsi" w:hAnsiTheme="minorHAnsi" w:cs="Arial"/>
          <w:snapToGrid w:val="0"/>
          <w:lang w:val="en-GB"/>
        </w:rPr>
        <w:t>allow a supply greater than 6 months.</w:t>
      </w:r>
      <w:r w:rsidR="00913348">
        <w:rPr>
          <w:rFonts w:asciiTheme="minorHAnsi" w:hAnsiTheme="minorHAnsi" w:cs="Arial"/>
          <w:snapToGrid w:val="0"/>
          <w:lang w:val="en-GB"/>
        </w:rPr>
        <w:t xml:space="preserve"> However, </w:t>
      </w:r>
      <w:r w:rsidR="00703C43">
        <w:rPr>
          <w:rFonts w:asciiTheme="minorHAnsi" w:hAnsiTheme="minorHAnsi" w:cs="Arial"/>
          <w:snapToGrid w:val="0"/>
          <w:lang w:val="en-GB"/>
        </w:rPr>
        <w:t xml:space="preserve">on balance, </w:t>
      </w:r>
      <w:r w:rsidR="00913348">
        <w:rPr>
          <w:rFonts w:asciiTheme="minorHAnsi" w:hAnsiTheme="minorHAnsi" w:cs="Arial"/>
          <w:snapToGrid w:val="0"/>
          <w:lang w:val="en-GB"/>
        </w:rPr>
        <w:t>t</w:t>
      </w:r>
      <w:r w:rsidR="00FC7793">
        <w:rPr>
          <w:rFonts w:asciiTheme="minorHAnsi" w:hAnsiTheme="minorHAnsi" w:cs="Arial"/>
          <w:snapToGrid w:val="0"/>
          <w:lang w:val="en-GB"/>
        </w:rPr>
        <w:t>he PBAC considered</w:t>
      </w:r>
      <w:r w:rsidRPr="005225A2">
        <w:t xml:space="preserve"> </w:t>
      </w:r>
      <w:r w:rsidR="00F23FB2">
        <w:t>that the improved access would be of greater benefit than any potential risk</w:t>
      </w:r>
      <w:r w:rsidR="00836217">
        <w:t>s</w:t>
      </w:r>
      <w:r w:rsidR="00703C43">
        <w:t>,</w:t>
      </w:r>
      <w:r w:rsidR="00F23FB2">
        <w:t xml:space="preserve"> which would be managed by clinicians at the time of determining patient dosage and writing of the prescription</w:t>
      </w:r>
      <w:bookmarkEnd w:id="12"/>
      <w:r w:rsidR="00FD1E9F" w:rsidRPr="00FC7793">
        <w:rPr>
          <w:rFonts w:asciiTheme="minorHAnsi" w:hAnsiTheme="minorHAnsi" w:cs="Arial"/>
          <w:snapToGrid w:val="0"/>
          <w:lang w:val="en-GB"/>
        </w:rPr>
        <w:t xml:space="preserve">. </w:t>
      </w:r>
    </w:p>
    <w:p w14:paraId="38C1AB48" w14:textId="3FA5CCAC" w:rsidR="00FC7793" w:rsidRDefault="00913348" w:rsidP="00127F16">
      <w:pPr>
        <w:widowControl w:val="0"/>
        <w:numPr>
          <w:ilvl w:val="1"/>
          <w:numId w:val="2"/>
        </w:numPr>
        <w:spacing w:after="120"/>
        <w:rPr>
          <w:rFonts w:asciiTheme="minorHAnsi" w:hAnsiTheme="minorHAnsi" w:cs="Arial"/>
          <w:snapToGrid w:val="0"/>
          <w:lang w:val="en-GB"/>
        </w:rPr>
      </w:pPr>
      <w:r>
        <w:rPr>
          <w:rFonts w:asciiTheme="minorHAnsi" w:hAnsiTheme="minorHAnsi" w:cs="Arial"/>
          <w:snapToGrid w:val="0"/>
          <w:lang w:val="en-GB"/>
        </w:rPr>
        <w:t>The PBAC advised that the recommended changes should be flowed on to other brands of ursodeoxycholic acid</w:t>
      </w:r>
      <w:r w:rsidR="000D6332">
        <w:rPr>
          <w:rFonts w:asciiTheme="minorHAnsi" w:hAnsiTheme="minorHAnsi" w:cs="Arial"/>
          <w:snapToGrid w:val="0"/>
          <w:lang w:val="en-GB"/>
        </w:rPr>
        <w:t>.</w:t>
      </w:r>
    </w:p>
    <w:p w14:paraId="7BAB2140" w14:textId="5D2CF66E" w:rsidR="00F23FB2" w:rsidRDefault="00F23FB2" w:rsidP="00127F16">
      <w:pPr>
        <w:widowControl w:val="0"/>
        <w:numPr>
          <w:ilvl w:val="1"/>
          <w:numId w:val="2"/>
        </w:numPr>
        <w:spacing w:after="120"/>
        <w:rPr>
          <w:rFonts w:asciiTheme="minorHAnsi" w:hAnsiTheme="minorHAnsi" w:cs="Arial"/>
          <w:snapToGrid w:val="0"/>
          <w:lang w:val="en-GB"/>
        </w:rPr>
      </w:pPr>
      <w:r>
        <w:rPr>
          <w:rFonts w:asciiTheme="minorHAnsi" w:hAnsiTheme="minorHAnsi" w:cs="Arial"/>
          <w:snapToGrid w:val="0"/>
          <w:lang w:val="en-GB"/>
        </w:rPr>
        <w:t>The PBAC advised that the proposed changes were not expected to change utilisation or result in a financial impact to</w:t>
      </w:r>
      <w:r w:rsidR="007D6E9D">
        <w:rPr>
          <w:rFonts w:asciiTheme="minorHAnsi" w:hAnsiTheme="minorHAnsi" w:cs="Arial"/>
          <w:snapToGrid w:val="0"/>
          <w:lang w:val="en-GB"/>
        </w:rPr>
        <w:t xml:space="preserve"> </w:t>
      </w:r>
      <w:r>
        <w:rPr>
          <w:rFonts w:asciiTheme="minorHAnsi" w:hAnsiTheme="minorHAnsi" w:cs="Arial"/>
          <w:snapToGrid w:val="0"/>
          <w:lang w:val="en-GB"/>
        </w:rPr>
        <w:t>Government.</w:t>
      </w:r>
    </w:p>
    <w:p w14:paraId="16170945" w14:textId="66705468" w:rsidR="000F342D" w:rsidRPr="000F342D" w:rsidRDefault="00F23FB2" w:rsidP="00F23FB2">
      <w:pPr>
        <w:widowControl w:val="0"/>
        <w:numPr>
          <w:ilvl w:val="1"/>
          <w:numId w:val="2"/>
        </w:numPr>
        <w:spacing w:after="120"/>
        <w:rPr>
          <w:rFonts w:asciiTheme="minorHAnsi" w:hAnsiTheme="minorHAnsi" w:cstheme="minorHAnsi"/>
        </w:rPr>
      </w:pPr>
      <w:r w:rsidRPr="00F23FB2">
        <w:rPr>
          <w:rFonts w:asciiTheme="minorHAnsi" w:hAnsiTheme="minorHAnsi" w:cs="Arial"/>
          <w:snapToGrid w:val="0"/>
          <w:lang w:val="en-GB"/>
        </w:rPr>
        <w:t xml:space="preserve">The PBAC noted the criteria prescribed by the </w:t>
      </w:r>
      <w:r w:rsidRPr="00EE6598">
        <w:rPr>
          <w:rFonts w:asciiTheme="minorHAnsi" w:hAnsiTheme="minorHAnsi" w:cs="Arial"/>
          <w:i/>
          <w:iCs/>
          <w:snapToGrid w:val="0"/>
          <w:lang w:val="en-GB"/>
        </w:rPr>
        <w:t>National Health (Pharmaceuticals and Vaccines – Cost Recovery) Regulations 2022</w:t>
      </w:r>
      <w:r w:rsidRPr="00F23FB2">
        <w:rPr>
          <w:rFonts w:asciiTheme="minorHAnsi" w:hAnsiTheme="minorHAnsi" w:cs="Arial"/>
          <w:i/>
          <w:iCs/>
          <w:snapToGrid w:val="0"/>
          <w:lang w:val="en-GB"/>
        </w:rPr>
        <w:t xml:space="preserve"> </w:t>
      </w:r>
      <w:r w:rsidRPr="00F23FB2">
        <w:rPr>
          <w:rFonts w:asciiTheme="minorHAnsi" w:hAnsiTheme="minorHAnsi" w:cs="Arial"/>
          <w:snapToGrid w:val="0"/>
          <w:lang w:val="en-GB"/>
        </w:rPr>
        <w:t>for Pricing Pathway A were not met</w:t>
      </w:r>
      <w:r>
        <w:rPr>
          <w:rFonts w:asciiTheme="minorHAnsi" w:hAnsiTheme="minorHAnsi" w:cs="Arial"/>
          <w:snapToGrid w:val="0"/>
          <w:lang w:val="en-GB"/>
        </w:rPr>
        <w:t xml:space="preserve"> for this recommendation</w:t>
      </w:r>
      <w:r>
        <w:rPr>
          <w:rFonts w:asciiTheme="minorHAnsi" w:hAnsiTheme="minorHAnsi" w:cs="Arial"/>
          <w:bCs/>
          <w:snapToGrid w:val="0"/>
          <w:lang w:val="en-GB"/>
        </w:rPr>
        <w:t>.</w:t>
      </w:r>
    </w:p>
    <w:p w14:paraId="3AE3121A" w14:textId="746C8865" w:rsidR="000F342D" w:rsidRPr="000F342D" w:rsidDel="000F342D" w:rsidRDefault="000F342D" w:rsidP="00836217">
      <w:pPr>
        <w:widowControl w:val="0"/>
        <w:numPr>
          <w:ilvl w:val="1"/>
          <w:numId w:val="2"/>
        </w:numPr>
        <w:contextualSpacing/>
        <w:rPr>
          <w:rFonts w:asciiTheme="minorHAnsi" w:hAnsiTheme="minorHAnsi" w:cs="Arial"/>
          <w:bCs/>
          <w:i/>
          <w:snapToGrid w:val="0"/>
          <w:lang w:val="en-GB"/>
        </w:rPr>
      </w:pPr>
      <w:r w:rsidRPr="00D8553E">
        <w:rPr>
          <w:rFonts w:asciiTheme="minorHAnsi" w:hAnsiTheme="minorHAnsi" w:cs="Arial"/>
          <w:bCs/>
          <w:snapToGrid w:val="0"/>
          <w:lang w:val="en-GB"/>
        </w:rPr>
        <w:t>The PBAC noted that this submission is not eligible for an Independent Review</w:t>
      </w:r>
      <w:r w:rsidR="000D6332">
        <w:rPr>
          <w:rFonts w:asciiTheme="minorHAnsi" w:hAnsiTheme="minorHAnsi" w:cs="Arial"/>
          <w:bCs/>
          <w:snapToGrid w:val="0"/>
          <w:lang w:val="en-GB"/>
        </w:rPr>
        <w:t xml:space="preserve"> as it received a positive recommendation</w:t>
      </w:r>
      <w:r w:rsidRPr="00D8553E">
        <w:rPr>
          <w:rFonts w:asciiTheme="minorHAnsi" w:hAnsiTheme="minorHAnsi" w:cs="Arial"/>
          <w:bCs/>
          <w:snapToGrid w:val="0"/>
          <w:lang w:val="en-GB"/>
        </w:rPr>
        <w:t xml:space="preserve">. </w:t>
      </w:r>
    </w:p>
    <w:bookmarkEnd w:id="10"/>
    <w:p w14:paraId="70DC7DE9" w14:textId="77777777" w:rsidR="008E110E" w:rsidRPr="00525B39" w:rsidRDefault="008E110E" w:rsidP="008E110E">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7F25451B" w14:textId="27A45A10" w:rsidR="008E110E" w:rsidRPr="00B05963" w:rsidRDefault="008E110E" w:rsidP="00B05963">
      <w:pPr>
        <w:rPr>
          <w:rFonts w:asciiTheme="minorHAnsi" w:hAnsiTheme="minorHAnsi" w:cs="Arial"/>
          <w:bCs/>
          <w:snapToGrid w:val="0"/>
          <w:lang w:val="en-GB"/>
        </w:rPr>
      </w:pPr>
      <w:r w:rsidRPr="00525B39">
        <w:rPr>
          <w:rFonts w:asciiTheme="minorHAnsi" w:hAnsiTheme="minorHAnsi" w:cs="Arial"/>
          <w:bCs/>
          <w:snapToGrid w:val="0"/>
          <w:lang w:val="en-GB"/>
        </w:rPr>
        <w:t xml:space="preserve">Recommended </w:t>
      </w:r>
    </w:p>
    <w:p w14:paraId="2A7E105C" w14:textId="77777777" w:rsidR="008E110E" w:rsidRPr="008E110E" w:rsidRDefault="008E110E" w:rsidP="008E110E">
      <w:pPr>
        <w:pStyle w:val="2-SectionHeading"/>
        <w:jc w:val="both"/>
      </w:pPr>
      <w:r w:rsidRPr="008E110E">
        <w:t>Recommended listing</w:t>
      </w:r>
    </w:p>
    <w:p w14:paraId="697F8802" w14:textId="47CAAD94" w:rsidR="00D26F40" w:rsidRDefault="00D26F40" w:rsidP="00D26F40">
      <w:pPr>
        <w:widowControl w:val="0"/>
        <w:numPr>
          <w:ilvl w:val="1"/>
          <w:numId w:val="2"/>
        </w:numPr>
        <w:spacing w:after="120"/>
        <w:contextualSpacing/>
        <w:rPr>
          <w:rFonts w:asciiTheme="minorHAnsi" w:hAnsiTheme="minorHAnsi" w:cs="Arial"/>
          <w:bCs/>
          <w:snapToGrid w:val="0"/>
        </w:rPr>
      </w:pPr>
      <w:r w:rsidRPr="00D26F40">
        <w:rPr>
          <w:rFonts w:asciiTheme="minorHAnsi" w:hAnsiTheme="minorHAnsi" w:cs="Arial"/>
          <w:bCs/>
          <w:snapToGrid w:val="0"/>
        </w:rPr>
        <w:t xml:space="preserve"> Amend number of repeats as follows</w:t>
      </w:r>
      <w:r w:rsidR="00656BAB">
        <w:rPr>
          <w:rFonts w:asciiTheme="minorHAnsi" w:hAnsiTheme="minorHAnsi" w:cs="Arial"/>
          <w:bCs/>
          <w:snapToGrid w:val="0"/>
        </w:rPr>
        <w:t>:</w:t>
      </w:r>
    </w:p>
    <w:p w14:paraId="0D438D4A" w14:textId="77777777" w:rsidR="00656BAB" w:rsidRPr="00D26F40" w:rsidRDefault="00656BAB" w:rsidP="00656BAB">
      <w:pPr>
        <w:widowControl w:val="0"/>
        <w:spacing w:after="120"/>
        <w:ind w:left="720"/>
        <w:contextualSpacing/>
        <w:rPr>
          <w:rFonts w:asciiTheme="minorHAnsi" w:hAnsiTheme="minorHAnsi" w:cs="Arial"/>
          <w:bCs/>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850"/>
        <w:gridCol w:w="2410"/>
        <w:gridCol w:w="992"/>
        <w:gridCol w:w="889"/>
        <w:gridCol w:w="954"/>
        <w:gridCol w:w="669"/>
        <w:gridCol w:w="1831"/>
      </w:tblGrid>
      <w:tr w:rsidR="00B75482" w:rsidRPr="001428E9" w14:paraId="0210F002" w14:textId="77777777" w:rsidTr="00E63662">
        <w:trPr>
          <w:cantSplit/>
          <w:trHeight w:val="20"/>
        </w:trPr>
        <w:tc>
          <w:tcPr>
            <w:tcW w:w="3681" w:type="dxa"/>
            <w:gridSpan w:val="3"/>
            <w:vAlign w:val="center"/>
          </w:tcPr>
          <w:p w14:paraId="4560E992" w14:textId="77777777" w:rsidR="00B75482" w:rsidRPr="00D86D37" w:rsidRDefault="00B75482" w:rsidP="00800A41">
            <w:pPr>
              <w:keepNext/>
              <w:keepLines/>
              <w:rPr>
                <w:rFonts w:ascii="Arial Narrow" w:hAnsi="Arial Narrow" w:cs="Arial"/>
                <w:b/>
                <w:bCs/>
                <w:sz w:val="20"/>
                <w:szCs w:val="20"/>
              </w:rPr>
            </w:pPr>
            <w:r w:rsidRPr="00D86D37">
              <w:rPr>
                <w:rFonts w:ascii="Arial Narrow" w:hAnsi="Arial Narrow" w:cs="Arial"/>
                <w:b/>
                <w:bCs/>
                <w:sz w:val="20"/>
                <w:szCs w:val="20"/>
              </w:rPr>
              <w:t>MEDICINAL PRODUCT</w:t>
            </w:r>
          </w:p>
          <w:p w14:paraId="31ED6AD2" w14:textId="77777777" w:rsidR="00B75482" w:rsidRPr="00D86D37" w:rsidRDefault="00B75482" w:rsidP="00800A41">
            <w:pPr>
              <w:keepNext/>
              <w:keepLines/>
              <w:rPr>
                <w:rFonts w:ascii="Arial Narrow" w:hAnsi="Arial Narrow" w:cs="Arial"/>
                <w:b/>
                <w:sz w:val="20"/>
                <w:szCs w:val="20"/>
              </w:rPr>
            </w:pPr>
            <w:r w:rsidRPr="00D86D37">
              <w:rPr>
                <w:rFonts w:ascii="Arial Narrow" w:hAnsi="Arial Narrow" w:cs="Arial"/>
                <w:b/>
                <w:bCs/>
                <w:sz w:val="20"/>
                <w:szCs w:val="20"/>
              </w:rPr>
              <w:t>medicinal product pack</w:t>
            </w:r>
          </w:p>
        </w:tc>
        <w:tc>
          <w:tcPr>
            <w:tcW w:w="992" w:type="dxa"/>
            <w:vAlign w:val="center"/>
          </w:tcPr>
          <w:p w14:paraId="7C27B986" w14:textId="77777777" w:rsidR="00B75482" w:rsidRPr="00D86D37" w:rsidRDefault="00B75482" w:rsidP="00800A41">
            <w:pPr>
              <w:keepNext/>
              <w:keepLines/>
              <w:jc w:val="center"/>
              <w:rPr>
                <w:rFonts w:ascii="Arial Narrow" w:hAnsi="Arial Narrow" w:cs="Arial"/>
                <w:b/>
                <w:sz w:val="20"/>
                <w:szCs w:val="20"/>
              </w:rPr>
            </w:pPr>
            <w:r w:rsidRPr="00D86D37">
              <w:rPr>
                <w:rFonts w:ascii="Arial Narrow" w:hAnsi="Arial Narrow" w:cs="Arial"/>
                <w:b/>
                <w:sz w:val="20"/>
                <w:szCs w:val="20"/>
              </w:rPr>
              <w:t>PBS item code</w:t>
            </w:r>
          </w:p>
        </w:tc>
        <w:tc>
          <w:tcPr>
            <w:tcW w:w="889" w:type="dxa"/>
            <w:vAlign w:val="center"/>
          </w:tcPr>
          <w:p w14:paraId="1B055593" w14:textId="77777777" w:rsidR="00B75482" w:rsidRPr="00D86D37" w:rsidRDefault="00B75482" w:rsidP="00800A41">
            <w:pPr>
              <w:keepNext/>
              <w:keepLines/>
              <w:jc w:val="center"/>
              <w:rPr>
                <w:rFonts w:ascii="Arial Narrow" w:hAnsi="Arial Narrow" w:cs="Arial"/>
                <w:b/>
                <w:sz w:val="20"/>
                <w:szCs w:val="20"/>
              </w:rPr>
            </w:pPr>
            <w:r w:rsidRPr="00D86D37">
              <w:rPr>
                <w:rFonts w:ascii="Arial Narrow" w:hAnsi="Arial Narrow" w:cs="Arial"/>
                <w:b/>
                <w:sz w:val="20"/>
                <w:szCs w:val="20"/>
              </w:rPr>
              <w:t>Max. qty packs</w:t>
            </w:r>
          </w:p>
        </w:tc>
        <w:tc>
          <w:tcPr>
            <w:tcW w:w="954" w:type="dxa"/>
            <w:vAlign w:val="center"/>
          </w:tcPr>
          <w:p w14:paraId="36B0A0AD" w14:textId="77777777" w:rsidR="00B75482" w:rsidRPr="00D86D37" w:rsidRDefault="00B75482" w:rsidP="00800A41">
            <w:pPr>
              <w:keepNext/>
              <w:keepLines/>
              <w:jc w:val="center"/>
              <w:rPr>
                <w:rFonts w:ascii="Arial Narrow" w:hAnsi="Arial Narrow" w:cs="Arial"/>
                <w:b/>
                <w:sz w:val="20"/>
                <w:szCs w:val="20"/>
              </w:rPr>
            </w:pPr>
            <w:r w:rsidRPr="00D86D37">
              <w:rPr>
                <w:rFonts w:ascii="Arial Narrow" w:hAnsi="Arial Narrow" w:cs="Arial"/>
                <w:b/>
                <w:sz w:val="20"/>
                <w:szCs w:val="20"/>
              </w:rPr>
              <w:t>Max. qty units</w:t>
            </w:r>
          </w:p>
        </w:tc>
        <w:tc>
          <w:tcPr>
            <w:tcW w:w="669" w:type="dxa"/>
            <w:vAlign w:val="center"/>
          </w:tcPr>
          <w:p w14:paraId="3110D022" w14:textId="77777777" w:rsidR="00B75482" w:rsidRPr="00D86D37" w:rsidRDefault="00B75482" w:rsidP="00800A41">
            <w:pPr>
              <w:keepNext/>
              <w:keepLines/>
              <w:jc w:val="center"/>
              <w:rPr>
                <w:rFonts w:ascii="Arial Narrow" w:hAnsi="Arial Narrow" w:cs="Arial"/>
                <w:b/>
                <w:sz w:val="20"/>
                <w:szCs w:val="20"/>
              </w:rPr>
            </w:pPr>
            <w:r w:rsidRPr="00D86D37">
              <w:rPr>
                <w:rFonts w:ascii="Arial Narrow" w:hAnsi="Arial Narrow" w:cs="Arial"/>
                <w:b/>
                <w:sz w:val="20"/>
                <w:szCs w:val="20"/>
              </w:rPr>
              <w:t>№. of</w:t>
            </w:r>
          </w:p>
          <w:p w14:paraId="6D0D8689" w14:textId="77777777" w:rsidR="00B75482" w:rsidRPr="00D86D37" w:rsidRDefault="00B75482" w:rsidP="00800A41">
            <w:pPr>
              <w:keepNext/>
              <w:keepLines/>
              <w:jc w:val="center"/>
              <w:rPr>
                <w:rFonts w:ascii="Arial Narrow" w:hAnsi="Arial Narrow" w:cs="Arial"/>
                <w:b/>
                <w:sz w:val="20"/>
                <w:szCs w:val="20"/>
              </w:rPr>
            </w:pPr>
            <w:r w:rsidRPr="00D86D37">
              <w:rPr>
                <w:rFonts w:ascii="Arial Narrow" w:hAnsi="Arial Narrow" w:cs="Arial"/>
                <w:b/>
                <w:sz w:val="20"/>
                <w:szCs w:val="20"/>
              </w:rPr>
              <w:t>Rpts</w:t>
            </w:r>
          </w:p>
        </w:tc>
        <w:tc>
          <w:tcPr>
            <w:tcW w:w="1831" w:type="dxa"/>
            <w:vAlign w:val="center"/>
          </w:tcPr>
          <w:p w14:paraId="3AEF1BF9" w14:textId="77777777" w:rsidR="00B75482" w:rsidRPr="00D86D37" w:rsidRDefault="00B75482" w:rsidP="00800A41">
            <w:pPr>
              <w:keepNext/>
              <w:keepLines/>
              <w:rPr>
                <w:rFonts w:ascii="Arial Narrow" w:hAnsi="Arial Narrow" w:cs="Arial"/>
                <w:b/>
                <w:sz w:val="20"/>
                <w:szCs w:val="20"/>
                <w:lang w:val="fr-FR"/>
              </w:rPr>
            </w:pPr>
            <w:r w:rsidRPr="00D86D37">
              <w:rPr>
                <w:rFonts w:ascii="Arial Narrow" w:hAnsi="Arial Narrow" w:cs="Arial"/>
                <w:b/>
                <w:sz w:val="20"/>
                <w:szCs w:val="20"/>
              </w:rPr>
              <w:t>Available brands</w:t>
            </w:r>
          </w:p>
        </w:tc>
      </w:tr>
      <w:tr w:rsidR="00B75482" w:rsidRPr="001428E9" w14:paraId="0ECE1B1C" w14:textId="77777777" w:rsidTr="00E21D71">
        <w:trPr>
          <w:cantSplit/>
          <w:trHeight w:val="20"/>
        </w:trPr>
        <w:tc>
          <w:tcPr>
            <w:tcW w:w="9016" w:type="dxa"/>
            <w:gridSpan w:val="8"/>
            <w:vAlign w:val="center"/>
          </w:tcPr>
          <w:p w14:paraId="5ED43A51" w14:textId="77777777" w:rsidR="00B75482" w:rsidRPr="00D86D37" w:rsidRDefault="00B75482" w:rsidP="00800A41">
            <w:pPr>
              <w:keepNext/>
              <w:keepLines/>
              <w:rPr>
                <w:rFonts w:ascii="Arial Narrow" w:hAnsi="Arial Narrow" w:cs="Arial"/>
                <w:sz w:val="20"/>
                <w:szCs w:val="20"/>
              </w:rPr>
            </w:pPr>
            <w:r w:rsidRPr="00D86D37">
              <w:rPr>
                <w:rFonts w:ascii="Arial Narrow" w:hAnsi="Arial Narrow" w:cs="Arial"/>
                <w:sz w:val="20"/>
                <w:szCs w:val="20"/>
              </w:rPr>
              <w:t xml:space="preserve">URSODEOXYCHOLIC ACID </w:t>
            </w:r>
          </w:p>
        </w:tc>
      </w:tr>
      <w:tr w:rsidR="00B75482" w:rsidRPr="001428E9" w14:paraId="3249F1B7" w14:textId="77777777" w:rsidTr="00E63662">
        <w:trPr>
          <w:cantSplit/>
          <w:trHeight w:val="20"/>
        </w:trPr>
        <w:tc>
          <w:tcPr>
            <w:tcW w:w="3681" w:type="dxa"/>
            <w:gridSpan w:val="3"/>
            <w:vAlign w:val="center"/>
          </w:tcPr>
          <w:p w14:paraId="13F2B7F3" w14:textId="06E258DA" w:rsidR="00B75482" w:rsidRPr="00D86D37" w:rsidRDefault="00A96B38" w:rsidP="00800A41">
            <w:pPr>
              <w:keepNext/>
              <w:keepLines/>
              <w:rPr>
                <w:rFonts w:ascii="Arial Narrow" w:hAnsi="Arial Narrow" w:cs="Arial"/>
                <w:sz w:val="20"/>
                <w:szCs w:val="20"/>
              </w:rPr>
            </w:pPr>
            <w:r w:rsidRPr="00A96B38">
              <w:rPr>
                <w:rFonts w:ascii="Arial Narrow" w:hAnsi="Arial Narrow" w:cs="Arial"/>
                <w:sz w:val="20"/>
                <w:szCs w:val="20"/>
              </w:rPr>
              <w:t>ursodeoxycholic acid 250 mg capsule, 100</w:t>
            </w:r>
          </w:p>
        </w:tc>
        <w:tc>
          <w:tcPr>
            <w:tcW w:w="992" w:type="dxa"/>
            <w:vAlign w:val="center"/>
          </w:tcPr>
          <w:p w14:paraId="61879049" w14:textId="77777777" w:rsidR="00B75482" w:rsidRPr="00D86D37" w:rsidRDefault="00B75482" w:rsidP="00800A41">
            <w:pPr>
              <w:keepNext/>
              <w:keepLines/>
              <w:jc w:val="center"/>
              <w:rPr>
                <w:rFonts w:ascii="Arial Narrow" w:hAnsi="Arial Narrow" w:cs="Arial"/>
                <w:sz w:val="20"/>
                <w:szCs w:val="20"/>
              </w:rPr>
            </w:pPr>
            <w:r w:rsidRPr="00D86D37">
              <w:rPr>
                <w:rFonts w:ascii="Arial Narrow" w:hAnsi="Arial Narrow" w:cs="Arial"/>
                <w:sz w:val="20"/>
                <w:szCs w:val="20"/>
              </w:rPr>
              <w:t>8448P</w:t>
            </w:r>
          </w:p>
        </w:tc>
        <w:tc>
          <w:tcPr>
            <w:tcW w:w="889" w:type="dxa"/>
            <w:vAlign w:val="center"/>
          </w:tcPr>
          <w:p w14:paraId="28B72467" w14:textId="77777777" w:rsidR="00B75482" w:rsidRPr="00D86D37" w:rsidRDefault="00B75482" w:rsidP="00800A41">
            <w:pPr>
              <w:keepNext/>
              <w:keepLines/>
              <w:jc w:val="center"/>
              <w:rPr>
                <w:rFonts w:ascii="Arial Narrow" w:hAnsi="Arial Narrow" w:cs="Arial"/>
                <w:sz w:val="20"/>
                <w:szCs w:val="20"/>
              </w:rPr>
            </w:pPr>
            <w:r w:rsidRPr="00D86D37">
              <w:rPr>
                <w:rFonts w:ascii="Arial Narrow" w:hAnsi="Arial Narrow" w:cs="Arial"/>
                <w:sz w:val="20"/>
                <w:szCs w:val="20"/>
              </w:rPr>
              <w:t>2</w:t>
            </w:r>
          </w:p>
        </w:tc>
        <w:tc>
          <w:tcPr>
            <w:tcW w:w="954" w:type="dxa"/>
            <w:vAlign w:val="center"/>
          </w:tcPr>
          <w:p w14:paraId="14FC3BC4" w14:textId="77777777" w:rsidR="00B75482" w:rsidRPr="00D86D37" w:rsidRDefault="00B75482" w:rsidP="00800A41">
            <w:pPr>
              <w:keepNext/>
              <w:keepLines/>
              <w:jc w:val="center"/>
              <w:rPr>
                <w:rFonts w:ascii="Arial Narrow" w:hAnsi="Arial Narrow" w:cs="Arial"/>
                <w:sz w:val="20"/>
                <w:szCs w:val="20"/>
              </w:rPr>
            </w:pPr>
            <w:r w:rsidRPr="00D86D37">
              <w:rPr>
                <w:rFonts w:ascii="Arial Narrow" w:hAnsi="Arial Narrow" w:cs="Arial"/>
                <w:sz w:val="20"/>
                <w:szCs w:val="20"/>
              </w:rPr>
              <w:t>200</w:t>
            </w:r>
          </w:p>
        </w:tc>
        <w:tc>
          <w:tcPr>
            <w:tcW w:w="669" w:type="dxa"/>
            <w:vAlign w:val="center"/>
          </w:tcPr>
          <w:p w14:paraId="2B8D9875" w14:textId="17C3DC6D" w:rsidR="00B75482" w:rsidRPr="00D86D37" w:rsidRDefault="000D6332" w:rsidP="00800A41">
            <w:pPr>
              <w:keepNext/>
              <w:keepLines/>
              <w:jc w:val="center"/>
              <w:rPr>
                <w:rFonts w:ascii="Arial Narrow" w:hAnsi="Arial Narrow" w:cs="Arial"/>
                <w:sz w:val="20"/>
                <w:szCs w:val="20"/>
              </w:rPr>
            </w:pPr>
            <w:r w:rsidRPr="00D86D37">
              <w:rPr>
                <w:rFonts w:ascii="Arial Narrow" w:hAnsi="Arial Narrow" w:cs="Arial"/>
                <w:strike/>
                <w:sz w:val="20"/>
                <w:szCs w:val="20"/>
              </w:rPr>
              <w:t>2</w:t>
            </w:r>
            <w:r w:rsidRPr="00D86D37">
              <w:rPr>
                <w:rFonts w:ascii="Arial Narrow" w:hAnsi="Arial Narrow" w:cs="Arial"/>
                <w:sz w:val="20"/>
                <w:szCs w:val="20"/>
              </w:rPr>
              <w:t xml:space="preserve"> </w:t>
            </w:r>
            <w:r w:rsidR="00B75482" w:rsidRPr="00D86D37">
              <w:rPr>
                <w:rFonts w:ascii="Arial Narrow" w:hAnsi="Arial Narrow" w:cs="Arial"/>
                <w:i/>
                <w:iCs/>
                <w:sz w:val="20"/>
                <w:szCs w:val="20"/>
              </w:rPr>
              <w:t>4</w:t>
            </w:r>
          </w:p>
        </w:tc>
        <w:tc>
          <w:tcPr>
            <w:tcW w:w="1831" w:type="dxa"/>
            <w:vMerge w:val="restart"/>
            <w:vAlign w:val="center"/>
          </w:tcPr>
          <w:p w14:paraId="721E9A91" w14:textId="77777777" w:rsidR="00B75482" w:rsidRPr="00D86D37" w:rsidRDefault="00B75482" w:rsidP="00800A41">
            <w:pPr>
              <w:keepNext/>
              <w:keepLines/>
              <w:jc w:val="left"/>
              <w:rPr>
                <w:rFonts w:ascii="Arial Narrow" w:hAnsi="Arial Narrow" w:cs="Arial"/>
                <w:sz w:val="20"/>
                <w:szCs w:val="20"/>
              </w:rPr>
            </w:pPr>
            <w:r w:rsidRPr="00D86D37">
              <w:rPr>
                <w:rFonts w:ascii="Arial Narrow" w:hAnsi="Arial Narrow" w:cs="Arial"/>
                <w:sz w:val="20"/>
                <w:szCs w:val="20"/>
              </w:rPr>
              <w:t>Ursofalk</w:t>
            </w:r>
          </w:p>
          <w:p w14:paraId="1B1C9341" w14:textId="77777777" w:rsidR="00B75482" w:rsidRPr="00D86D37" w:rsidRDefault="00B75482" w:rsidP="00800A41">
            <w:pPr>
              <w:keepNext/>
              <w:keepLines/>
              <w:jc w:val="left"/>
              <w:rPr>
                <w:rFonts w:ascii="Arial Narrow" w:hAnsi="Arial Narrow" w:cs="Arial"/>
                <w:sz w:val="20"/>
                <w:szCs w:val="20"/>
              </w:rPr>
            </w:pPr>
          </w:p>
        </w:tc>
      </w:tr>
      <w:tr w:rsidR="00B75482" w:rsidRPr="001428E9" w14:paraId="451F03FE" w14:textId="77777777" w:rsidTr="00E63662">
        <w:trPr>
          <w:cantSplit/>
          <w:trHeight w:val="20"/>
        </w:trPr>
        <w:tc>
          <w:tcPr>
            <w:tcW w:w="3681" w:type="dxa"/>
            <w:gridSpan w:val="3"/>
            <w:vAlign w:val="center"/>
          </w:tcPr>
          <w:p w14:paraId="59CACFCC" w14:textId="68A17369" w:rsidR="00B75482" w:rsidRPr="00D86D37" w:rsidRDefault="00A96B38" w:rsidP="00800A41">
            <w:pPr>
              <w:keepNext/>
              <w:keepLines/>
              <w:rPr>
                <w:rFonts w:ascii="Arial Narrow" w:hAnsi="Arial Narrow" w:cs="Arial"/>
                <w:sz w:val="20"/>
                <w:szCs w:val="20"/>
              </w:rPr>
            </w:pPr>
            <w:r w:rsidRPr="00A96B38">
              <w:rPr>
                <w:rFonts w:ascii="Arial Narrow" w:hAnsi="Arial Narrow" w:cs="Arial"/>
                <w:sz w:val="20"/>
                <w:szCs w:val="20"/>
              </w:rPr>
              <w:t>ursodeoxycholic acid 500 mg tablet, 100</w:t>
            </w:r>
          </w:p>
        </w:tc>
        <w:tc>
          <w:tcPr>
            <w:tcW w:w="992" w:type="dxa"/>
            <w:vAlign w:val="center"/>
          </w:tcPr>
          <w:p w14:paraId="5492A88A" w14:textId="77777777" w:rsidR="00B75482" w:rsidRPr="00D86D37" w:rsidRDefault="00B75482" w:rsidP="00800A41">
            <w:pPr>
              <w:keepNext/>
              <w:keepLines/>
              <w:jc w:val="center"/>
              <w:rPr>
                <w:rFonts w:ascii="Arial Narrow" w:hAnsi="Arial Narrow" w:cs="Arial"/>
                <w:sz w:val="20"/>
                <w:szCs w:val="20"/>
              </w:rPr>
            </w:pPr>
            <w:r w:rsidRPr="00D86D37">
              <w:rPr>
                <w:rFonts w:ascii="Arial Narrow" w:hAnsi="Arial Narrow" w:cs="Arial"/>
                <w:sz w:val="20"/>
                <w:szCs w:val="20"/>
              </w:rPr>
              <w:t>11180K</w:t>
            </w:r>
          </w:p>
        </w:tc>
        <w:tc>
          <w:tcPr>
            <w:tcW w:w="889" w:type="dxa"/>
            <w:vAlign w:val="center"/>
          </w:tcPr>
          <w:p w14:paraId="19589166" w14:textId="77777777" w:rsidR="00B75482" w:rsidRPr="00D86D37" w:rsidRDefault="00B75482" w:rsidP="00800A41">
            <w:pPr>
              <w:keepNext/>
              <w:keepLines/>
              <w:jc w:val="center"/>
              <w:rPr>
                <w:rFonts w:ascii="Arial Narrow" w:hAnsi="Arial Narrow" w:cs="Arial"/>
                <w:sz w:val="20"/>
                <w:szCs w:val="20"/>
              </w:rPr>
            </w:pPr>
            <w:r w:rsidRPr="00D86D37">
              <w:rPr>
                <w:rFonts w:ascii="Arial Narrow" w:hAnsi="Arial Narrow" w:cs="Arial"/>
                <w:sz w:val="20"/>
                <w:szCs w:val="20"/>
              </w:rPr>
              <w:t>1</w:t>
            </w:r>
          </w:p>
        </w:tc>
        <w:tc>
          <w:tcPr>
            <w:tcW w:w="954" w:type="dxa"/>
            <w:vAlign w:val="center"/>
          </w:tcPr>
          <w:p w14:paraId="75CEB2AB" w14:textId="77777777" w:rsidR="00B75482" w:rsidRPr="00D86D37" w:rsidRDefault="00B75482" w:rsidP="00800A41">
            <w:pPr>
              <w:keepNext/>
              <w:keepLines/>
              <w:jc w:val="center"/>
              <w:rPr>
                <w:rFonts w:ascii="Arial Narrow" w:hAnsi="Arial Narrow" w:cs="Arial"/>
                <w:sz w:val="20"/>
                <w:szCs w:val="20"/>
              </w:rPr>
            </w:pPr>
            <w:r w:rsidRPr="00D86D37">
              <w:rPr>
                <w:rFonts w:ascii="Arial Narrow" w:hAnsi="Arial Narrow" w:cs="Arial"/>
                <w:sz w:val="20"/>
                <w:szCs w:val="20"/>
              </w:rPr>
              <w:t>100</w:t>
            </w:r>
          </w:p>
        </w:tc>
        <w:tc>
          <w:tcPr>
            <w:tcW w:w="669" w:type="dxa"/>
            <w:vAlign w:val="center"/>
          </w:tcPr>
          <w:p w14:paraId="15A9484E" w14:textId="301C6A59" w:rsidR="00B75482" w:rsidRPr="00D86D37" w:rsidRDefault="000D6332" w:rsidP="00800A41">
            <w:pPr>
              <w:keepNext/>
              <w:keepLines/>
              <w:jc w:val="center"/>
              <w:rPr>
                <w:rFonts w:ascii="Arial Narrow" w:hAnsi="Arial Narrow" w:cs="Arial"/>
                <w:sz w:val="20"/>
                <w:szCs w:val="20"/>
              </w:rPr>
            </w:pPr>
            <w:r w:rsidRPr="00D86D37">
              <w:rPr>
                <w:rFonts w:ascii="Arial Narrow" w:hAnsi="Arial Narrow" w:cs="Arial"/>
                <w:strike/>
                <w:sz w:val="20"/>
                <w:szCs w:val="20"/>
              </w:rPr>
              <w:t>2</w:t>
            </w:r>
            <w:r w:rsidRPr="00D86D37">
              <w:rPr>
                <w:rFonts w:ascii="Arial Narrow" w:hAnsi="Arial Narrow" w:cs="Arial"/>
                <w:sz w:val="20"/>
                <w:szCs w:val="20"/>
              </w:rPr>
              <w:t xml:space="preserve"> </w:t>
            </w:r>
            <w:r w:rsidR="00B75482" w:rsidRPr="00D86D37">
              <w:rPr>
                <w:rFonts w:ascii="Arial Narrow" w:hAnsi="Arial Narrow" w:cs="Arial"/>
                <w:i/>
                <w:iCs/>
                <w:sz w:val="20"/>
                <w:szCs w:val="20"/>
              </w:rPr>
              <w:t>4</w:t>
            </w:r>
          </w:p>
        </w:tc>
        <w:tc>
          <w:tcPr>
            <w:tcW w:w="1831" w:type="dxa"/>
            <w:vMerge/>
            <w:vAlign w:val="center"/>
          </w:tcPr>
          <w:p w14:paraId="1A478752" w14:textId="77777777" w:rsidR="00B75482" w:rsidRPr="00D86D37" w:rsidRDefault="00B75482" w:rsidP="00800A41">
            <w:pPr>
              <w:keepNext/>
              <w:keepLines/>
              <w:rPr>
                <w:rFonts w:ascii="Arial Narrow" w:hAnsi="Arial Narrow" w:cs="Arial"/>
                <w:sz w:val="20"/>
                <w:szCs w:val="20"/>
              </w:rPr>
            </w:pPr>
          </w:p>
        </w:tc>
      </w:tr>
      <w:tr w:rsidR="00B75482" w:rsidRPr="001428E9" w14:paraId="755AAA7E" w14:textId="77777777" w:rsidTr="00E21D71">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51E911BF" w14:textId="77777777" w:rsidR="00B75482" w:rsidRPr="00D86D37" w:rsidRDefault="00B75482" w:rsidP="00800A41">
            <w:pPr>
              <w:keepNext/>
              <w:rPr>
                <w:rFonts w:ascii="Arial Narrow" w:hAnsi="Arial Narrow" w:cs="Arial"/>
                <w:sz w:val="20"/>
                <w:szCs w:val="20"/>
              </w:rPr>
            </w:pPr>
          </w:p>
        </w:tc>
      </w:tr>
      <w:tr w:rsidR="00B75482" w:rsidRPr="001428E9" w14:paraId="1BAD7642" w14:textId="77777777" w:rsidTr="00E21D71">
        <w:tblPrEx>
          <w:tblCellMar>
            <w:top w:w="15" w:type="dxa"/>
            <w:bottom w:w="15" w:type="dxa"/>
          </w:tblCellMar>
          <w:tblLook w:val="04A0" w:firstRow="1" w:lastRow="0" w:firstColumn="1" w:lastColumn="0" w:noHBand="0" w:noVBand="1"/>
        </w:tblPrEx>
        <w:trPr>
          <w:trHeight w:val="20"/>
        </w:trPr>
        <w:tc>
          <w:tcPr>
            <w:tcW w:w="9016" w:type="dxa"/>
            <w:gridSpan w:val="8"/>
            <w:tcBorders>
              <w:top w:val="single" w:sz="4" w:space="0" w:color="auto"/>
              <w:left w:val="single" w:sz="4" w:space="0" w:color="auto"/>
              <w:right w:val="single" w:sz="4" w:space="0" w:color="auto"/>
            </w:tcBorders>
            <w:vAlign w:val="center"/>
          </w:tcPr>
          <w:p w14:paraId="324BA95F" w14:textId="639A5A62" w:rsidR="00B75482" w:rsidRPr="00D86D37" w:rsidRDefault="00B75482" w:rsidP="00800A41">
            <w:pPr>
              <w:keepNext/>
              <w:keepLines/>
              <w:rPr>
                <w:rFonts w:ascii="Arial Narrow" w:hAnsi="Arial Narrow" w:cs="Arial"/>
                <w:b/>
                <w:sz w:val="20"/>
                <w:szCs w:val="20"/>
              </w:rPr>
            </w:pPr>
            <w:r w:rsidRPr="00D86D37">
              <w:rPr>
                <w:rFonts w:ascii="Arial Narrow" w:hAnsi="Arial Narrow"/>
                <w:b/>
                <w:sz w:val="20"/>
                <w:szCs w:val="20"/>
              </w:rPr>
              <w:t>Restriction Summary  / Treatment of Concept:</w:t>
            </w:r>
          </w:p>
        </w:tc>
      </w:tr>
      <w:tr w:rsidR="00B75482" w:rsidRPr="001428E9" w14:paraId="6BD7A691" w14:textId="77777777" w:rsidTr="00E21D71">
        <w:tblPrEx>
          <w:tblCellMar>
            <w:top w:w="15" w:type="dxa"/>
            <w:bottom w:w="15" w:type="dxa"/>
          </w:tblCellMar>
        </w:tblPrEx>
        <w:trPr>
          <w:trHeight w:val="232"/>
        </w:trPr>
        <w:tc>
          <w:tcPr>
            <w:tcW w:w="1271" w:type="dxa"/>
            <w:gridSpan w:val="2"/>
            <w:vMerge w:val="restart"/>
            <w:tcBorders>
              <w:top w:val="single" w:sz="4" w:space="0" w:color="auto"/>
              <w:left w:val="single" w:sz="4" w:space="0" w:color="auto"/>
              <w:right w:val="single" w:sz="4" w:space="0" w:color="auto"/>
            </w:tcBorders>
          </w:tcPr>
          <w:p w14:paraId="689E8629" w14:textId="77777777" w:rsidR="00B75482" w:rsidRPr="001428E9" w:rsidRDefault="00B75482" w:rsidP="00800A41">
            <w:pPr>
              <w:keepNext/>
              <w:jc w:val="center"/>
              <w:rPr>
                <w:rFonts w:ascii="Arial Narrow" w:hAnsi="Arial Narrow" w:cs="Arial"/>
                <w:b/>
                <w:sz w:val="20"/>
                <w:szCs w:val="20"/>
              </w:rPr>
            </w:pPr>
            <w:r w:rsidRPr="001428E9">
              <w:rPr>
                <w:rFonts w:ascii="Arial Narrow" w:hAnsi="Arial Narrow" w:cs="Arial"/>
                <w:b/>
                <w:sz w:val="20"/>
                <w:szCs w:val="20"/>
              </w:rPr>
              <w:t>Concept ID</w:t>
            </w:r>
            <w:r>
              <w:rPr>
                <w:rFonts w:ascii="Arial Narrow" w:hAnsi="Arial Narrow" w:cs="Arial"/>
                <w:b/>
                <w:sz w:val="20"/>
                <w:szCs w:val="20"/>
              </w:rPr>
              <w:t xml:space="preserve"> </w:t>
            </w: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248DB7FA" w14:textId="77777777" w:rsidR="00B75482" w:rsidRPr="00D86D37" w:rsidRDefault="00B75482" w:rsidP="00800A41">
            <w:pPr>
              <w:keepNext/>
              <w:keepLines/>
              <w:rPr>
                <w:rFonts w:ascii="Arial Narrow" w:hAnsi="Arial Narrow" w:cs="Arial"/>
                <w:sz w:val="20"/>
                <w:szCs w:val="20"/>
              </w:rPr>
            </w:pPr>
            <w:r w:rsidRPr="00D86D37">
              <w:rPr>
                <w:rFonts w:ascii="Arial Narrow" w:hAnsi="Arial Narrow" w:cs="Arial"/>
                <w:b/>
                <w:sz w:val="20"/>
                <w:szCs w:val="20"/>
              </w:rPr>
              <w:t xml:space="preserve">Category / Program: </w:t>
            </w:r>
            <w:r w:rsidRPr="00D86D37">
              <w:rPr>
                <w:rFonts w:ascii="Arial Narrow" w:hAnsi="Arial Narrow" w:cs="Arial"/>
                <w:sz w:val="20"/>
                <w:szCs w:val="20"/>
              </w:rPr>
              <w:t>GENERAL – General Schedule (GE)</w:t>
            </w:r>
          </w:p>
        </w:tc>
      </w:tr>
      <w:tr w:rsidR="00B75482" w:rsidRPr="001428E9" w14:paraId="703F0966" w14:textId="77777777" w:rsidTr="00E21D71">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right w:val="single" w:sz="4" w:space="0" w:color="auto"/>
            </w:tcBorders>
          </w:tcPr>
          <w:p w14:paraId="4B1E0415" w14:textId="77777777" w:rsidR="00B75482" w:rsidRPr="001428E9" w:rsidRDefault="00B75482" w:rsidP="00800A41">
            <w:pPr>
              <w:keepNext/>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598F79C3" w14:textId="77777777" w:rsidR="00B75482" w:rsidRPr="00D86D37" w:rsidRDefault="00B75482" w:rsidP="00800A41">
            <w:pPr>
              <w:keepNext/>
              <w:keepLines/>
              <w:rPr>
                <w:rFonts w:ascii="Arial Narrow" w:hAnsi="Arial Narrow" w:cs="Arial"/>
                <w:b/>
                <w:sz w:val="20"/>
                <w:szCs w:val="20"/>
              </w:rPr>
            </w:pPr>
            <w:r w:rsidRPr="00D86D37">
              <w:rPr>
                <w:rFonts w:ascii="Arial Narrow" w:hAnsi="Arial Narrow" w:cs="Arial"/>
                <w:b/>
                <w:sz w:val="20"/>
                <w:szCs w:val="20"/>
              </w:rPr>
              <w:t xml:space="preserve">Prescriber type: </w:t>
            </w:r>
            <w:r w:rsidRPr="00D86D37">
              <w:rPr>
                <w:rFonts w:ascii="Arial Narrow" w:hAnsi="Arial Narrow" w:cs="Arial"/>
                <w:sz w:val="20"/>
                <w:szCs w:val="20"/>
              </w:rPr>
              <w:fldChar w:fldCharType="begin">
                <w:ffData>
                  <w:name w:val=""/>
                  <w:enabled/>
                  <w:calcOnExit w:val="0"/>
                  <w:checkBox>
                    <w:sizeAuto/>
                    <w:default w:val="1"/>
                  </w:checkBox>
                </w:ffData>
              </w:fldChar>
            </w:r>
            <w:r w:rsidRPr="00D86D37">
              <w:rPr>
                <w:rFonts w:ascii="Arial Narrow" w:hAnsi="Arial Narrow" w:cs="Arial"/>
                <w:sz w:val="20"/>
                <w:szCs w:val="20"/>
              </w:rPr>
              <w:instrText xml:space="preserve"> FORMCHECKBOX </w:instrText>
            </w:r>
            <w:r w:rsidR="0042063E">
              <w:rPr>
                <w:rFonts w:ascii="Arial Narrow" w:hAnsi="Arial Narrow" w:cs="Arial"/>
                <w:sz w:val="20"/>
                <w:szCs w:val="20"/>
              </w:rPr>
            </w:r>
            <w:r w:rsidR="0042063E">
              <w:rPr>
                <w:rFonts w:ascii="Arial Narrow" w:hAnsi="Arial Narrow" w:cs="Arial"/>
                <w:sz w:val="20"/>
                <w:szCs w:val="20"/>
              </w:rPr>
              <w:fldChar w:fldCharType="separate"/>
            </w:r>
            <w:r w:rsidRPr="00D86D37">
              <w:rPr>
                <w:rFonts w:ascii="Arial Narrow" w:hAnsi="Arial Narrow" w:cs="Arial"/>
                <w:sz w:val="20"/>
                <w:szCs w:val="20"/>
              </w:rPr>
              <w:fldChar w:fldCharType="end"/>
            </w:r>
            <w:r w:rsidRPr="00D86D37">
              <w:rPr>
                <w:rFonts w:ascii="Arial Narrow" w:hAnsi="Arial Narrow" w:cs="Arial"/>
                <w:sz w:val="20"/>
                <w:szCs w:val="20"/>
              </w:rPr>
              <w:t xml:space="preserve">Medical Practitioners </w:t>
            </w:r>
            <w:r w:rsidRPr="00D86D37">
              <w:rPr>
                <w:rFonts w:ascii="Arial Narrow" w:hAnsi="Arial Narrow" w:cs="Arial"/>
                <w:sz w:val="20"/>
                <w:szCs w:val="20"/>
              </w:rPr>
              <w:fldChar w:fldCharType="begin">
                <w:ffData>
                  <w:name w:val=""/>
                  <w:enabled/>
                  <w:calcOnExit w:val="0"/>
                  <w:checkBox>
                    <w:sizeAuto/>
                    <w:default w:val="1"/>
                  </w:checkBox>
                </w:ffData>
              </w:fldChar>
            </w:r>
            <w:r w:rsidRPr="00D86D37">
              <w:rPr>
                <w:rFonts w:ascii="Arial Narrow" w:hAnsi="Arial Narrow" w:cs="Arial"/>
                <w:sz w:val="20"/>
                <w:szCs w:val="20"/>
              </w:rPr>
              <w:instrText xml:space="preserve"> FORMCHECKBOX </w:instrText>
            </w:r>
            <w:r w:rsidR="0042063E">
              <w:rPr>
                <w:rFonts w:ascii="Arial Narrow" w:hAnsi="Arial Narrow" w:cs="Arial"/>
                <w:sz w:val="20"/>
                <w:szCs w:val="20"/>
              </w:rPr>
            </w:r>
            <w:r w:rsidR="0042063E">
              <w:rPr>
                <w:rFonts w:ascii="Arial Narrow" w:hAnsi="Arial Narrow" w:cs="Arial"/>
                <w:sz w:val="20"/>
                <w:szCs w:val="20"/>
              </w:rPr>
              <w:fldChar w:fldCharType="separate"/>
            </w:r>
            <w:r w:rsidRPr="00D86D37">
              <w:rPr>
                <w:rFonts w:ascii="Arial Narrow" w:hAnsi="Arial Narrow" w:cs="Arial"/>
                <w:sz w:val="20"/>
                <w:szCs w:val="20"/>
              </w:rPr>
              <w:fldChar w:fldCharType="end"/>
            </w:r>
            <w:r w:rsidRPr="00D86D37">
              <w:rPr>
                <w:rFonts w:ascii="Arial Narrow" w:hAnsi="Arial Narrow" w:cs="Arial"/>
                <w:sz w:val="20"/>
                <w:szCs w:val="20"/>
              </w:rPr>
              <w:t xml:space="preserve">Nurse practitioners </w:t>
            </w:r>
          </w:p>
        </w:tc>
      </w:tr>
      <w:tr w:rsidR="00B75482" w:rsidRPr="00D56F94" w14:paraId="0DB06689" w14:textId="77777777" w:rsidTr="00E21D71">
        <w:tblPrEx>
          <w:tblCellMar>
            <w:top w:w="15" w:type="dxa"/>
            <w:bottom w:w="15" w:type="dxa"/>
          </w:tblCellMar>
          <w:tblLook w:val="04A0" w:firstRow="1" w:lastRow="0" w:firstColumn="1" w:lastColumn="0" w:noHBand="0" w:noVBand="1"/>
        </w:tblPrEx>
        <w:trPr>
          <w:trHeight w:val="20"/>
        </w:trPr>
        <w:tc>
          <w:tcPr>
            <w:tcW w:w="1271" w:type="dxa"/>
            <w:gridSpan w:val="2"/>
            <w:vMerge/>
            <w:tcBorders>
              <w:left w:val="single" w:sz="4" w:space="0" w:color="auto"/>
              <w:bottom w:val="single" w:sz="4" w:space="0" w:color="auto"/>
              <w:right w:val="single" w:sz="4" w:space="0" w:color="auto"/>
            </w:tcBorders>
          </w:tcPr>
          <w:p w14:paraId="3D588CE9" w14:textId="77777777" w:rsidR="00B75482" w:rsidRPr="001428E9" w:rsidRDefault="00B75482" w:rsidP="00800A41">
            <w:pPr>
              <w:keepNext/>
              <w:rPr>
                <w:rFonts w:ascii="Arial Narrow" w:hAnsi="Arial Narrow" w:cs="Arial"/>
                <w:sz w:val="20"/>
                <w:szCs w:val="20"/>
              </w:rPr>
            </w:pPr>
          </w:p>
        </w:tc>
        <w:tc>
          <w:tcPr>
            <w:tcW w:w="7745" w:type="dxa"/>
            <w:gridSpan w:val="6"/>
            <w:tcBorders>
              <w:top w:val="single" w:sz="4" w:space="0" w:color="auto"/>
              <w:left w:val="single" w:sz="4" w:space="0" w:color="auto"/>
              <w:bottom w:val="single" w:sz="4" w:space="0" w:color="auto"/>
              <w:right w:val="single" w:sz="4" w:space="0" w:color="auto"/>
            </w:tcBorders>
            <w:vAlign w:val="center"/>
          </w:tcPr>
          <w:p w14:paraId="09228E0E" w14:textId="77777777" w:rsidR="00B75482" w:rsidRPr="00D86D37" w:rsidRDefault="00B75482" w:rsidP="00800A41">
            <w:pPr>
              <w:keepNext/>
              <w:keepLines/>
              <w:rPr>
                <w:rFonts w:ascii="Arial Narrow" w:hAnsi="Arial Narrow" w:cs="Arial"/>
                <w:b/>
                <w:sz w:val="20"/>
                <w:szCs w:val="20"/>
              </w:rPr>
            </w:pPr>
            <w:r w:rsidRPr="00D86D37">
              <w:rPr>
                <w:rFonts w:ascii="Arial Narrow" w:hAnsi="Arial Narrow" w:cs="Arial"/>
                <w:b/>
                <w:sz w:val="20"/>
                <w:szCs w:val="20"/>
              </w:rPr>
              <w:t xml:space="preserve">Restriction type: </w:t>
            </w:r>
            <w:r w:rsidRPr="00D86D37">
              <w:rPr>
                <w:rFonts w:ascii="Arial Narrow" w:eastAsia="Calibri" w:hAnsi="Arial Narrow" w:cs="Arial"/>
                <w:sz w:val="20"/>
                <w:szCs w:val="20"/>
              </w:rPr>
              <w:fldChar w:fldCharType="begin">
                <w:ffData>
                  <w:name w:val=""/>
                  <w:enabled/>
                  <w:calcOnExit w:val="0"/>
                  <w:checkBox>
                    <w:sizeAuto/>
                    <w:default w:val="1"/>
                  </w:checkBox>
                </w:ffData>
              </w:fldChar>
            </w:r>
            <w:r w:rsidRPr="00D86D37">
              <w:rPr>
                <w:rFonts w:ascii="Arial Narrow" w:eastAsia="Calibri" w:hAnsi="Arial Narrow" w:cs="Arial"/>
                <w:sz w:val="20"/>
                <w:szCs w:val="20"/>
              </w:rPr>
              <w:instrText xml:space="preserve"> FORMCHECKBOX </w:instrText>
            </w:r>
            <w:r w:rsidR="0042063E">
              <w:rPr>
                <w:rFonts w:ascii="Arial Narrow" w:eastAsia="Calibri" w:hAnsi="Arial Narrow" w:cs="Arial"/>
                <w:sz w:val="20"/>
                <w:szCs w:val="20"/>
              </w:rPr>
            </w:r>
            <w:r w:rsidR="0042063E">
              <w:rPr>
                <w:rFonts w:ascii="Arial Narrow" w:eastAsia="Calibri" w:hAnsi="Arial Narrow" w:cs="Arial"/>
                <w:sz w:val="20"/>
                <w:szCs w:val="20"/>
              </w:rPr>
              <w:fldChar w:fldCharType="separate"/>
            </w:r>
            <w:r w:rsidRPr="00D86D37">
              <w:rPr>
                <w:rFonts w:ascii="Arial Narrow" w:eastAsia="Calibri" w:hAnsi="Arial Narrow" w:cs="Arial"/>
                <w:sz w:val="20"/>
                <w:szCs w:val="20"/>
              </w:rPr>
              <w:fldChar w:fldCharType="end"/>
            </w:r>
            <w:r w:rsidRPr="00D86D37">
              <w:rPr>
                <w:rFonts w:ascii="Arial Narrow" w:eastAsia="Calibri" w:hAnsi="Arial Narrow" w:cs="Arial"/>
                <w:sz w:val="20"/>
                <w:szCs w:val="20"/>
              </w:rPr>
              <w:t xml:space="preserve">Authority Required (Streamlined) </w:t>
            </w:r>
          </w:p>
        </w:tc>
      </w:tr>
      <w:tr w:rsidR="00B75482" w:rsidRPr="001428E9" w14:paraId="4D5DD058" w14:textId="77777777" w:rsidTr="00E21D71">
        <w:tblPrEx>
          <w:tblCellMar>
            <w:top w:w="15" w:type="dxa"/>
            <w:bottom w:w="15" w:type="dxa"/>
          </w:tblCellMar>
        </w:tblPrEx>
        <w:trPr>
          <w:trHeight w:val="20"/>
        </w:trPr>
        <w:tc>
          <w:tcPr>
            <w:tcW w:w="421" w:type="dxa"/>
            <w:vMerge w:val="restart"/>
            <w:tcBorders>
              <w:left w:val="single" w:sz="4" w:space="0" w:color="auto"/>
              <w:right w:val="single" w:sz="4" w:space="0" w:color="auto"/>
            </w:tcBorders>
            <w:textDirection w:val="btLr"/>
            <w:vAlign w:val="center"/>
          </w:tcPr>
          <w:p w14:paraId="435A5921" w14:textId="77777777" w:rsidR="00B75482" w:rsidRPr="001428E9" w:rsidRDefault="00B75482" w:rsidP="00800A41">
            <w:pPr>
              <w:keepNext/>
              <w:jc w:val="center"/>
              <w:rPr>
                <w:rFonts w:ascii="Arial Narrow" w:hAnsi="Arial Narrow" w:cs="Arial"/>
                <w:sz w:val="20"/>
                <w:szCs w:val="20"/>
              </w:rPr>
            </w:pPr>
            <w:r w:rsidRPr="001428E9">
              <w:rPr>
                <w:rFonts w:ascii="Arial Narrow" w:hAnsi="Arial Narrow" w:cs="Arial"/>
                <w:sz w:val="20"/>
                <w:szCs w:val="20"/>
              </w:rPr>
              <w:t>Prescribing rule level</w:t>
            </w:r>
          </w:p>
        </w:tc>
        <w:tc>
          <w:tcPr>
            <w:tcW w:w="850" w:type="dxa"/>
            <w:vAlign w:val="center"/>
          </w:tcPr>
          <w:p w14:paraId="7C1A2C23" w14:textId="67FA7115" w:rsidR="00B75482" w:rsidRPr="001428E9" w:rsidRDefault="00B75482" w:rsidP="00800A41">
            <w:pPr>
              <w:keepNext/>
              <w:jc w:val="center"/>
              <w:rPr>
                <w:rFonts w:ascii="Arial Narrow" w:hAnsi="Arial Narrow"/>
                <w:color w:val="333333"/>
                <w:sz w:val="20"/>
                <w:szCs w:val="20"/>
              </w:rPr>
            </w:pPr>
          </w:p>
        </w:tc>
        <w:tc>
          <w:tcPr>
            <w:tcW w:w="7745" w:type="dxa"/>
            <w:gridSpan w:val="6"/>
            <w:vAlign w:val="center"/>
          </w:tcPr>
          <w:p w14:paraId="131C432A" w14:textId="77777777" w:rsidR="00B75482" w:rsidRPr="00D86D37" w:rsidRDefault="00B75482" w:rsidP="00800A41">
            <w:pPr>
              <w:keepNext/>
              <w:rPr>
                <w:rFonts w:ascii="Arial Narrow" w:hAnsi="Arial Narrow"/>
                <w:sz w:val="20"/>
                <w:szCs w:val="20"/>
              </w:rPr>
            </w:pPr>
            <w:r w:rsidRPr="00D86D37">
              <w:rPr>
                <w:rFonts w:ascii="Arial Narrow" w:hAnsi="Arial Narrow"/>
                <w:b/>
                <w:bCs/>
                <w:sz w:val="20"/>
                <w:szCs w:val="20"/>
              </w:rPr>
              <w:t>Administrative Advice:</w:t>
            </w:r>
          </w:p>
          <w:p w14:paraId="1D17AE3B" w14:textId="6B81D012" w:rsidR="00B75482" w:rsidRPr="00D86D37" w:rsidRDefault="00B75482" w:rsidP="00800A41">
            <w:pPr>
              <w:keepNext/>
              <w:rPr>
                <w:rFonts w:ascii="Arial Narrow" w:hAnsi="Arial Narrow"/>
                <w:sz w:val="20"/>
                <w:szCs w:val="20"/>
              </w:rPr>
            </w:pPr>
            <w:r w:rsidRPr="00D86D37">
              <w:rPr>
                <w:rFonts w:ascii="Arial Narrow" w:hAnsi="Arial Narrow"/>
                <w:sz w:val="20"/>
                <w:szCs w:val="20"/>
              </w:rPr>
              <w:t>Continuing Therapy Only:</w:t>
            </w:r>
          </w:p>
          <w:p w14:paraId="3083DA63" w14:textId="77777777" w:rsidR="00B75482" w:rsidRPr="00D86D37" w:rsidRDefault="00B75482" w:rsidP="00800A41">
            <w:pPr>
              <w:keepNext/>
              <w:rPr>
                <w:rFonts w:ascii="Arial Narrow" w:hAnsi="Arial Narrow"/>
                <w:sz w:val="20"/>
                <w:szCs w:val="20"/>
              </w:rPr>
            </w:pPr>
            <w:r w:rsidRPr="00D86D37">
              <w:rPr>
                <w:rFonts w:ascii="Arial Narrow" w:hAnsi="Arial Narrow"/>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B75482" w:rsidRPr="001428E9" w14:paraId="520A63AA" w14:textId="77777777" w:rsidTr="00E21D71">
        <w:tblPrEx>
          <w:tblCellMar>
            <w:top w:w="15" w:type="dxa"/>
            <w:bottom w:w="15" w:type="dxa"/>
          </w:tblCellMar>
        </w:tblPrEx>
        <w:trPr>
          <w:trHeight w:val="20"/>
        </w:trPr>
        <w:tc>
          <w:tcPr>
            <w:tcW w:w="421" w:type="dxa"/>
            <w:vMerge/>
            <w:tcBorders>
              <w:left w:val="single" w:sz="4" w:space="0" w:color="auto"/>
              <w:right w:val="single" w:sz="4" w:space="0" w:color="auto"/>
            </w:tcBorders>
          </w:tcPr>
          <w:p w14:paraId="230EABA5" w14:textId="77777777" w:rsidR="00B75482" w:rsidRPr="001428E9" w:rsidRDefault="00B75482" w:rsidP="00E63662">
            <w:pPr>
              <w:rPr>
                <w:rFonts w:ascii="Arial Narrow" w:hAnsi="Arial Narrow" w:cs="Arial"/>
                <w:sz w:val="20"/>
                <w:szCs w:val="20"/>
              </w:rPr>
            </w:pPr>
          </w:p>
        </w:tc>
        <w:tc>
          <w:tcPr>
            <w:tcW w:w="850" w:type="dxa"/>
            <w:vAlign w:val="center"/>
          </w:tcPr>
          <w:p w14:paraId="04DB8D18" w14:textId="0DD11876" w:rsidR="00B75482" w:rsidRPr="001428E9" w:rsidRDefault="00B75482" w:rsidP="00E63662">
            <w:pPr>
              <w:rPr>
                <w:rFonts w:ascii="Arial Narrow" w:hAnsi="Arial Narrow"/>
                <w:color w:val="333333"/>
                <w:sz w:val="20"/>
                <w:szCs w:val="20"/>
              </w:rPr>
            </w:pPr>
          </w:p>
        </w:tc>
        <w:tc>
          <w:tcPr>
            <w:tcW w:w="7745" w:type="dxa"/>
            <w:gridSpan w:val="6"/>
            <w:vAlign w:val="center"/>
          </w:tcPr>
          <w:p w14:paraId="75C09560" w14:textId="77777777" w:rsidR="00B75482" w:rsidRPr="00D86D37" w:rsidRDefault="00B75482" w:rsidP="00E63662">
            <w:pPr>
              <w:rPr>
                <w:rFonts w:ascii="Arial Narrow" w:hAnsi="Arial Narrow"/>
                <w:b/>
                <w:bCs/>
                <w:sz w:val="20"/>
                <w:szCs w:val="20"/>
              </w:rPr>
            </w:pPr>
            <w:r w:rsidRPr="00D86D37">
              <w:rPr>
                <w:rFonts w:ascii="Arial Narrow" w:hAnsi="Arial Narrow"/>
                <w:b/>
                <w:bCs/>
                <w:sz w:val="20"/>
                <w:szCs w:val="20"/>
              </w:rPr>
              <w:t>Administrative Advice:</w:t>
            </w:r>
          </w:p>
          <w:p w14:paraId="782F84E6" w14:textId="77777777" w:rsidR="00B75482" w:rsidRPr="00D86D37" w:rsidRDefault="00B75482" w:rsidP="00E63662">
            <w:pPr>
              <w:rPr>
                <w:rFonts w:ascii="Arial Narrow" w:hAnsi="Arial Narrow"/>
                <w:sz w:val="20"/>
                <w:szCs w:val="20"/>
              </w:rPr>
            </w:pPr>
            <w:r w:rsidRPr="00D86D37">
              <w:rPr>
                <w:rFonts w:ascii="Arial Narrow" w:hAnsi="Arial Narrow"/>
                <w:sz w:val="20"/>
                <w:szCs w:val="20"/>
              </w:rPr>
              <w:t>Not for use in the treatment of sclerosing cholangitis or cholelithiasis.</w:t>
            </w:r>
          </w:p>
        </w:tc>
      </w:tr>
      <w:tr w:rsidR="00B75482" w:rsidRPr="001428E9" w14:paraId="078B7A89" w14:textId="77777777" w:rsidTr="00E63662">
        <w:tblPrEx>
          <w:tblCellMar>
            <w:top w:w="15" w:type="dxa"/>
            <w:bottom w:w="15" w:type="dxa"/>
          </w:tblCellMar>
          <w:tblLook w:val="04A0" w:firstRow="1" w:lastRow="0" w:firstColumn="1" w:lastColumn="0" w:noHBand="0" w:noVBand="1"/>
        </w:tblPrEx>
        <w:trPr>
          <w:cantSplit/>
          <w:trHeight w:val="20"/>
        </w:trPr>
        <w:tc>
          <w:tcPr>
            <w:tcW w:w="1271" w:type="dxa"/>
            <w:gridSpan w:val="2"/>
            <w:vAlign w:val="center"/>
          </w:tcPr>
          <w:p w14:paraId="739E5130" w14:textId="29A41493" w:rsidR="00B75482" w:rsidRPr="001428E9" w:rsidRDefault="00B75482" w:rsidP="00E63662">
            <w:pPr>
              <w:jc w:val="center"/>
              <w:rPr>
                <w:rFonts w:ascii="Arial Narrow" w:hAnsi="Arial Narrow"/>
                <w:color w:val="333333"/>
                <w:sz w:val="20"/>
                <w:szCs w:val="20"/>
              </w:rPr>
            </w:pPr>
          </w:p>
        </w:tc>
        <w:tc>
          <w:tcPr>
            <w:tcW w:w="7745" w:type="dxa"/>
            <w:gridSpan w:val="6"/>
            <w:vAlign w:val="center"/>
            <w:hideMark/>
          </w:tcPr>
          <w:p w14:paraId="1B9D95E0" w14:textId="77777777" w:rsidR="00B75482" w:rsidRPr="00D86D37" w:rsidRDefault="00B75482" w:rsidP="00E63662">
            <w:pPr>
              <w:keepLines/>
              <w:rPr>
                <w:rFonts w:ascii="Arial Narrow" w:hAnsi="Arial Narrow"/>
                <w:sz w:val="20"/>
                <w:szCs w:val="20"/>
              </w:rPr>
            </w:pPr>
            <w:r w:rsidRPr="00D86D37">
              <w:rPr>
                <w:rFonts w:ascii="Arial Narrow" w:hAnsi="Arial Narrow"/>
                <w:b/>
                <w:bCs/>
                <w:sz w:val="20"/>
                <w:szCs w:val="20"/>
              </w:rPr>
              <w:t>Indication:</w:t>
            </w:r>
            <w:r w:rsidRPr="00D86D37">
              <w:rPr>
                <w:rFonts w:ascii="Arial Narrow" w:hAnsi="Arial Narrow"/>
                <w:sz w:val="20"/>
                <w:szCs w:val="20"/>
              </w:rPr>
              <w:t xml:space="preserve"> Primary biliary cholangitis (previously known as Primary biliary cirrhosis)</w:t>
            </w:r>
          </w:p>
        </w:tc>
      </w:tr>
    </w:tbl>
    <w:p w14:paraId="76208363" w14:textId="585D6D2A" w:rsidR="00FD1E9F" w:rsidRDefault="00FD1E9F" w:rsidP="00E63662">
      <w:pPr>
        <w:widowControl w:val="0"/>
        <w:rPr>
          <w:rFonts w:asciiTheme="minorHAnsi" w:hAnsiTheme="minorHAnsi" w:cs="Arial"/>
          <w:bCs/>
          <w:snapToGrid w:val="0"/>
        </w:rPr>
      </w:pPr>
    </w:p>
    <w:p w14:paraId="55B5185E" w14:textId="338A5FB5" w:rsidR="00127F16" w:rsidRDefault="00FC7793" w:rsidP="00E63662">
      <w:pPr>
        <w:widowControl w:val="0"/>
        <w:rPr>
          <w:b/>
          <w:bCs/>
          <w:i/>
          <w:iCs/>
        </w:rPr>
      </w:pPr>
      <w:r w:rsidRPr="00FC7793">
        <w:rPr>
          <w:b/>
          <w:bCs/>
          <w:i/>
          <w:iCs/>
        </w:rPr>
        <w:t>These restrictions may be subject to further review. Should there be any changes made to the restriction the sponsor will be informed.</w:t>
      </w:r>
    </w:p>
    <w:p w14:paraId="66AED8AD" w14:textId="70F12AFB" w:rsidR="00E63662" w:rsidRPr="00E63662" w:rsidRDefault="00E63662" w:rsidP="00E63662">
      <w:pPr>
        <w:pStyle w:val="2-SectionHeading"/>
        <w:keepNext w:val="0"/>
        <w:jc w:val="both"/>
      </w:pPr>
      <w:r w:rsidRPr="00C07617">
        <w:lastRenderedPageBreak/>
        <w:t>Context for Decision</w:t>
      </w:r>
    </w:p>
    <w:p w14:paraId="5CBB4EF2" w14:textId="0D513FED" w:rsidR="00E63662" w:rsidRPr="007129F2" w:rsidRDefault="00E63662" w:rsidP="00E63662">
      <w:pPr>
        <w:spacing w:after="120"/>
        <w:ind w:left="720"/>
        <w:rPr>
          <w:rFonts w:asciiTheme="minorHAnsi" w:hAnsiTheme="minorHAnsi" w:cs="Arial"/>
          <w:bCs/>
          <w:lang w:val="en-GB"/>
        </w:rPr>
      </w:pPr>
      <w:r w:rsidRPr="007129F2">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8D07B8C" w14:textId="434785F8" w:rsidR="00E63662" w:rsidRPr="00E63662" w:rsidRDefault="00E63662" w:rsidP="00E63662">
      <w:pPr>
        <w:pStyle w:val="2-SectionHeading"/>
        <w:jc w:val="both"/>
      </w:pPr>
      <w:r>
        <w:t>Sponsor’s Comment</w:t>
      </w:r>
    </w:p>
    <w:p w14:paraId="5E867121" w14:textId="5D493827" w:rsidR="00E63662" w:rsidRPr="00FE768F" w:rsidRDefault="009465CB" w:rsidP="00BB77AF">
      <w:pPr>
        <w:keepNext/>
        <w:widowControl w:val="0"/>
        <w:ind w:left="720"/>
        <w:rPr>
          <w:rFonts w:asciiTheme="minorHAnsi" w:hAnsiTheme="minorHAnsi" w:cs="Arial"/>
          <w:b/>
          <w:bCs/>
          <w:i/>
          <w:iCs/>
          <w:snapToGrid w:val="0"/>
        </w:rPr>
      </w:pPr>
      <w:r w:rsidRPr="009465CB">
        <w:rPr>
          <w:rFonts w:asciiTheme="minorHAnsi" w:hAnsiTheme="minorHAnsi" w:cs="Arial"/>
          <w:bCs/>
          <w:lang w:val="en-GB"/>
        </w:rPr>
        <w:t>The sponsor welcomes the positive recommendation for this prescribing change and the benefit it provides to patients and prescribing clinicians.</w:t>
      </w:r>
    </w:p>
    <w:sectPr w:rsidR="00E63662" w:rsidRPr="00FE768F"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96C5A" w14:textId="77777777" w:rsidR="002B4C2A" w:rsidRDefault="002B4C2A">
      <w:r>
        <w:separator/>
      </w:r>
    </w:p>
    <w:p w14:paraId="15DE832D" w14:textId="77777777" w:rsidR="002B4C2A" w:rsidRDefault="002B4C2A"/>
  </w:endnote>
  <w:endnote w:type="continuationSeparator" w:id="0">
    <w:p w14:paraId="0698F3DC" w14:textId="77777777" w:rsidR="002B4C2A" w:rsidRDefault="002B4C2A">
      <w:r>
        <w:continuationSeparator/>
      </w:r>
    </w:p>
    <w:p w14:paraId="34CFE6B6" w14:textId="77777777" w:rsidR="002B4C2A" w:rsidRDefault="002B4C2A"/>
  </w:endnote>
  <w:endnote w:type="continuationNotice" w:id="1">
    <w:p w14:paraId="7840A603" w14:textId="77777777" w:rsidR="002B4C2A" w:rsidRDefault="002B4C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A0C56" w14:textId="77777777" w:rsidR="009C26AA" w:rsidRPr="00D429EC" w:rsidRDefault="009C26AA" w:rsidP="00C56D78">
    <w:pPr>
      <w:pStyle w:val="PBACFooter"/>
      <w:jc w:val="both"/>
      <w:rPr>
        <w:rFonts w:asciiTheme="minorHAnsi" w:hAnsiTheme="minorHAnsi" w:cstheme="minorHAnsi"/>
        <w:sz w:val="24"/>
      </w:rPr>
    </w:pPr>
  </w:p>
  <w:p w14:paraId="355827FE" w14:textId="55BFDF8F" w:rsidR="009C26AA" w:rsidRPr="00B47DFF" w:rsidRDefault="00401640" w:rsidP="00C56D78">
    <w:pPr>
      <w:pStyle w:val="MinorOVRHeader"/>
      <w:jc w:val="center"/>
      <w:rPr>
        <w:b/>
        <w:bCs/>
      </w:rPr>
    </w:pPr>
    <w:r w:rsidRPr="00B47DFF">
      <w:rPr>
        <w:b/>
        <w:bCs/>
      </w:rPr>
      <w:fldChar w:fldCharType="begin"/>
    </w:r>
    <w:r w:rsidRPr="00B47DFF">
      <w:rPr>
        <w:b/>
        <w:bCs/>
      </w:rPr>
      <w:instrText xml:space="preserve"> PAGE   \* MERGEFORMAT </w:instrText>
    </w:r>
    <w:r w:rsidRPr="00B47DFF">
      <w:rPr>
        <w:b/>
        <w:bCs/>
      </w:rPr>
      <w:fldChar w:fldCharType="separate"/>
    </w:r>
    <w:r w:rsidRPr="00B47DFF">
      <w:rPr>
        <w:b/>
        <w:bCs/>
      </w:rPr>
      <w:t>1</w:t>
    </w:r>
    <w:r w:rsidRPr="00B47DFF">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Look w:val="04A0" w:firstRow="1" w:lastRow="0" w:firstColumn="1" w:lastColumn="0" w:noHBand="0" w:noVBand="1"/>
    </w:tblPr>
    <w:tblGrid>
      <w:gridCol w:w="3882"/>
      <w:gridCol w:w="1252"/>
      <w:gridCol w:w="3882"/>
    </w:tblGrid>
    <w:tr w:rsidR="009C26AA" w14:paraId="1B1A9BFB" w14:textId="77777777" w:rsidTr="00A91F37">
      <w:trPr>
        <w:trHeight w:val="151"/>
      </w:trPr>
      <w:tc>
        <w:tcPr>
          <w:tcW w:w="2153" w:type="pct"/>
        </w:tcPr>
        <w:p w14:paraId="1AEC0F9B" w14:textId="77777777" w:rsidR="009C26AA" w:rsidRPr="005A3173" w:rsidRDefault="009C26AA" w:rsidP="005A3173">
          <w:pPr>
            <w:pStyle w:val="Header"/>
            <w:spacing w:line="276" w:lineRule="auto"/>
            <w:rPr>
              <w:rFonts w:eastAsia="MS Gothic"/>
              <w:b/>
              <w:bCs/>
              <w:color w:val="4F81BD"/>
            </w:rPr>
          </w:pPr>
        </w:p>
      </w:tc>
      <w:tc>
        <w:tcPr>
          <w:tcW w:w="694" w:type="pct"/>
          <w:vMerge w:val="restart"/>
          <w:noWrap/>
          <w:hideMark/>
        </w:tcPr>
        <w:p w14:paraId="6D1F795C"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153" w:type="pct"/>
        </w:tcPr>
        <w:p w14:paraId="6B7FA645" w14:textId="77777777" w:rsidR="009C26AA" w:rsidRPr="005A3173" w:rsidRDefault="009C26AA" w:rsidP="005A3173">
          <w:pPr>
            <w:pStyle w:val="Header"/>
            <w:spacing w:line="276" w:lineRule="auto"/>
            <w:rPr>
              <w:rFonts w:eastAsia="MS Gothic"/>
              <w:b/>
              <w:bCs/>
              <w:color w:val="4F81BD"/>
            </w:rPr>
          </w:pPr>
        </w:p>
      </w:tc>
    </w:tr>
    <w:tr w:rsidR="009C26AA" w14:paraId="0A17FD7B" w14:textId="77777777" w:rsidTr="00A91F37">
      <w:trPr>
        <w:trHeight w:val="150"/>
      </w:trPr>
      <w:tc>
        <w:tcPr>
          <w:tcW w:w="2153" w:type="pct"/>
        </w:tcPr>
        <w:p w14:paraId="66DEA9D9" w14:textId="77777777" w:rsidR="009C26AA" w:rsidRPr="005A3173" w:rsidRDefault="009C26AA" w:rsidP="005A3173">
          <w:pPr>
            <w:pStyle w:val="Header"/>
            <w:spacing w:line="276" w:lineRule="auto"/>
            <w:rPr>
              <w:rFonts w:eastAsia="MS Gothic"/>
              <w:b/>
              <w:bCs/>
              <w:color w:val="4F81BD"/>
            </w:rPr>
          </w:pPr>
        </w:p>
      </w:tc>
      <w:tc>
        <w:tcPr>
          <w:tcW w:w="0" w:type="auto"/>
          <w:vMerge/>
          <w:hideMark/>
        </w:tcPr>
        <w:p w14:paraId="0726D67B" w14:textId="77777777" w:rsidR="009C26AA" w:rsidRPr="005A3173" w:rsidRDefault="009C26AA" w:rsidP="005A3173">
          <w:pPr>
            <w:rPr>
              <w:color w:val="365F91"/>
              <w:sz w:val="22"/>
              <w:szCs w:val="22"/>
            </w:rPr>
          </w:pPr>
        </w:p>
      </w:tc>
      <w:tc>
        <w:tcPr>
          <w:tcW w:w="2153" w:type="pct"/>
        </w:tcPr>
        <w:p w14:paraId="77FEEEB1" w14:textId="77777777" w:rsidR="009C26AA" w:rsidRPr="005A3173" w:rsidRDefault="009C26AA" w:rsidP="005A3173">
          <w:pPr>
            <w:pStyle w:val="Header"/>
            <w:spacing w:line="276" w:lineRule="auto"/>
            <w:rPr>
              <w:rFonts w:eastAsia="MS Gothic"/>
              <w:b/>
              <w:bCs/>
              <w:color w:val="4F81BD"/>
            </w:rPr>
          </w:pPr>
        </w:p>
      </w:tc>
    </w:tr>
  </w:tbl>
  <w:p w14:paraId="679BDCC0" w14:textId="77777777" w:rsidR="009C26AA" w:rsidRPr="007C0F57" w:rsidRDefault="009C26AA"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617093FB" w14:textId="77777777" w:rsidR="009C26AA" w:rsidRPr="007C0F57" w:rsidRDefault="009C26AA" w:rsidP="007C0F57">
    <w:pPr>
      <w:pStyle w:val="Footer"/>
      <w:jc w:val="center"/>
      <w:rPr>
        <w:b/>
        <w:i/>
        <w:sz w:val="20"/>
        <w:szCs w:val="20"/>
      </w:rPr>
    </w:pPr>
    <w:r w:rsidRPr="007C0F57">
      <w:rPr>
        <w:b/>
        <w:i/>
        <w:sz w:val="20"/>
        <w:szCs w:val="20"/>
      </w:rPr>
      <w:t>Commercial-in-Confidence</w:t>
    </w:r>
  </w:p>
  <w:p w14:paraId="36E9E30B" w14:textId="77777777" w:rsidR="009C26AA" w:rsidRDefault="009C2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D0D1F" w14:textId="77777777" w:rsidR="002B4C2A" w:rsidRDefault="002B4C2A">
      <w:r>
        <w:separator/>
      </w:r>
    </w:p>
    <w:p w14:paraId="4E8D315B" w14:textId="77777777" w:rsidR="002B4C2A" w:rsidRDefault="002B4C2A"/>
  </w:footnote>
  <w:footnote w:type="continuationSeparator" w:id="0">
    <w:p w14:paraId="5DC59120" w14:textId="77777777" w:rsidR="002B4C2A" w:rsidRDefault="002B4C2A">
      <w:r>
        <w:continuationSeparator/>
      </w:r>
    </w:p>
    <w:p w14:paraId="7F5D71DB" w14:textId="77777777" w:rsidR="002B4C2A" w:rsidRDefault="002B4C2A"/>
  </w:footnote>
  <w:footnote w:type="continuationNotice" w:id="1">
    <w:p w14:paraId="13047793" w14:textId="77777777" w:rsidR="002B4C2A" w:rsidRDefault="002B4C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67CED" w14:textId="0868C354" w:rsidR="00211508" w:rsidRPr="00056684" w:rsidRDefault="00E63662" w:rsidP="00211508">
    <w:pPr>
      <w:pStyle w:val="Header"/>
      <w:ind w:left="360"/>
      <w:rPr>
        <w:rFonts w:asciiTheme="minorHAnsi" w:hAnsiTheme="minorHAnsi" w:cs="Arial"/>
        <w:i/>
        <w:color w:val="808080"/>
      </w:rPr>
    </w:pPr>
    <w:bookmarkStart w:id="13" w:name="_Hlk76375146"/>
    <w:r>
      <w:rPr>
        <w:rFonts w:asciiTheme="minorHAnsi" w:hAnsiTheme="minorHAnsi" w:cs="Arial"/>
        <w:i/>
        <w:color w:val="808080"/>
      </w:rPr>
      <w:t>Public Summary Document</w:t>
    </w:r>
    <w:r w:rsidR="00211508" w:rsidRPr="00056684">
      <w:rPr>
        <w:rFonts w:asciiTheme="minorHAnsi" w:hAnsiTheme="minorHAnsi" w:cs="Arial"/>
        <w:i/>
        <w:color w:val="808080"/>
      </w:rPr>
      <w:t xml:space="preserve"> – </w:t>
    </w:r>
    <w:r w:rsidR="00211508">
      <w:rPr>
        <w:rFonts w:asciiTheme="minorHAnsi" w:hAnsiTheme="minorHAnsi" w:cs="Arial"/>
        <w:i/>
        <w:color w:val="808080"/>
      </w:rPr>
      <w:t>March 202</w:t>
    </w:r>
    <w:r w:rsidR="00FC7793">
      <w:rPr>
        <w:rFonts w:asciiTheme="minorHAnsi" w:hAnsiTheme="minorHAnsi" w:cs="Arial"/>
        <w:i/>
        <w:color w:val="808080"/>
      </w:rPr>
      <w:t>3</w:t>
    </w:r>
    <w:r w:rsidR="00211508" w:rsidRPr="00056684">
      <w:rPr>
        <w:rFonts w:asciiTheme="minorHAnsi" w:hAnsiTheme="minorHAnsi" w:cs="Arial"/>
        <w:i/>
        <w:color w:val="808080"/>
      </w:rPr>
      <w:t xml:space="preserve"> PBAC Meeting</w:t>
    </w:r>
  </w:p>
  <w:bookmarkEnd w:id="13"/>
  <w:p w14:paraId="49FC1F8C" w14:textId="77777777" w:rsidR="00C56D78" w:rsidRDefault="00C56D78"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7E116" w14:textId="77777777" w:rsidR="000D052D" w:rsidRDefault="000D05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DA418E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2" w15:restartNumberingAfterBreak="0">
    <w:nsid w:val="FFFFFF89"/>
    <w:multiLevelType w:val="hybridMultilevel"/>
    <w:tmpl w:val="98E4CF80"/>
    <w:lvl w:ilvl="0" w:tplc="DBD660D0">
      <w:start w:val="1"/>
      <w:numFmt w:val="bullet"/>
      <w:pStyle w:val="ListBullet"/>
      <w:lvlText w:val=""/>
      <w:lvlJc w:val="left"/>
      <w:pPr>
        <w:tabs>
          <w:tab w:val="num" w:pos="1440"/>
        </w:tabs>
        <w:ind w:left="144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3"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FD74B5"/>
    <w:multiLevelType w:val="multilevel"/>
    <w:tmpl w:val="3A26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8E073B"/>
    <w:multiLevelType w:val="hybridMultilevel"/>
    <w:tmpl w:val="33F213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71536BC"/>
    <w:multiLevelType w:val="hybridMultilevel"/>
    <w:tmpl w:val="207220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DA15CE"/>
    <w:multiLevelType w:val="hybridMultilevel"/>
    <w:tmpl w:val="815AC3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0D61D6"/>
    <w:multiLevelType w:val="hybridMultilevel"/>
    <w:tmpl w:val="4AC85F7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0346AD7"/>
    <w:multiLevelType w:val="hybridMultilevel"/>
    <w:tmpl w:val="26A04BE6"/>
    <w:lvl w:ilvl="0" w:tplc="A22E5F3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6244933"/>
    <w:multiLevelType w:val="hybridMultilevel"/>
    <w:tmpl w:val="BEC87E2E"/>
    <w:lvl w:ilvl="0" w:tplc="3F1ECEA6">
      <w:start w:val="1"/>
      <w:numFmt w:val="upperLetter"/>
      <w:lvlText w:val="%1."/>
      <w:lvlJc w:val="left"/>
      <w:pPr>
        <w:ind w:left="720" w:hanging="360"/>
      </w:p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4" w15:restartNumberingAfterBreak="0">
    <w:nsid w:val="39720272"/>
    <w:multiLevelType w:val="hybridMultilevel"/>
    <w:tmpl w:val="00BC7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C250C24"/>
    <w:multiLevelType w:val="hybridMultilevel"/>
    <w:tmpl w:val="2076A6CA"/>
    <w:lvl w:ilvl="0" w:tplc="0C090017">
      <w:start w:val="1"/>
      <w:numFmt w:val="lowerLetter"/>
      <w:lvlText w:val="%1)"/>
      <w:lvlJc w:val="left"/>
      <w:pPr>
        <w:ind w:left="720" w:hanging="360"/>
      </w:pPr>
    </w:lvl>
    <w:lvl w:ilvl="1" w:tplc="01F4545C">
      <w:start w:val="1"/>
      <w:numFmt w:val="lowerRoman"/>
      <w:lvlText w:val="%2)"/>
      <w:lvlJc w:val="left"/>
      <w:pPr>
        <w:ind w:left="1440" w:hanging="360"/>
      </w:pPr>
      <w:rPr>
        <w:rFonts w:asciiTheme="minorHAnsi" w:eastAsia="Times New Roman" w:hAnsiTheme="minorHAnsi" w:cs="Arial"/>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7"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8"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D1C328C"/>
    <w:multiLevelType w:val="hybridMultilevel"/>
    <w:tmpl w:val="C0A8802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71BD3BEF"/>
    <w:multiLevelType w:val="hybridMultilevel"/>
    <w:tmpl w:val="7C0690C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6" w15:restartNumberingAfterBreak="0">
    <w:nsid w:val="784D033C"/>
    <w:multiLevelType w:val="multilevel"/>
    <w:tmpl w:val="213AF02C"/>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7" w15:restartNumberingAfterBreak="0">
    <w:nsid w:val="79865800"/>
    <w:multiLevelType w:val="hybridMultilevel"/>
    <w:tmpl w:val="9CFCE8D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3"/>
  </w:num>
  <w:num w:numId="2">
    <w:abstractNumId w:val="26"/>
  </w:num>
  <w:num w:numId="3">
    <w:abstractNumId w:val="1"/>
  </w:num>
  <w:num w:numId="4">
    <w:abstractNumId w:val="20"/>
  </w:num>
  <w:num w:numId="5">
    <w:abstractNumId w:val="28"/>
  </w:num>
  <w:num w:numId="6">
    <w:abstractNumId w:val="24"/>
  </w:num>
  <w:num w:numId="7">
    <w:abstractNumId w:val="18"/>
  </w:num>
  <w:num w:numId="8">
    <w:abstractNumId w:val="16"/>
  </w:num>
  <w:num w:numId="9">
    <w:abstractNumId w:val="2"/>
  </w:num>
  <w:num w:numId="10">
    <w:abstractNumId w:val="26"/>
  </w:num>
  <w:num w:numId="11">
    <w:abstractNumId w:val="23"/>
  </w:num>
  <w:num w:numId="12">
    <w:abstractNumId w:val="25"/>
  </w:num>
  <w:num w:numId="13">
    <w:abstractNumId w:val="11"/>
  </w:num>
  <w:num w:numId="14">
    <w:abstractNumId w:val="9"/>
  </w:num>
  <w:num w:numId="15">
    <w:abstractNumId w:val="21"/>
  </w:num>
  <w:num w:numId="16">
    <w:abstractNumId w:val="3"/>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19"/>
  </w:num>
  <w:num w:numId="20">
    <w:abstractNumId w:val="7"/>
  </w:num>
  <w:num w:numId="21">
    <w:abstractNumId w:val="6"/>
  </w:num>
  <w:num w:numId="22">
    <w:abstractNumId w:val="17"/>
  </w:num>
  <w:num w:numId="23">
    <w:abstractNumId w:val="8"/>
  </w:num>
  <w:num w:numId="24">
    <w:abstractNumId w:val="5"/>
  </w:num>
  <w:num w:numId="25">
    <w:abstractNumId w:val="14"/>
  </w:num>
  <w:num w:numId="26">
    <w:abstractNumId w:val="26"/>
  </w:num>
  <w:num w:numId="27">
    <w:abstractNumId w:val="26"/>
  </w:num>
  <w:num w:numId="28">
    <w:abstractNumId w:val="26"/>
  </w:num>
  <w:num w:numId="29">
    <w:abstractNumId w:val="26"/>
  </w:num>
  <w:num w:numId="30">
    <w:abstractNumId w:val="0"/>
  </w:num>
  <w:num w:numId="31">
    <w:abstractNumId w:val="10"/>
  </w:num>
  <w:num w:numId="32">
    <w:abstractNumId w:val="26"/>
  </w:num>
  <w:num w:numId="33">
    <w:abstractNumId w:val="26"/>
  </w:num>
  <w:num w:numId="34">
    <w:abstractNumId w:val="26"/>
  </w:num>
  <w:num w:numId="35">
    <w:abstractNumId w:val="26"/>
    <w:lvlOverride w:ilvl="0">
      <w:startOverride w:val="4"/>
    </w:lvlOverride>
  </w:num>
  <w:num w:numId="36">
    <w:abstractNumId w:val="26"/>
    <w:lvlOverride w:ilvl="0">
      <w:startOverride w:val="5"/>
    </w:lvlOverride>
    <w:lvlOverride w:ilvl="1">
      <w:startOverride w:val="2"/>
    </w:lvlOverride>
  </w:num>
  <w:num w:numId="37">
    <w:abstractNumId w:val="15"/>
  </w:num>
  <w:num w:numId="38">
    <w:abstractNumId w:val="12"/>
  </w:num>
  <w:num w:numId="39">
    <w:abstractNumId w:val="26"/>
  </w:num>
  <w:num w:numId="40">
    <w:abstractNumId w:val="26"/>
  </w:num>
  <w:num w:numId="41">
    <w:abstractNumId w:val="26"/>
  </w:num>
  <w:num w:numId="42">
    <w:abstractNumId w:val="26"/>
  </w:num>
  <w:num w:numId="43">
    <w:abstractNumId w:val="26"/>
  </w:num>
  <w:num w:numId="44">
    <w:abstractNumId w:val="26"/>
  </w:num>
  <w:num w:numId="45">
    <w:abstractNumId w:val="26"/>
  </w:num>
  <w:num w:numId="46">
    <w:abstractNumId w:val="26"/>
  </w:num>
  <w:num w:numId="47">
    <w:abstractNumId w:val="26"/>
  </w:num>
  <w:num w:numId="48">
    <w:abstractNumId w:val="4"/>
  </w:num>
  <w:num w:numId="49">
    <w:abstractNumId w:val="26"/>
  </w:num>
  <w:num w:numId="50">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33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50E"/>
    <w:rsid w:val="0000080A"/>
    <w:rsid w:val="0000096D"/>
    <w:rsid w:val="00001663"/>
    <w:rsid w:val="000025AD"/>
    <w:rsid w:val="0000335D"/>
    <w:rsid w:val="00003EC5"/>
    <w:rsid w:val="00006782"/>
    <w:rsid w:val="0001179A"/>
    <w:rsid w:val="00011A59"/>
    <w:rsid w:val="00014D69"/>
    <w:rsid w:val="00016A41"/>
    <w:rsid w:val="000214D1"/>
    <w:rsid w:val="00021F20"/>
    <w:rsid w:val="00023157"/>
    <w:rsid w:val="0002464A"/>
    <w:rsid w:val="00025A04"/>
    <w:rsid w:val="0002693D"/>
    <w:rsid w:val="0003050E"/>
    <w:rsid w:val="0003106B"/>
    <w:rsid w:val="000335B9"/>
    <w:rsid w:val="00034905"/>
    <w:rsid w:val="000362AB"/>
    <w:rsid w:val="00037906"/>
    <w:rsid w:val="00040A30"/>
    <w:rsid w:val="000421A1"/>
    <w:rsid w:val="0004240E"/>
    <w:rsid w:val="00044E52"/>
    <w:rsid w:val="00044EC4"/>
    <w:rsid w:val="00045E26"/>
    <w:rsid w:val="00046903"/>
    <w:rsid w:val="000514B5"/>
    <w:rsid w:val="000521ED"/>
    <w:rsid w:val="0005322E"/>
    <w:rsid w:val="00054E2B"/>
    <w:rsid w:val="00060E64"/>
    <w:rsid w:val="000621AB"/>
    <w:rsid w:val="00062BCE"/>
    <w:rsid w:val="00062C03"/>
    <w:rsid w:val="00062E88"/>
    <w:rsid w:val="00066193"/>
    <w:rsid w:val="00066755"/>
    <w:rsid w:val="00071A5B"/>
    <w:rsid w:val="00072730"/>
    <w:rsid w:val="0007337F"/>
    <w:rsid w:val="00074320"/>
    <w:rsid w:val="000763D5"/>
    <w:rsid w:val="00076C38"/>
    <w:rsid w:val="00077143"/>
    <w:rsid w:val="00077DF7"/>
    <w:rsid w:val="0008050C"/>
    <w:rsid w:val="00080B83"/>
    <w:rsid w:val="00082169"/>
    <w:rsid w:val="000834BE"/>
    <w:rsid w:val="00083F01"/>
    <w:rsid w:val="00086B46"/>
    <w:rsid w:val="00087C4C"/>
    <w:rsid w:val="000918CB"/>
    <w:rsid w:val="00091B06"/>
    <w:rsid w:val="00091BCC"/>
    <w:rsid w:val="000951C4"/>
    <w:rsid w:val="00095ADA"/>
    <w:rsid w:val="00095F3A"/>
    <w:rsid w:val="000969AD"/>
    <w:rsid w:val="000975FB"/>
    <w:rsid w:val="000A02F8"/>
    <w:rsid w:val="000A1286"/>
    <w:rsid w:val="000A3673"/>
    <w:rsid w:val="000A3AA2"/>
    <w:rsid w:val="000A42EF"/>
    <w:rsid w:val="000A44B2"/>
    <w:rsid w:val="000A52F6"/>
    <w:rsid w:val="000A58B8"/>
    <w:rsid w:val="000B44C3"/>
    <w:rsid w:val="000B558D"/>
    <w:rsid w:val="000B5A89"/>
    <w:rsid w:val="000B65F6"/>
    <w:rsid w:val="000B7767"/>
    <w:rsid w:val="000C1AFF"/>
    <w:rsid w:val="000C23F2"/>
    <w:rsid w:val="000C5740"/>
    <w:rsid w:val="000C5F95"/>
    <w:rsid w:val="000C6996"/>
    <w:rsid w:val="000C7C46"/>
    <w:rsid w:val="000D052D"/>
    <w:rsid w:val="000D09E9"/>
    <w:rsid w:val="000D0AA1"/>
    <w:rsid w:val="000D113F"/>
    <w:rsid w:val="000D23BA"/>
    <w:rsid w:val="000D6332"/>
    <w:rsid w:val="000E19B7"/>
    <w:rsid w:val="000E20FC"/>
    <w:rsid w:val="000E3C1D"/>
    <w:rsid w:val="000E3DFB"/>
    <w:rsid w:val="000E5EA1"/>
    <w:rsid w:val="000E681E"/>
    <w:rsid w:val="000E696B"/>
    <w:rsid w:val="000E7E52"/>
    <w:rsid w:val="000E7E90"/>
    <w:rsid w:val="000EE1C7"/>
    <w:rsid w:val="000F0003"/>
    <w:rsid w:val="000F3275"/>
    <w:rsid w:val="000F3384"/>
    <w:rsid w:val="000F342D"/>
    <w:rsid w:val="000F4E6A"/>
    <w:rsid w:val="000F62FC"/>
    <w:rsid w:val="000F6ABB"/>
    <w:rsid w:val="000F7354"/>
    <w:rsid w:val="000F7C27"/>
    <w:rsid w:val="00101ABE"/>
    <w:rsid w:val="00102202"/>
    <w:rsid w:val="00102700"/>
    <w:rsid w:val="00102A78"/>
    <w:rsid w:val="00103118"/>
    <w:rsid w:val="00103F1B"/>
    <w:rsid w:val="00104227"/>
    <w:rsid w:val="001053D5"/>
    <w:rsid w:val="00107409"/>
    <w:rsid w:val="001107BF"/>
    <w:rsid w:val="00110BF0"/>
    <w:rsid w:val="00113649"/>
    <w:rsid w:val="00113D5C"/>
    <w:rsid w:val="00116B03"/>
    <w:rsid w:val="0011741B"/>
    <w:rsid w:val="00120AA6"/>
    <w:rsid w:val="001239DB"/>
    <w:rsid w:val="0012417C"/>
    <w:rsid w:val="00124BF2"/>
    <w:rsid w:val="00125837"/>
    <w:rsid w:val="0012597F"/>
    <w:rsid w:val="00126B19"/>
    <w:rsid w:val="00126D3A"/>
    <w:rsid w:val="0012749D"/>
    <w:rsid w:val="00127A23"/>
    <w:rsid w:val="00127F16"/>
    <w:rsid w:val="001306A5"/>
    <w:rsid w:val="00130918"/>
    <w:rsid w:val="001311AE"/>
    <w:rsid w:val="001366C2"/>
    <w:rsid w:val="00136C17"/>
    <w:rsid w:val="00140B74"/>
    <w:rsid w:val="00140D94"/>
    <w:rsid w:val="00142395"/>
    <w:rsid w:val="0014250D"/>
    <w:rsid w:val="00142714"/>
    <w:rsid w:val="00144D09"/>
    <w:rsid w:val="001452ED"/>
    <w:rsid w:val="00147D84"/>
    <w:rsid w:val="00151CBD"/>
    <w:rsid w:val="001533C3"/>
    <w:rsid w:val="001549C1"/>
    <w:rsid w:val="00155D93"/>
    <w:rsid w:val="00156C8D"/>
    <w:rsid w:val="00157EAC"/>
    <w:rsid w:val="00160F4D"/>
    <w:rsid w:val="00162BDD"/>
    <w:rsid w:val="00162D4E"/>
    <w:rsid w:val="00163329"/>
    <w:rsid w:val="00164623"/>
    <w:rsid w:val="001652DE"/>
    <w:rsid w:val="001653EC"/>
    <w:rsid w:val="00165B64"/>
    <w:rsid w:val="00167277"/>
    <w:rsid w:val="00167C39"/>
    <w:rsid w:val="00176B9D"/>
    <w:rsid w:val="00180713"/>
    <w:rsid w:val="00180720"/>
    <w:rsid w:val="00181F2B"/>
    <w:rsid w:val="001830CE"/>
    <w:rsid w:val="001836E3"/>
    <w:rsid w:val="00184659"/>
    <w:rsid w:val="001860E5"/>
    <w:rsid w:val="0018643B"/>
    <w:rsid w:val="001873DD"/>
    <w:rsid w:val="001933BD"/>
    <w:rsid w:val="00195715"/>
    <w:rsid w:val="00196307"/>
    <w:rsid w:val="00197C70"/>
    <w:rsid w:val="00197F03"/>
    <w:rsid w:val="001A0D10"/>
    <w:rsid w:val="001A162D"/>
    <w:rsid w:val="001A33EA"/>
    <w:rsid w:val="001A3615"/>
    <w:rsid w:val="001A4413"/>
    <w:rsid w:val="001A4C4F"/>
    <w:rsid w:val="001A50E2"/>
    <w:rsid w:val="001A5A2B"/>
    <w:rsid w:val="001A76FB"/>
    <w:rsid w:val="001B017F"/>
    <w:rsid w:val="001B0B79"/>
    <w:rsid w:val="001B19EA"/>
    <w:rsid w:val="001B2BBC"/>
    <w:rsid w:val="001B2BCD"/>
    <w:rsid w:val="001B3A40"/>
    <w:rsid w:val="001B3FFE"/>
    <w:rsid w:val="001B5129"/>
    <w:rsid w:val="001C0B4C"/>
    <w:rsid w:val="001C0EC4"/>
    <w:rsid w:val="001C1195"/>
    <w:rsid w:val="001C12AE"/>
    <w:rsid w:val="001C1E84"/>
    <w:rsid w:val="001C20E1"/>
    <w:rsid w:val="001C2813"/>
    <w:rsid w:val="001C2A0F"/>
    <w:rsid w:val="001C2E42"/>
    <w:rsid w:val="001D1F5F"/>
    <w:rsid w:val="001E06D2"/>
    <w:rsid w:val="001E102B"/>
    <w:rsid w:val="001E17C4"/>
    <w:rsid w:val="001E2D65"/>
    <w:rsid w:val="001F005B"/>
    <w:rsid w:val="001F1850"/>
    <w:rsid w:val="001F1FBF"/>
    <w:rsid w:val="001F2311"/>
    <w:rsid w:val="001F2B80"/>
    <w:rsid w:val="001F2D06"/>
    <w:rsid w:val="001F2F1C"/>
    <w:rsid w:val="001F3189"/>
    <w:rsid w:val="00200BEA"/>
    <w:rsid w:val="00201FB8"/>
    <w:rsid w:val="00203FAC"/>
    <w:rsid w:val="002043C6"/>
    <w:rsid w:val="00206628"/>
    <w:rsid w:val="00211508"/>
    <w:rsid w:val="002124E6"/>
    <w:rsid w:val="002133FB"/>
    <w:rsid w:val="00213CFB"/>
    <w:rsid w:val="0021553C"/>
    <w:rsid w:val="0021557B"/>
    <w:rsid w:val="00216B87"/>
    <w:rsid w:val="002174FD"/>
    <w:rsid w:val="00217BE1"/>
    <w:rsid w:val="00221361"/>
    <w:rsid w:val="002214B9"/>
    <w:rsid w:val="00222680"/>
    <w:rsid w:val="00223370"/>
    <w:rsid w:val="00224D1E"/>
    <w:rsid w:val="00226611"/>
    <w:rsid w:val="00227BC5"/>
    <w:rsid w:val="00227E0F"/>
    <w:rsid w:val="00230F63"/>
    <w:rsid w:val="00231A74"/>
    <w:rsid w:val="00234252"/>
    <w:rsid w:val="002343D2"/>
    <w:rsid w:val="0023466E"/>
    <w:rsid w:val="002355C1"/>
    <w:rsid w:val="00237AC6"/>
    <w:rsid w:val="00242BFD"/>
    <w:rsid w:val="00243DA8"/>
    <w:rsid w:val="00244139"/>
    <w:rsid w:val="00244490"/>
    <w:rsid w:val="00244BEC"/>
    <w:rsid w:val="00245B9C"/>
    <w:rsid w:val="00252587"/>
    <w:rsid w:val="00253499"/>
    <w:rsid w:val="002551A4"/>
    <w:rsid w:val="00257664"/>
    <w:rsid w:val="00260165"/>
    <w:rsid w:val="00264AF3"/>
    <w:rsid w:val="00265151"/>
    <w:rsid w:val="00265C2C"/>
    <w:rsid w:val="00266509"/>
    <w:rsid w:val="00271BA1"/>
    <w:rsid w:val="00272BEA"/>
    <w:rsid w:val="00273AC5"/>
    <w:rsid w:val="002757A8"/>
    <w:rsid w:val="002762FA"/>
    <w:rsid w:val="00276BE3"/>
    <w:rsid w:val="00277505"/>
    <w:rsid w:val="00277873"/>
    <w:rsid w:val="0028158C"/>
    <w:rsid w:val="002823B6"/>
    <w:rsid w:val="00282BA8"/>
    <w:rsid w:val="00290C03"/>
    <w:rsid w:val="00292392"/>
    <w:rsid w:val="00292998"/>
    <w:rsid w:val="00292E3B"/>
    <w:rsid w:val="002933A8"/>
    <w:rsid w:val="00294274"/>
    <w:rsid w:val="0029458F"/>
    <w:rsid w:val="00297A63"/>
    <w:rsid w:val="002A018F"/>
    <w:rsid w:val="002A0E04"/>
    <w:rsid w:val="002A104C"/>
    <w:rsid w:val="002A1EF7"/>
    <w:rsid w:val="002A2B7B"/>
    <w:rsid w:val="002A494D"/>
    <w:rsid w:val="002A4960"/>
    <w:rsid w:val="002A636A"/>
    <w:rsid w:val="002A755F"/>
    <w:rsid w:val="002A77AD"/>
    <w:rsid w:val="002B0AE0"/>
    <w:rsid w:val="002B1AE6"/>
    <w:rsid w:val="002B1D51"/>
    <w:rsid w:val="002B2DE8"/>
    <w:rsid w:val="002B30F8"/>
    <w:rsid w:val="002B388A"/>
    <w:rsid w:val="002B3BFE"/>
    <w:rsid w:val="002B3C1A"/>
    <w:rsid w:val="002B4348"/>
    <w:rsid w:val="002B4B61"/>
    <w:rsid w:val="002B4C2A"/>
    <w:rsid w:val="002B5596"/>
    <w:rsid w:val="002B77D7"/>
    <w:rsid w:val="002C0763"/>
    <w:rsid w:val="002C1520"/>
    <w:rsid w:val="002C212F"/>
    <w:rsid w:val="002C2F35"/>
    <w:rsid w:val="002C6AA9"/>
    <w:rsid w:val="002C708D"/>
    <w:rsid w:val="002C7485"/>
    <w:rsid w:val="002D2641"/>
    <w:rsid w:val="002D283A"/>
    <w:rsid w:val="002D4543"/>
    <w:rsid w:val="002D715F"/>
    <w:rsid w:val="002E01DC"/>
    <w:rsid w:val="002E022A"/>
    <w:rsid w:val="002E3153"/>
    <w:rsid w:val="002E4A02"/>
    <w:rsid w:val="002E5292"/>
    <w:rsid w:val="002E72CA"/>
    <w:rsid w:val="002E75DD"/>
    <w:rsid w:val="002F1D07"/>
    <w:rsid w:val="002F5C5B"/>
    <w:rsid w:val="002F600D"/>
    <w:rsid w:val="002F6F0F"/>
    <w:rsid w:val="002F7E47"/>
    <w:rsid w:val="00300AD6"/>
    <w:rsid w:val="00300B1B"/>
    <w:rsid w:val="003019D0"/>
    <w:rsid w:val="003019DE"/>
    <w:rsid w:val="0030311E"/>
    <w:rsid w:val="003064AF"/>
    <w:rsid w:val="00307DC6"/>
    <w:rsid w:val="00310A8B"/>
    <w:rsid w:val="00310B68"/>
    <w:rsid w:val="00312081"/>
    <w:rsid w:val="003160D2"/>
    <w:rsid w:val="003173FC"/>
    <w:rsid w:val="00317C6C"/>
    <w:rsid w:val="00320B80"/>
    <w:rsid w:val="00320CD3"/>
    <w:rsid w:val="003210A4"/>
    <w:rsid w:val="003215FF"/>
    <w:rsid w:val="00322667"/>
    <w:rsid w:val="00324465"/>
    <w:rsid w:val="0032607C"/>
    <w:rsid w:val="00326AC9"/>
    <w:rsid w:val="00326E79"/>
    <w:rsid w:val="0032748A"/>
    <w:rsid w:val="00327EA9"/>
    <w:rsid w:val="003301B1"/>
    <w:rsid w:val="00331189"/>
    <w:rsid w:val="0033263D"/>
    <w:rsid w:val="00333DC8"/>
    <w:rsid w:val="00334E69"/>
    <w:rsid w:val="0033518A"/>
    <w:rsid w:val="00335535"/>
    <w:rsid w:val="003367EF"/>
    <w:rsid w:val="00341AE4"/>
    <w:rsid w:val="003425CA"/>
    <w:rsid w:val="00343FB7"/>
    <w:rsid w:val="003476EE"/>
    <w:rsid w:val="00350129"/>
    <w:rsid w:val="00351CE5"/>
    <w:rsid w:val="003541DD"/>
    <w:rsid w:val="00356E5B"/>
    <w:rsid w:val="00360887"/>
    <w:rsid w:val="003619A6"/>
    <w:rsid w:val="0036249F"/>
    <w:rsid w:val="00363B61"/>
    <w:rsid w:val="00371246"/>
    <w:rsid w:val="003736C9"/>
    <w:rsid w:val="00382A72"/>
    <w:rsid w:val="00383B77"/>
    <w:rsid w:val="00384988"/>
    <w:rsid w:val="003872CF"/>
    <w:rsid w:val="003874CB"/>
    <w:rsid w:val="00396E08"/>
    <w:rsid w:val="003970DD"/>
    <w:rsid w:val="0039782C"/>
    <w:rsid w:val="003A13A6"/>
    <w:rsid w:val="003A2165"/>
    <w:rsid w:val="003A3AF3"/>
    <w:rsid w:val="003A3FD4"/>
    <w:rsid w:val="003A5B4A"/>
    <w:rsid w:val="003A5D95"/>
    <w:rsid w:val="003A6510"/>
    <w:rsid w:val="003A74E2"/>
    <w:rsid w:val="003B0D3A"/>
    <w:rsid w:val="003B2302"/>
    <w:rsid w:val="003B23C5"/>
    <w:rsid w:val="003B2A75"/>
    <w:rsid w:val="003B49B2"/>
    <w:rsid w:val="003B4A99"/>
    <w:rsid w:val="003B6124"/>
    <w:rsid w:val="003B7960"/>
    <w:rsid w:val="003B7DAA"/>
    <w:rsid w:val="003C0908"/>
    <w:rsid w:val="003C093A"/>
    <w:rsid w:val="003C1ECF"/>
    <w:rsid w:val="003C2FB5"/>
    <w:rsid w:val="003C6A50"/>
    <w:rsid w:val="003D24C5"/>
    <w:rsid w:val="003D4594"/>
    <w:rsid w:val="003D4AC4"/>
    <w:rsid w:val="003D5433"/>
    <w:rsid w:val="003D63B7"/>
    <w:rsid w:val="003D74C5"/>
    <w:rsid w:val="003E4374"/>
    <w:rsid w:val="003E468B"/>
    <w:rsid w:val="003E62BD"/>
    <w:rsid w:val="003E658D"/>
    <w:rsid w:val="003F044F"/>
    <w:rsid w:val="003F0C3A"/>
    <w:rsid w:val="003F15F0"/>
    <w:rsid w:val="003F2AD9"/>
    <w:rsid w:val="003F3228"/>
    <w:rsid w:val="003F5C8C"/>
    <w:rsid w:val="003F63CE"/>
    <w:rsid w:val="003F775A"/>
    <w:rsid w:val="00400E55"/>
    <w:rsid w:val="0040128E"/>
    <w:rsid w:val="00401640"/>
    <w:rsid w:val="0040216B"/>
    <w:rsid w:val="00404852"/>
    <w:rsid w:val="0040590E"/>
    <w:rsid w:val="00407CC8"/>
    <w:rsid w:val="00407EBB"/>
    <w:rsid w:val="0041069E"/>
    <w:rsid w:val="00414F0C"/>
    <w:rsid w:val="00414FB7"/>
    <w:rsid w:val="00420400"/>
    <w:rsid w:val="0042063E"/>
    <w:rsid w:val="00423E78"/>
    <w:rsid w:val="004252EC"/>
    <w:rsid w:val="00430D39"/>
    <w:rsid w:val="00431779"/>
    <w:rsid w:val="00442C91"/>
    <w:rsid w:val="00444E9D"/>
    <w:rsid w:val="004465BD"/>
    <w:rsid w:val="00446938"/>
    <w:rsid w:val="004528FA"/>
    <w:rsid w:val="00461A44"/>
    <w:rsid w:val="00462D26"/>
    <w:rsid w:val="0046368B"/>
    <w:rsid w:val="0046385A"/>
    <w:rsid w:val="00464039"/>
    <w:rsid w:val="00466ADA"/>
    <w:rsid w:val="004702BB"/>
    <w:rsid w:val="0047494B"/>
    <w:rsid w:val="00476245"/>
    <w:rsid w:val="00477A9B"/>
    <w:rsid w:val="00482AE4"/>
    <w:rsid w:val="00483035"/>
    <w:rsid w:val="00485940"/>
    <w:rsid w:val="00486C95"/>
    <w:rsid w:val="004877C2"/>
    <w:rsid w:val="004904B9"/>
    <w:rsid w:val="004928E1"/>
    <w:rsid w:val="00492D8D"/>
    <w:rsid w:val="00493542"/>
    <w:rsid w:val="00496662"/>
    <w:rsid w:val="004A1431"/>
    <w:rsid w:val="004A2484"/>
    <w:rsid w:val="004A5A85"/>
    <w:rsid w:val="004A71D1"/>
    <w:rsid w:val="004A7C5B"/>
    <w:rsid w:val="004B0F7B"/>
    <w:rsid w:val="004B1845"/>
    <w:rsid w:val="004B2348"/>
    <w:rsid w:val="004B2E01"/>
    <w:rsid w:val="004B2E98"/>
    <w:rsid w:val="004B3275"/>
    <w:rsid w:val="004B5640"/>
    <w:rsid w:val="004B6084"/>
    <w:rsid w:val="004BCF29"/>
    <w:rsid w:val="004C0206"/>
    <w:rsid w:val="004C03D0"/>
    <w:rsid w:val="004C1BD7"/>
    <w:rsid w:val="004C1BF2"/>
    <w:rsid w:val="004C239C"/>
    <w:rsid w:val="004C31FE"/>
    <w:rsid w:val="004C524C"/>
    <w:rsid w:val="004C5EDD"/>
    <w:rsid w:val="004C5FFA"/>
    <w:rsid w:val="004C691D"/>
    <w:rsid w:val="004C6C07"/>
    <w:rsid w:val="004C7E15"/>
    <w:rsid w:val="004C7EC6"/>
    <w:rsid w:val="004D2CD1"/>
    <w:rsid w:val="004D37AE"/>
    <w:rsid w:val="004D4FF6"/>
    <w:rsid w:val="004D506D"/>
    <w:rsid w:val="004D54F0"/>
    <w:rsid w:val="004D5ADD"/>
    <w:rsid w:val="004D6151"/>
    <w:rsid w:val="004E0C4B"/>
    <w:rsid w:val="004E0CC3"/>
    <w:rsid w:val="004E692D"/>
    <w:rsid w:val="004E7230"/>
    <w:rsid w:val="004E7D87"/>
    <w:rsid w:val="004F18BA"/>
    <w:rsid w:val="004F2553"/>
    <w:rsid w:val="004F306A"/>
    <w:rsid w:val="004F6044"/>
    <w:rsid w:val="00501554"/>
    <w:rsid w:val="0050271D"/>
    <w:rsid w:val="00502AFE"/>
    <w:rsid w:val="00502E64"/>
    <w:rsid w:val="00503AD7"/>
    <w:rsid w:val="00503E89"/>
    <w:rsid w:val="00504E0C"/>
    <w:rsid w:val="00504E13"/>
    <w:rsid w:val="005109D4"/>
    <w:rsid w:val="0051230A"/>
    <w:rsid w:val="00514CD7"/>
    <w:rsid w:val="005164C6"/>
    <w:rsid w:val="005167EC"/>
    <w:rsid w:val="005170DA"/>
    <w:rsid w:val="00520D6A"/>
    <w:rsid w:val="005225A2"/>
    <w:rsid w:val="00522DB6"/>
    <w:rsid w:val="005264A7"/>
    <w:rsid w:val="005276AD"/>
    <w:rsid w:val="0052792D"/>
    <w:rsid w:val="005319B2"/>
    <w:rsid w:val="00532402"/>
    <w:rsid w:val="00532652"/>
    <w:rsid w:val="00532C74"/>
    <w:rsid w:val="00533239"/>
    <w:rsid w:val="00534E2E"/>
    <w:rsid w:val="00535133"/>
    <w:rsid w:val="0054064C"/>
    <w:rsid w:val="00544552"/>
    <w:rsid w:val="00545130"/>
    <w:rsid w:val="00545D8A"/>
    <w:rsid w:val="00546384"/>
    <w:rsid w:val="00546B36"/>
    <w:rsid w:val="0055286A"/>
    <w:rsid w:val="00555307"/>
    <w:rsid w:val="00555745"/>
    <w:rsid w:val="00557D4F"/>
    <w:rsid w:val="0056122E"/>
    <w:rsid w:val="0056484E"/>
    <w:rsid w:val="00565999"/>
    <w:rsid w:val="00567D8A"/>
    <w:rsid w:val="0057017B"/>
    <w:rsid w:val="00570231"/>
    <w:rsid w:val="005714B7"/>
    <w:rsid w:val="005764CD"/>
    <w:rsid w:val="00577C4D"/>
    <w:rsid w:val="00580532"/>
    <w:rsid w:val="00581932"/>
    <w:rsid w:val="00583002"/>
    <w:rsid w:val="005903BB"/>
    <w:rsid w:val="00593893"/>
    <w:rsid w:val="00593B00"/>
    <w:rsid w:val="005963BB"/>
    <w:rsid w:val="0059645C"/>
    <w:rsid w:val="00596D37"/>
    <w:rsid w:val="005A11D2"/>
    <w:rsid w:val="005A15D2"/>
    <w:rsid w:val="005A3173"/>
    <w:rsid w:val="005A3223"/>
    <w:rsid w:val="005A3DA3"/>
    <w:rsid w:val="005A4620"/>
    <w:rsid w:val="005A48E5"/>
    <w:rsid w:val="005A52C4"/>
    <w:rsid w:val="005A63A1"/>
    <w:rsid w:val="005A777F"/>
    <w:rsid w:val="005B0486"/>
    <w:rsid w:val="005B1032"/>
    <w:rsid w:val="005B1473"/>
    <w:rsid w:val="005B25CC"/>
    <w:rsid w:val="005B36FA"/>
    <w:rsid w:val="005C00C7"/>
    <w:rsid w:val="005C4F73"/>
    <w:rsid w:val="005C5D19"/>
    <w:rsid w:val="005D03AB"/>
    <w:rsid w:val="005D401D"/>
    <w:rsid w:val="005D5017"/>
    <w:rsid w:val="005D5708"/>
    <w:rsid w:val="005D63FA"/>
    <w:rsid w:val="005D73C7"/>
    <w:rsid w:val="005E0C2D"/>
    <w:rsid w:val="005E0D82"/>
    <w:rsid w:val="005E0F59"/>
    <w:rsid w:val="005E1333"/>
    <w:rsid w:val="005E3136"/>
    <w:rsid w:val="005E507D"/>
    <w:rsid w:val="005F0AD0"/>
    <w:rsid w:val="00601A91"/>
    <w:rsid w:val="00602BA3"/>
    <w:rsid w:val="006040E6"/>
    <w:rsid w:val="00605B63"/>
    <w:rsid w:val="00605F9A"/>
    <w:rsid w:val="00606442"/>
    <w:rsid w:val="00606EED"/>
    <w:rsid w:val="00607384"/>
    <w:rsid w:val="00612A95"/>
    <w:rsid w:val="00612E34"/>
    <w:rsid w:val="00614159"/>
    <w:rsid w:val="006158A3"/>
    <w:rsid w:val="00616C5F"/>
    <w:rsid w:val="00616DAC"/>
    <w:rsid w:val="00617725"/>
    <w:rsid w:val="00617C00"/>
    <w:rsid w:val="006263BF"/>
    <w:rsid w:val="0062748A"/>
    <w:rsid w:val="00630546"/>
    <w:rsid w:val="00630A2C"/>
    <w:rsid w:val="00634A75"/>
    <w:rsid w:val="0063682E"/>
    <w:rsid w:val="00640088"/>
    <w:rsid w:val="00640F60"/>
    <w:rsid w:val="00642672"/>
    <w:rsid w:val="00642DA8"/>
    <w:rsid w:val="0064308E"/>
    <w:rsid w:val="006436CD"/>
    <w:rsid w:val="00644223"/>
    <w:rsid w:val="00650976"/>
    <w:rsid w:val="00651169"/>
    <w:rsid w:val="00653D69"/>
    <w:rsid w:val="006552E6"/>
    <w:rsid w:val="00655794"/>
    <w:rsid w:val="00656BAB"/>
    <w:rsid w:val="00656F2F"/>
    <w:rsid w:val="00657C63"/>
    <w:rsid w:val="00661CBC"/>
    <w:rsid w:val="00662B85"/>
    <w:rsid w:val="006670B3"/>
    <w:rsid w:val="006670BE"/>
    <w:rsid w:val="00670A76"/>
    <w:rsid w:val="006711AA"/>
    <w:rsid w:val="00672B57"/>
    <w:rsid w:val="00673F1F"/>
    <w:rsid w:val="00675622"/>
    <w:rsid w:val="00675DEB"/>
    <w:rsid w:val="0067747D"/>
    <w:rsid w:val="00680578"/>
    <w:rsid w:val="006818D5"/>
    <w:rsid w:val="00681CA4"/>
    <w:rsid w:val="00686559"/>
    <w:rsid w:val="0069039D"/>
    <w:rsid w:val="006906DB"/>
    <w:rsid w:val="00691900"/>
    <w:rsid w:val="00691E6C"/>
    <w:rsid w:val="00693425"/>
    <w:rsid w:val="0069342D"/>
    <w:rsid w:val="00693DFB"/>
    <w:rsid w:val="00694FD5"/>
    <w:rsid w:val="0069501D"/>
    <w:rsid w:val="00696129"/>
    <w:rsid w:val="00697CF2"/>
    <w:rsid w:val="006A009B"/>
    <w:rsid w:val="006A12A5"/>
    <w:rsid w:val="006A2515"/>
    <w:rsid w:val="006A572D"/>
    <w:rsid w:val="006A5E20"/>
    <w:rsid w:val="006B0D94"/>
    <w:rsid w:val="006B16B6"/>
    <w:rsid w:val="006B485D"/>
    <w:rsid w:val="006B7DDA"/>
    <w:rsid w:val="006C0C45"/>
    <w:rsid w:val="006C2806"/>
    <w:rsid w:val="006C334C"/>
    <w:rsid w:val="006C519D"/>
    <w:rsid w:val="006C6C10"/>
    <w:rsid w:val="006C6C5A"/>
    <w:rsid w:val="006C708E"/>
    <w:rsid w:val="006D14E7"/>
    <w:rsid w:val="006D4444"/>
    <w:rsid w:val="006D4BC6"/>
    <w:rsid w:val="006D6493"/>
    <w:rsid w:val="006D6EC7"/>
    <w:rsid w:val="006D7283"/>
    <w:rsid w:val="006D7B05"/>
    <w:rsid w:val="006D7E45"/>
    <w:rsid w:val="006E1143"/>
    <w:rsid w:val="006E1BCD"/>
    <w:rsid w:val="006E2732"/>
    <w:rsid w:val="006E5166"/>
    <w:rsid w:val="006E59CD"/>
    <w:rsid w:val="006E6D0C"/>
    <w:rsid w:val="006F00ED"/>
    <w:rsid w:val="006F026F"/>
    <w:rsid w:val="006F0A71"/>
    <w:rsid w:val="006F1C6B"/>
    <w:rsid w:val="006F40C2"/>
    <w:rsid w:val="006F5125"/>
    <w:rsid w:val="006F5322"/>
    <w:rsid w:val="006F733D"/>
    <w:rsid w:val="00700765"/>
    <w:rsid w:val="00701688"/>
    <w:rsid w:val="00702959"/>
    <w:rsid w:val="00702B6F"/>
    <w:rsid w:val="007030B4"/>
    <w:rsid w:val="00703B86"/>
    <w:rsid w:val="00703C43"/>
    <w:rsid w:val="00704069"/>
    <w:rsid w:val="00706A2F"/>
    <w:rsid w:val="0070718E"/>
    <w:rsid w:val="00707E52"/>
    <w:rsid w:val="00710259"/>
    <w:rsid w:val="0071031F"/>
    <w:rsid w:val="00710737"/>
    <w:rsid w:val="0071340B"/>
    <w:rsid w:val="00713C50"/>
    <w:rsid w:val="00714102"/>
    <w:rsid w:val="0071436D"/>
    <w:rsid w:val="00715BBB"/>
    <w:rsid w:val="007174BB"/>
    <w:rsid w:val="0072025D"/>
    <w:rsid w:val="00723328"/>
    <w:rsid w:val="007237DE"/>
    <w:rsid w:val="0072502E"/>
    <w:rsid w:val="00725901"/>
    <w:rsid w:val="007265FC"/>
    <w:rsid w:val="00726A8C"/>
    <w:rsid w:val="0073137C"/>
    <w:rsid w:val="007340B9"/>
    <w:rsid w:val="007353D3"/>
    <w:rsid w:val="00740C45"/>
    <w:rsid w:val="0074156B"/>
    <w:rsid w:val="00741619"/>
    <w:rsid w:val="00742885"/>
    <w:rsid w:val="00747092"/>
    <w:rsid w:val="007477FF"/>
    <w:rsid w:val="00751F24"/>
    <w:rsid w:val="007526E6"/>
    <w:rsid w:val="0075336D"/>
    <w:rsid w:val="00754DF9"/>
    <w:rsid w:val="007555E8"/>
    <w:rsid w:val="00755CC5"/>
    <w:rsid w:val="00762862"/>
    <w:rsid w:val="0076420C"/>
    <w:rsid w:val="0076580C"/>
    <w:rsid w:val="00771D07"/>
    <w:rsid w:val="00772649"/>
    <w:rsid w:val="00773BE3"/>
    <w:rsid w:val="007743DD"/>
    <w:rsid w:val="00774E2C"/>
    <w:rsid w:val="0077503C"/>
    <w:rsid w:val="0077518D"/>
    <w:rsid w:val="007753C2"/>
    <w:rsid w:val="00776068"/>
    <w:rsid w:val="007838B8"/>
    <w:rsid w:val="00785779"/>
    <w:rsid w:val="00787FD8"/>
    <w:rsid w:val="007915BA"/>
    <w:rsid w:val="00791844"/>
    <w:rsid w:val="00793CE9"/>
    <w:rsid w:val="007953FA"/>
    <w:rsid w:val="00796667"/>
    <w:rsid w:val="00797068"/>
    <w:rsid w:val="007976AB"/>
    <w:rsid w:val="007979BD"/>
    <w:rsid w:val="007A3D8E"/>
    <w:rsid w:val="007A5C88"/>
    <w:rsid w:val="007A6A2F"/>
    <w:rsid w:val="007B024E"/>
    <w:rsid w:val="007B0FC8"/>
    <w:rsid w:val="007B3BAF"/>
    <w:rsid w:val="007B3DDC"/>
    <w:rsid w:val="007B72A6"/>
    <w:rsid w:val="007C06D2"/>
    <w:rsid w:val="007C08E0"/>
    <w:rsid w:val="007C0F57"/>
    <w:rsid w:val="007C2F4B"/>
    <w:rsid w:val="007C40B6"/>
    <w:rsid w:val="007C5975"/>
    <w:rsid w:val="007C729F"/>
    <w:rsid w:val="007C72AD"/>
    <w:rsid w:val="007D2754"/>
    <w:rsid w:val="007D3CED"/>
    <w:rsid w:val="007D503D"/>
    <w:rsid w:val="007D59E7"/>
    <w:rsid w:val="007D5F2A"/>
    <w:rsid w:val="007D6E9D"/>
    <w:rsid w:val="007E07AC"/>
    <w:rsid w:val="007E1014"/>
    <w:rsid w:val="007E12F8"/>
    <w:rsid w:val="007E1D28"/>
    <w:rsid w:val="007E4564"/>
    <w:rsid w:val="007E4618"/>
    <w:rsid w:val="007E490F"/>
    <w:rsid w:val="007E6533"/>
    <w:rsid w:val="007F0021"/>
    <w:rsid w:val="007F2641"/>
    <w:rsid w:val="007F7C36"/>
    <w:rsid w:val="007F7F45"/>
    <w:rsid w:val="0080001F"/>
    <w:rsid w:val="00800A41"/>
    <w:rsid w:val="00801958"/>
    <w:rsid w:val="008055AF"/>
    <w:rsid w:val="008057CD"/>
    <w:rsid w:val="008066B8"/>
    <w:rsid w:val="00806796"/>
    <w:rsid w:val="00810167"/>
    <w:rsid w:val="008104D0"/>
    <w:rsid w:val="00811340"/>
    <w:rsid w:val="00811CC0"/>
    <w:rsid w:val="00813303"/>
    <w:rsid w:val="00814276"/>
    <w:rsid w:val="008151D6"/>
    <w:rsid w:val="008162A2"/>
    <w:rsid w:val="00817C47"/>
    <w:rsid w:val="00820803"/>
    <w:rsid w:val="00821527"/>
    <w:rsid w:val="008225CE"/>
    <w:rsid w:val="00822696"/>
    <w:rsid w:val="00824959"/>
    <w:rsid w:val="00825A6C"/>
    <w:rsid w:val="0082617E"/>
    <w:rsid w:val="008268BB"/>
    <w:rsid w:val="00826F6D"/>
    <w:rsid w:val="00827886"/>
    <w:rsid w:val="008306F3"/>
    <w:rsid w:val="00830E40"/>
    <w:rsid w:val="00832D9A"/>
    <w:rsid w:val="00835C62"/>
    <w:rsid w:val="00836217"/>
    <w:rsid w:val="008368A1"/>
    <w:rsid w:val="00840EF7"/>
    <w:rsid w:val="008416C6"/>
    <w:rsid w:val="00844C0A"/>
    <w:rsid w:val="00846056"/>
    <w:rsid w:val="0084681F"/>
    <w:rsid w:val="00847D08"/>
    <w:rsid w:val="00847EC0"/>
    <w:rsid w:val="00854506"/>
    <w:rsid w:val="00854D97"/>
    <w:rsid w:val="00855FD6"/>
    <w:rsid w:val="00856DDD"/>
    <w:rsid w:val="00860233"/>
    <w:rsid w:val="00860AB7"/>
    <w:rsid w:val="00863E68"/>
    <w:rsid w:val="008647B5"/>
    <w:rsid w:val="00867D64"/>
    <w:rsid w:val="0087232B"/>
    <w:rsid w:val="00872E8F"/>
    <w:rsid w:val="008757D5"/>
    <w:rsid w:val="00875DCB"/>
    <w:rsid w:val="00876FBF"/>
    <w:rsid w:val="0087755A"/>
    <w:rsid w:val="00882085"/>
    <w:rsid w:val="008822CF"/>
    <w:rsid w:val="00883188"/>
    <w:rsid w:val="00884A0C"/>
    <w:rsid w:val="00886ACA"/>
    <w:rsid w:val="00886B01"/>
    <w:rsid w:val="0089031E"/>
    <w:rsid w:val="0089109A"/>
    <w:rsid w:val="00892A5F"/>
    <w:rsid w:val="00893D22"/>
    <w:rsid w:val="00893D5C"/>
    <w:rsid w:val="0089460B"/>
    <w:rsid w:val="00897D58"/>
    <w:rsid w:val="00897F22"/>
    <w:rsid w:val="008A0978"/>
    <w:rsid w:val="008A0B39"/>
    <w:rsid w:val="008A17A3"/>
    <w:rsid w:val="008A1956"/>
    <w:rsid w:val="008A1E85"/>
    <w:rsid w:val="008A2419"/>
    <w:rsid w:val="008A4937"/>
    <w:rsid w:val="008A50F1"/>
    <w:rsid w:val="008A59D9"/>
    <w:rsid w:val="008A643E"/>
    <w:rsid w:val="008A6819"/>
    <w:rsid w:val="008B007A"/>
    <w:rsid w:val="008B2EC0"/>
    <w:rsid w:val="008B6DCF"/>
    <w:rsid w:val="008C4D49"/>
    <w:rsid w:val="008D0945"/>
    <w:rsid w:val="008D1409"/>
    <w:rsid w:val="008D15CC"/>
    <w:rsid w:val="008D1729"/>
    <w:rsid w:val="008D1B5C"/>
    <w:rsid w:val="008D3C82"/>
    <w:rsid w:val="008D447E"/>
    <w:rsid w:val="008D6ACF"/>
    <w:rsid w:val="008D7A41"/>
    <w:rsid w:val="008E110E"/>
    <w:rsid w:val="008E1C54"/>
    <w:rsid w:val="008E2C72"/>
    <w:rsid w:val="008E3680"/>
    <w:rsid w:val="008E4F87"/>
    <w:rsid w:val="008E5870"/>
    <w:rsid w:val="008E77E4"/>
    <w:rsid w:val="008F0213"/>
    <w:rsid w:val="008F07ED"/>
    <w:rsid w:val="008F11F8"/>
    <w:rsid w:val="008F1434"/>
    <w:rsid w:val="008F2BB9"/>
    <w:rsid w:val="008F3D6A"/>
    <w:rsid w:val="008F54C3"/>
    <w:rsid w:val="008F7355"/>
    <w:rsid w:val="0090001B"/>
    <w:rsid w:val="009023DC"/>
    <w:rsid w:val="009027C5"/>
    <w:rsid w:val="00903992"/>
    <w:rsid w:val="00904413"/>
    <w:rsid w:val="009067B7"/>
    <w:rsid w:val="00906E7A"/>
    <w:rsid w:val="00906E7F"/>
    <w:rsid w:val="00907074"/>
    <w:rsid w:val="0090775A"/>
    <w:rsid w:val="00907DFD"/>
    <w:rsid w:val="00913348"/>
    <w:rsid w:val="00913C99"/>
    <w:rsid w:val="00917D69"/>
    <w:rsid w:val="00920B6D"/>
    <w:rsid w:val="00926560"/>
    <w:rsid w:val="00926B15"/>
    <w:rsid w:val="00930291"/>
    <w:rsid w:val="00930937"/>
    <w:rsid w:val="00931EAA"/>
    <w:rsid w:val="009324A6"/>
    <w:rsid w:val="00933B7D"/>
    <w:rsid w:val="00933E6C"/>
    <w:rsid w:val="00935A6E"/>
    <w:rsid w:val="00937958"/>
    <w:rsid w:val="009406E5"/>
    <w:rsid w:val="00941602"/>
    <w:rsid w:val="00942160"/>
    <w:rsid w:val="00943B6A"/>
    <w:rsid w:val="00943EFA"/>
    <w:rsid w:val="009465CB"/>
    <w:rsid w:val="00946921"/>
    <w:rsid w:val="00947343"/>
    <w:rsid w:val="0095146F"/>
    <w:rsid w:val="00951D58"/>
    <w:rsid w:val="00951EB2"/>
    <w:rsid w:val="00951F2D"/>
    <w:rsid w:val="00952839"/>
    <w:rsid w:val="009534C7"/>
    <w:rsid w:val="00957944"/>
    <w:rsid w:val="009602C5"/>
    <w:rsid w:val="0096103A"/>
    <w:rsid w:val="00962223"/>
    <w:rsid w:val="0096252B"/>
    <w:rsid w:val="009644D9"/>
    <w:rsid w:val="00964A9F"/>
    <w:rsid w:val="00966D0D"/>
    <w:rsid w:val="00967732"/>
    <w:rsid w:val="0096783C"/>
    <w:rsid w:val="00970023"/>
    <w:rsid w:val="009722B3"/>
    <w:rsid w:val="00973E24"/>
    <w:rsid w:val="00974C21"/>
    <w:rsid w:val="00974D5F"/>
    <w:rsid w:val="00975948"/>
    <w:rsid w:val="009772FD"/>
    <w:rsid w:val="00977BF3"/>
    <w:rsid w:val="009803E4"/>
    <w:rsid w:val="00980B0E"/>
    <w:rsid w:val="00982B39"/>
    <w:rsid w:val="009836A3"/>
    <w:rsid w:val="00984C58"/>
    <w:rsid w:val="009855A8"/>
    <w:rsid w:val="00985CBE"/>
    <w:rsid w:val="00985D1A"/>
    <w:rsid w:val="00990CF8"/>
    <w:rsid w:val="009913F4"/>
    <w:rsid w:val="00991782"/>
    <w:rsid w:val="009937F7"/>
    <w:rsid w:val="00994614"/>
    <w:rsid w:val="0099465B"/>
    <w:rsid w:val="009951A1"/>
    <w:rsid w:val="00997A44"/>
    <w:rsid w:val="009A0CDD"/>
    <w:rsid w:val="009A3168"/>
    <w:rsid w:val="009A3AC2"/>
    <w:rsid w:val="009A4621"/>
    <w:rsid w:val="009A4BDF"/>
    <w:rsid w:val="009A5D04"/>
    <w:rsid w:val="009A61CA"/>
    <w:rsid w:val="009B0C64"/>
    <w:rsid w:val="009B0F67"/>
    <w:rsid w:val="009B208A"/>
    <w:rsid w:val="009B2756"/>
    <w:rsid w:val="009B3D56"/>
    <w:rsid w:val="009B3F8C"/>
    <w:rsid w:val="009B533B"/>
    <w:rsid w:val="009B546B"/>
    <w:rsid w:val="009C26AA"/>
    <w:rsid w:val="009C5ACA"/>
    <w:rsid w:val="009C703C"/>
    <w:rsid w:val="009D0AE9"/>
    <w:rsid w:val="009D0C29"/>
    <w:rsid w:val="009D206E"/>
    <w:rsid w:val="009D3CAA"/>
    <w:rsid w:val="009D507A"/>
    <w:rsid w:val="009D6532"/>
    <w:rsid w:val="009D71FD"/>
    <w:rsid w:val="009D7E72"/>
    <w:rsid w:val="009E06F0"/>
    <w:rsid w:val="009E0755"/>
    <w:rsid w:val="009E10AD"/>
    <w:rsid w:val="009E2588"/>
    <w:rsid w:val="009E2E8E"/>
    <w:rsid w:val="009E40E1"/>
    <w:rsid w:val="009F0EFA"/>
    <w:rsid w:val="009F4AF1"/>
    <w:rsid w:val="009F4E46"/>
    <w:rsid w:val="009F5B65"/>
    <w:rsid w:val="009F5F2E"/>
    <w:rsid w:val="00A01432"/>
    <w:rsid w:val="00A06225"/>
    <w:rsid w:val="00A063DD"/>
    <w:rsid w:val="00A066E6"/>
    <w:rsid w:val="00A110D1"/>
    <w:rsid w:val="00A12587"/>
    <w:rsid w:val="00A128E6"/>
    <w:rsid w:val="00A144D3"/>
    <w:rsid w:val="00A17EA7"/>
    <w:rsid w:val="00A21D7D"/>
    <w:rsid w:val="00A22AC3"/>
    <w:rsid w:val="00A2351E"/>
    <w:rsid w:val="00A23F3F"/>
    <w:rsid w:val="00A24067"/>
    <w:rsid w:val="00A2421B"/>
    <w:rsid w:val="00A24A4B"/>
    <w:rsid w:val="00A2744D"/>
    <w:rsid w:val="00A30D16"/>
    <w:rsid w:val="00A33EB7"/>
    <w:rsid w:val="00A34E6C"/>
    <w:rsid w:val="00A34FB6"/>
    <w:rsid w:val="00A34FD0"/>
    <w:rsid w:val="00A36398"/>
    <w:rsid w:val="00A37C8D"/>
    <w:rsid w:val="00A4020E"/>
    <w:rsid w:val="00A40493"/>
    <w:rsid w:val="00A408E8"/>
    <w:rsid w:val="00A40FB5"/>
    <w:rsid w:val="00A42826"/>
    <w:rsid w:val="00A429B3"/>
    <w:rsid w:val="00A44EC1"/>
    <w:rsid w:val="00A510E4"/>
    <w:rsid w:val="00A51F8C"/>
    <w:rsid w:val="00A526F7"/>
    <w:rsid w:val="00A5273B"/>
    <w:rsid w:val="00A53A9D"/>
    <w:rsid w:val="00A55FEE"/>
    <w:rsid w:val="00A57422"/>
    <w:rsid w:val="00A62C1A"/>
    <w:rsid w:val="00A63CA2"/>
    <w:rsid w:val="00A6426D"/>
    <w:rsid w:val="00A665C1"/>
    <w:rsid w:val="00A673A4"/>
    <w:rsid w:val="00A7001A"/>
    <w:rsid w:val="00A70622"/>
    <w:rsid w:val="00A70977"/>
    <w:rsid w:val="00A70D58"/>
    <w:rsid w:val="00A744F9"/>
    <w:rsid w:val="00A753A1"/>
    <w:rsid w:val="00A77613"/>
    <w:rsid w:val="00A77B87"/>
    <w:rsid w:val="00A801AD"/>
    <w:rsid w:val="00A81851"/>
    <w:rsid w:val="00A8390C"/>
    <w:rsid w:val="00A86AE0"/>
    <w:rsid w:val="00A90EED"/>
    <w:rsid w:val="00A912B0"/>
    <w:rsid w:val="00A91362"/>
    <w:rsid w:val="00A914F4"/>
    <w:rsid w:val="00A9151C"/>
    <w:rsid w:val="00A919C6"/>
    <w:rsid w:val="00A91F37"/>
    <w:rsid w:val="00A928BD"/>
    <w:rsid w:val="00A96B38"/>
    <w:rsid w:val="00A97DE9"/>
    <w:rsid w:val="00AA12CD"/>
    <w:rsid w:val="00AA25DB"/>
    <w:rsid w:val="00AA4D1C"/>
    <w:rsid w:val="00AA52FD"/>
    <w:rsid w:val="00AA7006"/>
    <w:rsid w:val="00AB3138"/>
    <w:rsid w:val="00AB4684"/>
    <w:rsid w:val="00AB5856"/>
    <w:rsid w:val="00AB60F6"/>
    <w:rsid w:val="00AB6BD4"/>
    <w:rsid w:val="00AC081D"/>
    <w:rsid w:val="00AC0C6F"/>
    <w:rsid w:val="00AC1266"/>
    <w:rsid w:val="00AC193C"/>
    <w:rsid w:val="00AC30C1"/>
    <w:rsid w:val="00AC4DE5"/>
    <w:rsid w:val="00AC5206"/>
    <w:rsid w:val="00AD095B"/>
    <w:rsid w:val="00AD2EC1"/>
    <w:rsid w:val="00AD3106"/>
    <w:rsid w:val="00AD4322"/>
    <w:rsid w:val="00AE11A5"/>
    <w:rsid w:val="00AE13E2"/>
    <w:rsid w:val="00AE22D3"/>
    <w:rsid w:val="00AE5A49"/>
    <w:rsid w:val="00AF11D8"/>
    <w:rsid w:val="00AF5867"/>
    <w:rsid w:val="00AF62DF"/>
    <w:rsid w:val="00AF68CC"/>
    <w:rsid w:val="00AF70D7"/>
    <w:rsid w:val="00B00086"/>
    <w:rsid w:val="00B00CD0"/>
    <w:rsid w:val="00B00E7F"/>
    <w:rsid w:val="00B01FF4"/>
    <w:rsid w:val="00B02733"/>
    <w:rsid w:val="00B0326D"/>
    <w:rsid w:val="00B05963"/>
    <w:rsid w:val="00B06037"/>
    <w:rsid w:val="00B06478"/>
    <w:rsid w:val="00B07533"/>
    <w:rsid w:val="00B07CFB"/>
    <w:rsid w:val="00B1059E"/>
    <w:rsid w:val="00B14770"/>
    <w:rsid w:val="00B14A36"/>
    <w:rsid w:val="00B16273"/>
    <w:rsid w:val="00B170A5"/>
    <w:rsid w:val="00B1725F"/>
    <w:rsid w:val="00B176C8"/>
    <w:rsid w:val="00B17EE5"/>
    <w:rsid w:val="00B205AA"/>
    <w:rsid w:val="00B2100A"/>
    <w:rsid w:val="00B21A91"/>
    <w:rsid w:val="00B22E84"/>
    <w:rsid w:val="00B233AD"/>
    <w:rsid w:val="00B23E25"/>
    <w:rsid w:val="00B25F75"/>
    <w:rsid w:val="00B26B3F"/>
    <w:rsid w:val="00B2778F"/>
    <w:rsid w:val="00B322E8"/>
    <w:rsid w:val="00B327E2"/>
    <w:rsid w:val="00B33635"/>
    <w:rsid w:val="00B37A23"/>
    <w:rsid w:val="00B37CF8"/>
    <w:rsid w:val="00B42AF4"/>
    <w:rsid w:val="00B43E90"/>
    <w:rsid w:val="00B44308"/>
    <w:rsid w:val="00B45722"/>
    <w:rsid w:val="00B45CF3"/>
    <w:rsid w:val="00B467DC"/>
    <w:rsid w:val="00B47A88"/>
    <w:rsid w:val="00B47DFF"/>
    <w:rsid w:val="00B52303"/>
    <w:rsid w:val="00B52DCE"/>
    <w:rsid w:val="00B5392A"/>
    <w:rsid w:val="00B539EF"/>
    <w:rsid w:val="00B56118"/>
    <w:rsid w:val="00B566E1"/>
    <w:rsid w:val="00B56AFB"/>
    <w:rsid w:val="00B602F6"/>
    <w:rsid w:val="00B6248E"/>
    <w:rsid w:val="00B62EC1"/>
    <w:rsid w:val="00B64A96"/>
    <w:rsid w:val="00B6533B"/>
    <w:rsid w:val="00B6773F"/>
    <w:rsid w:val="00B70EB3"/>
    <w:rsid w:val="00B72906"/>
    <w:rsid w:val="00B74F48"/>
    <w:rsid w:val="00B7525E"/>
    <w:rsid w:val="00B75433"/>
    <w:rsid w:val="00B75482"/>
    <w:rsid w:val="00B75F70"/>
    <w:rsid w:val="00B760FB"/>
    <w:rsid w:val="00B76765"/>
    <w:rsid w:val="00B767AB"/>
    <w:rsid w:val="00B801BA"/>
    <w:rsid w:val="00B812D6"/>
    <w:rsid w:val="00B84D5C"/>
    <w:rsid w:val="00B85AF6"/>
    <w:rsid w:val="00B918BA"/>
    <w:rsid w:val="00B9239E"/>
    <w:rsid w:val="00B925F0"/>
    <w:rsid w:val="00B92E46"/>
    <w:rsid w:val="00B956ED"/>
    <w:rsid w:val="00BA2DA8"/>
    <w:rsid w:val="00BA347C"/>
    <w:rsid w:val="00BA4C79"/>
    <w:rsid w:val="00BA5228"/>
    <w:rsid w:val="00BB298A"/>
    <w:rsid w:val="00BB3469"/>
    <w:rsid w:val="00BB5C49"/>
    <w:rsid w:val="00BB623D"/>
    <w:rsid w:val="00BB6240"/>
    <w:rsid w:val="00BB6285"/>
    <w:rsid w:val="00BB69F5"/>
    <w:rsid w:val="00BB6E48"/>
    <w:rsid w:val="00BB77AF"/>
    <w:rsid w:val="00BB7EC3"/>
    <w:rsid w:val="00BC04B1"/>
    <w:rsid w:val="00BC0F3F"/>
    <w:rsid w:val="00BC470E"/>
    <w:rsid w:val="00BC4B9A"/>
    <w:rsid w:val="00BD02C3"/>
    <w:rsid w:val="00BD391C"/>
    <w:rsid w:val="00BD7483"/>
    <w:rsid w:val="00BD784C"/>
    <w:rsid w:val="00BD7C74"/>
    <w:rsid w:val="00BE020A"/>
    <w:rsid w:val="00BE13DF"/>
    <w:rsid w:val="00BE1EF0"/>
    <w:rsid w:val="00BE25D7"/>
    <w:rsid w:val="00BF092C"/>
    <w:rsid w:val="00BF27A0"/>
    <w:rsid w:val="00BF4CB6"/>
    <w:rsid w:val="00BF51E1"/>
    <w:rsid w:val="00BF5D23"/>
    <w:rsid w:val="00BF6CBD"/>
    <w:rsid w:val="00BF75EC"/>
    <w:rsid w:val="00C00DA7"/>
    <w:rsid w:val="00C01B7D"/>
    <w:rsid w:val="00C02515"/>
    <w:rsid w:val="00C034FB"/>
    <w:rsid w:val="00C04CDE"/>
    <w:rsid w:val="00C059D5"/>
    <w:rsid w:val="00C068A6"/>
    <w:rsid w:val="00C12768"/>
    <w:rsid w:val="00C12D70"/>
    <w:rsid w:val="00C16724"/>
    <w:rsid w:val="00C21B09"/>
    <w:rsid w:val="00C232A1"/>
    <w:rsid w:val="00C25EFF"/>
    <w:rsid w:val="00C2673A"/>
    <w:rsid w:val="00C278CD"/>
    <w:rsid w:val="00C27B58"/>
    <w:rsid w:val="00C27C1C"/>
    <w:rsid w:val="00C3166C"/>
    <w:rsid w:val="00C3235C"/>
    <w:rsid w:val="00C33186"/>
    <w:rsid w:val="00C33509"/>
    <w:rsid w:val="00C35996"/>
    <w:rsid w:val="00C373D8"/>
    <w:rsid w:val="00C41BA7"/>
    <w:rsid w:val="00C42BCD"/>
    <w:rsid w:val="00C4485F"/>
    <w:rsid w:val="00C46A14"/>
    <w:rsid w:val="00C46C13"/>
    <w:rsid w:val="00C4747E"/>
    <w:rsid w:val="00C5151E"/>
    <w:rsid w:val="00C52256"/>
    <w:rsid w:val="00C5342C"/>
    <w:rsid w:val="00C53B2B"/>
    <w:rsid w:val="00C56D78"/>
    <w:rsid w:val="00C57465"/>
    <w:rsid w:val="00C60272"/>
    <w:rsid w:val="00C603D4"/>
    <w:rsid w:val="00C6256A"/>
    <w:rsid w:val="00C63FDA"/>
    <w:rsid w:val="00C64EBC"/>
    <w:rsid w:val="00C664D2"/>
    <w:rsid w:val="00C677E1"/>
    <w:rsid w:val="00C70E6E"/>
    <w:rsid w:val="00C710E2"/>
    <w:rsid w:val="00C71C3F"/>
    <w:rsid w:val="00C7409E"/>
    <w:rsid w:val="00C74D6D"/>
    <w:rsid w:val="00C76E76"/>
    <w:rsid w:val="00C77891"/>
    <w:rsid w:val="00C77B74"/>
    <w:rsid w:val="00C82062"/>
    <w:rsid w:val="00C829A9"/>
    <w:rsid w:val="00C82E58"/>
    <w:rsid w:val="00C83124"/>
    <w:rsid w:val="00C83FDA"/>
    <w:rsid w:val="00C86CB8"/>
    <w:rsid w:val="00C87B80"/>
    <w:rsid w:val="00C90330"/>
    <w:rsid w:val="00C9106E"/>
    <w:rsid w:val="00C91449"/>
    <w:rsid w:val="00C92D10"/>
    <w:rsid w:val="00C92F79"/>
    <w:rsid w:val="00C95200"/>
    <w:rsid w:val="00C96EC0"/>
    <w:rsid w:val="00CA06F9"/>
    <w:rsid w:val="00CA14BB"/>
    <w:rsid w:val="00CA230C"/>
    <w:rsid w:val="00CA48D9"/>
    <w:rsid w:val="00CA5C4B"/>
    <w:rsid w:val="00CB1193"/>
    <w:rsid w:val="00CB4767"/>
    <w:rsid w:val="00CB493D"/>
    <w:rsid w:val="00CB612B"/>
    <w:rsid w:val="00CC3B97"/>
    <w:rsid w:val="00CD2816"/>
    <w:rsid w:val="00CD6257"/>
    <w:rsid w:val="00CD7C0B"/>
    <w:rsid w:val="00CE10C4"/>
    <w:rsid w:val="00CE2343"/>
    <w:rsid w:val="00CE27B5"/>
    <w:rsid w:val="00CE2BDF"/>
    <w:rsid w:val="00CE6D24"/>
    <w:rsid w:val="00CE6DAF"/>
    <w:rsid w:val="00CF38A2"/>
    <w:rsid w:val="00CF410A"/>
    <w:rsid w:val="00CF5C87"/>
    <w:rsid w:val="00CF7528"/>
    <w:rsid w:val="00CF7FDE"/>
    <w:rsid w:val="00D012AF"/>
    <w:rsid w:val="00D016CA"/>
    <w:rsid w:val="00D0321E"/>
    <w:rsid w:val="00D05457"/>
    <w:rsid w:val="00D069EB"/>
    <w:rsid w:val="00D07A8A"/>
    <w:rsid w:val="00D10C20"/>
    <w:rsid w:val="00D10E31"/>
    <w:rsid w:val="00D11199"/>
    <w:rsid w:val="00D1455A"/>
    <w:rsid w:val="00D14573"/>
    <w:rsid w:val="00D14A70"/>
    <w:rsid w:val="00D207EA"/>
    <w:rsid w:val="00D211FB"/>
    <w:rsid w:val="00D22093"/>
    <w:rsid w:val="00D26F40"/>
    <w:rsid w:val="00D31150"/>
    <w:rsid w:val="00D3138B"/>
    <w:rsid w:val="00D31FCE"/>
    <w:rsid w:val="00D3280C"/>
    <w:rsid w:val="00D3406A"/>
    <w:rsid w:val="00D34D24"/>
    <w:rsid w:val="00D3565D"/>
    <w:rsid w:val="00D40B11"/>
    <w:rsid w:val="00D42864"/>
    <w:rsid w:val="00D429EC"/>
    <w:rsid w:val="00D441F1"/>
    <w:rsid w:val="00D4572C"/>
    <w:rsid w:val="00D469B2"/>
    <w:rsid w:val="00D52B24"/>
    <w:rsid w:val="00D52ECF"/>
    <w:rsid w:val="00D54B09"/>
    <w:rsid w:val="00D6243E"/>
    <w:rsid w:val="00D62E7D"/>
    <w:rsid w:val="00D65658"/>
    <w:rsid w:val="00D67EB2"/>
    <w:rsid w:val="00D70349"/>
    <w:rsid w:val="00D707D4"/>
    <w:rsid w:val="00D72B6F"/>
    <w:rsid w:val="00D741EB"/>
    <w:rsid w:val="00D74CEA"/>
    <w:rsid w:val="00D7679C"/>
    <w:rsid w:val="00D8030C"/>
    <w:rsid w:val="00D820F3"/>
    <w:rsid w:val="00D83605"/>
    <w:rsid w:val="00D84934"/>
    <w:rsid w:val="00D866EB"/>
    <w:rsid w:val="00D86D37"/>
    <w:rsid w:val="00D87D1A"/>
    <w:rsid w:val="00D906DA"/>
    <w:rsid w:val="00D91271"/>
    <w:rsid w:val="00D919F5"/>
    <w:rsid w:val="00D945F6"/>
    <w:rsid w:val="00D94F03"/>
    <w:rsid w:val="00D95161"/>
    <w:rsid w:val="00D95C23"/>
    <w:rsid w:val="00DA0A82"/>
    <w:rsid w:val="00DA0D14"/>
    <w:rsid w:val="00DA1FC9"/>
    <w:rsid w:val="00DA2CB5"/>
    <w:rsid w:val="00DA358F"/>
    <w:rsid w:val="00DA383E"/>
    <w:rsid w:val="00DA4BAC"/>
    <w:rsid w:val="00DA5074"/>
    <w:rsid w:val="00DA722E"/>
    <w:rsid w:val="00DA792A"/>
    <w:rsid w:val="00DB0151"/>
    <w:rsid w:val="00DB0160"/>
    <w:rsid w:val="00DB04D7"/>
    <w:rsid w:val="00DB50E1"/>
    <w:rsid w:val="00DC0566"/>
    <w:rsid w:val="00DC05E1"/>
    <w:rsid w:val="00DC1499"/>
    <w:rsid w:val="00DC16CF"/>
    <w:rsid w:val="00DC2305"/>
    <w:rsid w:val="00DC2C3E"/>
    <w:rsid w:val="00DC3137"/>
    <w:rsid w:val="00DC37C9"/>
    <w:rsid w:val="00DC3A71"/>
    <w:rsid w:val="00DC4880"/>
    <w:rsid w:val="00DC5E90"/>
    <w:rsid w:val="00DC7A83"/>
    <w:rsid w:val="00DD0BE9"/>
    <w:rsid w:val="00DD17AE"/>
    <w:rsid w:val="00DD26F9"/>
    <w:rsid w:val="00DD350E"/>
    <w:rsid w:val="00DD42AB"/>
    <w:rsid w:val="00DE06AF"/>
    <w:rsid w:val="00DE6D27"/>
    <w:rsid w:val="00DE76EA"/>
    <w:rsid w:val="00DF01F8"/>
    <w:rsid w:val="00DF021D"/>
    <w:rsid w:val="00DF14EE"/>
    <w:rsid w:val="00DF217D"/>
    <w:rsid w:val="00DF26A7"/>
    <w:rsid w:val="00DF3277"/>
    <w:rsid w:val="00DF6A31"/>
    <w:rsid w:val="00DF77A1"/>
    <w:rsid w:val="00DF7919"/>
    <w:rsid w:val="00E0207E"/>
    <w:rsid w:val="00E02AE6"/>
    <w:rsid w:val="00E03121"/>
    <w:rsid w:val="00E03912"/>
    <w:rsid w:val="00E04748"/>
    <w:rsid w:val="00E060AF"/>
    <w:rsid w:val="00E078D9"/>
    <w:rsid w:val="00E10293"/>
    <w:rsid w:val="00E103A0"/>
    <w:rsid w:val="00E1043F"/>
    <w:rsid w:val="00E11F44"/>
    <w:rsid w:val="00E13E60"/>
    <w:rsid w:val="00E15627"/>
    <w:rsid w:val="00E164B3"/>
    <w:rsid w:val="00E16910"/>
    <w:rsid w:val="00E21164"/>
    <w:rsid w:val="00E239E2"/>
    <w:rsid w:val="00E24E09"/>
    <w:rsid w:val="00E268E9"/>
    <w:rsid w:val="00E27234"/>
    <w:rsid w:val="00E30DE0"/>
    <w:rsid w:val="00E3495C"/>
    <w:rsid w:val="00E42BDB"/>
    <w:rsid w:val="00E42F25"/>
    <w:rsid w:val="00E524A9"/>
    <w:rsid w:val="00E53F1A"/>
    <w:rsid w:val="00E5726D"/>
    <w:rsid w:val="00E57EEB"/>
    <w:rsid w:val="00E62D94"/>
    <w:rsid w:val="00E62ECC"/>
    <w:rsid w:val="00E63662"/>
    <w:rsid w:val="00E64F37"/>
    <w:rsid w:val="00E65091"/>
    <w:rsid w:val="00E65393"/>
    <w:rsid w:val="00E65E54"/>
    <w:rsid w:val="00E661C7"/>
    <w:rsid w:val="00E66679"/>
    <w:rsid w:val="00E67556"/>
    <w:rsid w:val="00E732C4"/>
    <w:rsid w:val="00E74017"/>
    <w:rsid w:val="00E74E41"/>
    <w:rsid w:val="00E80056"/>
    <w:rsid w:val="00E80155"/>
    <w:rsid w:val="00E8134B"/>
    <w:rsid w:val="00E81E0D"/>
    <w:rsid w:val="00E81F28"/>
    <w:rsid w:val="00E848C0"/>
    <w:rsid w:val="00E84BB8"/>
    <w:rsid w:val="00E86F92"/>
    <w:rsid w:val="00E91B96"/>
    <w:rsid w:val="00E92F2E"/>
    <w:rsid w:val="00E935DA"/>
    <w:rsid w:val="00E93D1E"/>
    <w:rsid w:val="00E941A1"/>
    <w:rsid w:val="00E95CE3"/>
    <w:rsid w:val="00E95F9A"/>
    <w:rsid w:val="00EA0856"/>
    <w:rsid w:val="00EA1DC4"/>
    <w:rsid w:val="00EA252F"/>
    <w:rsid w:val="00EA2825"/>
    <w:rsid w:val="00EA5027"/>
    <w:rsid w:val="00EA64C2"/>
    <w:rsid w:val="00EA6518"/>
    <w:rsid w:val="00EA71A2"/>
    <w:rsid w:val="00EA7466"/>
    <w:rsid w:val="00EA7EDE"/>
    <w:rsid w:val="00EB0B63"/>
    <w:rsid w:val="00EB1936"/>
    <w:rsid w:val="00EB3545"/>
    <w:rsid w:val="00EB37BE"/>
    <w:rsid w:val="00EB4BAE"/>
    <w:rsid w:val="00EB5088"/>
    <w:rsid w:val="00EB7210"/>
    <w:rsid w:val="00EB7274"/>
    <w:rsid w:val="00EC2726"/>
    <w:rsid w:val="00EC4751"/>
    <w:rsid w:val="00EC681C"/>
    <w:rsid w:val="00EC7B87"/>
    <w:rsid w:val="00ED046D"/>
    <w:rsid w:val="00ED1644"/>
    <w:rsid w:val="00ED2593"/>
    <w:rsid w:val="00ED3709"/>
    <w:rsid w:val="00ED7D55"/>
    <w:rsid w:val="00ED7D9C"/>
    <w:rsid w:val="00EE00A7"/>
    <w:rsid w:val="00EE2F77"/>
    <w:rsid w:val="00EE3158"/>
    <w:rsid w:val="00EE31A2"/>
    <w:rsid w:val="00EE4329"/>
    <w:rsid w:val="00EE6203"/>
    <w:rsid w:val="00EE6598"/>
    <w:rsid w:val="00EF0069"/>
    <w:rsid w:val="00EF0BEC"/>
    <w:rsid w:val="00EF3C52"/>
    <w:rsid w:val="00EF44A0"/>
    <w:rsid w:val="00EF4580"/>
    <w:rsid w:val="00EF4FED"/>
    <w:rsid w:val="00EF5F45"/>
    <w:rsid w:val="00EF6843"/>
    <w:rsid w:val="00EF6941"/>
    <w:rsid w:val="00EF6FB3"/>
    <w:rsid w:val="00F0068B"/>
    <w:rsid w:val="00F007C6"/>
    <w:rsid w:val="00F0172E"/>
    <w:rsid w:val="00F050BD"/>
    <w:rsid w:val="00F05657"/>
    <w:rsid w:val="00F05A17"/>
    <w:rsid w:val="00F05AB0"/>
    <w:rsid w:val="00F12C74"/>
    <w:rsid w:val="00F13214"/>
    <w:rsid w:val="00F1559A"/>
    <w:rsid w:val="00F161EA"/>
    <w:rsid w:val="00F17ED6"/>
    <w:rsid w:val="00F20676"/>
    <w:rsid w:val="00F209E2"/>
    <w:rsid w:val="00F2398F"/>
    <w:rsid w:val="00F23FB2"/>
    <w:rsid w:val="00F25578"/>
    <w:rsid w:val="00F258E5"/>
    <w:rsid w:val="00F25B9C"/>
    <w:rsid w:val="00F2675A"/>
    <w:rsid w:val="00F26CC6"/>
    <w:rsid w:val="00F300BC"/>
    <w:rsid w:val="00F305FA"/>
    <w:rsid w:val="00F3263C"/>
    <w:rsid w:val="00F3334E"/>
    <w:rsid w:val="00F3573A"/>
    <w:rsid w:val="00F36CCB"/>
    <w:rsid w:val="00F374E5"/>
    <w:rsid w:val="00F37B93"/>
    <w:rsid w:val="00F37BAD"/>
    <w:rsid w:val="00F37ECA"/>
    <w:rsid w:val="00F40A1C"/>
    <w:rsid w:val="00F43AF2"/>
    <w:rsid w:val="00F45216"/>
    <w:rsid w:val="00F5007E"/>
    <w:rsid w:val="00F508F6"/>
    <w:rsid w:val="00F50EC4"/>
    <w:rsid w:val="00F52232"/>
    <w:rsid w:val="00F527B1"/>
    <w:rsid w:val="00F52DC2"/>
    <w:rsid w:val="00F54AF9"/>
    <w:rsid w:val="00F54BFC"/>
    <w:rsid w:val="00F550CF"/>
    <w:rsid w:val="00F553D2"/>
    <w:rsid w:val="00F56A2D"/>
    <w:rsid w:val="00F57A6D"/>
    <w:rsid w:val="00F6044B"/>
    <w:rsid w:val="00F614F1"/>
    <w:rsid w:val="00F62F19"/>
    <w:rsid w:val="00F638CC"/>
    <w:rsid w:val="00F64C9E"/>
    <w:rsid w:val="00F64CC1"/>
    <w:rsid w:val="00F708B1"/>
    <w:rsid w:val="00F71BDB"/>
    <w:rsid w:val="00F72317"/>
    <w:rsid w:val="00F735D0"/>
    <w:rsid w:val="00F73DC1"/>
    <w:rsid w:val="00F75BB8"/>
    <w:rsid w:val="00F77714"/>
    <w:rsid w:val="00F80475"/>
    <w:rsid w:val="00F80E6E"/>
    <w:rsid w:val="00F81390"/>
    <w:rsid w:val="00F81682"/>
    <w:rsid w:val="00F81F7A"/>
    <w:rsid w:val="00F8247A"/>
    <w:rsid w:val="00F82E5C"/>
    <w:rsid w:val="00F83E86"/>
    <w:rsid w:val="00F83F58"/>
    <w:rsid w:val="00F84CD3"/>
    <w:rsid w:val="00F85206"/>
    <w:rsid w:val="00F87C7A"/>
    <w:rsid w:val="00F87CEA"/>
    <w:rsid w:val="00F9265D"/>
    <w:rsid w:val="00F94E33"/>
    <w:rsid w:val="00F9629A"/>
    <w:rsid w:val="00F97EFC"/>
    <w:rsid w:val="00FA0B04"/>
    <w:rsid w:val="00FA0C7C"/>
    <w:rsid w:val="00FA1BDD"/>
    <w:rsid w:val="00FA305C"/>
    <w:rsid w:val="00FA462E"/>
    <w:rsid w:val="00FA4DD5"/>
    <w:rsid w:val="00FA5883"/>
    <w:rsid w:val="00FA58BB"/>
    <w:rsid w:val="00FA6055"/>
    <w:rsid w:val="00FA6B1A"/>
    <w:rsid w:val="00FA7471"/>
    <w:rsid w:val="00FB0B39"/>
    <w:rsid w:val="00FB322F"/>
    <w:rsid w:val="00FB442F"/>
    <w:rsid w:val="00FB458E"/>
    <w:rsid w:val="00FC118C"/>
    <w:rsid w:val="00FC1929"/>
    <w:rsid w:val="00FC48F0"/>
    <w:rsid w:val="00FC5B46"/>
    <w:rsid w:val="00FC7793"/>
    <w:rsid w:val="00FD1D4F"/>
    <w:rsid w:val="00FD1E9F"/>
    <w:rsid w:val="00FD24BF"/>
    <w:rsid w:val="00FD3B6E"/>
    <w:rsid w:val="00FD4140"/>
    <w:rsid w:val="00FD57EB"/>
    <w:rsid w:val="00FD6D8E"/>
    <w:rsid w:val="00FE0663"/>
    <w:rsid w:val="00FE0E94"/>
    <w:rsid w:val="00FE369C"/>
    <w:rsid w:val="00FE3CD9"/>
    <w:rsid w:val="00FE768F"/>
    <w:rsid w:val="00FF00BD"/>
    <w:rsid w:val="00FF067C"/>
    <w:rsid w:val="00FF0B13"/>
    <w:rsid w:val="00FF1672"/>
    <w:rsid w:val="00FF1ED4"/>
    <w:rsid w:val="00FF2194"/>
    <w:rsid w:val="00FF2801"/>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21"/>
    <o:shapelayout v:ext="edit">
      <o:idmap v:ext="edit" data="1"/>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5482"/>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Figure_name,Numbered Indented Tex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2"/>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uiPriority w:val="2"/>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uiPriority w:val="2"/>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iPriority w:val="99"/>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2"/>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qFormat/>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paragraph" w:styleId="ListBullet2">
    <w:name w:val="List Bullet 2"/>
    <w:basedOn w:val="Normal"/>
    <w:autoRedefine/>
    <w:semiHidden/>
    <w:rsid w:val="00A90EED"/>
    <w:pPr>
      <w:numPr>
        <w:numId w:val="30"/>
      </w:numPr>
      <w:tabs>
        <w:tab w:val="clear" w:pos="643"/>
        <w:tab w:val="left" w:pos="416"/>
        <w:tab w:val="left" w:pos="582"/>
        <w:tab w:val="num" w:pos="1134"/>
      </w:tabs>
      <w:spacing w:before="360" w:after="200" w:line="276" w:lineRule="auto"/>
      <w:ind w:left="1134" w:hanging="1134"/>
      <w:jc w:val="left"/>
    </w:pPr>
    <w:rPr>
      <w:rFonts w:ascii="Arial" w:hAnsi="Arial"/>
      <w:lang w:eastAsia="en-US"/>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basedOn w:val="DefaultParagraphFont"/>
    <w:link w:val="Caption"/>
    <w:uiPriority w:val="99"/>
    <w:rsid w:val="00A90EED"/>
    <w:rPr>
      <w:rFonts w:ascii="Calibri" w:hAnsi="Calibri"/>
      <w:i/>
      <w:iCs/>
      <w:color w:val="000000" w:themeColor="text1"/>
      <w:sz w:val="18"/>
      <w:szCs w:val="18"/>
    </w:rPr>
  </w:style>
  <w:style w:type="paragraph" w:customStyle="1" w:styleId="3-SubsectionHeading">
    <w:name w:val="3-Subsection Heading"/>
    <w:basedOn w:val="Heading2"/>
    <w:next w:val="Normal"/>
    <w:link w:val="3-SubsectionHeadingChar"/>
    <w:qFormat/>
    <w:rsid w:val="00127F16"/>
    <w:pPr>
      <w:spacing w:before="120" w:after="120"/>
      <w:outlineLvl w:val="9"/>
    </w:pPr>
    <w:rPr>
      <w:rFonts w:asciiTheme="minorHAnsi" w:eastAsiaTheme="majorEastAsia" w:hAnsiTheme="minorHAnsi" w:cstheme="majorBidi"/>
      <w:spacing w:val="5"/>
      <w:kern w:val="28"/>
      <w:sz w:val="28"/>
      <w:szCs w:val="36"/>
      <w:lang w:eastAsia="en-US"/>
    </w:rPr>
  </w:style>
  <w:style w:type="character" w:customStyle="1" w:styleId="3-SubsectionHeadingChar">
    <w:name w:val="3-Subsection Heading Char"/>
    <w:basedOn w:val="Heading2Char"/>
    <w:link w:val="3-SubsectionHeading"/>
    <w:rsid w:val="00127F16"/>
    <w:rPr>
      <w:rFonts w:asciiTheme="minorHAnsi" w:eastAsiaTheme="majorEastAsia" w:hAnsiTheme="minorHAnsi" w:cstheme="majorBidi"/>
      <w:b/>
      <w:i/>
      <w:spacing w:val="5"/>
      <w:kern w:val="28"/>
      <w:sz w:val="28"/>
      <w:szCs w:val="36"/>
      <w:lang w:eastAsia="en-US"/>
    </w:rPr>
  </w:style>
  <w:style w:type="paragraph" w:styleId="NormalWeb">
    <w:name w:val="Normal (Web)"/>
    <w:basedOn w:val="Normal"/>
    <w:uiPriority w:val="99"/>
    <w:semiHidden/>
    <w:unhideWhenUsed/>
    <w:rsid w:val="00817C47"/>
    <w:pPr>
      <w:spacing w:before="100" w:beforeAutospacing="1" w:after="100" w:afterAutospacing="1"/>
      <w:jc w:val="left"/>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50018465">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020012057">
      <w:bodyDiv w:val="1"/>
      <w:marLeft w:val="0"/>
      <w:marRight w:val="0"/>
      <w:marTop w:val="0"/>
      <w:marBottom w:val="0"/>
      <w:divBdr>
        <w:top w:val="none" w:sz="0" w:space="0" w:color="auto"/>
        <w:left w:val="none" w:sz="0" w:space="0" w:color="auto"/>
        <w:bottom w:val="none" w:sz="0" w:space="0" w:color="auto"/>
        <w:right w:val="none" w:sz="0" w:space="0" w:color="auto"/>
      </w:divBdr>
    </w:div>
    <w:div w:id="1032461204">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4172421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51980461">
      <w:bodyDiv w:val="1"/>
      <w:marLeft w:val="0"/>
      <w:marRight w:val="0"/>
      <w:marTop w:val="0"/>
      <w:marBottom w:val="0"/>
      <w:divBdr>
        <w:top w:val="none" w:sz="0" w:space="0" w:color="auto"/>
        <w:left w:val="none" w:sz="0" w:space="0" w:color="auto"/>
        <w:bottom w:val="none" w:sz="0" w:space="0" w:color="auto"/>
        <w:right w:val="none" w:sz="0" w:space="0" w:color="auto"/>
      </w:divBdr>
      <w:divsChild>
        <w:div w:id="1000154991">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2085</Words>
  <Characters>11012</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2023-06-23T06:37:00Z</dcterms:created>
  <dcterms:modified xsi:type="dcterms:W3CDTF">2023-06-23T06:38:00Z</dcterms:modified>
</cp:coreProperties>
</file>